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60E93" w14:textId="4201862E" w:rsidR="00FE3949" w:rsidRDefault="00000000" w:rsidP="00FE3949">
      <w:pPr>
        <w:pStyle w:val="Heading1"/>
      </w:pPr>
      <w:bookmarkStart w:id="0" w:name="written-testimony-elaborated"/>
      <w:r>
        <w:t xml:space="preserve">WRITTEN TESTIMONY </w:t>
      </w:r>
    </w:p>
    <w:p w14:paraId="4A690880" w14:textId="218F4024" w:rsidR="00FE3949" w:rsidRDefault="00FE3949" w:rsidP="00FE3949">
      <w:pPr>
        <w:pStyle w:val="BodyText"/>
        <w:jc w:val="center"/>
      </w:pPr>
      <w:r>
        <w:t>James A. Lomastro PhD</w:t>
      </w:r>
    </w:p>
    <w:p w14:paraId="7CB8E8D9" w14:textId="5EB6CC4D" w:rsidR="00FE3949" w:rsidRDefault="00FE3949" w:rsidP="00FE3949">
      <w:pPr>
        <w:pStyle w:val="BodyText"/>
        <w:jc w:val="center"/>
      </w:pPr>
      <w:r>
        <w:t>Dignity Alliance Facilities Workgroup</w:t>
      </w:r>
    </w:p>
    <w:p w14:paraId="1CDE268F" w14:textId="119D4208" w:rsidR="00FE3949" w:rsidRDefault="00FE3949" w:rsidP="00FE3949">
      <w:pPr>
        <w:pStyle w:val="BodyText"/>
        <w:jc w:val="center"/>
      </w:pPr>
      <w:r>
        <w:t>45 Larchmeadow Drive</w:t>
      </w:r>
    </w:p>
    <w:p w14:paraId="2A037259" w14:textId="377FFC56" w:rsidR="00FE3949" w:rsidRDefault="00FE3949" w:rsidP="00FE3949">
      <w:pPr>
        <w:pStyle w:val="BodyText"/>
        <w:jc w:val="center"/>
      </w:pPr>
      <w:r>
        <w:t>Conway, Massachusetts 01341</w:t>
      </w:r>
    </w:p>
    <w:p w14:paraId="5ADAF278" w14:textId="77777777" w:rsidR="00FE3949" w:rsidRPr="00FE3949" w:rsidRDefault="00FE3949" w:rsidP="00FE3949">
      <w:pPr>
        <w:pStyle w:val="BodyText"/>
      </w:pPr>
    </w:p>
    <w:p w14:paraId="4092E9B3" w14:textId="77777777" w:rsidR="00832109" w:rsidRDefault="00000000">
      <w:pPr>
        <w:pStyle w:val="FirstParagraph"/>
      </w:pPr>
      <w:r>
        <w:rPr>
          <w:b/>
          <w:bCs/>
        </w:rPr>
        <w:t>Re:</w:t>
      </w:r>
      <w:r>
        <w:t xml:space="preserve"> Proposed Amendments to 105 CMR 150.000 – Standards for Long-Term Care Facilities</w:t>
      </w:r>
      <w:r>
        <w:br/>
      </w:r>
      <w:r>
        <w:rPr>
          <w:b/>
          <w:bCs/>
        </w:rPr>
        <w:t>Submitted to:</w:t>
      </w:r>
      <w:r>
        <w:t xml:space="preserve"> Massachusetts Department of Public Health</w:t>
      </w:r>
      <w:r>
        <w:br/>
      </w:r>
      <w:r>
        <w:rPr>
          <w:b/>
          <w:bCs/>
        </w:rPr>
        <w:t>Pursuant to:</w:t>
      </w:r>
      <w:r>
        <w:t xml:space="preserve"> M.G.L. c. 30A, § 2</w:t>
      </w:r>
    </w:p>
    <w:p w14:paraId="5F1C5CCE" w14:textId="77777777" w:rsidR="00832109" w:rsidRDefault="00000000">
      <w:pPr>
        <w:pStyle w:val="Heading2"/>
      </w:pPr>
      <w:bookmarkStart w:id="1" w:name="i.-statement-of-position"/>
      <w:r>
        <w:t>I. Statement of Position</w:t>
      </w:r>
    </w:p>
    <w:p w14:paraId="5E213070" w14:textId="77777777" w:rsidR="00832109" w:rsidRDefault="00000000">
      <w:pPr>
        <w:pStyle w:val="FirstParagraph"/>
      </w:pPr>
      <w:r>
        <w:t xml:space="preserve">I submit this testimony in response to the Department of Public Health’s proposed amendments to 105 CMR 150.000, issued to implement Chapter 197 of the Acts of 2024, </w:t>
      </w:r>
      <w:r>
        <w:rPr>
          <w:i/>
          <w:iCs/>
        </w:rPr>
        <w:t>An Act to Improve Quality and Oversight of Long-Term Care</w:t>
      </w:r>
      <w:r>
        <w:t>.</w:t>
      </w:r>
    </w:p>
    <w:p w14:paraId="3A4C1E37" w14:textId="77777777" w:rsidR="00832109" w:rsidRDefault="00000000">
      <w:pPr>
        <w:pStyle w:val="BodyText"/>
      </w:pPr>
      <w:r>
        <w:t>Chapter 197 expressly directs the Department to promulgate regulations addressing outbreak response planning, annual inspections, small house nursing homes, staff training related to LGBTQI+ residents and individuals living with HIV, and expanded suitability review of owners, licensees, transferees, and management companies.¹ The proposed amendments fall within that delegated authority and, in several instances, closely track statutory language.</w:t>
      </w:r>
    </w:p>
    <w:p w14:paraId="1530028B" w14:textId="77777777" w:rsidR="00832109" w:rsidRDefault="00000000">
      <w:pPr>
        <w:pStyle w:val="BodyText"/>
      </w:pPr>
      <w:r>
        <w:t xml:space="preserve">However, </w:t>
      </w:r>
      <w:r>
        <w:rPr>
          <w:b/>
          <w:bCs/>
        </w:rPr>
        <w:t>legal sufficiency does not resolve whether the regulations fully advance the Legislature’s remedial intent</w:t>
      </w:r>
      <w:r>
        <w:t>. The regulations rely heavily on discretionary oversight rather than embedding enforceable governance standards capable of preventing recurrent systemic failure. This distinction is not academic—it reflects a fundamental choice between reactive enforcement and proactive structural constraint.</w:t>
      </w:r>
    </w:p>
    <w:p w14:paraId="6DDE4AD0" w14:textId="77777777" w:rsidR="00832109" w:rsidRDefault="00000000">
      <w:pPr>
        <w:pStyle w:val="BodyText"/>
      </w:pPr>
      <w:r>
        <w:t xml:space="preserve">The legislative record surrounding Chapter 197 documents </w:t>
      </w:r>
      <w:r>
        <w:rPr>
          <w:b/>
          <w:bCs/>
        </w:rPr>
        <w:t>repeated patterns of regulatory failure</w:t>
      </w:r>
      <w:r>
        <w:t xml:space="preserve"> where existing oversight mechanisms proved insufficient to prevent resident harm, even when deficiencies were documented. The question before the Department is not merely whether these regulations are lawful, but whether they are adequate to break those patterns.</w:t>
      </w:r>
    </w:p>
    <w:p w14:paraId="03E8EFDF" w14:textId="77777777" w:rsidR="00832109" w:rsidRDefault="00000000">
      <w:pPr>
        <w:pStyle w:val="Heading2"/>
      </w:pPr>
      <w:bookmarkStart w:id="2" w:name="ii.-legal-conformity-with-chapter-197"/>
      <w:bookmarkEnd w:id="1"/>
      <w:r>
        <w:t>II. Legal Conformity with Chapter 197</w:t>
      </w:r>
    </w:p>
    <w:p w14:paraId="1A46FD7B" w14:textId="77777777" w:rsidR="00832109" w:rsidRDefault="00000000">
      <w:pPr>
        <w:pStyle w:val="Heading3"/>
      </w:pPr>
      <w:bookmarkStart w:id="3" w:name="a.-outbreak-response-plans"/>
      <w:r>
        <w:t>A. Outbreak Response Plans</w:t>
      </w:r>
    </w:p>
    <w:p w14:paraId="30770564" w14:textId="77777777" w:rsidR="00832109" w:rsidRDefault="00000000">
      <w:pPr>
        <w:pStyle w:val="FirstParagraph"/>
      </w:pPr>
      <w:r>
        <w:t xml:space="preserve">Chapter 197 mandates that each long-term care facility develop and submit a facility-specific outbreak response plan, subject to Department review and periodic updating.² The </w:t>
      </w:r>
      <w:r>
        <w:lastRenderedPageBreak/>
        <w:t>proposed amendments requiring submission, review, and updating of outbreak response plans directly implement this statutory requirement.</w:t>
      </w:r>
    </w:p>
    <w:p w14:paraId="61169F86" w14:textId="77777777" w:rsidR="00832109" w:rsidRDefault="00000000">
      <w:pPr>
        <w:pStyle w:val="BodyText"/>
      </w:pPr>
      <w:r>
        <w:rPr>
          <w:b/>
          <w:bCs/>
        </w:rPr>
        <w:t>Statutory Language and Regulatory Implementation:</w:t>
      </w:r>
      <w:r>
        <w:br/>
        <w:t>The statute requires that plans be “facility-specific,” anticipating that outbreak preparedness must account for variations in physical plant, staffing levels, resident acuity, and geographic context. The regulations appropriately require submission and Department review, establishing a compliance framework.</w:t>
      </w:r>
    </w:p>
    <w:p w14:paraId="3BF2BB7C" w14:textId="77777777" w:rsidR="00832109" w:rsidRDefault="00000000">
      <w:pPr>
        <w:pStyle w:val="BodyText"/>
      </w:pPr>
      <w:r>
        <w:rPr>
          <w:b/>
          <w:bCs/>
        </w:rPr>
        <w:t>Conclusion:</w:t>
      </w:r>
      <w:r>
        <w:t xml:space="preserve"> These provisions are not discretionary; they are required by statute and legally sound.</w:t>
      </w:r>
    </w:p>
    <w:p w14:paraId="6A0F5BC9" w14:textId="77777777" w:rsidR="00832109" w:rsidRDefault="00000000">
      <w:pPr>
        <w:pStyle w:val="Heading3"/>
      </w:pPr>
      <w:bookmarkStart w:id="4" w:name="b.-small-house-nursing-homes"/>
      <w:bookmarkEnd w:id="3"/>
      <w:r>
        <w:t>B. Small House Nursing Homes</w:t>
      </w:r>
    </w:p>
    <w:p w14:paraId="6A4122C1" w14:textId="77777777" w:rsidR="00832109" w:rsidRDefault="00000000">
      <w:pPr>
        <w:pStyle w:val="FirstParagraph"/>
      </w:pPr>
      <w:r>
        <w:t>The statute directs the Department to promulgate regulations governing the construction, physical plant, staffing, and operation of small house nursing homes, including unit size, room occupancy, and eligibility for Medicare and Medicaid participation.³ The proposed amendments implement these directives.</w:t>
      </w:r>
    </w:p>
    <w:p w14:paraId="5FDF462A" w14:textId="77777777" w:rsidR="00832109" w:rsidRDefault="00000000">
      <w:pPr>
        <w:pStyle w:val="BodyText"/>
      </w:pPr>
      <w:r>
        <w:rPr>
          <w:b/>
          <w:bCs/>
        </w:rPr>
        <w:t>Policy Context:</w:t>
      </w:r>
      <w:r>
        <w:br/>
        <w:t>Small house nursing homes represent an alternative care model emphasizing person-centered, homelike environments over traditional institutional settings. The regulatory framework must balance innovation with resident safety, financial viability, and quality oversight.</w:t>
      </w:r>
    </w:p>
    <w:p w14:paraId="1393A35C" w14:textId="77777777" w:rsidR="00832109" w:rsidRDefault="00000000">
      <w:pPr>
        <w:pStyle w:val="BodyText"/>
      </w:pPr>
      <w:r>
        <w:rPr>
          <w:b/>
          <w:bCs/>
        </w:rPr>
        <w:t>Conclusion:</w:t>
      </w:r>
      <w:r>
        <w:t xml:space="preserve"> The Department is acting squarely within its authority and fulfilling an express legislative command.</w:t>
      </w:r>
    </w:p>
    <w:p w14:paraId="21EEBBB1" w14:textId="77777777" w:rsidR="00832109" w:rsidRDefault="00000000">
      <w:pPr>
        <w:pStyle w:val="Heading3"/>
      </w:pPr>
      <w:bookmarkStart w:id="5" w:name="X66a9340fd61f98d298b40f0806c766c98562018"/>
      <w:bookmarkEnd w:id="4"/>
      <w:r>
        <w:t>C. LGBTQI+ and HIV Training and Non-Discrimination</w:t>
      </w:r>
    </w:p>
    <w:p w14:paraId="5EA342C6" w14:textId="77777777" w:rsidR="00832109" w:rsidRDefault="00000000">
      <w:pPr>
        <w:pStyle w:val="FirstParagraph"/>
      </w:pPr>
      <w:r>
        <w:t>Chapter 197 requires mandatory staff training on the rights and care of LGBTQI+ older adults and individuals living with HIV and prohibits discrimination on those bases.⁴ The proposed regulations incorporate these requirements.</w:t>
      </w:r>
    </w:p>
    <w:p w14:paraId="38459F17" w14:textId="77777777" w:rsidR="00832109" w:rsidRDefault="00000000">
      <w:pPr>
        <w:pStyle w:val="BodyText"/>
      </w:pPr>
      <w:r>
        <w:rPr>
          <w:b/>
          <w:bCs/>
        </w:rPr>
        <w:t>Legislative Intent:</w:t>
      </w:r>
      <w:r>
        <w:br/>
        <w:t>This provision responds to documented patterns of discrimination, inadequate care, and invisibility experienced by LGBTQI+ elders and individuals living with HIV in institutional settings. The training mandate recognizes that non-discrimination requires not merely the absence of overt bias but the development of culturally competent care practices.</w:t>
      </w:r>
    </w:p>
    <w:p w14:paraId="61F5042E" w14:textId="77777777" w:rsidR="00832109" w:rsidRDefault="00000000">
      <w:pPr>
        <w:pStyle w:val="BodyText"/>
      </w:pPr>
      <w:r>
        <w:rPr>
          <w:b/>
          <w:bCs/>
        </w:rPr>
        <w:t>Conclusion:</w:t>
      </w:r>
      <w:r>
        <w:t xml:space="preserve"> These provisions are statutorily compelled and legally necessary.</w:t>
      </w:r>
    </w:p>
    <w:p w14:paraId="0FAE35DA" w14:textId="77777777" w:rsidR="00832109" w:rsidRDefault="00000000">
      <w:pPr>
        <w:pStyle w:val="Heading3"/>
      </w:pPr>
      <w:bookmarkStart w:id="6" w:name="d.-annual-inspections"/>
      <w:bookmarkEnd w:id="5"/>
      <w:r>
        <w:t>D. Annual Inspections</w:t>
      </w:r>
    </w:p>
    <w:p w14:paraId="29549735" w14:textId="77777777" w:rsidR="00832109" w:rsidRDefault="00000000">
      <w:pPr>
        <w:pStyle w:val="FirstParagraph"/>
      </w:pPr>
      <w:r>
        <w:t>The statute requires that each long-term care facility be subject to not less than one resident-centered inspection every 12 months.⁵ The proposed amendments align with this mandate.</w:t>
      </w:r>
    </w:p>
    <w:p w14:paraId="2D3989C6" w14:textId="77777777" w:rsidR="00832109" w:rsidRDefault="00000000">
      <w:pPr>
        <w:pStyle w:val="BodyText"/>
      </w:pPr>
      <w:r>
        <w:rPr>
          <w:b/>
          <w:bCs/>
        </w:rPr>
        <w:t>Operational Significance:</w:t>
      </w:r>
      <w:r>
        <w:br/>
        <w:t>The shift to annual, resident-centered inspections represents a move away from complaint-</w:t>
      </w:r>
      <w:r>
        <w:lastRenderedPageBreak/>
        <w:t>driven enforcement toward proactive, systematic oversight. However, the effectiveness of this requirement depends on inspection depth, surveyor training, and enforcement consequences when deficiencies are identified.</w:t>
      </w:r>
    </w:p>
    <w:p w14:paraId="13672947" w14:textId="77777777" w:rsidR="00832109" w:rsidRDefault="00000000">
      <w:pPr>
        <w:pStyle w:val="BodyText"/>
      </w:pPr>
      <w:r>
        <w:rPr>
          <w:b/>
          <w:bCs/>
        </w:rPr>
        <w:t>Conclusion:</w:t>
      </w:r>
      <w:r>
        <w:t xml:space="preserve"> Full statutory compliance.</w:t>
      </w:r>
    </w:p>
    <w:p w14:paraId="77A7530B" w14:textId="77777777" w:rsidR="00832109" w:rsidRDefault="00000000">
      <w:pPr>
        <w:pStyle w:val="Heading3"/>
      </w:pPr>
      <w:bookmarkStart w:id="7" w:name="Xef1d4f8206ad4715160dccbcc976344ffee584f"/>
      <w:bookmarkEnd w:id="6"/>
      <w:r>
        <w:t>E. Suitability Review of Owners, Transferees, and Management Companies</w:t>
      </w:r>
    </w:p>
    <w:p w14:paraId="6929CD6C" w14:textId="77777777" w:rsidR="00832109" w:rsidRDefault="00000000">
      <w:pPr>
        <w:pStyle w:val="FirstParagraph"/>
      </w:pPr>
      <w:r>
        <w:t>Chapter 197 significantly expands suitability review authority, requiring Department review of applicants, licensees, potential transferees, and management companies, including examination of ownership history, litigation history, financial capacity, and quality outcomes.⁶ The proposed regulations reflect this expansion.</w:t>
      </w:r>
    </w:p>
    <w:p w14:paraId="03BA8ED1" w14:textId="77777777" w:rsidR="00832109" w:rsidRDefault="00000000">
      <w:pPr>
        <w:pStyle w:val="BodyText"/>
      </w:pPr>
      <w:r>
        <w:rPr>
          <w:b/>
          <w:bCs/>
        </w:rPr>
        <w:t>Scope of Authority:</w:t>
      </w:r>
      <w:r>
        <w:br/>
        <w:t>This represents the most significant expansion of Department oversight authority in Chapter 197. The Legislature recognized that quality failures often stem not from isolated operational lapses but from ownership structures and business models that systematically prioritize financial extraction over resident care.</w:t>
      </w:r>
    </w:p>
    <w:p w14:paraId="27058E97" w14:textId="77777777" w:rsidR="00832109" w:rsidRDefault="00000000">
      <w:pPr>
        <w:pStyle w:val="BodyText"/>
      </w:pPr>
      <w:r>
        <w:rPr>
          <w:b/>
          <w:bCs/>
        </w:rPr>
        <w:t>Conclusion:</w:t>
      </w:r>
      <w:r>
        <w:t xml:space="preserve"> The Department’s authority here is clear and well grounded in statute.</w:t>
      </w:r>
    </w:p>
    <w:p w14:paraId="1B3C0635" w14:textId="77777777" w:rsidR="00832109" w:rsidRDefault="00000000">
      <w:pPr>
        <w:pStyle w:val="Heading2"/>
      </w:pPr>
      <w:bookmarkStart w:id="8" w:name="X99f3390c453acfd1fbc6186fa1352a5eba272fd"/>
      <w:bookmarkEnd w:id="2"/>
      <w:bookmarkEnd w:id="7"/>
      <w:r>
        <w:t>III. Governance Risks and Structural Limitations</w:t>
      </w:r>
    </w:p>
    <w:p w14:paraId="68C6E070" w14:textId="77777777" w:rsidR="00832109" w:rsidRDefault="00000000">
      <w:pPr>
        <w:pStyle w:val="FirstParagraph"/>
      </w:pPr>
      <w:r>
        <w:t xml:space="preserve">While the regulations conform to statutory authority, they remain structurally limited in ways that may undermine the Legislature’s intent to correct systemic failures in long-term care oversight. </w:t>
      </w:r>
      <w:r>
        <w:rPr>
          <w:b/>
          <w:bCs/>
        </w:rPr>
        <w:t>These limitations do not render the regulations unlawful, but they do constrain their effectiveness and place continued reliance on administrative discretion rather than enforceable governance architecture.</w:t>
      </w:r>
    </w:p>
    <w:p w14:paraId="309D29F1" w14:textId="77777777" w:rsidR="00832109" w:rsidRDefault="00000000">
      <w:pPr>
        <w:pStyle w:val="Heading3"/>
      </w:pPr>
      <w:bookmarkStart w:id="9" w:name="Xd7d292fbb191ab6a599c794150a9bf74369422b"/>
      <w:r>
        <w:t>1. Suitability Review: Expanded Authority Without Operationalized Standards</w:t>
      </w:r>
    </w:p>
    <w:p w14:paraId="185EC2B1" w14:textId="77777777" w:rsidR="00832109" w:rsidRDefault="00000000">
      <w:pPr>
        <w:pStyle w:val="FirstParagraph"/>
      </w:pPr>
      <w:r>
        <w:rPr>
          <w:b/>
          <w:bCs/>
        </w:rPr>
        <w:t>The Problem:</w:t>
      </w:r>
      <w:r>
        <w:br/>
        <w:t xml:space="preserve">The regulations permit comprehensive suitability review but do not require affirmative findings tied to defined risk factors. This means that while the Department </w:t>
      </w:r>
      <w:r>
        <w:rPr>
          <w:i/>
          <w:iCs/>
        </w:rPr>
        <w:t>may</w:t>
      </w:r>
      <w:r>
        <w:t xml:space="preserve"> consider patterns such as repeated understaffing, related-party transactions, or cross-facility enforcement histories, it is not </w:t>
      </w:r>
      <w:r>
        <w:rPr>
          <w:i/>
          <w:iCs/>
        </w:rPr>
        <w:t>required</w:t>
      </w:r>
      <w:r>
        <w:t xml:space="preserve"> to do so, and there are no articulated standards for when such patterns should trigger denial or enhanced conditions.</w:t>
      </w:r>
    </w:p>
    <w:p w14:paraId="065FC65D" w14:textId="77777777" w:rsidR="00832109" w:rsidRDefault="00000000">
      <w:pPr>
        <w:pStyle w:val="BodyText"/>
      </w:pPr>
      <w:r>
        <w:rPr>
          <w:b/>
          <w:bCs/>
        </w:rPr>
        <w:t>Concrete Example:</w:t>
      </w:r>
      <w:r>
        <w:br/>
        <w:t xml:space="preserve">Consider a management company that operates 15 facilities across Massachusetts. At 10 of those facilities, the company has received repeated citations for staffing below minimum requirements. At 8 facilities, residents have been found in conditions of immediate jeopardy. The company extracts management fees averaging 12% of gross revenue while maintaining staffing at or below regulatory minimums. Under current proposed regulations, such a pattern </w:t>
      </w:r>
      <w:r>
        <w:rPr>
          <w:i/>
          <w:iCs/>
        </w:rPr>
        <w:t>could</w:t>
      </w:r>
      <w:r>
        <w:t xml:space="preserve"> inform a suitability determination—but there is no requirement that it </w:t>
      </w:r>
      <w:r>
        <w:rPr>
          <w:i/>
          <w:iCs/>
        </w:rPr>
        <w:t>must</w:t>
      </w:r>
      <w:r>
        <w:t>, and no guidance on what weight such patterns should carry.</w:t>
      </w:r>
    </w:p>
    <w:p w14:paraId="23498AE5" w14:textId="77777777" w:rsidR="00832109" w:rsidRDefault="00000000">
      <w:pPr>
        <w:pStyle w:val="BodyText"/>
      </w:pPr>
      <w:r>
        <w:rPr>
          <w:b/>
          <w:bCs/>
        </w:rPr>
        <w:t>The Consequence:</w:t>
      </w:r>
      <w:r>
        <w:br/>
        <w:t xml:space="preserve">Without operationalized standards, suitability review risks becoming another </w:t>
      </w:r>
      <w:r>
        <w:lastRenderedPageBreak/>
        <w:t xml:space="preserve">discretionary tool that functions retrospectively rather than preventively. The Department reviews applicants </w:t>
      </w:r>
      <w:r>
        <w:rPr>
          <w:i/>
          <w:iCs/>
        </w:rPr>
        <w:t>after</w:t>
      </w:r>
      <w:r>
        <w:t xml:space="preserve"> harm has occurred at other facilities, rather than establishing governance thresholds that prevent unsuitable operators from gaining or maintaining market position in the first place.</w:t>
      </w:r>
    </w:p>
    <w:p w14:paraId="57623401" w14:textId="77777777" w:rsidR="00832109" w:rsidRDefault="00000000">
      <w:pPr>
        <w:pStyle w:val="BodyText"/>
      </w:pPr>
      <w:r>
        <w:rPr>
          <w:b/>
          <w:bCs/>
        </w:rPr>
        <w:t>What Is Missing:</w:t>
      </w:r>
      <w:r>
        <w:br/>
        <w:t>Objective governance thresholds that create presumptions of unsuitability, such as: - Documented patterns of chronic understaffing across a defined percentage of affiliated facilities - Repeated immediate jeopardy findings within a specified timeframe - Financial structures demonstrating systematic extraction through related-party transactions exceeding defined thresholds - Cross-facility patterns indicating business model dependence on regulatory noncompliance</w:t>
      </w:r>
    </w:p>
    <w:p w14:paraId="6D71E8C5" w14:textId="77777777" w:rsidR="00832109" w:rsidRDefault="00000000">
      <w:pPr>
        <w:pStyle w:val="BodyText"/>
      </w:pPr>
      <w:r>
        <w:t>These thresholds would not eliminate discretion but would channel it, creating rebuttable presumptions that shift the burden to applicants to demonstrate governance reforms adequate to prevent recurrence.</w:t>
      </w:r>
    </w:p>
    <w:p w14:paraId="45FBC8AC" w14:textId="77777777" w:rsidR="00832109" w:rsidRDefault="00000000">
      <w:pPr>
        <w:pStyle w:val="Heading3"/>
      </w:pPr>
      <w:bookmarkStart w:id="10" w:name="Xd47da392a70e77fdf7c526e6e9839882453fd3f"/>
      <w:bookmarkEnd w:id="9"/>
      <w:r>
        <w:t>2. Outbreak Response Plans: Procedural Compliance Without Outcome Evaluation</w:t>
      </w:r>
    </w:p>
    <w:p w14:paraId="674E591B" w14:textId="77777777" w:rsidR="00832109" w:rsidRDefault="00000000">
      <w:pPr>
        <w:pStyle w:val="FirstParagraph"/>
      </w:pPr>
      <w:r>
        <w:rPr>
          <w:b/>
          <w:bCs/>
        </w:rPr>
        <w:t>The Problem:</w:t>
      </w:r>
      <w:r>
        <w:br/>
        <w:t>The regulations require facilities to submit outbreak response plans and update them periodically. However, they do not require post-incident assessment when plans fail to mitigate harm, nor do they establish standards for evaluating plan adequacy beyond procedural compliance.</w:t>
      </w:r>
    </w:p>
    <w:p w14:paraId="43BD4CDB" w14:textId="77777777" w:rsidR="00832109" w:rsidRDefault="00000000">
      <w:pPr>
        <w:pStyle w:val="BodyText"/>
      </w:pPr>
      <w:r>
        <w:rPr>
          <w:b/>
          <w:bCs/>
        </w:rPr>
        <w:t>Why This Matters:</w:t>
      </w:r>
      <w:r>
        <w:br/>
        <w:t xml:space="preserve">During the COVID-19 pandemic, virtually every Massachusetts nursing home had an outbreak response plan on file with the Department. Many of those plans proved wholly inadequate to prevent catastrophic resident harm. The lesson is that </w:t>
      </w:r>
      <w:r>
        <w:rPr>
          <w:i/>
          <w:iCs/>
        </w:rPr>
        <w:t>having a plan</w:t>
      </w:r>
      <w:r>
        <w:t xml:space="preserve"> and </w:t>
      </w:r>
      <w:r>
        <w:rPr>
          <w:i/>
          <w:iCs/>
        </w:rPr>
        <w:t>having an effective plan</w:t>
      </w:r>
      <w:r>
        <w:t xml:space="preserve"> are not equivalent, and that procedural compliance does not ensure operational readiness.</w:t>
      </w:r>
    </w:p>
    <w:p w14:paraId="503A448D" w14:textId="77777777" w:rsidR="00832109" w:rsidRDefault="00000000">
      <w:pPr>
        <w:pStyle w:val="BodyText"/>
      </w:pPr>
      <w:r>
        <w:rPr>
          <w:b/>
          <w:bCs/>
        </w:rPr>
        <w:t>Concrete Example:</w:t>
      </w:r>
      <w:r>
        <w:br/>
        <w:t>A facility submits an outbreak response plan that assumes adequate PPE availability, sufficient staffing to implement cohorting protocols, and physical plant capacity for isolation. When an outbreak occurs, the facility lacks adequate PPE, operates at 70% of minimum staffing, and has no isolation-capable rooms. Residents experience preventable transmission and deaths. Under proposed regulations, the facility may face enforcement for understaffing or infection control failures, but there is no requirement to assess whether the plan itself was realistic, whether its assumptions were reasonable, or whether it should have been rejected at the review stage.</w:t>
      </w:r>
    </w:p>
    <w:p w14:paraId="6664AAA4" w14:textId="77777777" w:rsidR="00832109" w:rsidRDefault="00000000">
      <w:pPr>
        <w:pStyle w:val="BodyText"/>
      </w:pPr>
      <w:r>
        <w:rPr>
          <w:b/>
          <w:bCs/>
        </w:rPr>
        <w:t>What Is Missing:</w:t>
      </w:r>
      <w:r>
        <w:br/>
        <w:t xml:space="preserve">- Requirements for post-incident plan assessment comparing plan assumptions to actual outbreak experience - Mandatory plan revision when mitigation measures fail or when assumptions prove unrealistic - Standards for evaluating plan adequacy during initial review, including assessment of resource availability, staffing levels, and physical plant </w:t>
      </w:r>
      <w:r>
        <w:lastRenderedPageBreak/>
        <w:t>capacity - Integration of outbreak response planning with ongoing facility compliance in areas (staffing, maintenance, supplies) that determine plan viability</w:t>
      </w:r>
    </w:p>
    <w:p w14:paraId="3EF3321D" w14:textId="77777777" w:rsidR="00832109" w:rsidRDefault="00000000">
      <w:pPr>
        <w:pStyle w:val="Heading3"/>
      </w:pPr>
      <w:bookmarkStart w:id="11" w:name="Xcedb25c1a3fb7fb31a3ae08aedffe6d20c2a00b"/>
      <w:bookmarkEnd w:id="10"/>
      <w:r>
        <w:t>3. Training Requirements: Completion Without Institutional Integration</w:t>
      </w:r>
    </w:p>
    <w:p w14:paraId="12D668E4" w14:textId="77777777" w:rsidR="00832109" w:rsidRDefault="00000000">
      <w:pPr>
        <w:pStyle w:val="FirstParagraph"/>
      </w:pPr>
      <w:r>
        <w:rPr>
          <w:b/>
          <w:bCs/>
        </w:rPr>
        <w:t>The Problem:</w:t>
      </w:r>
      <w:r>
        <w:br/>
        <w:t>The regulations require training on LGBTQI+ rights and HIV care but do not require facilities to demonstrate how training is incorporated into policies, supervisory oversight, or disciplinary systems. This creates a compliance framework where training is measured by completion rates rather than by institutional practice change.</w:t>
      </w:r>
    </w:p>
    <w:p w14:paraId="4682AAF3" w14:textId="77777777" w:rsidR="00832109" w:rsidRDefault="00000000">
      <w:pPr>
        <w:pStyle w:val="BodyText"/>
      </w:pPr>
      <w:r>
        <w:rPr>
          <w:b/>
          <w:bCs/>
        </w:rPr>
        <w:t>Why This Matters:</w:t>
      </w:r>
      <w:r>
        <w:br/>
        <w:t>Training effectiveness depends not only on content delivery but on institutional reinforcement. If staff receive training but observe that discriminatory practices go unaddressed, or if policies do not reflect training principles, the training becomes performative rather than transformative.</w:t>
      </w:r>
    </w:p>
    <w:p w14:paraId="1DE507FE" w14:textId="77777777" w:rsidR="00832109" w:rsidRDefault="00000000">
      <w:pPr>
        <w:pStyle w:val="BodyText"/>
      </w:pPr>
      <w:r>
        <w:rPr>
          <w:b/>
          <w:bCs/>
        </w:rPr>
        <w:t>The Research Evidence:</w:t>
      </w:r>
      <w:r>
        <w:br/>
        <w:t>Studies of workplace training effectiveness consistently demonstrate that behavior change requires not only knowledge transmission but: (1) policy alignment, (2) supervisory modeling and reinforcement, (3) accountability mechanisms, and (4) organizational culture that supports trained behaviors. Training absent these elements produces knowledge gains but limited practice change.</w:t>
      </w:r>
    </w:p>
    <w:p w14:paraId="76705B56" w14:textId="77777777" w:rsidR="00832109" w:rsidRDefault="00000000">
      <w:pPr>
        <w:pStyle w:val="BodyText"/>
      </w:pPr>
      <w:r>
        <w:rPr>
          <w:b/>
          <w:bCs/>
        </w:rPr>
        <w:t>Concrete Example:</w:t>
      </w:r>
      <w:r>
        <w:br/>
        <w:t>A facility provides four hours of LGBTQI+ cultural competency training to all staff. Training completion is documented. Six months later, a transgender resident reports repeated deadnaming by staff, use of incorrect pronouns, and denial of access to clothing consistent with gender identity. Investigation reveals that while staff “completed” training, facility policies contain no guidance on chosen name use, pronoun respect, or gender-affirming care. Supervisors received no training on addressing discriminatory behavior. No disciplinary actions have ever been taken for discrimination against LGBTQI+ residents.</w:t>
      </w:r>
    </w:p>
    <w:p w14:paraId="4F6CD7B2" w14:textId="77777777" w:rsidR="00832109" w:rsidRDefault="00000000">
      <w:pPr>
        <w:pStyle w:val="BodyText"/>
      </w:pPr>
      <w:r>
        <w:rPr>
          <w:b/>
          <w:bCs/>
        </w:rPr>
        <w:t>What Is Missing:</w:t>
      </w:r>
      <w:r>
        <w:br/>
        <w:t>- Requirements for facilities to demonstrate policy integration of training principles - Documentation of how supervisory oversight reinforces trained practices - Evidence that disciplinary systems address violations of trained standards - Linkage between repeat discrimination findings and enhanced training or administrative intervention</w:t>
      </w:r>
    </w:p>
    <w:p w14:paraId="1D9B9F42" w14:textId="77777777" w:rsidR="00832109" w:rsidRDefault="00000000">
      <w:pPr>
        <w:pStyle w:val="Heading3"/>
      </w:pPr>
      <w:bookmarkStart w:id="12" w:name="Xb265ad20fbc3a563f3013652fe0781798d57100"/>
      <w:bookmarkEnd w:id="11"/>
      <w:r>
        <w:t>4. Broad Enforcement Discretion Without Articulated Escalation Standards</w:t>
      </w:r>
    </w:p>
    <w:p w14:paraId="76396769" w14:textId="77777777" w:rsidR="00832109" w:rsidRDefault="00000000">
      <w:pPr>
        <w:pStyle w:val="FirstParagraph"/>
      </w:pPr>
      <w:r>
        <w:rPr>
          <w:b/>
          <w:bCs/>
        </w:rPr>
        <w:t>The Problem:</w:t>
      </w:r>
      <w:r>
        <w:br/>
        <w:t xml:space="preserve">While discretion is lawful and necessary for responsive enforcement, the absence of guiding criteria for escalation risks uneven application and weakens deterrence. The regulations do not articulate when repeated deficiencies </w:t>
      </w:r>
      <w:r>
        <w:rPr>
          <w:i/>
          <w:iCs/>
        </w:rPr>
        <w:t>must</w:t>
      </w:r>
      <w:r>
        <w:t xml:space="preserve"> trigger stronger remedies, how cross-facility patterns should be weighed, or what standards govern progression from citation to conditional license to revocation.</w:t>
      </w:r>
    </w:p>
    <w:p w14:paraId="13412F71" w14:textId="77777777" w:rsidR="00832109" w:rsidRDefault="00000000">
      <w:pPr>
        <w:pStyle w:val="BodyText"/>
      </w:pPr>
      <w:r>
        <w:rPr>
          <w:b/>
          <w:bCs/>
        </w:rPr>
        <w:lastRenderedPageBreak/>
        <w:t>Why This Matters:</w:t>
      </w:r>
      <w:r>
        <w:br/>
        <w:t>Predictable enforcement is more effective than unpredictable enforcement because it shapes behavior before violations occur. When facilities cannot anticipate what conduct will trigger escalated intervention, enforcement becomes reactive rather than preventive, and patterns of marginal compliance emerge where operators calculate that the risk of serious consequences remains low.</w:t>
      </w:r>
    </w:p>
    <w:p w14:paraId="46C5C51D" w14:textId="77777777" w:rsidR="00832109" w:rsidRDefault="00000000">
      <w:pPr>
        <w:pStyle w:val="BodyText"/>
      </w:pPr>
      <w:r>
        <w:rPr>
          <w:b/>
          <w:bCs/>
        </w:rPr>
        <w:t>The Deterrence Gap:</w:t>
      </w:r>
      <w:r>
        <w:br/>
        <w:t>Current enforcement patterns in Massachusetts nursing homes reveal that many facilities operate in a zone of persistent noncompliance—repeatedly cited for the same deficiencies without facing license-threatening consequences. This pattern suggests that discretionary enforcement, absent escalation standards, creates tolerance for chronic substandard care.</w:t>
      </w:r>
    </w:p>
    <w:p w14:paraId="2C27B2D1" w14:textId="77777777" w:rsidR="00832109" w:rsidRDefault="00000000">
      <w:pPr>
        <w:pStyle w:val="BodyText"/>
      </w:pPr>
      <w:r>
        <w:rPr>
          <w:b/>
          <w:bCs/>
        </w:rPr>
        <w:t>Concrete Example:</w:t>
      </w:r>
      <w:r>
        <w:br/>
        <w:t>Facility A has been cited for below-minimum staffing in 8 of the past 12 quarterly surveys. Each citation results in a plan of correction and a follow-up survey. The facility repeatedly achieves compliance for the follow-up survey, then staffing levels decline again. No escalated enforcement occurs because each violation, taken individually, is addressed through the standard enforcement cycle. Meanwhile, residents experience chronic understaffing-related harm: falls, pressure ulcers, missed medications, inadequate hygiene assistance.</w:t>
      </w:r>
    </w:p>
    <w:p w14:paraId="0A03C822" w14:textId="77777777" w:rsidR="00832109" w:rsidRDefault="00000000">
      <w:pPr>
        <w:pStyle w:val="BodyText"/>
      </w:pPr>
      <w:r>
        <w:t>Compare Facility B, which has the same staffing violations but is owned by an operator the Department knows from prior enforcement history. Facility B faces more aggressive enforcement, including a conditional license, because department staff exercise discretion to escalate based on ownership concerns. Both facilities have the same compliance record, but face different consequences.</w:t>
      </w:r>
    </w:p>
    <w:p w14:paraId="4E216969" w14:textId="77777777" w:rsidR="00832109" w:rsidRDefault="00000000">
      <w:pPr>
        <w:pStyle w:val="BodyText"/>
      </w:pPr>
      <w:r>
        <w:rPr>
          <w:b/>
          <w:bCs/>
        </w:rPr>
        <w:t>What Is Missing:</w:t>
      </w:r>
      <w:r>
        <w:br/>
        <w:t>- Articulated, non-exclusive factors triggering mandatory enforcement escalation - Standards for when patterns (repeated violations, cross-facility trends, chronic harm) require administrative action beyond standard citation cycles - Transparent criteria enabling facilities to anticipate consequences and enabling stakeholders to assess whether enforcement is consistent - Integration of suitability review with ongoing enforcement, so that compliance history informs license conditions or ownership approval</w:t>
      </w:r>
    </w:p>
    <w:p w14:paraId="72D5CFA9" w14:textId="77777777" w:rsidR="00832109" w:rsidRDefault="00000000">
      <w:pPr>
        <w:pStyle w:val="Heading2"/>
      </w:pPr>
      <w:bookmarkStart w:id="13" w:name="iv.-the-governance-architecture-question"/>
      <w:bookmarkEnd w:id="8"/>
      <w:bookmarkEnd w:id="12"/>
      <w:r>
        <w:t>IV. The Governance Architecture Question</w:t>
      </w:r>
    </w:p>
    <w:p w14:paraId="0F8C8387" w14:textId="77777777" w:rsidR="00832109" w:rsidRDefault="00000000">
      <w:pPr>
        <w:pStyle w:val="FirstParagraph"/>
      </w:pPr>
      <w:r>
        <w:t xml:space="preserve">The core limitation of the proposed regulations is that they remain firmly within a </w:t>
      </w:r>
      <w:r>
        <w:rPr>
          <w:b/>
          <w:bCs/>
        </w:rPr>
        <w:t>compliance-enforcement paradigm</w:t>
      </w:r>
      <w:r>
        <w:t xml:space="preserve"> rather than advancing toward a </w:t>
      </w:r>
      <w:r>
        <w:rPr>
          <w:b/>
          <w:bCs/>
        </w:rPr>
        <w:t>governance-accountability paradigm</w:t>
      </w:r>
      <w:r>
        <w:t>. Understanding this distinction is essential to assessing whether the regulations fulfill Chapter 197’s remedial purpose.</w:t>
      </w:r>
    </w:p>
    <w:p w14:paraId="1C9E928F" w14:textId="77777777" w:rsidR="00832109" w:rsidRDefault="00000000">
      <w:pPr>
        <w:pStyle w:val="Heading3"/>
      </w:pPr>
      <w:bookmarkStart w:id="14" w:name="compliance-enforcement-paradigm"/>
      <w:r>
        <w:t>Compliance-Enforcement Paradigm:</w:t>
      </w:r>
    </w:p>
    <w:p w14:paraId="0A693A7D" w14:textId="77777777" w:rsidR="00832109" w:rsidRDefault="00000000">
      <w:pPr>
        <w:pStyle w:val="Compact"/>
        <w:numPr>
          <w:ilvl w:val="0"/>
          <w:numId w:val="2"/>
        </w:numPr>
      </w:pPr>
      <w:r>
        <w:t>Regulations establish minimum standards</w:t>
      </w:r>
    </w:p>
    <w:p w14:paraId="01F58C47" w14:textId="77777777" w:rsidR="00832109" w:rsidRDefault="00000000">
      <w:pPr>
        <w:pStyle w:val="Compact"/>
        <w:numPr>
          <w:ilvl w:val="0"/>
          <w:numId w:val="2"/>
        </w:numPr>
      </w:pPr>
      <w:r>
        <w:t>Facilities are expected to comply</w:t>
      </w:r>
    </w:p>
    <w:p w14:paraId="4413427B" w14:textId="77777777" w:rsidR="00832109" w:rsidRDefault="00000000">
      <w:pPr>
        <w:pStyle w:val="Compact"/>
        <w:numPr>
          <w:ilvl w:val="0"/>
          <w:numId w:val="2"/>
        </w:numPr>
      </w:pPr>
      <w:r>
        <w:t>Department identifies violations through inspection</w:t>
      </w:r>
    </w:p>
    <w:p w14:paraId="31EA357D" w14:textId="77777777" w:rsidR="00832109" w:rsidRDefault="00000000">
      <w:pPr>
        <w:pStyle w:val="Compact"/>
        <w:numPr>
          <w:ilvl w:val="0"/>
          <w:numId w:val="2"/>
        </w:numPr>
      </w:pPr>
      <w:r>
        <w:lastRenderedPageBreak/>
        <w:t>Enforcement escalates when violations persist</w:t>
      </w:r>
    </w:p>
    <w:p w14:paraId="0112CDDD" w14:textId="77777777" w:rsidR="00832109" w:rsidRDefault="00000000">
      <w:pPr>
        <w:pStyle w:val="Compact"/>
        <w:numPr>
          <w:ilvl w:val="0"/>
          <w:numId w:val="2"/>
        </w:numPr>
      </w:pPr>
      <w:r>
        <w:t>Focus is on correcting identified deficiencies</w:t>
      </w:r>
    </w:p>
    <w:p w14:paraId="49703568" w14:textId="77777777" w:rsidR="00832109" w:rsidRDefault="00000000">
      <w:pPr>
        <w:pStyle w:val="Heading3"/>
      </w:pPr>
      <w:bookmarkStart w:id="15" w:name="governance-accountability-paradigm"/>
      <w:bookmarkEnd w:id="14"/>
      <w:r>
        <w:t>Governance-Accountability Paradigm:</w:t>
      </w:r>
    </w:p>
    <w:p w14:paraId="70BDB15E" w14:textId="77777777" w:rsidR="00832109" w:rsidRDefault="00000000">
      <w:pPr>
        <w:pStyle w:val="Compact"/>
        <w:numPr>
          <w:ilvl w:val="0"/>
          <w:numId w:val="3"/>
        </w:numPr>
      </w:pPr>
      <w:r>
        <w:t>Regulations establish both operational standards and governance expectations</w:t>
      </w:r>
    </w:p>
    <w:p w14:paraId="384A5F9B" w14:textId="77777777" w:rsidR="00832109" w:rsidRDefault="00000000">
      <w:pPr>
        <w:pStyle w:val="Compact"/>
        <w:numPr>
          <w:ilvl w:val="0"/>
          <w:numId w:val="3"/>
        </w:numPr>
      </w:pPr>
      <w:r>
        <w:t>Owners and operators must demonstrate governance capacity to sustain compliance</w:t>
      </w:r>
    </w:p>
    <w:p w14:paraId="18428BE9" w14:textId="77777777" w:rsidR="00832109" w:rsidRDefault="00000000">
      <w:pPr>
        <w:pStyle w:val="Compact"/>
        <w:numPr>
          <w:ilvl w:val="0"/>
          <w:numId w:val="3"/>
        </w:numPr>
      </w:pPr>
      <w:r>
        <w:t>Department evaluates not only whether facilities comply but whether ownership structures enable or impede compliance</w:t>
      </w:r>
    </w:p>
    <w:p w14:paraId="4BFE31E0" w14:textId="77777777" w:rsidR="00832109" w:rsidRDefault="00000000">
      <w:pPr>
        <w:pStyle w:val="Compact"/>
        <w:numPr>
          <w:ilvl w:val="0"/>
          <w:numId w:val="3"/>
        </w:numPr>
      </w:pPr>
      <w:r>
        <w:t>Enforcement includes governance-level intervention when business models or ownership structures predict persistent noncompliance</w:t>
      </w:r>
    </w:p>
    <w:p w14:paraId="71CC3C1C" w14:textId="77777777" w:rsidR="00832109" w:rsidRDefault="00000000">
      <w:pPr>
        <w:pStyle w:val="Compact"/>
        <w:numPr>
          <w:ilvl w:val="0"/>
          <w:numId w:val="3"/>
        </w:numPr>
      </w:pPr>
      <w:r>
        <w:t>Focus is on preventing conditions that generate deficiencies</w:t>
      </w:r>
    </w:p>
    <w:p w14:paraId="432AE0ED" w14:textId="77777777" w:rsidR="00832109" w:rsidRDefault="00000000">
      <w:pPr>
        <w:pStyle w:val="FirstParagraph"/>
      </w:pPr>
      <w:r>
        <w:rPr>
          <w:b/>
          <w:bCs/>
        </w:rPr>
        <w:t>Why This Matters:</w:t>
      </w:r>
      <w:r>
        <w:br/>
        <w:t>Massachusetts nursing home oversight has operated under a compliance-enforcement paradigm for decades. During that time, certain patterns have persisted: chronic understaffing, repeated immediate jeopardy findings at the same facilities, ownership structures that extract resources while delivering substandard care. These patterns suggest that the compliance-enforcement paradigm, even when vigorously applied, is insufficient to prevent systemic harm.</w:t>
      </w:r>
    </w:p>
    <w:p w14:paraId="5F03CD5F" w14:textId="77777777" w:rsidR="00832109" w:rsidRDefault="00000000">
      <w:pPr>
        <w:pStyle w:val="BodyText"/>
      </w:pPr>
      <w:r>
        <w:rPr>
          <w:b/>
          <w:bCs/>
        </w:rPr>
        <w:t>Chapter 197’s Legislative Context:</w:t>
      </w:r>
      <w:r>
        <w:br/>
        <w:t>The Legislature passed Chapter 197 in response to documented oversight failures, particularly during the COVID-19 pandemic. The legislative record reflects concern not merely with isolated operational failures but with structural problems—business models that treat minimum staffing as maximum staffing, ownership structures that prioritize financial extraction, management arrangements that obscure accountability.</w:t>
      </w:r>
    </w:p>
    <w:p w14:paraId="2FEA9738" w14:textId="77777777" w:rsidR="00832109" w:rsidRDefault="00000000">
      <w:pPr>
        <w:pStyle w:val="BodyText"/>
      </w:pPr>
      <w:r>
        <w:rPr>
          <w:b/>
          <w:bCs/>
        </w:rPr>
        <w:t>The Regulatory Implementation Gap:</w:t>
      </w:r>
      <w:r>
        <w:br/>
        <w:t xml:space="preserve">The proposed regulations expand the </w:t>
      </w:r>
      <w:r>
        <w:rPr>
          <w:i/>
          <w:iCs/>
        </w:rPr>
        <w:t>tools</w:t>
      </w:r>
      <w:r>
        <w:t xml:space="preserve"> available within the compliance-enforcement paradigm—broader suitability review, mandatory training, annual inspections. But they do not fundamentally alter the paradigm itself. They do not create enforceable governance standards that require owners to demonstrate capacity to sustain compliance, that limit financial extraction when care quality deteriorates, or that establish objective triggers for governance-level intervention.</w:t>
      </w:r>
    </w:p>
    <w:p w14:paraId="55B813C9" w14:textId="77777777" w:rsidR="00832109" w:rsidRDefault="00000000">
      <w:pPr>
        <w:pStyle w:val="Heading2"/>
      </w:pPr>
      <w:bookmarkStart w:id="16" w:name="v.-conclusion-and-record-preservation"/>
      <w:bookmarkEnd w:id="13"/>
      <w:bookmarkEnd w:id="15"/>
      <w:r>
        <w:t>V. Conclusion and Record Preservation</w:t>
      </w:r>
    </w:p>
    <w:p w14:paraId="11DBFB10" w14:textId="77777777" w:rsidR="00832109" w:rsidRDefault="00000000">
      <w:pPr>
        <w:pStyle w:val="FirstParagraph"/>
      </w:pPr>
      <w:r>
        <w:t xml:space="preserve">The proposed amendments to 105 CMR 150.000 are </w:t>
      </w:r>
      <w:r>
        <w:rPr>
          <w:b/>
          <w:bCs/>
        </w:rPr>
        <w:t>legally sound, statutorily authorized, and in many instances required by Chapter 197 of the Acts of 2024</w:t>
      </w:r>
      <w:r>
        <w:t>. At the same time, they reflect a cautious regulatory approach that prioritizes oversight discretion over enforceable structural constraints.</w:t>
      </w:r>
    </w:p>
    <w:p w14:paraId="3F3B3DA6" w14:textId="77777777" w:rsidR="00832109" w:rsidRDefault="00000000">
      <w:pPr>
        <w:pStyle w:val="BodyText"/>
      </w:pPr>
      <w:r>
        <w:rPr>
          <w:b/>
          <w:bCs/>
        </w:rPr>
        <w:t>I urge the Department to consider whether additional clarity, objective standards, and governance-level safeguards are necessary to fully realize the Legislature’s remedial goals.</w:t>
      </w:r>
    </w:p>
    <w:p w14:paraId="5EB8E2EB" w14:textId="77777777" w:rsidR="00832109" w:rsidRDefault="00000000">
      <w:pPr>
        <w:pStyle w:val="Heading3"/>
      </w:pPr>
      <w:bookmarkStart w:id="17" w:name="Xc4013e6c40a322c0716043fbc6703f9d413a3e9"/>
      <w:r>
        <w:lastRenderedPageBreak/>
        <w:t>This Testimony Preserves the Administrative Record That:</w:t>
      </w:r>
    </w:p>
    <w:p w14:paraId="75E63480" w14:textId="77777777" w:rsidR="00832109" w:rsidRDefault="00000000">
      <w:pPr>
        <w:numPr>
          <w:ilvl w:val="0"/>
          <w:numId w:val="4"/>
        </w:numPr>
      </w:pPr>
      <w:r>
        <w:rPr>
          <w:b/>
          <w:bCs/>
        </w:rPr>
        <w:t>Statutory compliance does not ensure remedial adequacy.</w:t>
      </w:r>
      <w:r>
        <w:t xml:space="preserve"> The regulations implement Chapter 197’s specific directives but may not fully address the systemic problems that prompted legislative action.</w:t>
      </w:r>
    </w:p>
    <w:p w14:paraId="1B78F841" w14:textId="77777777" w:rsidR="00832109" w:rsidRDefault="00000000">
      <w:pPr>
        <w:numPr>
          <w:ilvl w:val="0"/>
          <w:numId w:val="4"/>
        </w:numPr>
      </w:pPr>
      <w:r>
        <w:rPr>
          <w:b/>
          <w:bCs/>
        </w:rPr>
        <w:t>Discretionary oversight is insufficient without governance standards.</w:t>
      </w:r>
      <w:r>
        <w:t xml:space="preserve"> Expanded review authority becomes meaningful only when operationalized through objective criteria that guide its exercise.</w:t>
      </w:r>
    </w:p>
    <w:p w14:paraId="0AD8A2B8" w14:textId="77777777" w:rsidR="00832109" w:rsidRDefault="00000000">
      <w:pPr>
        <w:numPr>
          <w:ilvl w:val="0"/>
          <w:numId w:val="4"/>
        </w:numPr>
      </w:pPr>
      <w:r>
        <w:rPr>
          <w:b/>
          <w:bCs/>
        </w:rPr>
        <w:t>Procedural requirements without outcome evaluation risk performative compliance.</w:t>
      </w:r>
      <w:r>
        <w:t xml:space="preserve"> Requiring plans, training, and reporting does not ensure that these measures produce resident safety improvements.</w:t>
      </w:r>
    </w:p>
    <w:p w14:paraId="33E71CCD" w14:textId="77777777" w:rsidR="00832109" w:rsidRDefault="00000000">
      <w:pPr>
        <w:numPr>
          <w:ilvl w:val="0"/>
          <w:numId w:val="4"/>
        </w:numPr>
      </w:pPr>
      <w:r>
        <w:rPr>
          <w:b/>
          <w:bCs/>
        </w:rPr>
        <w:t>Enforcement effectiveness depends on predictability and escalation standards.</w:t>
      </w:r>
      <w:r>
        <w:t xml:space="preserve"> Without articulated criteria for when patterns require enhanced intervention, enforcement becomes reactive and uneven.</w:t>
      </w:r>
    </w:p>
    <w:p w14:paraId="4448A18A" w14:textId="77777777" w:rsidR="00832109" w:rsidRDefault="00000000">
      <w:pPr>
        <w:pStyle w:val="FirstParagraph"/>
      </w:pPr>
      <w:r>
        <w:t xml:space="preserve">Nothing in this testimony should be construed as conceding that implementation of these regulations, even in full statutory compliance, will adequately address the governance failures documented in the legislative record. </w:t>
      </w:r>
      <w:r>
        <w:rPr>
          <w:b/>
          <w:bCs/>
        </w:rPr>
        <w:t>Continued legislative or regulatory action may be necessary should implementation fail to produce durable improvement in care quality and resident safety.</w:t>
      </w:r>
    </w:p>
    <w:p w14:paraId="316A0666" w14:textId="77777777" w:rsidR="00832109" w:rsidRDefault="001979C4">
      <w:r>
        <w:rPr>
          <w:noProof/>
        </w:rPr>
        <w:pict w14:anchorId="29CF6A17">
          <v:rect id="_x0000_i1026" alt="" style="width:468pt;height:.05pt;mso-width-percent:0;mso-height-percent:0;mso-width-percent:0;mso-height-percent:0" o:hralign="center" o:hrstd="t" o:hr="t"/>
        </w:pict>
      </w:r>
    </w:p>
    <w:p w14:paraId="4B8433AC" w14:textId="77777777" w:rsidR="00832109" w:rsidRDefault="00000000">
      <w:pPr>
        <w:pStyle w:val="Heading2"/>
      </w:pPr>
      <w:bookmarkStart w:id="18" w:name="Xb8ce4e51f9fc1d76a4703ebad35f6495104a912"/>
      <w:bookmarkEnd w:id="16"/>
      <w:bookmarkEnd w:id="17"/>
      <w:r>
        <w:t>APPENDIX A: Targeted Recommendations for Regulatory Clarification (Non-Exhaustive)</w:t>
      </w:r>
    </w:p>
    <w:p w14:paraId="29BF254D" w14:textId="77777777" w:rsidR="00832109" w:rsidRDefault="00000000">
      <w:pPr>
        <w:pStyle w:val="Heading3"/>
      </w:pPr>
      <w:bookmarkStart w:id="19" w:name="X4a9e2e5f2321772cf27fe1185041498c6a41535"/>
      <w:r>
        <w:t>1. Suitability Review – Management Companies and Owners</w:t>
      </w:r>
    </w:p>
    <w:p w14:paraId="2506D051" w14:textId="77777777" w:rsidR="00832109" w:rsidRDefault="00000000">
      <w:pPr>
        <w:pStyle w:val="FirstParagraph"/>
      </w:pPr>
      <w:r>
        <w:rPr>
          <w:b/>
          <w:bCs/>
        </w:rPr>
        <w:t>Current Gap:</w:t>
      </w:r>
      <w:r>
        <w:t xml:space="preserve"> Regulations authorize review of enforcement history, financial capacity, and quality outcomes but do not specify what findings or patterns should weigh against approval.</w:t>
      </w:r>
    </w:p>
    <w:p w14:paraId="117288FF" w14:textId="77777777" w:rsidR="00832109" w:rsidRDefault="00000000">
      <w:pPr>
        <w:pStyle w:val="BodyText"/>
      </w:pPr>
      <w:r>
        <w:rPr>
          <w:b/>
          <w:bCs/>
        </w:rPr>
        <w:t>Recommended Clarification:</w:t>
      </w:r>
    </w:p>
    <w:p w14:paraId="71FE62BE" w14:textId="77777777" w:rsidR="00832109" w:rsidRDefault="00000000">
      <w:pPr>
        <w:pStyle w:val="BodyText"/>
      </w:pPr>
      <w:r>
        <w:t>Require written findings addressing:</w:t>
      </w:r>
    </w:p>
    <w:p w14:paraId="471F177F" w14:textId="77777777" w:rsidR="00832109" w:rsidRDefault="00000000">
      <w:pPr>
        <w:pStyle w:val="Compact"/>
        <w:numPr>
          <w:ilvl w:val="0"/>
          <w:numId w:val="5"/>
        </w:numPr>
      </w:pPr>
      <w:r>
        <w:rPr>
          <w:b/>
          <w:bCs/>
        </w:rPr>
        <w:t>Cross-Facility Enforcement Patterns:</w:t>
      </w:r>
    </w:p>
    <w:p w14:paraId="0ED54260" w14:textId="77777777" w:rsidR="00832109" w:rsidRDefault="00000000">
      <w:pPr>
        <w:pStyle w:val="Compact"/>
        <w:numPr>
          <w:ilvl w:val="1"/>
          <w:numId w:val="6"/>
        </w:numPr>
      </w:pPr>
      <w:r>
        <w:t>Number and severity of deficiencies across all affiliated facilities</w:t>
      </w:r>
    </w:p>
    <w:p w14:paraId="26600B2F" w14:textId="77777777" w:rsidR="00832109" w:rsidRDefault="00000000">
      <w:pPr>
        <w:pStyle w:val="Compact"/>
        <w:numPr>
          <w:ilvl w:val="1"/>
          <w:numId w:val="6"/>
        </w:numPr>
      </w:pPr>
      <w:r>
        <w:t>Percentage of affiliated facilities with repeat violations in critical care areas (staffing, infection control, falls prevention, nutrition)</w:t>
      </w:r>
    </w:p>
    <w:p w14:paraId="4D99C74A" w14:textId="77777777" w:rsidR="00832109" w:rsidRDefault="00000000">
      <w:pPr>
        <w:pStyle w:val="Compact"/>
        <w:numPr>
          <w:ilvl w:val="1"/>
          <w:numId w:val="6"/>
        </w:numPr>
      </w:pPr>
      <w:r>
        <w:t>Percentage of affiliated facilities with immediate jeopardy findings within preceding 36 months</w:t>
      </w:r>
    </w:p>
    <w:p w14:paraId="1F7F4B16" w14:textId="77777777" w:rsidR="00832109" w:rsidRDefault="00000000">
      <w:pPr>
        <w:pStyle w:val="Compact"/>
        <w:numPr>
          <w:ilvl w:val="0"/>
          <w:numId w:val="5"/>
        </w:numPr>
      </w:pPr>
      <w:r>
        <w:rPr>
          <w:b/>
          <w:bCs/>
        </w:rPr>
        <w:t>Chronic Understaffing:</w:t>
      </w:r>
    </w:p>
    <w:p w14:paraId="71703F5D" w14:textId="77777777" w:rsidR="00832109" w:rsidRDefault="00000000">
      <w:pPr>
        <w:pStyle w:val="Compact"/>
        <w:numPr>
          <w:ilvl w:val="1"/>
          <w:numId w:val="7"/>
        </w:numPr>
      </w:pPr>
      <w:r>
        <w:t>Whether applicant operates facilities where staffing has fallen below minimum requirements in more than 25% of surveys over preceding 24 months</w:t>
      </w:r>
    </w:p>
    <w:p w14:paraId="7A3BD1B6" w14:textId="77777777" w:rsidR="00832109" w:rsidRDefault="00000000">
      <w:pPr>
        <w:pStyle w:val="Compact"/>
        <w:numPr>
          <w:ilvl w:val="1"/>
          <w:numId w:val="7"/>
        </w:numPr>
      </w:pPr>
      <w:r>
        <w:lastRenderedPageBreak/>
        <w:t>Whether understaffing correlates with resident harm (falls, pressure ulcers, medication errors, weight loss)</w:t>
      </w:r>
    </w:p>
    <w:p w14:paraId="63E927C7" w14:textId="77777777" w:rsidR="00832109" w:rsidRDefault="00000000">
      <w:pPr>
        <w:pStyle w:val="Compact"/>
        <w:numPr>
          <w:ilvl w:val="1"/>
          <w:numId w:val="7"/>
        </w:numPr>
      </w:pPr>
      <w:r>
        <w:t>Whether staffing levels at affiliated facilities hover persistently at regulatory minimums</w:t>
      </w:r>
    </w:p>
    <w:p w14:paraId="02A7F675" w14:textId="77777777" w:rsidR="00832109" w:rsidRDefault="00000000">
      <w:pPr>
        <w:pStyle w:val="Compact"/>
        <w:numPr>
          <w:ilvl w:val="0"/>
          <w:numId w:val="5"/>
        </w:numPr>
      </w:pPr>
      <w:r>
        <w:rPr>
          <w:b/>
          <w:bCs/>
        </w:rPr>
        <w:t>Financial Extraction Indicators:</w:t>
      </w:r>
    </w:p>
    <w:p w14:paraId="00A68EF8" w14:textId="77777777" w:rsidR="00832109" w:rsidRDefault="00000000">
      <w:pPr>
        <w:pStyle w:val="Compact"/>
        <w:numPr>
          <w:ilvl w:val="1"/>
          <w:numId w:val="8"/>
        </w:numPr>
      </w:pPr>
      <w:r>
        <w:t>Related-party transactions as percentage of operating revenue</w:t>
      </w:r>
    </w:p>
    <w:p w14:paraId="10C776DF" w14:textId="77777777" w:rsidR="00832109" w:rsidRDefault="00000000">
      <w:pPr>
        <w:pStyle w:val="Compact"/>
        <w:numPr>
          <w:ilvl w:val="1"/>
          <w:numId w:val="8"/>
        </w:numPr>
      </w:pPr>
      <w:r>
        <w:t>Management fees, lease payments, and debt service to affiliates compared to industry benchmarks</w:t>
      </w:r>
    </w:p>
    <w:p w14:paraId="4F280B04" w14:textId="77777777" w:rsidR="00832109" w:rsidRDefault="00000000">
      <w:pPr>
        <w:pStyle w:val="Compact"/>
        <w:numPr>
          <w:ilvl w:val="1"/>
          <w:numId w:val="8"/>
        </w:numPr>
      </w:pPr>
      <w:r>
        <w:t>Whether facilities operated by applicant have closed or bankrupted while leaving resident care obligations unmet</w:t>
      </w:r>
    </w:p>
    <w:p w14:paraId="4E3B8681" w14:textId="77777777" w:rsidR="00832109" w:rsidRDefault="00000000">
      <w:pPr>
        <w:pStyle w:val="Compact"/>
        <w:numPr>
          <w:ilvl w:val="0"/>
          <w:numId w:val="5"/>
        </w:numPr>
      </w:pPr>
      <w:r>
        <w:rPr>
          <w:b/>
          <w:bCs/>
        </w:rPr>
        <w:t>Governance and Accountability:</w:t>
      </w:r>
    </w:p>
    <w:p w14:paraId="5CA3DE0D" w14:textId="77777777" w:rsidR="00832109" w:rsidRDefault="00000000">
      <w:pPr>
        <w:pStyle w:val="Compact"/>
        <w:numPr>
          <w:ilvl w:val="1"/>
          <w:numId w:val="9"/>
        </w:numPr>
      </w:pPr>
      <w:r>
        <w:t>Whether ownership structure obscures ultimate control or accountability</w:t>
      </w:r>
    </w:p>
    <w:p w14:paraId="158A74BD" w14:textId="77777777" w:rsidR="00832109" w:rsidRDefault="00000000">
      <w:pPr>
        <w:pStyle w:val="Compact"/>
        <w:numPr>
          <w:ilvl w:val="1"/>
          <w:numId w:val="9"/>
        </w:numPr>
      </w:pPr>
      <w:r>
        <w:t>Whether applicant has demonstrated capacity to implement and sustain compliance improvements</w:t>
      </w:r>
    </w:p>
    <w:p w14:paraId="7BAD2C3B" w14:textId="77777777" w:rsidR="00832109" w:rsidRDefault="00000000">
      <w:pPr>
        <w:pStyle w:val="Compact"/>
        <w:numPr>
          <w:ilvl w:val="1"/>
          <w:numId w:val="9"/>
        </w:numPr>
      </w:pPr>
      <w:r>
        <w:t>Whether prior enforcement has resulted in durable compliance or cyclical violation-correction patterns</w:t>
      </w:r>
    </w:p>
    <w:p w14:paraId="3D86CEC4" w14:textId="77777777" w:rsidR="00832109" w:rsidRDefault="00000000">
      <w:pPr>
        <w:pStyle w:val="FirstParagraph"/>
      </w:pPr>
      <w:r>
        <w:rPr>
          <w:b/>
          <w:bCs/>
        </w:rPr>
        <w:t>Implementation Standard:</w:t>
      </w:r>
      <w:r>
        <w:br/>
        <w:t>Where findings in two or more categories indicate elevated risk, create a rebuttable presumption of unsuitability, requiring applicant to demonstrate specific governance reforms, enhanced oversight mechanisms, or financial commitments sufficient to ensure sustained compliance.</w:t>
      </w:r>
    </w:p>
    <w:p w14:paraId="77B70E4A" w14:textId="77777777" w:rsidR="00832109" w:rsidRDefault="00000000">
      <w:pPr>
        <w:pStyle w:val="Heading3"/>
      </w:pPr>
      <w:bookmarkStart w:id="20" w:name="outbreak-response-plans"/>
      <w:bookmarkEnd w:id="19"/>
      <w:r>
        <w:t>2. Outbreak Response Plans</w:t>
      </w:r>
    </w:p>
    <w:p w14:paraId="44AC2BF6" w14:textId="77777777" w:rsidR="00832109" w:rsidRDefault="00000000">
      <w:pPr>
        <w:pStyle w:val="FirstParagraph"/>
      </w:pPr>
      <w:r>
        <w:rPr>
          <w:b/>
          <w:bCs/>
        </w:rPr>
        <w:t>Current Gap:</w:t>
      </w:r>
      <w:r>
        <w:t xml:space="preserve"> Regulations require plan submission and periodic updates but do not evaluate plan adequacy or require post-incident assessment.</w:t>
      </w:r>
    </w:p>
    <w:p w14:paraId="1C1F589B" w14:textId="77777777" w:rsidR="00832109" w:rsidRDefault="00000000">
      <w:pPr>
        <w:pStyle w:val="BodyText"/>
      </w:pPr>
      <w:r>
        <w:rPr>
          <w:b/>
          <w:bCs/>
        </w:rPr>
        <w:t>Recommended Clarification:</w:t>
      </w:r>
    </w:p>
    <w:p w14:paraId="7996FCC9" w14:textId="77777777" w:rsidR="00832109" w:rsidRDefault="00000000">
      <w:pPr>
        <w:pStyle w:val="Compact"/>
        <w:numPr>
          <w:ilvl w:val="0"/>
          <w:numId w:val="10"/>
        </w:numPr>
      </w:pPr>
      <w:r>
        <w:rPr>
          <w:b/>
          <w:bCs/>
        </w:rPr>
        <w:t>Initial Plan Review Standards:</w:t>
      </w:r>
    </w:p>
    <w:p w14:paraId="306C99FD" w14:textId="77777777" w:rsidR="00832109" w:rsidRDefault="00000000">
      <w:pPr>
        <w:pStyle w:val="Compact"/>
        <w:numPr>
          <w:ilvl w:val="1"/>
          <w:numId w:val="11"/>
        </w:numPr>
      </w:pPr>
      <w:r>
        <w:t>Require Department to assess whether plan assumptions regarding staffing, supplies, and physical plant are realistic given facility’s documented compliance history</w:t>
      </w:r>
    </w:p>
    <w:p w14:paraId="515C5933" w14:textId="77777777" w:rsidR="00832109" w:rsidRDefault="00000000">
      <w:pPr>
        <w:pStyle w:val="Compact"/>
        <w:numPr>
          <w:ilvl w:val="1"/>
          <w:numId w:val="11"/>
        </w:numPr>
      </w:pPr>
      <w:r>
        <w:t>Reject plans that assume resources or capacities the facility has not demonstrated</w:t>
      </w:r>
    </w:p>
    <w:p w14:paraId="5ED6CEA5" w14:textId="77777777" w:rsidR="00832109" w:rsidRDefault="00000000">
      <w:pPr>
        <w:pStyle w:val="Compact"/>
        <w:numPr>
          <w:ilvl w:val="1"/>
          <w:numId w:val="11"/>
        </w:numPr>
      </w:pPr>
      <w:r>
        <w:t>Require contingency planning for scenarios where assumed resources are unavailable</w:t>
      </w:r>
    </w:p>
    <w:p w14:paraId="71C276F7" w14:textId="77777777" w:rsidR="00832109" w:rsidRDefault="00000000">
      <w:pPr>
        <w:pStyle w:val="Compact"/>
        <w:numPr>
          <w:ilvl w:val="0"/>
          <w:numId w:val="10"/>
        </w:numPr>
      </w:pPr>
      <w:r>
        <w:rPr>
          <w:b/>
          <w:bCs/>
        </w:rPr>
        <w:t>Post-Outbreak Assessment:</w:t>
      </w:r>
    </w:p>
    <w:p w14:paraId="4C5AD891" w14:textId="77777777" w:rsidR="00832109" w:rsidRDefault="00000000">
      <w:pPr>
        <w:pStyle w:val="Compact"/>
        <w:numPr>
          <w:ilvl w:val="1"/>
          <w:numId w:val="12"/>
        </w:numPr>
      </w:pPr>
      <w:r>
        <w:t>Require Department to conduct assessment within 90 days of any outbreak resulting in [define threshold: multiple deaths, facility-wide transmission, etc.]</w:t>
      </w:r>
    </w:p>
    <w:p w14:paraId="54330FA9" w14:textId="77777777" w:rsidR="00832109" w:rsidRDefault="00000000">
      <w:pPr>
        <w:pStyle w:val="Compact"/>
        <w:numPr>
          <w:ilvl w:val="1"/>
          <w:numId w:val="12"/>
        </w:numPr>
      </w:pPr>
      <w:r>
        <w:t>Assessment must compare plan assumptions to actual outbreak experience</w:t>
      </w:r>
    </w:p>
    <w:p w14:paraId="45ECB031" w14:textId="77777777" w:rsidR="00832109" w:rsidRDefault="00000000">
      <w:pPr>
        <w:pStyle w:val="Compact"/>
        <w:numPr>
          <w:ilvl w:val="1"/>
          <w:numId w:val="12"/>
        </w:numPr>
      </w:pPr>
      <w:r>
        <w:t>Assessment must identify plan deficiencies and required revisions</w:t>
      </w:r>
    </w:p>
    <w:p w14:paraId="243033ED" w14:textId="77777777" w:rsidR="00832109" w:rsidRDefault="00000000">
      <w:pPr>
        <w:pStyle w:val="Compact"/>
        <w:numPr>
          <w:ilvl w:val="0"/>
          <w:numId w:val="10"/>
        </w:numPr>
      </w:pPr>
      <w:r>
        <w:rPr>
          <w:b/>
          <w:bCs/>
        </w:rPr>
        <w:t>Mandatory Plan Revision:</w:t>
      </w:r>
    </w:p>
    <w:p w14:paraId="6844C2B1" w14:textId="77777777" w:rsidR="00832109" w:rsidRDefault="00000000">
      <w:pPr>
        <w:pStyle w:val="Compact"/>
        <w:numPr>
          <w:ilvl w:val="1"/>
          <w:numId w:val="13"/>
        </w:numPr>
      </w:pPr>
      <w:r>
        <w:lastRenderedPageBreak/>
        <w:t>Require plan revision when post-outbreak assessment identifies failure of mitigation measures</w:t>
      </w:r>
    </w:p>
    <w:p w14:paraId="30EDF7F6" w14:textId="77777777" w:rsidR="00832109" w:rsidRDefault="00000000">
      <w:pPr>
        <w:pStyle w:val="Compact"/>
        <w:numPr>
          <w:ilvl w:val="1"/>
          <w:numId w:val="13"/>
        </w:numPr>
      </w:pPr>
      <w:r>
        <w:t>Require plan revision when facility circumstances change materially (staffing levels, physical plant, resident acuity)</w:t>
      </w:r>
    </w:p>
    <w:p w14:paraId="344E7548" w14:textId="77777777" w:rsidR="00832109" w:rsidRDefault="00000000">
      <w:pPr>
        <w:pStyle w:val="Compact"/>
        <w:numPr>
          <w:ilvl w:val="1"/>
          <w:numId w:val="13"/>
        </w:numPr>
      </w:pPr>
      <w:r>
        <w:t>Prohibit approval of identical or substantially similar plans following outbreak failure</w:t>
      </w:r>
    </w:p>
    <w:p w14:paraId="40F607A0" w14:textId="77777777" w:rsidR="00832109" w:rsidRDefault="00000000">
      <w:pPr>
        <w:pStyle w:val="Compact"/>
        <w:numPr>
          <w:ilvl w:val="0"/>
          <w:numId w:val="10"/>
        </w:numPr>
      </w:pPr>
      <w:r>
        <w:rPr>
          <w:b/>
          <w:bCs/>
        </w:rPr>
        <w:t>Integration with Ongoing Compliance:</w:t>
      </w:r>
    </w:p>
    <w:p w14:paraId="398F4F01" w14:textId="77777777" w:rsidR="00832109" w:rsidRDefault="00000000">
      <w:pPr>
        <w:pStyle w:val="Compact"/>
        <w:numPr>
          <w:ilvl w:val="1"/>
          <w:numId w:val="14"/>
        </w:numPr>
      </w:pPr>
      <w:r>
        <w:t>Link outbreak response plan viability to ongoing compliance in areas that determine plan effectiveness (staffing, infection control, maintenance, supply management)</w:t>
      </w:r>
    </w:p>
    <w:p w14:paraId="49D6B6F3" w14:textId="77777777" w:rsidR="00832109" w:rsidRDefault="00000000">
      <w:pPr>
        <w:pStyle w:val="Compact"/>
        <w:numPr>
          <w:ilvl w:val="1"/>
          <w:numId w:val="14"/>
        </w:numPr>
      </w:pPr>
      <w:r>
        <w:t>Flag plans as presumptively inadequate when facility operates below minimum staffing or has repeated infection control deficiencies</w:t>
      </w:r>
    </w:p>
    <w:p w14:paraId="4D355D18" w14:textId="77777777" w:rsidR="00832109" w:rsidRDefault="00000000">
      <w:pPr>
        <w:pStyle w:val="Heading3"/>
      </w:pPr>
      <w:bookmarkStart w:id="21" w:name="training-requirements"/>
      <w:bookmarkEnd w:id="20"/>
      <w:r>
        <w:t>3. Training Requirements</w:t>
      </w:r>
    </w:p>
    <w:p w14:paraId="1341533D" w14:textId="77777777" w:rsidR="00832109" w:rsidRDefault="00000000">
      <w:pPr>
        <w:pStyle w:val="FirstParagraph"/>
      </w:pPr>
      <w:r>
        <w:rPr>
          <w:b/>
          <w:bCs/>
        </w:rPr>
        <w:t>Current Gap:</w:t>
      </w:r>
      <w:r>
        <w:t xml:space="preserve"> Regulations require training on LGBTQI+ rights and HIV care but do not require demonstration of institutional integration.</w:t>
      </w:r>
    </w:p>
    <w:p w14:paraId="4C2305C1" w14:textId="77777777" w:rsidR="00832109" w:rsidRDefault="00000000">
      <w:pPr>
        <w:pStyle w:val="BodyText"/>
      </w:pPr>
      <w:r>
        <w:rPr>
          <w:b/>
          <w:bCs/>
        </w:rPr>
        <w:t>Recommended Clarification:</w:t>
      </w:r>
    </w:p>
    <w:p w14:paraId="76A09899" w14:textId="77777777" w:rsidR="00832109" w:rsidRDefault="00000000">
      <w:pPr>
        <w:pStyle w:val="Compact"/>
        <w:numPr>
          <w:ilvl w:val="0"/>
          <w:numId w:val="15"/>
        </w:numPr>
      </w:pPr>
      <w:r>
        <w:rPr>
          <w:b/>
          <w:bCs/>
        </w:rPr>
        <w:t>Policy Integration Requirements:</w:t>
      </w:r>
    </w:p>
    <w:p w14:paraId="0A0B1D79" w14:textId="77777777" w:rsidR="00832109" w:rsidRDefault="00000000">
      <w:pPr>
        <w:pStyle w:val="Compact"/>
        <w:numPr>
          <w:ilvl w:val="1"/>
          <w:numId w:val="16"/>
        </w:numPr>
      </w:pPr>
      <w:r>
        <w:t>Require facilities to submit policies demonstrating incorporation of training principles</w:t>
      </w:r>
    </w:p>
    <w:p w14:paraId="6776500B" w14:textId="77777777" w:rsidR="00832109" w:rsidRDefault="00000000">
      <w:pPr>
        <w:pStyle w:val="Compact"/>
        <w:numPr>
          <w:ilvl w:val="1"/>
          <w:numId w:val="16"/>
        </w:numPr>
      </w:pPr>
      <w:r>
        <w:t>Policies must address: chosen name and pronoun use, gender-affirming care, privacy protections, nondiscrimination in room assignments and care delivery</w:t>
      </w:r>
    </w:p>
    <w:p w14:paraId="40E9B2D4" w14:textId="77777777" w:rsidR="00832109" w:rsidRDefault="00000000">
      <w:pPr>
        <w:pStyle w:val="Compact"/>
        <w:numPr>
          <w:ilvl w:val="1"/>
          <w:numId w:val="16"/>
        </w:numPr>
      </w:pPr>
      <w:r>
        <w:t>Require facilities to demonstrate how policies are communicated to staff and residents</w:t>
      </w:r>
    </w:p>
    <w:p w14:paraId="607E3A04" w14:textId="77777777" w:rsidR="00832109" w:rsidRDefault="00000000">
      <w:pPr>
        <w:pStyle w:val="Compact"/>
        <w:numPr>
          <w:ilvl w:val="0"/>
          <w:numId w:val="15"/>
        </w:numPr>
      </w:pPr>
      <w:r>
        <w:rPr>
          <w:b/>
          <w:bCs/>
        </w:rPr>
        <w:t>Supervisory Training and Accountability:</w:t>
      </w:r>
    </w:p>
    <w:p w14:paraId="6584A4D6" w14:textId="77777777" w:rsidR="00832109" w:rsidRDefault="00000000">
      <w:pPr>
        <w:pStyle w:val="Compact"/>
        <w:numPr>
          <w:ilvl w:val="1"/>
          <w:numId w:val="17"/>
        </w:numPr>
      </w:pPr>
      <w:r>
        <w:t>Require training for supervisors on recognizing and addressing discriminatory practices</w:t>
      </w:r>
    </w:p>
    <w:p w14:paraId="2CB48979" w14:textId="77777777" w:rsidR="00832109" w:rsidRDefault="00000000">
      <w:pPr>
        <w:pStyle w:val="Compact"/>
        <w:numPr>
          <w:ilvl w:val="1"/>
          <w:numId w:val="17"/>
        </w:numPr>
      </w:pPr>
      <w:r>
        <w:t>Require documentation of supervisory oversight mechanisms reinforcing trained behaviors</w:t>
      </w:r>
    </w:p>
    <w:p w14:paraId="250AB7BB" w14:textId="77777777" w:rsidR="00832109" w:rsidRDefault="00000000">
      <w:pPr>
        <w:pStyle w:val="Compact"/>
        <w:numPr>
          <w:ilvl w:val="1"/>
          <w:numId w:val="17"/>
        </w:numPr>
      </w:pPr>
      <w:r>
        <w:t>Require reporting of supervisory intervention when discrimination is observed</w:t>
      </w:r>
    </w:p>
    <w:p w14:paraId="2737536E" w14:textId="77777777" w:rsidR="00832109" w:rsidRDefault="00000000">
      <w:pPr>
        <w:pStyle w:val="Compact"/>
        <w:numPr>
          <w:ilvl w:val="0"/>
          <w:numId w:val="15"/>
        </w:numPr>
      </w:pPr>
      <w:r>
        <w:rPr>
          <w:b/>
          <w:bCs/>
        </w:rPr>
        <w:t>Disciplinary Systems:</w:t>
      </w:r>
    </w:p>
    <w:p w14:paraId="10887C47" w14:textId="77777777" w:rsidR="00832109" w:rsidRDefault="00000000">
      <w:pPr>
        <w:pStyle w:val="Compact"/>
        <w:numPr>
          <w:ilvl w:val="1"/>
          <w:numId w:val="18"/>
        </w:numPr>
      </w:pPr>
      <w:r>
        <w:t>Require facilities to demonstrate that employee disciplinary systems address violations of nondiscrimination standards</w:t>
      </w:r>
    </w:p>
    <w:p w14:paraId="5F14770C" w14:textId="77777777" w:rsidR="00832109" w:rsidRDefault="00000000">
      <w:pPr>
        <w:pStyle w:val="Compact"/>
        <w:numPr>
          <w:ilvl w:val="1"/>
          <w:numId w:val="18"/>
        </w:numPr>
      </w:pPr>
      <w:r>
        <w:t>Require reporting of disciplinary actions taken in response to discrimination findings</w:t>
      </w:r>
    </w:p>
    <w:p w14:paraId="2F27FD99" w14:textId="77777777" w:rsidR="00832109" w:rsidRDefault="00000000">
      <w:pPr>
        <w:pStyle w:val="Compact"/>
        <w:numPr>
          <w:ilvl w:val="1"/>
          <w:numId w:val="18"/>
        </w:numPr>
      </w:pPr>
      <w:r>
        <w:t>Require progressive discipline for repeat violations</w:t>
      </w:r>
    </w:p>
    <w:p w14:paraId="2C38A230" w14:textId="77777777" w:rsidR="00832109" w:rsidRDefault="00000000">
      <w:pPr>
        <w:pStyle w:val="Compact"/>
        <w:numPr>
          <w:ilvl w:val="0"/>
          <w:numId w:val="15"/>
        </w:numPr>
      </w:pPr>
      <w:r>
        <w:rPr>
          <w:b/>
          <w:bCs/>
        </w:rPr>
        <w:t>Enhanced Training for Repeat Findings:</w:t>
      </w:r>
    </w:p>
    <w:p w14:paraId="13B2C97B" w14:textId="77777777" w:rsidR="00832109" w:rsidRDefault="00000000">
      <w:pPr>
        <w:pStyle w:val="Compact"/>
        <w:numPr>
          <w:ilvl w:val="1"/>
          <w:numId w:val="19"/>
        </w:numPr>
      </w:pPr>
      <w:r>
        <w:t>When investigations substantiate discrimination complaints, require enhanced training for involved staff and facility-wide policy review</w:t>
      </w:r>
    </w:p>
    <w:p w14:paraId="4CE83672" w14:textId="77777777" w:rsidR="00832109" w:rsidRDefault="00000000">
      <w:pPr>
        <w:pStyle w:val="Compact"/>
        <w:numPr>
          <w:ilvl w:val="1"/>
          <w:numId w:val="19"/>
        </w:numPr>
      </w:pPr>
      <w:r>
        <w:lastRenderedPageBreak/>
        <w:t>Link repeat discrimination findings to enforcement escalation, including conditional license provisions requiring third-party oversight of nondiscrimination practices</w:t>
      </w:r>
    </w:p>
    <w:p w14:paraId="037D8730" w14:textId="77777777" w:rsidR="00832109" w:rsidRDefault="00000000">
      <w:pPr>
        <w:pStyle w:val="Compact"/>
        <w:numPr>
          <w:ilvl w:val="0"/>
          <w:numId w:val="15"/>
        </w:numPr>
      </w:pPr>
      <w:r>
        <w:rPr>
          <w:b/>
          <w:bCs/>
        </w:rPr>
        <w:t>Training Effectiveness Evaluation:</w:t>
      </w:r>
    </w:p>
    <w:p w14:paraId="01B7F2C4" w14:textId="77777777" w:rsidR="00832109" w:rsidRDefault="00000000">
      <w:pPr>
        <w:pStyle w:val="Compact"/>
        <w:numPr>
          <w:ilvl w:val="1"/>
          <w:numId w:val="20"/>
        </w:numPr>
      </w:pPr>
      <w:r>
        <w:t>Require periodic assessment of training effectiveness through: resident satisfaction surveys, complaint patterns, and quality indicator data</w:t>
      </w:r>
    </w:p>
    <w:p w14:paraId="08E8F0C5" w14:textId="77777777" w:rsidR="00832109" w:rsidRDefault="00000000">
      <w:pPr>
        <w:pStyle w:val="Compact"/>
        <w:numPr>
          <w:ilvl w:val="1"/>
          <w:numId w:val="20"/>
        </w:numPr>
      </w:pPr>
      <w:r>
        <w:t>Require curriculum revision when complaints persist despite training completion</w:t>
      </w:r>
    </w:p>
    <w:p w14:paraId="6B696572" w14:textId="77777777" w:rsidR="00832109" w:rsidRDefault="00000000">
      <w:pPr>
        <w:pStyle w:val="Heading3"/>
      </w:pPr>
      <w:bookmarkStart w:id="22" w:name="Xbb3aca089440d5f1a560342fcb3f6de49242ac2"/>
      <w:bookmarkEnd w:id="21"/>
      <w:r>
        <w:t>4. Enforcement Guidance and Escalation Standards</w:t>
      </w:r>
    </w:p>
    <w:p w14:paraId="4565B9DF" w14:textId="77777777" w:rsidR="00832109" w:rsidRDefault="00000000">
      <w:pPr>
        <w:pStyle w:val="FirstParagraph"/>
      </w:pPr>
      <w:r>
        <w:rPr>
          <w:b/>
          <w:bCs/>
        </w:rPr>
        <w:t>Current Gap:</w:t>
      </w:r>
      <w:r>
        <w:t xml:space="preserve"> Regulations preserve broad enforcement discretion but provide limited guidance on when escalation is required.</w:t>
      </w:r>
    </w:p>
    <w:p w14:paraId="6A98671E" w14:textId="77777777" w:rsidR="00832109" w:rsidRDefault="00000000">
      <w:pPr>
        <w:pStyle w:val="BodyText"/>
      </w:pPr>
      <w:r>
        <w:rPr>
          <w:b/>
          <w:bCs/>
        </w:rPr>
        <w:t>Recommended Clarification:</w:t>
      </w:r>
    </w:p>
    <w:p w14:paraId="73B8D232" w14:textId="77777777" w:rsidR="00832109" w:rsidRDefault="00000000">
      <w:pPr>
        <w:pStyle w:val="Compact"/>
        <w:numPr>
          <w:ilvl w:val="0"/>
          <w:numId w:val="21"/>
        </w:numPr>
      </w:pPr>
      <w:r>
        <w:rPr>
          <w:b/>
          <w:bCs/>
        </w:rPr>
        <w:t>Articulated Escalation Factors (Non-Exclusive):</w:t>
      </w:r>
    </w:p>
    <w:p w14:paraId="1464C260" w14:textId="77777777" w:rsidR="00832109" w:rsidRDefault="00000000">
      <w:pPr>
        <w:pStyle w:val="FirstParagraph"/>
      </w:pPr>
      <w:r>
        <w:t>Establish that the following factors, individually or in combination, create a presumption favoring enforcement escalation beyond standard citation-correction cycles:</w:t>
      </w:r>
    </w:p>
    <w:p w14:paraId="78819A3D" w14:textId="77777777" w:rsidR="00832109" w:rsidRDefault="00000000">
      <w:pPr>
        <w:pStyle w:val="Compact"/>
        <w:numPr>
          <w:ilvl w:val="0"/>
          <w:numId w:val="22"/>
        </w:numPr>
      </w:pPr>
      <w:r>
        <w:rPr>
          <w:b/>
          <w:bCs/>
        </w:rPr>
        <w:t>Repeat Violations:</w:t>
      </w:r>
      <w:r>
        <w:t xml:space="preserve"> Same deficiency cited in three or more consecutive surveys</w:t>
      </w:r>
    </w:p>
    <w:p w14:paraId="1F070D4C" w14:textId="77777777" w:rsidR="00832109" w:rsidRDefault="00000000">
      <w:pPr>
        <w:pStyle w:val="Compact"/>
        <w:numPr>
          <w:ilvl w:val="0"/>
          <w:numId w:val="22"/>
        </w:numPr>
      </w:pPr>
      <w:r>
        <w:rPr>
          <w:b/>
          <w:bCs/>
        </w:rPr>
        <w:t>Chronic Patterns:</w:t>
      </w:r>
      <w:r>
        <w:t xml:space="preserve"> Same category of deficiency (e.g., understaffing, infection control) present in 50% or more of surveys over 24 months</w:t>
      </w:r>
    </w:p>
    <w:p w14:paraId="6C95EF1A" w14:textId="77777777" w:rsidR="00832109" w:rsidRDefault="00000000">
      <w:pPr>
        <w:pStyle w:val="Compact"/>
        <w:numPr>
          <w:ilvl w:val="0"/>
          <w:numId w:val="22"/>
        </w:numPr>
      </w:pPr>
      <w:r>
        <w:rPr>
          <w:b/>
          <w:bCs/>
        </w:rPr>
        <w:t>Immediate Jeopardy Recurrence:</w:t>
      </w:r>
      <w:r>
        <w:t xml:space="preserve"> Immediate jeopardy finding within 12 months of prior immediate jeopardy finding</w:t>
      </w:r>
    </w:p>
    <w:p w14:paraId="4F02B81F" w14:textId="77777777" w:rsidR="00832109" w:rsidRDefault="00000000">
      <w:pPr>
        <w:pStyle w:val="Compact"/>
        <w:numPr>
          <w:ilvl w:val="0"/>
          <w:numId w:val="22"/>
        </w:numPr>
      </w:pPr>
      <w:r>
        <w:rPr>
          <w:b/>
          <w:bCs/>
        </w:rPr>
        <w:t>Cross-Facility Patterns:</w:t>
      </w:r>
      <w:r>
        <w:t xml:space="preserve"> When owner operates multiple facilities and 40% or more exhibit similar deficiency patterns</w:t>
      </w:r>
    </w:p>
    <w:p w14:paraId="365E6AE2" w14:textId="77777777" w:rsidR="00832109" w:rsidRDefault="00000000">
      <w:pPr>
        <w:pStyle w:val="Compact"/>
        <w:numPr>
          <w:ilvl w:val="0"/>
          <w:numId w:val="22"/>
        </w:numPr>
      </w:pPr>
      <w:r>
        <w:rPr>
          <w:b/>
          <w:bCs/>
        </w:rPr>
        <w:t>Resident Harm Correlation:</w:t>
      </w:r>
      <w:r>
        <w:t xml:space="preserve"> When deficiency pattern correlates with documented resident harm (falls, pressure ulcers, malnutrition, medication errors)</w:t>
      </w:r>
    </w:p>
    <w:p w14:paraId="5F372FF9" w14:textId="77777777" w:rsidR="00832109" w:rsidRDefault="00000000">
      <w:pPr>
        <w:pStyle w:val="Compact"/>
        <w:numPr>
          <w:ilvl w:val="0"/>
          <w:numId w:val="22"/>
        </w:numPr>
      </w:pPr>
      <w:r>
        <w:rPr>
          <w:b/>
          <w:bCs/>
        </w:rPr>
        <w:t>Evasion or Obstruction:</w:t>
      </w:r>
      <w:r>
        <w:t xml:space="preserve"> When facility demonstrates pattern of achieving compliance only for announced follow-up surveys, or obstructs investigation</w:t>
      </w:r>
    </w:p>
    <w:p w14:paraId="6338556C" w14:textId="77777777" w:rsidR="00832109" w:rsidRDefault="00000000">
      <w:pPr>
        <w:pStyle w:val="Compact"/>
        <w:numPr>
          <w:ilvl w:val="0"/>
          <w:numId w:val="23"/>
        </w:numPr>
      </w:pPr>
      <w:r>
        <w:rPr>
          <w:b/>
          <w:bCs/>
        </w:rPr>
        <w:t>Escalation Pathway Standards:</w:t>
      </w:r>
    </w:p>
    <w:p w14:paraId="0331F4A4" w14:textId="77777777" w:rsidR="00832109" w:rsidRDefault="00000000">
      <w:pPr>
        <w:pStyle w:val="FirstParagraph"/>
      </w:pPr>
      <w:r>
        <w:t>Provide guidance on progression through enforcement options:</w:t>
      </w:r>
    </w:p>
    <w:p w14:paraId="2E82FA57" w14:textId="77777777" w:rsidR="00832109" w:rsidRDefault="00000000">
      <w:pPr>
        <w:pStyle w:val="Compact"/>
        <w:numPr>
          <w:ilvl w:val="0"/>
          <w:numId w:val="24"/>
        </w:numPr>
      </w:pPr>
      <w:r>
        <w:rPr>
          <w:b/>
          <w:bCs/>
        </w:rPr>
        <w:t>First instance:</w:t>
      </w:r>
      <w:r>
        <w:t xml:space="preserve"> Standard citation and plan of correction</w:t>
      </w:r>
    </w:p>
    <w:p w14:paraId="71CAAF60" w14:textId="77777777" w:rsidR="00832109" w:rsidRDefault="00000000">
      <w:pPr>
        <w:pStyle w:val="Compact"/>
        <w:numPr>
          <w:ilvl w:val="0"/>
          <w:numId w:val="24"/>
        </w:numPr>
      </w:pPr>
      <w:r>
        <w:rPr>
          <w:b/>
          <w:bCs/>
        </w:rPr>
        <w:t>Second instance (within 24 months):</w:t>
      </w:r>
      <w:r>
        <w:t xml:space="preserve"> Citation with mandatory follow-up survey at facility expense</w:t>
      </w:r>
    </w:p>
    <w:p w14:paraId="07B6E991" w14:textId="77777777" w:rsidR="00832109" w:rsidRDefault="00000000">
      <w:pPr>
        <w:pStyle w:val="Compact"/>
        <w:numPr>
          <w:ilvl w:val="0"/>
          <w:numId w:val="24"/>
        </w:numPr>
      </w:pPr>
      <w:r>
        <w:rPr>
          <w:b/>
          <w:bCs/>
        </w:rPr>
        <w:t>Third instance (within 24 months):</w:t>
      </w:r>
      <w:r>
        <w:t xml:space="preserve"> Citation with conditional license or directed plan of correction requiring specific governance or operational changes</w:t>
      </w:r>
    </w:p>
    <w:p w14:paraId="0F2B248A" w14:textId="77777777" w:rsidR="00832109" w:rsidRDefault="00000000">
      <w:pPr>
        <w:pStyle w:val="Compact"/>
        <w:numPr>
          <w:ilvl w:val="0"/>
          <w:numId w:val="24"/>
        </w:numPr>
      </w:pPr>
      <w:r>
        <w:rPr>
          <w:b/>
          <w:bCs/>
        </w:rPr>
        <w:t>Fourth instance or immediate jeopardy recurrence:</w:t>
      </w:r>
      <w:r>
        <w:t xml:space="preserve"> Presumption favoring license suspension, temporary management, or civil monetary penalty</w:t>
      </w:r>
    </w:p>
    <w:p w14:paraId="052572D7" w14:textId="77777777" w:rsidR="00832109" w:rsidRDefault="00000000">
      <w:pPr>
        <w:pStyle w:val="Compact"/>
        <w:numPr>
          <w:ilvl w:val="0"/>
          <w:numId w:val="25"/>
        </w:numPr>
      </w:pPr>
      <w:r>
        <w:rPr>
          <w:b/>
          <w:bCs/>
        </w:rPr>
        <w:t>Cross-Facility Enforcement Integration:</w:t>
      </w:r>
    </w:p>
    <w:p w14:paraId="08B35822" w14:textId="77777777" w:rsidR="00832109" w:rsidRDefault="00000000">
      <w:pPr>
        <w:pStyle w:val="FirstParagraph"/>
      </w:pPr>
      <w:r>
        <w:t>When multiple facilities under common ownership exhibit similar deficiency patterns:</w:t>
      </w:r>
    </w:p>
    <w:p w14:paraId="6348C267" w14:textId="77777777" w:rsidR="00832109" w:rsidRDefault="00000000">
      <w:pPr>
        <w:pStyle w:val="Compact"/>
        <w:numPr>
          <w:ilvl w:val="0"/>
          <w:numId w:val="26"/>
        </w:numPr>
      </w:pPr>
      <w:r>
        <w:lastRenderedPageBreak/>
        <w:t>Require Department to assess whether patterns indicate systemic business model or governance problems</w:t>
      </w:r>
    </w:p>
    <w:p w14:paraId="7956D024" w14:textId="77777777" w:rsidR="00832109" w:rsidRDefault="00000000">
      <w:pPr>
        <w:pStyle w:val="Compact"/>
        <w:numPr>
          <w:ilvl w:val="0"/>
          <w:numId w:val="26"/>
        </w:numPr>
      </w:pPr>
      <w:r>
        <w:t>Authorize Department to impose enterprise-level conditions (mandatory third-party oversight, financial controls, staffing requirements across all affiliated facilities)</w:t>
      </w:r>
    </w:p>
    <w:p w14:paraId="127BF668" w14:textId="77777777" w:rsidR="00832109" w:rsidRDefault="00000000">
      <w:pPr>
        <w:pStyle w:val="Compact"/>
        <w:numPr>
          <w:ilvl w:val="0"/>
          <w:numId w:val="26"/>
        </w:numPr>
      </w:pPr>
      <w:r>
        <w:t>Create presumption that suitability concerns exist requiring comprehensive review of ownership fitness</w:t>
      </w:r>
    </w:p>
    <w:p w14:paraId="38A8BAE4" w14:textId="77777777" w:rsidR="00832109" w:rsidRDefault="00000000">
      <w:pPr>
        <w:pStyle w:val="Compact"/>
        <w:numPr>
          <w:ilvl w:val="0"/>
          <w:numId w:val="27"/>
        </w:numPr>
      </w:pPr>
      <w:r>
        <w:rPr>
          <w:b/>
          <w:bCs/>
        </w:rPr>
        <w:t>Transparency and Consistency:</w:t>
      </w:r>
    </w:p>
    <w:p w14:paraId="3C167EC4" w14:textId="77777777" w:rsidR="00832109" w:rsidRDefault="00000000">
      <w:pPr>
        <w:pStyle w:val="Compact"/>
        <w:numPr>
          <w:ilvl w:val="0"/>
          <w:numId w:val="28"/>
        </w:numPr>
      </w:pPr>
      <w:r>
        <w:t>Publish annual enforcement report showing: distribution of citations by facility, enforcement escalation rates, average time from deficiency to resolution</w:t>
      </w:r>
    </w:p>
    <w:p w14:paraId="4609F90C" w14:textId="77777777" w:rsidR="00832109" w:rsidRDefault="00000000">
      <w:pPr>
        <w:pStyle w:val="Compact"/>
        <w:numPr>
          <w:ilvl w:val="0"/>
          <w:numId w:val="28"/>
        </w:numPr>
      </w:pPr>
      <w:r>
        <w:t>Require written justification when Department declines to escalate despite presence of escalation factors</w:t>
      </w:r>
    </w:p>
    <w:p w14:paraId="07A42505" w14:textId="77777777" w:rsidR="00832109" w:rsidRDefault="00000000">
      <w:pPr>
        <w:pStyle w:val="Compact"/>
        <w:numPr>
          <w:ilvl w:val="0"/>
          <w:numId w:val="28"/>
        </w:numPr>
      </w:pPr>
      <w:r>
        <w:t>Enable stakeholders (residents, families, ombudsmen, legislators) to assess enforcement consistency</w:t>
      </w:r>
    </w:p>
    <w:p w14:paraId="3F2CD442" w14:textId="77777777" w:rsidR="00832109" w:rsidRDefault="00000000">
      <w:pPr>
        <w:pStyle w:val="Heading3"/>
      </w:pPr>
      <w:bookmarkStart w:id="23" w:name="integration-across-regulatory-frameworks"/>
      <w:bookmarkEnd w:id="22"/>
      <w:r>
        <w:t>5. Integration Across Regulatory Frameworks</w:t>
      </w:r>
    </w:p>
    <w:p w14:paraId="35D7BE98" w14:textId="77777777" w:rsidR="00832109" w:rsidRDefault="00000000">
      <w:pPr>
        <w:pStyle w:val="FirstParagraph"/>
      </w:pPr>
      <w:r>
        <w:rPr>
          <w:b/>
          <w:bCs/>
        </w:rPr>
        <w:t>Current Gap:</w:t>
      </w:r>
      <w:r>
        <w:t xml:space="preserve"> Proposed amendments to 105 CMR 150 and 105 CMR 153 function as parallel tracks that may not integrate effectively in practice.</w:t>
      </w:r>
    </w:p>
    <w:p w14:paraId="30B7A629" w14:textId="77777777" w:rsidR="00832109" w:rsidRDefault="00000000">
      <w:pPr>
        <w:pStyle w:val="BodyText"/>
      </w:pPr>
      <w:r>
        <w:rPr>
          <w:b/>
          <w:bCs/>
        </w:rPr>
        <w:t>Recommended Clarification:</w:t>
      </w:r>
    </w:p>
    <w:p w14:paraId="106E3DAD" w14:textId="77777777" w:rsidR="00832109" w:rsidRDefault="00000000">
      <w:pPr>
        <w:pStyle w:val="Compact"/>
        <w:numPr>
          <w:ilvl w:val="0"/>
          <w:numId w:val="29"/>
        </w:numPr>
      </w:pPr>
      <w:r>
        <w:rPr>
          <w:b/>
          <w:bCs/>
        </w:rPr>
        <w:t>Suitability and Ongoing Enforcement:</w:t>
      </w:r>
    </w:p>
    <w:p w14:paraId="7040D3F6" w14:textId="77777777" w:rsidR="00832109" w:rsidRDefault="00000000">
      <w:pPr>
        <w:pStyle w:val="Compact"/>
        <w:numPr>
          <w:ilvl w:val="1"/>
          <w:numId w:val="30"/>
        </w:numPr>
      </w:pPr>
      <w:r>
        <w:t>Require that enforcement history under 105 CMR 150 inform suitability determinations under 105 CMR 153</w:t>
      </w:r>
    </w:p>
    <w:p w14:paraId="02107477" w14:textId="77777777" w:rsidR="00832109" w:rsidRDefault="00000000">
      <w:pPr>
        <w:pStyle w:val="Compact"/>
        <w:numPr>
          <w:ilvl w:val="1"/>
          <w:numId w:val="30"/>
        </w:numPr>
      </w:pPr>
      <w:r>
        <w:t>Require that facilities approved subject to suitability conditions receive enhanced oversight under 105 CMR 150</w:t>
      </w:r>
    </w:p>
    <w:p w14:paraId="4C50A284" w14:textId="77777777" w:rsidR="00832109" w:rsidRDefault="00000000">
      <w:pPr>
        <w:pStyle w:val="Compact"/>
        <w:numPr>
          <w:ilvl w:val="1"/>
          <w:numId w:val="30"/>
        </w:numPr>
      </w:pPr>
      <w:r>
        <w:t>Create feedback loops where ongoing compliance problems trigger suitability review</w:t>
      </w:r>
    </w:p>
    <w:p w14:paraId="4C777F04" w14:textId="77777777" w:rsidR="00832109" w:rsidRDefault="00000000">
      <w:pPr>
        <w:pStyle w:val="Compact"/>
        <w:numPr>
          <w:ilvl w:val="0"/>
          <w:numId w:val="29"/>
        </w:numPr>
      </w:pPr>
      <w:r>
        <w:rPr>
          <w:b/>
          <w:bCs/>
        </w:rPr>
        <w:t>Management Company Accountability:</w:t>
      </w:r>
    </w:p>
    <w:p w14:paraId="1F509DDD" w14:textId="77777777" w:rsidR="00832109" w:rsidRDefault="00000000">
      <w:pPr>
        <w:pStyle w:val="Compact"/>
        <w:numPr>
          <w:ilvl w:val="1"/>
          <w:numId w:val="31"/>
        </w:numPr>
      </w:pPr>
      <w:r>
        <w:t>Require that management companies approved under 105 CMR 153 be held accountable for compliance failures at facilities they manage</w:t>
      </w:r>
    </w:p>
    <w:p w14:paraId="72C4DFDA" w14:textId="77777777" w:rsidR="00832109" w:rsidRDefault="00000000">
      <w:pPr>
        <w:pStyle w:val="Compact"/>
        <w:numPr>
          <w:ilvl w:val="1"/>
          <w:numId w:val="31"/>
        </w:numPr>
      </w:pPr>
      <w:r>
        <w:t>Authorize Department to revoke management company approval based on pattern of poor outcomes at managed facilities</w:t>
      </w:r>
    </w:p>
    <w:p w14:paraId="05CCB3B9" w14:textId="77777777" w:rsidR="00832109" w:rsidRDefault="00000000">
      <w:pPr>
        <w:pStyle w:val="Compact"/>
        <w:numPr>
          <w:ilvl w:val="1"/>
          <w:numId w:val="31"/>
        </w:numPr>
      </w:pPr>
      <w:r>
        <w:t>Require management companies to demonstrate corrective action across all managed facilities when deficiency patterns emerge</w:t>
      </w:r>
    </w:p>
    <w:p w14:paraId="1917678C" w14:textId="77777777" w:rsidR="00832109" w:rsidRDefault="00000000">
      <w:pPr>
        <w:pStyle w:val="Compact"/>
        <w:numPr>
          <w:ilvl w:val="0"/>
          <w:numId w:val="29"/>
        </w:numPr>
      </w:pPr>
      <w:r>
        <w:rPr>
          <w:b/>
          <w:bCs/>
        </w:rPr>
        <w:t>Financial Transparency:</w:t>
      </w:r>
    </w:p>
    <w:p w14:paraId="31EC2733" w14:textId="77777777" w:rsidR="00832109" w:rsidRDefault="00000000">
      <w:pPr>
        <w:pStyle w:val="Compact"/>
        <w:numPr>
          <w:ilvl w:val="1"/>
          <w:numId w:val="32"/>
        </w:numPr>
      </w:pPr>
      <w:r>
        <w:t>Require disclosure of related-party transactions in both suitability review (105 CMR 153) and ongoing oversight (105 CMR 150)</w:t>
      </w:r>
    </w:p>
    <w:p w14:paraId="4BA891FD" w14:textId="77777777" w:rsidR="00832109" w:rsidRDefault="00000000">
      <w:pPr>
        <w:pStyle w:val="Compact"/>
        <w:numPr>
          <w:ilvl w:val="1"/>
          <w:numId w:val="32"/>
        </w:numPr>
      </w:pPr>
      <w:r>
        <w:t>Authorize Department to impose conditions limiting related-party payments when facilities exhibit chronic compliance problems</w:t>
      </w:r>
    </w:p>
    <w:p w14:paraId="1CF5752C" w14:textId="77777777" w:rsidR="00832109" w:rsidRDefault="00000000">
      <w:pPr>
        <w:pStyle w:val="Compact"/>
        <w:numPr>
          <w:ilvl w:val="1"/>
          <w:numId w:val="32"/>
        </w:numPr>
      </w:pPr>
      <w:r>
        <w:t>Require demonstration that management fees and related-party payments do not impair ability to meet minimum staffing and care standards</w:t>
      </w:r>
    </w:p>
    <w:p w14:paraId="0F9CDFCB" w14:textId="77777777" w:rsidR="00832109" w:rsidRDefault="001979C4">
      <w:r>
        <w:rPr>
          <w:noProof/>
        </w:rPr>
        <w:pict w14:anchorId="05C11776">
          <v:rect id="_x0000_i1025" alt="" style="width:468pt;height:.05pt;mso-width-percent:0;mso-height-percent:0;mso-width-percent:0;mso-height-percent:0" o:hralign="center" o:hrstd="t" o:hr="t"/>
        </w:pict>
      </w:r>
    </w:p>
    <w:p w14:paraId="10423B2D" w14:textId="77777777" w:rsidR="00832109" w:rsidRDefault="00000000">
      <w:pPr>
        <w:pStyle w:val="Heading2"/>
      </w:pPr>
      <w:bookmarkStart w:id="24" w:name="footnotes"/>
      <w:bookmarkEnd w:id="18"/>
      <w:bookmarkEnd w:id="23"/>
      <w:r>
        <w:lastRenderedPageBreak/>
        <w:t>Footnotes</w:t>
      </w:r>
    </w:p>
    <w:p w14:paraId="57E4EB50" w14:textId="77777777" w:rsidR="00832109" w:rsidRDefault="00000000">
      <w:pPr>
        <w:pStyle w:val="Compact"/>
        <w:numPr>
          <w:ilvl w:val="0"/>
          <w:numId w:val="33"/>
        </w:numPr>
      </w:pPr>
      <w:r>
        <w:t>Chapter 197 of the Acts of 2024, §§ 12–17, amending M.G.L. c. 111 and c. 19D.</w:t>
      </w:r>
    </w:p>
    <w:p w14:paraId="04243E39" w14:textId="77777777" w:rsidR="00832109" w:rsidRDefault="00000000">
      <w:pPr>
        <w:pStyle w:val="Compact"/>
        <w:numPr>
          <w:ilvl w:val="0"/>
          <w:numId w:val="33"/>
        </w:numPr>
      </w:pPr>
      <w:r>
        <w:t>M.G.L. c. 111, § 72CC (as inserted by St. 2024, c. 197).</w:t>
      </w:r>
    </w:p>
    <w:p w14:paraId="7D73C23B" w14:textId="77777777" w:rsidR="00832109" w:rsidRDefault="00000000">
      <w:pPr>
        <w:pStyle w:val="Compact"/>
        <w:numPr>
          <w:ilvl w:val="0"/>
          <w:numId w:val="33"/>
        </w:numPr>
      </w:pPr>
      <w:r>
        <w:t>M.G.L. c. 111, § 72(d).</w:t>
      </w:r>
    </w:p>
    <w:p w14:paraId="5CEF541B" w14:textId="77777777" w:rsidR="00832109" w:rsidRDefault="00000000">
      <w:pPr>
        <w:pStyle w:val="Compact"/>
        <w:numPr>
          <w:ilvl w:val="0"/>
          <w:numId w:val="33"/>
        </w:numPr>
      </w:pPr>
      <w:r>
        <w:t>M.G.L. c. 111, § 72GG.</w:t>
      </w:r>
    </w:p>
    <w:p w14:paraId="647A879E" w14:textId="77777777" w:rsidR="00832109" w:rsidRDefault="00000000">
      <w:pPr>
        <w:pStyle w:val="Compact"/>
        <w:numPr>
          <w:ilvl w:val="0"/>
          <w:numId w:val="33"/>
        </w:numPr>
      </w:pPr>
      <w:r>
        <w:t>M.G.L. c. 111, § 71(b)(2).</w:t>
      </w:r>
    </w:p>
    <w:p w14:paraId="4BB1A33F" w14:textId="77777777" w:rsidR="00832109" w:rsidRDefault="00000000">
      <w:pPr>
        <w:pStyle w:val="Compact"/>
        <w:numPr>
          <w:ilvl w:val="0"/>
          <w:numId w:val="33"/>
        </w:numPr>
      </w:pPr>
      <w:r>
        <w:t>M.G.L. c. 111, § 71(g)–(k).</w:t>
      </w:r>
      <w:bookmarkEnd w:id="0"/>
      <w:bookmarkEnd w:id="24"/>
    </w:p>
    <w:sectPr w:rsidR="0083210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96183" w14:textId="77777777" w:rsidR="001979C4" w:rsidRDefault="001979C4">
      <w:pPr>
        <w:spacing w:after="0"/>
      </w:pPr>
      <w:r>
        <w:separator/>
      </w:r>
    </w:p>
  </w:endnote>
  <w:endnote w:type="continuationSeparator" w:id="0">
    <w:p w14:paraId="287EEEDB" w14:textId="77777777" w:rsidR="001979C4" w:rsidRDefault="001979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FD4AC" w14:textId="77777777" w:rsidR="001979C4" w:rsidRDefault="001979C4">
      <w:r>
        <w:separator/>
      </w:r>
    </w:p>
  </w:footnote>
  <w:footnote w:type="continuationSeparator" w:id="0">
    <w:p w14:paraId="6F69439A" w14:textId="77777777" w:rsidR="001979C4" w:rsidRDefault="00197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FE09B5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4AF6126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C3506B20"/>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711"/>
    <w:multiLevelType w:val="multilevel"/>
    <w:tmpl w:val="433E05DC"/>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4" w15:restartNumberingAfterBreak="0">
    <w:nsid w:val="00A99712"/>
    <w:multiLevelType w:val="multilevel"/>
    <w:tmpl w:val="9E1402BC"/>
    <w:lvl w:ilvl="0">
      <w:start w:val="2"/>
      <w:numFmt w:val="lowerLetter"/>
      <w:lvlText w:val="%1."/>
      <w:lvlJc w:val="left"/>
      <w:pPr>
        <w:ind w:left="720" w:hanging="480"/>
      </w:pPr>
    </w:lvl>
    <w:lvl w:ilvl="1">
      <w:start w:val="2"/>
      <w:numFmt w:val="lowerLetter"/>
      <w:lvlText w:val="%2."/>
      <w:lvlJc w:val="left"/>
      <w:pPr>
        <w:ind w:left="1440" w:hanging="480"/>
      </w:pPr>
    </w:lvl>
    <w:lvl w:ilvl="2">
      <w:start w:val="2"/>
      <w:numFmt w:val="lowerLetter"/>
      <w:lvlText w:val="%3."/>
      <w:lvlJc w:val="left"/>
      <w:pPr>
        <w:ind w:left="2160" w:hanging="480"/>
      </w:pPr>
    </w:lvl>
    <w:lvl w:ilvl="3">
      <w:start w:val="2"/>
      <w:numFmt w:val="lowerLetter"/>
      <w:lvlText w:val="%4."/>
      <w:lvlJc w:val="left"/>
      <w:pPr>
        <w:ind w:left="2880" w:hanging="480"/>
      </w:pPr>
    </w:lvl>
    <w:lvl w:ilvl="4">
      <w:start w:val="2"/>
      <w:numFmt w:val="lowerLetter"/>
      <w:lvlText w:val="%5."/>
      <w:lvlJc w:val="left"/>
      <w:pPr>
        <w:ind w:left="3600" w:hanging="480"/>
      </w:pPr>
    </w:lvl>
    <w:lvl w:ilvl="5">
      <w:start w:val="2"/>
      <w:numFmt w:val="lowerLetter"/>
      <w:lvlText w:val="%6."/>
      <w:lvlJc w:val="left"/>
      <w:pPr>
        <w:ind w:left="4320" w:hanging="480"/>
      </w:pPr>
    </w:lvl>
    <w:lvl w:ilvl="6">
      <w:start w:val="2"/>
      <w:numFmt w:val="lowerLetter"/>
      <w:lvlText w:val="%7."/>
      <w:lvlJc w:val="left"/>
      <w:pPr>
        <w:ind w:left="5040" w:hanging="480"/>
      </w:pPr>
    </w:lvl>
    <w:lvl w:ilvl="7">
      <w:start w:val="2"/>
      <w:numFmt w:val="lowerLetter"/>
      <w:lvlText w:val="%8."/>
      <w:lvlJc w:val="left"/>
      <w:pPr>
        <w:ind w:left="5760" w:hanging="480"/>
      </w:pPr>
    </w:lvl>
    <w:lvl w:ilvl="8">
      <w:start w:val="2"/>
      <w:numFmt w:val="lowerLetter"/>
      <w:lvlText w:val="%9."/>
      <w:lvlJc w:val="left"/>
      <w:pPr>
        <w:ind w:left="6480" w:hanging="480"/>
      </w:pPr>
    </w:lvl>
  </w:abstractNum>
  <w:abstractNum w:abstractNumId="5" w15:restartNumberingAfterBreak="0">
    <w:nsid w:val="00A99713"/>
    <w:multiLevelType w:val="multilevel"/>
    <w:tmpl w:val="8C3A1216"/>
    <w:lvl w:ilvl="0">
      <w:start w:val="3"/>
      <w:numFmt w:val="lowerLetter"/>
      <w:lvlText w:val="%1."/>
      <w:lvlJc w:val="left"/>
      <w:pPr>
        <w:ind w:left="720" w:hanging="480"/>
      </w:pPr>
    </w:lvl>
    <w:lvl w:ilvl="1">
      <w:start w:val="3"/>
      <w:numFmt w:val="lowerLetter"/>
      <w:lvlText w:val="%2."/>
      <w:lvlJc w:val="left"/>
      <w:pPr>
        <w:ind w:left="1440" w:hanging="480"/>
      </w:pPr>
    </w:lvl>
    <w:lvl w:ilvl="2">
      <w:start w:val="3"/>
      <w:numFmt w:val="lowerLetter"/>
      <w:lvlText w:val="%3."/>
      <w:lvlJc w:val="left"/>
      <w:pPr>
        <w:ind w:left="2160" w:hanging="480"/>
      </w:pPr>
    </w:lvl>
    <w:lvl w:ilvl="3">
      <w:start w:val="3"/>
      <w:numFmt w:val="lowerLetter"/>
      <w:lvlText w:val="%4."/>
      <w:lvlJc w:val="left"/>
      <w:pPr>
        <w:ind w:left="2880" w:hanging="480"/>
      </w:pPr>
    </w:lvl>
    <w:lvl w:ilvl="4">
      <w:start w:val="3"/>
      <w:numFmt w:val="lowerLetter"/>
      <w:lvlText w:val="%5."/>
      <w:lvlJc w:val="left"/>
      <w:pPr>
        <w:ind w:left="3600" w:hanging="480"/>
      </w:pPr>
    </w:lvl>
    <w:lvl w:ilvl="5">
      <w:start w:val="3"/>
      <w:numFmt w:val="lowerLetter"/>
      <w:lvlText w:val="%6."/>
      <w:lvlJc w:val="left"/>
      <w:pPr>
        <w:ind w:left="4320" w:hanging="480"/>
      </w:pPr>
    </w:lvl>
    <w:lvl w:ilvl="6">
      <w:start w:val="3"/>
      <w:numFmt w:val="lowerLetter"/>
      <w:lvlText w:val="%7."/>
      <w:lvlJc w:val="left"/>
      <w:pPr>
        <w:ind w:left="5040" w:hanging="480"/>
      </w:pPr>
    </w:lvl>
    <w:lvl w:ilvl="7">
      <w:start w:val="3"/>
      <w:numFmt w:val="lowerLetter"/>
      <w:lvlText w:val="%8."/>
      <w:lvlJc w:val="left"/>
      <w:pPr>
        <w:ind w:left="5760" w:hanging="480"/>
      </w:pPr>
    </w:lvl>
    <w:lvl w:ilvl="8">
      <w:start w:val="3"/>
      <w:numFmt w:val="lowerLetter"/>
      <w:lvlText w:val="%9."/>
      <w:lvlJc w:val="left"/>
      <w:pPr>
        <w:ind w:left="6480" w:hanging="480"/>
      </w:pPr>
    </w:lvl>
  </w:abstractNum>
  <w:abstractNum w:abstractNumId="6" w15:restartNumberingAfterBreak="0">
    <w:nsid w:val="00A99714"/>
    <w:multiLevelType w:val="multilevel"/>
    <w:tmpl w:val="FEC0A40E"/>
    <w:lvl w:ilvl="0">
      <w:start w:val="4"/>
      <w:numFmt w:val="lowerLetter"/>
      <w:lvlText w:val="%1."/>
      <w:lvlJc w:val="left"/>
      <w:pPr>
        <w:ind w:left="720" w:hanging="480"/>
      </w:pPr>
    </w:lvl>
    <w:lvl w:ilvl="1">
      <w:start w:val="4"/>
      <w:numFmt w:val="lowerLetter"/>
      <w:lvlText w:val="%2."/>
      <w:lvlJc w:val="left"/>
      <w:pPr>
        <w:ind w:left="1440" w:hanging="480"/>
      </w:pPr>
    </w:lvl>
    <w:lvl w:ilvl="2">
      <w:start w:val="4"/>
      <w:numFmt w:val="lowerLetter"/>
      <w:lvlText w:val="%3."/>
      <w:lvlJc w:val="left"/>
      <w:pPr>
        <w:ind w:left="2160" w:hanging="480"/>
      </w:pPr>
    </w:lvl>
    <w:lvl w:ilvl="3">
      <w:start w:val="4"/>
      <w:numFmt w:val="lowerLetter"/>
      <w:lvlText w:val="%4."/>
      <w:lvlJc w:val="left"/>
      <w:pPr>
        <w:ind w:left="2880" w:hanging="480"/>
      </w:pPr>
    </w:lvl>
    <w:lvl w:ilvl="4">
      <w:start w:val="4"/>
      <w:numFmt w:val="lowerLetter"/>
      <w:lvlText w:val="%5."/>
      <w:lvlJc w:val="left"/>
      <w:pPr>
        <w:ind w:left="3600" w:hanging="480"/>
      </w:pPr>
    </w:lvl>
    <w:lvl w:ilvl="5">
      <w:start w:val="4"/>
      <w:numFmt w:val="lowerLetter"/>
      <w:lvlText w:val="%6."/>
      <w:lvlJc w:val="left"/>
      <w:pPr>
        <w:ind w:left="4320" w:hanging="480"/>
      </w:pPr>
    </w:lvl>
    <w:lvl w:ilvl="6">
      <w:start w:val="4"/>
      <w:numFmt w:val="lowerLetter"/>
      <w:lvlText w:val="%7."/>
      <w:lvlJc w:val="left"/>
      <w:pPr>
        <w:ind w:left="5040" w:hanging="480"/>
      </w:pPr>
    </w:lvl>
    <w:lvl w:ilvl="7">
      <w:start w:val="4"/>
      <w:numFmt w:val="lowerLetter"/>
      <w:lvlText w:val="%8."/>
      <w:lvlJc w:val="left"/>
      <w:pPr>
        <w:ind w:left="5760" w:hanging="480"/>
      </w:pPr>
    </w:lvl>
    <w:lvl w:ilvl="8">
      <w:start w:val="4"/>
      <w:numFmt w:val="lowerLetter"/>
      <w:lvlText w:val="%9."/>
      <w:lvlJc w:val="left"/>
      <w:pPr>
        <w:ind w:left="6480" w:hanging="480"/>
      </w:pPr>
    </w:lvl>
  </w:abstractNum>
  <w:num w:numId="1" w16cid:durableId="285503635">
    <w:abstractNumId w:val="0"/>
  </w:num>
  <w:num w:numId="2" w16cid:durableId="1950156672">
    <w:abstractNumId w:val="1"/>
  </w:num>
  <w:num w:numId="3" w16cid:durableId="695814282">
    <w:abstractNumId w:val="1"/>
  </w:num>
  <w:num w:numId="4" w16cid:durableId="17192809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05607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7847992">
    <w:abstractNumId w:val="1"/>
  </w:num>
  <w:num w:numId="7" w16cid:durableId="1413621624">
    <w:abstractNumId w:val="1"/>
  </w:num>
  <w:num w:numId="8" w16cid:durableId="720516617">
    <w:abstractNumId w:val="1"/>
  </w:num>
  <w:num w:numId="9" w16cid:durableId="1565485089">
    <w:abstractNumId w:val="1"/>
  </w:num>
  <w:num w:numId="10" w16cid:durableId="16661267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4528259">
    <w:abstractNumId w:val="1"/>
  </w:num>
  <w:num w:numId="12" w16cid:durableId="312805493">
    <w:abstractNumId w:val="1"/>
  </w:num>
  <w:num w:numId="13" w16cid:durableId="851725751">
    <w:abstractNumId w:val="1"/>
  </w:num>
  <w:num w:numId="14" w16cid:durableId="1536580857">
    <w:abstractNumId w:val="1"/>
  </w:num>
  <w:num w:numId="15" w16cid:durableId="4492084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2693528">
    <w:abstractNumId w:val="1"/>
  </w:num>
  <w:num w:numId="17" w16cid:durableId="928781204">
    <w:abstractNumId w:val="1"/>
  </w:num>
  <w:num w:numId="18" w16cid:durableId="1472210144">
    <w:abstractNumId w:val="1"/>
  </w:num>
  <w:num w:numId="19" w16cid:durableId="1473594161">
    <w:abstractNumId w:val="1"/>
  </w:num>
  <w:num w:numId="20" w16cid:durableId="1012990939">
    <w:abstractNumId w:val="1"/>
  </w:num>
  <w:num w:numId="21" w16cid:durableId="1680622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3855205">
    <w:abstractNumId w:val="1"/>
  </w:num>
  <w:num w:numId="23" w16cid:durableId="1441995514">
    <w:abstractNumId w:val="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4" w16cid:durableId="1087119326">
    <w:abstractNumId w:val="1"/>
  </w:num>
  <w:num w:numId="25" w16cid:durableId="1516647903">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6" w16cid:durableId="961837588">
    <w:abstractNumId w:val="1"/>
  </w:num>
  <w:num w:numId="27" w16cid:durableId="737361272">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8" w16cid:durableId="347801155">
    <w:abstractNumId w:val="1"/>
  </w:num>
  <w:num w:numId="29" w16cid:durableId="21454607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537586">
    <w:abstractNumId w:val="1"/>
  </w:num>
  <w:num w:numId="31" w16cid:durableId="1955282612">
    <w:abstractNumId w:val="1"/>
  </w:num>
  <w:num w:numId="32" w16cid:durableId="937372586">
    <w:abstractNumId w:val="1"/>
  </w:num>
  <w:num w:numId="33" w16cid:durableId="1698769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2109"/>
    <w:rsid w:val="001979C4"/>
    <w:rsid w:val="0053153D"/>
    <w:rsid w:val="006E44D2"/>
    <w:rsid w:val="00832109"/>
    <w:rsid w:val="00D44764"/>
    <w:rsid w:val="00DC237F"/>
    <w:rsid w:val="00FE394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D8D8"/>
  <w15:docId w15:val="{F2C9E7BA-1424-CA4E-BAD6-C26568D5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3658</Words>
  <Characters>24985</Characters>
  <Application>Microsoft Office Word</Application>
  <DocSecurity>0</DocSecurity>
  <Lines>462</Lines>
  <Paragraphs>215</Paragraphs>
  <ScaleCrop>false</ScaleCrop>
  <Company/>
  <LinksUpToDate>false</LinksUpToDate>
  <CharactersWithSpaces>28428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James Lomastro</cp:lastModifiedBy>
  <cp:revision>3</cp:revision>
  <dcterms:created xsi:type="dcterms:W3CDTF">2026-02-04T01:31:00Z</dcterms:created>
  <dcterms:modified xsi:type="dcterms:W3CDTF">2026-02-12T20:02:00Z</dcterms:modified>
</cp:coreProperties>
</file>