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2B4A" w14:textId="2CA77E34" w:rsidR="003823D8" w:rsidRDefault="00561751">
      <w:pPr>
        <w:pStyle w:val="Heading1"/>
      </w:pPr>
      <w:bookmarkStart w:id="0" w:name="written-testimony-elaborated"/>
      <w:r>
        <w:t xml:space="preserve">WRITTEN TESTIMONY </w:t>
      </w:r>
    </w:p>
    <w:p w14:paraId="0ABB1BEB" w14:textId="77777777" w:rsidR="00275774" w:rsidRDefault="00275774" w:rsidP="00275774">
      <w:pPr>
        <w:pStyle w:val="BodyText"/>
        <w:jc w:val="center"/>
      </w:pPr>
      <w:r>
        <w:t>James A. Lomastro PhD</w:t>
      </w:r>
    </w:p>
    <w:p w14:paraId="472ABBDF" w14:textId="77777777" w:rsidR="00275774" w:rsidRDefault="00275774" w:rsidP="00275774">
      <w:pPr>
        <w:pStyle w:val="BodyText"/>
        <w:jc w:val="center"/>
      </w:pPr>
      <w:r>
        <w:t>Dignity Alliance Facilities Workgroup</w:t>
      </w:r>
    </w:p>
    <w:p w14:paraId="4D762803" w14:textId="77777777" w:rsidR="00275774" w:rsidRDefault="00275774" w:rsidP="00275774">
      <w:pPr>
        <w:pStyle w:val="BodyText"/>
        <w:jc w:val="center"/>
      </w:pPr>
      <w:r>
        <w:t>45 Larchmeadow Drive</w:t>
      </w:r>
    </w:p>
    <w:p w14:paraId="48E9D84D" w14:textId="77777777" w:rsidR="00275774" w:rsidRDefault="00275774" w:rsidP="00275774">
      <w:pPr>
        <w:pStyle w:val="BodyText"/>
        <w:jc w:val="center"/>
      </w:pPr>
      <w:r>
        <w:t>Conway, Massachusetts 01341</w:t>
      </w:r>
    </w:p>
    <w:p w14:paraId="3ACAA224" w14:textId="77777777" w:rsidR="00275774" w:rsidRPr="00275774" w:rsidRDefault="00275774" w:rsidP="00275774">
      <w:pPr>
        <w:pStyle w:val="BodyText"/>
      </w:pPr>
    </w:p>
    <w:p w14:paraId="48AD60E4" w14:textId="77777777" w:rsidR="003823D8" w:rsidRDefault="00561751">
      <w:pPr>
        <w:pStyle w:val="FirstParagraph"/>
      </w:pPr>
      <w:r>
        <w:rPr>
          <w:b/>
          <w:bCs/>
        </w:rPr>
        <w:t>Re:</w:t>
      </w:r>
      <w:r>
        <w:t xml:space="preserve"> Proposed Amendments to 105 CMR 153.000 — Licensure Procedure and Suitability Requirements for Long-Term Care Facilities</w:t>
      </w:r>
      <w:r>
        <w:br/>
      </w:r>
      <w:r>
        <w:rPr>
          <w:b/>
          <w:bCs/>
        </w:rPr>
        <w:t>Submitted to:</w:t>
      </w:r>
      <w:r>
        <w:t xml:space="preserve"> Massachusetts Department of Public Health</w:t>
      </w:r>
      <w:r>
        <w:br/>
      </w:r>
      <w:r>
        <w:rPr>
          <w:b/>
          <w:bCs/>
        </w:rPr>
        <w:t>Pursuant to:</w:t>
      </w:r>
      <w:r>
        <w:t xml:space="preserve"> M.G.L. c. 30A, § 2</w:t>
      </w:r>
    </w:p>
    <w:p w14:paraId="3E6AEEB5" w14:textId="77777777" w:rsidR="003823D8" w:rsidRDefault="00561751">
      <w:pPr>
        <w:pStyle w:val="Heading2"/>
      </w:pPr>
      <w:bookmarkStart w:id="1" w:name="i.-statement-of-position"/>
      <w:r>
        <w:t>I. Statement of Position</w:t>
      </w:r>
    </w:p>
    <w:p w14:paraId="27547477" w14:textId="77777777" w:rsidR="003823D8" w:rsidRDefault="00561751">
      <w:pPr>
        <w:pStyle w:val="FirstParagraph"/>
      </w:pPr>
      <w:r>
        <w:t>I submit this testimony regarding the Department of Public Health’s proposed amendments to 105 CMR 153.000, governing licensure procedures, suitability determinations, enforcement, and ownership changes for long-term care facilities.</w:t>
      </w:r>
    </w:p>
    <w:p w14:paraId="6E04C37B" w14:textId="77777777" w:rsidR="003823D8" w:rsidRDefault="00561751">
      <w:pPr>
        <w:pStyle w:val="BodyText"/>
      </w:pPr>
      <w:r>
        <w:t>At the outset: the proposed amendments are largely authorized by, and consistent with, Chapter 197 of the Acts of 2024, which significantly expanded the Department’s statutory authority over licensure, ownership, management companies, and suitability determinations for long-term care facilities.¹ The amendments to 105 CMR 153 appropriately implement the Legislature’s directive to strengthen oversight of facility ownership, management structures, and operational responsibility.</w:t>
      </w:r>
    </w:p>
    <w:p w14:paraId="47CC461C" w14:textId="77777777" w:rsidR="003823D8" w:rsidRDefault="00561751">
      <w:pPr>
        <w:pStyle w:val="BodyText"/>
      </w:pPr>
      <w:r>
        <w:t xml:space="preserve">However, as with the companion regulations at 105 CMR 150.000, </w:t>
      </w:r>
      <w:r>
        <w:rPr>
          <w:b/>
          <w:bCs/>
        </w:rPr>
        <w:t>legal sufficiency does not resolve whether the regulatory framework adequately addresses the governance failures that prompted legislative action.</w:t>
      </w:r>
      <w:r>
        <w:t xml:space="preserve"> This testimony therefore addresses both statutory conformity and structural risk.</w:t>
      </w:r>
    </w:p>
    <w:p w14:paraId="02AA86C1" w14:textId="77777777" w:rsidR="003823D8" w:rsidRDefault="00561751">
      <w:pPr>
        <w:pStyle w:val="BodyText"/>
      </w:pPr>
      <w:r>
        <w:t xml:space="preserve">The fundamental question is not whether the Department </w:t>
      </w:r>
      <w:r>
        <w:rPr>
          <w:i/>
          <w:iCs/>
        </w:rPr>
        <w:t>may</w:t>
      </w:r>
      <w:r>
        <w:t xml:space="preserve"> exercise expanded oversight authority, but whether the regulations ensure that it </w:t>
      </w:r>
      <w:r>
        <w:rPr>
          <w:i/>
          <w:iCs/>
        </w:rPr>
        <w:t>will</w:t>
      </w:r>
      <w:r>
        <w:t xml:space="preserve"> exercise that authority in ways that prevent recurrent patterns of ownership-driven harm. </w:t>
      </w:r>
      <w:r>
        <w:rPr>
          <w:b/>
          <w:bCs/>
        </w:rPr>
        <w:t>Authority without operationalized standards risks creating the appearance of enhanced oversight while preserving the conditions that have historically enabled extraction-oriented business models to persist.</w:t>
      </w:r>
    </w:p>
    <w:p w14:paraId="630040C6" w14:textId="77777777" w:rsidR="003823D8" w:rsidRDefault="00561751">
      <w:pPr>
        <w:pStyle w:val="Heading2"/>
      </w:pPr>
      <w:bookmarkStart w:id="2" w:name="Xfefa0cbac19bff35a5098d0310efc873324b617"/>
      <w:bookmarkEnd w:id="1"/>
      <w:r>
        <w:lastRenderedPageBreak/>
        <w:t>II. Statutory Authority and Legal Conformity</w:t>
      </w:r>
    </w:p>
    <w:p w14:paraId="1BC1E1A6" w14:textId="77777777" w:rsidR="003823D8" w:rsidRDefault="00561751">
      <w:pPr>
        <w:pStyle w:val="Heading3"/>
      </w:pPr>
      <w:bookmarkStart w:id="3" w:name="a.-expanded-suitability-authority"/>
      <w:r>
        <w:t>A. Expanded Suitability Authority</w:t>
      </w:r>
    </w:p>
    <w:p w14:paraId="77FA4F21" w14:textId="77777777" w:rsidR="003823D8" w:rsidRDefault="00561751">
      <w:pPr>
        <w:pStyle w:val="FirstParagraph"/>
      </w:pPr>
      <w:r>
        <w:t>Chapter 197 amended M.G.L. c. 111, § 71 to expand the Department’s authority to assess the suitability and responsibility of applicants, licensees, potential transferees, owners, and management companies, including review of:</w:t>
      </w:r>
    </w:p>
    <w:p w14:paraId="58BA9D2C" w14:textId="77777777" w:rsidR="003823D8" w:rsidRDefault="00561751">
      <w:pPr>
        <w:pStyle w:val="Compact"/>
        <w:numPr>
          <w:ilvl w:val="0"/>
          <w:numId w:val="2"/>
        </w:numPr>
      </w:pPr>
      <w:r>
        <w:t>Prior enforcement and licensure history across all jurisdictions</w:t>
      </w:r>
    </w:p>
    <w:p w14:paraId="0A2C8850" w14:textId="77777777" w:rsidR="003823D8" w:rsidRDefault="00561751">
      <w:pPr>
        <w:pStyle w:val="Compact"/>
        <w:numPr>
          <w:ilvl w:val="0"/>
          <w:numId w:val="2"/>
        </w:numPr>
      </w:pPr>
      <w:r>
        <w:t>Financial capacity and solvency</w:t>
      </w:r>
    </w:p>
    <w:p w14:paraId="69762B0B" w14:textId="77777777" w:rsidR="003823D8" w:rsidRDefault="00561751">
      <w:pPr>
        <w:pStyle w:val="Compact"/>
        <w:numPr>
          <w:ilvl w:val="0"/>
          <w:numId w:val="2"/>
        </w:numPr>
      </w:pPr>
      <w:r>
        <w:t>Patterns of substandard care delivery</w:t>
      </w:r>
    </w:p>
    <w:p w14:paraId="755E37DC" w14:textId="77777777" w:rsidR="003823D8" w:rsidRDefault="00561751">
      <w:pPr>
        <w:pStyle w:val="Compact"/>
        <w:numPr>
          <w:ilvl w:val="0"/>
          <w:numId w:val="2"/>
        </w:numPr>
      </w:pPr>
      <w:r>
        <w:t>Corporate control and ownership structures</w:t>
      </w:r>
    </w:p>
    <w:p w14:paraId="3A91DE38" w14:textId="77777777" w:rsidR="003823D8" w:rsidRDefault="00561751">
      <w:pPr>
        <w:pStyle w:val="Compact"/>
        <w:numPr>
          <w:ilvl w:val="0"/>
          <w:numId w:val="2"/>
        </w:numPr>
      </w:pPr>
      <w:r>
        <w:t>Litigation history and civil or criminal proceedings²</w:t>
      </w:r>
    </w:p>
    <w:p w14:paraId="0906E862" w14:textId="77777777" w:rsidR="003823D8" w:rsidRDefault="00561751">
      <w:pPr>
        <w:pStyle w:val="FirstParagraph"/>
      </w:pPr>
      <w:r>
        <w:t>The proposed revisions to 105 CMR 153.011 and 153.0132 directly implement this expanded authority by:</w:t>
      </w:r>
    </w:p>
    <w:p w14:paraId="690DA980" w14:textId="77777777" w:rsidR="003823D8" w:rsidRDefault="00561751">
      <w:pPr>
        <w:pStyle w:val="Compact"/>
        <w:numPr>
          <w:ilvl w:val="0"/>
          <w:numId w:val="3"/>
        </w:numPr>
      </w:pPr>
      <w:r>
        <w:t>Requiring pre-approval of management companies before engagement</w:t>
      </w:r>
    </w:p>
    <w:p w14:paraId="4C2C92A7" w14:textId="77777777" w:rsidR="003823D8" w:rsidRDefault="00561751">
      <w:pPr>
        <w:pStyle w:val="Compact"/>
        <w:numPr>
          <w:ilvl w:val="0"/>
          <w:numId w:val="3"/>
        </w:numPr>
      </w:pPr>
      <w:r>
        <w:t>Extending suitability findings to owners and affiliated entities</w:t>
      </w:r>
    </w:p>
    <w:p w14:paraId="6502F3DF" w14:textId="77777777" w:rsidR="003823D8" w:rsidRDefault="00561751">
      <w:pPr>
        <w:pStyle w:val="Compact"/>
        <w:numPr>
          <w:ilvl w:val="0"/>
          <w:numId w:val="3"/>
        </w:numPr>
      </w:pPr>
      <w:r>
        <w:t>Authorizing denial, suspension, or revocation based on prior conduct across facilities</w:t>
      </w:r>
    </w:p>
    <w:p w14:paraId="3D529EBC" w14:textId="77777777" w:rsidR="003823D8" w:rsidRDefault="00561751">
      <w:pPr>
        <w:pStyle w:val="Compact"/>
        <w:numPr>
          <w:ilvl w:val="0"/>
          <w:numId w:val="3"/>
        </w:numPr>
      </w:pPr>
      <w:r>
        <w:t>Establishing grounds for unsuitability based on enforcement history, financial instability, and quality outcomes</w:t>
      </w:r>
    </w:p>
    <w:p w14:paraId="25A05B47" w14:textId="77777777" w:rsidR="003823D8" w:rsidRDefault="00561751">
      <w:pPr>
        <w:pStyle w:val="FirstParagraph"/>
      </w:pPr>
      <w:r>
        <w:rPr>
          <w:b/>
          <w:bCs/>
        </w:rPr>
        <w:t>Statutory Language and Implementation:</w:t>
      </w:r>
      <w:r>
        <w:br/>
      </w:r>
      <w:r>
        <w:t>The statute provides that the Department “shall” conduct suitability review and “may” deny licensure or approval based on findings regarding the factors enumerated above. The regulations track this language, establishing Department authority while preserving enforcement discretion.</w:t>
      </w:r>
    </w:p>
    <w:p w14:paraId="13DA897D" w14:textId="77777777" w:rsidR="003823D8" w:rsidRDefault="00561751">
      <w:pPr>
        <w:pStyle w:val="BodyText"/>
      </w:pPr>
      <w:r>
        <w:rPr>
          <w:b/>
          <w:bCs/>
        </w:rPr>
        <w:t>Conclusion:</w:t>
      </w:r>
      <w:r>
        <w:t xml:space="preserve"> These provisions are firmly grounded in statute and are not ultra vires.</w:t>
      </w:r>
    </w:p>
    <w:p w14:paraId="41D939F5" w14:textId="77777777" w:rsidR="003823D8" w:rsidRDefault="00561751">
      <w:pPr>
        <w:pStyle w:val="Heading3"/>
      </w:pPr>
      <w:bookmarkStart w:id="4" w:name="b.-management-company-oversight"/>
      <w:bookmarkEnd w:id="3"/>
      <w:r>
        <w:t>B. Management Company Oversight</w:t>
      </w:r>
    </w:p>
    <w:p w14:paraId="459132A9" w14:textId="77777777" w:rsidR="003823D8" w:rsidRDefault="00561751">
      <w:pPr>
        <w:pStyle w:val="FirstParagraph"/>
      </w:pPr>
      <w:r>
        <w:t>Chapter 197 explicitly authorizes the Department to conduct suitability review of management companies engaged by long-term care facilities, recognizing that operational control may rest with entities that do not hold the license.³</w:t>
      </w:r>
    </w:p>
    <w:p w14:paraId="6E51623F" w14:textId="77777777" w:rsidR="003823D8" w:rsidRDefault="00561751">
      <w:pPr>
        <w:pStyle w:val="BodyText"/>
      </w:pPr>
      <w:r>
        <w:t>The proposed amendments require: - Department approval prior to engagement of any management company - Ongoing disclosure obligations regarding management arrangements - Filing of executed management contracts - Authority to revoke management company approval based on performance</w:t>
      </w:r>
    </w:p>
    <w:p w14:paraId="4332F775" w14:textId="77777777" w:rsidR="003823D8" w:rsidRDefault="00561751">
      <w:pPr>
        <w:pStyle w:val="BodyText"/>
      </w:pPr>
      <w:r>
        <w:rPr>
          <w:b/>
          <w:bCs/>
        </w:rPr>
        <w:t>Legislative Context:</w:t>
      </w:r>
      <w:r>
        <w:br/>
        <w:t xml:space="preserve">This provision responds to documented cases where management companies effectively controlled facility operations, extracted substantial fees, yet bore no direct regulatory accountability. By requiring pre-approval and maintaining ongoing oversight, the </w:t>
      </w:r>
      <w:r>
        <w:lastRenderedPageBreak/>
        <w:t>Legislature sought to extend accountability to entities that exercise functional control regardless of formal licensing relationships.</w:t>
      </w:r>
    </w:p>
    <w:p w14:paraId="154C24FD" w14:textId="77777777" w:rsidR="003823D8" w:rsidRDefault="00561751">
      <w:pPr>
        <w:pStyle w:val="BodyText"/>
      </w:pPr>
      <w:r>
        <w:rPr>
          <w:b/>
          <w:bCs/>
        </w:rPr>
        <w:t>Conclusion:</w:t>
      </w:r>
      <w:r>
        <w:t xml:space="preserve"> The Department is implementing a clear legislative mandate.</w:t>
      </w:r>
    </w:p>
    <w:p w14:paraId="2533BD74" w14:textId="77777777" w:rsidR="003823D8" w:rsidRDefault="00561751">
      <w:pPr>
        <w:pStyle w:val="Heading3"/>
      </w:pPr>
      <w:bookmarkStart w:id="5" w:name="c.-ownership-transfers-and-public-notice"/>
      <w:bookmarkEnd w:id="4"/>
      <w:r>
        <w:t>C. Ownership Transfers and Public Notice</w:t>
      </w:r>
    </w:p>
    <w:p w14:paraId="4CF7BFD1" w14:textId="77777777" w:rsidR="003823D8" w:rsidRDefault="00561751">
      <w:pPr>
        <w:pStyle w:val="FirstParagraph"/>
      </w:pPr>
      <w:r>
        <w:t>The statute strengthens oversight of transfers of ownership and control, requiring advance notice, suitability review, and public transparency.⁴ The proposed revisions to 105 CMR 153.03322 expand notice requirements beyond the traditional parties (residents, families) to include:</w:t>
      </w:r>
    </w:p>
    <w:p w14:paraId="57868300" w14:textId="77777777" w:rsidR="003823D8" w:rsidRDefault="00561751">
      <w:pPr>
        <w:pStyle w:val="Compact"/>
        <w:numPr>
          <w:ilvl w:val="0"/>
          <w:numId w:val="4"/>
        </w:numPr>
      </w:pPr>
      <w:r>
        <w:t>Staff</w:t>
      </w:r>
    </w:p>
    <w:p w14:paraId="5E5C7B2D" w14:textId="77777777" w:rsidR="003823D8" w:rsidRDefault="00561751">
      <w:pPr>
        <w:pStyle w:val="Compact"/>
        <w:numPr>
          <w:ilvl w:val="0"/>
          <w:numId w:val="4"/>
        </w:numPr>
      </w:pPr>
      <w:r>
        <w:t>Labor organizations representing staff</w:t>
      </w:r>
    </w:p>
    <w:p w14:paraId="1CEE67EF" w14:textId="77777777" w:rsidR="003823D8" w:rsidRDefault="00561751">
      <w:pPr>
        <w:pStyle w:val="Compact"/>
        <w:numPr>
          <w:ilvl w:val="0"/>
          <w:numId w:val="4"/>
        </w:numPr>
      </w:pPr>
      <w:r>
        <w:t>State and local ombudsmen</w:t>
      </w:r>
    </w:p>
    <w:p w14:paraId="0115F599" w14:textId="77777777" w:rsidR="003823D8" w:rsidRDefault="00561751">
      <w:pPr>
        <w:pStyle w:val="Compact"/>
        <w:numPr>
          <w:ilvl w:val="0"/>
          <w:numId w:val="4"/>
        </w:numPr>
      </w:pPr>
      <w:r>
        <w:t>State legislators representing the facility’s district</w:t>
      </w:r>
    </w:p>
    <w:p w14:paraId="427BA3C8" w14:textId="77777777" w:rsidR="003823D8" w:rsidRDefault="00561751">
      <w:pPr>
        <w:pStyle w:val="FirstParagraph"/>
      </w:pPr>
      <w:r>
        <w:rPr>
          <w:b/>
          <w:bCs/>
        </w:rPr>
        <w:t>Policy Rationale:</w:t>
      </w:r>
      <w:r>
        <w:br/>
        <w:t>Ownership transfers often correlate with changes in care quality, staffing levels, and operational priorities. Expanding notice requirements enables affected parties to provide input during suitability review and creates accountability for post-transfer outcomes.</w:t>
      </w:r>
    </w:p>
    <w:p w14:paraId="1C470826" w14:textId="77777777" w:rsidR="003823D8" w:rsidRDefault="00561751">
      <w:pPr>
        <w:pStyle w:val="BodyText"/>
      </w:pPr>
      <w:r>
        <w:rPr>
          <w:b/>
          <w:bCs/>
        </w:rPr>
        <w:t>Conclusion:</w:t>
      </w:r>
      <w:r>
        <w:t xml:space="preserve"> These provisions are consistent with statutory intent and legally sound.</w:t>
      </w:r>
    </w:p>
    <w:p w14:paraId="6C106C99" w14:textId="77777777" w:rsidR="003823D8" w:rsidRDefault="00561751">
      <w:pPr>
        <w:pStyle w:val="Heading3"/>
      </w:pPr>
      <w:bookmarkStart w:id="6" w:name="X3e8d6fd5cc47e9bd2b60030a63e138107a7bbb0"/>
      <w:bookmarkEnd w:id="5"/>
      <w:r>
        <w:t>D. Enforcement, Suspension, and Summary Action</w:t>
      </w:r>
    </w:p>
    <w:p w14:paraId="4D231EC5" w14:textId="77777777" w:rsidR="003823D8" w:rsidRDefault="00561751">
      <w:pPr>
        <w:pStyle w:val="FirstParagraph"/>
      </w:pPr>
      <w:r>
        <w:t>Chapter 197 preserves and clarifies the Department’s authority to impose summary suspension, limitations on admissions, temporary management, and license revocation when jeopardy or sustained noncompliance exists.⁵ The proposed amendments consolidate and clarify enforcement pathways, hearing rights, and standards of review.</w:t>
      </w:r>
    </w:p>
    <w:p w14:paraId="576048B3" w14:textId="77777777" w:rsidR="003823D8" w:rsidRDefault="00561751">
      <w:pPr>
        <w:pStyle w:val="BodyText"/>
      </w:pPr>
      <w:r>
        <w:rPr>
          <w:b/>
          <w:bCs/>
        </w:rPr>
        <w:t>Procedural Safeguards:</w:t>
      </w:r>
      <w:r>
        <w:br/>
        <w:t>The regulations maintain due process protections while enabling swift action when resident safety requires immediate intervention. This balance reflects constitutional requirements and practical necessity.</w:t>
      </w:r>
    </w:p>
    <w:p w14:paraId="23D1F2C4" w14:textId="77777777" w:rsidR="003823D8" w:rsidRDefault="00561751">
      <w:pPr>
        <w:pStyle w:val="BodyText"/>
      </w:pPr>
      <w:r>
        <w:rPr>
          <w:b/>
          <w:bCs/>
        </w:rPr>
        <w:t>Conclusion:</w:t>
      </w:r>
      <w:r>
        <w:t xml:space="preserve"> These provisions are consistent with existing statutory authority and Chapter 197’s remedial purpose.</w:t>
      </w:r>
    </w:p>
    <w:p w14:paraId="485B06B8" w14:textId="77777777" w:rsidR="003823D8" w:rsidRDefault="00561751">
      <w:pPr>
        <w:pStyle w:val="Heading2"/>
      </w:pPr>
      <w:bookmarkStart w:id="7" w:name="iii.-structural-and-governance-risks"/>
      <w:bookmarkEnd w:id="2"/>
      <w:bookmarkEnd w:id="6"/>
      <w:r>
        <w:t>III. Structural and Governance Risks</w:t>
      </w:r>
    </w:p>
    <w:p w14:paraId="671D9F8D" w14:textId="77777777" w:rsidR="003823D8" w:rsidRDefault="00561751">
      <w:pPr>
        <w:pStyle w:val="FirstParagraph"/>
      </w:pPr>
      <w:r>
        <w:t xml:space="preserve">While the regulations are legally authorized, they remain structurally constrained by a discretionary enforcement model that may limit their effectiveness in addressing systemic risk. </w:t>
      </w:r>
      <w:r>
        <w:rPr>
          <w:b/>
          <w:bCs/>
        </w:rPr>
        <w:t>These constraints do not render the regulations unlawful, but they may undermine their capacity to achieve the Legislature’s remedial goals.</w:t>
      </w:r>
    </w:p>
    <w:p w14:paraId="767ED4D6" w14:textId="77777777" w:rsidR="003823D8" w:rsidRDefault="00561751">
      <w:pPr>
        <w:pStyle w:val="Heading3"/>
      </w:pPr>
      <w:bookmarkStart w:id="8" w:name="Xd5e28098410dadc6bc5c6f1c6c0f01af8708386"/>
      <w:r>
        <w:t>1. Suitability Standards Remain Broad but Indeterminate</w:t>
      </w:r>
    </w:p>
    <w:p w14:paraId="7AB8162B" w14:textId="77777777" w:rsidR="003823D8" w:rsidRDefault="00561751">
      <w:pPr>
        <w:pStyle w:val="FirstParagraph"/>
      </w:pPr>
      <w:r>
        <w:rPr>
          <w:b/>
          <w:bCs/>
        </w:rPr>
        <w:t>The Authority Exists, But the Architecture Does Not:</w:t>
      </w:r>
    </w:p>
    <w:p w14:paraId="03375634" w14:textId="77777777" w:rsidR="003823D8" w:rsidRDefault="00561751">
      <w:pPr>
        <w:pStyle w:val="BodyText"/>
      </w:pPr>
      <w:r>
        <w:lastRenderedPageBreak/>
        <w:t>Although 105 CMR 153.0132 enumerates grounds for unsuitability—enforcement history, financial capacity, patterns of substandard care—many determinations remain discretionary and retrospective, relying on enforcement history rather than forward-looking governance risk indicators.</w:t>
      </w:r>
    </w:p>
    <w:p w14:paraId="7CF2AFA0" w14:textId="77777777" w:rsidR="003823D8" w:rsidRDefault="00561751">
      <w:pPr>
        <w:pStyle w:val="BodyText"/>
      </w:pPr>
      <w:r>
        <w:rPr>
          <w:b/>
          <w:bCs/>
        </w:rPr>
        <w:t>What This Means in Practice:</w:t>
      </w:r>
    </w:p>
    <w:p w14:paraId="054889D0" w14:textId="77777777" w:rsidR="003823D8" w:rsidRDefault="00561751">
      <w:pPr>
        <w:pStyle w:val="BodyText"/>
      </w:pPr>
      <w:r>
        <w:t>Consider three scenarios:</w:t>
      </w:r>
    </w:p>
    <w:p w14:paraId="4ADB9E32" w14:textId="77777777" w:rsidR="003823D8" w:rsidRDefault="00561751">
      <w:pPr>
        <w:pStyle w:val="BodyText"/>
      </w:pPr>
      <w:r>
        <w:rPr>
          <w:b/>
          <w:bCs/>
        </w:rPr>
        <w:t>Scenario A: The Repeat Offender</w:t>
      </w:r>
      <w:r>
        <w:br/>
        <w:t>An applicant operates 20 nursing homes across New England. In Massachusetts, three of their five facilities have been cited for immediate jeopardy within the past three years. Two facilities have chronic staffing violations. One facility was subject to temporary management. The applicant seeks approval to acquire another Massachusetts facility.</w:t>
      </w:r>
    </w:p>
    <w:p w14:paraId="6650AF64" w14:textId="77777777" w:rsidR="003823D8" w:rsidRDefault="00561751">
      <w:pPr>
        <w:pStyle w:val="BodyText"/>
      </w:pPr>
      <w:r>
        <w:rPr>
          <w:i/>
          <w:iCs/>
        </w:rPr>
        <w:t>Question:</w:t>
      </w:r>
      <w:r>
        <w:t xml:space="preserve"> Do these facts create a presumption of unsuitability, or merely factors for consideration? Must the Department deny approval, or may it approve subject to conditions? If approval is conditioned, what conditions are adequate, and what standards govern monitoring?</w:t>
      </w:r>
    </w:p>
    <w:p w14:paraId="40657741" w14:textId="77777777" w:rsidR="003823D8" w:rsidRDefault="00561751">
      <w:pPr>
        <w:pStyle w:val="BodyText"/>
      </w:pPr>
      <w:r>
        <w:rPr>
          <w:b/>
          <w:bCs/>
        </w:rPr>
        <w:t>Scenario B: The Financial Engineer</w:t>
      </w:r>
      <w:r>
        <w:br/>
      </w:r>
      <w:r>
        <w:t>An applicant operates facilities where 18% of gross revenue flows to related parties through management fees, lease payments, and consulting arrangements. Facilities consistently staff at exactly regulatory minimums. The applicant has never had an immediate jeopardy finding, but facilities rank in the bottom quartile for quality measures. Financial statements show profitability, but little operating margin for staffing increases or capital improvements.</w:t>
      </w:r>
    </w:p>
    <w:p w14:paraId="0F9CCFFC" w14:textId="77777777" w:rsidR="003823D8" w:rsidRDefault="00561751">
      <w:pPr>
        <w:pStyle w:val="BodyText"/>
      </w:pPr>
      <w:r>
        <w:rPr>
          <w:i/>
          <w:iCs/>
        </w:rPr>
        <w:t>Question:</w:t>
      </w:r>
      <w:r>
        <w:t xml:space="preserve"> Does financial extraction absent enforcement violations constitute grounds for unsuitability? Must the applicant demonstrate that related-party payments do not impair resident care, or must the Department prove that they do?</w:t>
      </w:r>
    </w:p>
    <w:p w14:paraId="0DE3A215" w14:textId="77777777" w:rsidR="003823D8" w:rsidRDefault="00561751">
      <w:pPr>
        <w:pStyle w:val="BodyText"/>
      </w:pPr>
      <w:r>
        <w:rPr>
          <w:b/>
          <w:bCs/>
        </w:rPr>
        <w:t>Scenario C: The Serial Seller</w:t>
      </w:r>
      <w:r>
        <w:br/>
        <w:t>An applicant has a pattern of acquiring facilities, operating them for 3-5 years, then selling to new owners often at substantial profit. During ownership, facilities typically decline in quality rankings. Post-sale, new owners inherit compliance problems. The applicant maintains that all facilities were “in compliance” at time of sale and that subsequent problems resulted from new owners’ management.</w:t>
      </w:r>
    </w:p>
    <w:p w14:paraId="70CDC78F" w14:textId="77777777" w:rsidR="003823D8" w:rsidRDefault="00561751">
      <w:pPr>
        <w:pStyle w:val="BodyText"/>
      </w:pPr>
      <w:r>
        <w:rPr>
          <w:i/>
          <w:iCs/>
        </w:rPr>
        <w:t>Question:</w:t>
      </w:r>
      <w:r>
        <w:t xml:space="preserve"> Does this pattern indicate unsuitability, or merely successful business practice? Should suitability review consider the condition in which facilities are left, not merely the absence of immediate jeopardy during ownership?</w:t>
      </w:r>
    </w:p>
    <w:p w14:paraId="216DA12D" w14:textId="77777777" w:rsidR="003823D8" w:rsidRDefault="00561751">
      <w:pPr>
        <w:pStyle w:val="BodyText"/>
      </w:pPr>
      <w:r>
        <w:rPr>
          <w:b/>
          <w:bCs/>
        </w:rPr>
        <w:t>The Problem of Indeterminate Standards:</w:t>
      </w:r>
    </w:p>
    <w:p w14:paraId="05CD084E" w14:textId="77777777" w:rsidR="003823D8" w:rsidRDefault="00561751">
      <w:pPr>
        <w:pStyle w:val="BodyText"/>
      </w:pPr>
      <w:r>
        <w:t>The regulations authorize the Department to consider these scenarios but do not establish presumptions, burden-shifting frameworks, or objective thresholds that guide the exercise of discretion. This creates several risks:</w:t>
      </w:r>
    </w:p>
    <w:p w14:paraId="25C43A5B" w14:textId="77777777" w:rsidR="003823D8" w:rsidRDefault="00561751">
      <w:pPr>
        <w:numPr>
          <w:ilvl w:val="0"/>
          <w:numId w:val="5"/>
        </w:numPr>
      </w:pPr>
      <w:r>
        <w:rPr>
          <w:b/>
          <w:bCs/>
        </w:rPr>
        <w:lastRenderedPageBreak/>
        <w:t>Inconsistent Application:</w:t>
      </w:r>
      <w:r>
        <w:t xml:space="preserve"> Different reviewers may reach different conclusions about materially similar applicants.</w:t>
      </w:r>
    </w:p>
    <w:p w14:paraId="73FF7A5D" w14:textId="77777777" w:rsidR="003823D8" w:rsidRDefault="00561751">
      <w:pPr>
        <w:numPr>
          <w:ilvl w:val="0"/>
          <w:numId w:val="5"/>
        </w:numPr>
      </w:pPr>
      <w:r>
        <w:rPr>
          <w:b/>
          <w:bCs/>
        </w:rPr>
        <w:t>Burden Misalignment:</w:t>
      </w:r>
      <w:r>
        <w:t xml:space="preserve"> Without presumptions, the Department must affirmatively prove unsuitability in each case rather than requiring high-risk applicants to demonstrate governance adequacy.</w:t>
      </w:r>
    </w:p>
    <w:p w14:paraId="2B0642AA" w14:textId="77777777" w:rsidR="003823D8" w:rsidRDefault="00561751">
      <w:pPr>
        <w:numPr>
          <w:ilvl w:val="0"/>
          <w:numId w:val="5"/>
        </w:numPr>
      </w:pPr>
      <w:r>
        <w:rPr>
          <w:b/>
          <w:bCs/>
        </w:rPr>
        <w:t>Retrospective Focus:</w:t>
      </w:r>
      <w:r>
        <w:t xml:space="preserve"> Suitability review emphasizes past enforcement violations rather than forward-looking assessment of business models and governance structures that predict future compliance.</w:t>
      </w:r>
    </w:p>
    <w:p w14:paraId="2A38376B" w14:textId="77777777" w:rsidR="003823D8" w:rsidRDefault="00561751">
      <w:pPr>
        <w:numPr>
          <w:ilvl w:val="0"/>
          <w:numId w:val="5"/>
        </w:numPr>
      </w:pPr>
      <w:r>
        <w:rPr>
          <w:b/>
          <w:bCs/>
        </w:rPr>
        <w:t>Enforcement Gaps:</w:t>
      </w:r>
      <w:r>
        <w:t xml:space="preserve"> Operators who consistently comply at the minimum level, avoid immediate jeopardy findings, but deliver mediocre care and extract maximum revenue face limited suitability scrutiny.</w:t>
      </w:r>
    </w:p>
    <w:p w14:paraId="49B2DE89" w14:textId="77777777" w:rsidR="003823D8" w:rsidRDefault="00561751">
      <w:pPr>
        <w:pStyle w:val="FirstParagraph"/>
      </w:pPr>
      <w:r>
        <w:rPr>
          <w:b/>
          <w:bCs/>
        </w:rPr>
        <w:t>What Is Missing:</w:t>
      </w:r>
    </w:p>
    <w:p w14:paraId="6E0FFF5D" w14:textId="77777777" w:rsidR="003823D8" w:rsidRDefault="00561751">
      <w:pPr>
        <w:pStyle w:val="BodyText"/>
      </w:pPr>
      <w:r>
        <w:t>Objective governance risk indicators such as:</w:t>
      </w:r>
    </w:p>
    <w:p w14:paraId="76C48B91" w14:textId="77777777" w:rsidR="003823D8" w:rsidRDefault="00561751">
      <w:pPr>
        <w:pStyle w:val="Compact"/>
        <w:numPr>
          <w:ilvl w:val="0"/>
          <w:numId w:val="6"/>
        </w:numPr>
      </w:pPr>
      <w:r>
        <w:rPr>
          <w:b/>
          <w:bCs/>
        </w:rPr>
        <w:t>Chronic Understaffing Threshold:</w:t>
      </w:r>
      <w:r>
        <w:t xml:space="preserve"> Presumption of unsuitability when applicant operates facilities where staffing has fallen below minimum requirements in more than [X]% of surveys over [Y] months</w:t>
      </w:r>
    </w:p>
    <w:p w14:paraId="6D2B3262" w14:textId="77777777" w:rsidR="003823D8" w:rsidRDefault="00561751">
      <w:pPr>
        <w:pStyle w:val="Compact"/>
        <w:numPr>
          <w:ilvl w:val="0"/>
          <w:numId w:val="6"/>
        </w:numPr>
      </w:pPr>
      <w:r>
        <w:rPr>
          <w:b/>
          <w:bCs/>
        </w:rPr>
        <w:t>Related-Party Transaction Threshold:</w:t>
      </w:r>
      <w:r>
        <w:t xml:space="preserve"> Enhanced scrutiny when related-party payments exceed [X]% of operating revenue or industry benchmarks</w:t>
      </w:r>
    </w:p>
    <w:p w14:paraId="2D38CB6B" w14:textId="77777777" w:rsidR="003823D8" w:rsidRDefault="00561751">
      <w:pPr>
        <w:pStyle w:val="Compact"/>
        <w:numPr>
          <w:ilvl w:val="0"/>
          <w:numId w:val="6"/>
        </w:numPr>
      </w:pPr>
      <w:r>
        <w:rPr>
          <w:b/>
          <w:bCs/>
        </w:rPr>
        <w:t>Cross-Facility Pattern Threshold:</w:t>
      </w:r>
      <w:r>
        <w:t xml:space="preserve"> Presumption of unsuitability when [X]% of affiliated facilities have immediate jeopardy findings within [Y] months</w:t>
      </w:r>
    </w:p>
    <w:p w14:paraId="76E09E69" w14:textId="77777777" w:rsidR="003823D8" w:rsidRDefault="00561751">
      <w:pPr>
        <w:pStyle w:val="Compact"/>
        <w:numPr>
          <w:ilvl w:val="0"/>
          <w:numId w:val="6"/>
        </w:numPr>
      </w:pPr>
      <w:r>
        <w:rPr>
          <w:b/>
          <w:bCs/>
        </w:rPr>
        <w:t>Quality Outcome Thresholds:</w:t>
      </w:r>
      <w:r>
        <w:t xml:space="preserve"> Consideration of whether affiliated facilities persistently rank in bottom quartile for quality measures, regardless of technical compliance</w:t>
      </w:r>
    </w:p>
    <w:p w14:paraId="222A1A7B" w14:textId="77777777" w:rsidR="003823D8" w:rsidRDefault="00561751">
      <w:pPr>
        <w:pStyle w:val="Compact"/>
        <w:numPr>
          <w:ilvl w:val="0"/>
          <w:numId w:val="6"/>
        </w:numPr>
      </w:pPr>
      <w:r>
        <w:rPr>
          <w:b/>
          <w:bCs/>
        </w:rPr>
        <w:t>Financial Instability Indicators:</w:t>
      </w:r>
      <w:r>
        <w:t xml:space="preserve"> Presumptive denial when applicant demonstrates insufficient operating margins to sustain compliance during financial stress</w:t>
      </w:r>
    </w:p>
    <w:p w14:paraId="4446AF95" w14:textId="77777777" w:rsidR="003823D8" w:rsidRDefault="00561751">
      <w:pPr>
        <w:pStyle w:val="FirstParagraph"/>
      </w:pPr>
      <w:r>
        <w:t>These thresholds would not eliminate discretion but would create structured decision-making frameworks that: - Shift burdens appropriately (high-risk applicants must demonstrate mitigation) - Enable stakeholder participation (objective standards allow meaningful comment) - Promote consistency (reviewers apply common frameworks) - Function preventively (structural risk indicators trigger review before harm occurs)</w:t>
      </w:r>
    </w:p>
    <w:p w14:paraId="66CACB3B" w14:textId="77777777" w:rsidR="003823D8" w:rsidRDefault="00561751">
      <w:pPr>
        <w:pStyle w:val="Heading3"/>
      </w:pPr>
      <w:bookmarkStart w:id="9" w:name="Xe80539a9b54420591c956132492851a38554e38"/>
      <w:bookmarkEnd w:id="8"/>
      <w:r>
        <w:t>2. Management Companies Are Reviewed, but Not Structurally Constrained</w:t>
      </w:r>
    </w:p>
    <w:p w14:paraId="0CE38A0D" w14:textId="77777777" w:rsidR="003823D8" w:rsidRDefault="00561751">
      <w:pPr>
        <w:pStyle w:val="FirstParagraph"/>
      </w:pPr>
      <w:r>
        <w:rPr>
          <w:b/>
          <w:bCs/>
        </w:rPr>
        <w:t>The Expansion of Authority Is Significant, But Incomplete:</w:t>
      </w:r>
    </w:p>
    <w:p w14:paraId="1033D29E" w14:textId="77777777" w:rsidR="003823D8" w:rsidRDefault="00561751">
      <w:pPr>
        <w:pStyle w:val="BodyText"/>
      </w:pPr>
      <w:r>
        <w:t>Requiring Department approval of management companies represents major regulatory progress. However, approval authority alone does not address the structural incentives that may drive management companies to prioritize cost reduction over care quality.</w:t>
      </w:r>
    </w:p>
    <w:p w14:paraId="2F23AC39" w14:textId="77777777" w:rsidR="003823D8" w:rsidRDefault="00561751">
      <w:pPr>
        <w:pStyle w:val="BodyText"/>
      </w:pPr>
      <w:r>
        <w:rPr>
          <w:b/>
          <w:bCs/>
        </w:rPr>
        <w:t>The Management Company Business Model:</w:t>
      </w:r>
    </w:p>
    <w:p w14:paraId="0692E2B9" w14:textId="77777777" w:rsidR="003823D8" w:rsidRDefault="00561751">
      <w:pPr>
        <w:pStyle w:val="BodyText"/>
      </w:pPr>
      <w:r>
        <w:lastRenderedPageBreak/>
        <w:t>Management companies typically generate revenue through: - Base management fees (percentage of gross revenue or flat fees) - Performance incentives (bonuses for cost reduction, occupancy targets) - Related-party transactions (purchasing services from affiliated entities) - Administrative overhead allocation (charging facilities for centralized services)</w:t>
      </w:r>
    </w:p>
    <w:p w14:paraId="4C1088C8" w14:textId="77777777" w:rsidR="003823D8" w:rsidRDefault="00561751">
      <w:pPr>
        <w:pStyle w:val="BodyText"/>
      </w:pPr>
      <w:r>
        <w:t>These arrangements create tension between management company profitability and facility spending on direct care. When management companies earn fees calculated as percentages of revenue while minimizing expenses, their financial interest may conflict with resident care needs.</w:t>
      </w:r>
    </w:p>
    <w:p w14:paraId="315C35A0" w14:textId="77777777" w:rsidR="003823D8" w:rsidRDefault="00561751">
      <w:pPr>
        <w:pStyle w:val="BodyText"/>
      </w:pPr>
      <w:r>
        <w:rPr>
          <w:b/>
          <w:bCs/>
        </w:rPr>
        <w:t>Concrete Example:</w:t>
      </w:r>
    </w:p>
    <w:p w14:paraId="39821437" w14:textId="77777777" w:rsidR="003823D8" w:rsidRDefault="00561751">
      <w:pPr>
        <w:pStyle w:val="BodyText"/>
      </w:pPr>
      <w:r>
        <w:t>A management company earns a 10% management fee on gross revenue. The facility generates $10 million annually, producing a $1 million management fee. The facility operates at minimum staffing. The management company proposes increasing staffing 15% above minimums at a cost of $750,000 annually. This would improve care quality and likely reduce falls, pressure ulcers, and hospital transfers.</w:t>
      </w:r>
    </w:p>
    <w:p w14:paraId="4E4E5AB2" w14:textId="77777777" w:rsidR="003823D8" w:rsidRDefault="00561751">
      <w:pPr>
        <w:pStyle w:val="BodyText"/>
      </w:pPr>
      <w:r>
        <w:rPr>
          <w:i/>
          <w:iCs/>
        </w:rPr>
        <w:t>However:</w:t>
      </w:r>
      <w:r>
        <w:t xml:space="preserve"> The management company’s fee remains $1 million regardless of whether quality improves. The $750,000 staffing increase reduces facility operating margin without increasing management revenue. If the facility experiences financial stress due to higher staffing, the management company may lose the account entirely.</w:t>
      </w:r>
    </w:p>
    <w:p w14:paraId="2EFA3AE7" w14:textId="77777777" w:rsidR="003823D8" w:rsidRDefault="00561751">
      <w:pPr>
        <w:pStyle w:val="BodyText"/>
      </w:pPr>
      <w:r>
        <w:rPr>
          <w:b/>
          <w:bCs/>
        </w:rPr>
        <w:t>Result:</w:t>
      </w:r>
      <w:r>
        <w:t xml:space="preserve"> The management company’s financial incentive favors maintaining minimum staffing even when adequate resources exist for improvement.</w:t>
      </w:r>
    </w:p>
    <w:p w14:paraId="50B27A65" w14:textId="77777777" w:rsidR="003823D8" w:rsidRDefault="00561751">
      <w:pPr>
        <w:pStyle w:val="BodyText"/>
      </w:pPr>
      <w:r>
        <w:rPr>
          <w:b/>
          <w:bCs/>
        </w:rPr>
        <w:t>What Current Regulations Do:</w:t>
      </w:r>
    </w:p>
    <w:p w14:paraId="6A0E63A8" w14:textId="77777777" w:rsidR="003823D8" w:rsidRDefault="00561751">
      <w:pPr>
        <w:pStyle w:val="BodyText"/>
      </w:pPr>
      <w:r>
        <w:t>The regulations require approval of management companies and authorize review of: - Enforcement history at facilities they manage - Financial capacity - Corporate structure</w:t>
      </w:r>
    </w:p>
    <w:p w14:paraId="4512249C" w14:textId="77777777" w:rsidR="003823D8" w:rsidRDefault="00561751">
      <w:pPr>
        <w:pStyle w:val="BodyText"/>
      </w:pPr>
      <w:r>
        <w:rPr>
          <w:b/>
          <w:bCs/>
        </w:rPr>
        <w:t>What Current Regulations Do Not Do:</w:t>
      </w:r>
    </w:p>
    <w:p w14:paraId="641342D2" w14:textId="77777777" w:rsidR="003823D8" w:rsidRDefault="00561751">
      <w:pPr>
        <w:pStyle w:val="BodyText"/>
      </w:pPr>
      <w:r>
        <w:t>The regulations do not: - Require disclosure of management fee structures or performance incentives - Establish standards for evaluating whether fee arrangements create conflicts of interest - Prohibit or condition approval of arrangements that tie management compensation to cost reduction at the expense of care quality - Require management companies to demonstrate how their fee structure aligns with quality improvement - Impose ongoing monitoring of management company performance across all managed facilit</w:t>
      </w:r>
      <w:r>
        <w:t>ies</w:t>
      </w:r>
    </w:p>
    <w:p w14:paraId="51F75D70" w14:textId="77777777" w:rsidR="003823D8" w:rsidRDefault="00561751">
      <w:pPr>
        <w:pStyle w:val="BodyText"/>
      </w:pPr>
      <w:r>
        <w:rPr>
          <w:b/>
          <w:bCs/>
        </w:rPr>
        <w:t>Why This Matters:</w:t>
      </w:r>
    </w:p>
    <w:p w14:paraId="19C861CA" w14:textId="77777777" w:rsidR="003823D8" w:rsidRDefault="00561751">
      <w:pPr>
        <w:pStyle w:val="BodyText"/>
      </w:pPr>
      <w:r>
        <w:t>Without structural constraints on management arrangements, approval authority risks becoming another procedural hurdle that management companies navigate without fundamental changes to business models that may prioritize extraction over care.</w:t>
      </w:r>
    </w:p>
    <w:p w14:paraId="375C3C87" w14:textId="77777777" w:rsidR="003823D8" w:rsidRDefault="00561751">
      <w:pPr>
        <w:pStyle w:val="BodyText"/>
      </w:pPr>
      <w:r>
        <w:rPr>
          <w:b/>
          <w:bCs/>
        </w:rPr>
        <w:t>What Is Missing:</w:t>
      </w:r>
    </w:p>
    <w:p w14:paraId="688ADF15" w14:textId="77777777" w:rsidR="003823D8" w:rsidRDefault="00561751">
      <w:pPr>
        <w:pStyle w:val="Compact"/>
        <w:numPr>
          <w:ilvl w:val="0"/>
          <w:numId w:val="7"/>
        </w:numPr>
      </w:pPr>
      <w:r>
        <w:rPr>
          <w:b/>
          <w:bCs/>
        </w:rPr>
        <w:lastRenderedPageBreak/>
        <w:t>Fee Structure Disclosure Requirements:</w:t>
      </w:r>
    </w:p>
    <w:p w14:paraId="329D12E1" w14:textId="77777777" w:rsidR="003823D8" w:rsidRDefault="00561751">
      <w:pPr>
        <w:pStyle w:val="Compact"/>
        <w:numPr>
          <w:ilvl w:val="1"/>
          <w:numId w:val="8"/>
        </w:numPr>
      </w:pPr>
      <w:r>
        <w:t>Base management fees as percentage of revenue and absolute dollars</w:t>
      </w:r>
    </w:p>
    <w:p w14:paraId="4EEA0AF1" w14:textId="77777777" w:rsidR="003823D8" w:rsidRDefault="00561751">
      <w:pPr>
        <w:pStyle w:val="Compact"/>
        <w:numPr>
          <w:ilvl w:val="1"/>
          <w:numId w:val="8"/>
        </w:numPr>
      </w:pPr>
      <w:r>
        <w:t>Performance incentive structures and metrics</w:t>
      </w:r>
    </w:p>
    <w:p w14:paraId="03B2AB27" w14:textId="77777777" w:rsidR="003823D8" w:rsidRDefault="00561751">
      <w:pPr>
        <w:pStyle w:val="Compact"/>
        <w:numPr>
          <w:ilvl w:val="1"/>
          <w:numId w:val="8"/>
        </w:numPr>
      </w:pPr>
      <w:r>
        <w:t>Related-party transactions and affiliated service arrangements</w:t>
      </w:r>
    </w:p>
    <w:p w14:paraId="785CA459" w14:textId="77777777" w:rsidR="003823D8" w:rsidRDefault="00561751">
      <w:pPr>
        <w:pStyle w:val="Compact"/>
        <w:numPr>
          <w:ilvl w:val="1"/>
          <w:numId w:val="8"/>
        </w:numPr>
      </w:pPr>
      <w:r>
        <w:t>Administrative overhead allocations</w:t>
      </w:r>
    </w:p>
    <w:p w14:paraId="1519D87B" w14:textId="77777777" w:rsidR="003823D8" w:rsidRDefault="00561751">
      <w:pPr>
        <w:pStyle w:val="Compact"/>
        <w:numPr>
          <w:ilvl w:val="0"/>
          <w:numId w:val="7"/>
        </w:numPr>
      </w:pPr>
      <w:r>
        <w:rPr>
          <w:b/>
          <w:bCs/>
        </w:rPr>
        <w:t>Conflict of Interest Standards:</w:t>
      </w:r>
    </w:p>
    <w:p w14:paraId="1B929A9D" w14:textId="77777777" w:rsidR="003823D8" w:rsidRDefault="00561751">
      <w:pPr>
        <w:pStyle w:val="Compact"/>
        <w:numPr>
          <w:ilvl w:val="1"/>
          <w:numId w:val="9"/>
        </w:numPr>
      </w:pPr>
      <w:r>
        <w:t>Prohibit or condition approval of fee structures that explicitly reward cost reduction without corresponding quality improvement requirements</w:t>
      </w:r>
    </w:p>
    <w:p w14:paraId="624227CA" w14:textId="77777777" w:rsidR="003823D8" w:rsidRDefault="00561751">
      <w:pPr>
        <w:pStyle w:val="Compact"/>
        <w:numPr>
          <w:ilvl w:val="1"/>
          <w:numId w:val="9"/>
        </w:numPr>
      </w:pPr>
      <w:r>
        <w:t>Require demonstration that fee arrangements align management company interests with quality outcomes</w:t>
      </w:r>
    </w:p>
    <w:p w14:paraId="1EFD5769" w14:textId="77777777" w:rsidR="003823D8" w:rsidRDefault="00561751">
      <w:pPr>
        <w:pStyle w:val="Compact"/>
        <w:numPr>
          <w:ilvl w:val="1"/>
          <w:numId w:val="9"/>
        </w:numPr>
      </w:pPr>
      <w:r>
        <w:t>Establish standards for evaluating whether fee levels leave adequate resources for quality care</w:t>
      </w:r>
    </w:p>
    <w:p w14:paraId="780F279D" w14:textId="77777777" w:rsidR="003823D8" w:rsidRDefault="00561751">
      <w:pPr>
        <w:pStyle w:val="Compact"/>
        <w:numPr>
          <w:ilvl w:val="0"/>
          <w:numId w:val="7"/>
        </w:numPr>
      </w:pPr>
      <w:r>
        <w:rPr>
          <w:b/>
          <w:bCs/>
        </w:rPr>
        <w:t>Performance Accountability:</w:t>
      </w:r>
    </w:p>
    <w:p w14:paraId="786FB562" w14:textId="77777777" w:rsidR="003823D8" w:rsidRDefault="00561751">
      <w:pPr>
        <w:pStyle w:val="Compact"/>
        <w:numPr>
          <w:ilvl w:val="1"/>
          <w:numId w:val="10"/>
        </w:numPr>
      </w:pPr>
      <w:r>
        <w:t>Require management companies to report quality outcomes across all managed facilities</w:t>
      </w:r>
    </w:p>
    <w:p w14:paraId="708E5A79" w14:textId="77777777" w:rsidR="003823D8" w:rsidRDefault="00561751">
      <w:pPr>
        <w:pStyle w:val="Compact"/>
        <w:numPr>
          <w:ilvl w:val="1"/>
          <w:numId w:val="10"/>
        </w:numPr>
      </w:pPr>
      <w:r>
        <w:t>Authorize revocation or conditional approval when patterns of poor outcomes emerge</w:t>
      </w:r>
    </w:p>
    <w:p w14:paraId="2031C720" w14:textId="77777777" w:rsidR="003823D8" w:rsidRDefault="00561751">
      <w:pPr>
        <w:pStyle w:val="Compact"/>
        <w:numPr>
          <w:ilvl w:val="1"/>
          <w:numId w:val="10"/>
        </w:numPr>
      </w:pPr>
      <w:r>
        <w:t>Create presumption against approval of management companies where multiple managed facilities exhibit chronic compliance problems</w:t>
      </w:r>
    </w:p>
    <w:p w14:paraId="30B0D125" w14:textId="77777777" w:rsidR="003823D8" w:rsidRDefault="00561751">
      <w:pPr>
        <w:pStyle w:val="Compact"/>
        <w:numPr>
          <w:ilvl w:val="0"/>
          <w:numId w:val="7"/>
        </w:numPr>
      </w:pPr>
      <w:r>
        <w:rPr>
          <w:b/>
          <w:bCs/>
        </w:rPr>
        <w:t>Management Agreement Standards:</w:t>
      </w:r>
    </w:p>
    <w:p w14:paraId="0A544CF7" w14:textId="77777777" w:rsidR="003823D8" w:rsidRDefault="00561751">
      <w:pPr>
        <w:pStyle w:val="Compact"/>
        <w:numPr>
          <w:ilvl w:val="1"/>
          <w:numId w:val="11"/>
        </w:numPr>
      </w:pPr>
      <w:r>
        <w:t>Require agreements to specify management company responsibilities for compliance</w:t>
      </w:r>
    </w:p>
    <w:p w14:paraId="5F194F02" w14:textId="77777777" w:rsidR="003823D8" w:rsidRDefault="00561751">
      <w:pPr>
        <w:pStyle w:val="Compact"/>
        <w:numPr>
          <w:ilvl w:val="1"/>
          <w:numId w:val="11"/>
        </w:numPr>
      </w:pPr>
      <w:r>
        <w:t>Prohibit indemnification clauses that shield management companies from consequences of management failures</w:t>
      </w:r>
    </w:p>
    <w:p w14:paraId="68F8F12A" w14:textId="77777777" w:rsidR="003823D8" w:rsidRDefault="00561751">
      <w:pPr>
        <w:pStyle w:val="Compact"/>
        <w:numPr>
          <w:ilvl w:val="1"/>
          <w:numId w:val="11"/>
        </w:numPr>
      </w:pPr>
      <w:r>
        <w:t>Require demonstration of management company capacity to sustain compliance across all managed facilities</w:t>
      </w:r>
    </w:p>
    <w:p w14:paraId="3148D89C" w14:textId="77777777" w:rsidR="003823D8" w:rsidRDefault="00561751">
      <w:pPr>
        <w:pStyle w:val="Heading3"/>
      </w:pPr>
      <w:bookmarkStart w:id="10" w:name="Xcd08434489fc606a4be5ae468fb71c1e0f350f2"/>
      <w:bookmarkEnd w:id="9"/>
      <w:r>
        <w:t>3. Enforcement Relies Heavily on Administrative Discretion Without Escalation Architecture</w:t>
      </w:r>
    </w:p>
    <w:p w14:paraId="52AAB848" w14:textId="77777777" w:rsidR="003823D8" w:rsidRDefault="00561751">
      <w:pPr>
        <w:pStyle w:val="FirstParagraph"/>
      </w:pPr>
      <w:r>
        <w:rPr>
          <w:b/>
          <w:bCs/>
        </w:rPr>
        <w:t>The Preservation of Discretion Is Lawful, But Its Exercise Is Unpredictable:</w:t>
      </w:r>
    </w:p>
    <w:p w14:paraId="7A6C734D" w14:textId="77777777" w:rsidR="003823D8" w:rsidRDefault="00561751">
      <w:pPr>
        <w:pStyle w:val="BodyText"/>
      </w:pPr>
      <w:r>
        <w:t>The regulations appropriately preserve Department discretion to match enforcement responses to facility circumstances. However, the absence of articulated escalation standards creates risks:</w:t>
      </w:r>
    </w:p>
    <w:p w14:paraId="2D904650" w14:textId="77777777" w:rsidR="003823D8" w:rsidRDefault="00561751">
      <w:pPr>
        <w:pStyle w:val="BodyText"/>
      </w:pPr>
      <w:r>
        <w:rPr>
          <w:b/>
          <w:bCs/>
        </w:rPr>
        <w:t>Risk 1: Tolerance for Chronic Mediocrity</w:t>
      </w:r>
    </w:p>
    <w:p w14:paraId="12E62FC6" w14:textId="77777777" w:rsidR="003823D8" w:rsidRDefault="00561751">
      <w:pPr>
        <w:pStyle w:val="BodyText"/>
      </w:pPr>
      <w:r>
        <w:t>Facilities that consistently hover at minimum compliance—never quite reaching immediate jeopardy, but never approaching excellence—may face limited enforcement pressure. The regulatory system focuses resources on crisis response (immediate jeopardy) while chronic marginal compliance persists.</w:t>
      </w:r>
    </w:p>
    <w:p w14:paraId="23C38810" w14:textId="77777777" w:rsidR="003823D8" w:rsidRDefault="00561751">
      <w:pPr>
        <w:pStyle w:val="BodyText"/>
      </w:pPr>
      <w:r>
        <w:rPr>
          <w:b/>
          <w:bCs/>
        </w:rPr>
        <w:t>Concrete Example:</w:t>
      </w:r>
    </w:p>
    <w:p w14:paraId="1F478C15" w14:textId="77777777" w:rsidR="003823D8" w:rsidRDefault="00561751">
      <w:pPr>
        <w:pStyle w:val="BodyText"/>
      </w:pPr>
      <w:r>
        <w:t xml:space="preserve">Facility X has been cited for staffing violations in 9 of the past 12 quarters. Each violation is corrected during the follow-up survey, then staffing declines again. The facility has not had </w:t>
      </w:r>
      <w:r>
        <w:lastRenderedPageBreak/>
        <w:t>an immediate jeopardy finding. Residents experience elevated fall rates, pressure ulcer prevalence, and delayed assistance with activities of daily living, but these outcomes remain within ranges that don’t trigger immediate enforcement.</w:t>
      </w:r>
    </w:p>
    <w:p w14:paraId="16D5B2EF" w14:textId="77777777" w:rsidR="003823D8" w:rsidRDefault="00561751">
      <w:pPr>
        <w:pStyle w:val="BodyText"/>
      </w:pPr>
      <w:r>
        <w:rPr>
          <w:i/>
          <w:iCs/>
        </w:rPr>
        <w:t>Question:</w:t>
      </w:r>
      <w:r>
        <w:t xml:space="preserve"> At what point does this pattern warrant enforcement beyond the standard citation-correction cycle? Does the Department have standards for identifying when chronic marginal compliance represents a business model rather than episodic operational difficulty?</w:t>
      </w:r>
    </w:p>
    <w:p w14:paraId="1F3E423C" w14:textId="77777777" w:rsidR="003823D8" w:rsidRDefault="00561751">
      <w:pPr>
        <w:pStyle w:val="BodyText"/>
      </w:pPr>
      <w:r>
        <w:rPr>
          <w:b/>
          <w:bCs/>
        </w:rPr>
        <w:t>Risk 2: Cross-Facility Patterns Go Unaddressed</w:t>
      </w:r>
    </w:p>
    <w:p w14:paraId="327FAF3F" w14:textId="77777777" w:rsidR="003823D8" w:rsidRDefault="00561751">
      <w:pPr>
        <w:pStyle w:val="BodyText"/>
      </w:pPr>
      <w:r>
        <w:t>When multiple facilities under common ownership exhibit similar deficiency patterns, it may indicate systemic business model or governance problems rather than site-specific operational issues. However, enforcement often operates facility-by-facility without systematic cross-facility analysis.</w:t>
      </w:r>
    </w:p>
    <w:p w14:paraId="6772C73F" w14:textId="77777777" w:rsidR="003823D8" w:rsidRDefault="00561751">
      <w:pPr>
        <w:pStyle w:val="BodyText"/>
      </w:pPr>
      <w:r>
        <w:rPr>
          <w:b/>
          <w:bCs/>
        </w:rPr>
        <w:t>Concrete Example:</w:t>
      </w:r>
    </w:p>
    <w:p w14:paraId="3952A10A" w14:textId="77777777" w:rsidR="003823D8" w:rsidRDefault="00561751">
      <w:pPr>
        <w:pStyle w:val="BodyText"/>
      </w:pPr>
      <w:r>
        <w:t>Operator Y owns 12 Massachusetts facilities. Eight facilities have repeated staffing violations. Seven facilities have infection control deficiencies. Five facilities operate with consistent complaints from residents and families about inadequate care. Each facility is addressed through individual enforcement processes. No systematic review asks: “What about this operator’s business model or governance generates these patterns?”</w:t>
      </w:r>
    </w:p>
    <w:p w14:paraId="31F8DEB7" w14:textId="77777777" w:rsidR="003823D8" w:rsidRDefault="00561751">
      <w:pPr>
        <w:pStyle w:val="BodyText"/>
      </w:pPr>
      <w:r>
        <w:rPr>
          <w:i/>
          <w:iCs/>
        </w:rPr>
        <w:t>Question:</w:t>
      </w:r>
      <w:r>
        <w:t xml:space="preserve"> Should cross-facility patterns create presumptions requiring enterprise-level intervention rather than facility-by-facility correction?</w:t>
      </w:r>
    </w:p>
    <w:p w14:paraId="3384E367" w14:textId="77777777" w:rsidR="003823D8" w:rsidRDefault="00561751">
      <w:pPr>
        <w:pStyle w:val="BodyText"/>
      </w:pPr>
      <w:r>
        <w:rPr>
          <w:b/>
          <w:bCs/>
        </w:rPr>
        <w:t>Risk 3: Enforcement Becomes Negotiable</w:t>
      </w:r>
    </w:p>
    <w:p w14:paraId="0C14C6DB" w14:textId="77777777" w:rsidR="003823D8" w:rsidRDefault="00561751">
      <w:pPr>
        <w:pStyle w:val="BodyText"/>
      </w:pPr>
      <w:r>
        <w:t>Without predictable escalation standards, enforcement outcomes may depend heavily on negotiation, facility resources for legal representation, and Department capacity for protracted proceedings. Well-resourced operators may secure more favorable outcomes than small operators with identical compliance histories.</w:t>
      </w:r>
    </w:p>
    <w:p w14:paraId="141D6A45" w14:textId="77777777" w:rsidR="003823D8" w:rsidRDefault="00561751">
      <w:pPr>
        <w:pStyle w:val="BodyText"/>
      </w:pPr>
      <w:r>
        <w:rPr>
          <w:b/>
          <w:bCs/>
        </w:rPr>
        <w:t>What Is Missing:</w:t>
      </w:r>
    </w:p>
    <w:p w14:paraId="4782A113" w14:textId="77777777" w:rsidR="003823D8" w:rsidRDefault="00561751">
      <w:pPr>
        <w:pStyle w:val="Compact"/>
        <w:numPr>
          <w:ilvl w:val="0"/>
          <w:numId w:val="12"/>
        </w:numPr>
      </w:pPr>
      <w:r>
        <w:rPr>
          <w:b/>
          <w:bCs/>
        </w:rPr>
        <w:t>Escalation Triggers:</w:t>
      </w:r>
    </w:p>
    <w:p w14:paraId="796A1EBB" w14:textId="77777777" w:rsidR="003823D8" w:rsidRDefault="00561751">
      <w:pPr>
        <w:pStyle w:val="Compact"/>
        <w:numPr>
          <w:ilvl w:val="1"/>
          <w:numId w:val="13"/>
        </w:numPr>
      </w:pPr>
      <w:r>
        <w:t>Objective standards for when patterns require enforcement beyond standard citation cycles</w:t>
      </w:r>
    </w:p>
    <w:p w14:paraId="7729DB0D" w14:textId="77777777" w:rsidR="003823D8" w:rsidRDefault="00561751">
      <w:pPr>
        <w:pStyle w:val="Compact"/>
        <w:numPr>
          <w:ilvl w:val="1"/>
          <w:numId w:val="13"/>
        </w:numPr>
      </w:pPr>
      <w:r>
        <w:t>Guidance on cross-facility enforcement when patterns indicate systemic problems</w:t>
      </w:r>
    </w:p>
    <w:p w14:paraId="1BC569F3" w14:textId="77777777" w:rsidR="003823D8" w:rsidRDefault="00561751">
      <w:pPr>
        <w:pStyle w:val="Compact"/>
        <w:numPr>
          <w:ilvl w:val="1"/>
          <w:numId w:val="13"/>
        </w:numPr>
      </w:pPr>
      <w:r>
        <w:t>Transparent criteria enabling facilities to anticipate consequences</w:t>
      </w:r>
    </w:p>
    <w:p w14:paraId="7F7E5C3A" w14:textId="77777777" w:rsidR="003823D8" w:rsidRDefault="00561751">
      <w:pPr>
        <w:pStyle w:val="Compact"/>
        <w:numPr>
          <w:ilvl w:val="0"/>
          <w:numId w:val="12"/>
        </w:numPr>
      </w:pPr>
      <w:r>
        <w:rPr>
          <w:b/>
          <w:bCs/>
        </w:rPr>
        <w:t>Enterprise-Level Enforcement Authority:</w:t>
      </w:r>
    </w:p>
    <w:p w14:paraId="2DA50BD1" w14:textId="77777777" w:rsidR="003823D8" w:rsidRDefault="00561751">
      <w:pPr>
        <w:pStyle w:val="Compact"/>
        <w:numPr>
          <w:ilvl w:val="1"/>
          <w:numId w:val="14"/>
        </w:numPr>
      </w:pPr>
      <w:r>
        <w:t>Clear authority to impose conditions affecting all facilities under common ownership when patterns emerge</w:t>
      </w:r>
    </w:p>
    <w:p w14:paraId="2FC3163C" w14:textId="77777777" w:rsidR="003823D8" w:rsidRDefault="00561751">
      <w:pPr>
        <w:pStyle w:val="Compact"/>
        <w:numPr>
          <w:ilvl w:val="1"/>
          <w:numId w:val="14"/>
        </w:numPr>
      </w:pPr>
      <w:r>
        <w:t>Standards for when individual facility problems should trigger review of ownership fitness</w:t>
      </w:r>
    </w:p>
    <w:p w14:paraId="6A38D64F" w14:textId="77777777" w:rsidR="003823D8" w:rsidRDefault="00561751">
      <w:pPr>
        <w:pStyle w:val="Compact"/>
        <w:numPr>
          <w:ilvl w:val="1"/>
          <w:numId w:val="14"/>
        </w:numPr>
      </w:pPr>
      <w:r>
        <w:lastRenderedPageBreak/>
        <w:t>Integration between ongoing enforcement (105 CMR 150) and suitability review (105 CMR 153)</w:t>
      </w:r>
    </w:p>
    <w:p w14:paraId="21827EBA" w14:textId="77777777" w:rsidR="003823D8" w:rsidRDefault="00561751">
      <w:pPr>
        <w:pStyle w:val="Compact"/>
        <w:numPr>
          <w:ilvl w:val="0"/>
          <w:numId w:val="12"/>
        </w:numPr>
      </w:pPr>
      <w:r>
        <w:rPr>
          <w:b/>
          <w:bCs/>
        </w:rPr>
        <w:t>Accountability Metrics:</w:t>
      </w:r>
    </w:p>
    <w:p w14:paraId="264459DF" w14:textId="77777777" w:rsidR="003823D8" w:rsidRDefault="00561751">
      <w:pPr>
        <w:pStyle w:val="Compact"/>
        <w:numPr>
          <w:ilvl w:val="1"/>
          <w:numId w:val="15"/>
        </w:numPr>
      </w:pPr>
      <w:r>
        <w:t>Public reporting showing enforcement distribution, escalation rates, and time to resolution</w:t>
      </w:r>
    </w:p>
    <w:p w14:paraId="2738919C" w14:textId="77777777" w:rsidR="003823D8" w:rsidRDefault="00561751">
      <w:pPr>
        <w:pStyle w:val="Compact"/>
        <w:numPr>
          <w:ilvl w:val="1"/>
          <w:numId w:val="15"/>
        </w:numPr>
      </w:pPr>
      <w:r>
        <w:t>Standards for evaluating whether enforcement produces durable compliance or cyclical violation-correction patterns</w:t>
      </w:r>
    </w:p>
    <w:p w14:paraId="4036E018" w14:textId="77777777" w:rsidR="003823D8" w:rsidRDefault="00561751">
      <w:pPr>
        <w:pStyle w:val="Compact"/>
        <w:numPr>
          <w:ilvl w:val="1"/>
          <w:numId w:val="15"/>
        </w:numPr>
      </w:pPr>
      <w:r>
        <w:t>Stakeholder access to enforcement data enabling assessment of consistency</w:t>
      </w:r>
    </w:p>
    <w:p w14:paraId="143FCB11" w14:textId="77777777" w:rsidR="003823D8" w:rsidRDefault="00561751">
      <w:pPr>
        <w:pStyle w:val="Heading3"/>
      </w:pPr>
      <w:bookmarkStart w:id="11" w:name="financial-transparency-remains-limited"/>
      <w:bookmarkEnd w:id="10"/>
      <w:r>
        <w:t>4. Financial Transparency Remains Limited</w:t>
      </w:r>
    </w:p>
    <w:p w14:paraId="6E5E168D" w14:textId="77777777" w:rsidR="003823D8" w:rsidRDefault="00561751">
      <w:pPr>
        <w:pStyle w:val="FirstParagraph"/>
      </w:pPr>
      <w:r>
        <w:rPr>
          <w:b/>
          <w:bCs/>
        </w:rPr>
        <w:t>The Problem:</w:t>
      </w:r>
    </w:p>
    <w:p w14:paraId="2A941516" w14:textId="77777777" w:rsidR="003823D8" w:rsidRDefault="00561751">
      <w:pPr>
        <w:pStyle w:val="BodyText"/>
      </w:pPr>
      <w:r>
        <w:t>Chapter 197 expanded Department authority to review financial capacity and ownership structures, but the regulations do not establish comprehensive financial disclosure requirements or standards for evaluating financial extraction patterns.</w:t>
      </w:r>
    </w:p>
    <w:p w14:paraId="0DF9BC32" w14:textId="77777777" w:rsidR="003823D8" w:rsidRDefault="00561751">
      <w:pPr>
        <w:pStyle w:val="BodyText"/>
      </w:pPr>
      <w:r>
        <w:rPr>
          <w:b/>
          <w:bCs/>
        </w:rPr>
        <w:t>Why Financial Structure Matters:</w:t>
      </w:r>
    </w:p>
    <w:p w14:paraId="40B57D6A" w14:textId="77777777" w:rsidR="003823D8" w:rsidRDefault="00561751">
      <w:pPr>
        <w:pStyle w:val="BodyText"/>
      </w:pPr>
      <w:r>
        <w:t>The private equity transformation of long-term care over the past two decades demonstrates that ownership structure and financial engineering significantly affect care quality. Key mechanisms include:</w:t>
      </w:r>
    </w:p>
    <w:p w14:paraId="0D992EA4" w14:textId="77777777" w:rsidR="003823D8" w:rsidRDefault="00561751">
      <w:pPr>
        <w:numPr>
          <w:ilvl w:val="0"/>
          <w:numId w:val="16"/>
        </w:numPr>
      </w:pPr>
      <w:r>
        <w:rPr>
          <w:b/>
          <w:bCs/>
        </w:rPr>
        <w:t>Sale-Leaseback Arrangements:</w:t>
      </w:r>
      <w:r>
        <w:t xml:space="preserve"> Operators sell facility real estate to related-party LLCs, then lease it back at above-market rates. This extracts equity while creating fixed costs that reduce operating flexibility.</w:t>
      </w:r>
    </w:p>
    <w:p w14:paraId="489F08F8" w14:textId="77777777" w:rsidR="003823D8" w:rsidRDefault="00561751">
      <w:pPr>
        <w:numPr>
          <w:ilvl w:val="0"/>
          <w:numId w:val="16"/>
        </w:numPr>
      </w:pPr>
      <w:r>
        <w:rPr>
          <w:b/>
          <w:bCs/>
        </w:rPr>
        <w:t>Management Fee Structures:</w:t>
      </w:r>
      <w:r>
        <w:t xml:space="preserve"> Related-party management companies extract fees calculated as percentages of gross revenue regardless of operating performance or care quality.</w:t>
      </w:r>
    </w:p>
    <w:p w14:paraId="1827DF33" w14:textId="77777777" w:rsidR="003823D8" w:rsidRDefault="00561751">
      <w:pPr>
        <w:numPr>
          <w:ilvl w:val="0"/>
          <w:numId w:val="16"/>
        </w:numPr>
      </w:pPr>
      <w:r>
        <w:rPr>
          <w:b/>
          <w:bCs/>
        </w:rPr>
        <w:t>Debt Loading:</w:t>
      </w:r>
      <w:r>
        <w:t xml:space="preserve"> Facilities are acquired using substantial debt, with debt service consuming resources that might otherwise support staffing or capital improvements.</w:t>
      </w:r>
    </w:p>
    <w:p w14:paraId="4CAA577B" w14:textId="77777777" w:rsidR="003823D8" w:rsidRDefault="00561751">
      <w:pPr>
        <w:numPr>
          <w:ilvl w:val="0"/>
          <w:numId w:val="16"/>
        </w:numPr>
      </w:pPr>
      <w:r>
        <w:rPr>
          <w:b/>
          <w:bCs/>
        </w:rPr>
        <w:t>Intercompany Transactions:</w:t>
      </w:r>
      <w:r>
        <w:t xml:space="preserve"> Affiliated entities provide supplies, services, or support at marked-up prices, extracting additional revenue while facilities operate on thin margins.</w:t>
      </w:r>
    </w:p>
    <w:p w14:paraId="3DEAED1D" w14:textId="77777777" w:rsidR="003823D8" w:rsidRDefault="00561751">
      <w:pPr>
        <w:pStyle w:val="FirstParagraph"/>
      </w:pPr>
      <w:r>
        <w:rPr>
          <w:b/>
          <w:bCs/>
        </w:rPr>
        <w:t>Concrete Example: The Extraction Cascade</w:t>
      </w:r>
    </w:p>
    <w:p w14:paraId="78974CCB" w14:textId="77777777" w:rsidR="003823D8" w:rsidRDefault="00561751">
      <w:pPr>
        <w:pStyle w:val="BodyText"/>
      </w:pPr>
      <w:r>
        <w:t>Facility Z is acquired by private equity investor. The transaction involves: 1. Purchase price: $15 million 2. Debt financing: $12 million (80% leverage) 3. Immediate sale-leaseback: Facility sells building to related LLC for $10 million 4. Leaseback arrangement: $900,000 annual rent (9% of sale price) 5. Management agreement: Related management company receives 8% of gross revenue 6. Service agreements: Facility purchases therapy services, dietary services, and IT support from affiliated entities</w:t>
      </w:r>
    </w:p>
    <w:p w14:paraId="5F6A1117" w14:textId="77777777" w:rsidR="003823D8" w:rsidRDefault="00561751">
      <w:pPr>
        <w:pStyle w:val="BodyText"/>
      </w:pPr>
      <w:r>
        <w:rPr>
          <w:b/>
          <w:bCs/>
        </w:rPr>
        <w:lastRenderedPageBreak/>
        <w:t>Financial Structure Results:</w:t>
      </w:r>
      <w:r>
        <w:t xml:space="preserve"> - Annual debt service: $960,000 - Annual lease payment to affiliate: $900,000 - Annual management fees to affiliate: $640,000 (on $8M revenue) - Affiliated service payments: $400,000 - </w:t>
      </w:r>
      <w:r>
        <w:rPr>
          <w:b/>
          <w:bCs/>
        </w:rPr>
        <w:t>Total extraction to related parties: $2.9 million annually (36% of gross revenue)</w:t>
      </w:r>
    </w:p>
    <w:p w14:paraId="031E7740" w14:textId="77777777" w:rsidR="003823D8" w:rsidRDefault="00561751">
      <w:pPr>
        <w:pStyle w:val="BodyText"/>
      </w:pPr>
      <w:r>
        <w:rPr>
          <w:b/>
          <w:bCs/>
        </w:rPr>
        <w:t>Operating Reality:</w:t>
      </w:r>
      <w:r>
        <w:t xml:space="preserve"> - Facility operates at minimum staffing - Capital improvements are deferred - Quality rankings decline - Facility remains “in compliance” but delivers marginal care - After 5 years, operator sells facility to new owner at profit, having extracted ~$14.5 million from operations</w:t>
      </w:r>
    </w:p>
    <w:p w14:paraId="42D18833" w14:textId="77777777" w:rsidR="003823D8" w:rsidRDefault="00561751">
      <w:pPr>
        <w:pStyle w:val="BodyText"/>
      </w:pPr>
      <w:r>
        <w:rPr>
          <w:b/>
          <w:bCs/>
        </w:rPr>
        <w:t>Current Regulatory Framework:</w:t>
      </w:r>
    </w:p>
    <w:p w14:paraId="7B62DDF9" w14:textId="77777777" w:rsidR="003823D8" w:rsidRDefault="00561751">
      <w:pPr>
        <w:pStyle w:val="BodyText"/>
      </w:pPr>
      <w:r>
        <w:t>The regulations authorize the Department to review “financial capacity,” but do not: - Require comprehensive disclosure of related-party transactions - Establish standards for evaluating whether financial structures impair care delivery - Create presumptions against approval when extraction patterns exist - Limit related-party transactions when facilities exhibit compliance problems - Require demonstration that debt service levels and related-party payments leave adequate resources for quality care</w:t>
      </w:r>
    </w:p>
    <w:p w14:paraId="1AEA9B4F" w14:textId="77777777" w:rsidR="003823D8" w:rsidRDefault="00561751">
      <w:pPr>
        <w:pStyle w:val="BodyText"/>
      </w:pPr>
      <w:r>
        <w:rPr>
          <w:b/>
          <w:bCs/>
        </w:rPr>
        <w:t>What Is Missing:</w:t>
      </w:r>
    </w:p>
    <w:p w14:paraId="3554F74C" w14:textId="77777777" w:rsidR="003823D8" w:rsidRDefault="00561751">
      <w:pPr>
        <w:pStyle w:val="Compact"/>
        <w:numPr>
          <w:ilvl w:val="0"/>
          <w:numId w:val="17"/>
        </w:numPr>
      </w:pPr>
      <w:r>
        <w:rPr>
          <w:b/>
          <w:bCs/>
        </w:rPr>
        <w:t>Comprehensive Financial Disclosure:</w:t>
      </w:r>
    </w:p>
    <w:p w14:paraId="179FF109" w14:textId="77777777" w:rsidR="003823D8" w:rsidRDefault="00561751">
      <w:pPr>
        <w:pStyle w:val="Compact"/>
        <w:numPr>
          <w:ilvl w:val="1"/>
          <w:numId w:val="18"/>
        </w:numPr>
      </w:pPr>
      <w:r>
        <w:t>All related-party transactions exceeding defined thresholds</w:t>
      </w:r>
    </w:p>
    <w:p w14:paraId="6DEE9240" w14:textId="77777777" w:rsidR="003823D8" w:rsidRDefault="00561751">
      <w:pPr>
        <w:pStyle w:val="Compact"/>
        <w:numPr>
          <w:ilvl w:val="1"/>
          <w:numId w:val="18"/>
        </w:numPr>
      </w:pPr>
      <w:r>
        <w:t>Management fee structures and calculation methods</w:t>
      </w:r>
    </w:p>
    <w:p w14:paraId="746D92FD" w14:textId="77777777" w:rsidR="003823D8" w:rsidRDefault="00561751">
      <w:pPr>
        <w:pStyle w:val="Compact"/>
        <w:numPr>
          <w:ilvl w:val="1"/>
          <w:numId w:val="18"/>
        </w:numPr>
      </w:pPr>
      <w:r>
        <w:t>Lease arrangements with affiliated entities and market comparability analysis</w:t>
      </w:r>
    </w:p>
    <w:p w14:paraId="2AACE9C6" w14:textId="77777777" w:rsidR="003823D8" w:rsidRDefault="00561751">
      <w:pPr>
        <w:pStyle w:val="Compact"/>
        <w:numPr>
          <w:ilvl w:val="1"/>
          <w:numId w:val="18"/>
        </w:numPr>
      </w:pPr>
      <w:r>
        <w:t>Debt structure, service requirements, and lender identity</w:t>
      </w:r>
    </w:p>
    <w:p w14:paraId="46912021" w14:textId="77777777" w:rsidR="003823D8" w:rsidRDefault="00561751">
      <w:pPr>
        <w:pStyle w:val="Compact"/>
        <w:numPr>
          <w:ilvl w:val="1"/>
          <w:numId w:val="18"/>
        </w:numPr>
      </w:pPr>
      <w:r>
        <w:t>Ownership structure mapping showing ultimate beneficial ownership</w:t>
      </w:r>
    </w:p>
    <w:p w14:paraId="488A6B9A" w14:textId="77777777" w:rsidR="003823D8" w:rsidRDefault="00561751">
      <w:pPr>
        <w:pStyle w:val="Compact"/>
        <w:numPr>
          <w:ilvl w:val="0"/>
          <w:numId w:val="17"/>
        </w:numPr>
      </w:pPr>
      <w:r>
        <w:rPr>
          <w:b/>
          <w:bCs/>
        </w:rPr>
        <w:t>Financial Suitability Standards:</w:t>
      </w:r>
    </w:p>
    <w:p w14:paraId="014ED614" w14:textId="77777777" w:rsidR="003823D8" w:rsidRDefault="00561751">
      <w:pPr>
        <w:pStyle w:val="Compact"/>
        <w:numPr>
          <w:ilvl w:val="1"/>
          <w:numId w:val="19"/>
        </w:numPr>
      </w:pPr>
      <w:r>
        <w:t>Objective analysis of whether financial structure leaves adequate operating margin for quality care</w:t>
      </w:r>
    </w:p>
    <w:p w14:paraId="48777CA8" w14:textId="77777777" w:rsidR="003823D8" w:rsidRDefault="00561751">
      <w:pPr>
        <w:pStyle w:val="Compact"/>
        <w:numPr>
          <w:ilvl w:val="1"/>
          <w:numId w:val="19"/>
        </w:numPr>
      </w:pPr>
      <w:r>
        <w:t>Comparison of related-party transaction costs to market benchmarks</w:t>
      </w:r>
    </w:p>
    <w:p w14:paraId="2AF60623" w14:textId="77777777" w:rsidR="003823D8" w:rsidRDefault="00561751">
      <w:pPr>
        <w:pStyle w:val="Compact"/>
        <w:numPr>
          <w:ilvl w:val="1"/>
          <w:numId w:val="19"/>
        </w:numPr>
      </w:pPr>
      <w:r>
        <w:t>Assessment of whether debt service levels create financial stress incompatible with compliance capacity</w:t>
      </w:r>
    </w:p>
    <w:p w14:paraId="3B562822" w14:textId="77777777" w:rsidR="003823D8" w:rsidRDefault="00561751">
      <w:pPr>
        <w:pStyle w:val="Compact"/>
        <w:numPr>
          <w:ilvl w:val="1"/>
          <w:numId w:val="19"/>
        </w:numPr>
      </w:pPr>
      <w:r>
        <w:t>Evaluation of whether extraction patterns correlate with quality decline</w:t>
      </w:r>
    </w:p>
    <w:p w14:paraId="734E7BC3" w14:textId="77777777" w:rsidR="003823D8" w:rsidRDefault="00561751">
      <w:pPr>
        <w:pStyle w:val="Compact"/>
        <w:numPr>
          <w:ilvl w:val="0"/>
          <w:numId w:val="17"/>
        </w:numPr>
      </w:pPr>
      <w:r>
        <w:rPr>
          <w:b/>
          <w:bCs/>
        </w:rPr>
        <w:t>Ongoing Financial Monitoring:</w:t>
      </w:r>
    </w:p>
    <w:p w14:paraId="24EED8C2" w14:textId="77777777" w:rsidR="003823D8" w:rsidRDefault="00561751">
      <w:pPr>
        <w:pStyle w:val="Compact"/>
        <w:numPr>
          <w:ilvl w:val="1"/>
          <w:numId w:val="20"/>
        </w:numPr>
      </w:pPr>
      <w:r>
        <w:t>Required reporting of significant financial changes (debt restructuring, new related-party agreements, ownership changes)</w:t>
      </w:r>
    </w:p>
    <w:p w14:paraId="79FE5A1F" w14:textId="77777777" w:rsidR="003823D8" w:rsidRDefault="00561751">
      <w:pPr>
        <w:pStyle w:val="Compact"/>
        <w:numPr>
          <w:ilvl w:val="1"/>
          <w:numId w:val="20"/>
        </w:numPr>
      </w:pPr>
      <w:r>
        <w:t>Authority to condition continued licensure on financial structure modifications when care quality deteriorates</w:t>
      </w:r>
    </w:p>
    <w:p w14:paraId="2DD45AB0" w14:textId="77777777" w:rsidR="003823D8" w:rsidRDefault="00561751">
      <w:pPr>
        <w:pStyle w:val="Compact"/>
        <w:numPr>
          <w:ilvl w:val="1"/>
          <w:numId w:val="20"/>
        </w:numPr>
      </w:pPr>
      <w:r>
        <w:t>Integration of financial analysis with enforcement decisions (chronic compliance problems that correlate with high extraction rates)</w:t>
      </w:r>
    </w:p>
    <w:p w14:paraId="46A7DC57" w14:textId="77777777" w:rsidR="003823D8" w:rsidRDefault="00561751">
      <w:pPr>
        <w:pStyle w:val="Compact"/>
        <w:numPr>
          <w:ilvl w:val="0"/>
          <w:numId w:val="17"/>
        </w:numPr>
      </w:pPr>
      <w:r>
        <w:rPr>
          <w:b/>
          <w:bCs/>
        </w:rPr>
        <w:t>Transaction Review Standards:</w:t>
      </w:r>
    </w:p>
    <w:p w14:paraId="30BCDD9B" w14:textId="77777777" w:rsidR="003823D8" w:rsidRDefault="00561751">
      <w:pPr>
        <w:pStyle w:val="Compact"/>
        <w:numPr>
          <w:ilvl w:val="1"/>
          <w:numId w:val="21"/>
        </w:numPr>
      </w:pPr>
      <w:r>
        <w:t>Presumptive review of sale-leaseback transactions to ensure lease rates are market-appropriate</w:t>
      </w:r>
    </w:p>
    <w:p w14:paraId="588E61A4" w14:textId="77777777" w:rsidR="003823D8" w:rsidRDefault="00561751">
      <w:pPr>
        <w:pStyle w:val="Compact"/>
        <w:numPr>
          <w:ilvl w:val="1"/>
          <w:numId w:val="21"/>
        </w:numPr>
      </w:pPr>
      <w:r>
        <w:lastRenderedPageBreak/>
        <w:t>Review of management fee changes to ensure alignment with quality outcomes</w:t>
      </w:r>
    </w:p>
    <w:p w14:paraId="6944C4B7" w14:textId="77777777" w:rsidR="003823D8" w:rsidRDefault="00561751">
      <w:pPr>
        <w:pStyle w:val="Compact"/>
        <w:numPr>
          <w:ilvl w:val="1"/>
          <w:numId w:val="21"/>
        </w:numPr>
      </w:pPr>
      <w:r>
        <w:t>Authority to disapprove or condition financial transactions that impair operating capacity</w:t>
      </w:r>
    </w:p>
    <w:p w14:paraId="0E3B8F27" w14:textId="77777777" w:rsidR="003823D8" w:rsidRDefault="00561751">
      <w:pPr>
        <w:pStyle w:val="Heading2"/>
      </w:pPr>
      <w:bookmarkStart w:id="12" w:name="Xc4829a6f9990dd18172e0cb047631f6e8522e30"/>
      <w:bookmarkEnd w:id="7"/>
      <w:bookmarkEnd w:id="11"/>
      <w:r>
        <w:t>IV. The Integration Challenge: Making Expanded Authority Effective</w:t>
      </w:r>
    </w:p>
    <w:p w14:paraId="1DEF8983" w14:textId="77777777" w:rsidR="003823D8" w:rsidRDefault="00561751">
      <w:pPr>
        <w:pStyle w:val="FirstParagraph"/>
      </w:pPr>
      <w:r>
        <w:t>The proposed amendments to 105 CMR 153 expand Department authority significantly. The question is whether expanded authority, absent operationalized standards and integration across regulatory frameworks, will function effectively.</w:t>
      </w:r>
    </w:p>
    <w:p w14:paraId="097B1EDD" w14:textId="77777777" w:rsidR="003823D8" w:rsidRDefault="00561751">
      <w:pPr>
        <w:pStyle w:val="Heading3"/>
      </w:pPr>
      <w:bookmarkStart w:id="13" w:name="the-problem-of-siloed-regulation"/>
      <w:r>
        <w:t>The Problem of Siloed Regulation</w:t>
      </w:r>
    </w:p>
    <w:p w14:paraId="535BC792" w14:textId="77777777" w:rsidR="003823D8" w:rsidRDefault="00561751">
      <w:pPr>
        <w:pStyle w:val="FirstParagraph"/>
      </w:pPr>
      <w:r>
        <w:t>Currently, suitability review under 105 CMR 153 and ongoing oversight under 105 CMR 150 function as separate tracks:</w:t>
      </w:r>
    </w:p>
    <w:p w14:paraId="03040A3A" w14:textId="77777777" w:rsidR="003823D8" w:rsidRDefault="00561751">
      <w:pPr>
        <w:pStyle w:val="Compact"/>
        <w:numPr>
          <w:ilvl w:val="0"/>
          <w:numId w:val="22"/>
        </w:numPr>
      </w:pPr>
      <w:r>
        <w:rPr>
          <w:b/>
          <w:bCs/>
        </w:rPr>
        <w:t>Suitability Review (153):</w:t>
      </w:r>
      <w:r>
        <w:t xml:space="preserve"> Occurs at licensure, ownership transfer, or management company approval</w:t>
      </w:r>
    </w:p>
    <w:p w14:paraId="4D0912E9" w14:textId="77777777" w:rsidR="003823D8" w:rsidRDefault="00561751">
      <w:pPr>
        <w:pStyle w:val="Compact"/>
        <w:numPr>
          <w:ilvl w:val="0"/>
          <w:numId w:val="22"/>
        </w:numPr>
      </w:pPr>
      <w:r>
        <w:rPr>
          <w:b/>
          <w:bCs/>
        </w:rPr>
        <w:t>Ongoing Oversight (150):</w:t>
      </w:r>
      <w:r>
        <w:t xml:space="preserve"> Occurs through periodic inspections, complaint investigations, and enforcement</w:t>
      </w:r>
    </w:p>
    <w:p w14:paraId="70274531" w14:textId="77777777" w:rsidR="003823D8" w:rsidRDefault="00561751">
      <w:pPr>
        <w:pStyle w:val="FirstParagraph"/>
      </w:pPr>
      <w:r>
        <w:t>This structure creates gaps:</w:t>
      </w:r>
    </w:p>
    <w:p w14:paraId="2D9663C2" w14:textId="77777777" w:rsidR="003823D8" w:rsidRDefault="00561751">
      <w:pPr>
        <w:pStyle w:val="BodyText"/>
      </w:pPr>
      <w:r>
        <w:rPr>
          <w:b/>
          <w:bCs/>
        </w:rPr>
        <w:t>Gap 1: Suitability Review May Not Capture Operating Reality</w:t>
      </w:r>
    </w:p>
    <w:p w14:paraId="7D7DE629" w14:textId="77777777" w:rsidR="003823D8" w:rsidRDefault="00561751">
      <w:pPr>
        <w:pStyle w:val="BodyText"/>
      </w:pPr>
      <w:r>
        <w:t>Applicants present their best case during suitability review. Enforcement history is reviewed, but current practices may differ from past patterns. Without ongoing integration between suitability determinations and actual performance, approval decisions rest on limited information.</w:t>
      </w:r>
    </w:p>
    <w:p w14:paraId="61F3A72E" w14:textId="77777777" w:rsidR="003823D8" w:rsidRDefault="00561751">
      <w:pPr>
        <w:pStyle w:val="BodyText"/>
      </w:pPr>
      <w:r>
        <w:rPr>
          <w:b/>
          <w:bCs/>
        </w:rPr>
        <w:t>Gap 2: Enforcement May Not Trigger Suitability Reconsideration</w:t>
      </w:r>
    </w:p>
    <w:p w14:paraId="5B618C51" w14:textId="77777777" w:rsidR="003823D8" w:rsidRDefault="00561751">
      <w:pPr>
        <w:pStyle w:val="BodyText"/>
      </w:pPr>
      <w:r>
        <w:t>A facility may be approved as suitable, then develop chronic compliance problems. Unless problems reach license revocation level, the suitability determination persists unchanged. There is no systematic mechanism for ongoing performance to trigger suitability review.</w:t>
      </w:r>
    </w:p>
    <w:p w14:paraId="4850DBE3" w14:textId="77777777" w:rsidR="003823D8" w:rsidRDefault="00561751">
      <w:pPr>
        <w:pStyle w:val="BodyText"/>
      </w:pPr>
      <w:r>
        <w:rPr>
          <w:b/>
          <w:bCs/>
        </w:rPr>
        <w:t>Gap 3: Cross-Facility Patterns May Go Undetected</w:t>
      </w:r>
    </w:p>
    <w:p w14:paraId="611072D9" w14:textId="77777777" w:rsidR="003823D8" w:rsidRDefault="00561751">
      <w:pPr>
        <w:pStyle w:val="BodyText"/>
      </w:pPr>
      <w:r>
        <w:t>When an owner operates multiple facilities, patterns visible across the portfolio may not be apparent in facility-specific reviews. Without systematic cross-facility analysis, systemic problems appear as isolated incidents.</w:t>
      </w:r>
    </w:p>
    <w:p w14:paraId="4F12D170" w14:textId="77777777" w:rsidR="003823D8" w:rsidRDefault="00561751">
      <w:pPr>
        <w:pStyle w:val="BodyText"/>
      </w:pPr>
      <w:r>
        <w:rPr>
          <w:b/>
          <w:bCs/>
        </w:rPr>
        <w:t>What Is Needed:</w:t>
      </w:r>
    </w:p>
    <w:p w14:paraId="1FF99107" w14:textId="77777777" w:rsidR="003823D8" w:rsidRDefault="00561751">
      <w:pPr>
        <w:pStyle w:val="Compact"/>
        <w:numPr>
          <w:ilvl w:val="0"/>
          <w:numId w:val="23"/>
        </w:numPr>
      </w:pPr>
      <w:r>
        <w:rPr>
          <w:b/>
          <w:bCs/>
        </w:rPr>
        <w:t>Feedback Loops:</w:t>
      </w:r>
    </w:p>
    <w:p w14:paraId="443D7D21" w14:textId="77777777" w:rsidR="003823D8" w:rsidRDefault="00561751">
      <w:pPr>
        <w:pStyle w:val="Compact"/>
        <w:numPr>
          <w:ilvl w:val="1"/>
          <w:numId w:val="24"/>
        </w:numPr>
      </w:pPr>
      <w:r>
        <w:t>Facilities approved subject to suitability conditions receive enhanced ongoing oversight under 105 CMR 150</w:t>
      </w:r>
    </w:p>
    <w:p w14:paraId="05F62EB0" w14:textId="77777777" w:rsidR="003823D8" w:rsidRDefault="00561751">
      <w:pPr>
        <w:pStyle w:val="Compact"/>
        <w:numPr>
          <w:ilvl w:val="1"/>
          <w:numId w:val="24"/>
        </w:numPr>
      </w:pPr>
      <w:r>
        <w:t>Chronic compliance problems under 105 CMR 150 trigger suitability review under 105 CMR 153</w:t>
      </w:r>
    </w:p>
    <w:p w14:paraId="5069C54B" w14:textId="77777777" w:rsidR="003823D8" w:rsidRDefault="00561751">
      <w:pPr>
        <w:pStyle w:val="Compact"/>
        <w:numPr>
          <w:ilvl w:val="1"/>
          <w:numId w:val="24"/>
        </w:numPr>
      </w:pPr>
      <w:r>
        <w:lastRenderedPageBreak/>
        <w:t>Cross-facility patterns identified through 105 CMR 150 enforcement inform enterprise-level suitability assessment</w:t>
      </w:r>
    </w:p>
    <w:p w14:paraId="04C2A04C" w14:textId="77777777" w:rsidR="003823D8" w:rsidRDefault="00561751">
      <w:pPr>
        <w:pStyle w:val="Compact"/>
        <w:numPr>
          <w:ilvl w:val="0"/>
          <w:numId w:val="23"/>
        </w:numPr>
      </w:pPr>
      <w:r>
        <w:rPr>
          <w:b/>
          <w:bCs/>
        </w:rPr>
        <w:t>Conditional Licensing:</w:t>
      </w:r>
    </w:p>
    <w:p w14:paraId="398C331D" w14:textId="77777777" w:rsidR="003823D8" w:rsidRDefault="00561751">
      <w:pPr>
        <w:pStyle w:val="Compact"/>
        <w:numPr>
          <w:ilvl w:val="1"/>
          <w:numId w:val="25"/>
        </w:numPr>
      </w:pPr>
      <w:r>
        <w:t>Authority to approve licensure subject to ongoing conditions tied to performance metrics</w:t>
      </w:r>
    </w:p>
    <w:p w14:paraId="5291BF84" w14:textId="77777777" w:rsidR="003823D8" w:rsidRDefault="00561751">
      <w:pPr>
        <w:pStyle w:val="Compact"/>
        <w:numPr>
          <w:ilvl w:val="1"/>
          <w:numId w:val="25"/>
        </w:numPr>
      </w:pPr>
      <w:r>
        <w:t>Standards for when conditions should escalate to license restrictions or revocation</w:t>
      </w:r>
    </w:p>
    <w:p w14:paraId="3C6D1EF1" w14:textId="77777777" w:rsidR="003823D8" w:rsidRDefault="00561751">
      <w:pPr>
        <w:pStyle w:val="Compact"/>
        <w:numPr>
          <w:ilvl w:val="1"/>
          <w:numId w:val="25"/>
        </w:numPr>
      </w:pPr>
      <w:r>
        <w:t>Requirement that facilities approved subject to conditions demonstrate sustained compliance before conditions are lifted</w:t>
      </w:r>
    </w:p>
    <w:p w14:paraId="4148E449" w14:textId="77777777" w:rsidR="003823D8" w:rsidRDefault="00561751">
      <w:pPr>
        <w:pStyle w:val="Compact"/>
        <w:numPr>
          <w:ilvl w:val="0"/>
          <w:numId w:val="23"/>
        </w:numPr>
      </w:pPr>
      <w:r>
        <w:rPr>
          <w:b/>
          <w:bCs/>
        </w:rPr>
        <w:t>Enterprise-Level Oversight:</w:t>
      </w:r>
    </w:p>
    <w:p w14:paraId="246A8B1B" w14:textId="77777777" w:rsidR="003823D8" w:rsidRDefault="00561751">
      <w:pPr>
        <w:pStyle w:val="Compact"/>
        <w:numPr>
          <w:ilvl w:val="1"/>
          <w:numId w:val="26"/>
        </w:numPr>
      </w:pPr>
      <w:r>
        <w:t>Systematic cross-facility analysis when owners operate multiple facilities</w:t>
      </w:r>
    </w:p>
    <w:p w14:paraId="26674255" w14:textId="77777777" w:rsidR="003823D8" w:rsidRDefault="00561751">
      <w:pPr>
        <w:pStyle w:val="Compact"/>
        <w:numPr>
          <w:ilvl w:val="1"/>
          <w:numId w:val="26"/>
        </w:numPr>
      </w:pPr>
      <w:r>
        <w:t>Authority to impose portfolio-wide requirements (third-party oversight, enhanced reporting, governance reforms)</w:t>
      </w:r>
    </w:p>
    <w:p w14:paraId="62688135" w14:textId="77777777" w:rsidR="003823D8" w:rsidRDefault="00561751">
      <w:pPr>
        <w:pStyle w:val="Compact"/>
        <w:numPr>
          <w:ilvl w:val="1"/>
          <w:numId w:val="26"/>
        </w:numPr>
      </w:pPr>
      <w:r>
        <w:t>Integration of individual facility enforcement with ownership suitability review</w:t>
      </w:r>
    </w:p>
    <w:p w14:paraId="5E31AF49" w14:textId="77777777" w:rsidR="003823D8" w:rsidRDefault="00561751">
      <w:pPr>
        <w:pStyle w:val="Compact"/>
        <w:numPr>
          <w:ilvl w:val="0"/>
          <w:numId w:val="23"/>
        </w:numPr>
      </w:pPr>
      <w:r>
        <w:rPr>
          <w:b/>
          <w:bCs/>
        </w:rPr>
        <w:t>Performance-Based Review:</w:t>
      </w:r>
    </w:p>
    <w:p w14:paraId="331E65FA" w14:textId="77777777" w:rsidR="003823D8" w:rsidRDefault="00561751">
      <w:pPr>
        <w:pStyle w:val="Compact"/>
        <w:numPr>
          <w:ilvl w:val="1"/>
          <w:numId w:val="27"/>
        </w:numPr>
      </w:pPr>
      <w:r>
        <w:t>Periodic suitability reassessment for owners with multiple facilities or concerning performance trends</w:t>
      </w:r>
    </w:p>
    <w:p w14:paraId="303AF539" w14:textId="77777777" w:rsidR="003823D8" w:rsidRDefault="00561751">
      <w:pPr>
        <w:pStyle w:val="Compact"/>
        <w:numPr>
          <w:ilvl w:val="1"/>
          <w:numId w:val="27"/>
        </w:numPr>
      </w:pPr>
      <w:r>
        <w:t>Standards for when ongoing performance should trigger suitability review even absent ownership transfer</w:t>
      </w:r>
    </w:p>
    <w:p w14:paraId="60DE5788" w14:textId="77777777" w:rsidR="003823D8" w:rsidRDefault="00561751">
      <w:pPr>
        <w:pStyle w:val="Compact"/>
        <w:numPr>
          <w:ilvl w:val="1"/>
          <w:numId w:val="27"/>
        </w:numPr>
      </w:pPr>
      <w:r>
        <w:t>Authority to modify license conditions based on demonstrated performance</w:t>
      </w:r>
    </w:p>
    <w:p w14:paraId="4CD0F5B7" w14:textId="77777777" w:rsidR="003823D8" w:rsidRDefault="00561751">
      <w:pPr>
        <w:pStyle w:val="Heading2"/>
      </w:pPr>
      <w:bookmarkStart w:id="14" w:name="v.-record-preservation-statement"/>
      <w:bookmarkEnd w:id="12"/>
      <w:bookmarkEnd w:id="13"/>
      <w:r>
        <w:t>V. Record Preservation Statement</w:t>
      </w:r>
    </w:p>
    <w:p w14:paraId="076F4A3F" w14:textId="77777777" w:rsidR="003823D8" w:rsidRDefault="00561751">
      <w:pPr>
        <w:pStyle w:val="FirstParagraph"/>
      </w:pPr>
      <w:r>
        <w:rPr>
          <w:b/>
          <w:bCs/>
        </w:rPr>
        <w:t>This testimony is submitted to preserve the administrative record</w:t>
      </w:r>
      <w:r>
        <w:t xml:space="preserve"> that statutory compliance and procedural regularity do not, by themselves, ensure fulfillment of the Legislature’s intent in Chapter 197 to address systemic failures in long-term care governance.</w:t>
      </w:r>
    </w:p>
    <w:p w14:paraId="5380016B" w14:textId="77777777" w:rsidR="003823D8" w:rsidRDefault="00561751">
      <w:pPr>
        <w:pStyle w:val="BodyText"/>
      </w:pPr>
      <w:r>
        <w:t>Specifically, this testimony preserves the record that:</w:t>
      </w:r>
    </w:p>
    <w:p w14:paraId="70C337FD" w14:textId="77777777" w:rsidR="003823D8" w:rsidRDefault="00561751">
      <w:pPr>
        <w:numPr>
          <w:ilvl w:val="0"/>
          <w:numId w:val="28"/>
        </w:numPr>
      </w:pPr>
      <w:r>
        <w:rPr>
          <w:b/>
          <w:bCs/>
        </w:rPr>
        <w:t>Expanded authority without operationalized standards may not function effectively.</w:t>
      </w:r>
      <w:r>
        <w:t xml:space="preserve"> The regulations grant broad discretion but provide limited guidance on how that discretion should be exercised, creating risks of inconsistent application and structural gaps.</w:t>
      </w:r>
    </w:p>
    <w:p w14:paraId="0C47E81D" w14:textId="77777777" w:rsidR="003823D8" w:rsidRDefault="00561751">
      <w:pPr>
        <w:numPr>
          <w:ilvl w:val="0"/>
          <w:numId w:val="28"/>
        </w:numPr>
      </w:pPr>
      <w:r>
        <w:rPr>
          <w:b/>
          <w:bCs/>
        </w:rPr>
        <w:t>Suitability review focused on enforcement history rather than business model analysis may miss critical risk indicators.</w:t>
      </w:r>
      <w:r>
        <w:t xml:space="preserve"> Facilities can comply at minimum levels while operating business models that systematically prioritize extraction over care quality.</w:t>
      </w:r>
    </w:p>
    <w:p w14:paraId="3DA0561C" w14:textId="77777777" w:rsidR="003823D8" w:rsidRDefault="00561751">
      <w:pPr>
        <w:numPr>
          <w:ilvl w:val="0"/>
          <w:numId w:val="28"/>
        </w:numPr>
      </w:pPr>
      <w:r>
        <w:rPr>
          <w:b/>
          <w:bCs/>
        </w:rPr>
        <w:t>Management company oversight without fee structure regulation and performance accountability may not address underlying conflicts of interest.</w:t>
      </w:r>
      <w:r>
        <w:t xml:space="preserve"> Approval authority is necessary but insufficient without constraints on arrangements that create incentives for cost reduction regardless of care quality impact.</w:t>
      </w:r>
    </w:p>
    <w:p w14:paraId="4B144524" w14:textId="77777777" w:rsidR="003823D8" w:rsidRDefault="00561751">
      <w:pPr>
        <w:numPr>
          <w:ilvl w:val="0"/>
          <w:numId w:val="28"/>
        </w:numPr>
      </w:pPr>
      <w:r>
        <w:rPr>
          <w:b/>
          <w:bCs/>
        </w:rPr>
        <w:lastRenderedPageBreak/>
        <w:t>Enforcement discretion without escalation standards and cross-facility integration risks perpetuating patterns of chronic marginal compliance.</w:t>
      </w:r>
      <w:r>
        <w:t xml:space="preserve"> The regulatory system may continue to focus on crisis response while tolerating persistent mediocrity.</w:t>
      </w:r>
    </w:p>
    <w:p w14:paraId="63AD4F2A" w14:textId="77777777" w:rsidR="003823D8" w:rsidRDefault="00561751">
      <w:pPr>
        <w:numPr>
          <w:ilvl w:val="0"/>
          <w:numId w:val="28"/>
        </w:numPr>
      </w:pPr>
      <w:r>
        <w:rPr>
          <w:b/>
          <w:bCs/>
        </w:rPr>
        <w:t>Financial transparency requirements without standards for evaluating extraction patterns do not prevent resource diversion.</w:t>
      </w:r>
      <w:r>
        <w:t xml:space="preserve"> Disclosure without normative frameworks for assessment may not protect against business models that extract maximum revenue while delivering minimum care.</w:t>
      </w:r>
    </w:p>
    <w:p w14:paraId="0AC2FD57" w14:textId="77777777" w:rsidR="003823D8" w:rsidRDefault="00561751">
      <w:pPr>
        <w:pStyle w:val="FirstParagraph"/>
      </w:pPr>
      <w:r>
        <w:rPr>
          <w:b/>
          <w:bCs/>
        </w:rPr>
        <w:t>Nothing in this testimony should be construed as conceding that licensure, suitability review, or enforcement actions taken under 105 CMR 153.000 will be adequate if structural deficiencies persist despite formal compliance.</w:t>
      </w:r>
    </w:p>
    <w:p w14:paraId="757DA87A" w14:textId="77777777" w:rsidR="003823D8" w:rsidRDefault="00561751">
      <w:pPr>
        <w:pStyle w:val="BodyText"/>
      </w:pPr>
      <w:r>
        <w:rPr>
          <w:b/>
          <w:bCs/>
        </w:rPr>
        <w:t>Continued legislative or regulatory action may be necessary should implementation fail to produce durable improvement</w:t>
      </w:r>
      <w:r>
        <w:t xml:space="preserve"> in preventing ownership-driven quality failures and resource extraction at the expense of resident care.</w:t>
      </w:r>
    </w:p>
    <w:p w14:paraId="70B54129" w14:textId="77777777" w:rsidR="003823D8" w:rsidRDefault="00561751">
      <w:pPr>
        <w:pStyle w:val="Heading2"/>
      </w:pPr>
      <w:bookmarkStart w:id="15" w:name="vi.-conclusion"/>
      <w:bookmarkEnd w:id="14"/>
      <w:r>
        <w:t>VI. Conclusion</w:t>
      </w:r>
    </w:p>
    <w:p w14:paraId="7491B0DC" w14:textId="77777777" w:rsidR="003823D8" w:rsidRDefault="00561751">
      <w:pPr>
        <w:pStyle w:val="FirstParagraph"/>
      </w:pPr>
      <w:r>
        <w:t>The proposed amendments to 105 CMR 153.000 are legally authorized, consistent with Chapter 197, and within the Department’s delegated authority. At the same time, they reflect a cautious regulatory approach that emphasizes discretionary oversight over enforceable structural constraints.</w:t>
      </w:r>
    </w:p>
    <w:p w14:paraId="143AE894" w14:textId="77777777" w:rsidR="003823D8" w:rsidRDefault="00561751">
      <w:pPr>
        <w:pStyle w:val="BodyText"/>
      </w:pPr>
      <w:r>
        <w:rPr>
          <w:b/>
          <w:bCs/>
        </w:rPr>
        <w:t>I respectfully urge the Department to consider whether additional clarity, objective standards, and governance-level safeguards are needed to fully realize the Legislature’s intent to prevent recurring harm in long-term care facilities.</w:t>
      </w:r>
    </w:p>
    <w:p w14:paraId="32F92499" w14:textId="77777777" w:rsidR="003823D8" w:rsidRDefault="00561751">
      <w:pPr>
        <w:pStyle w:val="BodyText"/>
      </w:pPr>
      <w:r>
        <w:t>The Legislature provided tools. The question is whether the regulatory framework provides the architecture necessary to use those tools effectively and consistently to achieve the remedial goals that prompted Chapter 197’s enactment.</w:t>
      </w:r>
    </w:p>
    <w:p w14:paraId="1AFDC937" w14:textId="77777777" w:rsidR="003823D8" w:rsidRDefault="00561751">
      <w:r>
        <w:rPr>
          <w:noProof/>
        </w:rPr>
        <w:pict w14:anchorId="66F01B65">
          <v:rect id="_x0000_i1025" alt="" style="width:468pt;height:.05pt;mso-width-percent:0;mso-height-percent:0;mso-width-percent:0;mso-height-percent:0" o:hralign="center" o:hrstd="t" o:hr="t"/>
        </w:pict>
      </w:r>
    </w:p>
    <w:p w14:paraId="151D0F56" w14:textId="77777777" w:rsidR="003823D8" w:rsidRDefault="00561751">
      <w:pPr>
        <w:pStyle w:val="Heading2"/>
      </w:pPr>
      <w:bookmarkStart w:id="16" w:name="X36324f13d44307bb3c37215c97c67bce41a2620"/>
      <w:bookmarkEnd w:id="15"/>
      <w:r>
        <w:t>APPENDIX A: Targeted Regulatory Clarifications (Non-Exhaustive)</w:t>
      </w:r>
    </w:p>
    <w:p w14:paraId="16E20D3E" w14:textId="77777777" w:rsidR="003823D8" w:rsidRDefault="00561751">
      <w:pPr>
        <w:pStyle w:val="Heading3"/>
      </w:pPr>
      <w:bookmarkStart w:id="17" w:name="X2618334eb475688b0d0a23bf45abeb13ed53aa9"/>
      <w:r>
        <w:t>A. Suitability Determinations: Creating Presumptive Standards</w:t>
      </w:r>
    </w:p>
    <w:p w14:paraId="7922C36F" w14:textId="77777777" w:rsidR="003823D8" w:rsidRDefault="00561751">
      <w:pPr>
        <w:pStyle w:val="FirstParagraph"/>
      </w:pPr>
      <w:r>
        <w:rPr>
          <w:b/>
          <w:bCs/>
        </w:rPr>
        <w:t>Objective:</w:t>
      </w:r>
      <w:r>
        <w:t xml:space="preserve"> Transform suitability review from discretionary assessment of enforcement history into structured evaluation of governance capacity using objective risk indicators.</w:t>
      </w:r>
    </w:p>
    <w:p w14:paraId="45B07734" w14:textId="77777777" w:rsidR="003823D8" w:rsidRDefault="00561751">
      <w:pPr>
        <w:pStyle w:val="Heading4"/>
      </w:pPr>
      <w:bookmarkStart w:id="18" w:name="chronic-understaffing-pattern"/>
      <w:r>
        <w:t>1. Chronic Understaffing Pattern</w:t>
      </w:r>
    </w:p>
    <w:p w14:paraId="1DD9E5BA" w14:textId="77777777" w:rsidR="003823D8" w:rsidRDefault="00561751">
      <w:pPr>
        <w:pStyle w:val="FirstParagraph"/>
      </w:pPr>
      <w:r>
        <w:rPr>
          <w:b/>
          <w:bCs/>
        </w:rPr>
        <w:t>Presumption of Unsuitability When:</w:t>
      </w:r>
      <w:r>
        <w:t xml:space="preserve"> - Applicant operates facilities where staffing has fallen below minimum requirements in 30% or more of surveys over preceding 24 months, OR - Applicant operates three or more facilities where repeated staffing violations correlate with documented resident harm (falls, pressure ulcers, medication errors, malnutrition)</w:t>
      </w:r>
    </w:p>
    <w:p w14:paraId="4B4ED042" w14:textId="77777777" w:rsidR="003823D8" w:rsidRDefault="00561751">
      <w:pPr>
        <w:pStyle w:val="BodyText"/>
      </w:pPr>
      <w:r>
        <w:rPr>
          <w:b/>
          <w:bCs/>
        </w:rPr>
        <w:lastRenderedPageBreak/>
        <w:t>Rebuttal Standard:</w:t>
      </w:r>
      <w:r>
        <w:t xml:space="preserve"> Applicant must demonstrate: - Specific governance reforms implemented to prevent recurrence (e.g., enhanced recruitment systems, wage increases, staffing monitoring technology) - Sustained compliance at all affiliated facilities for minimum 12 months post-reform - Financial capacity to maintain above-minimum staffing during anticipated operational stress</w:t>
      </w:r>
    </w:p>
    <w:p w14:paraId="29985CF4" w14:textId="77777777" w:rsidR="003823D8" w:rsidRDefault="00561751">
      <w:pPr>
        <w:pStyle w:val="Heading4"/>
      </w:pPr>
      <w:bookmarkStart w:id="19" w:name="related-party-transaction-threshold"/>
      <w:bookmarkEnd w:id="18"/>
      <w:r>
        <w:t>2. Related-Party Transaction Threshold</w:t>
      </w:r>
    </w:p>
    <w:p w14:paraId="5532C279" w14:textId="77777777" w:rsidR="003823D8" w:rsidRDefault="00561751">
      <w:pPr>
        <w:pStyle w:val="FirstParagraph"/>
      </w:pPr>
      <w:r>
        <w:rPr>
          <w:b/>
          <w:bCs/>
        </w:rPr>
        <w:t>Enhanced Scrutiny Required When:</w:t>
      </w:r>
      <w:r>
        <w:t xml:space="preserve"> - Related-party transactions (management fees, lease payments, service agreements, debt service to affiliates) exceed 25% of gross revenue, OR - Related-party transactions exceed industry benchmarks by more than 20%, OR - Facilities with high related-party transactions rank in bottom quartile for quality measures</w:t>
      </w:r>
    </w:p>
    <w:p w14:paraId="175B80E3" w14:textId="77777777" w:rsidR="003823D8" w:rsidRDefault="00561751">
      <w:pPr>
        <w:pStyle w:val="BodyText"/>
      </w:pPr>
      <w:r>
        <w:rPr>
          <w:b/>
          <w:bCs/>
        </w:rPr>
        <w:t>Review Requirements:</w:t>
      </w:r>
      <w:r>
        <w:t xml:space="preserve"> - Market comparability analysis demonstrating related-party payments are commercially reasonable - Financial modeling showing adequate operating margin for quality care after related-party payments - If applicant cannot demonstrate above, presumption against approval OR conditional approval limiting related-party transactions pending quality improvement</w:t>
      </w:r>
    </w:p>
    <w:p w14:paraId="2C6C51A4" w14:textId="77777777" w:rsidR="003823D8" w:rsidRDefault="00561751">
      <w:pPr>
        <w:pStyle w:val="Heading4"/>
      </w:pPr>
      <w:bookmarkStart w:id="20" w:name="X2eeb57ab3b0d04b8bbfda4618c27513cc0060bd"/>
      <w:bookmarkEnd w:id="19"/>
      <w:r>
        <w:t>3. Cross-Facility Immediate Jeopardy Pattern</w:t>
      </w:r>
    </w:p>
    <w:p w14:paraId="5284DDDD" w14:textId="77777777" w:rsidR="003823D8" w:rsidRDefault="00561751">
      <w:pPr>
        <w:pStyle w:val="FirstParagraph"/>
      </w:pPr>
      <w:r>
        <w:rPr>
          <w:b/>
          <w:bCs/>
        </w:rPr>
        <w:t>Presumption of Unsuitability When:</w:t>
      </w:r>
      <w:r>
        <w:t xml:space="preserve"> - 40% or more of affiliated facilities have had immediate jeopardy findings within preceding 36 months, OR - Applicant has had three or more immediate jeopardy findings at different facilities within preceding 24 months</w:t>
      </w:r>
    </w:p>
    <w:p w14:paraId="4E404698" w14:textId="77777777" w:rsidR="003823D8" w:rsidRDefault="00561751">
      <w:pPr>
        <w:pStyle w:val="BodyText"/>
      </w:pPr>
      <w:r>
        <w:rPr>
          <w:b/>
          <w:bCs/>
        </w:rPr>
        <w:t>Rebuttal Standard:</w:t>
      </w:r>
      <w:r>
        <w:t xml:space="preserve"> Applicant must demonstrate: - Root cause analysis identifying systemic factors contributing to immediate jeopardy patterns - Enterprise-wide governance reforms addressing identified systemic factors - Third-party oversight or monitoring systems to prevent recurrence - Financial commitment to sustained compliance (e.g., performance bonds, restricted accounts funding compliance improvements)</w:t>
      </w:r>
    </w:p>
    <w:p w14:paraId="12E110DC" w14:textId="77777777" w:rsidR="003823D8" w:rsidRDefault="00561751">
      <w:pPr>
        <w:pStyle w:val="Heading4"/>
      </w:pPr>
      <w:bookmarkStart w:id="21" w:name="quality-outcome-patterns"/>
      <w:bookmarkEnd w:id="20"/>
      <w:r>
        <w:t>4. Quality Outcome Patterns</w:t>
      </w:r>
    </w:p>
    <w:p w14:paraId="5F508104" w14:textId="77777777" w:rsidR="003823D8" w:rsidRDefault="00561751">
      <w:pPr>
        <w:pStyle w:val="FirstParagraph"/>
      </w:pPr>
      <w:r>
        <w:rPr>
          <w:b/>
          <w:bCs/>
        </w:rPr>
        <w:t>Enhanced Scrutiny Required When:</w:t>
      </w:r>
      <w:r>
        <w:t xml:space="preserve"> - 50% or more of affiliated facilities rank in bottom quartile for CMS Five-Star quality ratings for two or more consecutive years, OR - Affiliated facilities show declining quality trends across multiple domains (staffing, health inspections, quality measures)</w:t>
      </w:r>
    </w:p>
    <w:p w14:paraId="2E726007" w14:textId="77777777" w:rsidR="003823D8" w:rsidRDefault="00561751">
      <w:pPr>
        <w:pStyle w:val="BodyText"/>
      </w:pPr>
      <w:r>
        <w:rPr>
          <w:b/>
          <w:bCs/>
        </w:rPr>
        <w:t>Review Requirements:</w:t>
      </w:r>
      <w:r>
        <w:t xml:space="preserve"> - Explanation of quality outcomes and business model justification - Demonstration that quality outcomes result from case mix rather than operational decisions - Quality improvement plan with objective milestones and timelines - Commitment to enhanced reporting and third-party quality monitoring</w:t>
      </w:r>
    </w:p>
    <w:p w14:paraId="74DAC3C2" w14:textId="77777777" w:rsidR="003823D8" w:rsidRDefault="00561751">
      <w:pPr>
        <w:pStyle w:val="Heading4"/>
      </w:pPr>
      <w:bookmarkStart w:id="22" w:name="financial-instability-indicators"/>
      <w:bookmarkEnd w:id="21"/>
      <w:r>
        <w:t>5. Financial Instability Indicators</w:t>
      </w:r>
    </w:p>
    <w:p w14:paraId="0794D3CE" w14:textId="77777777" w:rsidR="003823D8" w:rsidRDefault="00561751">
      <w:pPr>
        <w:pStyle w:val="FirstParagraph"/>
      </w:pPr>
      <w:r>
        <w:rPr>
          <w:b/>
          <w:bCs/>
        </w:rPr>
        <w:t>Presumption Against Approval When:</w:t>
      </w:r>
      <w:r>
        <w:t xml:space="preserve"> - Applicant demonstrates insufficient operating margins (less than 5% after related-party transactions) to sustain compliance during reasonably anticipated financial stress, OR - Applicant has closed or bankrupted facilities </w:t>
      </w:r>
      <w:r>
        <w:lastRenderedPageBreak/>
        <w:t>leaving resident care obligations unmet, OR - Applicant has debt service obligations exceeding 15% of gross revenue while maintaining minimum staffing</w:t>
      </w:r>
    </w:p>
    <w:p w14:paraId="738E2FB8" w14:textId="77777777" w:rsidR="003823D8" w:rsidRDefault="00561751">
      <w:pPr>
        <w:pStyle w:val="BodyText"/>
      </w:pPr>
      <w:r>
        <w:rPr>
          <w:b/>
          <w:bCs/>
        </w:rPr>
        <w:t>Rebuttal Standard:</w:t>
      </w:r>
      <w:r>
        <w:t xml:space="preserve"> Applicant must demonstrate: - Financial capacity to maintain above-minimum staffing during 12-month period of [defined stress scenario: occupancy decline, reimbursement cut, etc.] - Reserves or commitments adequate to meet resident care obligations if facility closes - If leveraged acquisition, demonstration that debt structure allows operational flexibility for quality improvement</w:t>
      </w:r>
    </w:p>
    <w:p w14:paraId="30C9944A" w14:textId="77777777" w:rsidR="003823D8" w:rsidRDefault="00561751">
      <w:pPr>
        <w:pStyle w:val="Heading4"/>
      </w:pPr>
      <w:bookmarkStart w:id="23" w:name="governance-and-transparency"/>
      <w:bookmarkEnd w:id="22"/>
      <w:r>
        <w:t>6. Governance and Transparency</w:t>
      </w:r>
    </w:p>
    <w:p w14:paraId="404AAAAF" w14:textId="77777777" w:rsidR="003823D8" w:rsidRDefault="00561751">
      <w:pPr>
        <w:pStyle w:val="FirstParagraph"/>
      </w:pPr>
      <w:r>
        <w:rPr>
          <w:b/>
          <w:bCs/>
        </w:rPr>
        <w:t>Enhanced Scrutiny Required When:</w:t>
      </w:r>
      <w:r>
        <w:t xml:space="preserve"> - Ownership structure involves multiple layered entities obscuring ultimate beneficial ownership, OR - Ownership structure includes entities in jurisdictions with limited financial disclosure requirements, OR - Prior enforcement included findings of obstruction, false documentation, or evasion</w:t>
      </w:r>
    </w:p>
    <w:p w14:paraId="0B82C036" w14:textId="77777777" w:rsidR="003823D8" w:rsidRDefault="00561751">
      <w:pPr>
        <w:pStyle w:val="BodyText"/>
      </w:pPr>
      <w:r>
        <w:rPr>
          <w:b/>
          <w:bCs/>
        </w:rPr>
        <w:t>Review Requirements:</w:t>
      </w:r>
      <w:r>
        <w:t xml:space="preserve"> - Complete ownership structure mapping to ultimate beneficial owners - Explanation of business purpose for complex structures - Enhanced ongoing disclosure requirements as condition of approval - Third-party financial oversight if ownership structure raises accountability concerns</w:t>
      </w:r>
    </w:p>
    <w:p w14:paraId="321499C8" w14:textId="77777777" w:rsidR="003823D8" w:rsidRDefault="00561751">
      <w:pPr>
        <w:pStyle w:val="Heading3"/>
      </w:pPr>
      <w:bookmarkStart w:id="24" w:name="Xd7455cc431d5c56c32e2c8872eb1809669ad968"/>
      <w:bookmarkEnd w:id="17"/>
      <w:bookmarkEnd w:id="23"/>
      <w:r>
        <w:t>B. Management Company Oversight: Structural Accountability Standards</w:t>
      </w:r>
    </w:p>
    <w:p w14:paraId="5B5C500B" w14:textId="77777777" w:rsidR="003823D8" w:rsidRDefault="00561751">
      <w:pPr>
        <w:pStyle w:val="FirstParagraph"/>
      </w:pPr>
      <w:r>
        <w:rPr>
          <w:b/>
          <w:bCs/>
        </w:rPr>
        <w:t>Objective:</w:t>
      </w:r>
      <w:r>
        <w:t xml:space="preserve"> Ensure management company accountability for outcomes at managed facilities and prevent fee structures that create perverse incentives.</w:t>
      </w:r>
    </w:p>
    <w:p w14:paraId="7F778D49" w14:textId="77777777" w:rsidR="003823D8" w:rsidRDefault="00561751">
      <w:pPr>
        <w:pStyle w:val="Heading4"/>
      </w:pPr>
      <w:bookmarkStart w:id="25" w:name="management-fee-disclosure-requirements"/>
      <w:r>
        <w:t>1. Management Fee Disclosure Requirements</w:t>
      </w:r>
    </w:p>
    <w:p w14:paraId="28741AD0" w14:textId="77777777" w:rsidR="003823D8" w:rsidRDefault="00561751">
      <w:pPr>
        <w:pStyle w:val="FirstParagraph"/>
      </w:pPr>
      <w:r>
        <w:rPr>
          <w:b/>
          <w:bCs/>
        </w:rPr>
        <w:t>Required Submissions:</w:t>
      </w:r>
      <w:r>
        <w:t xml:space="preserve"> - Base management fee: percentage of gross revenue and absolute dollar projections - Performance incentive structures: metrics, targets, and payment formulas - Related-party transactions: all service agreements between management company affiliates and managed facility - Administrative overhead allocations: charges for centralized services - Comparative analysis: demonstration that fee structures are competitive with market rates</w:t>
      </w:r>
    </w:p>
    <w:p w14:paraId="0935699E" w14:textId="77777777" w:rsidR="003823D8" w:rsidRDefault="00561751">
      <w:pPr>
        <w:pStyle w:val="Heading4"/>
      </w:pPr>
      <w:bookmarkStart w:id="26" w:name="conflict-of-interest-assessment"/>
      <w:bookmarkEnd w:id="25"/>
      <w:r>
        <w:t>2. Conflict of Interest Assessment</w:t>
      </w:r>
    </w:p>
    <w:p w14:paraId="612193E2" w14:textId="77777777" w:rsidR="003823D8" w:rsidRDefault="00561751">
      <w:pPr>
        <w:pStyle w:val="FirstParagraph"/>
      </w:pPr>
      <w:r>
        <w:rPr>
          <w:b/>
          <w:bCs/>
        </w:rPr>
        <w:t>Prohibited or Presumptively Unapprovable Arrangements:</w:t>
      </w:r>
      <w:r>
        <w:t xml:space="preserve"> - Fee structures that explicitly reward cost reduction without corresponding quality improvement requirements - Performance bonuses tied solely to occupancy or revenue without quality metrics - Fee arrangements that result in management company receiving increasing compensation while facility care quality declines</w:t>
      </w:r>
    </w:p>
    <w:p w14:paraId="60333BDC" w14:textId="77777777" w:rsidR="003823D8" w:rsidRDefault="00561751">
      <w:pPr>
        <w:pStyle w:val="BodyText"/>
      </w:pPr>
      <w:r>
        <w:rPr>
          <w:b/>
          <w:bCs/>
        </w:rPr>
        <w:t>Required for Approval:</w:t>
      </w:r>
      <w:r>
        <w:t xml:space="preserve"> - Demonstration that fee structure aligns management company interests with quality outcomes (e.g., quality-adjusted fee formulas, penalties for deficiencies) - Commitment that management fees will not increase unless quality metrics improve - Provision for fee reduction or contract termination if facility experiences chronic compliance problems</w:t>
      </w:r>
    </w:p>
    <w:p w14:paraId="288C634E" w14:textId="77777777" w:rsidR="003823D8" w:rsidRDefault="00561751">
      <w:pPr>
        <w:pStyle w:val="Heading4"/>
      </w:pPr>
      <w:bookmarkStart w:id="27" w:name="performance-based-accountability"/>
      <w:bookmarkEnd w:id="26"/>
      <w:r>
        <w:lastRenderedPageBreak/>
        <w:t>3. Performance-Based Accountability</w:t>
      </w:r>
    </w:p>
    <w:p w14:paraId="2CCA6EE5" w14:textId="77777777" w:rsidR="003823D8" w:rsidRDefault="00561751">
      <w:pPr>
        <w:pStyle w:val="FirstParagraph"/>
      </w:pPr>
      <w:r>
        <w:rPr>
          <w:b/>
          <w:bCs/>
        </w:rPr>
        <w:t>Ongoing Requirements:</w:t>
      </w:r>
      <w:r>
        <w:t xml:space="preserve"> - Annual reporting of quality outcomes across all managed facilities - Notification to Department when managed facilities receive immediate jeopardy findings or repeated serious deficiencies - Corrective action plans when patterns emerge across managed facilities</w:t>
      </w:r>
    </w:p>
    <w:p w14:paraId="6D0D0C93" w14:textId="77777777" w:rsidR="003823D8" w:rsidRDefault="00561751">
      <w:pPr>
        <w:pStyle w:val="BodyText"/>
      </w:pPr>
      <w:r>
        <w:rPr>
          <w:b/>
          <w:bCs/>
        </w:rPr>
        <w:t>Grounds for Revocation or Conditional Approval:</w:t>
      </w:r>
      <w:r>
        <w:t xml:space="preserve"> - 40% or more of managed facilities have chronic compliance problems within 24-month period - Management company fails to implement corrective action when patterns are identified - Management company demonstrates pattern of abandoning troubled facilities rather than improving performance</w:t>
      </w:r>
    </w:p>
    <w:p w14:paraId="28A844E3" w14:textId="77777777" w:rsidR="003823D8" w:rsidRDefault="00561751">
      <w:pPr>
        <w:pStyle w:val="Heading4"/>
      </w:pPr>
      <w:bookmarkStart w:id="28" w:name="management-agreement-standards"/>
      <w:bookmarkEnd w:id="27"/>
      <w:r>
        <w:t>4. Management Agreement Standards</w:t>
      </w:r>
    </w:p>
    <w:p w14:paraId="5A677814" w14:textId="77777777" w:rsidR="003823D8" w:rsidRDefault="00561751">
      <w:pPr>
        <w:pStyle w:val="FirstParagraph"/>
      </w:pPr>
      <w:r>
        <w:rPr>
          <w:b/>
          <w:bCs/>
        </w:rPr>
        <w:t>Required Contract Provisions:</w:t>
      </w:r>
      <w:r>
        <w:t xml:space="preserve"> - Specific delineation of management company responsibilities for regulatory compliance - Prohibition on indemnification clauses that shield management company from consequences of management failures - Demonstration of management company capacity (staffing, expertise, systems) to sustain compliance across all managed facilities - Performance metrics tied to quality outcomes with contract consequences for failure</w:t>
      </w:r>
    </w:p>
    <w:p w14:paraId="4E767945" w14:textId="77777777" w:rsidR="003823D8" w:rsidRDefault="00561751">
      <w:pPr>
        <w:pStyle w:val="BodyText"/>
      </w:pPr>
      <w:r>
        <w:rPr>
          <w:b/>
          <w:bCs/>
        </w:rPr>
        <w:t>Prohibited Contract Provisions:</w:t>
      </w:r>
      <w:r>
        <w:t xml:space="preserve"> - Terms that allow management company to receive full fees during periods of serious noncompliance - Restrictions preventing facility from terminating management company for cause - Provisions that prioritize management fee payment over direct care staffing expenses</w:t>
      </w:r>
    </w:p>
    <w:p w14:paraId="32173C63" w14:textId="77777777" w:rsidR="003823D8" w:rsidRDefault="00561751">
      <w:pPr>
        <w:pStyle w:val="Heading3"/>
      </w:pPr>
      <w:bookmarkStart w:id="29" w:name="X047ae430ee0c3d91a622a8528bc2d68730211cc"/>
      <w:bookmarkEnd w:id="24"/>
      <w:bookmarkEnd w:id="28"/>
      <w:r>
        <w:t>C. Ownership Transfers: Enhanced Oversight and Post-Transfer Monitoring</w:t>
      </w:r>
    </w:p>
    <w:p w14:paraId="40746028" w14:textId="77777777" w:rsidR="003823D8" w:rsidRDefault="00561751">
      <w:pPr>
        <w:pStyle w:val="FirstParagraph"/>
      </w:pPr>
      <w:r>
        <w:rPr>
          <w:b/>
          <w:bCs/>
        </w:rPr>
        <w:t>Objective:</w:t>
      </w:r>
      <w:r>
        <w:t xml:space="preserve"> Ensure ownership transfers do not result in quality decline and create accountability for post-transfer outcomes.</w:t>
      </w:r>
    </w:p>
    <w:p w14:paraId="4B99AF3B" w14:textId="77777777" w:rsidR="003823D8" w:rsidRDefault="00561751">
      <w:pPr>
        <w:pStyle w:val="Heading4"/>
      </w:pPr>
      <w:bookmarkStart w:id="30" w:name="pre-transfer-suitability-review"/>
      <w:r>
        <w:t>1. Pre-Transfer Suitability Review</w:t>
      </w:r>
    </w:p>
    <w:p w14:paraId="61E435F6" w14:textId="77777777" w:rsidR="003823D8" w:rsidRDefault="00561751">
      <w:pPr>
        <w:pStyle w:val="FirstParagraph"/>
      </w:pPr>
      <w:r>
        <w:rPr>
          <w:b/>
          <w:bCs/>
        </w:rPr>
        <w:t>Required Assessments:</w:t>
      </w:r>
      <w:r>
        <w:t xml:space="preserve"> - Baseline quality and compliance status of facility to be transferred - Transferee’s plan for sustaining or improving current performance - Financial capacity analysis showing transferee can maintain baseline quality - If facility has compliance problems, transferee’s specific corrective action plan with timelines</w:t>
      </w:r>
    </w:p>
    <w:p w14:paraId="0AF6FBCE" w14:textId="77777777" w:rsidR="003823D8" w:rsidRDefault="00561751">
      <w:pPr>
        <w:pStyle w:val="BodyText"/>
      </w:pPr>
      <w:r>
        <w:rPr>
          <w:b/>
          <w:bCs/>
        </w:rPr>
        <w:t>Risk-Based Conditions:</w:t>
      </w:r>
      <w:r>
        <w:t xml:space="preserve"> When facility being transferred has compliance problems OR transferee has concerning history: - Conditional approval requiring achievement of specified quality milestones within defined timeframe - Enhanced Department oversight for 12-24 months post-transfer - Required third-party quality monitoring with reporting to Department - Restrictions on related-party transactions or management fee increases until quality improvement demonstrated</w:t>
      </w:r>
    </w:p>
    <w:p w14:paraId="4026D4B8" w14:textId="77777777" w:rsidR="003823D8" w:rsidRDefault="00561751">
      <w:pPr>
        <w:pStyle w:val="Heading4"/>
      </w:pPr>
      <w:bookmarkStart w:id="31" w:name="post-transfer-monitoring"/>
      <w:bookmarkEnd w:id="30"/>
      <w:r>
        <w:lastRenderedPageBreak/>
        <w:t>2. Post-Transfer Monitoring</w:t>
      </w:r>
    </w:p>
    <w:p w14:paraId="2CBB6A3E" w14:textId="77777777" w:rsidR="003823D8" w:rsidRDefault="00561751">
      <w:pPr>
        <w:pStyle w:val="FirstParagraph"/>
      </w:pPr>
      <w:r>
        <w:rPr>
          <w:b/>
          <w:bCs/>
        </w:rPr>
        <w:t>Required for All Transfers:</w:t>
      </w:r>
      <w:r>
        <w:t xml:space="preserve"> - Baseline quality survey within 60 days post-transfer - Quality metric reporting quarterly for first year post-transfer - If quality declines post-transfer, required explanation and corrective action plan</w:t>
      </w:r>
    </w:p>
    <w:p w14:paraId="2CE7865F" w14:textId="77777777" w:rsidR="003823D8" w:rsidRDefault="00561751">
      <w:pPr>
        <w:pStyle w:val="BodyText"/>
      </w:pPr>
      <w:r>
        <w:rPr>
          <w:b/>
          <w:bCs/>
        </w:rPr>
        <w:t>Enhanced Monitoring for High-Risk Transfers:</w:t>
      </w:r>
      <w:r>
        <w:t xml:space="preserve"> When transferee has concerning history OR facility has compliance problems: - Unannounced inspections within 30, 90, and 180 days post-transfer - Monthly financial reporting demonstrating adequate resources for care - Staff retention reporting (significant staff turnover post-transfer may indicate problems) - Resident and family satisfaction surveys</w:t>
      </w:r>
    </w:p>
    <w:p w14:paraId="491AA6AE" w14:textId="77777777" w:rsidR="003823D8" w:rsidRDefault="00561751">
      <w:pPr>
        <w:pStyle w:val="Heading4"/>
      </w:pPr>
      <w:bookmarkStart w:id="32" w:name="public-disclosure"/>
      <w:bookmarkEnd w:id="31"/>
      <w:r>
        <w:t>3. Public Disclosure</w:t>
      </w:r>
    </w:p>
    <w:p w14:paraId="1E793595" w14:textId="77777777" w:rsidR="003823D8" w:rsidRDefault="00561751">
      <w:pPr>
        <w:pStyle w:val="FirstParagraph"/>
      </w:pPr>
      <w:r>
        <w:rPr>
          <w:b/>
          <w:bCs/>
        </w:rPr>
        <w:t>Required Public Notice Content:</w:t>
      </w:r>
      <w:r>
        <w:t xml:space="preserve"> - Identity of transferor and transferee (including ultimate beneficial owners) - Enforcement and quality history of transferee at other facilities - Any conditions attached to transfer approval - Timeline for transition and contact information for concerns</w:t>
      </w:r>
    </w:p>
    <w:p w14:paraId="2B095CD6" w14:textId="77777777" w:rsidR="003823D8" w:rsidRDefault="00561751">
      <w:pPr>
        <w:pStyle w:val="BodyText"/>
      </w:pPr>
      <w:r>
        <w:rPr>
          <w:b/>
          <w:bCs/>
        </w:rPr>
        <w:t>Stakeholder Comment Process:</w:t>
      </w:r>
      <w:r>
        <w:t xml:space="preserve"> - 45-day comment period before transfer approval - Required consideration of comments from: residents, families, staff, unions, ombudsmen, legislators - Published Department response addressing substantive concerns raised - If significant opposition documented, required explanation for approval decision</w:t>
      </w:r>
    </w:p>
    <w:p w14:paraId="213B5111" w14:textId="77777777" w:rsidR="003823D8" w:rsidRDefault="00561751">
      <w:pPr>
        <w:pStyle w:val="Heading3"/>
      </w:pPr>
      <w:bookmarkStart w:id="33" w:name="X163f96455fcdc3e5e98c980f725cb00f3ad17c5"/>
      <w:bookmarkEnd w:id="29"/>
      <w:bookmarkEnd w:id="32"/>
      <w:r>
        <w:t>D. Enforcement Escalation: Predictable Progression Standards</w:t>
      </w:r>
    </w:p>
    <w:p w14:paraId="7BA1AC0C" w14:textId="77777777" w:rsidR="003823D8" w:rsidRDefault="00561751">
      <w:pPr>
        <w:pStyle w:val="FirstParagraph"/>
      </w:pPr>
      <w:r>
        <w:rPr>
          <w:b/>
          <w:bCs/>
        </w:rPr>
        <w:t>Objective:</w:t>
      </w:r>
      <w:r>
        <w:t xml:space="preserve"> Create predictable enforcement escalation that channels discretion through objective standards and enables stakeholder assessment of consistency.</w:t>
      </w:r>
    </w:p>
    <w:p w14:paraId="04525561" w14:textId="77777777" w:rsidR="003823D8" w:rsidRDefault="00561751">
      <w:pPr>
        <w:pStyle w:val="Heading4"/>
      </w:pPr>
      <w:bookmarkStart w:id="34" w:name="escalation-trigger-standards"/>
      <w:r>
        <w:t>1. Escalation Trigger Standards</w:t>
      </w:r>
    </w:p>
    <w:p w14:paraId="65A217DE" w14:textId="77777777" w:rsidR="003823D8" w:rsidRDefault="00561751">
      <w:pPr>
        <w:pStyle w:val="FirstParagraph"/>
      </w:pPr>
      <w:r>
        <w:rPr>
          <w:b/>
          <w:bCs/>
        </w:rPr>
        <w:t>Mandatory Escalation Required When:</w:t>
      </w:r>
    </w:p>
    <w:p w14:paraId="167A913E" w14:textId="77777777" w:rsidR="003823D8" w:rsidRDefault="00561751">
      <w:pPr>
        <w:pStyle w:val="BodyText"/>
      </w:pPr>
      <w:r>
        <w:rPr>
          <w:b/>
          <w:bCs/>
        </w:rPr>
        <w:t>Tier 1 - Enhanced Standard Enforcement:</w:t>
      </w:r>
      <w:r>
        <w:t xml:space="preserve"> - Same deficiency cited in three consecutive surveys (requires mandatory follow-up survey at facility expense) - Immediate jeopardy finding (requires follow-up survey regardless of correction) - Substantiated abuse or neglect finding</w:t>
      </w:r>
    </w:p>
    <w:p w14:paraId="7722B915" w14:textId="77777777" w:rsidR="003823D8" w:rsidRDefault="00561751">
      <w:pPr>
        <w:pStyle w:val="BodyText"/>
      </w:pPr>
      <w:r>
        <w:rPr>
          <w:b/>
          <w:bCs/>
        </w:rPr>
        <w:t>Tier 2 - Conditional License or Directed Plan of Correction:</w:t>
      </w:r>
      <w:r>
        <w:t xml:space="preserve"> - Same deficiency cited in four surveys over 24-month period - Immediate jeopardy recurrence within 12 months of prior immediate jeopardy - Pattern of deficiencies in same category (e.g., staffing, infection control) present in 60% of surveys over 24 months - Cross-facility pattern (when owner operates multiple facilities and 50% exhibit similar deficiency patterns)</w:t>
      </w:r>
    </w:p>
    <w:p w14:paraId="0A23585D" w14:textId="77777777" w:rsidR="003823D8" w:rsidRDefault="00561751">
      <w:pPr>
        <w:pStyle w:val="BodyText"/>
      </w:pPr>
      <w:r>
        <w:rPr>
          <w:b/>
          <w:bCs/>
        </w:rPr>
        <w:t>Tier 3 - License Suspension, Temporary Management, or Civil Monetary Penalty:</w:t>
      </w:r>
      <w:r>
        <w:t xml:space="preserve"> - Immediate jeopardy finding when facility was under conditional license - Third immediate jeopardy finding within 36 months - Demonstrated pattern of correcting deficiencies only for follow-up surveys (evasion pattern) - Obstruction of investigation or falsified documentation</w:t>
      </w:r>
    </w:p>
    <w:p w14:paraId="09019352" w14:textId="77777777" w:rsidR="003823D8" w:rsidRDefault="00561751">
      <w:pPr>
        <w:pStyle w:val="BodyText"/>
      </w:pPr>
      <w:r>
        <w:rPr>
          <w:b/>
          <w:bCs/>
        </w:rPr>
        <w:lastRenderedPageBreak/>
        <w:t>Tier 4 - License Revocation Proceedings:</w:t>
      </w:r>
      <w:r>
        <w:t xml:space="preserve"> - Immediate jeopardy finding causing serious resident harm when facility has had multiple prior immediate jeopardy findings - Demonstrated inability to sustain compliance despite multiple enforcement interventions - Ownership unsuitability based on enterprise-wide patterns</w:t>
      </w:r>
    </w:p>
    <w:p w14:paraId="1C7D78B9" w14:textId="77777777" w:rsidR="003823D8" w:rsidRDefault="00561751">
      <w:pPr>
        <w:pStyle w:val="Heading4"/>
      </w:pPr>
      <w:bookmarkStart w:id="35" w:name="cross-facility-enforcement-integration"/>
      <w:bookmarkEnd w:id="34"/>
      <w:r>
        <w:t>2. Cross-Facility Enforcement Integration</w:t>
      </w:r>
    </w:p>
    <w:p w14:paraId="148D1312" w14:textId="77777777" w:rsidR="003823D8" w:rsidRDefault="00561751">
      <w:pPr>
        <w:pStyle w:val="FirstParagraph"/>
      </w:pPr>
      <w:r>
        <w:rPr>
          <w:b/>
          <w:bCs/>
        </w:rPr>
        <w:t>When Cross-Facility Patterns Identified:</w:t>
      </w:r>
    </w:p>
    <w:p w14:paraId="0321666B" w14:textId="77777777" w:rsidR="003823D8" w:rsidRDefault="00561751">
      <w:pPr>
        <w:pStyle w:val="BodyText"/>
      </w:pPr>
      <w:r>
        <w:rPr>
          <w:b/>
          <w:bCs/>
        </w:rPr>
        <w:t>Assessment Required:</w:t>
      </w:r>
      <w:r>
        <w:t xml:space="preserve"> Department must evaluate whether patterns indicate: - Systemic business model problems (e.g., business model depends on minimum staffing regardless of resident need) - Governance failures (e.g., inadequate oversight systems, insufficient management capacity) - Financial structure problems (e.g., related-party transactions leave inadequate resources for compliance)</w:t>
      </w:r>
    </w:p>
    <w:p w14:paraId="3362D849" w14:textId="77777777" w:rsidR="003823D8" w:rsidRDefault="00561751">
      <w:pPr>
        <w:pStyle w:val="BodyText"/>
      </w:pPr>
      <w:r>
        <w:rPr>
          <w:b/>
          <w:bCs/>
        </w:rPr>
        <w:t>Enterprise-Level Interventions Authorized:</w:t>
      </w:r>
      <w:r>
        <w:t xml:space="preserve"> - Conditional license provisions affecting all affiliated facilities - Required third-party oversight across affiliated facility portfolio - Enhanced financial reporting and controls across affiliated facilities - Limitation on acquisitions or management arrangements pending compliance improvement - Suitability review triggering potential restrictions on continued operation</w:t>
      </w:r>
    </w:p>
    <w:p w14:paraId="721031F3" w14:textId="77777777" w:rsidR="003823D8" w:rsidRDefault="00561751">
      <w:pPr>
        <w:pStyle w:val="Heading4"/>
      </w:pPr>
      <w:bookmarkStart w:id="36" w:name="transparency-and-accountability"/>
      <w:bookmarkEnd w:id="35"/>
      <w:r>
        <w:t>3. Transparency and Accountability</w:t>
      </w:r>
    </w:p>
    <w:p w14:paraId="7259286B" w14:textId="77777777" w:rsidR="003823D8" w:rsidRDefault="00561751">
      <w:pPr>
        <w:pStyle w:val="FirstParagraph"/>
      </w:pPr>
      <w:r>
        <w:rPr>
          <w:b/>
          <w:bCs/>
        </w:rPr>
        <w:t>Public Reporting Requirements:</w:t>
      </w:r>
    </w:p>
    <w:p w14:paraId="61707559" w14:textId="77777777" w:rsidR="003823D8" w:rsidRDefault="00561751">
      <w:pPr>
        <w:pStyle w:val="BodyText"/>
      </w:pPr>
      <w:r>
        <w:rPr>
          <w:b/>
          <w:bCs/>
        </w:rPr>
        <w:t>Annual Enforcement Report Must Include:</w:t>
      </w:r>
      <w:r>
        <w:t xml:space="preserve"> - Distribution of citations by facility and by owner - Enforcement escalation rates (percentage of repeat violations triggering enhanced enforcement) - Average time from deficiency identification to sustained correction - Cross-facility enforcement actions taken - Suitability determinations and bases for approval/denial</w:t>
      </w:r>
    </w:p>
    <w:p w14:paraId="3252C780" w14:textId="77777777" w:rsidR="003823D8" w:rsidRDefault="00561751">
      <w:pPr>
        <w:pStyle w:val="BodyText"/>
      </w:pPr>
      <w:r>
        <w:rPr>
          <w:b/>
          <w:bCs/>
        </w:rPr>
        <w:t>Purpose:</w:t>
      </w:r>
      <w:r>
        <w:t xml:space="preserve"> Enable stakeholders (residents, families, advocates, legislators, researchers) to: - Assess enforcement consistency across facilities and owners - Identify patterns indicating systemic problems - Evaluate whether enforcement produces durable compliance improvements - Hold Department accountable for effective regulatory oversight</w:t>
      </w:r>
    </w:p>
    <w:p w14:paraId="2CBC501E" w14:textId="77777777" w:rsidR="003823D8" w:rsidRDefault="00561751">
      <w:pPr>
        <w:pStyle w:val="Heading3"/>
      </w:pPr>
      <w:bookmarkStart w:id="37" w:name="X443db35c566df6c0b7a89e9832e2a194e027012"/>
      <w:bookmarkEnd w:id="33"/>
      <w:bookmarkEnd w:id="36"/>
      <w:r>
        <w:t>E. Financial Transparency and Extraction Limits</w:t>
      </w:r>
    </w:p>
    <w:p w14:paraId="4F5A67D6" w14:textId="77777777" w:rsidR="003823D8" w:rsidRDefault="00561751">
      <w:pPr>
        <w:pStyle w:val="FirstParagraph"/>
      </w:pPr>
      <w:r>
        <w:rPr>
          <w:b/>
          <w:bCs/>
        </w:rPr>
        <w:t>Objective:</w:t>
      </w:r>
      <w:r>
        <w:t xml:space="preserve"> Ensure financial structures and related-party transactions do not impair care quality and create accountability for extraction patterns.</w:t>
      </w:r>
    </w:p>
    <w:p w14:paraId="5A4E6DE2" w14:textId="77777777" w:rsidR="003823D8" w:rsidRDefault="00561751">
      <w:pPr>
        <w:pStyle w:val="Heading4"/>
      </w:pPr>
      <w:bookmarkStart w:id="38" w:name="comprehensive-financial-disclosure"/>
      <w:r>
        <w:t>1. Comprehensive Financial Disclosure</w:t>
      </w:r>
    </w:p>
    <w:p w14:paraId="0DDA5B95" w14:textId="77777777" w:rsidR="003823D8" w:rsidRDefault="00561751">
      <w:pPr>
        <w:pStyle w:val="FirstParagraph"/>
      </w:pPr>
      <w:r>
        <w:rPr>
          <w:b/>
          <w:bCs/>
        </w:rPr>
        <w:t>Required Annual Submissions:</w:t>
      </w:r>
    </w:p>
    <w:p w14:paraId="0CF82CDD" w14:textId="77777777" w:rsidR="003823D8" w:rsidRDefault="00561751">
      <w:pPr>
        <w:pStyle w:val="BodyText"/>
      </w:pPr>
      <w:r>
        <w:rPr>
          <w:b/>
          <w:bCs/>
        </w:rPr>
        <w:t>Related-Party Transaction Reporting:</w:t>
      </w:r>
      <w:r>
        <w:t xml:space="preserve"> - All management fees: amount, calculation method, services provided, market comparability - All lease arrangements with affiliated entities: annual rent, lease terms, market comparability analysis - All service agreements with affiliates: nature of services, cost, market comparability - All debt service to affiliated </w:t>
      </w:r>
      <w:r>
        <w:lastRenderedPageBreak/>
        <w:t>lenders: principal, interest rate, terms, lender identity - Total percentage of gross revenue flowing to all related parties</w:t>
      </w:r>
    </w:p>
    <w:p w14:paraId="27DDC393" w14:textId="77777777" w:rsidR="003823D8" w:rsidRDefault="00561751">
      <w:pPr>
        <w:pStyle w:val="BodyText"/>
      </w:pPr>
      <w:r>
        <w:rPr>
          <w:b/>
          <w:bCs/>
        </w:rPr>
        <w:t>Ownership Structure Reporting:</w:t>
      </w:r>
      <w:r>
        <w:t xml:space="preserve"> - Complete organizational chart showing all ownership layers to ultimate beneficial owners - Explanation of business purpose for layered structures - Disclosure of any ownership interests in entities with which facility transacts</w:t>
      </w:r>
    </w:p>
    <w:p w14:paraId="01A4951B" w14:textId="77777777" w:rsidR="003823D8" w:rsidRDefault="00561751">
      <w:pPr>
        <w:pStyle w:val="Heading4"/>
      </w:pPr>
      <w:bookmarkStart w:id="39" w:name="financial-suitability-standards"/>
      <w:bookmarkEnd w:id="38"/>
      <w:r>
        <w:t>2. Financial Suitability Standards</w:t>
      </w:r>
    </w:p>
    <w:p w14:paraId="21F8D0DA" w14:textId="77777777" w:rsidR="003823D8" w:rsidRDefault="00561751">
      <w:pPr>
        <w:pStyle w:val="FirstParagraph"/>
      </w:pPr>
      <w:r>
        <w:rPr>
          <w:b/>
          <w:bCs/>
        </w:rPr>
        <w:t>Enhanced Scrutiny Required When:</w:t>
      </w:r>
      <w:r>
        <w:t xml:space="preserve"> - Total related-party transactions exceed 25% of gross revenue - Management fees exceed 10% of gross revenue without quality outcomes justification - Debt service exceeds 15% of gross revenue while facility maintains minimum staffing - Lease payments exceed market comparables by more than 20%</w:t>
      </w:r>
    </w:p>
    <w:p w14:paraId="6170FCD5" w14:textId="77777777" w:rsidR="003823D8" w:rsidRDefault="00561751">
      <w:pPr>
        <w:pStyle w:val="BodyText"/>
      </w:pPr>
      <w:r>
        <w:rPr>
          <w:b/>
          <w:bCs/>
        </w:rPr>
        <w:t>Assessment Requirements:</w:t>
      </w:r>
      <w:r>
        <w:t xml:space="preserve"> - Financial modeling demonstrating adequate operating margin for above-minimum staffing after related-party payments - Quality outcome analysis: do facilities with high related-party transactions deliver comparable quality to industry benchmarks? - Market comparability: are related-party transaction costs commercially reasonable?</w:t>
      </w:r>
    </w:p>
    <w:p w14:paraId="46A06137" w14:textId="77777777" w:rsidR="003823D8" w:rsidRDefault="00561751">
      <w:pPr>
        <w:pStyle w:val="BodyText"/>
      </w:pPr>
      <w:r>
        <w:rPr>
          <w:b/>
          <w:bCs/>
        </w:rPr>
        <w:t>Conditional Approval or Restrictions When:</w:t>
      </w:r>
      <w:r>
        <w:t xml:space="preserve"> - Financial modeling shows inadequate margin for quality care - High related-party transactions correlate with poor quality outcomes - Related-party transaction costs significantly exceed market rates</w:t>
      </w:r>
    </w:p>
    <w:p w14:paraId="11BE5772" w14:textId="77777777" w:rsidR="003823D8" w:rsidRDefault="00561751">
      <w:pPr>
        <w:pStyle w:val="BodyText"/>
      </w:pPr>
      <w:r>
        <w:rPr>
          <w:b/>
          <w:bCs/>
        </w:rPr>
        <w:t>Possible Conditions:</w:t>
      </w:r>
      <w:r>
        <w:t xml:space="preserve"> - Cap on related-party transactions as percentage of revenue - Required demonstration of quality improvement before related-party payments can increase - Enhanced financial monitoring and reporting - Third-party financial oversight</w:t>
      </w:r>
    </w:p>
    <w:p w14:paraId="4E2D696F" w14:textId="77777777" w:rsidR="003823D8" w:rsidRDefault="00561751">
      <w:pPr>
        <w:pStyle w:val="Heading4"/>
      </w:pPr>
      <w:bookmarkStart w:id="40" w:name="transaction-approval-requirements"/>
      <w:bookmarkEnd w:id="39"/>
      <w:r>
        <w:t>3. Transaction Approval Requirements</w:t>
      </w:r>
    </w:p>
    <w:p w14:paraId="3F32A9EE" w14:textId="77777777" w:rsidR="003823D8" w:rsidRDefault="00561751">
      <w:pPr>
        <w:pStyle w:val="FirstParagraph"/>
      </w:pPr>
      <w:r>
        <w:rPr>
          <w:b/>
          <w:bCs/>
        </w:rPr>
        <w:t>Department Approval Required For:</w:t>
      </w:r>
      <w:r>
        <w:t xml:space="preserve"> - New sale-leaseback arrangements (must demonstrate lease rate is market-appropriate and leaves adequate operating margin) - Material increases in management fees or related-party payments (must demonstrate quality justification) - Significant debt restructuring (must demonstrate debt service levels sustainable with quality care requirements)</w:t>
      </w:r>
    </w:p>
    <w:p w14:paraId="15ADEACD" w14:textId="77777777" w:rsidR="003823D8" w:rsidRDefault="00561751">
      <w:pPr>
        <w:pStyle w:val="Heading4"/>
      </w:pPr>
      <w:bookmarkStart w:id="41" w:name="ongoing-financial-monitoring"/>
      <w:bookmarkEnd w:id="40"/>
      <w:r>
        <w:t>4. Ongoing Financial Monitoring</w:t>
      </w:r>
    </w:p>
    <w:p w14:paraId="4C157E0F" w14:textId="77777777" w:rsidR="003823D8" w:rsidRDefault="00561751">
      <w:pPr>
        <w:pStyle w:val="FirstParagraph"/>
      </w:pPr>
      <w:r>
        <w:rPr>
          <w:b/>
          <w:bCs/>
        </w:rPr>
        <w:t>Triggered When:</w:t>
      </w:r>
      <w:r>
        <w:t xml:space="preserve"> Facility exhibits chronic compliance problems (repeated deficiencies, declining quality metrics) AND has related-party transactions exceeding thresholds</w:t>
      </w:r>
    </w:p>
    <w:p w14:paraId="6F91D924" w14:textId="77777777" w:rsidR="003823D8" w:rsidRDefault="00561751">
      <w:pPr>
        <w:pStyle w:val="BodyText"/>
      </w:pPr>
      <w:r>
        <w:rPr>
          <w:b/>
          <w:bCs/>
        </w:rPr>
        <w:t>Required:</w:t>
      </w:r>
      <w:r>
        <w:t xml:space="preserve"> - Monthly financial reporting showing revenue, expenses, related-party payments, staffing levels - Analysis of correlation between financial extraction and compliance problems - If correlation demonstrated, required reduction in related-party payments OR quality improvement plan with objective milestones</w:t>
      </w:r>
    </w:p>
    <w:p w14:paraId="49443629" w14:textId="77777777" w:rsidR="003823D8" w:rsidRDefault="00561751">
      <w:pPr>
        <w:pStyle w:val="BodyText"/>
      </w:pPr>
      <w:r>
        <w:rPr>
          <w:b/>
          <w:bCs/>
        </w:rPr>
        <w:t>Authority:</w:t>
      </w:r>
      <w:r>
        <w:t xml:space="preserve"> - Condition continued licensure on financial structure modifications when extraction patterns impair care quality - Limit or prohibit related-party transaction increases when facility has ongoing compliance problems - Require facility to demonstrate financial sustainability of quality improvement before related-party payments can increase</w:t>
      </w:r>
    </w:p>
    <w:p w14:paraId="58DE94F1" w14:textId="77777777" w:rsidR="003823D8" w:rsidRDefault="00561751">
      <w:pPr>
        <w:pStyle w:val="Heading3"/>
      </w:pPr>
      <w:bookmarkStart w:id="42" w:name="Xff67b473ccd82bae73e56e98fcb2fcd0a318f09"/>
      <w:bookmarkEnd w:id="37"/>
      <w:bookmarkEnd w:id="41"/>
      <w:r>
        <w:lastRenderedPageBreak/>
        <w:t>F. Integration Across Regulatory Frameworks</w:t>
      </w:r>
    </w:p>
    <w:p w14:paraId="6E04B76B" w14:textId="77777777" w:rsidR="003823D8" w:rsidRDefault="00561751">
      <w:pPr>
        <w:pStyle w:val="FirstParagraph"/>
      </w:pPr>
      <w:r>
        <w:rPr>
          <w:b/>
          <w:bCs/>
        </w:rPr>
        <w:t>Objective:</w:t>
      </w:r>
      <w:r>
        <w:t xml:space="preserve"> Ensure suitability determinations (105 CMR 153) and ongoing oversight (105 CMR 150) function as integrated system rather than separate tracks.</w:t>
      </w:r>
    </w:p>
    <w:p w14:paraId="45FD63DB" w14:textId="77777777" w:rsidR="003823D8" w:rsidRDefault="00561751">
      <w:pPr>
        <w:pStyle w:val="Heading4"/>
      </w:pPr>
      <w:bookmarkStart w:id="43" w:name="Xe8cd933fe8cd00dc315f2bb39a4d07001b93242"/>
      <w:r>
        <w:t>1. Feedback Loops: Suitability → Ongoing Oversight</w:t>
      </w:r>
    </w:p>
    <w:p w14:paraId="24EC9643" w14:textId="77777777" w:rsidR="003823D8" w:rsidRDefault="00561751">
      <w:pPr>
        <w:pStyle w:val="FirstParagraph"/>
      </w:pPr>
      <w:r>
        <w:rPr>
          <w:b/>
          <w:bCs/>
        </w:rPr>
        <w:t>When Suitability Approval Is Conditional:</w:t>
      </w:r>
      <w:r>
        <w:t xml:space="preserve"> - Facility receives enhanced oversight under 105 CMR 150 (more frequent inspections, mandatory quality reporting) - Department monitors compliance with suitability conditions - Violation of suitability conditions triggers enforcement escalation</w:t>
      </w:r>
    </w:p>
    <w:p w14:paraId="234D49AE" w14:textId="77777777" w:rsidR="003823D8" w:rsidRDefault="00561751">
      <w:pPr>
        <w:pStyle w:val="BodyText"/>
      </w:pPr>
      <w:r>
        <w:rPr>
          <w:b/>
          <w:bCs/>
        </w:rPr>
        <w:t>Implementation:</w:t>
      </w:r>
      <w:r>
        <w:t xml:space="preserve"> - Suitability conditions must be specific, measurable, and time-bound - Department must track suitability condition compliance systematically - Failure to meet suitability conditions creates presumption for license restriction or revocation</w:t>
      </w:r>
    </w:p>
    <w:p w14:paraId="67105AAC" w14:textId="77777777" w:rsidR="003823D8" w:rsidRDefault="00561751">
      <w:pPr>
        <w:pStyle w:val="Heading4"/>
      </w:pPr>
      <w:bookmarkStart w:id="44" w:name="Xfc6ba472e3f42629566e621bae68ea40655b22c"/>
      <w:bookmarkEnd w:id="43"/>
      <w:r>
        <w:t>2. Feedback Loops: Ongoing Oversight → Suitability Review</w:t>
      </w:r>
    </w:p>
    <w:p w14:paraId="797356BE" w14:textId="77777777" w:rsidR="003823D8" w:rsidRDefault="00561751">
      <w:pPr>
        <w:pStyle w:val="FirstParagraph"/>
      </w:pPr>
      <w:r>
        <w:rPr>
          <w:b/>
          <w:bCs/>
        </w:rPr>
        <w:t>When Ongoing Compliance Problems Emerge:</w:t>
      </w:r>
      <w:r>
        <w:t xml:space="preserve"> - Chronic compliance problems under 105 CMR 150 trigger suitability reassessment under 105 CMR 153 - Cross-facility patterns identified through enforcement trigger enterprise-level suitability review</w:t>
      </w:r>
    </w:p>
    <w:p w14:paraId="58D3A431" w14:textId="77777777" w:rsidR="003823D8" w:rsidRDefault="00561751">
      <w:pPr>
        <w:pStyle w:val="BodyText"/>
      </w:pPr>
      <w:r>
        <w:rPr>
          <w:b/>
          <w:bCs/>
        </w:rPr>
        <w:t>Standards for Triggering Suitability Reassessment:</w:t>
      </w:r>
      <w:r>
        <w:t xml:space="preserve"> - Facility approved subject to conditions fails to meet conditions within specified timeframe - Facility develops pattern of repeat violations post-approval (same patterns that would have raised suitability concerns had they existed at approval) - Owner’s portfolio-wide performance deteriorates significantly post-approval - Significant financial changes (debt restructuring, related-party transaction increases) that affect facility operating capacity</w:t>
      </w:r>
    </w:p>
    <w:p w14:paraId="4A4EDEAA" w14:textId="77777777" w:rsidR="003823D8" w:rsidRDefault="00561751">
      <w:pPr>
        <w:pStyle w:val="Heading4"/>
      </w:pPr>
      <w:bookmarkStart w:id="45" w:name="Xcaff353f9d1e7755bf4e4431173c76cebaec884"/>
      <w:bookmarkEnd w:id="44"/>
      <w:r>
        <w:t>3. Cross-Facility Analysis and Enterprise Enforcement</w:t>
      </w:r>
    </w:p>
    <w:p w14:paraId="4EC10B0E" w14:textId="77777777" w:rsidR="003823D8" w:rsidRDefault="00561751">
      <w:pPr>
        <w:pStyle w:val="FirstParagraph"/>
      </w:pPr>
      <w:r>
        <w:rPr>
          <w:b/>
          <w:bCs/>
        </w:rPr>
        <w:t>Systematic Portfolio Review:</w:t>
      </w:r>
      <w:r>
        <w:t xml:space="preserve"> When owner operates multiple Massachusetts facilities: - Department maintains portfolio-level compliance dashboards - Department identifies patterns across affiliated facilities - Department assesses whether patterns indicate systemic business model or governance problems</w:t>
      </w:r>
    </w:p>
    <w:p w14:paraId="5ED1F61F" w14:textId="77777777" w:rsidR="003823D8" w:rsidRDefault="00561751">
      <w:pPr>
        <w:pStyle w:val="BodyText"/>
      </w:pPr>
      <w:r>
        <w:rPr>
          <w:b/>
          <w:bCs/>
        </w:rPr>
        <w:t>Enterprise-Level Intervention Standards:</w:t>
      </w:r>
      <w:r>
        <w:t xml:space="preserve"> When 40% or more of affiliated facilities exhibit similar deficiency patterns: - Presumption that pattern indicates systemic problem requiring enterprise-level intervention - Required: root cause analysis, enterprise-wide corrective action plan, third-party oversight - Authority to impose portfolio-wide license conditions</w:t>
      </w:r>
    </w:p>
    <w:p w14:paraId="37DBDB87" w14:textId="77777777" w:rsidR="003823D8" w:rsidRDefault="00561751">
      <w:pPr>
        <w:pStyle w:val="BodyText"/>
      </w:pPr>
      <w:r>
        <w:rPr>
          <w:b/>
          <w:bCs/>
        </w:rPr>
        <w:t>Authority:</w:t>
      </w:r>
      <w:r>
        <w:t xml:space="preserve"> - Impose conditions affecting all affiliated facilities - Require governance reforms applicable to entire portfolio - Limit owner’s ability to acquire additional facilities pending compliance improvement across existing portfolio - Initiate suitability review that could result in license restrictions or revocation across affiliated facilities if systemic unsuitability demonstrated</w:t>
      </w:r>
    </w:p>
    <w:p w14:paraId="0881A2D6" w14:textId="77777777" w:rsidR="003823D8" w:rsidRDefault="00561751">
      <w:pPr>
        <w:pStyle w:val="Heading4"/>
      </w:pPr>
      <w:bookmarkStart w:id="46" w:name="performance-based-licensing"/>
      <w:bookmarkEnd w:id="45"/>
      <w:r>
        <w:lastRenderedPageBreak/>
        <w:t>4. Performance-Based Licensing</w:t>
      </w:r>
    </w:p>
    <w:p w14:paraId="7050A895" w14:textId="77777777" w:rsidR="003823D8" w:rsidRDefault="00561751">
      <w:pPr>
        <w:pStyle w:val="FirstParagraph"/>
      </w:pPr>
      <w:r>
        <w:rPr>
          <w:b/>
          <w:bCs/>
        </w:rPr>
        <w:t>Conditional License Framework:</w:t>
      </w:r>
      <w:r>
        <w:t xml:space="preserve"> Some approvals inherently involve elevated risk (transferee with limited history, facility with compliance problems, owner with concerning patterns). In such cases:</w:t>
      </w:r>
    </w:p>
    <w:p w14:paraId="616048D9" w14:textId="77777777" w:rsidR="003823D8" w:rsidRDefault="00561751">
      <w:pPr>
        <w:pStyle w:val="BodyText"/>
      </w:pPr>
      <w:r>
        <w:rPr>
          <w:b/>
          <w:bCs/>
        </w:rPr>
        <w:t>Initial Conditional Approval:</w:t>
      </w:r>
      <w:r>
        <w:t xml:space="preserve"> - License approved subject to specific performance conditions - Enhanced oversight and reporting requirements - Defined performance milestones with timelines</w:t>
      </w:r>
    </w:p>
    <w:p w14:paraId="45D79C40" w14:textId="77777777" w:rsidR="003823D8" w:rsidRDefault="00561751">
      <w:pPr>
        <w:pStyle w:val="BodyText"/>
      </w:pPr>
      <w:r>
        <w:rPr>
          <w:b/>
          <w:bCs/>
        </w:rPr>
        <w:t>Performance-Based Progression:</w:t>
      </w:r>
      <w:r>
        <w:t xml:space="preserve"> - If conditions met and sustained compliance demonstrated → conditions lifted - If conditions not met → enforcement escalation (additional conditions, temporary management, license suspension) - If performance deteriorates → license revocation proceedings</w:t>
      </w:r>
    </w:p>
    <w:p w14:paraId="7B9220E8" w14:textId="77777777" w:rsidR="003823D8" w:rsidRDefault="00561751">
      <w:pPr>
        <w:pStyle w:val="BodyText"/>
      </w:pPr>
      <w:r>
        <w:rPr>
          <w:b/>
          <w:bCs/>
        </w:rPr>
        <w:t>Examples of Performance Conditions:</w:t>
      </w:r>
      <w:r>
        <w:t xml:space="preserve"> - Maintain staffing at 15% above minimum for 12 consecutive months - Achieve quality rating improvement from 1-star to 3-star within 24 months - Demonstrate zero immediate jeopardy findings for 18 consecutive months - Reduce related-party transactions to [X]% of revenue - Implement third-party quality monitoring with quarterly public reporting</w:t>
      </w:r>
    </w:p>
    <w:p w14:paraId="3005666F" w14:textId="77777777" w:rsidR="003823D8" w:rsidRDefault="00561751">
      <w:r>
        <w:rPr>
          <w:noProof/>
        </w:rPr>
        <w:pict w14:anchorId="4BCE0587">
          <v:rect id="_x0000_i1026" alt="" style="width:468pt;height:.05pt;mso-width-percent:0;mso-height-percent:0;mso-width-percent:0;mso-height-percent:0" o:hralign="center" o:hrstd="t" o:hr="t"/>
        </w:pict>
      </w:r>
    </w:p>
    <w:p w14:paraId="5A37776E" w14:textId="77777777" w:rsidR="003823D8" w:rsidRDefault="00561751">
      <w:pPr>
        <w:pStyle w:val="Heading2"/>
      </w:pPr>
      <w:bookmarkStart w:id="47" w:name="conclusion"/>
      <w:bookmarkEnd w:id="16"/>
      <w:bookmarkEnd w:id="42"/>
      <w:bookmarkEnd w:id="46"/>
      <w:r>
        <w:t>Conclusion</w:t>
      </w:r>
    </w:p>
    <w:p w14:paraId="1CED9F43" w14:textId="77777777" w:rsidR="003823D8" w:rsidRDefault="00561751">
      <w:pPr>
        <w:pStyle w:val="FirstParagraph"/>
      </w:pPr>
      <w:r>
        <w:t>These recommendations provide a framework for operationalizing the expanded authority granted by Chapter 197. They do not eliminate Department discretion but channel it through objective standards that:</w:t>
      </w:r>
    </w:p>
    <w:p w14:paraId="6303A12F" w14:textId="77777777" w:rsidR="003823D8" w:rsidRDefault="00561751">
      <w:pPr>
        <w:pStyle w:val="Compact"/>
        <w:numPr>
          <w:ilvl w:val="0"/>
          <w:numId w:val="29"/>
        </w:numPr>
      </w:pPr>
      <w:r>
        <w:t>Create predictability for regulated entities</w:t>
      </w:r>
    </w:p>
    <w:p w14:paraId="1D4B6BBB" w14:textId="77777777" w:rsidR="003823D8" w:rsidRDefault="00561751">
      <w:pPr>
        <w:pStyle w:val="Compact"/>
        <w:numPr>
          <w:ilvl w:val="0"/>
          <w:numId w:val="29"/>
        </w:numPr>
      </w:pPr>
      <w:r>
        <w:t>Enable stakeholder participation in oversight</w:t>
      </w:r>
    </w:p>
    <w:p w14:paraId="7170AEBC" w14:textId="77777777" w:rsidR="003823D8" w:rsidRDefault="00561751">
      <w:pPr>
        <w:pStyle w:val="Compact"/>
        <w:numPr>
          <w:ilvl w:val="0"/>
          <w:numId w:val="29"/>
        </w:numPr>
      </w:pPr>
      <w:r>
        <w:t>Promote consistency in regulatory decisions</w:t>
      </w:r>
    </w:p>
    <w:p w14:paraId="0AEC5F48" w14:textId="77777777" w:rsidR="003823D8" w:rsidRDefault="00561751">
      <w:pPr>
        <w:pStyle w:val="Compact"/>
        <w:numPr>
          <w:ilvl w:val="0"/>
          <w:numId w:val="29"/>
        </w:numPr>
      </w:pPr>
      <w:r>
        <w:t>Function preventively by addressing structural risk before harm occurs</w:t>
      </w:r>
    </w:p>
    <w:p w14:paraId="290FFFBC" w14:textId="77777777" w:rsidR="003823D8" w:rsidRDefault="00561751">
      <w:pPr>
        <w:pStyle w:val="Compact"/>
        <w:numPr>
          <w:ilvl w:val="0"/>
          <w:numId w:val="29"/>
        </w:numPr>
      </w:pPr>
      <w:r>
        <w:t>Integrate suitability determinations with ongoing performance</w:t>
      </w:r>
    </w:p>
    <w:p w14:paraId="65D29A13" w14:textId="77777777" w:rsidR="003823D8" w:rsidRDefault="00561751">
      <w:pPr>
        <w:pStyle w:val="Compact"/>
        <w:numPr>
          <w:ilvl w:val="0"/>
          <w:numId w:val="29"/>
        </w:numPr>
      </w:pPr>
      <w:r>
        <w:t>Focus oversight on governance and business model factors that drive quality outcomes</w:t>
      </w:r>
    </w:p>
    <w:p w14:paraId="5B6DAF61" w14:textId="77777777" w:rsidR="003823D8" w:rsidRDefault="00561751">
      <w:pPr>
        <w:pStyle w:val="FirstParagraph"/>
      </w:pPr>
      <w:r>
        <w:rPr>
          <w:b/>
          <w:bCs/>
        </w:rPr>
        <w:t>The fundamental question is whether Massachusetts will implement Chapter 197’s expanded authority through a framework of objective governance standards or continue to rely primarily on discretionary enforcement.</w:t>
      </w:r>
      <w:r>
        <w:t xml:space="preserve"> The Legislature provided the tools. These recommendations offer an architecture for using them effectively.</w:t>
      </w:r>
    </w:p>
    <w:p w14:paraId="19EE0C55" w14:textId="77777777" w:rsidR="003823D8" w:rsidRDefault="00561751">
      <w:r>
        <w:rPr>
          <w:noProof/>
        </w:rPr>
        <w:pict w14:anchorId="3C5061C7">
          <v:rect id="_x0000_i1027" alt="" style="width:468pt;height:.05pt;mso-width-percent:0;mso-height-percent:0;mso-width-percent:0;mso-height-percent:0" o:hralign="center" o:hrstd="t" o:hr="t"/>
        </w:pict>
      </w:r>
    </w:p>
    <w:p w14:paraId="5C5BE887" w14:textId="77777777" w:rsidR="003823D8" w:rsidRDefault="00561751">
      <w:pPr>
        <w:pStyle w:val="Heading2"/>
      </w:pPr>
      <w:bookmarkStart w:id="48" w:name="footnotes"/>
      <w:bookmarkEnd w:id="47"/>
      <w:r>
        <w:t>Footnotes</w:t>
      </w:r>
    </w:p>
    <w:p w14:paraId="4CF4601A" w14:textId="77777777" w:rsidR="003823D8" w:rsidRDefault="00561751">
      <w:pPr>
        <w:pStyle w:val="Compact"/>
        <w:numPr>
          <w:ilvl w:val="0"/>
          <w:numId w:val="30"/>
        </w:numPr>
      </w:pPr>
      <w:r>
        <w:t>Chapter 197 of the Acts of 2024, §§ 9–15, amending M.G.L. c. 111, § 71.</w:t>
      </w:r>
    </w:p>
    <w:p w14:paraId="5617B636" w14:textId="77777777" w:rsidR="003823D8" w:rsidRDefault="00561751">
      <w:pPr>
        <w:pStyle w:val="Compact"/>
        <w:numPr>
          <w:ilvl w:val="0"/>
          <w:numId w:val="30"/>
        </w:numPr>
      </w:pPr>
      <w:r>
        <w:t>M.G.L. c. 111, § 71(g)–(k), as amended by St. 2024, c. 197.</w:t>
      </w:r>
    </w:p>
    <w:p w14:paraId="66B61D9E" w14:textId="77777777" w:rsidR="003823D8" w:rsidRDefault="00561751">
      <w:pPr>
        <w:pStyle w:val="Compact"/>
        <w:numPr>
          <w:ilvl w:val="0"/>
          <w:numId w:val="30"/>
        </w:numPr>
      </w:pPr>
      <w:r>
        <w:t>M.G.L. c. 111, § 71(k).</w:t>
      </w:r>
    </w:p>
    <w:p w14:paraId="739B14BB" w14:textId="77777777" w:rsidR="003823D8" w:rsidRDefault="00561751">
      <w:pPr>
        <w:pStyle w:val="Compact"/>
        <w:numPr>
          <w:ilvl w:val="0"/>
          <w:numId w:val="30"/>
        </w:numPr>
      </w:pPr>
      <w:r>
        <w:lastRenderedPageBreak/>
        <w:t>M.G.L. c. 111, § 71(g); see also St. 2024, c. 197, § 11.</w:t>
      </w:r>
    </w:p>
    <w:p w14:paraId="1F773E13" w14:textId="4B79B669" w:rsidR="003823D8" w:rsidRDefault="00561751">
      <w:pPr>
        <w:pStyle w:val="Compact"/>
        <w:numPr>
          <w:ilvl w:val="0"/>
          <w:numId w:val="30"/>
        </w:numPr>
      </w:pPr>
      <w:r>
        <w:t>M.G.L. c. 111, §§ 71–73; § 72E.</w:t>
      </w:r>
      <w:bookmarkEnd w:id="0"/>
      <w:bookmarkEnd w:id="48"/>
      <w:r w:rsidR="00532DB8">
        <w:t xml:space="preserve"> </w:t>
      </w:r>
    </w:p>
    <w:sectPr w:rsidR="003823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A2183" w14:textId="77777777" w:rsidR="00561751" w:rsidRDefault="00561751">
      <w:pPr>
        <w:spacing w:after="0"/>
      </w:pPr>
      <w:r>
        <w:separator/>
      </w:r>
    </w:p>
  </w:endnote>
  <w:endnote w:type="continuationSeparator" w:id="0">
    <w:p w14:paraId="0AA5E085" w14:textId="77777777" w:rsidR="00561751" w:rsidRDefault="005617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038A9" w14:textId="77777777" w:rsidR="00561751" w:rsidRDefault="00561751">
      <w:r>
        <w:separator/>
      </w:r>
    </w:p>
  </w:footnote>
  <w:footnote w:type="continuationSeparator" w:id="0">
    <w:p w14:paraId="6CB9C32F" w14:textId="77777777" w:rsidR="00561751" w:rsidRDefault="00561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60E8C0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18AF61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A1F01CC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711"/>
    <w:multiLevelType w:val="multilevel"/>
    <w:tmpl w:val="E64A4530"/>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 w16cid:durableId="1651984167">
    <w:abstractNumId w:val="0"/>
  </w:num>
  <w:num w:numId="2" w16cid:durableId="2028094649">
    <w:abstractNumId w:val="1"/>
  </w:num>
  <w:num w:numId="3" w16cid:durableId="1903715312">
    <w:abstractNumId w:val="1"/>
  </w:num>
  <w:num w:numId="4" w16cid:durableId="236939056">
    <w:abstractNumId w:val="1"/>
  </w:num>
  <w:num w:numId="5" w16cid:durableId="1457024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8157062">
    <w:abstractNumId w:val="1"/>
  </w:num>
  <w:num w:numId="7" w16cid:durableId="21062632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2669085">
    <w:abstractNumId w:val="1"/>
  </w:num>
  <w:num w:numId="9" w16cid:durableId="1755468008">
    <w:abstractNumId w:val="1"/>
  </w:num>
  <w:num w:numId="10" w16cid:durableId="503517931">
    <w:abstractNumId w:val="1"/>
  </w:num>
  <w:num w:numId="11" w16cid:durableId="1879704690">
    <w:abstractNumId w:val="1"/>
  </w:num>
  <w:num w:numId="12" w16cid:durableId="1510871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1993445">
    <w:abstractNumId w:val="1"/>
  </w:num>
  <w:num w:numId="14" w16cid:durableId="2015956263">
    <w:abstractNumId w:val="1"/>
  </w:num>
  <w:num w:numId="15" w16cid:durableId="1284578564">
    <w:abstractNumId w:val="1"/>
  </w:num>
  <w:num w:numId="16" w16cid:durableId="336883594">
    <w:abstractNumId w:val="1"/>
  </w:num>
  <w:num w:numId="17" w16cid:durableId="2013757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3624180">
    <w:abstractNumId w:val="1"/>
  </w:num>
  <w:num w:numId="19" w16cid:durableId="1093359442">
    <w:abstractNumId w:val="1"/>
  </w:num>
  <w:num w:numId="20" w16cid:durableId="1328745631">
    <w:abstractNumId w:val="1"/>
  </w:num>
  <w:num w:numId="21" w16cid:durableId="1593662844">
    <w:abstractNumId w:val="1"/>
  </w:num>
  <w:num w:numId="22" w16cid:durableId="635378482">
    <w:abstractNumId w:val="1"/>
  </w:num>
  <w:num w:numId="23" w16cid:durableId="3656454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073365">
    <w:abstractNumId w:val="1"/>
  </w:num>
  <w:num w:numId="25" w16cid:durableId="494804616">
    <w:abstractNumId w:val="1"/>
  </w:num>
  <w:num w:numId="26" w16cid:durableId="370687640">
    <w:abstractNumId w:val="1"/>
  </w:num>
  <w:num w:numId="27" w16cid:durableId="810439104">
    <w:abstractNumId w:val="1"/>
  </w:num>
  <w:num w:numId="28" w16cid:durableId="873812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8866149">
    <w:abstractNumId w:val="1"/>
  </w:num>
  <w:num w:numId="30" w16cid:durableId="15323029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D8"/>
    <w:rsid w:val="00180703"/>
    <w:rsid w:val="00275774"/>
    <w:rsid w:val="003823D8"/>
    <w:rsid w:val="0053153D"/>
    <w:rsid w:val="00532DB8"/>
    <w:rsid w:val="00561751"/>
    <w:rsid w:val="006E44D2"/>
    <w:rsid w:val="0085670D"/>
    <w:rsid w:val="008856E8"/>
    <w:rsid w:val="00BC6C93"/>
    <w:rsid w:val="00D26AAE"/>
    <w:rsid w:val="00FF0E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FF22"/>
  <w15:docId w15:val="{F2C9E7BA-1424-CA4E-BAD6-C26568D5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BodyTextChar">
    <w:name w:val="Body Text Char"/>
    <w:basedOn w:val="DefaultParagraphFont"/>
    <w:link w:val="BodyText"/>
    <w:rsid w:val="00275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7552</Words>
  <Characters>43048</Characters>
  <Application>Microsoft Office Word</Application>
  <DocSecurity>0</DocSecurity>
  <Lines>358</Lines>
  <Paragraphs>100</Paragraphs>
  <ScaleCrop>false</ScaleCrop>
  <Company/>
  <LinksUpToDate>false</LinksUpToDate>
  <CharactersWithSpaces>50500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Harrison, Deborah (EHS)</dc:creator>
  <cp:keywords/>
  <cp:lastModifiedBy>Harrison, Deborah (EHS)</cp:lastModifiedBy>
  <cp:revision>2</cp:revision>
  <dcterms:created xsi:type="dcterms:W3CDTF">2026-02-19T12:12:00Z</dcterms:created>
  <dcterms:modified xsi:type="dcterms:W3CDTF">2026-02-19T12:12:00Z</dcterms:modified>
</cp:coreProperties>
</file>