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ADA3" w14:textId="10FCF203" w:rsidR="000C2AD7" w:rsidRDefault="00A3452B" w:rsidP="00DE3B1E">
      <w:pPr>
        <w:jc w:val="center"/>
      </w:pPr>
      <w:r>
        <w:rPr>
          <w:noProof/>
        </w:rPr>
        <w:drawing>
          <wp:inline distT="0" distB="0" distL="0" distR="0" wp14:anchorId="051E4EE5" wp14:editId="5776B866">
            <wp:extent cx="1579245" cy="1066800"/>
            <wp:effectExtent l="0" t="0" r="1905" b="0"/>
            <wp:docPr id="129391187" name="Picture 2" descr="Dignity Allianc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1187" name="Picture 2" descr="Dignity Alliance's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066800"/>
                    </a:xfrm>
                    <a:prstGeom prst="rect">
                      <a:avLst/>
                    </a:prstGeom>
                    <a:noFill/>
                  </pic:spPr>
                </pic:pic>
              </a:graphicData>
            </a:graphic>
          </wp:inline>
        </w:drawing>
      </w:r>
    </w:p>
    <w:p w14:paraId="36A18F8B" w14:textId="0FF28E3D" w:rsidR="00E723AA" w:rsidRDefault="00E723AA" w:rsidP="00CD7B2F">
      <w:pPr>
        <w:pStyle w:val="ListParagraph"/>
        <w:spacing w:after="120" w:line="240" w:lineRule="auto"/>
        <w:contextualSpacing w:val="0"/>
        <w:rPr>
          <w:sz w:val="20"/>
          <w:szCs w:val="20"/>
        </w:rPr>
      </w:pPr>
    </w:p>
    <w:p w14:paraId="3BABBAE4" w14:textId="6BD1F207" w:rsidR="00B54BDC" w:rsidRPr="00ED1E69" w:rsidRDefault="00B54BDC" w:rsidP="00F116B5">
      <w:pPr>
        <w:pStyle w:val="Heading1"/>
        <w:jc w:val="center"/>
      </w:pPr>
      <w:r w:rsidRPr="00ED1E69">
        <w:t>ALR Reform Omnibus</w:t>
      </w:r>
    </w:p>
    <w:p w14:paraId="52BD80C4" w14:textId="77777777" w:rsidR="00C00536" w:rsidRDefault="00C00536" w:rsidP="00107B11">
      <w:pPr>
        <w:pStyle w:val="ListParagraph"/>
        <w:spacing w:after="120" w:line="240" w:lineRule="auto"/>
        <w:contextualSpacing w:val="0"/>
        <w:jc w:val="both"/>
        <w:rPr>
          <w:sz w:val="36"/>
          <w:szCs w:val="36"/>
        </w:rPr>
      </w:pPr>
    </w:p>
    <w:p w14:paraId="3793117B" w14:textId="7EBF6CDB" w:rsidR="00B54BDC" w:rsidRDefault="004A41E7" w:rsidP="002C6C40">
      <w:pPr>
        <w:pStyle w:val="ListParagraph"/>
        <w:spacing w:after="120" w:line="240" w:lineRule="auto"/>
        <w:contextualSpacing w:val="0"/>
        <w:jc w:val="both"/>
        <w:rPr>
          <w:sz w:val="32"/>
          <w:szCs w:val="32"/>
        </w:rPr>
      </w:pPr>
      <w:r w:rsidRPr="004A41E7">
        <w:rPr>
          <w:sz w:val="32"/>
          <w:szCs w:val="32"/>
        </w:rPr>
        <w:t xml:space="preserve">A </w:t>
      </w:r>
      <w:r w:rsidR="00B54BDC" w:rsidRPr="004A41E7">
        <w:rPr>
          <w:sz w:val="32"/>
          <w:szCs w:val="32"/>
        </w:rPr>
        <w:t>Compendium of Exhibits</w:t>
      </w:r>
      <w:r w:rsidR="007150C1" w:rsidRPr="004A41E7">
        <w:rPr>
          <w:sz w:val="32"/>
          <w:szCs w:val="32"/>
        </w:rPr>
        <w:t xml:space="preserve"> Developed in Support of</w:t>
      </w:r>
      <w:r w:rsidR="002C6C40">
        <w:rPr>
          <w:sz w:val="32"/>
          <w:szCs w:val="32"/>
        </w:rPr>
        <w:t xml:space="preserve"> </w:t>
      </w:r>
      <w:r w:rsidRPr="002C6C40">
        <w:rPr>
          <w:sz w:val="32"/>
          <w:szCs w:val="32"/>
        </w:rPr>
        <w:t>S</w:t>
      </w:r>
      <w:r w:rsidR="00C37110" w:rsidRPr="002C6C40">
        <w:rPr>
          <w:sz w:val="32"/>
          <w:szCs w:val="32"/>
        </w:rPr>
        <w:t>ix</w:t>
      </w:r>
      <w:r w:rsidR="008C4F86" w:rsidRPr="002C6C40">
        <w:rPr>
          <w:sz w:val="32"/>
          <w:szCs w:val="32"/>
        </w:rPr>
        <w:t xml:space="preserve"> Major</w:t>
      </w:r>
      <w:r w:rsidR="002C6C40" w:rsidRPr="002C6C40">
        <w:rPr>
          <w:sz w:val="32"/>
          <w:szCs w:val="32"/>
        </w:rPr>
        <w:t xml:space="preserve"> Change</w:t>
      </w:r>
      <w:r w:rsidR="004D5D74" w:rsidRPr="002C6C40">
        <w:rPr>
          <w:sz w:val="32"/>
          <w:szCs w:val="32"/>
        </w:rPr>
        <w:t xml:space="preserve"> Proposals</w:t>
      </w:r>
      <w:r w:rsidR="007B5DC0">
        <w:rPr>
          <w:sz w:val="32"/>
          <w:szCs w:val="32"/>
        </w:rPr>
        <w:t xml:space="preserve">. </w:t>
      </w:r>
      <w:r w:rsidR="0050251E">
        <w:rPr>
          <w:sz w:val="32"/>
          <w:szCs w:val="32"/>
        </w:rPr>
        <w:t xml:space="preserve">The Six </w:t>
      </w:r>
      <w:r w:rsidR="00F1658A">
        <w:rPr>
          <w:sz w:val="32"/>
          <w:szCs w:val="32"/>
        </w:rPr>
        <w:t>Proposals</w:t>
      </w:r>
      <w:r w:rsidR="0050251E">
        <w:rPr>
          <w:sz w:val="32"/>
          <w:szCs w:val="32"/>
        </w:rPr>
        <w:t xml:space="preserve"> Are Comprised of </w:t>
      </w:r>
      <w:r w:rsidR="000C5B8F">
        <w:rPr>
          <w:sz w:val="32"/>
          <w:szCs w:val="32"/>
        </w:rPr>
        <w:t>Multiple</w:t>
      </w:r>
      <w:r w:rsidR="00490E38">
        <w:rPr>
          <w:sz w:val="32"/>
          <w:szCs w:val="32"/>
        </w:rPr>
        <w:t xml:space="preserve"> </w:t>
      </w:r>
      <w:r w:rsidR="00B25092" w:rsidRPr="002C6C40">
        <w:rPr>
          <w:sz w:val="32"/>
          <w:szCs w:val="32"/>
        </w:rPr>
        <w:t>Legislative,</w:t>
      </w:r>
      <w:r w:rsidR="004D5D74" w:rsidRPr="002C6C40">
        <w:rPr>
          <w:sz w:val="32"/>
          <w:szCs w:val="32"/>
        </w:rPr>
        <w:t xml:space="preserve"> Regulatory, and </w:t>
      </w:r>
      <w:r w:rsidR="0083612E" w:rsidRPr="002C6C40">
        <w:rPr>
          <w:sz w:val="32"/>
          <w:szCs w:val="32"/>
        </w:rPr>
        <w:t>Policy Refor</w:t>
      </w:r>
      <w:r w:rsidR="00862D7F" w:rsidRPr="002C6C40">
        <w:rPr>
          <w:sz w:val="32"/>
          <w:szCs w:val="32"/>
        </w:rPr>
        <w:t>m</w:t>
      </w:r>
      <w:r w:rsidR="00490E38">
        <w:rPr>
          <w:sz w:val="32"/>
          <w:szCs w:val="32"/>
        </w:rPr>
        <w:t xml:space="preserve"> Actions</w:t>
      </w:r>
      <w:r w:rsidR="0083612E" w:rsidRPr="002C6C40">
        <w:rPr>
          <w:sz w:val="32"/>
          <w:szCs w:val="32"/>
        </w:rPr>
        <w:t xml:space="preserve"> Intended to </w:t>
      </w:r>
      <w:r w:rsidR="00F357A2" w:rsidRPr="002C6C40">
        <w:rPr>
          <w:sz w:val="32"/>
          <w:szCs w:val="32"/>
        </w:rPr>
        <w:t xml:space="preserve">Modernize </w:t>
      </w:r>
      <w:r w:rsidR="00B25092" w:rsidRPr="002C6C40">
        <w:rPr>
          <w:sz w:val="32"/>
          <w:szCs w:val="32"/>
        </w:rPr>
        <w:t>and</w:t>
      </w:r>
      <w:r w:rsidR="00F357A2" w:rsidRPr="002C6C40">
        <w:rPr>
          <w:sz w:val="32"/>
          <w:szCs w:val="32"/>
        </w:rPr>
        <w:t xml:space="preserve"> Improve the Quality of Assisted Living Services to </w:t>
      </w:r>
      <w:r w:rsidR="00B56354" w:rsidRPr="002C6C40">
        <w:rPr>
          <w:sz w:val="32"/>
          <w:szCs w:val="32"/>
        </w:rPr>
        <w:t>Massachusetts Residents</w:t>
      </w:r>
      <w:r w:rsidR="00C00536" w:rsidRPr="002C6C40">
        <w:rPr>
          <w:sz w:val="32"/>
          <w:szCs w:val="32"/>
        </w:rPr>
        <w:t>.</w:t>
      </w:r>
    </w:p>
    <w:p w14:paraId="115D4380" w14:textId="77777777" w:rsidR="00F2519E" w:rsidRPr="002C6C40" w:rsidRDefault="00F2519E" w:rsidP="002C6C40">
      <w:pPr>
        <w:pStyle w:val="ListParagraph"/>
        <w:spacing w:after="120" w:line="240" w:lineRule="auto"/>
        <w:contextualSpacing w:val="0"/>
        <w:jc w:val="both"/>
        <w:rPr>
          <w:sz w:val="32"/>
          <w:szCs w:val="32"/>
        </w:rPr>
      </w:pPr>
    </w:p>
    <w:p w14:paraId="31119B0E" w14:textId="67D3987B" w:rsidR="00B56354" w:rsidRDefault="00B56354" w:rsidP="00107B11">
      <w:pPr>
        <w:pStyle w:val="ListParagraph"/>
        <w:pBdr>
          <w:top w:val="single" w:sz="4" w:space="1" w:color="auto"/>
          <w:bottom w:val="single" w:sz="4" w:space="1" w:color="auto"/>
        </w:pBdr>
        <w:spacing w:after="0" w:line="240" w:lineRule="auto"/>
        <w:contextualSpacing w:val="0"/>
        <w:jc w:val="both"/>
        <w:rPr>
          <w:sz w:val="24"/>
          <w:szCs w:val="24"/>
        </w:rPr>
      </w:pPr>
      <w:r>
        <w:rPr>
          <w:sz w:val="24"/>
          <w:szCs w:val="24"/>
        </w:rPr>
        <w:t xml:space="preserve">Issued </w:t>
      </w:r>
      <w:r w:rsidR="006F7202">
        <w:rPr>
          <w:sz w:val="24"/>
          <w:szCs w:val="24"/>
        </w:rPr>
        <w:t>for the Review and Consideration</w:t>
      </w:r>
      <w:r w:rsidR="00FC6007">
        <w:rPr>
          <w:sz w:val="24"/>
          <w:szCs w:val="24"/>
        </w:rPr>
        <w:t xml:space="preserve"> by Elected Officials and</w:t>
      </w:r>
      <w:r w:rsidR="00862D7F">
        <w:rPr>
          <w:sz w:val="24"/>
          <w:szCs w:val="24"/>
        </w:rPr>
        <w:t xml:space="preserve"> </w:t>
      </w:r>
      <w:r w:rsidR="005D38DC">
        <w:rPr>
          <w:sz w:val="24"/>
          <w:szCs w:val="24"/>
        </w:rPr>
        <w:t>Assisted Living Residences Commission Members, Initially Transmitted to the ALR Commission on 9/</w:t>
      </w:r>
      <w:r w:rsidR="00DC7834">
        <w:rPr>
          <w:sz w:val="24"/>
          <w:szCs w:val="24"/>
        </w:rPr>
        <w:t>2</w:t>
      </w:r>
      <w:r w:rsidR="00E51A05">
        <w:rPr>
          <w:sz w:val="24"/>
          <w:szCs w:val="24"/>
        </w:rPr>
        <w:t>6</w:t>
      </w:r>
      <w:r w:rsidR="005D38DC">
        <w:rPr>
          <w:sz w:val="24"/>
          <w:szCs w:val="24"/>
        </w:rPr>
        <w:t>/</w:t>
      </w:r>
      <w:r w:rsidR="00AA761E">
        <w:rPr>
          <w:sz w:val="24"/>
          <w:szCs w:val="24"/>
        </w:rPr>
        <w:t>25</w:t>
      </w:r>
    </w:p>
    <w:p w14:paraId="125F0F74" w14:textId="77777777" w:rsidR="0059254F" w:rsidRDefault="0059254F" w:rsidP="00107B11">
      <w:pPr>
        <w:pStyle w:val="ListParagraph"/>
        <w:spacing w:after="0" w:line="240" w:lineRule="auto"/>
        <w:contextualSpacing w:val="0"/>
        <w:jc w:val="center"/>
        <w:rPr>
          <w:i/>
          <w:iCs/>
          <w:sz w:val="24"/>
          <w:szCs w:val="24"/>
        </w:rPr>
      </w:pPr>
    </w:p>
    <w:p w14:paraId="0368A3AA" w14:textId="4199230C" w:rsidR="00AA761E" w:rsidRPr="00ED053C" w:rsidRDefault="00AA761E" w:rsidP="00107B11">
      <w:pPr>
        <w:pStyle w:val="ListParagraph"/>
        <w:spacing w:after="0" w:line="240" w:lineRule="auto"/>
        <w:contextualSpacing w:val="0"/>
        <w:jc w:val="center"/>
        <w:rPr>
          <w:i/>
          <w:iCs/>
          <w:sz w:val="24"/>
          <w:szCs w:val="24"/>
        </w:rPr>
      </w:pPr>
      <w:r w:rsidRPr="00ED053C">
        <w:rPr>
          <w:i/>
          <w:iCs/>
          <w:sz w:val="24"/>
          <w:szCs w:val="24"/>
        </w:rPr>
        <w:t>V. 1.0 as of 9/</w:t>
      </w:r>
      <w:r w:rsidR="00DC7834">
        <w:rPr>
          <w:i/>
          <w:iCs/>
          <w:sz w:val="24"/>
          <w:szCs w:val="24"/>
        </w:rPr>
        <w:t>2</w:t>
      </w:r>
      <w:r w:rsidR="00E51A05">
        <w:rPr>
          <w:i/>
          <w:iCs/>
          <w:sz w:val="24"/>
          <w:szCs w:val="24"/>
        </w:rPr>
        <w:t>6</w:t>
      </w:r>
      <w:r w:rsidRPr="00ED053C">
        <w:rPr>
          <w:i/>
          <w:iCs/>
          <w:sz w:val="24"/>
          <w:szCs w:val="24"/>
        </w:rPr>
        <w:t>/25</w:t>
      </w:r>
    </w:p>
    <w:p w14:paraId="6600A653" w14:textId="67D82E63" w:rsidR="00284BCE" w:rsidRDefault="00284BCE" w:rsidP="00AA761E">
      <w:pPr>
        <w:pStyle w:val="ListParagraph"/>
        <w:spacing w:after="0" w:line="240" w:lineRule="auto"/>
        <w:contextualSpacing w:val="0"/>
        <w:rPr>
          <w:sz w:val="24"/>
          <w:szCs w:val="24"/>
        </w:rPr>
      </w:pPr>
    </w:p>
    <w:p w14:paraId="1A80FF8D" w14:textId="6B7883B3" w:rsidR="006156EB" w:rsidRDefault="001F6B14">
      <w:pPr>
        <w:rPr>
          <w:sz w:val="24"/>
          <w:szCs w:val="24"/>
        </w:rPr>
      </w:pPr>
      <w:r w:rsidRPr="00A71E84">
        <w:rPr>
          <w:noProof/>
          <w:sz w:val="24"/>
          <w:szCs w:val="24"/>
        </w:rPr>
        <mc:AlternateContent>
          <mc:Choice Requires="wps">
            <w:drawing>
              <wp:anchor distT="45720" distB="45720" distL="114300" distR="114300" simplePos="0" relativeHeight="251658240" behindDoc="0" locked="0" layoutInCell="1" allowOverlap="1" wp14:anchorId="4357AF22" wp14:editId="75939512">
                <wp:simplePos x="0" y="0"/>
                <wp:positionH relativeFrom="column">
                  <wp:posOffset>471170</wp:posOffset>
                </wp:positionH>
                <wp:positionV relativeFrom="paragraph">
                  <wp:posOffset>160020</wp:posOffset>
                </wp:positionV>
                <wp:extent cx="6300470" cy="3071495"/>
                <wp:effectExtent l="0" t="0" r="241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3071495"/>
                        </a:xfrm>
                        <a:prstGeom prst="rect">
                          <a:avLst/>
                        </a:prstGeom>
                        <a:solidFill>
                          <a:srgbClr val="FFFFFF"/>
                        </a:solidFill>
                        <a:ln w="9525">
                          <a:solidFill>
                            <a:srgbClr val="000000"/>
                          </a:solidFill>
                          <a:miter lim="800000"/>
                          <a:headEnd/>
                          <a:tailEnd/>
                        </a:ln>
                      </wps:spPr>
                      <wps:txbx>
                        <w:txbxContent>
                          <w:p w14:paraId="72811BEB" w14:textId="0451FFCC" w:rsidR="00A71E84" w:rsidRPr="0059254F" w:rsidRDefault="00A71E84">
                            <w:pPr>
                              <w:rPr>
                                <w:b/>
                                <w:bCs/>
                              </w:rPr>
                            </w:pPr>
                            <w:r w:rsidRPr="0059254F">
                              <w:rPr>
                                <w:b/>
                                <w:bCs/>
                              </w:rPr>
                              <w:t>How to Use This</w:t>
                            </w:r>
                            <w:r w:rsidR="00F97F09" w:rsidRPr="0059254F">
                              <w:rPr>
                                <w:b/>
                                <w:bCs/>
                              </w:rPr>
                              <w:t xml:space="preserve"> </w:t>
                            </w:r>
                            <w:r w:rsidR="00260A38" w:rsidRPr="0059254F">
                              <w:rPr>
                                <w:b/>
                                <w:bCs/>
                              </w:rPr>
                              <w:t>Document</w:t>
                            </w:r>
                            <w:r w:rsidR="0059254F" w:rsidRPr="0059254F">
                              <w:rPr>
                                <w:b/>
                                <w:bCs/>
                              </w:rPr>
                              <w:t>:</w:t>
                            </w:r>
                          </w:p>
                          <w:p w14:paraId="346FE514" w14:textId="10B6A56F" w:rsidR="00260A38" w:rsidRDefault="00260A38">
                            <w:r>
                              <w:t xml:space="preserve">This compilation of policy development material has been developed </w:t>
                            </w:r>
                            <w:r w:rsidR="003B29BF">
                              <w:t>for multiple audiences.</w:t>
                            </w:r>
                          </w:p>
                          <w:p w14:paraId="5272BFCC" w14:textId="1CC79ED6" w:rsidR="00F02A8E" w:rsidRDefault="00D17E74" w:rsidP="001D7DAB">
                            <w:pPr>
                              <w:spacing w:after="0" w:line="240" w:lineRule="auto"/>
                            </w:pPr>
                            <w:r w:rsidRPr="00D17E74">
                              <w:rPr>
                                <w:b/>
                                <w:bCs/>
                              </w:rPr>
                              <w:t>Section I</w:t>
                            </w:r>
                            <w:r>
                              <w:t xml:space="preserve"> is a re-statement of the </w:t>
                            </w:r>
                            <w:r w:rsidR="00A50E63">
                              <w:t>six</w:t>
                            </w:r>
                            <w:r>
                              <w:t xml:space="preserve"> major policy reform </w:t>
                            </w:r>
                            <w:r w:rsidR="00BD5E49">
                              <w:t>initiatives</w:t>
                            </w:r>
                            <w:r w:rsidR="00B22915">
                              <w:t xml:space="preserve"> with supporting narrative</w:t>
                            </w:r>
                            <w:r>
                              <w:t xml:space="preserve"> </w:t>
                            </w:r>
                            <w:r w:rsidR="00BC2772">
                              <w:t>referenced in the 9/</w:t>
                            </w:r>
                            <w:r w:rsidR="0091221B">
                              <w:t>1</w:t>
                            </w:r>
                            <w:r w:rsidR="00E51A05">
                              <w:t>6</w:t>
                            </w:r>
                            <w:r w:rsidR="00BC2772">
                              <w:t>/25 letter to the ALR Commi</w:t>
                            </w:r>
                            <w:r w:rsidR="006767DF">
                              <w:t xml:space="preserve">ssion Members. Reiterating the items here </w:t>
                            </w:r>
                            <w:r w:rsidR="007119AA">
                              <w:t xml:space="preserve">is hoped to eliminate the reader’s need to trace the items </w:t>
                            </w:r>
                            <w:r w:rsidR="0058020A">
                              <w:t>across multiple documents.</w:t>
                            </w:r>
                          </w:p>
                          <w:p w14:paraId="63BA2F9E" w14:textId="77777777" w:rsidR="0058020A" w:rsidRDefault="0058020A" w:rsidP="001D7DAB">
                            <w:pPr>
                              <w:spacing w:after="0" w:line="240" w:lineRule="auto"/>
                            </w:pPr>
                          </w:p>
                          <w:p w14:paraId="11B76EAB" w14:textId="09615960" w:rsidR="00D17E74" w:rsidRDefault="0058020A" w:rsidP="001D7DAB">
                            <w:pPr>
                              <w:spacing w:after="0" w:line="240" w:lineRule="auto"/>
                            </w:pPr>
                            <w:r w:rsidRPr="00D17E74">
                              <w:rPr>
                                <w:b/>
                                <w:bCs/>
                              </w:rPr>
                              <w:t xml:space="preserve">Section </w:t>
                            </w:r>
                            <w:r w:rsidR="00236D67">
                              <w:rPr>
                                <w:b/>
                                <w:bCs/>
                              </w:rPr>
                              <w:t>I</w:t>
                            </w:r>
                            <w:r w:rsidRPr="00D17E74">
                              <w:rPr>
                                <w:b/>
                                <w:bCs/>
                              </w:rPr>
                              <w:t>I</w:t>
                            </w:r>
                            <w:r>
                              <w:t xml:space="preserve"> is </w:t>
                            </w:r>
                            <w:r w:rsidR="00B40F18">
                              <w:t xml:space="preserve">designed </w:t>
                            </w:r>
                            <w:r w:rsidR="0025434A">
                              <w:t xml:space="preserve">for the </w:t>
                            </w:r>
                            <w:r w:rsidR="00FC4A18">
                              <w:t>reader</w:t>
                            </w:r>
                            <w:r w:rsidR="00A91CF2">
                              <w:t xml:space="preserve"> who is </w:t>
                            </w:r>
                            <w:r w:rsidR="00DC12C5">
                              <w:t>further evaluating the recommendations</w:t>
                            </w:r>
                            <w:r w:rsidR="002141AD">
                              <w:t xml:space="preserve">. The assumed audience is performing the role </w:t>
                            </w:r>
                            <w:r w:rsidR="005133EA">
                              <w:t xml:space="preserve">of </w:t>
                            </w:r>
                            <w:r w:rsidR="0097618F">
                              <w:t xml:space="preserve">ALR </w:t>
                            </w:r>
                            <w:r w:rsidR="00CB5059">
                              <w:t>c</w:t>
                            </w:r>
                            <w:r w:rsidR="0097618F">
                              <w:t xml:space="preserve">ommission </w:t>
                            </w:r>
                            <w:r w:rsidR="00CB5059">
                              <w:t>m</w:t>
                            </w:r>
                            <w:r w:rsidR="0097618F">
                              <w:t xml:space="preserve">ember, </w:t>
                            </w:r>
                            <w:r w:rsidR="00DF6A45">
                              <w:t>legislative staff, policy analyst, or program manager.</w:t>
                            </w:r>
                            <w:r w:rsidR="00E42EC4">
                              <w:t xml:space="preserve"> Each recomm</w:t>
                            </w:r>
                            <w:r w:rsidR="005133EA">
                              <w:t>en</w:t>
                            </w:r>
                            <w:r w:rsidR="00086B7C">
                              <w:t>ded action</w:t>
                            </w:r>
                            <w:r w:rsidR="005133EA">
                              <w:t xml:space="preserve"> </w:t>
                            </w:r>
                            <w:r w:rsidR="005828F5">
                              <w:t xml:space="preserve">is associated to </w:t>
                            </w:r>
                            <w:r w:rsidR="00086B7C">
                              <w:t>one of the six major policy reform initiat</w:t>
                            </w:r>
                            <w:r w:rsidR="00BD5E49">
                              <w:t xml:space="preserve">ives. </w:t>
                            </w:r>
                            <w:r w:rsidR="00CC4AAC">
                              <w:t xml:space="preserve">For instances where related implementation language is relatively limited (for example a </w:t>
                            </w:r>
                            <w:r w:rsidR="0051713C">
                              <w:t>minor change in Assisted Living regulations)</w:t>
                            </w:r>
                            <w:r w:rsidR="003271B1">
                              <w:t xml:space="preserve">, the language is included within the policy statement. </w:t>
                            </w:r>
                            <w:r w:rsidR="000147BB">
                              <w:t>However,</w:t>
                            </w:r>
                            <w:r w:rsidR="003271B1">
                              <w:t xml:space="preserve"> for recommendations with more complex </w:t>
                            </w:r>
                            <w:r w:rsidR="000C1993">
                              <w:t xml:space="preserve">implementation language, the language is offered as a stand-alone exhibit. </w:t>
                            </w:r>
                            <w:r w:rsidR="000147BB">
                              <w:t>T</w:t>
                            </w:r>
                            <w:r w:rsidR="00BB435E">
                              <w:t xml:space="preserve">his format is offered with awareness and expectation that even if concepts are endorsed, </w:t>
                            </w:r>
                            <w:r w:rsidR="00BD7F43">
                              <w:t xml:space="preserve">related language will likely be substantially revised and improved upon from </w:t>
                            </w:r>
                            <w:r w:rsidR="0059254F">
                              <w:t>the</w:t>
                            </w:r>
                            <w:r w:rsidR="00A43BEB">
                              <w:t xml:space="preserve"> form of these advocacy </w:t>
                            </w:r>
                            <w:r w:rsidR="001F6B14">
                              <w:t>recommendations</w:t>
                            </w:r>
                            <w:r w:rsidR="0059254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7AF22" id="_x0000_t202" coordsize="21600,21600" o:spt="202" path="m,l,21600r21600,l21600,xe">
                <v:stroke joinstyle="miter"/>
                <v:path gradientshapeok="t" o:connecttype="rect"/>
              </v:shapetype>
              <v:shape id="Text Box 2" o:spid="_x0000_s1026" type="#_x0000_t202" style="position:absolute;margin-left:37.1pt;margin-top:12.6pt;width:496.1pt;height:241.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">
                <v:textbox>
                  <w:txbxContent>
                    <w:p w14:paraId="72811BEB" w14:textId="0451FFCC" w:rsidR="00A71E84" w:rsidRPr="0059254F" w:rsidRDefault="00A71E84">
                      <w:pPr>
                        <w:rPr>
                          <w:b/>
                          <w:bCs/>
                        </w:rPr>
                      </w:pPr>
                      <w:r w:rsidRPr="0059254F">
                        <w:rPr>
                          <w:b/>
                          <w:bCs/>
                        </w:rPr>
                        <w:t>How to Use This</w:t>
                      </w:r>
                      <w:r w:rsidR="00F97F09" w:rsidRPr="0059254F">
                        <w:rPr>
                          <w:b/>
                          <w:bCs/>
                        </w:rPr>
                        <w:t xml:space="preserve"> </w:t>
                      </w:r>
                      <w:r w:rsidR="00260A38" w:rsidRPr="0059254F">
                        <w:rPr>
                          <w:b/>
                          <w:bCs/>
                        </w:rPr>
                        <w:t>Document</w:t>
                      </w:r>
                      <w:r w:rsidR="0059254F" w:rsidRPr="0059254F">
                        <w:rPr>
                          <w:b/>
                          <w:bCs/>
                        </w:rPr>
                        <w:t>:</w:t>
                      </w:r>
                    </w:p>
                    <w:p w14:paraId="346FE514" w14:textId="10B6A56F" w:rsidR="00260A38" w:rsidRDefault="00260A38">
                      <w:r>
                        <w:t xml:space="preserve">This compilation of policy development material has been developed </w:t>
                      </w:r>
                      <w:r w:rsidR="003B29BF">
                        <w:t>for multiple audiences.</w:t>
                      </w:r>
                    </w:p>
                    <w:p w14:paraId="5272BFCC" w14:textId="1CC79ED6" w:rsidR="00F02A8E" w:rsidRDefault="00D17E74" w:rsidP="001D7DAB">
                      <w:pPr>
                        <w:spacing w:after="0" w:line="240" w:lineRule="auto"/>
                      </w:pPr>
                      <w:r w:rsidRPr="00D17E74">
                        <w:rPr>
                          <w:b/>
                          <w:bCs/>
                        </w:rPr>
                        <w:t>Section I</w:t>
                      </w:r>
                      <w:r>
                        <w:t xml:space="preserve"> is a re-statement of the </w:t>
                      </w:r>
                      <w:r w:rsidR="00A50E63">
                        <w:t>six</w:t>
                      </w:r>
                      <w:r>
                        <w:t xml:space="preserve"> major policy reform </w:t>
                      </w:r>
                      <w:r w:rsidR="00BD5E49">
                        <w:t>initiatives</w:t>
                      </w:r>
                      <w:r w:rsidR="00B22915">
                        <w:t xml:space="preserve"> with supporting narrative</w:t>
                      </w:r>
                      <w:r>
                        <w:t xml:space="preserve"> </w:t>
                      </w:r>
                      <w:r w:rsidR="00BC2772">
                        <w:t>referenced in the 9/</w:t>
                      </w:r>
                      <w:r w:rsidR="0091221B">
                        <w:t>1</w:t>
                      </w:r>
                      <w:r w:rsidR="00E51A05">
                        <w:t>6</w:t>
                      </w:r>
                      <w:r w:rsidR="00BC2772">
                        <w:t>/25 letter to the ALR Commi</w:t>
                      </w:r>
                      <w:r w:rsidR="006767DF">
                        <w:t xml:space="preserve">ssion Members. Reiterating the items here </w:t>
                      </w:r>
                      <w:r w:rsidR="007119AA">
                        <w:t xml:space="preserve">is hoped to eliminate the reader’s need to trace the items </w:t>
                      </w:r>
                      <w:r w:rsidR="0058020A">
                        <w:t>across multiple documents.</w:t>
                      </w:r>
                    </w:p>
                    <w:p w14:paraId="63BA2F9E" w14:textId="77777777" w:rsidR="0058020A" w:rsidRDefault="0058020A" w:rsidP="001D7DAB">
                      <w:pPr>
                        <w:spacing w:after="0" w:line="240" w:lineRule="auto"/>
                      </w:pPr>
                    </w:p>
                    <w:p w14:paraId="11B76EAB" w14:textId="09615960" w:rsidR="00D17E74" w:rsidRDefault="0058020A" w:rsidP="001D7DAB">
                      <w:pPr>
                        <w:spacing w:after="0" w:line="240" w:lineRule="auto"/>
                      </w:pPr>
                      <w:r w:rsidRPr="00D17E74">
                        <w:rPr>
                          <w:b/>
                          <w:bCs/>
                        </w:rPr>
                        <w:t xml:space="preserve">Section </w:t>
                      </w:r>
                      <w:r w:rsidR="00236D67">
                        <w:rPr>
                          <w:b/>
                          <w:bCs/>
                        </w:rPr>
                        <w:t>I</w:t>
                      </w:r>
                      <w:r w:rsidRPr="00D17E74">
                        <w:rPr>
                          <w:b/>
                          <w:bCs/>
                        </w:rPr>
                        <w:t>I</w:t>
                      </w:r>
                      <w:r>
                        <w:t xml:space="preserve"> is </w:t>
                      </w:r>
                      <w:r w:rsidR="00B40F18">
                        <w:t xml:space="preserve">designed </w:t>
                      </w:r>
                      <w:r w:rsidR="0025434A">
                        <w:t xml:space="preserve">for the </w:t>
                      </w:r>
                      <w:r w:rsidR="00FC4A18">
                        <w:t>reader</w:t>
                      </w:r>
                      <w:r w:rsidR="00A91CF2">
                        <w:t xml:space="preserve"> who is </w:t>
                      </w:r>
                      <w:r w:rsidR="00DC12C5">
                        <w:t>further evaluating the recommendations</w:t>
                      </w:r>
                      <w:r w:rsidR="002141AD">
                        <w:t xml:space="preserve">. The assumed audience is performing the role </w:t>
                      </w:r>
                      <w:r w:rsidR="005133EA">
                        <w:t xml:space="preserve">of </w:t>
                      </w:r>
                      <w:r w:rsidR="0097618F">
                        <w:t xml:space="preserve">ALR </w:t>
                      </w:r>
                      <w:r w:rsidR="00CB5059">
                        <w:t>c</w:t>
                      </w:r>
                      <w:r w:rsidR="0097618F">
                        <w:t xml:space="preserve">ommission </w:t>
                      </w:r>
                      <w:r w:rsidR="00CB5059">
                        <w:t>m</w:t>
                      </w:r>
                      <w:r w:rsidR="0097618F">
                        <w:t xml:space="preserve">ember, </w:t>
                      </w:r>
                      <w:r w:rsidR="00DF6A45">
                        <w:t>legislative staff, policy analyst, or program manager.</w:t>
                      </w:r>
                      <w:r w:rsidR="00E42EC4">
                        <w:t xml:space="preserve"> Each recomm</w:t>
                      </w:r>
                      <w:r w:rsidR="005133EA">
                        <w:t>en</w:t>
                      </w:r>
                      <w:r w:rsidR="00086B7C">
                        <w:t>ded action</w:t>
                      </w:r>
                      <w:r w:rsidR="005133EA">
                        <w:t xml:space="preserve"> </w:t>
                      </w:r>
                      <w:r w:rsidR="005828F5">
                        <w:t xml:space="preserve">is associated to </w:t>
                      </w:r>
                      <w:r w:rsidR="00086B7C">
                        <w:t>one of the six major policy reform initiat</w:t>
                      </w:r>
                      <w:r w:rsidR="00BD5E49">
                        <w:t xml:space="preserve">ives. </w:t>
                      </w:r>
                      <w:r w:rsidR="00CC4AAC">
                        <w:t xml:space="preserve">For instances where related implementation language is relatively limited (for example a </w:t>
                      </w:r>
                      <w:r w:rsidR="0051713C">
                        <w:t>minor change in Assisted Living regulations)</w:t>
                      </w:r>
                      <w:r w:rsidR="003271B1">
                        <w:t xml:space="preserve">, the language is included within the policy statement. </w:t>
                      </w:r>
                      <w:r w:rsidR="000147BB">
                        <w:t>However,</w:t>
                      </w:r>
                      <w:r w:rsidR="003271B1">
                        <w:t xml:space="preserve"> for recommendations with more complex </w:t>
                      </w:r>
                      <w:r w:rsidR="000C1993">
                        <w:t xml:space="preserve">implementation language, the language is offered as a stand-alone exhibit. </w:t>
                      </w:r>
                      <w:r w:rsidR="000147BB">
                        <w:t>T</w:t>
                      </w:r>
                      <w:r w:rsidR="00BB435E">
                        <w:t xml:space="preserve">his format is offered with awareness and expectation that even if concepts are endorsed, </w:t>
                      </w:r>
                      <w:r w:rsidR="00BD7F43">
                        <w:t xml:space="preserve">related language will likely be substantially revised and improved upon from </w:t>
                      </w:r>
                      <w:r w:rsidR="0059254F">
                        <w:t>the</w:t>
                      </w:r>
                      <w:r w:rsidR="00A43BEB">
                        <w:t xml:space="preserve"> form of these advocacy </w:t>
                      </w:r>
                      <w:r w:rsidR="001F6B14">
                        <w:t>recommendations</w:t>
                      </w:r>
                      <w:r w:rsidR="0059254F">
                        <w:t>.</w:t>
                      </w:r>
                    </w:p>
                  </w:txbxContent>
                </v:textbox>
                <w10:wrap type="square"/>
              </v:shape>
            </w:pict>
          </mc:Fallback>
        </mc:AlternateContent>
      </w:r>
      <w:r w:rsidR="006156EB">
        <w:rPr>
          <w:sz w:val="24"/>
          <w:szCs w:val="24"/>
        </w:rPr>
        <w:br w:type="page"/>
      </w:r>
    </w:p>
    <w:p w14:paraId="56DEF09E" w14:textId="177F5CBB" w:rsidR="00DC6D94" w:rsidRPr="0004290A" w:rsidRDefault="00DC6D94" w:rsidP="006156EB">
      <w:pPr>
        <w:pStyle w:val="ListParagraph"/>
        <w:spacing w:after="0" w:line="240" w:lineRule="auto"/>
        <w:contextualSpacing w:val="0"/>
        <w:jc w:val="center"/>
        <w:rPr>
          <w:i/>
          <w:iCs/>
          <w:sz w:val="24"/>
          <w:szCs w:val="24"/>
        </w:rPr>
      </w:pPr>
      <w:r w:rsidRPr="0004290A">
        <w:rPr>
          <w:i/>
          <w:iCs/>
          <w:sz w:val="24"/>
          <w:szCs w:val="24"/>
        </w:rPr>
        <w:lastRenderedPageBreak/>
        <w:t>Exhibit #1</w:t>
      </w:r>
    </w:p>
    <w:p w14:paraId="4190BA75" w14:textId="77777777" w:rsidR="00DC6D94" w:rsidRDefault="00DC6D94" w:rsidP="006156EB">
      <w:pPr>
        <w:pStyle w:val="ListParagraph"/>
        <w:spacing w:after="0" w:line="240" w:lineRule="auto"/>
        <w:contextualSpacing w:val="0"/>
        <w:jc w:val="center"/>
        <w:rPr>
          <w:b/>
          <w:bCs/>
          <w:sz w:val="24"/>
          <w:szCs w:val="24"/>
          <w:u w:val="single"/>
        </w:rPr>
      </w:pPr>
    </w:p>
    <w:p w14:paraId="2E337608" w14:textId="41C1C433" w:rsidR="00C00536" w:rsidRPr="004109FD" w:rsidRDefault="006156EB" w:rsidP="006156EB">
      <w:pPr>
        <w:pStyle w:val="ListParagraph"/>
        <w:spacing w:after="0" w:line="240" w:lineRule="auto"/>
        <w:contextualSpacing w:val="0"/>
        <w:jc w:val="center"/>
        <w:rPr>
          <w:b/>
          <w:bCs/>
          <w:sz w:val="36"/>
          <w:szCs w:val="36"/>
          <w:u w:val="single"/>
        </w:rPr>
      </w:pPr>
      <w:r w:rsidRPr="004109FD">
        <w:rPr>
          <w:b/>
          <w:bCs/>
          <w:sz w:val="36"/>
          <w:szCs w:val="36"/>
          <w:u w:val="single"/>
        </w:rPr>
        <w:t>Section I</w:t>
      </w:r>
      <w:r w:rsidR="00227C7A" w:rsidRPr="004109FD">
        <w:rPr>
          <w:b/>
          <w:bCs/>
          <w:sz w:val="36"/>
          <w:szCs w:val="36"/>
          <w:u w:val="single"/>
        </w:rPr>
        <w:t xml:space="preserve"> </w:t>
      </w:r>
    </w:p>
    <w:p w14:paraId="548E4037" w14:textId="77777777" w:rsidR="004109FD" w:rsidRPr="003A3F24" w:rsidRDefault="004109FD" w:rsidP="006156EB">
      <w:pPr>
        <w:pStyle w:val="ListParagraph"/>
        <w:spacing w:after="0" w:line="240" w:lineRule="auto"/>
        <w:contextualSpacing w:val="0"/>
        <w:jc w:val="center"/>
        <w:rPr>
          <w:b/>
          <w:bCs/>
          <w:sz w:val="24"/>
          <w:szCs w:val="24"/>
          <w:u w:val="single"/>
        </w:rPr>
      </w:pPr>
    </w:p>
    <w:p w14:paraId="63B908CD" w14:textId="3E77A718" w:rsidR="006156EB" w:rsidRPr="004109FD" w:rsidRDefault="006156EB" w:rsidP="006156EB">
      <w:pPr>
        <w:pStyle w:val="ListParagraph"/>
        <w:spacing w:after="0" w:line="240" w:lineRule="auto"/>
        <w:contextualSpacing w:val="0"/>
        <w:jc w:val="center"/>
        <w:rPr>
          <w:b/>
          <w:bCs/>
          <w:sz w:val="36"/>
          <w:szCs w:val="36"/>
        </w:rPr>
      </w:pPr>
      <w:r w:rsidRPr="004109FD">
        <w:rPr>
          <w:b/>
          <w:bCs/>
          <w:sz w:val="36"/>
          <w:szCs w:val="36"/>
        </w:rPr>
        <w:t>Summary of ALR Reform Omnibus</w:t>
      </w:r>
    </w:p>
    <w:p w14:paraId="410365C6" w14:textId="01C187A9" w:rsidR="00341952" w:rsidRPr="004109FD" w:rsidRDefault="00341952" w:rsidP="006156EB">
      <w:pPr>
        <w:pStyle w:val="ListParagraph"/>
        <w:spacing w:after="0" w:line="240" w:lineRule="auto"/>
        <w:contextualSpacing w:val="0"/>
        <w:jc w:val="center"/>
        <w:rPr>
          <w:b/>
          <w:bCs/>
          <w:sz w:val="36"/>
          <w:szCs w:val="36"/>
        </w:rPr>
      </w:pPr>
      <w:r w:rsidRPr="004109FD">
        <w:rPr>
          <w:b/>
          <w:bCs/>
          <w:sz w:val="36"/>
          <w:szCs w:val="36"/>
        </w:rPr>
        <w:t xml:space="preserve">(A re-statement </w:t>
      </w:r>
      <w:r w:rsidR="004109FD" w:rsidRPr="004109FD">
        <w:rPr>
          <w:b/>
          <w:bCs/>
          <w:sz w:val="36"/>
          <w:szCs w:val="36"/>
        </w:rPr>
        <w:t>of</w:t>
      </w:r>
      <w:r w:rsidRPr="004109FD">
        <w:rPr>
          <w:b/>
          <w:bCs/>
          <w:sz w:val="36"/>
          <w:szCs w:val="36"/>
        </w:rPr>
        <w:t xml:space="preserve"> the 9/</w:t>
      </w:r>
      <w:r w:rsidR="00EC02AE">
        <w:rPr>
          <w:b/>
          <w:bCs/>
          <w:sz w:val="36"/>
          <w:szCs w:val="36"/>
        </w:rPr>
        <w:t>2</w:t>
      </w:r>
      <w:r w:rsidR="00F56BDB">
        <w:rPr>
          <w:b/>
          <w:bCs/>
          <w:sz w:val="36"/>
          <w:szCs w:val="36"/>
        </w:rPr>
        <w:t>6</w:t>
      </w:r>
      <w:r w:rsidRPr="004109FD">
        <w:rPr>
          <w:b/>
          <w:bCs/>
          <w:sz w:val="36"/>
          <w:szCs w:val="36"/>
        </w:rPr>
        <w:t xml:space="preserve">/25 letter to the ALR </w:t>
      </w:r>
      <w:r w:rsidR="001027D6" w:rsidRPr="004109FD">
        <w:rPr>
          <w:b/>
          <w:bCs/>
          <w:sz w:val="36"/>
          <w:szCs w:val="36"/>
        </w:rPr>
        <w:t>Commission</w:t>
      </w:r>
      <w:r w:rsidR="004E09E4">
        <w:rPr>
          <w:b/>
          <w:bCs/>
          <w:sz w:val="36"/>
          <w:szCs w:val="36"/>
        </w:rPr>
        <w:t>)</w:t>
      </w:r>
    </w:p>
    <w:p w14:paraId="7F154CFF" w14:textId="77777777" w:rsidR="006156EB" w:rsidRDefault="006156EB" w:rsidP="006156EB">
      <w:pPr>
        <w:pStyle w:val="ListParagraph"/>
        <w:spacing w:after="0" w:line="240" w:lineRule="auto"/>
        <w:contextualSpacing w:val="0"/>
        <w:jc w:val="center"/>
        <w:rPr>
          <w:sz w:val="24"/>
          <w:szCs w:val="24"/>
        </w:rPr>
      </w:pPr>
    </w:p>
    <w:p w14:paraId="333DA18D" w14:textId="0ABD8C2B" w:rsidR="0043555A" w:rsidRDefault="0077723D" w:rsidP="00EA1C38">
      <w:pPr>
        <w:pStyle w:val="ListParagraph"/>
        <w:numPr>
          <w:ilvl w:val="0"/>
          <w:numId w:val="2"/>
        </w:numPr>
        <w:spacing w:after="160" w:line="278" w:lineRule="auto"/>
        <w:contextualSpacing w:val="0"/>
      </w:pPr>
      <w:r>
        <w:rPr>
          <w:b/>
          <w:bCs/>
        </w:rPr>
        <w:t>I</w:t>
      </w:r>
      <w:r w:rsidR="00341952" w:rsidRPr="001E0152">
        <w:rPr>
          <w:b/>
          <w:bCs/>
        </w:rPr>
        <w:t>nitiate a governance review on the risk of harm resulting from fire in residential care settings, including Assisted Living Residences (“ALRs”).</w:t>
      </w:r>
      <w:r w:rsidR="007736F8" w:rsidRPr="001E0152">
        <w:rPr>
          <w:b/>
          <w:bCs/>
        </w:rPr>
        <w:t xml:space="preserve"> Furthermore, require AGE to scope whether and how a standard </w:t>
      </w:r>
      <w:r w:rsidR="001E12A6" w:rsidRPr="001E0152">
        <w:rPr>
          <w:b/>
          <w:bCs/>
        </w:rPr>
        <w:t>data exchange protocol</w:t>
      </w:r>
      <w:r w:rsidR="007736F8" w:rsidRPr="001E0152">
        <w:rPr>
          <w:b/>
          <w:bCs/>
        </w:rPr>
        <w:t xml:space="preserve"> between each ALR and local </w:t>
      </w:r>
      <w:r w:rsidR="00F70479">
        <w:rPr>
          <w:b/>
          <w:bCs/>
        </w:rPr>
        <w:t>F</w:t>
      </w:r>
      <w:r w:rsidR="007736F8" w:rsidRPr="001E0152">
        <w:rPr>
          <w:b/>
          <w:bCs/>
        </w:rPr>
        <w:t>irst</w:t>
      </w:r>
      <w:r w:rsidR="00F70479">
        <w:rPr>
          <w:b/>
          <w:bCs/>
        </w:rPr>
        <w:t xml:space="preserve"> R</w:t>
      </w:r>
      <w:r w:rsidR="007736F8" w:rsidRPr="001E0152">
        <w:rPr>
          <w:b/>
          <w:bCs/>
        </w:rPr>
        <w:t>esponder Agencies can be established for the purpose of relaying real-time emergency assistance plan information.</w:t>
      </w:r>
      <w:r w:rsidR="007736F8">
        <w:t xml:space="preserve"> </w:t>
      </w:r>
      <w:r w:rsidR="00341952">
        <w:t xml:space="preserve"> In consideration of the Gabriel House tragedy, particular emphasis is placed on the scenario of a resident who may be smoking within their domicile and/or in the presence of medical oxygen. Given the technical nature of th</w:t>
      </w:r>
      <w:r w:rsidR="00D7414C">
        <w:t>e related</w:t>
      </w:r>
      <w:r w:rsidR="00341952">
        <w:t xml:space="preserve"> review, </w:t>
      </w:r>
      <w:r w:rsidR="005D7735">
        <w:t xml:space="preserve">Dignity Alliance </w:t>
      </w:r>
      <w:r w:rsidR="002356B8">
        <w:t xml:space="preserve">advises </w:t>
      </w:r>
      <w:r w:rsidR="00341952">
        <w:t>the ALR Commi</w:t>
      </w:r>
      <w:r w:rsidR="002356B8">
        <w:t>ssion</w:t>
      </w:r>
      <w:r w:rsidR="00EF75A2">
        <w:t xml:space="preserve"> to</w:t>
      </w:r>
      <w:r w:rsidR="002356B8">
        <w:t xml:space="preserve"> </w:t>
      </w:r>
      <w:r w:rsidR="001027D6">
        <w:t>limit</w:t>
      </w:r>
      <w:r w:rsidR="00124F29">
        <w:t xml:space="preserve"> </w:t>
      </w:r>
      <w:r w:rsidR="00341952">
        <w:t>focus</w:t>
      </w:r>
      <w:r w:rsidR="001027D6">
        <w:t xml:space="preserve"> to an executive level and the </w:t>
      </w:r>
      <w:r w:rsidR="00520838">
        <w:t xml:space="preserve">appropriate </w:t>
      </w:r>
      <w:r w:rsidR="00341952">
        <w:t>charging</w:t>
      </w:r>
      <w:r w:rsidR="00520838">
        <w:t xml:space="preserve"> to</w:t>
      </w:r>
      <w:r w:rsidR="00341952">
        <w:t xml:space="preserve"> the </w:t>
      </w:r>
      <w:r w:rsidR="008A3F3F">
        <w:t>regulatory agencies involved</w:t>
      </w:r>
      <w:r w:rsidR="00341952">
        <w:t xml:space="preserve"> </w:t>
      </w:r>
      <w:r w:rsidR="00A62B02">
        <w:t>with</w:t>
      </w:r>
      <w:r w:rsidR="00341952">
        <w:t xml:space="preserve"> develop</w:t>
      </w:r>
      <w:r w:rsidR="00520838">
        <w:t>ing</w:t>
      </w:r>
      <w:r w:rsidR="00341952">
        <w:t xml:space="preserve"> solutions, conduct</w:t>
      </w:r>
      <w:r w:rsidR="00214D7F">
        <w:t>ing</w:t>
      </w:r>
      <w:r w:rsidR="00341952">
        <w:t xml:space="preserve"> hearings, and revis</w:t>
      </w:r>
      <w:r w:rsidR="00EF75A2">
        <w:t>ing</w:t>
      </w:r>
      <w:r w:rsidR="00341952">
        <w:t xml:space="preserve"> regulations</w:t>
      </w:r>
      <w:r w:rsidR="00214D7F">
        <w:t>.</w:t>
      </w:r>
      <w:r w:rsidR="00341952">
        <w:t xml:space="preserve"> </w:t>
      </w:r>
      <w:r w:rsidR="00214D7F">
        <w:t xml:space="preserve">The process of </w:t>
      </w:r>
      <w:r w:rsidR="00A16EDC">
        <w:t xml:space="preserve">evaluating the suitability of existing </w:t>
      </w:r>
      <w:r w:rsidR="00341952">
        <w:t>fire</w:t>
      </w:r>
      <w:r w:rsidR="00A16EDC">
        <w:t xml:space="preserve"> safety</w:t>
      </w:r>
      <w:r w:rsidR="00341952">
        <w:t xml:space="preserve"> and building code</w:t>
      </w:r>
      <w:r w:rsidR="00872E2E">
        <w:t xml:space="preserve"> require</w:t>
      </w:r>
      <w:r w:rsidR="007051F2">
        <w:t>ments</w:t>
      </w:r>
      <w:r w:rsidR="00341952">
        <w:t xml:space="preserve"> </w:t>
      </w:r>
      <w:r w:rsidR="00E058DB">
        <w:t xml:space="preserve">relies </w:t>
      </w:r>
      <w:r w:rsidR="00C0625D">
        <w:t xml:space="preserve">on </w:t>
      </w:r>
      <w:r w:rsidR="007C5A93">
        <w:t>expertise that was not installed in the original charter</w:t>
      </w:r>
      <w:r w:rsidR="00865A62">
        <w:t xml:space="preserve"> to ALR Commission membership</w:t>
      </w:r>
      <w:r w:rsidR="00341952">
        <w:t xml:space="preserve">.  </w:t>
      </w:r>
    </w:p>
    <w:p w14:paraId="469DAD3B" w14:textId="77777777" w:rsidR="003D7C5A" w:rsidRDefault="00955303" w:rsidP="0043555A">
      <w:pPr>
        <w:pStyle w:val="ListParagraph"/>
        <w:spacing w:after="160" w:line="278" w:lineRule="auto"/>
        <w:ind w:left="1440"/>
        <w:contextualSpacing w:val="0"/>
      </w:pPr>
      <w:r>
        <w:t>Furthermore,</w:t>
      </w:r>
      <w:r w:rsidR="005000BA">
        <w:t xml:space="preserve"> and in consideration of the current state of available technology, </w:t>
      </w:r>
      <w:r w:rsidR="00712368">
        <w:t xml:space="preserve">AGE should </w:t>
      </w:r>
      <w:r w:rsidR="006D0A62">
        <w:t>engage</w:t>
      </w:r>
      <w:r w:rsidR="00712368">
        <w:t xml:space="preserve"> experts on the prospect of establishing</w:t>
      </w:r>
      <w:r w:rsidR="00670F59">
        <w:t xml:space="preserve"> a data exchange protocol that </w:t>
      </w:r>
      <w:r w:rsidR="00465DA8">
        <w:t>provides local first responding agencies with detailed resident and room information</w:t>
      </w:r>
      <w:r w:rsidR="00F60C93">
        <w:t xml:space="preserve"> </w:t>
      </w:r>
      <w:r w:rsidR="00967B39">
        <w:t>about</w:t>
      </w:r>
      <w:r w:rsidR="00F60C93">
        <w:t xml:space="preserve"> ALR Residents for whom their</w:t>
      </w:r>
      <w:r w:rsidR="00967B39">
        <w:t xml:space="preserve"> active</w:t>
      </w:r>
      <w:r w:rsidR="00F60C93">
        <w:t xml:space="preserve"> service plan indicates special consi</w:t>
      </w:r>
      <w:r w:rsidR="001E0152">
        <w:t>derations in an emergency situation.</w:t>
      </w:r>
      <w:r w:rsidR="00465DA8">
        <w:t xml:space="preserve"> </w:t>
      </w:r>
    </w:p>
    <w:p w14:paraId="7A5AC5C0" w14:textId="49045780" w:rsidR="00341952" w:rsidRDefault="00F15A9F" w:rsidP="0043555A">
      <w:pPr>
        <w:pStyle w:val="ListParagraph"/>
        <w:spacing w:after="160" w:line="278" w:lineRule="auto"/>
        <w:ind w:left="1440"/>
        <w:contextualSpacing w:val="0"/>
      </w:pPr>
      <w:r>
        <w:t>Prescription</w:t>
      </w:r>
      <w:r w:rsidR="00926FE7">
        <w:t xml:space="preserve"> in the form of a 2025 special law</w:t>
      </w:r>
      <w:r>
        <w:t xml:space="preserve"> from the legislature may be beneficial to</w:t>
      </w:r>
      <w:r w:rsidR="00876F90">
        <w:t xml:space="preserve">wards </w:t>
      </w:r>
      <w:r w:rsidR="0075150B">
        <w:t>expediting collaborations among all the involved agencies and setting expectations</w:t>
      </w:r>
      <w:r w:rsidR="000030D3">
        <w:t xml:space="preserve"> on deliverables</w:t>
      </w:r>
      <w:r w:rsidR="0075150B">
        <w:t>.</w:t>
      </w:r>
      <w:r w:rsidR="00EF3EBE" w:rsidRPr="00EF3EBE">
        <w:t xml:space="preserve"> </w:t>
      </w:r>
    </w:p>
    <w:p w14:paraId="07615D2D" w14:textId="4A89A145" w:rsidR="00341952" w:rsidRPr="00F01869" w:rsidRDefault="00F95FFB" w:rsidP="00341952">
      <w:pPr>
        <w:pStyle w:val="ListParagraph"/>
        <w:numPr>
          <w:ilvl w:val="0"/>
          <w:numId w:val="2"/>
        </w:numPr>
        <w:spacing w:after="160" w:line="278" w:lineRule="auto"/>
        <w:contextualSpacing w:val="0"/>
        <w:rPr>
          <w:i/>
          <w:iCs/>
        </w:rPr>
      </w:pPr>
      <w:r w:rsidRPr="00DD7697">
        <w:rPr>
          <w:b/>
          <w:bCs/>
        </w:rPr>
        <w:t>Ensure individualized emergency assistance pl</w:t>
      </w:r>
      <w:r w:rsidR="00DD7697" w:rsidRPr="00DD7697">
        <w:rPr>
          <w:b/>
          <w:bCs/>
        </w:rPr>
        <w:t>ans are considered for all ALR Residents.</w:t>
      </w:r>
      <w:r w:rsidR="00DD7697">
        <w:t xml:space="preserve"> </w:t>
      </w:r>
      <w:r w:rsidR="00341952">
        <w:t xml:space="preserve">Implement a regulatory amendment to broaden the existing requirement currently in effect for ALR “Special Unit” Residents so it applies to all ALR Residents. </w:t>
      </w:r>
      <w:r w:rsidR="00717B94">
        <w:t xml:space="preserve">As this item is identifying a </w:t>
      </w:r>
      <w:r w:rsidR="00341952">
        <w:t xml:space="preserve">gap in the current regulations, </w:t>
      </w:r>
      <w:r w:rsidR="004B574A">
        <w:t>Dignity Alliance ad</w:t>
      </w:r>
      <w:r w:rsidR="00367BFF">
        <w:t xml:space="preserve">vises the </w:t>
      </w:r>
      <w:r w:rsidR="00341952">
        <w:t>ALR Commission</w:t>
      </w:r>
      <w:r w:rsidR="00367BFF">
        <w:t xml:space="preserve"> to</w:t>
      </w:r>
      <w:r w:rsidR="00341952">
        <w:t xml:space="preserve"> facilitate a discussion on the degree to which the </w:t>
      </w:r>
      <w:r w:rsidR="00C25741">
        <w:t xml:space="preserve">identified </w:t>
      </w:r>
      <w:r w:rsidR="00341952">
        <w:t>regulatory gap corresponds to an active ALR practice gap in the manner by which ALR Resident assessments and service plans are developed.</w:t>
      </w:r>
    </w:p>
    <w:p w14:paraId="596D43D1" w14:textId="1C36635F" w:rsidR="0027705C" w:rsidRDefault="00341952" w:rsidP="00CC7AB9">
      <w:pPr>
        <w:pStyle w:val="ListParagraph"/>
        <w:numPr>
          <w:ilvl w:val="0"/>
          <w:numId w:val="2"/>
        </w:numPr>
        <w:spacing w:after="160" w:line="278" w:lineRule="auto"/>
        <w:contextualSpacing w:val="0"/>
      </w:pPr>
      <w:r w:rsidRPr="005C6D00">
        <w:rPr>
          <w:b/>
          <w:bCs/>
        </w:rPr>
        <w:t>Amend the ALR statute (M.G.L. c. 19D) to increase the level of surveillance performed by AGE as regulator (certifier) to Assisted Living Residences.</w:t>
      </w:r>
      <w:r w:rsidR="005C6D00">
        <w:rPr>
          <w:b/>
          <w:bCs/>
        </w:rPr>
        <w:t xml:space="preserve"> </w:t>
      </w:r>
      <w:r w:rsidR="007C474D">
        <w:rPr>
          <w:b/>
          <w:bCs/>
        </w:rPr>
        <w:t>Furthermore</w:t>
      </w:r>
      <w:r w:rsidR="00CD6105">
        <w:rPr>
          <w:b/>
          <w:bCs/>
        </w:rPr>
        <w:t xml:space="preserve">, </w:t>
      </w:r>
      <w:r w:rsidR="00DC1C88">
        <w:rPr>
          <w:b/>
          <w:bCs/>
        </w:rPr>
        <w:t>the ALR Commission</w:t>
      </w:r>
      <w:r w:rsidR="00A60008">
        <w:rPr>
          <w:b/>
          <w:bCs/>
        </w:rPr>
        <w:t xml:space="preserve"> should conduct </w:t>
      </w:r>
      <w:r w:rsidR="00DC1C88">
        <w:rPr>
          <w:b/>
          <w:bCs/>
        </w:rPr>
        <w:t xml:space="preserve">a “fresh, clean </w:t>
      </w:r>
      <w:r w:rsidR="007B4160">
        <w:rPr>
          <w:b/>
          <w:bCs/>
        </w:rPr>
        <w:t xml:space="preserve">look” at </w:t>
      </w:r>
      <w:r w:rsidR="000D704E">
        <w:rPr>
          <w:b/>
          <w:bCs/>
        </w:rPr>
        <w:t>the</w:t>
      </w:r>
      <w:r w:rsidR="00F76C2F">
        <w:rPr>
          <w:b/>
          <w:bCs/>
        </w:rPr>
        <w:t xml:space="preserve"> current ALR </w:t>
      </w:r>
      <w:r w:rsidR="00746D62">
        <w:rPr>
          <w:b/>
          <w:bCs/>
        </w:rPr>
        <w:t>c</w:t>
      </w:r>
      <w:r w:rsidR="00F76C2F">
        <w:rPr>
          <w:b/>
          <w:bCs/>
        </w:rPr>
        <w:t xml:space="preserve">ertification </w:t>
      </w:r>
      <w:r w:rsidR="00746D62">
        <w:rPr>
          <w:b/>
          <w:bCs/>
        </w:rPr>
        <w:t>r</w:t>
      </w:r>
      <w:r w:rsidR="00F76C2F">
        <w:rPr>
          <w:b/>
          <w:bCs/>
        </w:rPr>
        <w:t xml:space="preserve">eview </w:t>
      </w:r>
      <w:r w:rsidR="00746D62">
        <w:rPr>
          <w:b/>
          <w:bCs/>
        </w:rPr>
        <w:t>p</w:t>
      </w:r>
      <w:r w:rsidR="00F76C2F">
        <w:rPr>
          <w:b/>
          <w:bCs/>
        </w:rPr>
        <w:t>rotocol,</w:t>
      </w:r>
      <w:r w:rsidR="00746D62">
        <w:rPr>
          <w:b/>
          <w:bCs/>
        </w:rPr>
        <w:t xml:space="preserve"> determining the ideal</w:t>
      </w:r>
      <w:r w:rsidR="00483A3F">
        <w:rPr>
          <w:b/>
          <w:bCs/>
        </w:rPr>
        <w:t xml:space="preserve"> on-site review cadence and</w:t>
      </w:r>
      <w:r w:rsidR="00746D62">
        <w:rPr>
          <w:b/>
          <w:bCs/>
        </w:rPr>
        <w:t xml:space="preserve"> staffing </w:t>
      </w:r>
      <w:r w:rsidR="00E74C8C">
        <w:rPr>
          <w:b/>
          <w:bCs/>
        </w:rPr>
        <w:t xml:space="preserve">level to manage the related </w:t>
      </w:r>
      <w:r w:rsidR="00AD61DD">
        <w:rPr>
          <w:b/>
          <w:bCs/>
        </w:rPr>
        <w:t>reviewing effort</w:t>
      </w:r>
      <w:r w:rsidR="00F573D5">
        <w:rPr>
          <w:b/>
          <w:bCs/>
        </w:rPr>
        <w:t xml:space="preserve"> for </w:t>
      </w:r>
      <w:r w:rsidR="00FC3110">
        <w:rPr>
          <w:b/>
          <w:bCs/>
        </w:rPr>
        <w:t>monitoring up to 280 ALRs,</w:t>
      </w:r>
      <w:r w:rsidR="00C72213">
        <w:rPr>
          <w:b/>
          <w:bCs/>
        </w:rPr>
        <w:t xml:space="preserve"> and </w:t>
      </w:r>
      <w:r w:rsidR="004B3031">
        <w:rPr>
          <w:b/>
          <w:bCs/>
        </w:rPr>
        <w:t xml:space="preserve">evaluating </w:t>
      </w:r>
      <w:r w:rsidR="00C72213">
        <w:rPr>
          <w:b/>
          <w:bCs/>
        </w:rPr>
        <w:t>the current staffing plan to the AGE ALR Certification Unit.</w:t>
      </w:r>
      <w:r w:rsidR="00F81DBC">
        <w:rPr>
          <w:b/>
          <w:bCs/>
        </w:rPr>
        <w:t xml:space="preserve"> </w:t>
      </w:r>
      <w:r w:rsidR="002054B2">
        <w:rPr>
          <w:b/>
          <w:bCs/>
        </w:rPr>
        <w:t xml:space="preserve">Furthermore, </w:t>
      </w:r>
      <w:r w:rsidR="00C92EBD">
        <w:rPr>
          <w:b/>
          <w:bCs/>
        </w:rPr>
        <w:t>establish a Board of Assisted Living Residence Managers.</w:t>
      </w:r>
      <w:r w:rsidR="00FC3110">
        <w:rPr>
          <w:b/>
          <w:bCs/>
        </w:rPr>
        <w:t xml:space="preserve"> </w:t>
      </w:r>
      <w:r>
        <w:t xml:space="preserve"> </w:t>
      </w:r>
      <w:r w:rsidR="00164AF2" w:rsidRPr="00164AF2">
        <w:t>Install an expectation for annual on-site visits, and a mandate that no ALR should ever go more than 15-months without having an on-site visit. Decoupling the re-certification fee from the on-site review will facilitate an important shift in governance posture to reinforce AGE is performing as a regulator and not delivering a service to ALRs. The statutory standard should be for on-site visits to be unannounced, and the existing requirement for an on-site visit outside of the licensing cycle to be based on a probable cause standard of non-compliance should be r</w:t>
      </w:r>
      <w:r w:rsidR="00CD6A3E">
        <w:t>emoved</w:t>
      </w:r>
      <w:r w:rsidR="00186994">
        <w:t xml:space="preserve">. </w:t>
      </w:r>
    </w:p>
    <w:p w14:paraId="58F53EF5" w14:textId="3E47E6C0" w:rsidR="0044165A" w:rsidRPr="0044165A" w:rsidRDefault="00DC74AC" w:rsidP="0044165A">
      <w:pPr>
        <w:pStyle w:val="ListParagraph"/>
        <w:spacing w:after="160" w:line="278" w:lineRule="auto"/>
        <w:ind w:left="1440"/>
        <w:contextualSpacing w:val="0"/>
      </w:pPr>
      <w:r>
        <w:lastRenderedPageBreak/>
        <w:t>Di</w:t>
      </w:r>
      <w:r w:rsidR="0044165A">
        <w:t>gnity</w:t>
      </w:r>
      <w:r w:rsidR="0044165A" w:rsidRPr="0044165A">
        <w:t xml:space="preserve"> Alliance stresses the important opportunity to leverage the expertise of the ALR commission to render a judgement on the adequacy of the existing ALR certification review protocol and whether any improvements are warranted. It is highlighted that the SNF survey contains 132 items for evaluation which are reviewed across 3 standard surveys (so 44 items are reviewed during a particular on-site survey). It may benefit the ALR reviewing protocol to emulate the SNF protocol, which places a premium on the on-site visit while creating review efficiency by segmenting a full review over three years. If a particular on-site review demonstrates substantial concerns, then the ALR on-site review team can expand the items it is testing. </w:t>
      </w:r>
    </w:p>
    <w:p w14:paraId="6E8B4DA6" w14:textId="4BA86428" w:rsidR="00847B3F" w:rsidRDefault="0044165A" w:rsidP="001046E5">
      <w:pPr>
        <w:pStyle w:val="ListParagraph"/>
        <w:ind w:left="1440"/>
        <w:contextualSpacing w:val="0"/>
      </w:pPr>
      <w:r w:rsidRPr="0044165A">
        <w:t>Furthermore, the position of ALR executive director should be treated as a profession most comparable to nursing home administrator, and a professional licensing board should be established to ensure a common ethical practice across all Massachusetts ALRs.</w:t>
      </w:r>
    </w:p>
    <w:p w14:paraId="23F9B2C5" w14:textId="2A633C5D" w:rsidR="00C82642" w:rsidRPr="00C82642" w:rsidRDefault="001046E5" w:rsidP="00C82642">
      <w:pPr>
        <w:pStyle w:val="ListParagraph"/>
        <w:ind w:left="1440"/>
        <w:contextualSpacing w:val="0"/>
      </w:pPr>
      <w:r>
        <w:t xml:space="preserve">Lastly, </w:t>
      </w:r>
      <w:r w:rsidR="00C82642" w:rsidRPr="00C82642">
        <w:t>as a related budget initiative Dignity Alliance recommends carving the responsibilities of Assisted Living Certification out of the AGE 9110-0100 general administration appropriation line and establishing a new dedicated appropriation line with an accompanying industry assessment. Such an approach will ensure ALR monitoring resources are no less than the annual revenues resulting from the ALR certification process. By referencing an assessment-funded annual appropriation line, this</w:t>
      </w:r>
      <w:r w:rsidR="006F4031">
        <w:t xml:space="preserve"> </w:t>
      </w:r>
      <w:r w:rsidR="00C82642" w:rsidRPr="00C82642">
        <w:t xml:space="preserve">recommendation will improve the ability of both the Administration and the Legislature to review and approve the necessary presence of ALR certification specialists in proportion to the number of ALR Residents. </w:t>
      </w:r>
    </w:p>
    <w:p w14:paraId="565CD251" w14:textId="3D4BF267" w:rsidR="001046E5" w:rsidRPr="0044165A" w:rsidRDefault="00C82642" w:rsidP="00C82642">
      <w:pPr>
        <w:pStyle w:val="ListParagraph"/>
        <w:ind w:left="1440"/>
        <w:contextualSpacing w:val="0"/>
      </w:pPr>
      <w:r w:rsidRPr="00C82642">
        <w:t>The general public administration maxim being applied here is that the costs of regulation should be borne by the industry being regulated. The active concern is that by mingling 9110-0100 resources for ALR duties with AGE elder care service management duties, there is a risk and understandable likelihood to AGE losing line of sight on ALR certification staffing levels. This revised appropriation structure is to guard against underfunding ALR oversight and on-site reviews.</w:t>
      </w:r>
    </w:p>
    <w:p w14:paraId="24AAEFCA" w14:textId="77777777" w:rsidR="00A45D56" w:rsidRPr="00A45D56" w:rsidRDefault="00963108" w:rsidP="00341952">
      <w:pPr>
        <w:pStyle w:val="ListParagraph"/>
        <w:numPr>
          <w:ilvl w:val="0"/>
          <w:numId w:val="2"/>
        </w:numPr>
        <w:spacing w:after="160" w:line="278" w:lineRule="auto"/>
        <w:contextualSpacing w:val="0"/>
        <w:rPr>
          <w:b/>
          <w:bCs/>
        </w:rPr>
      </w:pPr>
      <w:r>
        <w:rPr>
          <w:b/>
          <w:bCs/>
        </w:rPr>
        <w:t>O</w:t>
      </w:r>
      <w:r w:rsidR="00652130" w:rsidRPr="00B55797">
        <w:rPr>
          <w:b/>
          <w:bCs/>
        </w:rPr>
        <w:t xml:space="preserve">verhaul the MassHealth service offering </w:t>
      </w:r>
      <w:r w:rsidR="00B55797" w:rsidRPr="00B55797">
        <w:rPr>
          <w:b/>
          <w:bCs/>
        </w:rPr>
        <w:t>within the ALR setting of care.</w:t>
      </w:r>
      <w:r w:rsidR="00341952">
        <w:t xml:space="preserve"> </w:t>
      </w:r>
      <w:r w:rsidR="00B55797">
        <w:t xml:space="preserve">This initiative will </w:t>
      </w:r>
      <w:r w:rsidR="00341952">
        <w:t>cure the current state of substantial economic disparity</w:t>
      </w:r>
      <w:r w:rsidR="00F24BC7">
        <w:t xml:space="preserve"> among ALRs</w:t>
      </w:r>
      <w:r w:rsidR="00341952">
        <w:t xml:space="preserve">. This is accomplished by i) right-sizing </w:t>
      </w:r>
      <w:r w:rsidR="004C300D">
        <w:t xml:space="preserve">the </w:t>
      </w:r>
      <w:r w:rsidR="00341952">
        <w:t xml:space="preserve">current MassHealth service offering (assumed to be GAFC, unless swapped by MassHealth to an alternate new service); </w:t>
      </w:r>
      <w:r w:rsidR="00341952" w:rsidRPr="004207E3">
        <w:rPr>
          <w:b/>
          <w:bCs/>
        </w:rPr>
        <w:t>ii) promot</w:t>
      </w:r>
      <w:r w:rsidR="00341952">
        <w:rPr>
          <w:b/>
          <w:bCs/>
        </w:rPr>
        <w:t>ing</w:t>
      </w:r>
      <w:r w:rsidR="00341952" w:rsidRPr="004207E3">
        <w:rPr>
          <w:b/>
          <w:bCs/>
        </w:rPr>
        <w:t xml:space="preserve"> quality by conditioning</w:t>
      </w:r>
      <w:r w:rsidR="004C300D">
        <w:rPr>
          <w:b/>
          <w:bCs/>
        </w:rPr>
        <w:t xml:space="preserve"> a</w:t>
      </w:r>
      <w:r w:rsidR="00341952" w:rsidRPr="004207E3">
        <w:rPr>
          <w:b/>
          <w:bCs/>
        </w:rPr>
        <w:t xml:space="preserve"> series of rate enhancements on an ALR obtaining accreditation</w:t>
      </w:r>
      <w:r w:rsidR="00B900EC">
        <w:rPr>
          <w:b/>
          <w:bCs/>
        </w:rPr>
        <w:t xml:space="preserve"> from a nationally recognized accrediting body </w:t>
      </w:r>
      <w:r w:rsidR="00341952">
        <w:t xml:space="preserve">; and iii) establishing a series of rate enhancements in furtherance of public policy goals of promoting nursing home placement diversion, promoting mission-driven ALRs to serve MassHealth members, and promoting utilization of small and medium-sized ALRs.  </w:t>
      </w:r>
    </w:p>
    <w:p w14:paraId="635A0B1E" w14:textId="4C2BE6C8" w:rsidR="00341952" w:rsidRPr="005D4169" w:rsidRDefault="00341952" w:rsidP="00A45D56">
      <w:pPr>
        <w:pStyle w:val="ListParagraph"/>
        <w:spacing w:after="160" w:line="278" w:lineRule="auto"/>
        <w:ind w:left="1440"/>
        <w:contextualSpacing w:val="0"/>
        <w:rPr>
          <w:b/>
          <w:bCs/>
        </w:rPr>
      </w:pPr>
      <w:r w:rsidRPr="005D4169">
        <w:rPr>
          <w:b/>
          <w:bCs/>
        </w:rPr>
        <w:t xml:space="preserve">The innovation of linking MassHealth rate enhancements to accreditation is highlighted because it is suggested to be the best governance technique </w:t>
      </w:r>
      <w:r w:rsidR="00A45D56">
        <w:rPr>
          <w:b/>
          <w:bCs/>
        </w:rPr>
        <w:t>for</w:t>
      </w:r>
      <w:r w:rsidR="00601A4D">
        <w:rPr>
          <w:b/>
          <w:bCs/>
        </w:rPr>
        <w:t xml:space="preserve"> promot</w:t>
      </w:r>
      <w:r w:rsidR="00A45D56">
        <w:rPr>
          <w:b/>
          <w:bCs/>
        </w:rPr>
        <w:t>ing</w:t>
      </w:r>
      <w:r w:rsidR="0033590F">
        <w:rPr>
          <w:b/>
          <w:bCs/>
        </w:rPr>
        <w:t xml:space="preserve"> a cultural</w:t>
      </w:r>
      <w:r w:rsidR="00601A4D">
        <w:rPr>
          <w:b/>
          <w:bCs/>
        </w:rPr>
        <w:t xml:space="preserve"> </w:t>
      </w:r>
      <w:r w:rsidR="0067006E">
        <w:rPr>
          <w:b/>
          <w:bCs/>
        </w:rPr>
        <w:t xml:space="preserve">commitment to leading-edge </w:t>
      </w:r>
      <w:r w:rsidR="00E929D8">
        <w:rPr>
          <w:b/>
          <w:bCs/>
        </w:rPr>
        <w:t>service</w:t>
      </w:r>
      <w:r w:rsidR="00256027">
        <w:rPr>
          <w:b/>
          <w:bCs/>
        </w:rPr>
        <w:t>,</w:t>
      </w:r>
      <w:r w:rsidR="00E929D8">
        <w:rPr>
          <w:b/>
          <w:bCs/>
        </w:rPr>
        <w:t xml:space="preserve"> safety, and </w:t>
      </w:r>
      <w:r w:rsidR="0067006E">
        <w:rPr>
          <w:b/>
          <w:bCs/>
        </w:rPr>
        <w:t>quality standards</w:t>
      </w:r>
      <w:r w:rsidR="00250E80">
        <w:rPr>
          <w:b/>
          <w:bCs/>
        </w:rPr>
        <w:t xml:space="preserve">; to a degree that likely exceeds the minimum requirement </w:t>
      </w:r>
      <w:r w:rsidR="00141D3D">
        <w:rPr>
          <w:b/>
          <w:bCs/>
        </w:rPr>
        <w:t>set by state regulations.</w:t>
      </w:r>
      <w:r w:rsidR="00256027">
        <w:rPr>
          <w:b/>
          <w:bCs/>
        </w:rPr>
        <w:t xml:space="preserve"> While the </w:t>
      </w:r>
      <w:r w:rsidR="0066496A">
        <w:rPr>
          <w:b/>
          <w:bCs/>
        </w:rPr>
        <w:t xml:space="preserve">accreditation requirement will only be for ALRs that endeavor to serve MassHealth </w:t>
      </w:r>
      <w:r w:rsidR="00DA3E12">
        <w:rPr>
          <w:b/>
          <w:bCs/>
        </w:rPr>
        <w:t>Residents, the presence of adopting ALRs will place pressure on</w:t>
      </w:r>
      <w:r w:rsidR="002077CB">
        <w:rPr>
          <w:b/>
          <w:bCs/>
        </w:rPr>
        <w:t xml:space="preserve"> all</w:t>
      </w:r>
      <w:r w:rsidR="00255774">
        <w:rPr>
          <w:b/>
          <w:bCs/>
        </w:rPr>
        <w:t xml:space="preserve"> other</w:t>
      </w:r>
      <w:r w:rsidR="002077CB">
        <w:rPr>
          <w:b/>
          <w:bCs/>
        </w:rPr>
        <w:t xml:space="preserve"> ALRs to seek accreditation.</w:t>
      </w:r>
      <w:r w:rsidR="009A47D5">
        <w:rPr>
          <w:b/>
          <w:bCs/>
        </w:rPr>
        <w:t xml:space="preserve"> This approach will </w:t>
      </w:r>
      <w:r w:rsidRPr="005D4169">
        <w:rPr>
          <w:b/>
          <w:bCs/>
        </w:rPr>
        <w:t xml:space="preserve">expedite improvement in the routine operating condition of current </w:t>
      </w:r>
      <w:proofErr w:type="gramStart"/>
      <w:r w:rsidRPr="005D4169">
        <w:rPr>
          <w:b/>
          <w:bCs/>
        </w:rPr>
        <w:t>low-performing</w:t>
      </w:r>
      <w:proofErr w:type="gramEnd"/>
      <w:r w:rsidRPr="005D4169">
        <w:rPr>
          <w:b/>
          <w:bCs/>
        </w:rPr>
        <w:t>/high-risk ALRs</w:t>
      </w:r>
      <w:r w:rsidR="003D43F9">
        <w:rPr>
          <w:b/>
          <w:bCs/>
        </w:rPr>
        <w:t>,</w:t>
      </w:r>
      <w:r w:rsidRPr="005D4169">
        <w:rPr>
          <w:b/>
          <w:bCs/>
        </w:rPr>
        <w:t xml:space="preserve"> far more so than expecting </w:t>
      </w:r>
      <w:r w:rsidR="00E73A87">
        <w:rPr>
          <w:b/>
          <w:bCs/>
        </w:rPr>
        <w:t xml:space="preserve">the </w:t>
      </w:r>
      <w:r w:rsidRPr="005D4169">
        <w:rPr>
          <w:b/>
          <w:bCs/>
        </w:rPr>
        <w:t xml:space="preserve">ALR certification review to serve as change agent. </w:t>
      </w:r>
    </w:p>
    <w:p w14:paraId="106962FB" w14:textId="37B51830" w:rsidR="00341952" w:rsidRDefault="003D43F9" w:rsidP="00341952">
      <w:pPr>
        <w:pStyle w:val="ListParagraph"/>
        <w:numPr>
          <w:ilvl w:val="0"/>
          <w:numId w:val="2"/>
        </w:numPr>
        <w:spacing w:after="160" w:line="278" w:lineRule="auto"/>
        <w:contextualSpacing w:val="0"/>
      </w:pPr>
      <w:r>
        <w:rPr>
          <w:b/>
          <w:bCs/>
        </w:rPr>
        <w:t>I</w:t>
      </w:r>
      <w:r w:rsidR="00341952" w:rsidRPr="00F542F7">
        <w:rPr>
          <w:b/>
          <w:bCs/>
        </w:rPr>
        <w:t>ncrease the level of oversight on the ALR Certification Unit of the Executive Office of Aging and Independence; the Long-Term Care Ombudsman of the Executive Office of Health and Human Services; and MassHealth LTSS Provider Network Management.</w:t>
      </w:r>
      <w:r w:rsidR="00014E26" w:rsidRPr="00014E26">
        <w:t xml:space="preserve"> </w:t>
      </w:r>
      <w:r w:rsidR="00014E26">
        <w:t xml:space="preserve">In the wake of a tragedy like the </w:t>
      </w:r>
      <w:r w:rsidR="00014E26">
        <w:lastRenderedPageBreak/>
        <w:t>Gabriel House fire, it is imperative to evaluate the involved government institutions.</w:t>
      </w:r>
      <w:r w:rsidR="009A47D5">
        <w:t xml:space="preserve"> This recommendation is not </w:t>
      </w:r>
      <w:r w:rsidR="00274C1B">
        <w:t xml:space="preserve">offered with any judgement on </w:t>
      </w:r>
      <w:r w:rsidR="00AA4B58">
        <w:t xml:space="preserve">the related </w:t>
      </w:r>
      <w:r w:rsidR="00A03943">
        <w:t xml:space="preserve">state government </w:t>
      </w:r>
      <w:r w:rsidR="007D5C58">
        <w:t>units but</w:t>
      </w:r>
      <w:r w:rsidR="00894C11">
        <w:t xml:space="preserve"> just noting that a review is</w:t>
      </w:r>
      <w:r w:rsidR="00A03943">
        <w:t xml:space="preserve"> appropriate,</w:t>
      </w:r>
      <w:r w:rsidR="00894C11">
        <w:t xml:space="preserve"> necessary</w:t>
      </w:r>
      <w:r w:rsidR="00A03943">
        <w:t>, and overdue</w:t>
      </w:r>
      <w:r w:rsidR="00894C11">
        <w:t>.</w:t>
      </w:r>
      <w:r w:rsidR="00B72574">
        <w:t xml:space="preserve"> </w:t>
      </w:r>
      <w:r w:rsidR="00341952">
        <w:t>In</w:t>
      </w:r>
      <w:r w:rsidR="00B72574">
        <w:t xml:space="preserve"> </w:t>
      </w:r>
      <w:r w:rsidR="00341952">
        <w:t>consideration of the number of contacts state government had</w:t>
      </w:r>
      <w:r w:rsidR="00341952">
        <w:rPr>
          <w:rStyle w:val="FootnoteReference"/>
        </w:rPr>
        <w:footnoteReference w:id="1"/>
      </w:r>
      <w:r w:rsidR="00341952">
        <w:t xml:space="preserve"> with Gabriel House that appeared to have raised concerns without generating escalation to executive leadership, the initiative mandates a</w:t>
      </w:r>
      <w:r w:rsidR="00994097">
        <w:t xml:space="preserve"> routine</w:t>
      </w:r>
      <w:r w:rsidR="00341952">
        <w:t xml:space="preserve"> examination schedule of related government oversight by the State Auditor’s Office.</w:t>
      </w:r>
    </w:p>
    <w:p w14:paraId="27505930" w14:textId="315DDF6B" w:rsidR="00765E32" w:rsidRDefault="006551C8" w:rsidP="00E62F2A">
      <w:pPr>
        <w:pStyle w:val="ListParagraph"/>
        <w:numPr>
          <w:ilvl w:val="0"/>
          <w:numId w:val="2"/>
        </w:numPr>
        <w:spacing w:after="160" w:line="278" w:lineRule="auto"/>
        <w:contextualSpacing w:val="0"/>
      </w:pPr>
      <w:r>
        <w:rPr>
          <w:b/>
          <w:bCs/>
        </w:rPr>
        <w:t>R</w:t>
      </w:r>
      <w:r w:rsidR="00341952" w:rsidRPr="00CA2384">
        <w:rPr>
          <w:b/>
          <w:bCs/>
        </w:rPr>
        <w:t>evise minimum staffing level requirements with reliance on a</w:t>
      </w:r>
      <w:r w:rsidR="008D2EC9">
        <w:rPr>
          <w:b/>
          <w:bCs/>
        </w:rPr>
        <w:t xml:space="preserve"> newly developed</w:t>
      </w:r>
      <w:r w:rsidR="00341952" w:rsidRPr="00CA2384">
        <w:rPr>
          <w:b/>
          <w:bCs/>
        </w:rPr>
        <w:t xml:space="preserve"> “Minimum Staffing Requirement Index”.</w:t>
      </w:r>
      <w:r w:rsidR="008D2EC9">
        <w:rPr>
          <w:b/>
          <w:bCs/>
        </w:rPr>
        <w:t xml:space="preserve"> Define and mandate a continuing role for</w:t>
      </w:r>
      <w:r w:rsidR="003D1CA9">
        <w:rPr>
          <w:b/>
          <w:bCs/>
        </w:rPr>
        <w:t xml:space="preserve"> a social worker</w:t>
      </w:r>
      <w:r w:rsidR="006424D6">
        <w:rPr>
          <w:b/>
          <w:bCs/>
        </w:rPr>
        <w:t xml:space="preserve"> who is licensed in Massachusetts</w:t>
      </w:r>
      <w:r w:rsidR="008D2EC9">
        <w:rPr>
          <w:b/>
          <w:bCs/>
        </w:rPr>
        <w:t xml:space="preserve"> </w:t>
      </w:r>
      <w:r w:rsidR="00D34B43">
        <w:rPr>
          <w:b/>
          <w:bCs/>
        </w:rPr>
        <w:t>within the Assisted Living setting.</w:t>
      </w:r>
      <w:r w:rsidR="00341952">
        <w:t xml:space="preserve"> Such an index enables ALR-specific minimum staffing requirements based on the size of the ALR and the relative care complexity of its Residents. Furthermore, it requires AGE to establish a </w:t>
      </w:r>
      <w:r w:rsidR="006A3008">
        <w:t xml:space="preserve">defined </w:t>
      </w:r>
      <w:r w:rsidR="00341952">
        <w:t xml:space="preserve">social worker role within ALR service operations comparable to how a nursing role is currently prescribed for assessment, service plan development, and ongoing resident interaction. </w:t>
      </w:r>
    </w:p>
    <w:p w14:paraId="1D4E4FD0" w14:textId="12D7A8A7" w:rsidR="00171151" w:rsidRDefault="00A0675F" w:rsidP="00CA2384">
      <w:pPr>
        <w:spacing w:after="160" w:line="278" w:lineRule="auto"/>
        <w:jc w:val="center"/>
      </w:pPr>
      <w:r w:rsidRPr="00A0675F">
        <w:rPr>
          <w:i/>
          <w:iCs/>
          <w:sz w:val="28"/>
          <w:szCs w:val="28"/>
        </w:rPr>
        <w:t>-End of Exhibit #1-</w:t>
      </w:r>
      <w:r w:rsidR="00171151">
        <w:br w:type="page"/>
      </w:r>
    </w:p>
    <w:p w14:paraId="327D8A48" w14:textId="77777777" w:rsidR="00354AF7" w:rsidRDefault="00354AF7" w:rsidP="00354AF7">
      <w:pPr>
        <w:pStyle w:val="ListParagraph"/>
        <w:spacing w:after="0" w:line="240" w:lineRule="auto"/>
        <w:contextualSpacing w:val="0"/>
        <w:jc w:val="center"/>
        <w:rPr>
          <w:b/>
          <w:bCs/>
          <w:sz w:val="24"/>
          <w:szCs w:val="24"/>
          <w:u w:val="single"/>
        </w:rPr>
      </w:pPr>
    </w:p>
    <w:p w14:paraId="152EBE35" w14:textId="57717D0A" w:rsidR="00354AF7" w:rsidRPr="00065400" w:rsidRDefault="00354AF7" w:rsidP="00354AF7">
      <w:pPr>
        <w:pStyle w:val="ListParagraph"/>
        <w:spacing w:after="0" w:line="240" w:lineRule="auto"/>
        <w:contextualSpacing w:val="0"/>
        <w:jc w:val="center"/>
        <w:rPr>
          <w:b/>
          <w:bCs/>
          <w:sz w:val="44"/>
          <w:szCs w:val="44"/>
          <w:u w:val="single"/>
        </w:rPr>
      </w:pPr>
      <w:r w:rsidRPr="00065400">
        <w:rPr>
          <w:b/>
          <w:bCs/>
          <w:sz w:val="44"/>
          <w:szCs w:val="44"/>
          <w:u w:val="single"/>
        </w:rPr>
        <w:t xml:space="preserve">Section </w:t>
      </w:r>
      <w:r w:rsidR="005C2E9D" w:rsidRPr="00065400">
        <w:rPr>
          <w:b/>
          <w:bCs/>
          <w:sz w:val="44"/>
          <w:szCs w:val="44"/>
          <w:u w:val="single"/>
        </w:rPr>
        <w:t>2</w:t>
      </w:r>
    </w:p>
    <w:p w14:paraId="2D0535EC" w14:textId="77777777" w:rsidR="00065400" w:rsidRPr="003A3F24" w:rsidRDefault="00065400" w:rsidP="00354AF7">
      <w:pPr>
        <w:pStyle w:val="ListParagraph"/>
        <w:spacing w:after="0" w:line="240" w:lineRule="auto"/>
        <w:contextualSpacing w:val="0"/>
        <w:jc w:val="center"/>
        <w:rPr>
          <w:b/>
          <w:bCs/>
          <w:sz w:val="24"/>
          <w:szCs w:val="24"/>
          <w:u w:val="single"/>
        </w:rPr>
      </w:pPr>
    </w:p>
    <w:p w14:paraId="47763088" w14:textId="77777777" w:rsidR="005C2E9D" w:rsidRDefault="005C2E9D" w:rsidP="00354AF7">
      <w:pPr>
        <w:pStyle w:val="ListParagraph"/>
        <w:spacing w:after="0" w:line="240" w:lineRule="auto"/>
        <w:contextualSpacing w:val="0"/>
        <w:jc w:val="center"/>
        <w:rPr>
          <w:b/>
          <w:bCs/>
          <w:sz w:val="24"/>
          <w:szCs w:val="24"/>
        </w:rPr>
      </w:pPr>
    </w:p>
    <w:p w14:paraId="3D43A6C2" w14:textId="393B7445" w:rsidR="00354AF7" w:rsidRPr="00065400" w:rsidRDefault="006F2B30" w:rsidP="00354AF7">
      <w:pPr>
        <w:pStyle w:val="ListParagraph"/>
        <w:spacing w:after="0" w:line="240" w:lineRule="auto"/>
        <w:contextualSpacing w:val="0"/>
        <w:jc w:val="center"/>
        <w:rPr>
          <w:b/>
          <w:bCs/>
          <w:sz w:val="44"/>
          <w:szCs w:val="44"/>
        </w:rPr>
      </w:pPr>
      <w:r w:rsidRPr="00065400">
        <w:rPr>
          <w:b/>
          <w:bCs/>
          <w:sz w:val="44"/>
          <w:szCs w:val="44"/>
        </w:rPr>
        <w:t>Policy Recommendation Proposal Statements</w:t>
      </w:r>
      <w:r w:rsidR="00244E70" w:rsidRPr="00065400">
        <w:rPr>
          <w:b/>
          <w:bCs/>
          <w:sz w:val="44"/>
          <w:szCs w:val="44"/>
        </w:rPr>
        <w:t xml:space="preserve"> &amp; </w:t>
      </w:r>
    </w:p>
    <w:p w14:paraId="453BEC60" w14:textId="5FD081C2" w:rsidR="00244E70" w:rsidRPr="00065400" w:rsidRDefault="00244E70" w:rsidP="00354AF7">
      <w:pPr>
        <w:pStyle w:val="ListParagraph"/>
        <w:spacing w:after="0" w:line="240" w:lineRule="auto"/>
        <w:contextualSpacing w:val="0"/>
        <w:jc w:val="center"/>
        <w:rPr>
          <w:b/>
          <w:bCs/>
          <w:sz w:val="44"/>
          <w:szCs w:val="44"/>
        </w:rPr>
      </w:pPr>
      <w:r w:rsidRPr="00065400">
        <w:rPr>
          <w:b/>
          <w:bCs/>
          <w:sz w:val="44"/>
          <w:szCs w:val="44"/>
        </w:rPr>
        <w:t>Draft Implementation Language</w:t>
      </w:r>
    </w:p>
    <w:p w14:paraId="539DC039" w14:textId="77777777" w:rsidR="00244E70" w:rsidRDefault="00244E70" w:rsidP="00354AF7">
      <w:pPr>
        <w:pStyle w:val="ListParagraph"/>
        <w:spacing w:after="0" w:line="240" w:lineRule="auto"/>
        <w:contextualSpacing w:val="0"/>
        <w:jc w:val="center"/>
        <w:rPr>
          <w:b/>
          <w:bCs/>
          <w:sz w:val="24"/>
          <w:szCs w:val="24"/>
        </w:rPr>
      </w:pPr>
    </w:p>
    <w:p w14:paraId="7C945DF1" w14:textId="77777777" w:rsidR="00244E70" w:rsidRPr="003A3F24" w:rsidRDefault="00244E70" w:rsidP="00354AF7">
      <w:pPr>
        <w:pStyle w:val="ListParagraph"/>
        <w:spacing w:after="0" w:line="240" w:lineRule="auto"/>
        <w:contextualSpacing w:val="0"/>
        <w:jc w:val="center"/>
        <w:rPr>
          <w:b/>
          <w:bCs/>
          <w:sz w:val="24"/>
          <w:szCs w:val="24"/>
        </w:rPr>
      </w:pPr>
    </w:p>
    <w:p w14:paraId="0CF3B771" w14:textId="77777777" w:rsidR="006C2954" w:rsidRDefault="006C2954" w:rsidP="00354AF7">
      <w:pPr>
        <w:pStyle w:val="ListParagraph"/>
        <w:spacing w:after="0" w:line="240" w:lineRule="auto"/>
        <w:contextualSpacing w:val="0"/>
        <w:jc w:val="center"/>
        <w:rPr>
          <w:sz w:val="24"/>
          <w:szCs w:val="24"/>
        </w:rPr>
      </w:pPr>
    </w:p>
    <w:p w14:paraId="7FE798DF" w14:textId="01BAF985" w:rsidR="00D559E9" w:rsidRDefault="00D559E9">
      <w:pPr>
        <w:rPr>
          <w:sz w:val="24"/>
          <w:szCs w:val="24"/>
        </w:rPr>
      </w:pPr>
      <w:r>
        <w:rPr>
          <w:sz w:val="24"/>
          <w:szCs w:val="24"/>
        </w:rPr>
        <w:br w:type="page"/>
      </w:r>
    </w:p>
    <w:p w14:paraId="7D030914" w14:textId="32661B36" w:rsidR="006C2954" w:rsidRPr="0006134E" w:rsidRDefault="00244E70" w:rsidP="00354AF7">
      <w:pPr>
        <w:pStyle w:val="ListParagraph"/>
        <w:spacing w:after="0" w:line="240" w:lineRule="auto"/>
        <w:contextualSpacing w:val="0"/>
        <w:jc w:val="center"/>
        <w:rPr>
          <w:i/>
          <w:iCs/>
          <w:sz w:val="24"/>
          <w:szCs w:val="24"/>
        </w:rPr>
      </w:pPr>
      <w:r w:rsidRPr="0006134E">
        <w:rPr>
          <w:i/>
          <w:iCs/>
          <w:sz w:val="24"/>
          <w:szCs w:val="24"/>
        </w:rPr>
        <w:lastRenderedPageBreak/>
        <w:t>Exhibit #2</w:t>
      </w:r>
      <w:r w:rsidR="00C33D17" w:rsidRPr="0006134E">
        <w:rPr>
          <w:i/>
          <w:iCs/>
          <w:sz w:val="24"/>
          <w:szCs w:val="24"/>
        </w:rPr>
        <w:t>.0</w:t>
      </w:r>
      <w:r w:rsidR="003E5D5B" w:rsidRPr="0006134E">
        <w:rPr>
          <w:i/>
          <w:iCs/>
          <w:sz w:val="24"/>
          <w:szCs w:val="24"/>
        </w:rPr>
        <w:t xml:space="preserve"> </w:t>
      </w:r>
    </w:p>
    <w:p w14:paraId="55181056" w14:textId="77777777" w:rsidR="0006134E" w:rsidRDefault="0006134E" w:rsidP="00354AF7">
      <w:pPr>
        <w:pStyle w:val="ListParagraph"/>
        <w:spacing w:after="0" w:line="240" w:lineRule="auto"/>
        <w:contextualSpacing w:val="0"/>
        <w:jc w:val="center"/>
        <w:rPr>
          <w:sz w:val="24"/>
          <w:szCs w:val="24"/>
        </w:rPr>
      </w:pPr>
    </w:p>
    <w:p w14:paraId="0C2662AE" w14:textId="7DBA285F" w:rsidR="00B1180A" w:rsidRPr="000B3A15" w:rsidRDefault="00B1180A" w:rsidP="00354AF7">
      <w:pPr>
        <w:pStyle w:val="ListParagraph"/>
        <w:spacing w:after="0" w:line="240" w:lineRule="auto"/>
        <w:contextualSpacing w:val="0"/>
        <w:jc w:val="center"/>
        <w:rPr>
          <w:b/>
          <w:bCs/>
          <w:sz w:val="24"/>
          <w:szCs w:val="24"/>
        </w:rPr>
      </w:pPr>
      <w:r w:rsidRPr="000B3A15">
        <w:rPr>
          <w:b/>
          <w:bCs/>
          <w:sz w:val="24"/>
          <w:szCs w:val="24"/>
        </w:rPr>
        <w:t xml:space="preserve">Policy </w:t>
      </w:r>
      <w:r w:rsidR="004E52E8" w:rsidRPr="000B3A15">
        <w:rPr>
          <w:b/>
          <w:bCs/>
          <w:sz w:val="24"/>
          <w:szCs w:val="24"/>
        </w:rPr>
        <w:t xml:space="preserve">Proposal Statement for </w:t>
      </w:r>
      <w:r w:rsidR="000B3A15" w:rsidRPr="000B3A15">
        <w:rPr>
          <w:b/>
          <w:bCs/>
          <w:sz w:val="24"/>
          <w:szCs w:val="24"/>
        </w:rPr>
        <w:t>Risk of Harm Review for All Residential Care Settings</w:t>
      </w:r>
    </w:p>
    <w:p w14:paraId="46D1A5ED" w14:textId="77777777" w:rsidR="004D14E5" w:rsidRDefault="004D14E5" w:rsidP="004D14E5">
      <w:pPr>
        <w:spacing w:after="160" w:line="278" w:lineRule="auto"/>
      </w:pPr>
    </w:p>
    <w:tbl>
      <w:tblPr>
        <w:tblStyle w:val="TableGrid"/>
        <w:tblW w:w="0" w:type="auto"/>
        <w:tblInd w:w="-5" w:type="dxa"/>
        <w:tblLook w:val="04A0" w:firstRow="1" w:lastRow="0" w:firstColumn="1" w:lastColumn="0" w:noHBand="0" w:noVBand="1"/>
      </w:tblPr>
      <w:tblGrid>
        <w:gridCol w:w="2250"/>
        <w:gridCol w:w="270"/>
        <w:gridCol w:w="7645"/>
      </w:tblGrid>
      <w:tr w:rsidR="00480F80" w14:paraId="20C18365" w14:textId="77777777" w:rsidTr="00480F80">
        <w:tc>
          <w:tcPr>
            <w:tcW w:w="2250" w:type="dxa"/>
          </w:tcPr>
          <w:p w14:paraId="365D6170" w14:textId="1496A380" w:rsidR="00480F80" w:rsidRPr="00326E1D" w:rsidRDefault="008B505C" w:rsidP="00A80EDD">
            <w:pPr>
              <w:rPr>
                <w:b/>
                <w:bCs/>
              </w:rPr>
            </w:pPr>
            <w:r>
              <w:rPr>
                <w:b/>
                <w:bCs/>
              </w:rPr>
              <w:t>Recommendation</w:t>
            </w:r>
            <w:r w:rsidR="00480F80">
              <w:rPr>
                <w:b/>
                <w:bCs/>
              </w:rPr>
              <w:t xml:space="preserve"> 1</w:t>
            </w:r>
            <w:r w:rsidR="00B45876">
              <w:rPr>
                <w:b/>
                <w:bCs/>
              </w:rPr>
              <w:t>.0</w:t>
            </w:r>
          </w:p>
        </w:tc>
        <w:tc>
          <w:tcPr>
            <w:tcW w:w="270" w:type="dxa"/>
          </w:tcPr>
          <w:p w14:paraId="376FD018" w14:textId="77777777" w:rsidR="00480F80" w:rsidRDefault="00480F80" w:rsidP="00A80EDD"/>
        </w:tc>
        <w:tc>
          <w:tcPr>
            <w:tcW w:w="7645" w:type="dxa"/>
          </w:tcPr>
          <w:p w14:paraId="3BD3BD8C" w14:textId="77777777" w:rsidR="00B80C92" w:rsidRDefault="00B45876" w:rsidP="00A80EDD">
            <w:pPr>
              <w:rPr>
                <w:b/>
                <w:bCs/>
              </w:rPr>
            </w:pPr>
            <w:r w:rsidRPr="0072365B">
              <w:rPr>
                <w:b/>
                <w:bCs/>
              </w:rPr>
              <w:t>Establish a special law that initiates a governance review on the risk of harm resulting from fire in residential care settings, including Assisted Living Residences (“ALRs”).</w:t>
            </w:r>
            <w:r w:rsidR="000A6DE3">
              <w:rPr>
                <w:b/>
                <w:bCs/>
              </w:rPr>
              <w:t xml:space="preserve"> </w:t>
            </w:r>
          </w:p>
          <w:p w14:paraId="4739D5A9" w14:textId="77777777" w:rsidR="00B80C92" w:rsidRDefault="00B80C92" w:rsidP="00A80EDD">
            <w:pPr>
              <w:rPr>
                <w:b/>
                <w:bCs/>
              </w:rPr>
            </w:pPr>
          </w:p>
          <w:p w14:paraId="578EEA5B" w14:textId="4D9CF926" w:rsidR="00480F80" w:rsidRDefault="000A6DE3" w:rsidP="00A80EDD">
            <w:r w:rsidRPr="001E0152">
              <w:rPr>
                <w:b/>
                <w:bCs/>
              </w:rPr>
              <w:t>Furthermore</w:t>
            </w:r>
            <w:r>
              <w:rPr>
                <w:b/>
                <w:bCs/>
              </w:rPr>
              <w:t xml:space="preserve">, to scope </w:t>
            </w:r>
            <w:r w:rsidR="00130C76">
              <w:rPr>
                <w:b/>
                <w:bCs/>
              </w:rPr>
              <w:t xml:space="preserve">an innovation on </w:t>
            </w:r>
            <w:r w:rsidR="00006B81">
              <w:rPr>
                <w:b/>
                <w:bCs/>
              </w:rPr>
              <w:t>communication betwee</w:t>
            </w:r>
            <w:r w:rsidR="00B233D1">
              <w:rPr>
                <w:b/>
                <w:bCs/>
              </w:rPr>
              <w:t xml:space="preserve">n residential care settings and </w:t>
            </w:r>
            <w:r w:rsidR="00EE4B4C">
              <w:rPr>
                <w:b/>
                <w:bCs/>
              </w:rPr>
              <w:t>F</w:t>
            </w:r>
            <w:r w:rsidR="00B233D1">
              <w:rPr>
                <w:b/>
                <w:bCs/>
              </w:rPr>
              <w:t>irst</w:t>
            </w:r>
            <w:r w:rsidR="00EE4B4C">
              <w:rPr>
                <w:b/>
                <w:bCs/>
              </w:rPr>
              <w:t xml:space="preserve"> R</w:t>
            </w:r>
            <w:r w:rsidR="00B233D1">
              <w:rPr>
                <w:b/>
                <w:bCs/>
              </w:rPr>
              <w:t xml:space="preserve">esponders by way of a </w:t>
            </w:r>
            <w:r w:rsidR="00753184">
              <w:rPr>
                <w:b/>
                <w:bCs/>
              </w:rPr>
              <w:t xml:space="preserve">standard data exchange for </w:t>
            </w:r>
            <w:r w:rsidR="00B80C92" w:rsidRPr="00B80C92">
              <w:rPr>
                <w:b/>
                <w:bCs/>
              </w:rPr>
              <w:t>Residents for whom their active service plan indicates special considerations in an emergency situation</w:t>
            </w:r>
            <w:r w:rsidR="00B80C92">
              <w:rPr>
                <w:b/>
                <w:bCs/>
              </w:rPr>
              <w:t>.</w:t>
            </w:r>
          </w:p>
        </w:tc>
      </w:tr>
      <w:tr w:rsidR="00480F80" w14:paraId="25CDEC9D" w14:textId="77777777" w:rsidTr="00480F80">
        <w:trPr>
          <w:trHeight w:val="431"/>
        </w:trPr>
        <w:tc>
          <w:tcPr>
            <w:tcW w:w="2250" w:type="dxa"/>
          </w:tcPr>
          <w:p w14:paraId="3ADA8778" w14:textId="77777777" w:rsidR="00480F80" w:rsidRPr="00326E1D" w:rsidRDefault="00480F80" w:rsidP="00A80EDD">
            <w:pPr>
              <w:rPr>
                <w:b/>
                <w:bCs/>
              </w:rPr>
            </w:pPr>
            <w:r w:rsidRPr="00326E1D">
              <w:rPr>
                <w:b/>
                <w:bCs/>
              </w:rPr>
              <w:t>Domain:</w:t>
            </w:r>
          </w:p>
        </w:tc>
        <w:tc>
          <w:tcPr>
            <w:tcW w:w="270" w:type="dxa"/>
          </w:tcPr>
          <w:p w14:paraId="6C8BCEE6" w14:textId="77777777" w:rsidR="00480F80" w:rsidRDefault="00480F80" w:rsidP="00A80EDD"/>
        </w:tc>
        <w:tc>
          <w:tcPr>
            <w:tcW w:w="7645" w:type="dxa"/>
          </w:tcPr>
          <w:p w14:paraId="4A8D3242" w14:textId="77777777" w:rsidR="00480F80" w:rsidRDefault="00480F80" w:rsidP="00A80EDD">
            <w:r>
              <w:t>Emergency Preparedness &amp; Fire Prevention</w:t>
            </w:r>
          </w:p>
        </w:tc>
      </w:tr>
      <w:tr w:rsidR="00480F80" w14:paraId="78897EF0" w14:textId="77777777" w:rsidTr="00480F80">
        <w:trPr>
          <w:trHeight w:val="440"/>
        </w:trPr>
        <w:tc>
          <w:tcPr>
            <w:tcW w:w="2250" w:type="dxa"/>
          </w:tcPr>
          <w:p w14:paraId="67FB0652" w14:textId="77777777" w:rsidR="00480F80" w:rsidRPr="00326E1D" w:rsidRDefault="00480F80" w:rsidP="00A80EDD">
            <w:pPr>
              <w:rPr>
                <w:b/>
                <w:bCs/>
              </w:rPr>
            </w:pPr>
            <w:r w:rsidRPr="00326E1D">
              <w:rPr>
                <w:b/>
                <w:bCs/>
              </w:rPr>
              <w:t>Change Type:</w:t>
            </w:r>
          </w:p>
        </w:tc>
        <w:tc>
          <w:tcPr>
            <w:tcW w:w="270" w:type="dxa"/>
          </w:tcPr>
          <w:p w14:paraId="242E55FA" w14:textId="77777777" w:rsidR="00480F80" w:rsidRDefault="00480F80" w:rsidP="00A80EDD"/>
        </w:tc>
        <w:tc>
          <w:tcPr>
            <w:tcW w:w="7645" w:type="dxa"/>
          </w:tcPr>
          <w:p w14:paraId="20A517A9" w14:textId="77777777" w:rsidR="00480F80" w:rsidRDefault="00480F80" w:rsidP="00A80EDD">
            <w:r>
              <w:t>Resolve of 2025</w:t>
            </w:r>
          </w:p>
        </w:tc>
      </w:tr>
      <w:tr w:rsidR="00480F80" w14:paraId="4A912DB5" w14:textId="77777777" w:rsidTr="00480F80">
        <w:trPr>
          <w:trHeight w:val="638"/>
        </w:trPr>
        <w:tc>
          <w:tcPr>
            <w:tcW w:w="2250" w:type="dxa"/>
          </w:tcPr>
          <w:p w14:paraId="4DD7C781" w14:textId="77777777" w:rsidR="00480F80" w:rsidRPr="00326E1D" w:rsidRDefault="00480F80" w:rsidP="00A80EDD">
            <w:pPr>
              <w:rPr>
                <w:b/>
                <w:bCs/>
              </w:rPr>
            </w:pPr>
            <w:r w:rsidRPr="00326E1D">
              <w:rPr>
                <w:b/>
                <w:bCs/>
              </w:rPr>
              <w:t>Problem Statement:</w:t>
            </w:r>
          </w:p>
        </w:tc>
        <w:tc>
          <w:tcPr>
            <w:tcW w:w="270" w:type="dxa"/>
          </w:tcPr>
          <w:p w14:paraId="6A0D85B0" w14:textId="77777777" w:rsidR="00480F80" w:rsidRDefault="00480F80" w:rsidP="00A80EDD"/>
        </w:tc>
        <w:tc>
          <w:tcPr>
            <w:tcW w:w="7645" w:type="dxa"/>
          </w:tcPr>
          <w:p w14:paraId="3553CDC5" w14:textId="77777777" w:rsidR="00221EBA" w:rsidRDefault="00480F80" w:rsidP="00A80EDD">
            <w:r>
              <w:t xml:space="preserve">Initial indications from the Fall River tragedy </w:t>
            </w:r>
            <w:r w:rsidR="00A2142D">
              <w:t>suggest that</w:t>
            </w:r>
            <w:r>
              <w:t xml:space="preserve"> a resident who relied on medical oxygen was smoking within their domicile.</w:t>
            </w:r>
            <w:r w:rsidR="00454E4C">
              <w:t xml:space="preserve"> </w:t>
            </w:r>
          </w:p>
          <w:p w14:paraId="6FCC0CF9" w14:textId="77777777" w:rsidR="00221EBA" w:rsidRDefault="00221EBA" w:rsidP="00A80EDD"/>
          <w:p w14:paraId="795D37CF" w14:textId="22C6895C" w:rsidR="00311BAA" w:rsidRDefault="00AB2F32" w:rsidP="00A80EDD">
            <w:r>
              <w:t xml:space="preserve">While </w:t>
            </w:r>
            <w:r w:rsidR="00221EBA">
              <w:t xml:space="preserve">many </w:t>
            </w:r>
            <w:r>
              <w:t xml:space="preserve">ALR service plans are </w:t>
            </w:r>
            <w:r w:rsidR="00221EBA">
              <w:t>capturing</w:t>
            </w:r>
            <w:r w:rsidR="00C848DE">
              <w:t xml:space="preserve"> valuable resident-specific </w:t>
            </w:r>
            <w:r w:rsidR="00FA0EA2">
              <w:t xml:space="preserve">detail regarding special considerations in an emergency situation, </w:t>
            </w:r>
            <w:r w:rsidR="005731B9">
              <w:t xml:space="preserve">such information is not fully leveraged to help inform </w:t>
            </w:r>
            <w:r w:rsidR="00FB4E51">
              <w:t xml:space="preserve">First Responder </w:t>
            </w:r>
            <w:r w:rsidR="005731B9">
              <w:t>response considerations.</w:t>
            </w:r>
          </w:p>
          <w:p w14:paraId="23CEAB5F" w14:textId="0C38C7FF" w:rsidR="00480F80" w:rsidRDefault="00221EBA" w:rsidP="00A80EDD">
            <w:r>
              <w:t xml:space="preserve"> </w:t>
            </w:r>
          </w:p>
        </w:tc>
      </w:tr>
      <w:tr w:rsidR="00480F80" w14:paraId="1182438A" w14:textId="77777777" w:rsidTr="00480F80">
        <w:trPr>
          <w:trHeight w:val="1583"/>
        </w:trPr>
        <w:tc>
          <w:tcPr>
            <w:tcW w:w="2250" w:type="dxa"/>
          </w:tcPr>
          <w:p w14:paraId="3E935C8F" w14:textId="77777777" w:rsidR="00480F80" w:rsidRPr="00326E1D" w:rsidRDefault="00480F80" w:rsidP="00A80EDD">
            <w:pPr>
              <w:rPr>
                <w:b/>
                <w:bCs/>
              </w:rPr>
            </w:pPr>
            <w:r w:rsidRPr="00326E1D">
              <w:rPr>
                <w:b/>
                <w:bCs/>
              </w:rPr>
              <w:t>Solution Narrative:</w:t>
            </w:r>
          </w:p>
        </w:tc>
        <w:tc>
          <w:tcPr>
            <w:tcW w:w="270" w:type="dxa"/>
          </w:tcPr>
          <w:p w14:paraId="3652B1B1" w14:textId="77777777" w:rsidR="00480F80" w:rsidRDefault="00480F80" w:rsidP="00A80EDD"/>
        </w:tc>
        <w:tc>
          <w:tcPr>
            <w:tcW w:w="7645" w:type="dxa"/>
          </w:tcPr>
          <w:p w14:paraId="180A5938" w14:textId="77777777" w:rsidR="00480F80" w:rsidRDefault="00480F80" w:rsidP="00A80EDD">
            <w:r>
              <w:t>Recognizing the challenge of addressing the risk of residents smoking in residential care settings and ensuring related regulations are taking full advantage of current preventative technologies. The approach mandates the involvement of experts from the WPI Fire Protection Engineering Department</w:t>
            </w:r>
            <w:r w:rsidR="00A2142D">
              <w:t xml:space="preserve">, </w:t>
            </w:r>
            <w:r w:rsidR="00B930BA">
              <w:t>the MIT AgeLab,</w:t>
            </w:r>
            <w:r>
              <w:t xml:space="preserve"> and the UMass-Boston Gerontology Program.</w:t>
            </w:r>
          </w:p>
          <w:p w14:paraId="7F875546" w14:textId="77777777" w:rsidR="00775414" w:rsidRDefault="00775414" w:rsidP="00A80EDD"/>
          <w:p w14:paraId="2C9C5143" w14:textId="5420738B" w:rsidR="00775414" w:rsidRDefault="00775414" w:rsidP="00A80EDD">
            <w:r>
              <w:t xml:space="preserve">Building upon the concepts of the “Silver Alert” program, </w:t>
            </w:r>
            <w:r w:rsidR="0021465E">
              <w:t>to launch a</w:t>
            </w:r>
            <w:r w:rsidR="0020374E">
              <w:t xml:space="preserve"> companion initiative that takes notice that </w:t>
            </w:r>
            <w:r w:rsidR="0072387F">
              <w:t>ALR service plans must identify</w:t>
            </w:r>
            <w:r w:rsidR="008969C8">
              <w:t xml:space="preserve"> individualized considerations in an emergency situation</w:t>
            </w:r>
            <w:r w:rsidR="00B70B1D">
              <w:t>. W</w:t>
            </w:r>
            <w:r w:rsidR="008969C8">
              <w:t xml:space="preserve">ith recognition that the current state of technology </w:t>
            </w:r>
            <w:r w:rsidR="00B34C52">
              <w:t xml:space="preserve">almost certainly </w:t>
            </w:r>
            <w:r w:rsidR="003168E0">
              <w:t xml:space="preserve">lends itself to </w:t>
            </w:r>
            <w:r w:rsidR="00FC156D">
              <w:t>getting the right information into the hands of First Responders as quickly as possible</w:t>
            </w:r>
            <w:r w:rsidR="00B34C52">
              <w:t xml:space="preserve">, </w:t>
            </w:r>
            <w:r w:rsidR="00131F58">
              <w:t>to charge experts to develop a standard data exchange</w:t>
            </w:r>
            <w:r w:rsidR="006E05F0">
              <w:t xml:space="preserve"> protocol</w:t>
            </w:r>
            <w:r w:rsidR="00131F58">
              <w:t xml:space="preserve"> </w:t>
            </w:r>
            <w:r w:rsidR="00745BEE">
              <w:t>for</w:t>
            </w:r>
            <w:r w:rsidR="00131F58">
              <w:t xml:space="preserve"> transmit</w:t>
            </w:r>
            <w:r w:rsidR="00745BEE">
              <w:t>ting</w:t>
            </w:r>
            <w:r w:rsidR="00131F58">
              <w:t xml:space="preserve"> </w:t>
            </w:r>
            <w:r w:rsidR="00745BEE">
              <w:t>relevant</w:t>
            </w:r>
            <w:r w:rsidR="00F707C6">
              <w:t xml:space="preserve"> information to first-responders</w:t>
            </w:r>
            <w:r w:rsidR="00392059">
              <w:t>.</w:t>
            </w:r>
          </w:p>
          <w:p w14:paraId="1D77A1AE" w14:textId="3CE97F3D" w:rsidR="006E05F0" w:rsidRDefault="006E05F0" w:rsidP="00A80EDD"/>
        </w:tc>
      </w:tr>
      <w:tr w:rsidR="00480F80" w14:paraId="15A7B2A6" w14:textId="77777777" w:rsidTr="00480F80">
        <w:trPr>
          <w:trHeight w:val="728"/>
        </w:trPr>
        <w:tc>
          <w:tcPr>
            <w:tcW w:w="2250" w:type="dxa"/>
          </w:tcPr>
          <w:p w14:paraId="4D65C8DE" w14:textId="77777777" w:rsidR="00480F80" w:rsidRPr="00326E1D" w:rsidRDefault="00480F80" w:rsidP="00A80EDD">
            <w:pPr>
              <w:rPr>
                <w:b/>
                <w:bCs/>
              </w:rPr>
            </w:pPr>
            <w:r w:rsidRPr="00326E1D">
              <w:rPr>
                <w:b/>
                <w:bCs/>
              </w:rPr>
              <w:t>Insertion Description:</w:t>
            </w:r>
          </w:p>
        </w:tc>
        <w:tc>
          <w:tcPr>
            <w:tcW w:w="270" w:type="dxa"/>
          </w:tcPr>
          <w:p w14:paraId="54D7CE47" w14:textId="77777777" w:rsidR="00480F80" w:rsidRDefault="00480F80" w:rsidP="00A80EDD"/>
        </w:tc>
        <w:tc>
          <w:tcPr>
            <w:tcW w:w="7645" w:type="dxa"/>
          </w:tcPr>
          <w:p w14:paraId="76116DA1" w14:textId="77777777" w:rsidR="00480F80" w:rsidRDefault="00480F80" w:rsidP="00A80EDD">
            <w:r>
              <w:t>Special law introduced as a Resolve of 2025</w:t>
            </w:r>
          </w:p>
        </w:tc>
      </w:tr>
    </w:tbl>
    <w:p w14:paraId="4D1EA294" w14:textId="77777777" w:rsidR="006156EB" w:rsidRDefault="006156EB" w:rsidP="00480F80">
      <w:pPr>
        <w:pStyle w:val="ListParagraph"/>
        <w:spacing w:after="0" w:line="240" w:lineRule="auto"/>
        <w:contextualSpacing w:val="0"/>
        <w:rPr>
          <w:sz w:val="24"/>
          <w:szCs w:val="24"/>
        </w:rPr>
      </w:pPr>
    </w:p>
    <w:p w14:paraId="30259F20" w14:textId="2E565F79" w:rsidR="000B3A15" w:rsidRDefault="000B3A15">
      <w:pPr>
        <w:rPr>
          <w:sz w:val="24"/>
          <w:szCs w:val="24"/>
        </w:rPr>
      </w:pPr>
      <w:r>
        <w:rPr>
          <w:sz w:val="24"/>
          <w:szCs w:val="24"/>
        </w:rPr>
        <w:br w:type="page"/>
      </w:r>
    </w:p>
    <w:p w14:paraId="4F3CD955" w14:textId="4501B775" w:rsidR="000B3A15" w:rsidRPr="0006134E" w:rsidRDefault="000B3A15" w:rsidP="000B3A15">
      <w:pPr>
        <w:pStyle w:val="ListParagraph"/>
        <w:spacing w:after="0" w:line="240" w:lineRule="auto"/>
        <w:contextualSpacing w:val="0"/>
        <w:jc w:val="center"/>
        <w:rPr>
          <w:i/>
          <w:iCs/>
          <w:sz w:val="24"/>
          <w:szCs w:val="24"/>
        </w:rPr>
      </w:pPr>
      <w:r w:rsidRPr="0006134E">
        <w:rPr>
          <w:i/>
          <w:iCs/>
          <w:sz w:val="24"/>
          <w:szCs w:val="24"/>
        </w:rPr>
        <w:lastRenderedPageBreak/>
        <w:t>Exhibit #2.1</w:t>
      </w:r>
    </w:p>
    <w:p w14:paraId="3F30D73F" w14:textId="77777777" w:rsidR="0006134E" w:rsidRDefault="0006134E" w:rsidP="000B3A15">
      <w:pPr>
        <w:pStyle w:val="ListParagraph"/>
        <w:spacing w:after="0" w:line="240" w:lineRule="auto"/>
        <w:contextualSpacing w:val="0"/>
        <w:jc w:val="center"/>
        <w:rPr>
          <w:sz w:val="24"/>
          <w:szCs w:val="24"/>
        </w:rPr>
      </w:pPr>
    </w:p>
    <w:p w14:paraId="1593CA6E" w14:textId="01E8FDBA" w:rsidR="000B3A15" w:rsidRPr="00AE2CD6" w:rsidRDefault="004C3C5A" w:rsidP="000B3A15">
      <w:pPr>
        <w:pStyle w:val="ListParagraph"/>
        <w:spacing w:after="0" w:line="240" w:lineRule="auto"/>
        <w:contextualSpacing w:val="0"/>
        <w:jc w:val="center"/>
        <w:rPr>
          <w:sz w:val="24"/>
          <w:szCs w:val="24"/>
        </w:rPr>
      </w:pPr>
      <w:r w:rsidRPr="002650FB">
        <w:rPr>
          <w:b/>
          <w:bCs/>
          <w:sz w:val="24"/>
          <w:szCs w:val="24"/>
        </w:rPr>
        <w:t xml:space="preserve">Draft Implementation Language </w:t>
      </w:r>
      <w:r w:rsidR="002650FB" w:rsidRPr="002650FB">
        <w:rPr>
          <w:b/>
          <w:bCs/>
          <w:sz w:val="24"/>
          <w:szCs w:val="24"/>
        </w:rPr>
        <w:t>to Risk</w:t>
      </w:r>
      <w:r w:rsidR="002650FB" w:rsidRPr="000B3A15">
        <w:rPr>
          <w:b/>
          <w:bCs/>
          <w:sz w:val="24"/>
          <w:szCs w:val="24"/>
        </w:rPr>
        <w:t xml:space="preserve"> of Harm Review for All Residential Care Settings</w:t>
      </w:r>
      <w:r w:rsidR="002650FB">
        <w:rPr>
          <w:sz w:val="24"/>
          <w:szCs w:val="24"/>
        </w:rPr>
        <w:t xml:space="preserve"> </w:t>
      </w:r>
    </w:p>
    <w:p w14:paraId="42997E6C" w14:textId="77777777" w:rsidR="000B3A15" w:rsidRDefault="000B3A15" w:rsidP="00480F80">
      <w:pPr>
        <w:pStyle w:val="ListParagraph"/>
        <w:spacing w:after="0" w:line="240" w:lineRule="auto"/>
        <w:contextualSpacing w:val="0"/>
        <w:rPr>
          <w:sz w:val="24"/>
          <w:szCs w:val="24"/>
        </w:rPr>
      </w:pPr>
    </w:p>
    <w:tbl>
      <w:tblPr>
        <w:tblStyle w:val="TableGrid"/>
        <w:tblW w:w="0" w:type="auto"/>
        <w:tblInd w:w="-5" w:type="dxa"/>
        <w:tblLook w:val="04A0" w:firstRow="1" w:lastRow="0" w:firstColumn="1" w:lastColumn="0" w:noHBand="0" w:noVBand="1"/>
      </w:tblPr>
      <w:tblGrid>
        <w:gridCol w:w="7650"/>
        <w:gridCol w:w="270"/>
        <w:gridCol w:w="2875"/>
      </w:tblGrid>
      <w:tr w:rsidR="00F16F11" w14:paraId="41E5C9AF" w14:textId="77777777" w:rsidTr="00F16F11">
        <w:tc>
          <w:tcPr>
            <w:tcW w:w="7650" w:type="dxa"/>
          </w:tcPr>
          <w:p w14:paraId="285D344D" w14:textId="303B0FE2" w:rsidR="00F16F11" w:rsidRDefault="00F16F11" w:rsidP="00F16F11">
            <w:pPr>
              <w:pStyle w:val="ListParagraph"/>
              <w:ind w:left="0"/>
              <w:contextualSpacing w:val="0"/>
              <w:rPr>
                <w:sz w:val="24"/>
                <w:szCs w:val="24"/>
              </w:rPr>
            </w:pPr>
            <w:r w:rsidRPr="00E6075B">
              <w:rPr>
                <w:b/>
                <w:bCs/>
              </w:rPr>
              <w:t>Proposed Language</w:t>
            </w:r>
          </w:p>
        </w:tc>
        <w:tc>
          <w:tcPr>
            <w:tcW w:w="270" w:type="dxa"/>
          </w:tcPr>
          <w:p w14:paraId="1AAC409F" w14:textId="77777777" w:rsidR="00F16F11" w:rsidRDefault="00F16F11" w:rsidP="00F16F11">
            <w:pPr>
              <w:pStyle w:val="ListParagraph"/>
              <w:ind w:left="0"/>
              <w:contextualSpacing w:val="0"/>
              <w:rPr>
                <w:sz w:val="24"/>
                <w:szCs w:val="24"/>
              </w:rPr>
            </w:pPr>
          </w:p>
        </w:tc>
        <w:tc>
          <w:tcPr>
            <w:tcW w:w="2875" w:type="dxa"/>
          </w:tcPr>
          <w:p w14:paraId="5D37D4A6" w14:textId="64DD2492" w:rsidR="00F16F11" w:rsidRDefault="00F16F11" w:rsidP="00F16F11">
            <w:pPr>
              <w:pStyle w:val="ListParagraph"/>
              <w:ind w:left="0"/>
              <w:contextualSpacing w:val="0"/>
              <w:rPr>
                <w:sz w:val="24"/>
                <w:szCs w:val="24"/>
              </w:rPr>
            </w:pPr>
            <w:r w:rsidRPr="0087213B">
              <w:rPr>
                <w:b/>
                <w:bCs/>
              </w:rPr>
              <w:t>Comment</w:t>
            </w:r>
          </w:p>
        </w:tc>
      </w:tr>
      <w:tr w:rsidR="00F16F11" w14:paraId="2846FCBB" w14:textId="77777777" w:rsidTr="00F16F11">
        <w:tc>
          <w:tcPr>
            <w:tcW w:w="7650" w:type="dxa"/>
          </w:tcPr>
          <w:p w14:paraId="6002C844" w14:textId="77777777" w:rsidR="00DD09F3" w:rsidRDefault="00DD09F3" w:rsidP="00DD09F3">
            <w:r w:rsidRPr="00846B02">
              <w:t>RESOLVE PROVIDING FOR AN INVESTIGATION AND STUDY BY</w:t>
            </w:r>
            <w:r>
              <w:t xml:space="preserve"> (i)</w:t>
            </w:r>
            <w:r w:rsidRPr="00846B02">
              <w:t xml:space="preserve"> THE</w:t>
            </w:r>
            <w:r>
              <w:t xml:space="preserve"> SECRETARY OF AGING &amp; INDEPENDENCE, (ii) THE</w:t>
            </w:r>
            <w:r w:rsidRPr="00846B02">
              <w:t xml:space="preserve"> COMMISSIONER OF</w:t>
            </w:r>
            <w:r>
              <w:t xml:space="preserve"> FIRE SERVICES, AND (iii) THE UNDERSECRETARY OF THE OFFICE OF CONSUMER AFFAIRS AND BUSINESS REGULATION PERFORMING IN THE CAPACITY OF PRINCIPAL REPRESENTATIVE OF THE DIVISION OF OCCUPATIONAL LICENSURE, ON REGULATORY REFORM MEASURES FOR ASSISTED LIVING RESIDENCES, REST HOMES, AND CONGREGATE HOUSING</w:t>
            </w:r>
          </w:p>
          <w:p w14:paraId="27770F33" w14:textId="77777777" w:rsidR="00F16F11" w:rsidRDefault="00F16F11" w:rsidP="00F16F11">
            <w:pPr>
              <w:pStyle w:val="ListParagraph"/>
              <w:ind w:left="0"/>
              <w:contextualSpacing w:val="0"/>
              <w:rPr>
                <w:sz w:val="24"/>
                <w:szCs w:val="24"/>
              </w:rPr>
            </w:pPr>
          </w:p>
        </w:tc>
        <w:tc>
          <w:tcPr>
            <w:tcW w:w="270" w:type="dxa"/>
          </w:tcPr>
          <w:p w14:paraId="1D8EDC17" w14:textId="77777777" w:rsidR="00F16F11" w:rsidRDefault="00F16F11" w:rsidP="00F16F11">
            <w:pPr>
              <w:pStyle w:val="ListParagraph"/>
              <w:ind w:left="0"/>
              <w:contextualSpacing w:val="0"/>
              <w:rPr>
                <w:sz w:val="24"/>
                <w:szCs w:val="24"/>
              </w:rPr>
            </w:pPr>
          </w:p>
        </w:tc>
        <w:tc>
          <w:tcPr>
            <w:tcW w:w="2875" w:type="dxa"/>
          </w:tcPr>
          <w:p w14:paraId="0C9E198D" w14:textId="0C477E3C" w:rsidR="00F16F11" w:rsidRDefault="008C4E77" w:rsidP="00F16F11">
            <w:pPr>
              <w:pStyle w:val="ListParagraph"/>
              <w:ind w:left="0"/>
              <w:contextualSpacing w:val="0"/>
              <w:rPr>
                <w:sz w:val="24"/>
                <w:szCs w:val="24"/>
              </w:rPr>
            </w:pPr>
            <w:r>
              <w:t>Overview Statement to Resolve</w:t>
            </w:r>
          </w:p>
        </w:tc>
      </w:tr>
      <w:tr w:rsidR="00F16F11" w14:paraId="75B5CE8E" w14:textId="77777777" w:rsidTr="00F16F11">
        <w:tc>
          <w:tcPr>
            <w:tcW w:w="7650" w:type="dxa"/>
          </w:tcPr>
          <w:p w14:paraId="76F48C98" w14:textId="77777777" w:rsidR="0060763A" w:rsidRDefault="0060763A" w:rsidP="0060763A">
            <w:r w:rsidRPr="00846B02">
              <w:rPr>
                <w:i/>
                <w:iCs/>
              </w:rPr>
              <w:t>RESOLVED</w:t>
            </w:r>
            <w:r w:rsidRPr="00846B02">
              <w:t xml:space="preserve">, That the </w:t>
            </w:r>
            <w:r>
              <w:t xml:space="preserve">secretary of aging and independence, the commissioner of fire services, and the undersecretary of the office of consumer affairs and business regulations shall </w:t>
            </w:r>
            <w:r w:rsidRPr="00846B02">
              <w:t xml:space="preserve">conduct a study and make </w:t>
            </w:r>
            <w:r>
              <w:t xml:space="preserve">joint </w:t>
            </w:r>
            <w:r w:rsidRPr="00846B02">
              <w:t xml:space="preserve">recommendations </w:t>
            </w:r>
            <w:r>
              <w:t>to ensure the Commonwealth public administration practice is modernized to best manage and mitigate the risks of harm resulting from fire in Assisted Living Residences and other residential care settings that are likely housing a disproportionally high number of individuals with needs for long term care services and supports.</w:t>
            </w:r>
          </w:p>
          <w:p w14:paraId="465A68DA" w14:textId="77777777" w:rsidR="00F16F11" w:rsidRDefault="00F16F11" w:rsidP="00F16F11">
            <w:pPr>
              <w:pStyle w:val="ListParagraph"/>
              <w:ind w:left="0"/>
              <w:contextualSpacing w:val="0"/>
              <w:rPr>
                <w:sz w:val="24"/>
                <w:szCs w:val="24"/>
              </w:rPr>
            </w:pPr>
          </w:p>
        </w:tc>
        <w:tc>
          <w:tcPr>
            <w:tcW w:w="270" w:type="dxa"/>
          </w:tcPr>
          <w:p w14:paraId="157541A6" w14:textId="77777777" w:rsidR="00F16F11" w:rsidRDefault="00F16F11" w:rsidP="00F16F11">
            <w:pPr>
              <w:pStyle w:val="ListParagraph"/>
              <w:ind w:left="0"/>
              <w:contextualSpacing w:val="0"/>
              <w:rPr>
                <w:sz w:val="24"/>
                <w:szCs w:val="24"/>
              </w:rPr>
            </w:pPr>
          </w:p>
        </w:tc>
        <w:tc>
          <w:tcPr>
            <w:tcW w:w="2875" w:type="dxa"/>
          </w:tcPr>
          <w:p w14:paraId="4E643799" w14:textId="19382761" w:rsidR="00F16F11" w:rsidRDefault="004A0F48" w:rsidP="00F16F11">
            <w:pPr>
              <w:pStyle w:val="ListParagraph"/>
              <w:ind w:left="0"/>
              <w:contextualSpacing w:val="0"/>
              <w:rPr>
                <w:sz w:val="24"/>
                <w:szCs w:val="24"/>
              </w:rPr>
            </w:pPr>
            <w:r>
              <w:t>Sets Expectation of Joint Report from AGE Secretary, State Fire Commissioner, and Sworn Official (Undersecretary of OCABR) representing the Board of Building Regulations and Standards</w:t>
            </w:r>
          </w:p>
        </w:tc>
      </w:tr>
      <w:tr w:rsidR="00F16F11" w14:paraId="3039C6A6" w14:textId="77777777" w:rsidTr="00F16F11">
        <w:tc>
          <w:tcPr>
            <w:tcW w:w="7650" w:type="dxa"/>
          </w:tcPr>
          <w:p w14:paraId="0F06A9AB" w14:textId="77777777" w:rsidR="00F16F11" w:rsidRDefault="00DF29F4" w:rsidP="0064353C">
            <w:r>
              <w:t xml:space="preserve">For purposes of this resolve, </w:t>
            </w:r>
            <w:r w:rsidRPr="00846B02">
              <w:t xml:space="preserve">the </w:t>
            </w:r>
            <w:r>
              <w:t>secretary of aging and independence, the commissioner of fire services, and the undersecretary of the office of consumer affairs and business regulations shall be collectively referred to as the examiners.</w:t>
            </w:r>
          </w:p>
          <w:p w14:paraId="5AC225F4" w14:textId="5D7324A2" w:rsidR="00AF663C" w:rsidRDefault="00AF663C" w:rsidP="0064353C">
            <w:pPr>
              <w:rPr>
                <w:sz w:val="24"/>
                <w:szCs w:val="24"/>
              </w:rPr>
            </w:pPr>
          </w:p>
        </w:tc>
        <w:tc>
          <w:tcPr>
            <w:tcW w:w="270" w:type="dxa"/>
          </w:tcPr>
          <w:p w14:paraId="6536F1F5" w14:textId="77777777" w:rsidR="00F16F11" w:rsidRDefault="00F16F11" w:rsidP="00F16F11">
            <w:pPr>
              <w:pStyle w:val="ListParagraph"/>
              <w:ind w:left="0"/>
              <w:contextualSpacing w:val="0"/>
              <w:rPr>
                <w:sz w:val="24"/>
                <w:szCs w:val="24"/>
              </w:rPr>
            </w:pPr>
          </w:p>
        </w:tc>
        <w:tc>
          <w:tcPr>
            <w:tcW w:w="2875" w:type="dxa"/>
          </w:tcPr>
          <w:p w14:paraId="07ED2890" w14:textId="77777777" w:rsidR="00F16F11" w:rsidRDefault="00F16F11" w:rsidP="00F16F11">
            <w:pPr>
              <w:pStyle w:val="ListParagraph"/>
              <w:ind w:left="0"/>
              <w:contextualSpacing w:val="0"/>
              <w:rPr>
                <w:sz w:val="24"/>
                <w:szCs w:val="24"/>
              </w:rPr>
            </w:pPr>
          </w:p>
        </w:tc>
      </w:tr>
      <w:tr w:rsidR="00DF29F4" w14:paraId="1DBC7D37" w14:textId="77777777" w:rsidTr="00F16F11">
        <w:tc>
          <w:tcPr>
            <w:tcW w:w="7650" w:type="dxa"/>
          </w:tcPr>
          <w:p w14:paraId="173DB1A3" w14:textId="3F83B40A" w:rsidR="00643212" w:rsidRDefault="00643212" w:rsidP="00643212">
            <w:r>
              <w:t>The examiners shall consult with experts from the fire protection engineering department of Worcester Polytechnic Institute</w:t>
            </w:r>
            <w:r w:rsidR="00555B40">
              <w:t>, the AgeLab of the Massachusetts Institute of Technology,</w:t>
            </w:r>
            <w:r>
              <w:t xml:space="preserve"> and the program on gerontology at the University of Massachusetts. The examiners will examine emerging technologies capable of detecting a resident who is smoking and technologies that disable instruments provid</w:t>
            </w:r>
            <w:r w:rsidR="00FF7CAD">
              <w:t>ing</w:t>
            </w:r>
            <w:r w:rsidR="006D6DE1">
              <w:t xml:space="preserve"> medical</w:t>
            </w:r>
            <w:r>
              <w:t xml:space="preserve"> oxygen assistance in response to a detected threat. </w:t>
            </w:r>
            <w:r w:rsidR="00196791">
              <w:t>Examiner</w:t>
            </w:r>
            <w:r w:rsidR="000E3D3A">
              <w:t>s</w:t>
            </w:r>
            <w:r w:rsidR="00196791">
              <w:t xml:space="preserve"> will also consider whether and how </w:t>
            </w:r>
            <w:r w:rsidR="00687F71">
              <w:t xml:space="preserve">certain information that </w:t>
            </w:r>
            <w:r w:rsidR="000E3D3A">
              <w:t xml:space="preserve">residential settings are required to record </w:t>
            </w:r>
            <w:r w:rsidR="00DB3C6C">
              <w:t>regarding special</w:t>
            </w:r>
            <w:r w:rsidR="00AF1DF4">
              <w:t xml:space="preserve"> individual</w:t>
            </w:r>
            <w:r w:rsidR="00DB3C6C">
              <w:t xml:space="preserve"> considerations in an emergency situation</w:t>
            </w:r>
            <w:r w:rsidR="00AF1DF4">
              <w:t xml:space="preserve"> can be </w:t>
            </w:r>
            <w:r w:rsidR="00CC7676">
              <w:t>made available to first</w:t>
            </w:r>
            <w:r w:rsidR="00745826">
              <w:t xml:space="preserve"> </w:t>
            </w:r>
            <w:r w:rsidR="00CC7676">
              <w:t xml:space="preserve">responders via a </w:t>
            </w:r>
            <w:r w:rsidR="002F3ADB">
              <w:t>standardized data exchange protocol.</w:t>
            </w:r>
            <w:r w:rsidR="00F53F5C">
              <w:t xml:space="preserve"> </w:t>
            </w:r>
            <w:r>
              <w:t>Examiners will consider whether and how such emerging technologies should be installed as requirements overseeing the residential care setting. In the process of developing recommendations, examiners will endeavor to balance the risk of harm to all residents resulting from fire with the principles of preserving a resident’s freedom, self-determination, and capacity to accept individual risk.</w:t>
            </w:r>
          </w:p>
          <w:p w14:paraId="1B2A1A4D" w14:textId="77777777" w:rsidR="00DF29F4" w:rsidRDefault="00DF29F4" w:rsidP="00DF29F4"/>
        </w:tc>
        <w:tc>
          <w:tcPr>
            <w:tcW w:w="270" w:type="dxa"/>
          </w:tcPr>
          <w:p w14:paraId="393FCD92" w14:textId="77777777" w:rsidR="00DF29F4" w:rsidRDefault="00DF29F4" w:rsidP="00F16F11">
            <w:pPr>
              <w:pStyle w:val="ListParagraph"/>
              <w:ind w:left="0"/>
              <w:contextualSpacing w:val="0"/>
              <w:rPr>
                <w:sz w:val="24"/>
                <w:szCs w:val="24"/>
              </w:rPr>
            </w:pPr>
          </w:p>
        </w:tc>
        <w:tc>
          <w:tcPr>
            <w:tcW w:w="2875" w:type="dxa"/>
          </w:tcPr>
          <w:p w14:paraId="32CC74E0" w14:textId="2AC914BE" w:rsidR="00DF29F4" w:rsidRDefault="0064353C" w:rsidP="00F16F11">
            <w:pPr>
              <w:pStyle w:val="ListParagraph"/>
              <w:ind w:left="0"/>
              <w:contextualSpacing w:val="0"/>
            </w:pPr>
            <w:r>
              <w:t xml:space="preserve">Recognizes WPI </w:t>
            </w:r>
            <w:r w:rsidR="0039480A">
              <w:t>prominence</w:t>
            </w:r>
            <w:r>
              <w:t xml:space="preserve"> in the field of fire protection engineering, </w:t>
            </w:r>
            <w:r w:rsidR="00C37686">
              <w:t>MIT prominence in elder care service technol</w:t>
            </w:r>
            <w:r w:rsidR="0011570C">
              <w:t xml:space="preserve">ogy, and </w:t>
            </w:r>
            <w:r>
              <w:t xml:space="preserve">UMass-Boston-Gerontology </w:t>
            </w:r>
            <w:r w:rsidR="00220543">
              <w:t xml:space="preserve">prominence </w:t>
            </w:r>
            <w:r w:rsidR="00C81210">
              <w:t>i</w:t>
            </w:r>
            <w:r w:rsidR="00220543">
              <w:t>n</w:t>
            </w:r>
            <w:r w:rsidR="00F16405">
              <w:t xml:space="preserve"> LTSS</w:t>
            </w:r>
            <w:r w:rsidR="00220543">
              <w:t xml:space="preserve"> service delivery</w:t>
            </w:r>
            <w:r w:rsidR="00B9088C">
              <w:t xml:space="preserve"> modes and the importance of preserving consumer choice in residential care models. The intent is to </w:t>
            </w:r>
            <w:r w:rsidR="006B43BE">
              <w:t xml:space="preserve">leverage and balance emerging technologies with the </w:t>
            </w:r>
            <w:r w:rsidR="003D20EF">
              <w:t>foundation</w:t>
            </w:r>
            <w:r w:rsidR="0039480A">
              <w:t>al</w:t>
            </w:r>
            <w:r w:rsidR="003D20EF">
              <w:t xml:space="preserve"> principles </w:t>
            </w:r>
            <w:r w:rsidR="00F455E0">
              <w:t>of home</w:t>
            </w:r>
            <w:r w:rsidR="00352A15">
              <w:t>-</w:t>
            </w:r>
            <w:r w:rsidR="003D20EF">
              <w:t>and</w:t>
            </w:r>
            <w:r w:rsidR="00352A15">
              <w:t>-</w:t>
            </w:r>
            <w:r w:rsidR="003D20EF">
              <w:t>community</w:t>
            </w:r>
            <w:r w:rsidR="00352A15">
              <w:t>-</w:t>
            </w:r>
            <w:r w:rsidR="003D20EF">
              <w:t xml:space="preserve">based </w:t>
            </w:r>
            <w:r w:rsidR="0039480A">
              <w:t xml:space="preserve">care. </w:t>
            </w:r>
          </w:p>
          <w:p w14:paraId="5FBE2C75" w14:textId="70F1BEAB" w:rsidR="00AA15D4" w:rsidRDefault="00AA15D4" w:rsidP="00F16F11">
            <w:pPr>
              <w:pStyle w:val="ListParagraph"/>
              <w:ind w:left="0"/>
              <w:contextualSpacing w:val="0"/>
              <w:rPr>
                <w:sz w:val="24"/>
                <w:szCs w:val="24"/>
              </w:rPr>
            </w:pPr>
          </w:p>
        </w:tc>
      </w:tr>
      <w:tr w:rsidR="000749EB" w14:paraId="3D0ABC59" w14:textId="77777777" w:rsidTr="00F16F11">
        <w:tc>
          <w:tcPr>
            <w:tcW w:w="7650" w:type="dxa"/>
          </w:tcPr>
          <w:p w14:paraId="6612A726" w14:textId="77777777" w:rsidR="000B4BF4" w:rsidRDefault="000B4BF4" w:rsidP="000B4BF4">
            <w:r>
              <w:t xml:space="preserve">The examiners shall first investigate the scenario of residents in assisted living residences, rest homes, and other congregate housing settings who are habitual smokers and may smoke on the premises, even in instances where smoking is prohibited. </w:t>
            </w:r>
            <w:r w:rsidRPr="00846B02">
              <w:t xml:space="preserve">The </w:t>
            </w:r>
            <w:r>
              <w:t>examiners</w:t>
            </w:r>
            <w:r w:rsidRPr="00846B02">
              <w:t xml:space="preserve"> shall file a report of the results of its investigation and its recommendations, if any, together with drafts of legislation and administrative recommendations necessary to</w:t>
            </w:r>
            <w:r>
              <w:t xml:space="preserve"> best mitigate the risk of harm to this scenario </w:t>
            </w:r>
            <w:r w:rsidRPr="00846B02">
              <w:t xml:space="preserve">with the governor and the clerks of the senate and house of representatives not later than </w:t>
            </w:r>
            <w:r>
              <w:t>February 27</w:t>
            </w:r>
            <w:r w:rsidRPr="00846B02">
              <w:t>, 20</w:t>
            </w:r>
            <w:r>
              <w:t>26</w:t>
            </w:r>
            <w:r w:rsidRPr="00846B02">
              <w:t>.</w:t>
            </w:r>
          </w:p>
          <w:p w14:paraId="217997E9" w14:textId="77777777" w:rsidR="000749EB" w:rsidRDefault="000749EB" w:rsidP="00643212"/>
        </w:tc>
        <w:tc>
          <w:tcPr>
            <w:tcW w:w="270" w:type="dxa"/>
          </w:tcPr>
          <w:p w14:paraId="50C58CE7" w14:textId="77777777" w:rsidR="000749EB" w:rsidRDefault="000749EB" w:rsidP="00F16F11">
            <w:pPr>
              <w:pStyle w:val="ListParagraph"/>
              <w:ind w:left="0"/>
              <w:contextualSpacing w:val="0"/>
              <w:rPr>
                <w:sz w:val="24"/>
                <w:szCs w:val="24"/>
              </w:rPr>
            </w:pPr>
          </w:p>
        </w:tc>
        <w:tc>
          <w:tcPr>
            <w:tcW w:w="2875" w:type="dxa"/>
          </w:tcPr>
          <w:p w14:paraId="45BB49CB" w14:textId="3FFBBD0C" w:rsidR="000749EB" w:rsidRDefault="00932DD0" w:rsidP="00F16F11">
            <w:pPr>
              <w:pStyle w:val="ListParagraph"/>
              <w:ind w:left="0"/>
              <w:contextualSpacing w:val="0"/>
            </w:pPr>
            <w:r>
              <w:t>Initial Report specific to the Fall River scenario due by 2/27/26.</w:t>
            </w:r>
          </w:p>
        </w:tc>
      </w:tr>
      <w:tr w:rsidR="00932DD0" w14:paraId="039DE3C9" w14:textId="77777777" w:rsidTr="00F16F11">
        <w:tc>
          <w:tcPr>
            <w:tcW w:w="7650" w:type="dxa"/>
          </w:tcPr>
          <w:p w14:paraId="32C564CA" w14:textId="77777777" w:rsidR="0011267E" w:rsidRDefault="0011267E" w:rsidP="0011267E">
            <w:r>
              <w:lastRenderedPageBreak/>
              <w:t xml:space="preserve">The examiners shall review all existing requirements pertaining to fire safety and emergency response that are established in statute and regulations that are not necessarily pertinent to the scenario described in paragraph four. </w:t>
            </w:r>
            <w:r w:rsidRPr="00846B02">
              <w:t xml:space="preserve">The </w:t>
            </w:r>
            <w:r>
              <w:t>examiners</w:t>
            </w:r>
            <w:r w:rsidRPr="00846B02">
              <w:t xml:space="preserve"> shall file a report of the results of its investigation and its recommendations, if any, together with drafts of legislation and administrative recommendations necessary to</w:t>
            </w:r>
            <w:r>
              <w:t xml:space="preserve"> best mitigate the risk of harm from fire </w:t>
            </w:r>
            <w:r w:rsidRPr="00846B02">
              <w:t xml:space="preserve">with the governor and the clerks of the senate and house of representatives not later than </w:t>
            </w:r>
            <w:r>
              <w:t>September 1</w:t>
            </w:r>
            <w:r w:rsidRPr="00846B02">
              <w:t>, 20</w:t>
            </w:r>
            <w:r>
              <w:t>26</w:t>
            </w:r>
            <w:r w:rsidRPr="00846B02">
              <w:t>.</w:t>
            </w:r>
          </w:p>
          <w:p w14:paraId="1E4C9A56" w14:textId="77777777" w:rsidR="00932DD0" w:rsidRDefault="00932DD0" w:rsidP="000B4BF4"/>
        </w:tc>
        <w:tc>
          <w:tcPr>
            <w:tcW w:w="270" w:type="dxa"/>
          </w:tcPr>
          <w:p w14:paraId="7BC9936E" w14:textId="77777777" w:rsidR="00932DD0" w:rsidRDefault="00932DD0" w:rsidP="00F16F11">
            <w:pPr>
              <w:pStyle w:val="ListParagraph"/>
              <w:ind w:left="0"/>
              <w:contextualSpacing w:val="0"/>
              <w:rPr>
                <w:sz w:val="24"/>
                <w:szCs w:val="24"/>
              </w:rPr>
            </w:pPr>
          </w:p>
        </w:tc>
        <w:tc>
          <w:tcPr>
            <w:tcW w:w="2875" w:type="dxa"/>
          </w:tcPr>
          <w:p w14:paraId="7F29DA05" w14:textId="6829BCDA" w:rsidR="00932DD0" w:rsidRDefault="0024774F" w:rsidP="00F16F11">
            <w:pPr>
              <w:pStyle w:val="ListParagraph"/>
              <w:ind w:left="0"/>
              <w:contextualSpacing w:val="0"/>
            </w:pPr>
            <w:r>
              <w:t>Follow-up report on a more generalized issue of fire safety and emergency response due by due by 9/1/26.</w:t>
            </w:r>
          </w:p>
        </w:tc>
      </w:tr>
    </w:tbl>
    <w:p w14:paraId="582DB8E2" w14:textId="77777777" w:rsidR="000247BE" w:rsidRDefault="000247BE" w:rsidP="00480F80">
      <w:pPr>
        <w:pStyle w:val="ListParagraph"/>
        <w:spacing w:after="0" w:line="240" w:lineRule="auto"/>
        <w:contextualSpacing w:val="0"/>
        <w:rPr>
          <w:sz w:val="24"/>
          <w:szCs w:val="24"/>
        </w:rPr>
      </w:pPr>
    </w:p>
    <w:p w14:paraId="032FADBE" w14:textId="625A7A79" w:rsidR="002650FB" w:rsidRDefault="002650FB">
      <w:pPr>
        <w:rPr>
          <w:sz w:val="24"/>
          <w:szCs w:val="24"/>
        </w:rPr>
      </w:pPr>
      <w:r>
        <w:rPr>
          <w:sz w:val="24"/>
          <w:szCs w:val="24"/>
        </w:rPr>
        <w:br w:type="page"/>
      </w:r>
    </w:p>
    <w:p w14:paraId="4D2E6222" w14:textId="77777777" w:rsidR="0006134E" w:rsidRDefault="00883EAA" w:rsidP="00883EAA">
      <w:pPr>
        <w:pStyle w:val="ListParagraph"/>
        <w:spacing w:after="0" w:line="240" w:lineRule="auto"/>
        <w:contextualSpacing w:val="0"/>
        <w:jc w:val="center"/>
        <w:rPr>
          <w:b/>
          <w:bCs/>
          <w:sz w:val="24"/>
          <w:szCs w:val="24"/>
        </w:rPr>
      </w:pPr>
      <w:r w:rsidRPr="0006134E">
        <w:rPr>
          <w:i/>
          <w:iCs/>
          <w:sz w:val="24"/>
          <w:szCs w:val="24"/>
        </w:rPr>
        <w:lastRenderedPageBreak/>
        <w:t>Exhibit #3.0</w:t>
      </w:r>
    </w:p>
    <w:p w14:paraId="284ACE34" w14:textId="1737A7D5" w:rsidR="00883EAA" w:rsidRPr="0006134E" w:rsidRDefault="00883EAA" w:rsidP="00883EAA">
      <w:pPr>
        <w:pStyle w:val="ListParagraph"/>
        <w:spacing w:after="0" w:line="240" w:lineRule="auto"/>
        <w:contextualSpacing w:val="0"/>
        <w:jc w:val="center"/>
        <w:rPr>
          <w:b/>
          <w:bCs/>
          <w:sz w:val="24"/>
          <w:szCs w:val="24"/>
        </w:rPr>
      </w:pPr>
      <w:r w:rsidRPr="0006134E">
        <w:rPr>
          <w:b/>
          <w:bCs/>
          <w:sz w:val="24"/>
          <w:szCs w:val="24"/>
        </w:rPr>
        <w:t xml:space="preserve"> </w:t>
      </w:r>
    </w:p>
    <w:p w14:paraId="393CB78D" w14:textId="3F1BCFE3" w:rsidR="004814BA" w:rsidRDefault="00883EAA" w:rsidP="00883EAA">
      <w:pPr>
        <w:pStyle w:val="ListParagraph"/>
        <w:spacing w:after="0" w:line="240" w:lineRule="auto"/>
        <w:contextualSpacing w:val="0"/>
        <w:jc w:val="center"/>
        <w:rPr>
          <w:b/>
          <w:bCs/>
          <w:sz w:val="24"/>
          <w:szCs w:val="24"/>
        </w:rPr>
      </w:pPr>
      <w:r w:rsidRPr="000B3A15">
        <w:rPr>
          <w:b/>
          <w:bCs/>
          <w:sz w:val="24"/>
          <w:szCs w:val="24"/>
        </w:rPr>
        <w:t>Policy Proposal Statement</w:t>
      </w:r>
      <w:r>
        <w:rPr>
          <w:b/>
          <w:bCs/>
          <w:sz w:val="24"/>
          <w:szCs w:val="24"/>
        </w:rPr>
        <w:t xml:space="preserve"> and </w:t>
      </w:r>
      <w:r w:rsidRPr="002650FB">
        <w:rPr>
          <w:b/>
          <w:bCs/>
          <w:sz w:val="24"/>
          <w:szCs w:val="24"/>
        </w:rPr>
        <w:t>Draft Implementation Language</w:t>
      </w:r>
      <w:r>
        <w:rPr>
          <w:b/>
          <w:bCs/>
          <w:sz w:val="24"/>
          <w:szCs w:val="24"/>
        </w:rPr>
        <w:t xml:space="preserve"> </w:t>
      </w:r>
      <w:r w:rsidR="004814BA">
        <w:rPr>
          <w:b/>
          <w:bCs/>
          <w:sz w:val="24"/>
          <w:szCs w:val="24"/>
        </w:rPr>
        <w:t>to</w:t>
      </w:r>
    </w:p>
    <w:p w14:paraId="58D578A1" w14:textId="5AF226BE" w:rsidR="00883EAA" w:rsidRDefault="004814BA" w:rsidP="00883EAA">
      <w:pPr>
        <w:pStyle w:val="ListParagraph"/>
        <w:spacing w:after="0" w:line="240" w:lineRule="auto"/>
        <w:contextualSpacing w:val="0"/>
        <w:jc w:val="center"/>
        <w:rPr>
          <w:b/>
          <w:bCs/>
          <w:sz w:val="24"/>
          <w:szCs w:val="24"/>
        </w:rPr>
      </w:pPr>
      <w:r>
        <w:rPr>
          <w:b/>
          <w:bCs/>
          <w:sz w:val="24"/>
          <w:szCs w:val="24"/>
        </w:rPr>
        <w:t xml:space="preserve">Expand </w:t>
      </w:r>
      <w:r w:rsidR="00254DF3">
        <w:rPr>
          <w:b/>
          <w:bCs/>
          <w:sz w:val="24"/>
          <w:szCs w:val="24"/>
        </w:rPr>
        <w:t>Individualized Emergency Assistance Plans</w:t>
      </w:r>
    </w:p>
    <w:p w14:paraId="1081AD3B" w14:textId="77777777" w:rsidR="00883EAA" w:rsidRDefault="00883EAA" w:rsidP="00883EAA">
      <w:pPr>
        <w:spacing w:after="160" w:line="278" w:lineRule="auto"/>
      </w:pPr>
    </w:p>
    <w:tbl>
      <w:tblPr>
        <w:tblStyle w:val="TableGrid"/>
        <w:tblW w:w="0" w:type="auto"/>
        <w:tblInd w:w="-5" w:type="dxa"/>
        <w:tblLook w:val="04A0" w:firstRow="1" w:lastRow="0" w:firstColumn="1" w:lastColumn="0" w:noHBand="0" w:noVBand="1"/>
      </w:tblPr>
      <w:tblGrid>
        <w:gridCol w:w="2250"/>
        <w:gridCol w:w="270"/>
        <w:gridCol w:w="7830"/>
      </w:tblGrid>
      <w:tr w:rsidR="00A734C6" w14:paraId="058F87AC" w14:textId="77777777" w:rsidTr="00F04D4C">
        <w:tc>
          <w:tcPr>
            <w:tcW w:w="2250" w:type="dxa"/>
          </w:tcPr>
          <w:p w14:paraId="22C47E01" w14:textId="327DEA3B" w:rsidR="00A734C6" w:rsidRPr="00326E1D" w:rsidRDefault="00A734C6" w:rsidP="00A80EDD">
            <w:pPr>
              <w:rPr>
                <w:b/>
                <w:bCs/>
              </w:rPr>
            </w:pPr>
            <w:r>
              <w:rPr>
                <w:b/>
                <w:bCs/>
              </w:rPr>
              <w:t xml:space="preserve">Recommendation </w:t>
            </w:r>
            <w:r w:rsidR="006E4621">
              <w:rPr>
                <w:b/>
                <w:bCs/>
              </w:rPr>
              <w:t>2</w:t>
            </w:r>
            <w:r>
              <w:rPr>
                <w:b/>
                <w:bCs/>
              </w:rPr>
              <w:t>.0</w:t>
            </w:r>
          </w:p>
        </w:tc>
        <w:tc>
          <w:tcPr>
            <w:tcW w:w="270" w:type="dxa"/>
          </w:tcPr>
          <w:p w14:paraId="6722A3F5" w14:textId="77777777" w:rsidR="00A734C6" w:rsidRDefault="00A734C6" w:rsidP="00A80EDD"/>
        </w:tc>
        <w:tc>
          <w:tcPr>
            <w:tcW w:w="7830" w:type="dxa"/>
          </w:tcPr>
          <w:p w14:paraId="478F645A" w14:textId="77777777" w:rsidR="00A734C6" w:rsidRDefault="00FF40D0" w:rsidP="00A80EDD">
            <w:r w:rsidRPr="00E97B34">
              <w:rPr>
                <w:b/>
                <w:bCs/>
              </w:rPr>
              <w:t>Broaden existing regulatory requirement currently in effect for ALR “Special Unit” Residents so it applies to all ALR Residents. Each ALR Residence will be expected to develop an individualized emergency assistance plan for all ALR Residents</w:t>
            </w:r>
            <w:r>
              <w:t>.</w:t>
            </w:r>
          </w:p>
          <w:p w14:paraId="36F8E5AA" w14:textId="6BC95196" w:rsidR="00FF40D0" w:rsidRDefault="00FF40D0" w:rsidP="00A80EDD"/>
        </w:tc>
      </w:tr>
      <w:tr w:rsidR="00A734C6" w14:paraId="30415C7B" w14:textId="77777777" w:rsidTr="00F04D4C">
        <w:trPr>
          <w:trHeight w:val="431"/>
        </w:trPr>
        <w:tc>
          <w:tcPr>
            <w:tcW w:w="2250" w:type="dxa"/>
          </w:tcPr>
          <w:p w14:paraId="6E548DF3" w14:textId="77777777" w:rsidR="00A734C6" w:rsidRPr="00326E1D" w:rsidRDefault="00A734C6" w:rsidP="00A80EDD">
            <w:pPr>
              <w:rPr>
                <w:b/>
                <w:bCs/>
              </w:rPr>
            </w:pPr>
            <w:r w:rsidRPr="00326E1D">
              <w:rPr>
                <w:b/>
                <w:bCs/>
              </w:rPr>
              <w:t>Domain:</w:t>
            </w:r>
          </w:p>
        </w:tc>
        <w:tc>
          <w:tcPr>
            <w:tcW w:w="270" w:type="dxa"/>
          </w:tcPr>
          <w:p w14:paraId="3CD69385" w14:textId="77777777" w:rsidR="00A734C6" w:rsidRDefault="00A734C6" w:rsidP="00A80EDD"/>
        </w:tc>
        <w:tc>
          <w:tcPr>
            <w:tcW w:w="7830" w:type="dxa"/>
          </w:tcPr>
          <w:p w14:paraId="0EE6330E" w14:textId="6AB587E9" w:rsidR="00A734C6" w:rsidRDefault="00A734C6" w:rsidP="00A80EDD">
            <w:r>
              <w:t>Emergency Preparedness &amp; Fire Prevention</w:t>
            </w:r>
            <w:r w:rsidR="00533868">
              <w:t>; ALR Assessment and Service Planning</w:t>
            </w:r>
          </w:p>
        </w:tc>
      </w:tr>
      <w:tr w:rsidR="00A734C6" w14:paraId="1D0C942C" w14:textId="77777777" w:rsidTr="00F04D4C">
        <w:trPr>
          <w:trHeight w:val="440"/>
        </w:trPr>
        <w:tc>
          <w:tcPr>
            <w:tcW w:w="2250" w:type="dxa"/>
          </w:tcPr>
          <w:p w14:paraId="56859D98" w14:textId="77777777" w:rsidR="00A734C6" w:rsidRPr="00326E1D" w:rsidRDefault="00A734C6" w:rsidP="00A80EDD">
            <w:pPr>
              <w:rPr>
                <w:b/>
                <w:bCs/>
              </w:rPr>
            </w:pPr>
            <w:r w:rsidRPr="00326E1D">
              <w:rPr>
                <w:b/>
                <w:bCs/>
              </w:rPr>
              <w:t>Change Type:</w:t>
            </w:r>
          </w:p>
        </w:tc>
        <w:tc>
          <w:tcPr>
            <w:tcW w:w="270" w:type="dxa"/>
          </w:tcPr>
          <w:p w14:paraId="5EFBB1EC" w14:textId="77777777" w:rsidR="00A734C6" w:rsidRDefault="00A734C6" w:rsidP="00A80EDD"/>
        </w:tc>
        <w:tc>
          <w:tcPr>
            <w:tcW w:w="7830" w:type="dxa"/>
          </w:tcPr>
          <w:p w14:paraId="78E5A58A" w14:textId="77777777" w:rsidR="00A734C6" w:rsidRDefault="00A734C6" w:rsidP="00A80EDD">
            <w:r>
              <w:t>Resolve of 2025</w:t>
            </w:r>
          </w:p>
        </w:tc>
      </w:tr>
      <w:tr w:rsidR="00A734C6" w14:paraId="3C794456" w14:textId="77777777" w:rsidTr="00F04D4C">
        <w:trPr>
          <w:trHeight w:val="638"/>
        </w:trPr>
        <w:tc>
          <w:tcPr>
            <w:tcW w:w="2250" w:type="dxa"/>
          </w:tcPr>
          <w:p w14:paraId="069D2B56" w14:textId="77777777" w:rsidR="00A734C6" w:rsidRPr="00326E1D" w:rsidRDefault="00A734C6" w:rsidP="00A80EDD">
            <w:pPr>
              <w:rPr>
                <w:b/>
                <w:bCs/>
              </w:rPr>
            </w:pPr>
            <w:r w:rsidRPr="00326E1D">
              <w:rPr>
                <w:b/>
                <w:bCs/>
              </w:rPr>
              <w:t>Problem Statement:</w:t>
            </w:r>
          </w:p>
        </w:tc>
        <w:tc>
          <w:tcPr>
            <w:tcW w:w="270" w:type="dxa"/>
          </w:tcPr>
          <w:p w14:paraId="5694436E" w14:textId="77777777" w:rsidR="00A734C6" w:rsidRDefault="00A734C6" w:rsidP="00A80EDD"/>
        </w:tc>
        <w:tc>
          <w:tcPr>
            <w:tcW w:w="7830" w:type="dxa"/>
          </w:tcPr>
          <w:p w14:paraId="10EBADDA" w14:textId="521FA6BF" w:rsidR="00A734C6" w:rsidRDefault="00653294" w:rsidP="00A80EDD">
            <w:r>
              <w:t>Existing regulations only require individualized emergency assistance plans for Special Care unit residents.</w:t>
            </w:r>
          </w:p>
        </w:tc>
      </w:tr>
      <w:tr w:rsidR="00A734C6" w14:paraId="105F237C" w14:textId="77777777" w:rsidTr="00F04D4C">
        <w:trPr>
          <w:trHeight w:val="1583"/>
        </w:trPr>
        <w:tc>
          <w:tcPr>
            <w:tcW w:w="2250" w:type="dxa"/>
          </w:tcPr>
          <w:p w14:paraId="133F5D4E" w14:textId="77777777" w:rsidR="00A734C6" w:rsidRPr="00326E1D" w:rsidRDefault="00A734C6" w:rsidP="00A80EDD">
            <w:pPr>
              <w:rPr>
                <w:b/>
                <w:bCs/>
              </w:rPr>
            </w:pPr>
            <w:r w:rsidRPr="00326E1D">
              <w:rPr>
                <w:b/>
                <w:bCs/>
              </w:rPr>
              <w:t>Solution Narrative:</w:t>
            </w:r>
          </w:p>
        </w:tc>
        <w:tc>
          <w:tcPr>
            <w:tcW w:w="270" w:type="dxa"/>
          </w:tcPr>
          <w:p w14:paraId="00EB2672" w14:textId="77777777" w:rsidR="00A734C6" w:rsidRDefault="00A734C6" w:rsidP="00A80EDD"/>
        </w:tc>
        <w:tc>
          <w:tcPr>
            <w:tcW w:w="7830" w:type="dxa"/>
          </w:tcPr>
          <w:p w14:paraId="582EA43A" w14:textId="38AB28C0" w:rsidR="00A734C6" w:rsidRDefault="001F1E67" w:rsidP="00A80EDD">
            <w:r>
              <w:t>While the proposal is in response to an observe</w:t>
            </w:r>
            <w:r w:rsidR="00FF0227">
              <w:t>d</w:t>
            </w:r>
            <w:r>
              <w:t xml:space="preserve"> gap in </w:t>
            </w:r>
            <w:r w:rsidR="008C5122">
              <w:t xml:space="preserve">ALR regulations, this does not necessarily mean there is a </w:t>
            </w:r>
            <w:r w:rsidR="00BD4D43">
              <w:t xml:space="preserve">practice gap. </w:t>
            </w:r>
            <w:r w:rsidR="001C4ACC">
              <w:t>T</w:t>
            </w:r>
            <w:r w:rsidR="00FF0227">
              <w:t>he ALR Commission</w:t>
            </w:r>
            <w:r w:rsidR="001C4ACC">
              <w:t xml:space="preserve"> is encouraged to pursue a discussion </w:t>
            </w:r>
            <w:r w:rsidR="00AB1C7D">
              <w:t xml:space="preserve">on the current prevailing practice </w:t>
            </w:r>
            <w:r w:rsidR="00FA7D15">
              <w:t>when assessing non-special care unit Residents.</w:t>
            </w:r>
          </w:p>
        </w:tc>
      </w:tr>
      <w:tr w:rsidR="00A734C6" w14:paraId="79FB8A73" w14:textId="77777777" w:rsidTr="00F04D4C">
        <w:trPr>
          <w:trHeight w:val="728"/>
        </w:trPr>
        <w:tc>
          <w:tcPr>
            <w:tcW w:w="2250" w:type="dxa"/>
          </w:tcPr>
          <w:p w14:paraId="2CE105E5" w14:textId="77777777" w:rsidR="00A734C6" w:rsidRPr="00326E1D" w:rsidRDefault="00A734C6" w:rsidP="00A80EDD">
            <w:pPr>
              <w:rPr>
                <w:b/>
                <w:bCs/>
              </w:rPr>
            </w:pPr>
            <w:r w:rsidRPr="00326E1D">
              <w:rPr>
                <w:b/>
                <w:bCs/>
              </w:rPr>
              <w:t>Insertion Description:</w:t>
            </w:r>
          </w:p>
        </w:tc>
        <w:tc>
          <w:tcPr>
            <w:tcW w:w="270" w:type="dxa"/>
          </w:tcPr>
          <w:p w14:paraId="4FABDE5C" w14:textId="77777777" w:rsidR="00A734C6" w:rsidRDefault="00A734C6" w:rsidP="00A80EDD"/>
        </w:tc>
        <w:tc>
          <w:tcPr>
            <w:tcW w:w="7830" w:type="dxa"/>
          </w:tcPr>
          <w:p w14:paraId="19B04241" w14:textId="77777777" w:rsidR="00603590" w:rsidRPr="00326E1D" w:rsidRDefault="00603590" w:rsidP="00603590">
            <w:r>
              <w:t>Regulatory amendment to 651 CMR 12.04.</w:t>
            </w:r>
          </w:p>
          <w:p w14:paraId="0F7E43CB" w14:textId="77C69E35" w:rsidR="00A734C6" w:rsidRDefault="00A734C6" w:rsidP="00A80EDD"/>
        </w:tc>
      </w:tr>
      <w:tr w:rsidR="00603590" w14:paraId="396FCDA3" w14:textId="77777777" w:rsidTr="00F04D4C">
        <w:trPr>
          <w:trHeight w:val="728"/>
        </w:trPr>
        <w:tc>
          <w:tcPr>
            <w:tcW w:w="2250" w:type="dxa"/>
          </w:tcPr>
          <w:p w14:paraId="55637F67" w14:textId="4EC390AC" w:rsidR="00603590" w:rsidRPr="00326E1D" w:rsidRDefault="00F04D4C" w:rsidP="00A80EDD">
            <w:pPr>
              <w:rPr>
                <w:b/>
                <w:bCs/>
              </w:rPr>
            </w:pPr>
            <w:r w:rsidRPr="00326E1D">
              <w:rPr>
                <w:b/>
                <w:bCs/>
              </w:rPr>
              <w:t>Model Language:</w:t>
            </w:r>
          </w:p>
        </w:tc>
        <w:tc>
          <w:tcPr>
            <w:tcW w:w="270" w:type="dxa"/>
          </w:tcPr>
          <w:p w14:paraId="651B77F2" w14:textId="77777777" w:rsidR="00603590" w:rsidRDefault="00603590" w:rsidP="00A80EDD"/>
        </w:tc>
        <w:tc>
          <w:tcPr>
            <w:tcW w:w="7830" w:type="dxa"/>
          </w:tcPr>
          <w:p w14:paraId="0B276C58" w14:textId="77777777" w:rsidR="00C47966" w:rsidRDefault="00C47966" w:rsidP="00C47966">
            <w:r>
              <w:t xml:space="preserve">Suggested </w:t>
            </w:r>
            <w:proofErr w:type="gramStart"/>
            <w:r>
              <w:t>redline</w:t>
            </w:r>
            <w:proofErr w:type="gramEnd"/>
            <w:r>
              <w:t xml:space="preserve"> amendment to 651 CMR 12.04(2)(3):</w:t>
            </w:r>
          </w:p>
          <w:p w14:paraId="027417F5" w14:textId="77777777" w:rsidR="00C47966" w:rsidRDefault="00C47966" w:rsidP="00C47966"/>
          <w:p w14:paraId="3AC7B705" w14:textId="77777777" w:rsidR="00C47966" w:rsidRDefault="00C47966" w:rsidP="00C47966">
            <w:r w:rsidRPr="00326E1D">
              <w:t xml:space="preserve">Timely assistance to Residents and prompt response to urgent or emergency needs: </w:t>
            </w:r>
          </w:p>
          <w:p w14:paraId="1AC50A52" w14:textId="77777777" w:rsidR="00C47966" w:rsidRDefault="00C47966" w:rsidP="00C47966">
            <w:r>
              <w:t>a.</w:t>
            </w:r>
            <w:r w:rsidRPr="00326E1D">
              <w:t xml:space="preserve">   </w:t>
            </w:r>
            <w:proofErr w:type="gramStart"/>
            <w:r w:rsidRPr="00326E1D">
              <w:t>By</w:t>
            </w:r>
            <w:proofErr w:type="gramEnd"/>
            <w:r w:rsidRPr="00326E1D">
              <w:t xml:space="preserve"> the presence of </w:t>
            </w:r>
            <w:proofErr w:type="gramStart"/>
            <w:r w:rsidRPr="00326E1D">
              <w:t>24 hour</w:t>
            </w:r>
            <w:proofErr w:type="gramEnd"/>
            <w:r w:rsidRPr="00326E1D">
              <w:t xml:space="preserve"> per day on-site staff; </w:t>
            </w:r>
          </w:p>
          <w:p w14:paraId="1429AB8E" w14:textId="77777777" w:rsidR="00C47966" w:rsidRDefault="00C47966" w:rsidP="00C47966">
            <w:pPr>
              <w:rPr>
                <w:color w:val="EE0000"/>
              </w:rPr>
            </w:pPr>
            <w:r w:rsidRPr="000474E0">
              <w:rPr>
                <w:color w:val="EE0000"/>
              </w:rPr>
              <w:t>b. By the development and implementation of a 24-hour preparedness plan</w:t>
            </w:r>
            <w:r>
              <w:rPr>
                <w:color w:val="EE0000"/>
              </w:rPr>
              <w:t xml:space="preserve"> derived</w:t>
            </w:r>
            <w:r w:rsidRPr="000474E0">
              <w:rPr>
                <w:color w:val="EE0000"/>
              </w:rPr>
              <w:t xml:space="preserve"> by assessing the</w:t>
            </w:r>
            <w:r>
              <w:rPr>
                <w:color w:val="EE0000"/>
              </w:rPr>
              <w:t xml:space="preserve"> emergency assistance</w:t>
            </w:r>
            <w:r w:rsidRPr="000474E0">
              <w:rPr>
                <w:color w:val="EE0000"/>
              </w:rPr>
              <w:t xml:space="preserve"> needs of each </w:t>
            </w:r>
            <w:r>
              <w:rPr>
                <w:color w:val="EE0000"/>
              </w:rPr>
              <w:t xml:space="preserve">resident, </w:t>
            </w:r>
            <w:r w:rsidRPr="000474E0">
              <w:rPr>
                <w:color w:val="EE0000"/>
              </w:rPr>
              <w:t>and devis</w:t>
            </w:r>
            <w:r>
              <w:rPr>
                <w:color w:val="EE0000"/>
              </w:rPr>
              <w:t>ing</w:t>
            </w:r>
            <w:r w:rsidRPr="000474E0">
              <w:rPr>
                <w:color w:val="EE0000"/>
              </w:rPr>
              <w:t xml:space="preserve"> an appropriate method to provide the necessary assistance</w:t>
            </w:r>
            <w:r>
              <w:rPr>
                <w:color w:val="EE0000"/>
              </w:rPr>
              <w:t>;</w:t>
            </w:r>
            <w:r w:rsidRPr="000474E0">
              <w:rPr>
                <w:color w:val="EE0000"/>
              </w:rPr>
              <w:t xml:space="preserve"> </w:t>
            </w:r>
          </w:p>
          <w:p w14:paraId="1DA7302B" w14:textId="77777777" w:rsidR="00C47966" w:rsidRPr="000474E0" w:rsidRDefault="00C47966" w:rsidP="00C47966">
            <w:pPr>
              <w:rPr>
                <w:color w:val="EE0000"/>
              </w:rPr>
            </w:pPr>
            <w:r>
              <w:rPr>
                <w:color w:val="EE0000"/>
              </w:rPr>
              <w:t>c</w:t>
            </w:r>
            <w:r w:rsidRPr="000474E0">
              <w:rPr>
                <w:color w:val="EE0000"/>
              </w:rPr>
              <w:t xml:space="preserve">. By the development and implementation of </w:t>
            </w:r>
            <w:r>
              <w:rPr>
                <w:color w:val="EE0000"/>
              </w:rPr>
              <w:t>policies and procedures to assess and reduce the risk of potential hazards in the physical environment related to the particular characteristics of each resident. Such policies and procedures must include an annual written statement describing in detail how the physical characteristics of any unit have been or will be modified to promote the safety of its Residents;</w:t>
            </w:r>
          </w:p>
          <w:p w14:paraId="31EFA356" w14:textId="77777777" w:rsidR="00C47966" w:rsidRDefault="00C47966" w:rsidP="00C47966">
            <w:r w:rsidRPr="000474E0">
              <w:rPr>
                <w:strike/>
                <w:color w:val="EE0000"/>
              </w:rPr>
              <w:t>b</w:t>
            </w:r>
            <w:r>
              <w:rPr>
                <w:color w:val="EE0000"/>
              </w:rPr>
              <w:t>d</w:t>
            </w:r>
            <w:r w:rsidRPr="00326E1D">
              <w:t xml:space="preserve">.   By the provision of personal emergency response systems for each Resident if the service plan requires or other means for the purpose of signaling such staff; and </w:t>
            </w:r>
          </w:p>
          <w:p w14:paraId="5159D92E" w14:textId="77777777" w:rsidR="00C47966" w:rsidRDefault="00C47966" w:rsidP="00C47966">
            <w:proofErr w:type="spellStart"/>
            <w:r w:rsidRPr="000474E0">
              <w:rPr>
                <w:strike/>
                <w:color w:val="EE0000"/>
              </w:rPr>
              <w:t>c</w:t>
            </w:r>
            <w:r w:rsidRPr="00F10668">
              <w:rPr>
                <w:color w:val="EE0000"/>
              </w:rPr>
              <w:t>e</w:t>
            </w:r>
            <w:proofErr w:type="spellEnd"/>
            <w:r w:rsidRPr="00326E1D">
              <w:t>.   Any additional response systems EOEA may require in accordance with the service needs of the Residents.</w:t>
            </w:r>
          </w:p>
          <w:p w14:paraId="69D55D79" w14:textId="77777777" w:rsidR="00603590" w:rsidRDefault="00603590" w:rsidP="00603590"/>
        </w:tc>
      </w:tr>
    </w:tbl>
    <w:p w14:paraId="44194CC0" w14:textId="77777777" w:rsidR="00DB56D9" w:rsidRDefault="00DB56D9" w:rsidP="00480F80">
      <w:pPr>
        <w:pStyle w:val="ListParagraph"/>
        <w:spacing w:after="0" w:line="240" w:lineRule="auto"/>
        <w:contextualSpacing w:val="0"/>
        <w:rPr>
          <w:sz w:val="24"/>
          <w:szCs w:val="24"/>
        </w:rPr>
      </w:pPr>
    </w:p>
    <w:p w14:paraId="19660854" w14:textId="7A5A362F" w:rsidR="003B7DE8" w:rsidRDefault="003B7DE8">
      <w:pPr>
        <w:rPr>
          <w:sz w:val="24"/>
          <w:szCs w:val="24"/>
        </w:rPr>
      </w:pPr>
      <w:r>
        <w:rPr>
          <w:sz w:val="24"/>
          <w:szCs w:val="24"/>
        </w:rPr>
        <w:br w:type="page"/>
      </w:r>
    </w:p>
    <w:p w14:paraId="454E51A4" w14:textId="7DED53A6" w:rsidR="003B7DE8" w:rsidRPr="0006134E" w:rsidRDefault="003B7DE8" w:rsidP="003B7DE8">
      <w:pPr>
        <w:pStyle w:val="ListParagraph"/>
        <w:spacing w:after="0" w:line="240" w:lineRule="auto"/>
        <w:contextualSpacing w:val="0"/>
        <w:jc w:val="center"/>
        <w:rPr>
          <w:i/>
          <w:iCs/>
          <w:sz w:val="24"/>
          <w:szCs w:val="24"/>
        </w:rPr>
      </w:pPr>
      <w:r w:rsidRPr="0006134E">
        <w:rPr>
          <w:i/>
          <w:iCs/>
          <w:sz w:val="24"/>
          <w:szCs w:val="24"/>
        </w:rPr>
        <w:lastRenderedPageBreak/>
        <w:t>Exhibit #</w:t>
      </w:r>
      <w:r w:rsidR="00065C9C" w:rsidRPr="0006134E">
        <w:rPr>
          <w:i/>
          <w:iCs/>
          <w:sz w:val="24"/>
          <w:szCs w:val="24"/>
        </w:rPr>
        <w:t>4</w:t>
      </w:r>
      <w:r w:rsidRPr="0006134E">
        <w:rPr>
          <w:i/>
          <w:iCs/>
          <w:sz w:val="24"/>
          <w:szCs w:val="24"/>
        </w:rPr>
        <w:t xml:space="preserve">.0 </w:t>
      </w:r>
    </w:p>
    <w:p w14:paraId="01FA5457" w14:textId="77777777" w:rsidR="00296A9A" w:rsidRDefault="00296A9A" w:rsidP="00065C9C">
      <w:pPr>
        <w:pStyle w:val="ListParagraph"/>
        <w:spacing w:after="0" w:line="240" w:lineRule="auto"/>
        <w:contextualSpacing w:val="0"/>
        <w:jc w:val="center"/>
        <w:rPr>
          <w:b/>
          <w:bCs/>
          <w:sz w:val="24"/>
          <w:szCs w:val="24"/>
        </w:rPr>
      </w:pPr>
    </w:p>
    <w:p w14:paraId="31228D10" w14:textId="6FCC0C21" w:rsidR="003B7DE8" w:rsidRDefault="003B7DE8" w:rsidP="00065C9C">
      <w:pPr>
        <w:pStyle w:val="ListParagraph"/>
        <w:spacing w:after="0" w:line="240" w:lineRule="auto"/>
        <w:contextualSpacing w:val="0"/>
        <w:jc w:val="center"/>
        <w:rPr>
          <w:b/>
          <w:bCs/>
          <w:sz w:val="24"/>
          <w:szCs w:val="24"/>
        </w:rPr>
      </w:pPr>
      <w:r w:rsidRPr="000B3A15">
        <w:rPr>
          <w:b/>
          <w:bCs/>
          <w:sz w:val="24"/>
          <w:szCs w:val="24"/>
        </w:rPr>
        <w:t>Policy Proposal Statement</w:t>
      </w:r>
      <w:r w:rsidR="008A0756">
        <w:rPr>
          <w:b/>
          <w:bCs/>
          <w:sz w:val="24"/>
          <w:szCs w:val="24"/>
        </w:rPr>
        <w:t>s</w:t>
      </w:r>
      <w:r>
        <w:rPr>
          <w:b/>
          <w:bCs/>
          <w:sz w:val="24"/>
          <w:szCs w:val="24"/>
        </w:rPr>
        <w:t xml:space="preserve"> </w:t>
      </w:r>
      <w:r w:rsidR="00E530FD">
        <w:rPr>
          <w:b/>
          <w:bCs/>
          <w:sz w:val="24"/>
          <w:szCs w:val="24"/>
        </w:rPr>
        <w:t>to Increase Level of Surveillance</w:t>
      </w:r>
    </w:p>
    <w:p w14:paraId="56745A01" w14:textId="3DDC9740" w:rsidR="00E530FD" w:rsidRDefault="00E530FD" w:rsidP="00065C9C">
      <w:pPr>
        <w:pStyle w:val="ListParagraph"/>
        <w:spacing w:after="0" w:line="240" w:lineRule="auto"/>
        <w:contextualSpacing w:val="0"/>
        <w:jc w:val="center"/>
        <w:rPr>
          <w:b/>
          <w:bCs/>
          <w:sz w:val="24"/>
          <w:szCs w:val="24"/>
        </w:rPr>
      </w:pPr>
      <w:r>
        <w:rPr>
          <w:b/>
          <w:bCs/>
          <w:sz w:val="24"/>
          <w:szCs w:val="24"/>
        </w:rPr>
        <w:t xml:space="preserve">Performed by AGE </w:t>
      </w:r>
      <w:r w:rsidR="00600297">
        <w:rPr>
          <w:b/>
          <w:bCs/>
          <w:sz w:val="24"/>
          <w:szCs w:val="24"/>
        </w:rPr>
        <w:t>to ALRs</w:t>
      </w:r>
      <w:r w:rsidR="00962E83">
        <w:rPr>
          <w:b/>
          <w:bCs/>
          <w:sz w:val="24"/>
          <w:szCs w:val="24"/>
        </w:rPr>
        <w:t xml:space="preserve"> &amp;</w:t>
      </w:r>
      <w:r w:rsidR="00716DD9">
        <w:rPr>
          <w:b/>
          <w:bCs/>
          <w:sz w:val="24"/>
          <w:szCs w:val="24"/>
        </w:rPr>
        <w:t xml:space="preserve"> Ensur</w:t>
      </w:r>
      <w:r w:rsidR="007D2091">
        <w:rPr>
          <w:b/>
          <w:bCs/>
          <w:sz w:val="24"/>
          <w:szCs w:val="24"/>
        </w:rPr>
        <w:t>ing</w:t>
      </w:r>
      <w:r w:rsidR="00716DD9">
        <w:rPr>
          <w:b/>
          <w:bCs/>
          <w:sz w:val="24"/>
          <w:szCs w:val="24"/>
        </w:rPr>
        <w:t xml:space="preserve"> Routine Review of ALR </w:t>
      </w:r>
      <w:r w:rsidR="00716DD9" w:rsidRPr="008A0756">
        <w:rPr>
          <w:b/>
          <w:bCs/>
          <w:sz w:val="24"/>
          <w:szCs w:val="24"/>
        </w:rPr>
        <w:t>Certification</w:t>
      </w:r>
      <w:r w:rsidR="008A0756" w:rsidRPr="008A0756">
        <w:rPr>
          <w:b/>
          <w:bCs/>
          <w:sz w:val="24"/>
          <w:szCs w:val="24"/>
        </w:rPr>
        <w:t xml:space="preserve"> Unit Resource</w:t>
      </w:r>
      <w:r w:rsidR="00716DD9">
        <w:rPr>
          <w:b/>
          <w:bCs/>
          <w:sz w:val="24"/>
          <w:szCs w:val="24"/>
        </w:rPr>
        <w:t xml:space="preserve"> Alignment</w:t>
      </w:r>
    </w:p>
    <w:p w14:paraId="71DDA7B3" w14:textId="77777777" w:rsidR="003B7DE8" w:rsidRDefault="003B7DE8" w:rsidP="00480F80">
      <w:pPr>
        <w:pStyle w:val="ListParagraph"/>
        <w:spacing w:after="0" w:line="240" w:lineRule="auto"/>
        <w:contextualSpacing w:val="0"/>
        <w:rPr>
          <w:sz w:val="24"/>
          <w:szCs w:val="24"/>
        </w:rPr>
      </w:pPr>
    </w:p>
    <w:tbl>
      <w:tblPr>
        <w:tblStyle w:val="TableGrid"/>
        <w:tblW w:w="0" w:type="auto"/>
        <w:tblInd w:w="-5" w:type="dxa"/>
        <w:tblLook w:val="04A0" w:firstRow="1" w:lastRow="0" w:firstColumn="1" w:lastColumn="0" w:noHBand="0" w:noVBand="1"/>
      </w:tblPr>
      <w:tblGrid>
        <w:gridCol w:w="2250"/>
        <w:gridCol w:w="270"/>
        <w:gridCol w:w="7645"/>
      </w:tblGrid>
      <w:tr w:rsidR="00AD2C36" w14:paraId="26ABE219" w14:textId="77777777" w:rsidTr="00A80EDD">
        <w:tc>
          <w:tcPr>
            <w:tcW w:w="2250" w:type="dxa"/>
          </w:tcPr>
          <w:p w14:paraId="1C871620" w14:textId="178F511F" w:rsidR="00AD2C36" w:rsidRPr="00326E1D" w:rsidRDefault="00AD2C36" w:rsidP="00A80EDD">
            <w:pPr>
              <w:rPr>
                <w:b/>
                <w:bCs/>
              </w:rPr>
            </w:pPr>
            <w:r>
              <w:rPr>
                <w:b/>
                <w:bCs/>
              </w:rPr>
              <w:t xml:space="preserve">Recommendation </w:t>
            </w:r>
            <w:r w:rsidR="00065C9C">
              <w:rPr>
                <w:b/>
                <w:bCs/>
              </w:rPr>
              <w:t>3</w:t>
            </w:r>
            <w:r>
              <w:rPr>
                <w:b/>
                <w:bCs/>
              </w:rPr>
              <w:t>.0</w:t>
            </w:r>
          </w:p>
        </w:tc>
        <w:tc>
          <w:tcPr>
            <w:tcW w:w="270" w:type="dxa"/>
          </w:tcPr>
          <w:p w14:paraId="056895E8" w14:textId="77777777" w:rsidR="00AD2C36" w:rsidRDefault="00AD2C36" w:rsidP="00A80EDD"/>
        </w:tc>
        <w:tc>
          <w:tcPr>
            <w:tcW w:w="7645" w:type="dxa"/>
          </w:tcPr>
          <w:p w14:paraId="184B9550" w14:textId="135F0DDF" w:rsidR="00AD2C36" w:rsidRDefault="00065C9C" w:rsidP="00A80EDD">
            <w:r w:rsidRPr="00096CA7">
              <w:rPr>
                <w:b/>
                <w:bCs/>
              </w:rPr>
              <w:t xml:space="preserve">Amend the ALR statute (M.G.L. c. 19D) to </w:t>
            </w:r>
            <w:r w:rsidR="008C200E">
              <w:rPr>
                <w:b/>
                <w:bCs/>
              </w:rPr>
              <w:t>I</w:t>
            </w:r>
            <w:r w:rsidRPr="00096CA7">
              <w:rPr>
                <w:b/>
                <w:bCs/>
              </w:rPr>
              <w:t xml:space="preserve">ncrease the </w:t>
            </w:r>
            <w:r w:rsidR="008C200E">
              <w:rPr>
                <w:b/>
                <w:bCs/>
              </w:rPr>
              <w:t>L</w:t>
            </w:r>
            <w:r w:rsidRPr="00096CA7">
              <w:rPr>
                <w:b/>
                <w:bCs/>
              </w:rPr>
              <w:t xml:space="preserve">evel of </w:t>
            </w:r>
            <w:r w:rsidR="008C200E">
              <w:rPr>
                <w:b/>
                <w:bCs/>
              </w:rPr>
              <w:t>S</w:t>
            </w:r>
            <w:r w:rsidRPr="00096CA7">
              <w:rPr>
                <w:b/>
                <w:bCs/>
              </w:rPr>
              <w:t xml:space="preserve">urveillance </w:t>
            </w:r>
            <w:r w:rsidR="008C200E">
              <w:rPr>
                <w:b/>
                <w:bCs/>
              </w:rPr>
              <w:t>P</w:t>
            </w:r>
            <w:r w:rsidRPr="00096CA7">
              <w:rPr>
                <w:b/>
                <w:bCs/>
              </w:rPr>
              <w:t xml:space="preserve">erformed by AGE as </w:t>
            </w:r>
            <w:r w:rsidR="008C200E">
              <w:rPr>
                <w:b/>
                <w:bCs/>
              </w:rPr>
              <w:t>R</w:t>
            </w:r>
            <w:r w:rsidRPr="00096CA7">
              <w:rPr>
                <w:b/>
                <w:bCs/>
              </w:rPr>
              <w:t>egulator (certifier) to Assisted Living Residences</w:t>
            </w:r>
            <w:r w:rsidR="008E5142">
              <w:rPr>
                <w:b/>
                <w:bCs/>
              </w:rPr>
              <w:t>.</w:t>
            </w:r>
          </w:p>
        </w:tc>
      </w:tr>
      <w:tr w:rsidR="00AD2C36" w14:paraId="7302D2E8" w14:textId="77777777" w:rsidTr="00DF5D3D">
        <w:trPr>
          <w:trHeight w:val="341"/>
        </w:trPr>
        <w:tc>
          <w:tcPr>
            <w:tcW w:w="2250" w:type="dxa"/>
          </w:tcPr>
          <w:p w14:paraId="2B0DB03A" w14:textId="77777777" w:rsidR="00AD2C36" w:rsidRPr="00326E1D" w:rsidRDefault="00AD2C36" w:rsidP="00A80EDD">
            <w:pPr>
              <w:rPr>
                <w:b/>
                <w:bCs/>
              </w:rPr>
            </w:pPr>
            <w:r w:rsidRPr="00326E1D">
              <w:rPr>
                <w:b/>
                <w:bCs/>
              </w:rPr>
              <w:t>Domain:</w:t>
            </w:r>
          </w:p>
        </w:tc>
        <w:tc>
          <w:tcPr>
            <w:tcW w:w="270" w:type="dxa"/>
          </w:tcPr>
          <w:p w14:paraId="472E5E10" w14:textId="77777777" w:rsidR="00AD2C36" w:rsidRDefault="00AD2C36" w:rsidP="00A80EDD"/>
        </w:tc>
        <w:tc>
          <w:tcPr>
            <w:tcW w:w="7645" w:type="dxa"/>
          </w:tcPr>
          <w:p w14:paraId="58DB601B" w14:textId="1AE36CDC" w:rsidR="00AD2C36" w:rsidRDefault="00C47C0D" w:rsidP="00A80EDD">
            <w:r>
              <w:t xml:space="preserve">ALR </w:t>
            </w:r>
            <w:r w:rsidR="00FB0D7D">
              <w:t xml:space="preserve">Oversight </w:t>
            </w:r>
            <w:r>
              <w:t>Adequacy</w:t>
            </w:r>
          </w:p>
        </w:tc>
      </w:tr>
      <w:tr w:rsidR="00AD2C36" w14:paraId="3E58C76D" w14:textId="77777777" w:rsidTr="00A80EDD">
        <w:trPr>
          <w:trHeight w:val="440"/>
        </w:trPr>
        <w:tc>
          <w:tcPr>
            <w:tcW w:w="2250" w:type="dxa"/>
          </w:tcPr>
          <w:p w14:paraId="4E620C16" w14:textId="77777777" w:rsidR="00AD2C36" w:rsidRPr="00326E1D" w:rsidRDefault="00AD2C36" w:rsidP="00A80EDD">
            <w:pPr>
              <w:rPr>
                <w:b/>
                <w:bCs/>
              </w:rPr>
            </w:pPr>
            <w:r w:rsidRPr="00326E1D">
              <w:rPr>
                <w:b/>
                <w:bCs/>
              </w:rPr>
              <w:t>Change Type:</w:t>
            </w:r>
          </w:p>
        </w:tc>
        <w:tc>
          <w:tcPr>
            <w:tcW w:w="270" w:type="dxa"/>
          </w:tcPr>
          <w:p w14:paraId="227680EF" w14:textId="77777777" w:rsidR="00AD2C36" w:rsidRDefault="00AD2C36" w:rsidP="00A80EDD"/>
        </w:tc>
        <w:tc>
          <w:tcPr>
            <w:tcW w:w="7645" w:type="dxa"/>
          </w:tcPr>
          <w:p w14:paraId="373D1B9B" w14:textId="1FD8F0DC" w:rsidR="00AD2C36" w:rsidRDefault="001E5122" w:rsidP="00A80EDD">
            <w:r>
              <w:t>Statutory Amendment</w:t>
            </w:r>
          </w:p>
        </w:tc>
      </w:tr>
      <w:tr w:rsidR="00AD2C36" w14:paraId="3D95A410" w14:textId="77777777" w:rsidTr="00BC6372">
        <w:trPr>
          <w:trHeight w:val="2240"/>
        </w:trPr>
        <w:tc>
          <w:tcPr>
            <w:tcW w:w="2250" w:type="dxa"/>
          </w:tcPr>
          <w:p w14:paraId="6EE76A53" w14:textId="77777777" w:rsidR="00AD2C36" w:rsidRPr="00326E1D" w:rsidRDefault="00AD2C36" w:rsidP="00A80EDD">
            <w:pPr>
              <w:rPr>
                <w:b/>
                <w:bCs/>
              </w:rPr>
            </w:pPr>
            <w:r w:rsidRPr="00326E1D">
              <w:rPr>
                <w:b/>
                <w:bCs/>
              </w:rPr>
              <w:t>Problem Statement:</w:t>
            </w:r>
          </w:p>
        </w:tc>
        <w:tc>
          <w:tcPr>
            <w:tcW w:w="270" w:type="dxa"/>
          </w:tcPr>
          <w:p w14:paraId="3EE6E82A" w14:textId="77777777" w:rsidR="00AD2C36" w:rsidRDefault="00AD2C36" w:rsidP="00A80EDD"/>
        </w:tc>
        <w:tc>
          <w:tcPr>
            <w:tcW w:w="7645" w:type="dxa"/>
          </w:tcPr>
          <w:p w14:paraId="3B657065" w14:textId="3089390F" w:rsidR="007F3E4E" w:rsidRDefault="00DE3890" w:rsidP="00BC6372">
            <w:r>
              <w:t>Presently, an Assisted Living Residence can anticipate that an on-site review from an AGE ALR Certification Specialist will occur near the end of their two-year licensing cycle. Active AGE practice does facilitate on-site reviews in response to critical incident reports. However, the current statute is viewed as outdated in that it places restrictions on when AGE as regulator can conduct on-site reviews beyond the annual certification practice. The current statute limits additional on-site reviews to instances where AGE has a probable cause belief that an ALR is in a state of non-compliance with Assisted Living certification requirements.</w:t>
            </w:r>
          </w:p>
        </w:tc>
      </w:tr>
      <w:tr w:rsidR="00AD2C36" w14:paraId="47F1D108" w14:textId="77777777" w:rsidTr="00BC6372">
        <w:trPr>
          <w:trHeight w:val="1979"/>
        </w:trPr>
        <w:tc>
          <w:tcPr>
            <w:tcW w:w="2250" w:type="dxa"/>
          </w:tcPr>
          <w:p w14:paraId="30C3DDB1" w14:textId="77777777" w:rsidR="00AD2C36" w:rsidRPr="00326E1D" w:rsidRDefault="00AD2C36" w:rsidP="00A80EDD">
            <w:pPr>
              <w:rPr>
                <w:b/>
                <w:bCs/>
              </w:rPr>
            </w:pPr>
            <w:r w:rsidRPr="00326E1D">
              <w:rPr>
                <w:b/>
                <w:bCs/>
              </w:rPr>
              <w:t>Solution Narrative:</w:t>
            </w:r>
          </w:p>
        </w:tc>
        <w:tc>
          <w:tcPr>
            <w:tcW w:w="270" w:type="dxa"/>
          </w:tcPr>
          <w:p w14:paraId="651CAE02" w14:textId="77777777" w:rsidR="00AD2C36" w:rsidRDefault="00AD2C36" w:rsidP="00A80EDD"/>
        </w:tc>
        <w:tc>
          <w:tcPr>
            <w:tcW w:w="7645" w:type="dxa"/>
          </w:tcPr>
          <w:p w14:paraId="184C7359" w14:textId="5E69E984" w:rsidR="007F3E4E" w:rsidRDefault="007F3E4E" w:rsidP="00BC6372">
            <w:r>
              <w:t>The proposed approach strengthens the AGE regulatory role by removing the condition that on-site reviews be subject to a probable cause belief of non-compliance. Furthermore, it requires that in addition to the routine biennial licensing review (which has a predictable cadence</w:t>
            </w:r>
            <w:r w:rsidRPr="00603C7D">
              <w:t xml:space="preserve">), that every ALR will receive an unannounced site </w:t>
            </w:r>
            <w:r w:rsidR="00603C7D" w:rsidRPr="00603C7D">
              <w:t>compliance review</w:t>
            </w:r>
            <w:r>
              <w:t>. Lasty, for instances where an ALR may demonstrate material non-compliance concerns, it requires ALR</w:t>
            </w:r>
            <w:r w:rsidR="000F0BFA">
              <w:t>s</w:t>
            </w:r>
            <w:r>
              <w:t xml:space="preserve"> to adopt risk-based ongoing monitoring procedures.</w:t>
            </w:r>
          </w:p>
        </w:tc>
      </w:tr>
      <w:tr w:rsidR="00AD2C36" w14:paraId="250596E1" w14:textId="77777777" w:rsidTr="00BE6093">
        <w:trPr>
          <w:trHeight w:val="449"/>
        </w:trPr>
        <w:tc>
          <w:tcPr>
            <w:tcW w:w="2250" w:type="dxa"/>
          </w:tcPr>
          <w:p w14:paraId="22ED067C" w14:textId="77777777" w:rsidR="00AD2C36" w:rsidRPr="00326E1D" w:rsidRDefault="00AD2C36" w:rsidP="00A80EDD">
            <w:pPr>
              <w:rPr>
                <w:b/>
                <w:bCs/>
              </w:rPr>
            </w:pPr>
            <w:r w:rsidRPr="00326E1D">
              <w:rPr>
                <w:b/>
                <w:bCs/>
              </w:rPr>
              <w:t>Insertion Description:</w:t>
            </w:r>
          </w:p>
        </w:tc>
        <w:tc>
          <w:tcPr>
            <w:tcW w:w="270" w:type="dxa"/>
          </w:tcPr>
          <w:p w14:paraId="7A1E9012" w14:textId="77777777" w:rsidR="00AD2C36" w:rsidRDefault="00AD2C36" w:rsidP="00A80EDD"/>
        </w:tc>
        <w:tc>
          <w:tcPr>
            <w:tcW w:w="7645" w:type="dxa"/>
          </w:tcPr>
          <w:p w14:paraId="0189F841" w14:textId="49BCD9DD" w:rsidR="00AD2C36" w:rsidRDefault="00962E83" w:rsidP="00BE6093">
            <w:r>
              <w:t>Statutory amendment to M.G.L. c. 19d § 5 “Biennial Review”</w:t>
            </w:r>
          </w:p>
        </w:tc>
      </w:tr>
    </w:tbl>
    <w:p w14:paraId="3363F3A7" w14:textId="2196EDDF" w:rsidR="00DA4A30" w:rsidRDefault="00DA4A30" w:rsidP="00480F80">
      <w:pPr>
        <w:pStyle w:val="ListParagraph"/>
        <w:spacing w:after="0" w:line="240" w:lineRule="auto"/>
        <w:contextualSpacing w:val="0"/>
        <w:rPr>
          <w:sz w:val="24"/>
          <w:szCs w:val="24"/>
        </w:rPr>
      </w:pPr>
    </w:p>
    <w:p w14:paraId="36303E02" w14:textId="77777777" w:rsidR="00DA4A30" w:rsidRDefault="00DA4A30">
      <w:pPr>
        <w:rPr>
          <w:sz w:val="24"/>
          <w:szCs w:val="24"/>
        </w:rPr>
      </w:pPr>
      <w:r>
        <w:rPr>
          <w:sz w:val="24"/>
          <w:szCs w:val="24"/>
        </w:rPr>
        <w:br w:type="page"/>
      </w:r>
    </w:p>
    <w:p w14:paraId="40B2ACAB" w14:textId="77777777" w:rsidR="00AD2C36" w:rsidRDefault="00AD2C36" w:rsidP="00480F80">
      <w:pPr>
        <w:pStyle w:val="ListParagraph"/>
        <w:spacing w:after="0" w:line="240" w:lineRule="auto"/>
        <w:contextualSpacing w:val="0"/>
        <w:rPr>
          <w:sz w:val="24"/>
          <w:szCs w:val="24"/>
        </w:rPr>
      </w:pPr>
    </w:p>
    <w:p w14:paraId="526AD1CF" w14:textId="5426D70F" w:rsidR="00A47867" w:rsidRPr="0006134E" w:rsidRDefault="00A47867" w:rsidP="00A47867">
      <w:pPr>
        <w:pStyle w:val="ListParagraph"/>
        <w:spacing w:after="0" w:line="240" w:lineRule="auto"/>
        <w:contextualSpacing w:val="0"/>
        <w:jc w:val="center"/>
        <w:rPr>
          <w:i/>
          <w:iCs/>
          <w:sz w:val="24"/>
          <w:szCs w:val="24"/>
        </w:rPr>
      </w:pPr>
      <w:r w:rsidRPr="0006134E">
        <w:rPr>
          <w:i/>
          <w:iCs/>
          <w:sz w:val="24"/>
          <w:szCs w:val="24"/>
        </w:rPr>
        <w:t xml:space="preserve">Exhibit #4.1 </w:t>
      </w:r>
    </w:p>
    <w:p w14:paraId="194DA2CA" w14:textId="77777777" w:rsidR="00A47867" w:rsidRPr="000F1ED4" w:rsidRDefault="00A47867" w:rsidP="005F2AD5">
      <w:pPr>
        <w:pStyle w:val="ListParagraph"/>
        <w:spacing w:after="0" w:line="240" w:lineRule="auto"/>
        <w:contextualSpacing w:val="0"/>
        <w:jc w:val="center"/>
        <w:rPr>
          <w:b/>
          <w:bCs/>
          <w:sz w:val="16"/>
          <w:szCs w:val="16"/>
        </w:rPr>
      </w:pPr>
    </w:p>
    <w:p w14:paraId="7A5C6356" w14:textId="60BBA249" w:rsidR="005F2AD5" w:rsidRDefault="005F2AD5" w:rsidP="005F2AD5">
      <w:pPr>
        <w:pStyle w:val="ListParagraph"/>
        <w:spacing w:after="0" w:line="240" w:lineRule="auto"/>
        <w:contextualSpacing w:val="0"/>
        <w:jc w:val="center"/>
        <w:rPr>
          <w:b/>
          <w:bCs/>
          <w:sz w:val="24"/>
          <w:szCs w:val="24"/>
        </w:rPr>
      </w:pPr>
      <w:r w:rsidRPr="002650FB">
        <w:rPr>
          <w:b/>
          <w:bCs/>
          <w:sz w:val="24"/>
          <w:szCs w:val="24"/>
        </w:rPr>
        <w:t>Draft Implementation Language to</w:t>
      </w:r>
      <w:r w:rsidRPr="00422168">
        <w:rPr>
          <w:b/>
          <w:bCs/>
          <w:sz w:val="24"/>
          <w:szCs w:val="24"/>
        </w:rPr>
        <w:t xml:space="preserve"> </w:t>
      </w:r>
      <w:r>
        <w:rPr>
          <w:b/>
          <w:bCs/>
          <w:sz w:val="24"/>
          <w:szCs w:val="24"/>
        </w:rPr>
        <w:t>I</w:t>
      </w:r>
      <w:r w:rsidRPr="00422168">
        <w:rPr>
          <w:b/>
          <w:bCs/>
          <w:sz w:val="24"/>
          <w:szCs w:val="24"/>
        </w:rPr>
        <w:t xml:space="preserve">ncrease the </w:t>
      </w:r>
      <w:r>
        <w:rPr>
          <w:b/>
          <w:bCs/>
          <w:sz w:val="24"/>
          <w:szCs w:val="24"/>
        </w:rPr>
        <w:t>L</w:t>
      </w:r>
      <w:r w:rsidRPr="00422168">
        <w:rPr>
          <w:b/>
          <w:bCs/>
          <w:sz w:val="24"/>
          <w:szCs w:val="24"/>
        </w:rPr>
        <w:t xml:space="preserve">evel of </w:t>
      </w:r>
      <w:r>
        <w:rPr>
          <w:b/>
          <w:bCs/>
          <w:sz w:val="24"/>
          <w:szCs w:val="24"/>
        </w:rPr>
        <w:t>S</w:t>
      </w:r>
      <w:r w:rsidRPr="00422168">
        <w:rPr>
          <w:b/>
          <w:bCs/>
          <w:sz w:val="24"/>
          <w:szCs w:val="24"/>
        </w:rPr>
        <w:t xml:space="preserve">urveillance </w:t>
      </w:r>
    </w:p>
    <w:p w14:paraId="455BC311" w14:textId="77777777" w:rsidR="005F2AD5" w:rsidRPr="00AE2CD6" w:rsidRDefault="005F2AD5" w:rsidP="005F2AD5">
      <w:pPr>
        <w:pStyle w:val="ListParagraph"/>
        <w:spacing w:after="0" w:line="240" w:lineRule="auto"/>
        <w:contextualSpacing w:val="0"/>
        <w:jc w:val="center"/>
        <w:rPr>
          <w:sz w:val="24"/>
          <w:szCs w:val="24"/>
        </w:rPr>
      </w:pPr>
      <w:r>
        <w:rPr>
          <w:b/>
          <w:bCs/>
          <w:sz w:val="24"/>
          <w:szCs w:val="24"/>
        </w:rPr>
        <w:t>P</w:t>
      </w:r>
      <w:r w:rsidRPr="00422168">
        <w:rPr>
          <w:b/>
          <w:bCs/>
          <w:sz w:val="24"/>
          <w:szCs w:val="24"/>
        </w:rPr>
        <w:t xml:space="preserve">erformed by AGE as </w:t>
      </w:r>
      <w:r>
        <w:rPr>
          <w:b/>
          <w:bCs/>
          <w:sz w:val="24"/>
          <w:szCs w:val="24"/>
        </w:rPr>
        <w:t>R</w:t>
      </w:r>
      <w:r w:rsidRPr="00422168">
        <w:rPr>
          <w:b/>
          <w:bCs/>
          <w:sz w:val="24"/>
          <w:szCs w:val="24"/>
        </w:rPr>
        <w:t>egulator (certifier) to Assisted Living Residences</w:t>
      </w:r>
      <w:r w:rsidRPr="002650FB">
        <w:rPr>
          <w:b/>
          <w:bCs/>
          <w:sz w:val="24"/>
          <w:szCs w:val="24"/>
        </w:rPr>
        <w:t xml:space="preserve"> </w:t>
      </w:r>
    </w:p>
    <w:p w14:paraId="6C574182" w14:textId="77777777" w:rsidR="005F2AD5" w:rsidRPr="000F1ED4" w:rsidRDefault="005F2AD5" w:rsidP="005F2AD5">
      <w:pPr>
        <w:pStyle w:val="ListParagraph"/>
        <w:spacing w:after="0" w:line="240" w:lineRule="auto"/>
        <w:contextualSpacing w:val="0"/>
        <w:rPr>
          <w:sz w:val="16"/>
          <w:szCs w:val="16"/>
        </w:rPr>
      </w:pPr>
    </w:p>
    <w:tbl>
      <w:tblPr>
        <w:tblStyle w:val="TableGrid"/>
        <w:tblW w:w="0" w:type="auto"/>
        <w:tblInd w:w="-5" w:type="dxa"/>
        <w:tblLook w:val="04A0" w:firstRow="1" w:lastRow="0" w:firstColumn="1" w:lastColumn="0" w:noHBand="0" w:noVBand="1"/>
      </w:tblPr>
      <w:tblGrid>
        <w:gridCol w:w="8100"/>
        <w:gridCol w:w="270"/>
        <w:gridCol w:w="2425"/>
      </w:tblGrid>
      <w:tr w:rsidR="005F2AD5" w14:paraId="19D908E3" w14:textId="77777777" w:rsidTr="000F1ED4">
        <w:tc>
          <w:tcPr>
            <w:tcW w:w="8100" w:type="dxa"/>
          </w:tcPr>
          <w:p w14:paraId="6A790C5D" w14:textId="1BCFFB1A" w:rsidR="005F2AD5" w:rsidRDefault="005F2AD5" w:rsidP="00A552A0">
            <w:pPr>
              <w:pStyle w:val="ListParagraph"/>
              <w:ind w:left="0"/>
              <w:contextualSpacing w:val="0"/>
              <w:rPr>
                <w:sz w:val="24"/>
                <w:szCs w:val="24"/>
              </w:rPr>
            </w:pPr>
            <w:r w:rsidRPr="00E6075B">
              <w:rPr>
                <w:b/>
                <w:bCs/>
              </w:rPr>
              <w:t>Proposed Language</w:t>
            </w:r>
            <w:r w:rsidR="00B00CEC" w:rsidRPr="00E6075B">
              <w:rPr>
                <w:b/>
                <w:bCs/>
              </w:rPr>
              <w:t xml:space="preserve"> </w:t>
            </w:r>
            <w:r w:rsidR="00B00CEC">
              <w:rPr>
                <w:b/>
                <w:bCs/>
              </w:rPr>
              <w:t xml:space="preserve">for </w:t>
            </w:r>
            <w:r w:rsidR="00B00CEC" w:rsidRPr="00096CA7">
              <w:rPr>
                <w:b/>
                <w:bCs/>
              </w:rPr>
              <w:t>Amend</w:t>
            </w:r>
            <w:r w:rsidR="00B00CEC">
              <w:rPr>
                <w:b/>
                <w:bCs/>
              </w:rPr>
              <w:t>ing</w:t>
            </w:r>
            <w:r w:rsidR="00B00CEC" w:rsidRPr="00096CA7">
              <w:rPr>
                <w:b/>
                <w:bCs/>
              </w:rPr>
              <w:t xml:space="preserve"> the ALR statute (M.G.L. c. 19D)</w:t>
            </w:r>
            <w:r w:rsidR="00B00CEC">
              <w:rPr>
                <w:b/>
                <w:bCs/>
              </w:rPr>
              <w:t xml:space="preserve"> (offered in redline)</w:t>
            </w:r>
          </w:p>
        </w:tc>
        <w:tc>
          <w:tcPr>
            <w:tcW w:w="270" w:type="dxa"/>
          </w:tcPr>
          <w:p w14:paraId="40DC3A9B" w14:textId="77777777" w:rsidR="005F2AD5" w:rsidRDefault="005F2AD5" w:rsidP="00A552A0">
            <w:pPr>
              <w:pStyle w:val="ListParagraph"/>
              <w:ind w:left="0"/>
              <w:contextualSpacing w:val="0"/>
              <w:rPr>
                <w:sz w:val="24"/>
                <w:szCs w:val="24"/>
              </w:rPr>
            </w:pPr>
          </w:p>
        </w:tc>
        <w:tc>
          <w:tcPr>
            <w:tcW w:w="2425" w:type="dxa"/>
          </w:tcPr>
          <w:p w14:paraId="5BC11896" w14:textId="77777777" w:rsidR="005F2AD5" w:rsidRDefault="005F2AD5" w:rsidP="00A552A0">
            <w:pPr>
              <w:pStyle w:val="ListParagraph"/>
              <w:ind w:left="0"/>
              <w:contextualSpacing w:val="0"/>
              <w:rPr>
                <w:sz w:val="24"/>
                <w:szCs w:val="24"/>
              </w:rPr>
            </w:pPr>
            <w:r w:rsidRPr="0087213B">
              <w:rPr>
                <w:b/>
                <w:bCs/>
              </w:rPr>
              <w:t>Comment</w:t>
            </w:r>
          </w:p>
        </w:tc>
      </w:tr>
      <w:tr w:rsidR="00B937B3" w14:paraId="24C685D1" w14:textId="77777777" w:rsidTr="000F1ED4">
        <w:tc>
          <w:tcPr>
            <w:tcW w:w="8100" w:type="dxa"/>
          </w:tcPr>
          <w:p w14:paraId="6B1DF5A4" w14:textId="57AC1EBB" w:rsidR="00B937B3" w:rsidRDefault="00B937B3" w:rsidP="00B937B3">
            <w:pPr>
              <w:pStyle w:val="ListParagraph"/>
              <w:ind w:left="0"/>
              <w:contextualSpacing w:val="0"/>
              <w:rPr>
                <w:sz w:val="24"/>
                <w:szCs w:val="24"/>
              </w:rPr>
            </w:pPr>
            <w:r w:rsidRPr="004257EA">
              <w:rPr>
                <w:b/>
                <w:bCs/>
              </w:rPr>
              <w:t>Section 5</w:t>
            </w:r>
            <w:r>
              <w:rPr>
                <w:b/>
                <w:bCs/>
              </w:rPr>
              <w:t xml:space="preserve"> </w:t>
            </w:r>
            <w:r w:rsidRPr="004257EA">
              <w:rPr>
                <w:b/>
                <w:bCs/>
              </w:rPr>
              <w:t>Biennial review</w:t>
            </w:r>
            <w:r>
              <w:rPr>
                <w:b/>
                <w:bCs/>
              </w:rPr>
              <w:t xml:space="preserve"> </w:t>
            </w:r>
            <w:r w:rsidRPr="00FD56FF">
              <w:rPr>
                <w:b/>
                <w:bCs/>
                <w:color w:val="EE0000"/>
              </w:rPr>
              <w:t>and ongoing risk-based on-site review</w:t>
            </w:r>
          </w:p>
        </w:tc>
        <w:tc>
          <w:tcPr>
            <w:tcW w:w="270" w:type="dxa"/>
          </w:tcPr>
          <w:p w14:paraId="776577EE" w14:textId="77777777" w:rsidR="00B937B3" w:rsidRDefault="00B937B3" w:rsidP="00B937B3">
            <w:pPr>
              <w:pStyle w:val="ListParagraph"/>
              <w:ind w:left="0"/>
              <w:contextualSpacing w:val="0"/>
              <w:rPr>
                <w:sz w:val="24"/>
                <w:szCs w:val="24"/>
              </w:rPr>
            </w:pPr>
          </w:p>
        </w:tc>
        <w:tc>
          <w:tcPr>
            <w:tcW w:w="2425" w:type="dxa"/>
          </w:tcPr>
          <w:p w14:paraId="0AB6E046" w14:textId="55C17A85" w:rsidR="00B937B3" w:rsidRDefault="00B937B3" w:rsidP="00B937B3">
            <w:pPr>
              <w:pStyle w:val="ListParagraph"/>
              <w:ind w:left="0"/>
              <w:contextualSpacing w:val="0"/>
              <w:rPr>
                <w:sz w:val="24"/>
                <w:szCs w:val="24"/>
              </w:rPr>
            </w:pPr>
            <w:r>
              <w:t>Revised Section Title</w:t>
            </w:r>
          </w:p>
        </w:tc>
      </w:tr>
      <w:tr w:rsidR="00D70076" w14:paraId="34723786" w14:textId="77777777" w:rsidTr="000F1ED4">
        <w:tc>
          <w:tcPr>
            <w:tcW w:w="8100" w:type="dxa"/>
          </w:tcPr>
          <w:p w14:paraId="20A9F8FA" w14:textId="77777777" w:rsidR="00D70076" w:rsidRPr="004257EA" w:rsidRDefault="00D70076" w:rsidP="00D70076">
            <w:pPr>
              <w:rPr>
                <w:b/>
                <w:bCs/>
              </w:rPr>
            </w:pPr>
            <w:r w:rsidRPr="004257EA">
              <w:rPr>
                <w:b/>
                <w:bCs/>
              </w:rPr>
              <w:t>(a)</w:t>
            </w:r>
          </w:p>
          <w:p w14:paraId="331A6337" w14:textId="33C14AEA" w:rsidR="00D70076" w:rsidRDefault="00D70076" w:rsidP="00D70076">
            <w:pPr>
              <w:pStyle w:val="ListParagraph"/>
              <w:ind w:left="0"/>
              <w:contextualSpacing w:val="0"/>
              <w:rPr>
                <w:sz w:val="24"/>
                <w:szCs w:val="24"/>
              </w:rPr>
            </w:pPr>
            <w:r w:rsidRPr="004257EA">
              <w:t xml:space="preserve">The department or its authorized </w:t>
            </w:r>
            <w:proofErr w:type="gramStart"/>
            <w:r w:rsidRPr="004257EA">
              <w:t>designee</w:t>
            </w:r>
            <w:proofErr w:type="gramEnd"/>
            <w:r w:rsidRPr="004257EA">
              <w:t xml:space="preserve"> shall biennially review all assisted living residences; provided, however, that an authorized </w:t>
            </w:r>
            <w:proofErr w:type="gramStart"/>
            <w:r w:rsidRPr="004257EA">
              <w:t>designee</w:t>
            </w:r>
            <w:proofErr w:type="gramEnd"/>
            <w:r w:rsidRPr="004257EA">
              <w:t xml:space="preserve"> shall not include sponsors of assisted living residences.</w:t>
            </w:r>
          </w:p>
        </w:tc>
        <w:tc>
          <w:tcPr>
            <w:tcW w:w="270" w:type="dxa"/>
          </w:tcPr>
          <w:p w14:paraId="165CF233" w14:textId="77777777" w:rsidR="00D70076" w:rsidRDefault="00D70076" w:rsidP="00D70076">
            <w:pPr>
              <w:pStyle w:val="ListParagraph"/>
              <w:ind w:left="0"/>
              <w:contextualSpacing w:val="0"/>
              <w:rPr>
                <w:sz w:val="24"/>
                <w:szCs w:val="24"/>
              </w:rPr>
            </w:pPr>
          </w:p>
        </w:tc>
        <w:tc>
          <w:tcPr>
            <w:tcW w:w="2425" w:type="dxa"/>
          </w:tcPr>
          <w:p w14:paraId="1963C069" w14:textId="77777777" w:rsidR="00D70076" w:rsidRDefault="00D70076" w:rsidP="00D70076">
            <w:pPr>
              <w:jc w:val="center"/>
            </w:pPr>
          </w:p>
          <w:p w14:paraId="06C4515E" w14:textId="22D947F9" w:rsidR="00D70076" w:rsidRDefault="00D70076" w:rsidP="00D70076">
            <w:pPr>
              <w:pStyle w:val="ListParagraph"/>
              <w:ind w:left="0"/>
              <w:contextualSpacing w:val="0"/>
              <w:rPr>
                <w:sz w:val="24"/>
                <w:szCs w:val="24"/>
              </w:rPr>
            </w:pPr>
            <w:r>
              <w:t>Unchanged</w:t>
            </w:r>
          </w:p>
        </w:tc>
      </w:tr>
      <w:tr w:rsidR="005B6E69" w14:paraId="70C12A01" w14:textId="77777777" w:rsidTr="000F1ED4">
        <w:tc>
          <w:tcPr>
            <w:tcW w:w="8100" w:type="dxa"/>
          </w:tcPr>
          <w:p w14:paraId="1716328D" w14:textId="77777777" w:rsidR="005B6E69" w:rsidRPr="004257EA" w:rsidRDefault="005B6E69" w:rsidP="005B6E69">
            <w:pPr>
              <w:rPr>
                <w:b/>
                <w:bCs/>
              </w:rPr>
            </w:pPr>
            <w:r w:rsidRPr="004257EA">
              <w:rPr>
                <w:b/>
                <w:bCs/>
              </w:rPr>
              <w:t>(b)</w:t>
            </w:r>
          </w:p>
          <w:p w14:paraId="6282872F" w14:textId="20821A64" w:rsidR="005B6E69" w:rsidRDefault="005B6E69" w:rsidP="000F1ED4">
            <w:pPr>
              <w:rPr>
                <w:sz w:val="24"/>
                <w:szCs w:val="24"/>
              </w:rPr>
            </w:pPr>
            <w:r w:rsidRPr="004257EA">
              <w:t>Prior to the issuance of the sponsor's initial certification, the department shall conduct a review to determine whether an assisted living residence is compliant with this chapter; provided</w:t>
            </w:r>
            <w:r w:rsidRPr="001A5B76">
              <w:rPr>
                <w:strike/>
                <w:color w:val="EE0000"/>
              </w:rPr>
              <w:t xml:space="preserve">, </w:t>
            </w:r>
            <w:r w:rsidRPr="00DC4A8C">
              <w:rPr>
                <w:strike/>
                <w:color w:val="EE0000"/>
              </w:rPr>
              <w:t>however</w:t>
            </w:r>
            <w:r>
              <w:rPr>
                <w:strike/>
                <w:color w:val="EE0000"/>
              </w:rPr>
              <w:t xml:space="preserve"> </w:t>
            </w:r>
            <w:r w:rsidRPr="0038438B">
              <w:rPr>
                <w:color w:val="EE0000"/>
              </w:rPr>
              <w:t>further</w:t>
            </w:r>
            <w:r w:rsidRPr="004257EA">
              <w:t xml:space="preserve">, </w:t>
            </w:r>
            <w:r w:rsidRPr="0047075F">
              <w:rPr>
                <w:color w:val="EE0000"/>
              </w:rPr>
              <w:t xml:space="preserve">in addition to the routine certification review, </w:t>
            </w:r>
            <w:r w:rsidRPr="0047075F">
              <w:rPr>
                <w:strike/>
                <w:color w:val="EE0000"/>
              </w:rPr>
              <w:t xml:space="preserve">that </w:t>
            </w:r>
            <w:r w:rsidRPr="004257EA">
              <w:t xml:space="preserve">the department </w:t>
            </w:r>
            <w:r w:rsidRPr="00C53AA6">
              <w:rPr>
                <w:strike/>
                <w:color w:val="EE0000"/>
              </w:rPr>
              <w:t xml:space="preserve">may </w:t>
            </w:r>
            <w:r w:rsidRPr="00C53AA6">
              <w:rPr>
                <w:color w:val="EE0000"/>
              </w:rPr>
              <w:t xml:space="preserve">shall </w:t>
            </w:r>
            <w:r w:rsidRPr="00D072A1">
              <w:rPr>
                <w:strike/>
                <w:color w:val="EE0000"/>
              </w:rPr>
              <w:t>conduct such review of an assisted living residence at any time the department has probable cause to believe that such assisted living residence is in violation of a provision of this chapter or any regulation promulgated thereunder.</w:t>
            </w:r>
            <w:r w:rsidRPr="00D072A1">
              <w:rPr>
                <w:color w:val="EE0000"/>
              </w:rPr>
              <w:t xml:space="preserve"> </w:t>
            </w:r>
            <w:r w:rsidRPr="00D31035">
              <w:rPr>
                <w:color w:val="EE0000"/>
              </w:rPr>
              <w:t xml:space="preserve">conduct </w:t>
            </w:r>
            <w:r w:rsidR="00571109" w:rsidRPr="00D31035">
              <w:rPr>
                <w:color w:val="EE0000"/>
              </w:rPr>
              <w:t>a</w:t>
            </w:r>
            <w:r w:rsidRPr="00D31035">
              <w:rPr>
                <w:color w:val="EE0000"/>
              </w:rPr>
              <w:t xml:space="preserve"> compliance review</w:t>
            </w:r>
            <w:r>
              <w:rPr>
                <w:color w:val="EE0000"/>
              </w:rPr>
              <w:t xml:space="preserve"> for every assisted living residence</w:t>
            </w:r>
            <w:r w:rsidRPr="00D31035">
              <w:rPr>
                <w:color w:val="EE0000"/>
              </w:rPr>
              <w:t xml:space="preserve"> at a frequenc</w:t>
            </w:r>
            <w:r>
              <w:rPr>
                <w:color w:val="EE0000"/>
              </w:rPr>
              <w:t>y</w:t>
            </w:r>
            <w:r w:rsidRPr="00D31035">
              <w:rPr>
                <w:color w:val="EE0000"/>
              </w:rPr>
              <w:t xml:space="preserve"> of no less than once every </w:t>
            </w:r>
            <w:r w:rsidR="00872B4E">
              <w:rPr>
                <w:color w:val="EE0000"/>
              </w:rPr>
              <w:t>eighteen months</w:t>
            </w:r>
            <w:r w:rsidRPr="00D31035">
              <w:rPr>
                <w:color w:val="EE0000"/>
              </w:rPr>
              <w:t>.</w:t>
            </w:r>
            <w:r w:rsidR="004564D6">
              <w:rPr>
                <w:color w:val="EE0000"/>
              </w:rPr>
              <w:t xml:space="preserve"> </w:t>
            </w:r>
            <w:r w:rsidR="006F7A94">
              <w:rPr>
                <w:color w:val="EE0000"/>
              </w:rPr>
              <w:t>The department shall ensure that</w:t>
            </w:r>
            <w:r w:rsidR="001E18E8">
              <w:rPr>
                <w:color w:val="EE0000"/>
              </w:rPr>
              <w:t xml:space="preserve"> within </w:t>
            </w:r>
            <w:r w:rsidR="004D5172">
              <w:rPr>
                <w:color w:val="EE0000"/>
              </w:rPr>
              <w:t xml:space="preserve">no longer than a </w:t>
            </w:r>
            <w:r w:rsidR="00134E0D">
              <w:rPr>
                <w:color w:val="EE0000"/>
              </w:rPr>
              <w:t>fifteen-month</w:t>
            </w:r>
            <w:r w:rsidR="004D5172">
              <w:rPr>
                <w:color w:val="EE0000"/>
              </w:rPr>
              <w:t xml:space="preserve"> period,</w:t>
            </w:r>
            <w:r w:rsidR="006F7A94">
              <w:rPr>
                <w:color w:val="EE0000"/>
              </w:rPr>
              <w:t xml:space="preserve"> </w:t>
            </w:r>
            <w:r w:rsidR="00A03BD9">
              <w:rPr>
                <w:color w:val="EE0000"/>
              </w:rPr>
              <w:t>every</w:t>
            </w:r>
            <w:r w:rsidR="006F7A94">
              <w:rPr>
                <w:color w:val="EE0000"/>
              </w:rPr>
              <w:t xml:space="preserve"> assisted living residence</w:t>
            </w:r>
            <w:r w:rsidR="004D5172">
              <w:rPr>
                <w:color w:val="EE0000"/>
              </w:rPr>
              <w:t xml:space="preserve"> shall</w:t>
            </w:r>
            <w:r w:rsidRPr="00D31035">
              <w:rPr>
                <w:color w:val="EE0000"/>
              </w:rPr>
              <w:t xml:space="preserve"> </w:t>
            </w:r>
            <w:r w:rsidR="00A35A3E">
              <w:rPr>
                <w:color w:val="EE0000"/>
              </w:rPr>
              <w:t>experience</w:t>
            </w:r>
            <w:r w:rsidR="0048624F">
              <w:rPr>
                <w:color w:val="EE0000"/>
              </w:rPr>
              <w:t xml:space="preserve"> at least one on-site review related to a certification review or </w:t>
            </w:r>
            <w:r w:rsidR="0009003C">
              <w:rPr>
                <w:color w:val="EE0000"/>
              </w:rPr>
              <w:t xml:space="preserve">a </w:t>
            </w:r>
            <w:r w:rsidR="009C48D9">
              <w:rPr>
                <w:color w:val="EE0000"/>
              </w:rPr>
              <w:t>compliance review.</w:t>
            </w:r>
            <w:r w:rsidR="00A118A3">
              <w:rPr>
                <w:color w:val="EE0000"/>
              </w:rPr>
              <w:t xml:space="preserve"> </w:t>
            </w:r>
            <w:r w:rsidR="009C5EDD">
              <w:rPr>
                <w:color w:val="EE0000"/>
              </w:rPr>
              <w:t xml:space="preserve">A certification review </w:t>
            </w:r>
            <w:r w:rsidR="00D10412">
              <w:rPr>
                <w:color w:val="EE0000"/>
              </w:rPr>
              <w:t xml:space="preserve">may provide advance notice of no longer than one business day. </w:t>
            </w:r>
            <w:r w:rsidR="0035455D">
              <w:rPr>
                <w:color w:val="EE0000"/>
              </w:rPr>
              <w:t>A compliance review shall be unannounced.</w:t>
            </w:r>
            <w:r w:rsidR="00A35A3E">
              <w:rPr>
                <w:color w:val="EE0000"/>
              </w:rPr>
              <w:t xml:space="preserve"> </w:t>
            </w:r>
            <w:r w:rsidR="0035455D">
              <w:rPr>
                <w:color w:val="EE0000"/>
              </w:rPr>
              <w:t>Provided further</w:t>
            </w:r>
            <w:r w:rsidRPr="00D31035">
              <w:rPr>
                <w:color w:val="EE0000"/>
              </w:rPr>
              <w:t xml:space="preserve">, the department shall develop a risk-based </w:t>
            </w:r>
            <w:r>
              <w:rPr>
                <w:color w:val="EE0000"/>
              </w:rPr>
              <w:t xml:space="preserve">on-site </w:t>
            </w:r>
            <w:r w:rsidRPr="00D31035">
              <w:rPr>
                <w:color w:val="EE0000"/>
              </w:rPr>
              <w:t>review policy which establishes criteria for when a</w:t>
            </w:r>
            <w:r w:rsidR="00E4686A">
              <w:rPr>
                <w:color w:val="EE0000"/>
              </w:rPr>
              <w:t xml:space="preserve">n on-site </w:t>
            </w:r>
            <w:r w:rsidRPr="00D31035">
              <w:rPr>
                <w:color w:val="EE0000"/>
              </w:rPr>
              <w:t>review identifies</w:t>
            </w:r>
            <w:r>
              <w:rPr>
                <w:color w:val="EE0000"/>
              </w:rPr>
              <w:t xml:space="preserve"> significant</w:t>
            </w:r>
            <w:r w:rsidRPr="00D31035">
              <w:rPr>
                <w:color w:val="EE0000"/>
              </w:rPr>
              <w:t xml:space="preserve"> compliance concerns</w:t>
            </w:r>
            <w:r>
              <w:rPr>
                <w:color w:val="EE0000"/>
              </w:rPr>
              <w:t xml:space="preserve">. Such </w:t>
            </w:r>
            <w:proofErr w:type="gramStart"/>
            <w:r>
              <w:rPr>
                <w:color w:val="EE0000"/>
              </w:rPr>
              <w:t>policy shall</w:t>
            </w:r>
            <w:proofErr w:type="gramEnd"/>
            <w:r>
              <w:rPr>
                <w:color w:val="EE0000"/>
              </w:rPr>
              <w:t xml:space="preserve"> </w:t>
            </w:r>
            <w:r w:rsidRPr="00D31035">
              <w:rPr>
                <w:color w:val="EE0000"/>
              </w:rPr>
              <w:t xml:space="preserve">require a series of unannounced </w:t>
            </w:r>
            <w:r>
              <w:rPr>
                <w:color w:val="EE0000"/>
              </w:rPr>
              <w:t xml:space="preserve">on-site follow-up </w:t>
            </w:r>
            <w:r w:rsidRPr="00D31035">
              <w:rPr>
                <w:color w:val="EE0000"/>
              </w:rPr>
              <w:t>reviews</w:t>
            </w:r>
            <w:r>
              <w:rPr>
                <w:color w:val="EE0000"/>
              </w:rPr>
              <w:t xml:space="preserve"> after the submission and acceptance of a corrective action plan. Such follow-up reviews </w:t>
            </w:r>
            <w:r w:rsidRPr="00D31035">
              <w:rPr>
                <w:color w:val="EE0000"/>
              </w:rPr>
              <w:t>are</w:t>
            </w:r>
            <w:r>
              <w:rPr>
                <w:color w:val="EE0000"/>
              </w:rPr>
              <w:t xml:space="preserve"> to be considered</w:t>
            </w:r>
            <w:r w:rsidRPr="00D31035">
              <w:rPr>
                <w:color w:val="EE0000"/>
              </w:rPr>
              <w:t xml:space="preserve"> preventative</w:t>
            </w:r>
            <w:r>
              <w:rPr>
                <w:color w:val="EE0000"/>
              </w:rPr>
              <w:t xml:space="preserve"> in nature</w:t>
            </w:r>
            <w:r w:rsidRPr="00D31035">
              <w:rPr>
                <w:color w:val="EE0000"/>
              </w:rPr>
              <w:t xml:space="preserve"> </w:t>
            </w:r>
            <w:r>
              <w:rPr>
                <w:color w:val="EE0000"/>
              </w:rPr>
              <w:t xml:space="preserve">and </w:t>
            </w:r>
            <w:r w:rsidRPr="00D31035">
              <w:rPr>
                <w:color w:val="EE0000"/>
              </w:rPr>
              <w:t>to</w:t>
            </w:r>
            <w:r>
              <w:rPr>
                <w:color w:val="EE0000"/>
              </w:rPr>
              <w:t xml:space="preserve"> help</w:t>
            </w:r>
            <w:r w:rsidRPr="00D31035">
              <w:rPr>
                <w:color w:val="EE0000"/>
              </w:rPr>
              <w:t xml:space="preserve"> guard against</w:t>
            </w:r>
            <w:r>
              <w:rPr>
                <w:color w:val="EE0000"/>
              </w:rPr>
              <w:t xml:space="preserve"> the Residence</w:t>
            </w:r>
            <w:r w:rsidRPr="00D31035">
              <w:rPr>
                <w:color w:val="EE0000"/>
              </w:rPr>
              <w:t xml:space="preserve"> </w:t>
            </w:r>
            <w:r>
              <w:rPr>
                <w:color w:val="EE0000"/>
              </w:rPr>
              <w:t>relapsing</w:t>
            </w:r>
            <w:r w:rsidRPr="00D31035">
              <w:rPr>
                <w:color w:val="EE0000"/>
              </w:rPr>
              <w:t xml:space="preserve"> into a state of</w:t>
            </w:r>
            <w:r>
              <w:rPr>
                <w:color w:val="EE0000"/>
              </w:rPr>
              <w:t xml:space="preserve"> material</w:t>
            </w:r>
            <w:r w:rsidRPr="00D31035">
              <w:rPr>
                <w:color w:val="EE0000"/>
              </w:rPr>
              <w:t xml:space="preserve"> non-compliance. The frequency</w:t>
            </w:r>
            <w:r>
              <w:rPr>
                <w:color w:val="EE0000"/>
              </w:rPr>
              <w:t xml:space="preserve"> of</w:t>
            </w:r>
            <w:r w:rsidRPr="00D31035">
              <w:rPr>
                <w:color w:val="EE0000"/>
              </w:rPr>
              <w:t xml:space="preserve"> these unannounced reviews shall be in proportion to the severity of</w:t>
            </w:r>
            <w:r>
              <w:rPr>
                <w:color w:val="EE0000"/>
              </w:rPr>
              <w:t xml:space="preserve"> the initially</w:t>
            </w:r>
            <w:r w:rsidRPr="00D31035">
              <w:rPr>
                <w:color w:val="EE0000"/>
              </w:rPr>
              <w:t xml:space="preserve"> observed non-compliance.</w:t>
            </w:r>
            <w:r>
              <w:rPr>
                <w:color w:val="EE0000"/>
              </w:rPr>
              <w:t xml:space="preserve"> </w:t>
            </w:r>
            <w:r w:rsidRPr="004257EA">
              <w:t>Such review shall include: (i) an inspection of every part of the common areas of the assisted living residence and the living quarters of a resident with the resident's prior consent; (ii) an examination of the operating plan; (iii) an examination of a resident's service plan and written progress reports with the resident’s consent; and (iv) resident satisfaction surveys. An inspector shall have authority to confidentially and privately interview the sponsor, manager, staff and residents.</w:t>
            </w:r>
          </w:p>
        </w:tc>
        <w:tc>
          <w:tcPr>
            <w:tcW w:w="270" w:type="dxa"/>
          </w:tcPr>
          <w:p w14:paraId="44890F29" w14:textId="77777777" w:rsidR="005B6E69" w:rsidRDefault="005B6E69" w:rsidP="005B6E69">
            <w:pPr>
              <w:pStyle w:val="ListParagraph"/>
              <w:ind w:left="0"/>
              <w:contextualSpacing w:val="0"/>
              <w:rPr>
                <w:sz w:val="24"/>
                <w:szCs w:val="24"/>
              </w:rPr>
            </w:pPr>
          </w:p>
        </w:tc>
        <w:tc>
          <w:tcPr>
            <w:tcW w:w="2425" w:type="dxa"/>
          </w:tcPr>
          <w:p w14:paraId="4F46536B" w14:textId="77777777" w:rsidR="005B6E69" w:rsidRDefault="005B6E69" w:rsidP="005B6E69">
            <w:pPr>
              <w:jc w:val="center"/>
            </w:pPr>
          </w:p>
          <w:p w14:paraId="59175FC0" w14:textId="641EEB03" w:rsidR="005B6E69" w:rsidRDefault="005B6E69" w:rsidP="005B6E69">
            <w:pPr>
              <w:pStyle w:val="ListParagraph"/>
              <w:ind w:left="0"/>
              <w:contextualSpacing w:val="0"/>
              <w:rPr>
                <w:sz w:val="24"/>
                <w:szCs w:val="24"/>
              </w:rPr>
            </w:pPr>
            <w:r>
              <w:t>Intended function is to 1) strike requirement that AGE ad hoc on-site reviews must be predicated on probable cause belief of non-compliance (a regulator should be able to go on-site of a regulated entity without cause); 2) mandate</w:t>
            </w:r>
            <w:r w:rsidR="00FE0965">
              <w:t xml:space="preserve"> that no ALR goes more than 15</w:t>
            </w:r>
            <w:r w:rsidR="00744CA2">
              <w:t>-</w:t>
            </w:r>
            <w:r w:rsidR="00FE0965">
              <w:t xml:space="preserve"> months without an on-site review</w:t>
            </w:r>
            <w:r w:rsidR="00744CA2">
              <w:t>; 3)</w:t>
            </w:r>
            <w:r>
              <w:t xml:space="preserve"> </w:t>
            </w:r>
            <w:r w:rsidR="00744CA2">
              <w:t xml:space="preserve">Limits certification advance notice to no longer than 1 business day and </w:t>
            </w:r>
            <w:r w:rsidR="004A70F9">
              <w:t>requires compliance reviews to be unannounced</w:t>
            </w:r>
            <w:r>
              <w:t xml:space="preserve">; and </w:t>
            </w:r>
            <w:r w:rsidR="00C34EA3">
              <w:t>4</w:t>
            </w:r>
            <w:r>
              <w:t>) adopt</w:t>
            </w:r>
            <w:r w:rsidR="00C34EA3">
              <w:t>s</w:t>
            </w:r>
            <w:r>
              <w:t xml:space="preserve"> risk-based review principles.</w:t>
            </w:r>
          </w:p>
        </w:tc>
      </w:tr>
      <w:tr w:rsidR="005B6E69" w14:paraId="06E43FA8" w14:textId="77777777" w:rsidTr="000F1ED4">
        <w:tc>
          <w:tcPr>
            <w:tcW w:w="8100" w:type="dxa"/>
          </w:tcPr>
          <w:p w14:paraId="06755E4D" w14:textId="77777777" w:rsidR="00BE5C8A" w:rsidRPr="004257EA" w:rsidRDefault="00BE5C8A" w:rsidP="00BE5C8A">
            <w:pPr>
              <w:rPr>
                <w:b/>
                <w:bCs/>
              </w:rPr>
            </w:pPr>
            <w:r w:rsidRPr="004257EA">
              <w:rPr>
                <w:b/>
                <w:bCs/>
              </w:rPr>
              <w:t>c)</w:t>
            </w:r>
          </w:p>
          <w:p w14:paraId="5AE623AF" w14:textId="5FAF5CDA" w:rsidR="005B6E69" w:rsidRDefault="00BE5C8A" w:rsidP="00BE5C8A">
            <w:r w:rsidRPr="004257EA">
              <w:t>Reviews of assisted living residences certified to provide basic health services shall include an inspection of records associated with the provision of basic health services, a review of residence employee qualifications and the residence’s operating plan.</w:t>
            </w:r>
          </w:p>
        </w:tc>
        <w:tc>
          <w:tcPr>
            <w:tcW w:w="270" w:type="dxa"/>
          </w:tcPr>
          <w:p w14:paraId="49F3C47E" w14:textId="77777777" w:rsidR="005B6E69" w:rsidRDefault="005B6E69" w:rsidP="005B6E69">
            <w:pPr>
              <w:pStyle w:val="ListParagraph"/>
              <w:ind w:left="0"/>
              <w:contextualSpacing w:val="0"/>
              <w:rPr>
                <w:sz w:val="24"/>
                <w:szCs w:val="24"/>
              </w:rPr>
            </w:pPr>
          </w:p>
        </w:tc>
        <w:tc>
          <w:tcPr>
            <w:tcW w:w="2425" w:type="dxa"/>
          </w:tcPr>
          <w:p w14:paraId="38290056" w14:textId="77777777" w:rsidR="00490F56" w:rsidRDefault="00490F56" w:rsidP="005B6E69">
            <w:pPr>
              <w:pStyle w:val="ListParagraph"/>
              <w:ind w:left="0"/>
              <w:contextualSpacing w:val="0"/>
            </w:pPr>
          </w:p>
          <w:p w14:paraId="720A0EBC" w14:textId="765F1156" w:rsidR="005B6E69" w:rsidRDefault="00490F56" w:rsidP="005B6E69">
            <w:pPr>
              <w:pStyle w:val="ListParagraph"/>
              <w:ind w:left="0"/>
              <w:contextualSpacing w:val="0"/>
              <w:rPr>
                <w:sz w:val="24"/>
                <w:szCs w:val="24"/>
              </w:rPr>
            </w:pPr>
            <w:r>
              <w:t>Unchanged</w:t>
            </w:r>
          </w:p>
        </w:tc>
      </w:tr>
      <w:tr w:rsidR="00B26A24" w14:paraId="59F6856C" w14:textId="77777777" w:rsidTr="000F1ED4">
        <w:tc>
          <w:tcPr>
            <w:tcW w:w="8100" w:type="dxa"/>
          </w:tcPr>
          <w:p w14:paraId="750D361E" w14:textId="77777777" w:rsidR="00B26A24" w:rsidRPr="007D2798" w:rsidRDefault="00B26A24" w:rsidP="00B26A24">
            <w:pPr>
              <w:rPr>
                <w:b/>
                <w:bCs/>
              </w:rPr>
            </w:pPr>
            <w:r w:rsidRPr="007D2798">
              <w:rPr>
                <w:b/>
                <w:bCs/>
              </w:rPr>
              <w:t>(d)</w:t>
            </w:r>
          </w:p>
          <w:p w14:paraId="03346B67" w14:textId="206EB6E8" w:rsidR="00B26A24" w:rsidRDefault="00B26A24" w:rsidP="000F1ED4">
            <w:r w:rsidRPr="004257EA">
              <w:t>Upon the completion of an annual or biennial review, the department shall prepare a written report summarizing all pertinent information obtained during the review and shall not disclose confidential or privileged information obtained in connection with such review. The department shall promulgate rules and regulations necessary to ensure the sponsor receives such report and, if applicable, has the opportunity to respond to and resolve any findings of noncompliance prior to departmental enforcement action. Completed reports, responses and notices of final action shall be made available to the public at the department during business hours together with the responses of the applicants or the sponsors and said reports, responses and notices of final action shall be posted on the website of the department.</w:t>
            </w:r>
          </w:p>
        </w:tc>
        <w:tc>
          <w:tcPr>
            <w:tcW w:w="270" w:type="dxa"/>
          </w:tcPr>
          <w:p w14:paraId="0D090A4A" w14:textId="77777777" w:rsidR="00B26A24" w:rsidRDefault="00B26A24" w:rsidP="00B26A24">
            <w:pPr>
              <w:pStyle w:val="ListParagraph"/>
              <w:ind w:left="0"/>
              <w:contextualSpacing w:val="0"/>
              <w:rPr>
                <w:sz w:val="24"/>
                <w:szCs w:val="24"/>
              </w:rPr>
            </w:pPr>
          </w:p>
        </w:tc>
        <w:tc>
          <w:tcPr>
            <w:tcW w:w="2425" w:type="dxa"/>
          </w:tcPr>
          <w:p w14:paraId="7CA5930D" w14:textId="77777777" w:rsidR="00B26A24" w:rsidRDefault="00B26A24" w:rsidP="00B26A24">
            <w:pPr>
              <w:jc w:val="center"/>
            </w:pPr>
          </w:p>
          <w:p w14:paraId="2EDC7162" w14:textId="77075F3E" w:rsidR="00B26A24" w:rsidRDefault="00B26A24" w:rsidP="00B26A24">
            <w:pPr>
              <w:pStyle w:val="ListParagraph"/>
              <w:ind w:left="0"/>
              <w:contextualSpacing w:val="0"/>
            </w:pPr>
            <w:r>
              <w:t>Unchanged</w:t>
            </w:r>
          </w:p>
        </w:tc>
      </w:tr>
    </w:tbl>
    <w:p w14:paraId="108F81BA" w14:textId="5F302BA3" w:rsidR="009C569E" w:rsidRPr="0006134E" w:rsidRDefault="009C569E" w:rsidP="009C569E">
      <w:pPr>
        <w:pStyle w:val="ListParagraph"/>
        <w:spacing w:after="0" w:line="240" w:lineRule="auto"/>
        <w:contextualSpacing w:val="0"/>
        <w:jc w:val="center"/>
        <w:rPr>
          <w:i/>
          <w:iCs/>
          <w:sz w:val="24"/>
          <w:szCs w:val="24"/>
        </w:rPr>
      </w:pPr>
      <w:r w:rsidRPr="0006134E">
        <w:rPr>
          <w:i/>
          <w:iCs/>
          <w:sz w:val="24"/>
          <w:szCs w:val="24"/>
        </w:rPr>
        <w:lastRenderedPageBreak/>
        <w:t>Exhibit #4.</w:t>
      </w:r>
      <w:r>
        <w:rPr>
          <w:i/>
          <w:iCs/>
          <w:sz w:val="24"/>
          <w:szCs w:val="24"/>
        </w:rPr>
        <w:t>2</w:t>
      </w:r>
      <w:r w:rsidRPr="0006134E">
        <w:rPr>
          <w:i/>
          <w:iCs/>
          <w:sz w:val="24"/>
          <w:szCs w:val="24"/>
        </w:rPr>
        <w:t xml:space="preserve"> </w:t>
      </w:r>
    </w:p>
    <w:p w14:paraId="6C7077C3" w14:textId="77777777" w:rsidR="009C569E" w:rsidRDefault="009C569E" w:rsidP="009C569E">
      <w:pPr>
        <w:pStyle w:val="ListParagraph"/>
        <w:spacing w:after="0" w:line="240" w:lineRule="auto"/>
        <w:contextualSpacing w:val="0"/>
        <w:jc w:val="center"/>
        <w:rPr>
          <w:b/>
          <w:bCs/>
          <w:sz w:val="24"/>
          <w:szCs w:val="24"/>
        </w:rPr>
      </w:pPr>
    </w:p>
    <w:p w14:paraId="36634CEC" w14:textId="77777777" w:rsidR="00F137BA" w:rsidRDefault="009C569E" w:rsidP="009C569E">
      <w:pPr>
        <w:pStyle w:val="ListParagraph"/>
        <w:spacing w:after="0" w:line="240" w:lineRule="auto"/>
        <w:contextualSpacing w:val="0"/>
        <w:jc w:val="center"/>
        <w:rPr>
          <w:b/>
          <w:bCs/>
          <w:sz w:val="24"/>
          <w:szCs w:val="24"/>
        </w:rPr>
      </w:pPr>
      <w:r w:rsidRPr="000B3A15">
        <w:rPr>
          <w:b/>
          <w:bCs/>
          <w:sz w:val="24"/>
          <w:szCs w:val="24"/>
        </w:rPr>
        <w:t>Policy Proposal Statement</w:t>
      </w:r>
      <w:r>
        <w:rPr>
          <w:b/>
          <w:bCs/>
          <w:sz w:val="24"/>
          <w:szCs w:val="24"/>
        </w:rPr>
        <w:t xml:space="preserve">s to </w:t>
      </w:r>
    </w:p>
    <w:p w14:paraId="301DFD1C" w14:textId="0C76BE82" w:rsidR="009C569E" w:rsidRDefault="00ED3D15" w:rsidP="009C569E">
      <w:pPr>
        <w:pStyle w:val="ListParagraph"/>
        <w:spacing w:after="0" w:line="240" w:lineRule="auto"/>
        <w:contextualSpacing w:val="0"/>
        <w:jc w:val="center"/>
        <w:rPr>
          <w:b/>
          <w:bCs/>
          <w:sz w:val="24"/>
          <w:szCs w:val="24"/>
        </w:rPr>
      </w:pPr>
      <w:r>
        <w:rPr>
          <w:b/>
          <w:bCs/>
          <w:sz w:val="24"/>
          <w:szCs w:val="24"/>
        </w:rPr>
        <w:t xml:space="preserve">Establish a </w:t>
      </w:r>
      <w:r w:rsidR="00F137BA">
        <w:rPr>
          <w:b/>
          <w:bCs/>
          <w:sz w:val="24"/>
          <w:szCs w:val="24"/>
        </w:rPr>
        <w:t>Board of Assisted Living</w:t>
      </w:r>
      <w:r w:rsidR="004B2DF5">
        <w:rPr>
          <w:b/>
          <w:bCs/>
          <w:sz w:val="24"/>
          <w:szCs w:val="24"/>
        </w:rPr>
        <w:t xml:space="preserve"> Residence</w:t>
      </w:r>
      <w:r w:rsidR="00F137BA">
        <w:rPr>
          <w:b/>
          <w:bCs/>
          <w:sz w:val="24"/>
          <w:szCs w:val="24"/>
        </w:rPr>
        <w:t xml:space="preserve"> Managers</w:t>
      </w:r>
    </w:p>
    <w:p w14:paraId="0983F098" w14:textId="77777777" w:rsidR="009C569E" w:rsidRDefault="009C569E" w:rsidP="009C569E">
      <w:pPr>
        <w:pStyle w:val="ListParagraph"/>
        <w:spacing w:after="0" w:line="240" w:lineRule="auto"/>
        <w:contextualSpacing w:val="0"/>
        <w:rPr>
          <w:sz w:val="24"/>
          <w:szCs w:val="24"/>
        </w:rPr>
      </w:pPr>
    </w:p>
    <w:tbl>
      <w:tblPr>
        <w:tblStyle w:val="TableGrid"/>
        <w:tblW w:w="0" w:type="auto"/>
        <w:tblInd w:w="-5" w:type="dxa"/>
        <w:tblLook w:val="04A0" w:firstRow="1" w:lastRow="0" w:firstColumn="1" w:lastColumn="0" w:noHBand="0" w:noVBand="1"/>
      </w:tblPr>
      <w:tblGrid>
        <w:gridCol w:w="2250"/>
        <w:gridCol w:w="270"/>
        <w:gridCol w:w="7645"/>
      </w:tblGrid>
      <w:tr w:rsidR="009C569E" w14:paraId="5F71E860" w14:textId="77777777" w:rsidTr="00D06B5B">
        <w:tc>
          <w:tcPr>
            <w:tcW w:w="2250" w:type="dxa"/>
          </w:tcPr>
          <w:p w14:paraId="25B1AD65" w14:textId="77777777" w:rsidR="009C569E" w:rsidRPr="00326E1D" w:rsidRDefault="009C569E" w:rsidP="00D06B5B">
            <w:pPr>
              <w:rPr>
                <w:b/>
                <w:bCs/>
              </w:rPr>
            </w:pPr>
            <w:r>
              <w:rPr>
                <w:b/>
                <w:bCs/>
              </w:rPr>
              <w:t>Recommendation 3.0</w:t>
            </w:r>
          </w:p>
        </w:tc>
        <w:tc>
          <w:tcPr>
            <w:tcW w:w="270" w:type="dxa"/>
          </w:tcPr>
          <w:p w14:paraId="2C55BBAF" w14:textId="77777777" w:rsidR="009C569E" w:rsidRDefault="009C569E" w:rsidP="00D06B5B"/>
        </w:tc>
        <w:tc>
          <w:tcPr>
            <w:tcW w:w="7645" w:type="dxa"/>
          </w:tcPr>
          <w:p w14:paraId="700DE0B1" w14:textId="6B3078DF" w:rsidR="009C569E" w:rsidRDefault="009C569E" w:rsidP="00D06B5B">
            <w:r w:rsidRPr="00096CA7">
              <w:rPr>
                <w:b/>
                <w:bCs/>
              </w:rPr>
              <w:t xml:space="preserve">Amend the </w:t>
            </w:r>
            <w:r w:rsidR="00C72FD7">
              <w:rPr>
                <w:b/>
                <w:bCs/>
              </w:rPr>
              <w:t>Division and Boards of Registration</w:t>
            </w:r>
            <w:r w:rsidRPr="00096CA7">
              <w:rPr>
                <w:b/>
                <w:bCs/>
              </w:rPr>
              <w:t xml:space="preserve"> statute (M.G.L. c. 1</w:t>
            </w:r>
            <w:r w:rsidR="00C72FD7">
              <w:rPr>
                <w:b/>
                <w:bCs/>
              </w:rPr>
              <w:t>3</w:t>
            </w:r>
            <w:r w:rsidRPr="00096CA7">
              <w:rPr>
                <w:b/>
                <w:bCs/>
              </w:rPr>
              <w:t>) to</w:t>
            </w:r>
            <w:r w:rsidR="00A421C1">
              <w:rPr>
                <w:b/>
                <w:bCs/>
              </w:rPr>
              <w:t xml:space="preserve"> add a Board of Assisted Living Residence Managers.</w:t>
            </w:r>
            <w:r w:rsidRPr="00096CA7">
              <w:rPr>
                <w:b/>
                <w:bCs/>
              </w:rPr>
              <w:t xml:space="preserve"> </w:t>
            </w:r>
          </w:p>
        </w:tc>
      </w:tr>
      <w:tr w:rsidR="009C569E" w14:paraId="2E646D3E" w14:textId="77777777" w:rsidTr="00D06B5B">
        <w:trPr>
          <w:trHeight w:val="341"/>
        </w:trPr>
        <w:tc>
          <w:tcPr>
            <w:tcW w:w="2250" w:type="dxa"/>
          </w:tcPr>
          <w:p w14:paraId="2FEC914E" w14:textId="77777777" w:rsidR="009C569E" w:rsidRPr="00326E1D" w:rsidRDefault="009C569E" w:rsidP="00D06B5B">
            <w:pPr>
              <w:rPr>
                <w:b/>
                <w:bCs/>
              </w:rPr>
            </w:pPr>
            <w:r w:rsidRPr="00326E1D">
              <w:rPr>
                <w:b/>
                <w:bCs/>
              </w:rPr>
              <w:t>Domain:</w:t>
            </w:r>
          </w:p>
        </w:tc>
        <w:tc>
          <w:tcPr>
            <w:tcW w:w="270" w:type="dxa"/>
          </w:tcPr>
          <w:p w14:paraId="218F1C6E" w14:textId="77777777" w:rsidR="009C569E" w:rsidRDefault="009C569E" w:rsidP="00D06B5B"/>
        </w:tc>
        <w:tc>
          <w:tcPr>
            <w:tcW w:w="7645" w:type="dxa"/>
          </w:tcPr>
          <w:p w14:paraId="0A425931" w14:textId="7EF2BD99" w:rsidR="009C569E" w:rsidRDefault="009C569E" w:rsidP="00D06B5B">
            <w:r>
              <w:t>ALR Oversight Adequacy</w:t>
            </w:r>
            <w:r w:rsidR="0079163F">
              <w:t>, Enhancing Professional Standards,</w:t>
            </w:r>
            <w:r w:rsidR="00156135">
              <w:t xml:space="preserve"> Establishing Common Ethical Practice</w:t>
            </w:r>
          </w:p>
        </w:tc>
      </w:tr>
      <w:tr w:rsidR="009C569E" w14:paraId="32150480" w14:textId="77777777" w:rsidTr="00D06B5B">
        <w:trPr>
          <w:trHeight w:val="440"/>
        </w:trPr>
        <w:tc>
          <w:tcPr>
            <w:tcW w:w="2250" w:type="dxa"/>
          </w:tcPr>
          <w:p w14:paraId="5DBF9F17" w14:textId="77777777" w:rsidR="009C569E" w:rsidRPr="00326E1D" w:rsidRDefault="009C569E" w:rsidP="00D06B5B">
            <w:pPr>
              <w:rPr>
                <w:b/>
                <w:bCs/>
              </w:rPr>
            </w:pPr>
            <w:r w:rsidRPr="00326E1D">
              <w:rPr>
                <w:b/>
                <w:bCs/>
              </w:rPr>
              <w:t>Change Type:</w:t>
            </w:r>
          </w:p>
        </w:tc>
        <w:tc>
          <w:tcPr>
            <w:tcW w:w="270" w:type="dxa"/>
          </w:tcPr>
          <w:p w14:paraId="1B471EB5" w14:textId="77777777" w:rsidR="009C569E" w:rsidRDefault="009C569E" w:rsidP="00D06B5B"/>
        </w:tc>
        <w:tc>
          <w:tcPr>
            <w:tcW w:w="7645" w:type="dxa"/>
          </w:tcPr>
          <w:p w14:paraId="1271C812" w14:textId="77777777" w:rsidR="009C569E" w:rsidRDefault="009C569E" w:rsidP="00D06B5B">
            <w:r>
              <w:t>Statutory Amendment</w:t>
            </w:r>
          </w:p>
        </w:tc>
      </w:tr>
      <w:tr w:rsidR="009C569E" w14:paraId="54E343D7" w14:textId="77777777" w:rsidTr="00D06B5B">
        <w:trPr>
          <w:trHeight w:val="2240"/>
        </w:trPr>
        <w:tc>
          <w:tcPr>
            <w:tcW w:w="2250" w:type="dxa"/>
          </w:tcPr>
          <w:p w14:paraId="6B5A718C" w14:textId="77777777" w:rsidR="009C569E" w:rsidRPr="00326E1D" w:rsidRDefault="009C569E" w:rsidP="00D06B5B">
            <w:pPr>
              <w:rPr>
                <w:b/>
                <w:bCs/>
              </w:rPr>
            </w:pPr>
            <w:r w:rsidRPr="00326E1D">
              <w:rPr>
                <w:b/>
                <w:bCs/>
              </w:rPr>
              <w:t>Problem Statement:</w:t>
            </w:r>
          </w:p>
        </w:tc>
        <w:tc>
          <w:tcPr>
            <w:tcW w:w="270" w:type="dxa"/>
          </w:tcPr>
          <w:p w14:paraId="07C2F9E7" w14:textId="77777777" w:rsidR="009C569E" w:rsidRDefault="009C569E" w:rsidP="00D06B5B"/>
        </w:tc>
        <w:tc>
          <w:tcPr>
            <w:tcW w:w="7645" w:type="dxa"/>
          </w:tcPr>
          <w:p w14:paraId="5DF9D813" w14:textId="10EEFFEF" w:rsidR="009C569E" w:rsidRDefault="00F77C56" w:rsidP="00D06B5B">
            <w:r>
              <w:t xml:space="preserve">The role of </w:t>
            </w:r>
            <w:r w:rsidR="00AE3425">
              <w:t>Assisted Living Residence Manager (executive director) should be recognized as a professional position with responsibilities</w:t>
            </w:r>
            <w:r w:rsidR="009408BF">
              <w:t xml:space="preserve"> comparable to nursing home administrators. As such, a Board of Assisted Living Residence Managers should be established for the primary purpose </w:t>
            </w:r>
            <w:r w:rsidR="00C75007">
              <w:t>of ensuring a common</w:t>
            </w:r>
            <w:r w:rsidR="00BB5C8E">
              <w:t xml:space="preserve"> professional standard and</w:t>
            </w:r>
            <w:r w:rsidR="00C75007">
              <w:t xml:space="preserve"> ethical practice </w:t>
            </w:r>
            <w:r w:rsidR="00122C63">
              <w:t>across all assisted living residences.</w:t>
            </w:r>
          </w:p>
        </w:tc>
      </w:tr>
      <w:tr w:rsidR="009C569E" w14:paraId="07367A6F" w14:textId="77777777" w:rsidTr="00D06B5B">
        <w:trPr>
          <w:trHeight w:val="1979"/>
        </w:trPr>
        <w:tc>
          <w:tcPr>
            <w:tcW w:w="2250" w:type="dxa"/>
          </w:tcPr>
          <w:p w14:paraId="2DAE815F" w14:textId="77777777" w:rsidR="009C569E" w:rsidRPr="00326E1D" w:rsidRDefault="009C569E" w:rsidP="00D06B5B">
            <w:pPr>
              <w:rPr>
                <w:b/>
                <w:bCs/>
              </w:rPr>
            </w:pPr>
            <w:r w:rsidRPr="00326E1D">
              <w:rPr>
                <w:b/>
                <w:bCs/>
              </w:rPr>
              <w:t>Solution Narrative:</w:t>
            </w:r>
          </w:p>
        </w:tc>
        <w:tc>
          <w:tcPr>
            <w:tcW w:w="270" w:type="dxa"/>
          </w:tcPr>
          <w:p w14:paraId="1AA5F36E" w14:textId="77777777" w:rsidR="009C569E" w:rsidRDefault="009C569E" w:rsidP="00D06B5B"/>
        </w:tc>
        <w:tc>
          <w:tcPr>
            <w:tcW w:w="7645" w:type="dxa"/>
          </w:tcPr>
          <w:p w14:paraId="495C2810" w14:textId="77777777" w:rsidR="009C569E" w:rsidRDefault="009C569E" w:rsidP="00D06B5B">
            <w:r>
              <w:t xml:space="preserve">The proposed approach </w:t>
            </w:r>
            <w:r w:rsidR="00187B0E">
              <w:t xml:space="preserve">is largely modeled from the </w:t>
            </w:r>
            <w:r w:rsidR="009942DF">
              <w:t xml:space="preserve">enabling language of the board of nursing home administrators, while also </w:t>
            </w:r>
            <w:r w:rsidR="00F760EA">
              <w:t>swapping in some preferred clauses from several other licensing boards.</w:t>
            </w:r>
          </w:p>
          <w:p w14:paraId="2E68BDC8" w14:textId="77777777" w:rsidR="00F760EA" w:rsidRDefault="00F760EA" w:rsidP="00D06B5B"/>
          <w:p w14:paraId="4C12498B" w14:textId="6A839E38" w:rsidR="00F7482C" w:rsidRDefault="00F760EA" w:rsidP="00D06B5B">
            <w:r>
              <w:t>This draft language should be viewed as a discussion starter</w:t>
            </w:r>
            <w:r w:rsidR="0073082B">
              <w:t xml:space="preserve"> for policymakers</w:t>
            </w:r>
            <w:r>
              <w:t xml:space="preserve">. </w:t>
            </w:r>
            <w:r w:rsidR="0026706C">
              <w:t xml:space="preserve">Dignity Alliance recognizes the need to preserve the residential model </w:t>
            </w:r>
            <w:r w:rsidR="00F04791">
              <w:t xml:space="preserve">of assisted living. </w:t>
            </w:r>
            <w:r w:rsidR="00EB54DD">
              <w:t xml:space="preserve">There is a design choice to </w:t>
            </w:r>
            <w:r w:rsidR="00E5345B">
              <w:t xml:space="preserve">place such a board either within </w:t>
            </w:r>
            <w:r w:rsidR="00E13D7A">
              <w:t xml:space="preserve">Division of </w:t>
            </w:r>
            <w:r w:rsidR="00E945E7">
              <w:t>O</w:t>
            </w:r>
            <w:r w:rsidR="00E13D7A">
              <w:t xml:space="preserve">ccupational </w:t>
            </w:r>
            <w:r w:rsidR="00E945E7">
              <w:t>L</w:t>
            </w:r>
            <w:r w:rsidR="00E13D7A">
              <w:t>icensure</w:t>
            </w:r>
            <w:r w:rsidR="004363F3">
              <w:t xml:space="preserve"> of the Office of Consumer Affairs </w:t>
            </w:r>
            <w:r w:rsidR="00F02A22">
              <w:t>and Business Regulation;</w:t>
            </w:r>
            <w:r w:rsidR="00EB7C0D">
              <w:t xml:space="preserve"> the Bureau of Health Professions Licensure within</w:t>
            </w:r>
            <w:r w:rsidR="00D37CE9">
              <w:t xml:space="preserve"> the Department of Public Health; or the Executive Office of </w:t>
            </w:r>
            <w:r w:rsidR="00F7482C">
              <w:t xml:space="preserve">Aging &amp; Independence. </w:t>
            </w:r>
            <w:proofErr w:type="gramStart"/>
            <w:r w:rsidR="00F7482C">
              <w:t>At this time</w:t>
            </w:r>
            <w:proofErr w:type="gramEnd"/>
            <w:r w:rsidR="00F7482C">
              <w:t xml:space="preserve"> Dignity Alliance is not </w:t>
            </w:r>
            <w:r w:rsidR="009177EB">
              <w:t xml:space="preserve">offering a preference or </w:t>
            </w:r>
            <w:proofErr w:type="gramStart"/>
            <w:r w:rsidR="009177EB">
              <w:t>opinion, and</w:t>
            </w:r>
            <w:proofErr w:type="gramEnd"/>
            <w:r w:rsidR="009177EB">
              <w:t xml:space="preserve"> looks forward to contributing to future discussions on the topic.</w:t>
            </w:r>
          </w:p>
          <w:p w14:paraId="6B78753C" w14:textId="421F7683" w:rsidR="00F760EA" w:rsidRDefault="00F02A22" w:rsidP="00D06B5B">
            <w:r>
              <w:t xml:space="preserve"> </w:t>
            </w:r>
          </w:p>
        </w:tc>
      </w:tr>
      <w:tr w:rsidR="009C569E" w14:paraId="43304C98" w14:textId="77777777" w:rsidTr="00D06B5B">
        <w:trPr>
          <w:trHeight w:val="449"/>
        </w:trPr>
        <w:tc>
          <w:tcPr>
            <w:tcW w:w="2250" w:type="dxa"/>
          </w:tcPr>
          <w:p w14:paraId="50039CB6" w14:textId="77777777" w:rsidR="009C569E" w:rsidRPr="00326E1D" w:rsidRDefault="009C569E" w:rsidP="00D06B5B">
            <w:pPr>
              <w:rPr>
                <w:b/>
                <w:bCs/>
              </w:rPr>
            </w:pPr>
            <w:r w:rsidRPr="00326E1D">
              <w:rPr>
                <w:b/>
                <w:bCs/>
              </w:rPr>
              <w:t>Insertion Description:</w:t>
            </w:r>
          </w:p>
        </w:tc>
        <w:tc>
          <w:tcPr>
            <w:tcW w:w="270" w:type="dxa"/>
          </w:tcPr>
          <w:p w14:paraId="359FC849" w14:textId="77777777" w:rsidR="009C569E" w:rsidRDefault="009C569E" w:rsidP="00D06B5B"/>
        </w:tc>
        <w:tc>
          <w:tcPr>
            <w:tcW w:w="7645" w:type="dxa"/>
          </w:tcPr>
          <w:p w14:paraId="4DD36E03" w14:textId="75B8CCBF" w:rsidR="009C569E" w:rsidRDefault="009C569E" w:rsidP="00D06B5B">
            <w:r>
              <w:t>Statutory amendment to M.G.L. c. 1</w:t>
            </w:r>
            <w:r w:rsidR="00D31D5A">
              <w:t>3</w:t>
            </w:r>
            <w:r w:rsidR="00480BD0">
              <w:t>: Divisions and Boards of Registration</w:t>
            </w:r>
          </w:p>
        </w:tc>
      </w:tr>
    </w:tbl>
    <w:p w14:paraId="52A2E400" w14:textId="697C6A45" w:rsidR="009C569E" w:rsidRDefault="009C569E">
      <w:pPr>
        <w:rPr>
          <w:sz w:val="24"/>
          <w:szCs w:val="24"/>
        </w:rPr>
      </w:pPr>
    </w:p>
    <w:p w14:paraId="6505C569" w14:textId="77777777" w:rsidR="009C569E" w:rsidRDefault="009C569E">
      <w:pPr>
        <w:rPr>
          <w:sz w:val="24"/>
          <w:szCs w:val="24"/>
        </w:rPr>
      </w:pPr>
      <w:r>
        <w:rPr>
          <w:sz w:val="24"/>
          <w:szCs w:val="24"/>
        </w:rPr>
        <w:br w:type="page"/>
      </w:r>
    </w:p>
    <w:p w14:paraId="38900FB2" w14:textId="2134A05B" w:rsidR="009C569E" w:rsidRPr="0006134E" w:rsidRDefault="009C569E" w:rsidP="009C569E">
      <w:pPr>
        <w:pStyle w:val="ListParagraph"/>
        <w:spacing w:after="0" w:line="240" w:lineRule="auto"/>
        <w:contextualSpacing w:val="0"/>
        <w:jc w:val="center"/>
        <w:rPr>
          <w:i/>
          <w:iCs/>
          <w:sz w:val="24"/>
          <w:szCs w:val="24"/>
        </w:rPr>
      </w:pPr>
      <w:r w:rsidRPr="0006134E">
        <w:rPr>
          <w:i/>
          <w:iCs/>
          <w:sz w:val="24"/>
          <w:szCs w:val="24"/>
        </w:rPr>
        <w:lastRenderedPageBreak/>
        <w:t>Exhibit #4.</w:t>
      </w:r>
      <w:r w:rsidR="00ED3D15">
        <w:rPr>
          <w:i/>
          <w:iCs/>
          <w:sz w:val="24"/>
          <w:szCs w:val="24"/>
        </w:rPr>
        <w:t>3</w:t>
      </w:r>
      <w:r w:rsidRPr="0006134E">
        <w:rPr>
          <w:i/>
          <w:iCs/>
          <w:sz w:val="24"/>
          <w:szCs w:val="24"/>
        </w:rPr>
        <w:t xml:space="preserve"> </w:t>
      </w:r>
    </w:p>
    <w:p w14:paraId="09B6F2B0" w14:textId="77777777" w:rsidR="009C569E" w:rsidRPr="000F1ED4" w:rsidRDefault="009C569E" w:rsidP="009C569E">
      <w:pPr>
        <w:pStyle w:val="ListParagraph"/>
        <w:spacing w:after="0" w:line="240" w:lineRule="auto"/>
        <w:contextualSpacing w:val="0"/>
        <w:jc w:val="center"/>
        <w:rPr>
          <w:b/>
          <w:bCs/>
          <w:sz w:val="16"/>
          <w:szCs w:val="16"/>
        </w:rPr>
      </w:pPr>
    </w:p>
    <w:p w14:paraId="0460B2BF" w14:textId="77777777" w:rsidR="009378CD" w:rsidRDefault="009C569E" w:rsidP="009C569E">
      <w:pPr>
        <w:pStyle w:val="ListParagraph"/>
        <w:spacing w:after="0" w:line="240" w:lineRule="auto"/>
        <w:contextualSpacing w:val="0"/>
        <w:jc w:val="center"/>
        <w:rPr>
          <w:b/>
          <w:bCs/>
          <w:sz w:val="24"/>
          <w:szCs w:val="24"/>
        </w:rPr>
      </w:pPr>
      <w:r w:rsidRPr="002650FB">
        <w:rPr>
          <w:b/>
          <w:bCs/>
          <w:sz w:val="24"/>
          <w:szCs w:val="24"/>
        </w:rPr>
        <w:t>Draft Implementation Language to</w:t>
      </w:r>
      <w:r w:rsidR="009378CD">
        <w:rPr>
          <w:b/>
          <w:bCs/>
          <w:sz w:val="24"/>
          <w:szCs w:val="24"/>
        </w:rPr>
        <w:t xml:space="preserve"> </w:t>
      </w:r>
    </w:p>
    <w:p w14:paraId="05EA0C1D" w14:textId="56BA576A" w:rsidR="009C569E" w:rsidRPr="00AE2CD6" w:rsidRDefault="009378CD" w:rsidP="009C569E">
      <w:pPr>
        <w:pStyle w:val="ListParagraph"/>
        <w:spacing w:after="0" w:line="240" w:lineRule="auto"/>
        <w:contextualSpacing w:val="0"/>
        <w:jc w:val="center"/>
        <w:rPr>
          <w:sz w:val="24"/>
          <w:szCs w:val="24"/>
        </w:rPr>
      </w:pPr>
      <w:r>
        <w:rPr>
          <w:b/>
          <w:bCs/>
          <w:sz w:val="24"/>
          <w:szCs w:val="24"/>
        </w:rPr>
        <w:t>Establish a Board of Assisted Living Residence Managers</w:t>
      </w:r>
      <w:r w:rsidR="009C569E" w:rsidRPr="002650FB">
        <w:rPr>
          <w:b/>
          <w:bCs/>
          <w:sz w:val="24"/>
          <w:szCs w:val="24"/>
        </w:rPr>
        <w:t xml:space="preserve"> </w:t>
      </w:r>
    </w:p>
    <w:p w14:paraId="7EDF60AA" w14:textId="77777777" w:rsidR="009C569E" w:rsidRPr="000F1ED4" w:rsidRDefault="009C569E" w:rsidP="009C569E">
      <w:pPr>
        <w:pStyle w:val="ListParagraph"/>
        <w:spacing w:after="0" w:line="240" w:lineRule="auto"/>
        <w:contextualSpacing w:val="0"/>
        <w:rPr>
          <w:sz w:val="16"/>
          <w:szCs w:val="16"/>
        </w:rPr>
      </w:pPr>
    </w:p>
    <w:tbl>
      <w:tblPr>
        <w:tblStyle w:val="TableGrid"/>
        <w:tblW w:w="0" w:type="auto"/>
        <w:tblInd w:w="-5" w:type="dxa"/>
        <w:tblLook w:val="04A0" w:firstRow="1" w:lastRow="0" w:firstColumn="1" w:lastColumn="0" w:noHBand="0" w:noVBand="1"/>
      </w:tblPr>
      <w:tblGrid>
        <w:gridCol w:w="7560"/>
        <w:gridCol w:w="270"/>
        <w:gridCol w:w="2965"/>
      </w:tblGrid>
      <w:tr w:rsidR="009C569E" w14:paraId="57DEFBFC" w14:textId="77777777" w:rsidTr="004C24B7">
        <w:tc>
          <w:tcPr>
            <w:tcW w:w="7560" w:type="dxa"/>
          </w:tcPr>
          <w:p w14:paraId="3A0DB08A" w14:textId="77777777" w:rsidR="009C569E" w:rsidRDefault="00B2534B" w:rsidP="00D06B5B">
            <w:pPr>
              <w:pStyle w:val="ListParagraph"/>
              <w:ind w:left="0"/>
              <w:contextualSpacing w:val="0"/>
              <w:rPr>
                <w:b/>
                <w:bCs/>
              </w:rPr>
            </w:pPr>
            <w:r w:rsidRPr="00E6075B">
              <w:rPr>
                <w:b/>
                <w:bCs/>
              </w:rPr>
              <w:t>Proposed Language</w:t>
            </w:r>
            <w:r>
              <w:rPr>
                <w:b/>
                <w:bCs/>
              </w:rPr>
              <w:t xml:space="preserve"> (Entirely New Section) for </w:t>
            </w:r>
            <w:r w:rsidRPr="00096CA7">
              <w:rPr>
                <w:b/>
                <w:bCs/>
              </w:rPr>
              <w:t>Amend</w:t>
            </w:r>
            <w:r>
              <w:rPr>
                <w:b/>
                <w:bCs/>
              </w:rPr>
              <w:t>ing</w:t>
            </w:r>
            <w:r w:rsidRPr="00096CA7">
              <w:rPr>
                <w:b/>
                <w:bCs/>
              </w:rPr>
              <w:t xml:space="preserve"> the</w:t>
            </w:r>
            <w:r w:rsidR="002305DC">
              <w:rPr>
                <w:b/>
                <w:bCs/>
              </w:rPr>
              <w:t xml:space="preserve"> Division and Boards of Registration </w:t>
            </w:r>
            <w:r w:rsidRPr="00096CA7">
              <w:rPr>
                <w:b/>
                <w:bCs/>
              </w:rPr>
              <w:t xml:space="preserve"> </w:t>
            </w:r>
            <w:r w:rsidR="002305DC">
              <w:rPr>
                <w:b/>
                <w:bCs/>
              </w:rPr>
              <w:t>S</w:t>
            </w:r>
            <w:r w:rsidRPr="00096CA7">
              <w:rPr>
                <w:b/>
                <w:bCs/>
              </w:rPr>
              <w:t xml:space="preserve">tatute (M.G.L. c. </w:t>
            </w:r>
            <w:r w:rsidR="002305DC">
              <w:rPr>
                <w:b/>
                <w:bCs/>
              </w:rPr>
              <w:t>13</w:t>
            </w:r>
            <w:r w:rsidRPr="00096CA7">
              <w:rPr>
                <w:b/>
                <w:bCs/>
              </w:rPr>
              <w:t>)</w:t>
            </w:r>
          </w:p>
          <w:p w14:paraId="5A8C596F" w14:textId="09D3E304" w:rsidR="009378CD" w:rsidRDefault="009378CD" w:rsidP="00D06B5B">
            <w:pPr>
              <w:pStyle w:val="ListParagraph"/>
              <w:ind w:left="0"/>
              <w:contextualSpacing w:val="0"/>
              <w:rPr>
                <w:sz w:val="24"/>
                <w:szCs w:val="24"/>
              </w:rPr>
            </w:pPr>
          </w:p>
        </w:tc>
        <w:tc>
          <w:tcPr>
            <w:tcW w:w="270" w:type="dxa"/>
          </w:tcPr>
          <w:p w14:paraId="554FE4F1" w14:textId="77777777" w:rsidR="009C569E" w:rsidRDefault="009C569E" w:rsidP="00D06B5B">
            <w:pPr>
              <w:pStyle w:val="ListParagraph"/>
              <w:ind w:left="0"/>
              <w:contextualSpacing w:val="0"/>
              <w:rPr>
                <w:sz w:val="24"/>
                <w:szCs w:val="24"/>
              </w:rPr>
            </w:pPr>
          </w:p>
        </w:tc>
        <w:tc>
          <w:tcPr>
            <w:tcW w:w="2965" w:type="dxa"/>
          </w:tcPr>
          <w:p w14:paraId="750EE7C9" w14:textId="77777777" w:rsidR="009C569E" w:rsidRDefault="009C569E" w:rsidP="00D06B5B">
            <w:pPr>
              <w:pStyle w:val="ListParagraph"/>
              <w:ind w:left="0"/>
              <w:contextualSpacing w:val="0"/>
              <w:rPr>
                <w:sz w:val="24"/>
                <w:szCs w:val="24"/>
              </w:rPr>
            </w:pPr>
            <w:r w:rsidRPr="0087213B">
              <w:rPr>
                <w:b/>
                <w:bCs/>
              </w:rPr>
              <w:t>Comment</w:t>
            </w:r>
          </w:p>
        </w:tc>
      </w:tr>
      <w:tr w:rsidR="009C569E" w14:paraId="6E150E53" w14:textId="77777777" w:rsidTr="004C24B7">
        <w:tc>
          <w:tcPr>
            <w:tcW w:w="7560" w:type="dxa"/>
          </w:tcPr>
          <w:p w14:paraId="695FC236" w14:textId="77777777" w:rsidR="009C569E" w:rsidRDefault="00E408AE" w:rsidP="00D06B5B">
            <w:pPr>
              <w:pStyle w:val="ListParagraph"/>
              <w:ind w:left="0"/>
              <w:contextualSpacing w:val="0"/>
              <w:rPr>
                <w:b/>
                <w:bCs/>
              </w:rPr>
            </w:pPr>
            <w:r w:rsidRPr="001E1F15">
              <w:rPr>
                <w:b/>
                <w:bCs/>
              </w:rPr>
              <w:t xml:space="preserve">Section </w:t>
            </w:r>
            <w:r>
              <w:rPr>
                <w:b/>
                <w:bCs/>
              </w:rPr>
              <w:t>XX</w:t>
            </w:r>
            <w:r w:rsidRPr="001E1F15">
              <w:rPr>
                <w:b/>
                <w:bCs/>
              </w:rPr>
              <w:t xml:space="preserve">. Board of </w:t>
            </w:r>
            <w:r>
              <w:rPr>
                <w:b/>
                <w:bCs/>
              </w:rPr>
              <w:t>assisted living residence managers</w:t>
            </w:r>
            <w:r w:rsidRPr="001E1F15">
              <w:rPr>
                <w:b/>
                <w:bCs/>
              </w:rPr>
              <w:t>; membership; appointment; vacancies; removal</w:t>
            </w:r>
            <w:r>
              <w:rPr>
                <w:b/>
                <w:bCs/>
              </w:rPr>
              <w:t>; meetings; officers; rules and regulations; disposition of fees; compensation and expenses of members.</w:t>
            </w:r>
          </w:p>
          <w:p w14:paraId="2075D707" w14:textId="665AFEF3" w:rsidR="00EE3AEE" w:rsidRDefault="00EE3AEE" w:rsidP="00D06B5B">
            <w:pPr>
              <w:pStyle w:val="ListParagraph"/>
              <w:ind w:left="0"/>
              <w:contextualSpacing w:val="0"/>
              <w:rPr>
                <w:sz w:val="24"/>
                <w:szCs w:val="24"/>
              </w:rPr>
            </w:pPr>
          </w:p>
        </w:tc>
        <w:tc>
          <w:tcPr>
            <w:tcW w:w="270" w:type="dxa"/>
          </w:tcPr>
          <w:p w14:paraId="63C6F145" w14:textId="77777777" w:rsidR="009C569E" w:rsidRDefault="009C569E" w:rsidP="00D06B5B">
            <w:pPr>
              <w:pStyle w:val="ListParagraph"/>
              <w:ind w:left="0"/>
              <w:contextualSpacing w:val="0"/>
              <w:rPr>
                <w:sz w:val="24"/>
                <w:szCs w:val="24"/>
              </w:rPr>
            </w:pPr>
          </w:p>
        </w:tc>
        <w:tc>
          <w:tcPr>
            <w:tcW w:w="2965" w:type="dxa"/>
          </w:tcPr>
          <w:p w14:paraId="6222DA14" w14:textId="3CD3A65A" w:rsidR="009C569E" w:rsidRDefault="00056193" w:rsidP="00D06B5B">
            <w:pPr>
              <w:pStyle w:val="ListParagraph"/>
              <w:ind w:left="0"/>
              <w:contextualSpacing w:val="0"/>
              <w:rPr>
                <w:sz w:val="24"/>
                <w:szCs w:val="24"/>
              </w:rPr>
            </w:pPr>
            <w:r>
              <w:t>New Section and Title</w:t>
            </w:r>
          </w:p>
        </w:tc>
      </w:tr>
      <w:tr w:rsidR="009C569E" w14:paraId="010B2C0C" w14:textId="77777777" w:rsidTr="004C24B7">
        <w:tc>
          <w:tcPr>
            <w:tcW w:w="7560" w:type="dxa"/>
          </w:tcPr>
          <w:p w14:paraId="19AA8C0D" w14:textId="77777777" w:rsidR="00EE3AEE" w:rsidRDefault="00EE3AEE" w:rsidP="00EE3AEE">
            <w:r w:rsidRPr="001E1F15">
              <w:t xml:space="preserve">There shall be a board of </w:t>
            </w:r>
            <w:r>
              <w:t xml:space="preserve">assisted living managers, in this section called the board, consisting of the commissioner of public health or a designee, the secretary of aging and independence or a designee, the </w:t>
            </w:r>
            <w:r w:rsidRPr="00E5345B">
              <w:t>director of consumer affairs and business regulation</w:t>
            </w:r>
            <w:r>
              <w:t xml:space="preserve"> or a designee who demonstrates expertise with consumer protection laws and landlord tenant laws, and 10 members appointed by the Governor.</w:t>
            </w:r>
          </w:p>
          <w:p w14:paraId="2385FD73" w14:textId="791AE450" w:rsidR="009C569E" w:rsidRDefault="009C569E" w:rsidP="00D06B5B">
            <w:pPr>
              <w:pStyle w:val="ListParagraph"/>
              <w:ind w:left="0"/>
              <w:contextualSpacing w:val="0"/>
              <w:rPr>
                <w:sz w:val="24"/>
                <w:szCs w:val="24"/>
              </w:rPr>
            </w:pPr>
          </w:p>
        </w:tc>
        <w:tc>
          <w:tcPr>
            <w:tcW w:w="270" w:type="dxa"/>
          </w:tcPr>
          <w:p w14:paraId="6658E3B7" w14:textId="77777777" w:rsidR="009C569E" w:rsidRDefault="009C569E" w:rsidP="00D06B5B">
            <w:pPr>
              <w:pStyle w:val="ListParagraph"/>
              <w:ind w:left="0"/>
              <w:contextualSpacing w:val="0"/>
              <w:rPr>
                <w:sz w:val="24"/>
                <w:szCs w:val="24"/>
              </w:rPr>
            </w:pPr>
          </w:p>
        </w:tc>
        <w:tc>
          <w:tcPr>
            <w:tcW w:w="2965" w:type="dxa"/>
          </w:tcPr>
          <w:p w14:paraId="4ED29E2E" w14:textId="01D1405B" w:rsidR="009C569E" w:rsidRDefault="009C569E" w:rsidP="00564A02">
            <w:pPr>
              <w:jc w:val="center"/>
              <w:rPr>
                <w:sz w:val="24"/>
                <w:szCs w:val="24"/>
              </w:rPr>
            </w:pPr>
          </w:p>
        </w:tc>
      </w:tr>
      <w:tr w:rsidR="00564A02" w14:paraId="325D8588" w14:textId="77777777" w:rsidTr="004C24B7">
        <w:tc>
          <w:tcPr>
            <w:tcW w:w="7560" w:type="dxa"/>
          </w:tcPr>
          <w:p w14:paraId="1D47217E" w14:textId="61B549B9" w:rsidR="00564A02" w:rsidRDefault="00564A02" w:rsidP="00564A02">
            <w:r w:rsidRPr="001E1F15">
              <w:t xml:space="preserve">The governor shall appoint members to the board from among candidates who meet the following qualifications:- (i) </w:t>
            </w:r>
            <w:r>
              <w:t>6</w:t>
            </w:r>
            <w:r w:rsidRPr="001E1F15">
              <w:t xml:space="preserve"> members shall be licensees of the board</w:t>
            </w:r>
            <w:r>
              <w:t xml:space="preserve"> and principally engaged as managers </w:t>
            </w:r>
            <w:r w:rsidRPr="001E1F15">
              <w:t xml:space="preserve">as defined in section </w:t>
            </w:r>
            <w:r>
              <w:t>one</w:t>
            </w:r>
            <w:r w:rsidRPr="001E1F15">
              <w:t xml:space="preserve"> of chapter</w:t>
            </w:r>
            <w:r>
              <w:t xml:space="preserve"> nineteen D</w:t>
            </w:r>
            <w:r w:rsidRPr="001E1F15">
              <w:t xml:space="preserve"> for a period of not less than </w:t>
            </w:r>
            <w:r>
              <w:t>five</w:t>
            </w:r>
            <w:r w:rsidRPr="001E1F15">
              <w:t xml:space="preserve"> years</w:t>
            </w:r>
            <w:r>
              <w:t xml:space="preserve">, no less than 2 of whom shall be affiliated with a non-profit assisted living residence; (ii) 2 members of the Massachusetts bar who practices elder law, </w:t>
            </w:r>
            <w:r w:rsidRPr="001E1F15">
              <w:t>and (ii</w:t>
            </w:r>
            <w:r>
              <w:t>i</w:t>
            </w:r>
            <w:r w:rsidRPr="001E1F15">
              <w:t xml:space="preserve">) </w:t>
            </w:r>
            <w:r>
              <w:t>2</w:t>
            </w:r>
            <w:r w:rsidRPr="001E1F15">
              <w:t xml:space="preserve"> member</w:t>
            </w:r>
            <w:r>
              <w:t>s who shall represent resident consumer interests.</w:t>
            </w:r>
          </w:p>
          <w:p w14:paraId="7B44B5A5" w14:textId="4CDCAF52" w:rsidR="00564A02" w:rsidRDefault="00564A02" w:rsidP="00564A02">
            <w:pPr>
              <w:rPr>
                <w:sz w:val="24"/>
                <w:szCs w:val="24"/>
              </w:rPr>
            </w:pPr>
          </w:p>
        </w:tc>
        <w:tc>
          <w:tcPr>
            <w:tcW w:w="270" w:type="dxa"/>
          </w:tcPr>
          <w:p w14:paraId="15F97A23" w14:textId="77777777" w:rsidR="00564A02" w:rsidRDefault="00564A02" w:rsidP="00564A02">
            <w:pPr>
              <w:pStyle w:val="ListParagraph"/>
              <w:ind w:left="0"/>
              <w:contextualSpacing w:val="0"/>
              <w:rPr>
                <w:sz w:val="24"/>
                <w:szCs w:val="24"/>
              </w:rPr>
            </w:pPr>
          </w:p>
        </w:tc>
        <w:tc>
          <w:tcPr>
            <w:tcW w:w="2965" w:type="dxa"/>
          </w:tcPr>
          <w:p w14:paraId="0F866857" w14:textId="69ACFDBE" w:rsidR="00564A02" w:rsidRDefault="00564A02" w:rsidP="00564A02">
            <w:pPr>
              <w:pStyle w:val="ListParagraph"/>
              <w:ind w:left="0"/>
              <w:contextualSpacing w:val="0"/>
              <w:rPr>
                <w:sz w:val="24"/>
                <w:szCs w:val="24"/>
              </w:rPr>
            </w:pPr>
            <w:r>
              <w:t>A challenge to determining board composition is striking the right blend of accounting for residential model, awareness that the setting is purposed to provide ADL supports, and significance of landlord-tenant issues which ALR Managers are expected to resolve. It is reiterated that Dignity Alliance is offering this clause to start a policymaking discussion. Dignity Alliance is not wedded to the particular propo</w:t>
            </w:r>
            <w:r w:rsidR="0056793E">
              <w:t>sed composition but</w:t>
            </w:r>
            <w:r>
              <w:t xml:space="preserve"> does stress the importance of ensuring consumer interests are appropriately represented.</w:t>
            </w:r>
          </w:p>
        </w:tc>
      </w:tr>
      <w:tr w:rsidR="00564A02" w14:paraId="557B9839" w14:textId="77777777" w:rsidTr="004C24B7">
        <w:tc>
          <w:tcPr>
            <w:tcW w:w="7560" w:type="dxa"/>
          </w:tcPr>
          <w:p w14:paraId="6B3A5A78" w14:textId="77777777" w:rsidR="00564A02" w:rsidRDefault="00564A02" w:rsidP="00564A02">
            <w:r w:rsidRPr="00C45D9F">
              <w:t>Each appointive member of the board shall serve for a term of 3 years</w:t>
            </w:r>
            <w:r>
              <w:t>;</w:t>
            </w:r>
            <w:r w:rsidRPr="00C45D9F">
              <w:t xml:space="preserve"> </w:t>
            </w:r>
            <w:r>
              <w:t>a</w:t>
            </w:r>
            <w:r w:rsidRPr="00C45D9F">
              <w:t>ny vacancy shall be filled by the governor for the unexpired term. Members may be removed by the governor for cause after due notice and hearing.</w:t>
            </w:r>
            <w:r>
              <w:t xml:space="preserve"> </w:t>
            </w:r>
            <w:r w:rsidRPr="001E1F15">
              <w:t>Upon the expiration of a term of office, a board member may continue to serve until a successor has been appointed and qualified.</w:t>
            </w:r>
          </w:p>
          <w:p w14:paraId="35D406B5" w14:textId="4EC7AB87" w:rsidR="00564A02" w:rsidRDefault="00564A02" w:rsidP="00564A02"/>
        </w:tc>
        <w:tc>
          <w:tcPr>
            <w:tcW w:w="270" w:type="dxa"/>
          </w:tcPr>
          <w:p w14:paraId="22121E3B" w14:textId="77777777" w:rsidR="00564A02" w:rsidRDefault="00564A02" w:rsidP="00564A02">
            <w:pPr>
              <w:pStyle w:val="ListParagraph"/>
              <w:ind w:left="0"/>
              <w:contextualSpacing w:val="0"/>
              <w:rPr>
                <w:sz w:val="24"/>
                <w:szCs w:val="24"/>
              </w:rPr>
            </w:pPr>
          </w:p>
        </w:tc>
        <w:tc>
          <w:tcPr>
            <w:tcW w:w="2965" w:type="dxa"/>
          </w:tcPr>
          <w:p w14:paraId="2C1E740F" w14:textId="77777777" w:rsidR="00564A02" w:rsidRDefault="00564A02" w:rsidP="00564A02">
            <w:pPr>
              <w:pStyle w:val="ListParagraph"/>
              <w:ind w:left="0"/>
              <w:contextualSpacing w:val="0"/>
            </w:pPr>
          </w:p>
          <w:p w14:paraId="275726E3" w14:textId="354C01D2" w:rsidR="00564A02" w:rsidRDefault="00564A02" w:rsidP="00564A02">
            <w:pPr>
              <w:pStyle w:val="ListParagraph"/>
              <w:ind w:left="0"/>
              <w:contextualSpacing w:val="0"/>
              <w:rPr>
                <w:sz w:val="24"/>
                <w:szCs w:val="24"/>
              </w:rPr>
            </w:pPr>
          </w:p>
        </w:tc>
      </w:tr>
      <w:tr w:rsidR="00564A02" w14:paraId="3BC85BBE" w14:textId="77777777" w:rsidTr="004C24B7">
        <w:tc>
          <w:tcPr>
            <w:tcW w:w="7560" w:type="dxa"/>
          </w:tcPr>
          <w:p w14:paraId="649F916B" w14:textId="692407FA" w:rsidR="00564A02" w:rsidRDefault="00564A02" w:rsidP="00881BA3">
            <w:r w:rsidRPr="001E1F15">
              <w:t>The board</w:t>
            </w:r>
            <w:r>
              <w:t xml:space="preserve"> shall</w:t>
            </w:r>
            <w:r w:rsidRPr="001E1F15">
              <w:t>: (i)</w:t>
            </w:r>
            <w:r>
              <w:t xml:space="preserve"> </w:t>
            </w:r>
            <w:r w:rsidRPr="001E1F15">
              <w:t xml:space="preserve">establish standards of professional and ethical conduct for professional </w:t>
            </w:r>
            <w:r>
              <w:t>assisted living managers</w:t>
            </w:r>
            <w:r w:rsidRPr="001E1F15">
              <w:t xml:space="preserve"> </w:t>
            </w:r>
            <w:r>
              <w:t xml:space="preserve"> as defined by </w:t>
            </w:r>
            <w:r w:rsidRPr="001E1F15">
              <w:t xml:space="preserve">section </w:t>
            </w:r>
            <w:r>
              <w:t>one</w:t>
            </w:r>
            <w:r w:rsidRPr="001E1F15">
              <w:t xml:space="preserve"> of chapter</w:t>
            </w:r>
            <w:r>
              <w:t xml:space="preserve"> nineteen D</w:t>
            </w:r>
            <w:r w:rsidRPr="001E1F15">
              <w:t xml:space="preserve">; </w:t>
            </w:r>
            <w:r>
              <w:t>(ii) consistent with subsection c of section 15 of chapter nineteen D,  advise the Secretary of Aging and Independence on the minimum educational, training, and experiential requirements for an assisted living manager which shall serve as prerequisite for licensing;</w:t>
            </w:r>
            <w:r w:rsidRPr="00CA58EC">
              <w:t xml:space="preserve"> </w:t>
            </w:r>
            <w:r w:rsidRPr="001E1F15">
              <w:t>(iii) authorize and conduct appropriate examinations to determine the qualifications of applicants;</w:t>
            </w:r>
            <w:r>
              <w:t xml:space="preserve"> </w:t>
            </w:r>
            <w:r w:rsidRPr="001E1F15">
              <w:t>and (i</w:t>
            </w:r>
            <w:r w:rsidR="00A3630D">
              <w:t>v</w:t>
            </w:r>
            <w:r w:rsidRPr="001E1F15">
              <w:t>) set and administer penalties for fraudulent, deceptive or professionally-incompetent and unsafe practices and for violations of rules and regulations promulgated by the board.</w:t>
            </w:r>
          </w:p>
        </w:tc>
        <w:tc>
          <w:tcPr>
            <w:tcW w:w="270" w:type="dxa"/>
          </w:tcPr>
          <w:p w14:paraId="589A92C8" w14:textId="77777777" w:rsidR="00564A02" w:rsidRDefault="00564A02" w:rsidP="00564A02">
            <w:pPr>
              <w:pStyle w:val="ListParagraph"/>
              <w:ind w:left="0"/>
              <w:contextualSpacing w:val="0"/>
              <w:rPr>
                <w:sz w:val="24"/>
                <w:szCs w:val="24"/>
              </w:rPr>
            </w:pPr>
          </w:p>
        </w:tc>
        <w:tc>
          <w:tcPr>
            <w:tcW w:w="2965" w:type="dxa"/>
          </w:tcPr>
          <w:p w14:paraId="3CFDF0F4" w14:textId="77777777" w:rsidR="00564A02" w:rsidRDefault="00564A02" w:rsidP="00564A02">
            <w:pPr>
              <w:jc w:val="center"/>
            </w:pPr>
          </w:p>
          <w:p w14:paraId="75118280" w14:textId="4E702E68" w:rsidR="00564A02" w:rsidRDefault="00564A02" w:rsidP="00564A02">
            <w:pPr>
              <w:pStyle w:val="ListParagraph"/>
              <w:ind w:left="0"/>
              <w:contextualSpacing w:val="0"/>
            </w:pPr>
          </w:p>
        </w:tc>
      </w:tr>
      <w:tr w:rsidR="00564A02" w14:paraId="04BA07E4" w14:textId="77777777" w:rsidTr="004C24B7">
        <w:tc>
          <w:tcPr>
            <w:tcW w:w="7560" w:type="dxa"/>
          </w:tcPr>
          <w:p w14:paraId="120CA591" w14:textId="77777777" w:rsidR="00564A02" w:rsidRDefault="00564A02" w:rsidP="00564A02">
            <w:r w:rsidRPr="00873595">
              <w:lastRenderedPageBreak/>
              <w:t xml:space="preserve">The board shall hold at least two regular meetings in each year for the purpose of examining applications for </w:t>
            </w:r>
            <w:r>
              <w:t>licensing</w:t>
            </w:r>
            <w:r w:rsidRPr="00873595">
              <w:t xml:space="preserve"> and the transaction of other business. At its first regular meeting in each year the board shall choose from its own members a chairman and a secretary. The board shall hold such other meetings at such times and places as it shall determine. It may adopt such rules and regulations not inconsistent with law as it may </w:t>
            </w:r>
            <w:proofErr w:type="gramStart"/>
            <w:r w:rsidRPr="00873595">
              <w:t>deem</w:t>
            </w:r>
            <w:proofErr w:type="gramEnd"/>
            <w:r w:rsidRPr="00873595">
              <w:t xml:space="preserve"> necessary in the performance of its duties.</w:t>
            </w:r>
          </w:p>
          <w:p w14:paraId="262AB870" w14:textId="77777777" w:rsidR="00564A02" w:rsidRPr="001E1F15" w:rsidRDefault="00564A02" w:rsidP="00564A02"/>
        </w:tc>
        <w:tc>
          <w:tcPr>
            <w:tcW w:w="270" w:type="dxa"/>
          </w:tcPr>
          <w:p w14:paraId="4FF25F1A" w14:textId="77777777" w:rsidR="00564A02" w:rsidRDefault="00564A02" w:rsidP="00564A02">
            <w:pPr>
              <w:pStyle w:val="ListParagraph"/>
              <w:ind w:left="0"/>
              <w:contextualSpacing w:val="0"/>
              <w:rPr>
                <w:sz w:val="24"/>
                <w:szCs w:val="24"/>
              </w:rPr>
            </w:pPr>
          </w:p>
        </w:tc>
        <w:tc>
          <w:tcPr>
            <w:tcW w:w="2965" w:type="dxa"/>
          </w:tcPr>
          <w:p w14:paraId="20374E0D" w14:textId="77777777" w:rsidR="00564A02" w:rsidRDefault="00564A02" w:rsidP="00564A02">
            <w:pPr>
              <w:jc w:val="center"/>
            </w:pPr>
          </w:p>
        </w:tc>
      </w:tr>
      <w:tr w:rsidR="00564A02" w14:paraId="4ACEDBBC" w14:textId="77777777" w:rsidTr="004C24B7">
        <w:tc>
          <w:tcPr>
            <w:tcW w:w="7560" w:type="dxa"/>
          </w:tcPr>
          <w:p w14:paraId="2BFCD26D" w14:textId="2D6C2943" w:rsidR="00564A02" w:rsidRPr="00873595" w:rsidRDefault="00564A02" w:rsidP="00564A02">
            <w:pPr>
              <w:spacing w:after="160" w:line="278" w:lineRule="auto"/>
            </w:pPr>
            <w:r w:rsidRPr="00873595">
              <w:t xml:space="preserve">All fees received by the secretary of the board and not returned to the applicant shall be paid monthly to the state treasurer. Each appointed member shall receive from the commonwealth twenty-five dollars for each day or portion thereof spent in attending board meetings, and each member shall be paid the necessary traveling and other expenses actually incurred by </w:t>
            </w:r>
            <w:r>
              <w:t>the member for</w:t>
            </w:r>
            <w:r w:rsidRPr="00873595">
              <w:t xml:space="preserve"> attending said meetings; provided that such compensation and expenses shall not in any year exceed the receipts for registration and licenses paid to the commonwealth by the board. The board may appoint such employees as may be necessary to carry out </w:t>
            </w:r>
            <w:proofErr w:type="gramStart"/>
            <w:r w:rsidRPr="00873595">
              <w:t>its</w:t>
            </w:r>
            <w:proofErr w:type="gramEnd"/>
            <w:r w:rsidRPr="00873595">
              <w:t xml:space="preserve"> duties and may expend </w:t>
            </w:r>
            <w:r w:rsidR="00170169" w:rsidRPr="00873595">
              <w:t>therefore</w:t>
            </w:r>
            <w:r w:rsidRPr="00873595">
              <w:t xml:space="preserve"> such sums as may be appropriated.</w:t>
            </w:r>
          </w:p>
        </w:tc>
        <w:tc>
          <w:tcPr>
            <w:tcW w:w="270" w:type="dxa"/>
          </w:tcPr>
          <w:p w14:paraId="1D2159F8" w14:textId="77777777" w:rsidR="00564A02" w:rsidRDefault="00564A02" w:rsidP="00564A02">
            <w:pPr>
              <w:pStyle w:val="ListParagraph"/>
              <w:ind w:left="0"/>
              <w:contextualSpacing w:val="0"/>
              <w:rPr>
                <w:sz w:val="24"/>
                <w:szCs w:val="24"/>
              </w:rPr>
            </w:pPr>
          </w:p>
        </w:tc>
        <w:tc>
          <w:tcPr>
            <w:tcW w:w="2965" w:type="dxa"/>
          </w:tcPr>
          <w:p w14:paraId="238545AE" w14:textId="77777777" w:rsidR="00564A02" w:rsidRDefault="00564A02" w:rsidP="00564A02">
            <w:pPr>
              <w:jc w:val="center"/>
            </w:pPr>
          </w:p>
        </w:tc>
      </w:tr>
      <w:tr w:rsidR="00564A02" w14:paraId="5D32B87A" w14:textId="77777777" w:rsidTr="004C24B7">
        <w:tc>
          <w:tcPr>
            <w:tcW w:w="7560" w:type="dxa"/>
          </w:tcPr>
          <w:p w14:paraId="6C01EF65" w14:textId="31ED5DDB" w:rsidR="00564A02" w:rsidRPr="00241A29" w:rsidRDefault="00564A02" w:rsidP="00564A02">
            <w:pPr>
              <w:spacing w:after="160" w:line="278" w:lineRule="auto"/>
              <w:rPr>
                <w:i/>
                <w:iCs/>
              </w:rPr>
            </w:pPr>
            <w:r w:rsidRPr="00241A29">
              <w:rPr>
                <w:i/>
                <w:iCs/>
              </w:rPr>
              <w:t>Option: Note if it is decided to place the board within DPH, then a corresponding amendment will need to be made to subsection (a) of section 9 of Chapter 13.</w:t>
            </w:r>
          </w:p>
        </w:tc>
        <w:tc>
          <w:tcPr>
            <w:tcW w:w="270" w:type="dxa"/>
          </w:tcPr>
          <w:p w14:paraId="2149E99C" w14:textId="77777777" w:rsidR="00564A02" w:rsidRDefault="00564A02" w:rsidP="00564A02">
            <w:pPr>
              <w:pStyle w:val="ListParagraph"/>
              <w:ind w:left="0"/>
              <w:contextualSpacing w:val="0"/>
              <w:rPr>
                <w:sz w:val="24"/>
                <w:szCs w:val="24"/>
              </w:rPr>
            </w:pPr>
          </w:p>
        </w:tc>
        <w:tc>
          <w:tcPr>
            <w:tcW w:w="2965" w:type="dxa"/>
          </w:tcPr>
          <w:p w14:paraId="2B93B926" w14:textId="77777777" w:rsidR="00564A02" w:rsidRDefault="00564A02" w:rsidP="00564A02">
            <w:pPr>
              <w:jc w:val="center"/>
            </w:pPr>
          </w:p>
        </w:tc>
      </w:tr>
    </w:tbl>
    <w:p w14:paraId="61753B9A" w14:textId="77777777" w:rsidR="009C569E" w:rsidRDefault="009C569E">
      <w:pPr>
        <w:rPr>
          <w:sz w:val="24"/>
          <w:szCs w:val="24"/>
        </w:rPr>
      </w:pPr>
    </w:p>
    <w:p w14:paraId="7F1E88F7" w14:textId="77777777" w:rsidR="009C569E" w:rsidRDefault="009C569E">
      <w:pPr>
        <w:rPr>
          <w:sz w:val="24"/>
          <w:szCs w:val="24"/>
        </w:rPr>
      </w:pPr>
      <w:r>
        <w:rPr>
          <w:sz w:val="24"/>
          <w:szCs w:val="24"/>
        </w:rPr>
        <w:br w:type="page"/>
      </w:r>
    </w:p>
    <w:p w14:paraId="52947998" w14:textId="77777777" w:rsidR="00623334" w:rsidRDefault="00623334">
      <w:pPr>
        <w:rPr>
          <w:sz w:val="24"/>
          <w:szCs w:val="24"/>
        </w:rPr>
      </w:pPr>
    </w:p>
    <w:p w14:paraId="59DCFAB1" w14:textId="77777777" w:rsidR="000F1ED4" w:rsidRDefault="000F1ED4">
      <w:pPr>
        <w:rPr>
          <w:sz w:val="24"/>
          <w:szCs w:val="24"/>
        </w:rPr>
      </w:pPr>
    </w:p>
    <w:p w14:paraId="36EFFEEF" w14:textId="4D54DDEC" w:rsidR="00E04D21" w:rsidRPr="0006134E" w:rsidRDefault="00E04D21" w:rsidP="00E04D21">
      <w:pPr>
        <w:pStyle w:val="ListParagraph"/>
        <w:spacing w:after="0" w:line="240" w:lineRule="auto"/>
        <w:contextualSpacing w:val="0"/>
        <w:jc w:val="center"/>
        <w:rPr>
          <w:i/>
          <w:iCs/>
          <w:sz w:val="24"/>
          <w:szCs w:val="24"/>
        </w:rPr>
      </w:pPr>
      <w:r w:rsidRPr="0006134E">
        <w:rPr>
          <w:i/>
          <w:iCs/>
          <w:sz w:val="24"/>
          <w:szCs w:val="24"/>
        </w:rPr>
        <w:t xml:space="preserve">Exhibit #5.0 </w:t>
      </w:r>
    </w:p>
    <w:p w14:paraId="3013DE75" w14:textId="77777777" w:rsidR="00E04D21" w:rsidRPr="00791256" w:rsidRDefault="00E04D21" w:rsidP="00E04D21">
      <w:pPr>
        <w:pStyle w:val="ListParagraph"/>
        <w:spacing w:after="0" w:line="240" w:lineRule="auto"/>
        <w:contextualSpacing w:val="0"/>
        <w:jc w:val="center"/>
        <w:rPr>
          <w:b/>
          <w:bCs/>
          <w:sz w:val="16"/>
          <w:szCs w:val="16"/>
        </w:rPr>
      </w:pPr>
    </w:p>
    <w:p w14:paraId="0549FADC" w14:textId="08E63059" w:rsidR="00E04D21" w:rsidRDefault="00E04D21" w:rsidP="00E04D21">
      <w:pPr>
        <w:pStyle w:val="ListParagraph"/>
        <w:spacing w:after="0" w:line="240" w:lineRule="auto"/>
        <w:contextualSpacing w:val="0"/>
        <w:jc w:val="center"/>
        <w:rPr>
          <w:b/>
          <w:bCs/>
          <w:sz w:val="24"/>
          <w:szCs w:val="24"/>
        </w:rPr>
      </w:pPr>
      <w:r w:rsidRPr="000B3A15">
        <w:rPr>
          <w:b/>
          <w:bCs/>
          <w:sz w:val="24"/>
          <w:szCs w:val="24"/>
        </w:rPr>
        <w:t>Policy Proposal Statement</w:t>
      </w:r>
      <w:r>
        <w:rPr>
          <w:b/>
          <w:bCs/>
          <w:sz w:val="24"/>
          <w:szCs w:val="24"/>
        </w:rPr>
        <w:t xml:space="preserve"> to </w:t>
      </w:r>
    </w:p>
    <w:p w14:paraId="022980EC" w14:textId="47CC6FB4" w:rsidR="00E04D21" w:rsidRDefault="00E04D21" w:rsidP="00E04D21">
      <w:pPr>
        <w:pStyle w:val="ListParagraph"/>
        <w:spacing w:after="0" w:line="240" w:lineRule="auto"/>
        <w:contextualSpacing w:val="0"/>
        <w:jc w:val="center"/>
        <w:rPr>
          <w:b/>
          <w:bCs/>
          <w:sz w:val="24"/>
          <w:szCs w:val="24"/>
        </w:rPr>
      </w:pPr>
      <w:r>
        <w:rPr>
          <w:b/>
          <w:bCs/>
          <w:sz w:val="24"/>
          <w:szCs w:val="24"/>
        </w:rPr>
        <w:t>Ensur</w:t>
      </w:r>
      <w:r w:rsidR="004C1ADB">
        <w:rPr>
          <w:b/>
          <w:bCs/>
          <w:sz w:val="24"/>
          <w:szCs w:val="24"/>
        </w:rPr>
        <w:t>e</w:t>
      </w:r>
      <w:r>
        <w:rPr>
          <w:b/>
          <w:bCs/>
          <w:sz w:val="24"/>
          <w:szCs w:val="24"/>
        </w:rPr>
        <w:t xml:space="preserve"> Routine Review of ALR </w:t>
      </w:r>
      <w:r w:rsidRPr="008A0756">
        <w:rPr>
          <w:b/>
          <w:bCs/>
          <w:sz w:val="24"/>
          <w:szCs w:val="24"/>
        </w:rPr>
        <w:t>Certification Unit Resource</w:t>
      </w:r>
      <w:r>
        <w:rPr>
          <w:b/>
          <w:bCs/>
          <w:sz w:val="24"/>
          <w:szCs w:val="24"/>
        </w:rPr>
        <w:t xml:space="preserve"> Alignment</w:t>
      </w:r>
    </w:p>
    <w:p w14:paraId="170A857F" w14:textId="77777777" w:rsidR="00623334" w:rsidRPr="00791256" w:rsidRDefault="00623334" w:rsidP="00480F80">
      <w:pPr>
        <w:pStyle w:val="ListParagraph"/>
        <w:spacing w:after="0" w:line="240" w:lineRule="auto"/>
        <w:contextualSpacing w:val="0"/>
        <w:rPr>
          <w:sz w:val="16"/>
          <w:szCs w:val="16"/>
        </w:rPr>
      </w:pPr>
    </w:p>
    <w:tbl>
      <w:tblPr>
        <w:tblStyle w:val="TableGrid"/>
        <w:tblW w:w="0" w:type="auto"/>
        <w:tblInd w:w="-5" w:type="dxa"/>
        <w:tblLook w:val="04A0" w:firstRow="1" w:lastRow="0" w:firstColumn="1" w:lastColumn="0" w:noHBand="0" w:noVBand="1"/>
      </w:tblPr>
      <w:tblGrid>
        <w:gridCol w:w="2250"/>
        <w:gridCol w:w="270"/>
        <w:gridCol w:w="7645"/>
      </w:tblGrid>
      <w:tr w:rsidR="000446E2" w14:paraId="5149F9F9" w14:textId="77777777" w:rsidTr="00A80EDD">
        <w:tc>
          <w:tcPr>
            <w:tcW w:w="2250" w:type="dxa"/>
          </w:tcPr>
          <w:p w14:paraId="3AA18A0D" w14:textId="0794BC98" w:rsidR="000446E2" w:rsidRPr="00326E1D" w:rsidRDefault="000446E2" w:rsidP="00A80EDD">
            <w:pPr>
              <w:rPr>
                <w:b/>
                <w:bCs/>
              </w:rPr>
            </w:pPr>
            <w:r>
              <w:rPr>
                <w:b/>
                <w:bCs/>
              </w:rPr>
              <w:t>Recommendation 3.1</w:t>
            </w:r>
          </w:p>
        </w:tc>
        <w:tc>
          <w:tcPr>
            <w:tcW w:w="270" w:type="dxa"/>
          </w:tcPr>
          <w:p w14:paraId="6239D89B" w14:textId="77777777" w:rsidR="000446E2" w:rsidRDefault="000446E2" w:rsidP="00A80EDD"/>
        </w:tc>
        <w:tc>
          <w:tcPr>
            <w:tcW w:w="7645" w:type="dxa"/>
          </w:tcPr>
          <w:p w14:paraId="6037A1E0" w14:textId="6D0EEA0A" w:rsidR="00D35D52" w:rsidRPr="00EA0339" w:rsidRDefault="001B076F" w:rsidP="00F14F38">
            <w:pPr>
              <w:rPr>
                <w:b/>
                <w:bCs/>
              </w:rPr>
            </w:pPr>
            <w:r>
              <w:rPr>
                <w:b/>
                <w:bCs/>
              </w:rPr>
              <w:t>The ALR Commission should conduct a “fresh, clean look” at the current ALR certification review protocol, determining the ideal on-site review cadence and staffing level to manage the related reviewing effort for monitoring up to 280 ALRs, and evaluating the current staffing plan to the AGE ALR Certification Unit.</w:t>
            </w:r>
          </w:p>
        </w:tc>
      </w:tr>
      <w:tr w:rsidR="000446E2" w14:paraId="2760670E" w14:textId="77777777" w:rsidTr="00A80EDD">
        <w:trPr>
          <w:trHeight w:val="341"/>
        </w:trPr>
        <w:tc>
          <w:tcPr>
            <w:tcW w:w="2250" w:type="dxa"/>
          </w:tcPr>
          <w:p w14:paraId="1E079901" w14:textId="77777777" w:rsidR="000446E2" w:rsidRPr="00326E1D" w:rsidRDefault="000446E2" w:rsidP="00A80EDD">
            <w:pPr>
              <w:rPr>
                <w:b/>
                <w:bCs/>
              </w:rPr>
            </w:pPr>
            <w:r w:rsidRPr="00326E1D">
              <w:rPr>
                <w:b/>
                <w:bCs/>
              </w:rPr>
              <w:t>Domain:</w:t>
            </w:r>
          </w:p>
        </w:tc>
        <w:tc>
          <w:tcPr>
            <w:tcW w:w="270" w:type="dxa"/>
          </w:tcPr>
          <w:p w14:paraId="24858326" w14:textId="77777777" w:rsidR="000446E2" w:rsidRDefault="000446E2" w:rsidP="00A80EDD"/>
        </w:tc>
        <w:tc>
          <w:tcPr>
            <w:tcW w:w="7645" w:type="dxa"/>
          </w:tcPr>
          <w:p w14:paraId="3104FCBB" w14:textId="77777777" w:rsidR="000446E2" w:rsidRDefault="000446E2" w:rsidP="00A80EDD">
            <w:r>
              <w:t>ALR Oversight Adequacy</w:t>
            </w:r>
          </w:p>
        </w:tc>
      </w:tr>
      <w:tr w:rsidR="000446E2" w14:paraId="5B93F519" w14:textId="77777777" w:rsidTr="00A80EDD">
        <w:trPr>
          <w:trHeight w:val="440"/>
        </w:trPr>
        <w:tc>
          <w:tcPr>
            <w:tcW w:w="2250" w:type="dxa"/>
          </w:tcPr>
          <w:p w14:paraId="385E44C0" w14:textId="77777777" w:rsidR="000446E2" w:rsidRPr="00326E1D" w:rsidRDefault="000446E2" w:rsidP="00A80EDD">
            <w:pPr>
              <w:rPr>
                <w:b/>
                <w:bCs/>
              </w:rPr>
            </w:pPr>
            <w:r w:rsidRPr="00326E1D">
              <w:rPr>
                <w:b/>
                <w:bCs/>
              </w:rPr>
              <w:t>Change Type:</w:t>
            </w:r>
          </w:p>
        </w:tc>
        <w:tc>
          <w:tcPr>
            <w:tcW w:w="270" w:type="dxa"/>
          </w:tcPr>
          <w:p w14:paraId="13804A3A" w14:textId="77777777" w:rsidR="000446E2" w:rsidRDefault="000446E2" w:rsidP="00A80EDD"/>
        </w:tc>
        <w:tc>
          <w:tcPr>
            <w:tcW w:w="7645" w:type="dxa"/>
          </w:tcPr>
          <w:p w14:paraId="51FB947B" w14:textId="2B868A2F" w:rsidR="000446E2" w:rsidRDefault="0049599A" w:rsidP="00A80EDD">
            <w:r>
              <w:t xml:space="preserve">Revised AGE Budget </w:t>
            </w:r>
            <w:r w:rsidR="007B46C6">
              <w:t>Portfolio</w:t>
            </w:r>
            <w:r>
              <w:t xml:space="preserve"> with </w:t>
            </w:r>
            <w:r w:rsidR="004C1ADB">
              <w:t>n</w:t>
            </w:r>
            <w:r>
              <w:t xml:space="preserve">ew </w:t>
            </w:r>
            <w:r w:rsidR="004C1ADB">
              <w:t>line-item</w:t>
            </w:r>
            <w:r w:rsidR="007B46C6">
              <w:t xml:space="preserve"> </w:t>
            </w:r>
            <w:r w:rsidR="004C1ADB">
              <w:t>a</w:t>
            </w:r>
            <w:r w:rsidR="007B46C6">
              <w:t xml:space="preserve">ppropriation </w:t>
            </w:r>
            <w:r w:rsidR="004C1ADB">
              <w:t>f</w:t>
            </w:r>
            <w:r w:rsidR="00037A3C">
              <w:t xml:space="preserve">unded by </w:t>
            </w:r>
            <w:r w:rsidR="004C1ADB">
              <w:t>i</w:t>
            </w:r>
            <w:r w:rsidR="00037A3C">
              <w:t xml:space="preserve">ndustry </w:t>
            </w:r>
            <w:r w:rsidR="004C1ADB">
              <w:t>a</w:t>
            </w:r>
            <w:r w:rsidR="00037A3C">
              <w:t xml:space="preserve">ssessment; </w:t>
            </w:r>
            <w:r w:rsidR="00822B8D">
              <w:t>r</w:t>
            </w:r>
            <w:r w:rsidR="009A1742">
              <w:t xml:space="preserve">evenue </w:t>
            </w:r>
            <w:r w:rsidR="00822B8D">
              <w:t>n</w:t>
            </w:r>
            <w:r w:rsidR="009A1742">
              <w:t xml:space="preserve">eutral </w:t>
            </w:r>
            <w:r w:rsidR="00822B8D">
              <w:t>d</w:t>
            </w:r>
            <w:r w:rsidR="00037A3C">
              <w:t xml:space="preserve">issolution of </w:t>
            </w:r>
            <w:r w:rsidR="00822B8D">
              <w:t>r</w:t>
            </w:r>
            <w:r w:rsidR="00037A3C">
              <w:t>e-</w:t>
            </w:r>
            <w:r w:rsidR="00822B8D">
              <w:t>c</w:t>
            </w:r>
            <w:r w:rsidR="004A1FE0">
              <w:t xml:space="preserve">ertification </w:t>
            </w:r>
            <w:r w:rsidR="00822B8D">
              <w:t>f</w:t>
            </w:r>
            <w:r w:rsidR="004A1FE0">
              <w:t>ees</w:t>
            </w:r>
            <w:r w:rsidR="003E03B7">
              <w:t xml:space="preserve"> with </w:t>
            </w:r>
            <w:r w:rsidR="00822B8D">
              <w:t>r</w:t>
            </w:r>
            <w:r w:rsidR="003E03B7">
              <w:t xml:space="preserve">eplacement of ALR Industry </w:t>
            </w:r>
            <w:r w:rsidR="00EE2B13">
              <w:t>Assessment.</w:t>
            </w:r>
          </w:p>
          <w:p w14:paraId="3BAC49B2" w14:textId="06B7EEF6" w:rsidR="0028330D" w:rsidRDefault="0028330D" w:rsidP="00A80EDD"/>
        </w:tc>
      </w:tr>
      <w:tr w:rsidR="000446E2" w14:paraId="7F970EAE" w14:textId="77777777" w:rsidTr="00A80EDD">
        <w:trPr>
          <w:trHeight w:val="2240"/>
        </w:trPr>
        <w:tc>
          <w:tcPr>
            <w:tcW w:w="2250" w:type="dxa"/>
          </w:tcPr>
          <w:p w14:paraId="562EAC34" w14:textId="77777777" w:rsidR="000446E2" w:rsidRPr="00326E1D" w:rsidRDefault="000446E2" w:rsidP="00A80EDD">
            <w:pPr>
              <w:rPr>
                <w:b/>
                <w:bCs/>
              </w:rPr>
            </w:pPr>
            <w:r w:rsidRPr="00326E1D">
              <w:rPr>
                <w:b/>
                <w:bCs/>
              </w:rPr>
              <w:t>Problem Statement:</w:t>
            </w:r>
          </w:p>
        </w:tc>
        <w:tc>
          <w:tcPr>
            <w:tcW w:w="270" w:type="dxa"/>
          </w:tcPr>
          <w:p w14:paraId="579124D9" w14:textId="77777777" w:rsidR="000446E2" w:rsidRDefault="000446E2" w:rsidP="00A80EDD"/>
        </w:tc>
        <w:tc>
          <w:tcPr>
            <w:tcW w:w="7645" w:type="dxa"/>
          </w:tcPr>
          <w:p w14:paraId="7263C5BF" w14:textId="39902F40" w:rsidR="00E05098" w:rsidRDefault="00C82C51" w:rsidP="00A80EDD">
            <w:r>
              <w:t xml:space="preserve">A major benefit of the presence of the ALR Commission is the opportunity to have a </w:t>
            </w:r>
            <w:r w:rsidR="00823E63">
              <w:t>fresh review and consideration on the process of ALR certification, with particular emphasis on the ALR</w:t>
            </w:r>
            <w:r w:rsidR="00F50F5A">
              <w:t xml:space="preserve"> certification review protocol,</w:t>
            </w:r>
            <w:r w:rsidR="00392181">
              <w:t xml:space="preserve"> the level of engagement by an AGE ALR Certification Team</w:t>
            </w:r>
            <w:r w:rsidR="00844569">
              <w:t xml:space="preserve"> when conducting an on-site review, the expected number of reviews that should occur in a year, and the ideal staffing plan to meet this level of effort.</w:t>
            </w:r>
          </w:p>
          <w:p w14:paraId="192D336B" w14:textId="77777777" w:rsidR="00E05098" w:rsidRDefault="00E05098" w:rsidP="00A80EDD"/>
          <w:p w14:paraId="0F227352" w14:textId="06FA6208" w:rsidR="00405375" w:rsidRDefault="00EE2B13" w:rsidP="00A80EDD">
            <w:r>
              <w:t>Given the relative size of AGE ALR certification</w:t>
            </w:r>
            <w:r w:rsidR="004A0784">
              <w:t xml:space="preserve"> duties in </w:t>
            </w:r>
            <w:r w:rsidR="002161C2">
              <w:t>proportion</w:t>
            </w:r>
            <w:r w:rsidR="004A0784">
              <w:t xml:space="preserve"> to </w:t>
            </w:r>
            <w:r w:rsidR="0047426F">
              <w:t>AGE duties related to the management of elder care services</w:t>
            </w:r>
            <w:r w:rsidR="00A87E85">
              <w:t xml:space="preserve"> inclusive of protective services</w:t>
            </w:r>
            <w:r w:rsidR="00987B1E">
              <w:t>, it is speculated that</w:t>
            </w:r>
            <w:r w:rsidR="00F9714B">
              <w:t xml:space="preserve"> it has</w:t>
            </w:r>
            <w:r w:rsidR="00972B17">
              <w:t xml:space="preserve"> been</w:t>
            </w:r>
            <w:r w:rsidR="00F9714B">
              <w:t xml:space="preserve"> a long while since</w:t>
            </w:r>
            <w:r w:rsidR="00987B1E">
              <w:t xml:space="preserve"> </w:t>
            </w:r>
            <w:r w:rsidR="00A87E85">
              <w:t>the ALR Certification operation</w:t>
            </w:r>
            <w:r w:rsidR="0028330D">
              <w:t xml:space="preserve"> has </w:t>
            </w:r>
            <w:r w:rsidR="00091B10">
              <w:t>been examined for both work burden and resource adequacy.</w:t>
            </w:r>
          </w:p>
          <w:p w14:paraId="488F20A6" w14:textId="77777777" w:rsidR="00405375" w:rsidRDefault="00405375" w:rsidP="00A80EDD"/>
          <w:p w14:paraId="6742928E" w14:textId="77777777" w:rsidR="000446E2" w:rsidRDefault="00405375" w:rsidP="00C71C37">
            <w:r>
              <w:t xml:space="preserve">Particularly in consideration </w:t>
            </w:r>
            <w:r w:rsidR="00F111A3">
              <w:t xml:space="preserve">that ALR certification fees are expected to cover the state cost of </w:t>
            </w:r>
            <w:r w:rsidR="000A21B0">
              <w:t xml:space="preserve">Assisted Living certification, it is appropriate to dedicate a funding line for the specific </w:t>
            </w:r>
            <w:r w:rsidR="00C71C37">
              <w:t>function of ALR oversight and certification.</w:t>
            </w:r>
          </w:p>
          <w:p w14:paraId="2F357DBC" w14:textId="77777777" w:rsidR="0060054A" w:rsidRDefault="0060054A" w:rsidP="00C71C37"/>
          <w:p w14:paraId="6AFE228D" w14:textId="0D10368D" w:rsidR="0060054A" w:rsidRDefault="0060054A" w:rsidP="00C71C37">
            <w:r>
              <w:t xml:space="preserve">It is speculated that over time, the fact that the ALR </w:t>
            </w:r>
            <w:r w:rsidR="00D31D3B">
              <w:t xml:space="preserve">oversight functions are resourced from the general 9110-0100 AGE </w:t>
            </w:r>
            <w:r w:rsidR="000059BA">
              <w:t xml:space="preserve">general </w:t>
            </w:r>
            <w:r w:rsidR="00D31D3B">
              <w:t>administration</w:t>
            </w:r>
            <w:r w:rsidR="00BE7DB7">
              <w:t xml:space="preserve"> line item</w:t>
            </w:r>
            <w:r w:rsidR="001B2413">
              <w:t xml:space="preserve"> has contributed to</w:t>
            </w:r>
            <w:r w:rsidR="000059BA">
              <w:t xml:space="preserve"> dynamic of </w:t>
            </w:r>
            <w:r w:rsidR="008A461B">
              <w:t>ALR-related resources</w:t>
            </w:r>
            <w:r w:rsidR="00AD3FC1">
              <w:t xml:space="preserve"> not aligning</w:t>
            </w:r>
            <w:r w:rsidR="008A461B">
              <w:t xml:space="preserve"> to the level ALR certification revenues.</w:t>
            </w:r>
          </w:p>
          <w:p w14:paraId="763F907D" w14:textId="573B143D" w:rsidR="00BB284F" w:rsidRDefault="00BB284F" w:rsidP="00C71C37"/>
        </w:tc>
      </w:tr>
      <w:tr w:rsidR="000446E2" w14:paraId="0879DD0C" w14:textId="77777777" w:rsidTr="00A80EDD">
        <w:trPr>
          <w:trHeight w:val="1979"/>
        </w:trPr>
        <w:tc>
          <w:tcPr>
            <w:tcW w:w="2250" w:type="dxa"/>
          </w:tcPr>
          <w:p w14:paraId="611B3267" w14:textId="77777777" w:rsidR="000446E2" w:rsidRPr="00326E1D" w:rsidRDefault="000446E2" w:rsidP="00A80EDD">
            <w:pPr>
              <w:rPr>
                <w:b/>
                <w:bCs/>
              </w:rPr>
            </w:pPr>
            <w:r w:rsidRPr="00326E1D">
              <w:rPr>
                <w:b/>
                <w:bCs/>
              </w:rPr>
              <w:t>Solution Narrative:</w:t>
            </w:r>
          </w:p>
        </w:tc>
        <w:tc>
          <w:tcPr>
            <w:tcW w:w="270" w:type="dxa"/>
          </w:tcPr>
          <w:p w14:paraId="6B6989BC" w14:textId="77777777" w:rsidR="000446E2" w:rsidRDefault="000446E2" w:rsidP="00A80EDD"/>
        </w:tc>
        <w:tc>
          <w:tcPr>
            <w:tcW w:w="7645" w:type="dxa"/>
          </w:tcPr>
          <w:p w14:paraId="38F5367E" w14:textId="7808A21E" w:rsidR="000446E2" w:rsidRDefault="00C802F0" w:rsidP="00A80EDD">
            <w:r>
              <w:t>For the ALR Commission to conduct a review of the AGE ALR Certification</w:t>
            </w:r>
            <w:r w:rsidR="00512298">
              <w:t xml:space="preserve"> oversight process, with emphasis on the on-site review procedure, </w:t>
            </w:r>
            <w:r w:rsidR="00182F64">
              <w:t xml:space="preserve">ideal number of annual on-site reviews and the related staffing plan, and </w:t>
            </w:r>
            <w:r w:rsidR="00ED0906">
              <w:t>analysis of current resource alignment.</w:t>
            </w:r>
          </w:p>
          <w:p w14:paraId="3437CBB6" w14:textId="77777777" w:rsidR="00ED0906" w:rsidRDefault="00ED0906" w:rsidP="00A80EDD"/>
          <w:p w14:paraId="4AD5D5DA" w14:textId="37F25798" w:rsidR="00ED0906" w:rsidRDefault="009C3869" w:rsidP="00A80EDD">
            <w:r>
              <w:t xml:space="preserve">Replace re-certification fees with annual assessment process that correlates to </w:t>
            </w:r>
            <w:r w:rsidR="00D83E0E">
              <w:t>AGE staffing plan and funding commitment to ALR certification.</w:t>
            </w:r>
          </w:p>
        </w:tc>
      </w:tr>
      <w:tr w:rsidR="000446E2" w14:paraId="19A1C6C5" w14:textId="77777777" w:rsidTr="00A80EDD">
        <w:trPr>
          <w:trHeight w:val="449"/>
        </w:trPr>
        <w:tc>
          <w:tcPr>
            <w:tcW w:w="2250" w:type="dxa"/>
          </w:tcPr>
          <w:p w14:paraId="4621C876" w14:textId="77777777" w:rsidR="000446E2" w:rsidRPr="00326E1D" w:rsidRDefault="000446E2" w:rsidP="00A80EDD">
            <w:pPr>
              <w:rPr>
                <w:b/>
                <w:bCs/>
              </w:rPr>
            </w:pPr>
            <w:r w:rsidRPr="00326E1D">
              <w:rPr>
                <w:b/>
                <w:bCs/>
              </w:rPr>
              <w:t>Insertion Description:</w:t>
            </w:r>
          </w:p>
        </w:tc>
        <w:tc>
          <w:tcPr>
            <w:tcW w:w="270" w:type="dxa"/>
          </w:tcPr>
          <w:p w14:paraId="19142C10" w14:textId="77777777" w:rsidR="000446E2" w:rsidRDefault="000446E2" w:rsidP="00A80EDD"/>
        </w:tc>
        <w:tc>
          <w:tcPr>
            <w:tcW w:w="7645" w:type="dxa"/>
          </w:tcPr>
          <w:p w14:paraId="2E4A6214" w14:textId="77777777" w:rsidR="000446E2" w:rsidRDefault="000446E2" w:rsidP="00A80EDD">
            <w:r>
              <w:t>Statutory amendment to M.G.L. c. 19d § 5 “Biennial Review”</w:t>
            </w:r>
            <w:r w:rsidR="0040756D">
              <w:t xml:space="preserve"> adding new chapter creating </w:t>
            </w:r>
            <w:r w:rsidR="00747DC8">
              <w:t>line-item linked assessment.</w:t>
            </w:r>
          </w:p>
          <w:p w14:paraId="29BE5082" w14:textId="77777777" w:rsidR="00747DC8" w:rsidRDefault="00747DC8" w:rsidP="00A80EDD"/>
          <w:p w14:paraId="35EB2972" w14:textId="4F344CA4" w:rsidR="00747DC8" w:rsidRDefault="00747DC8" w:rsidP="00A80EDD">
            <w:r>
              <w:t>New AGE line item in the annual budget</w:t>
            </w:r>
            <w:r w:rsidR="003B7F78">
              <w:t>, carved out from 9110-0100 and dedicated to ALR Oversight and Certification Operations</w:t>
            </w:r>
          </w:p>
        </w:tc>
      </w:tr>
    </w:tbl>
    <w:p w14:paraId="7A4D44B2" w14:textId="77777777" w:rsidR="00791256" w:rsidRDefault="00791256">
      <w:pPr>
        <w:rPr>
          <w:sz w:val="24"/>
          <w:szCs w:val="24"/>
        </w:rPr>
      </w:pPr>
      <w:r>
        <w:rPr>
          <w:sz w:val="24"/>
          <w:szCs w:val="24"/>
        </w:rPr>
        <w:br w:type="page"/>
      </w:r>
    </w:p>
    <w:p w14:paraId="33FF3C1C" w14:textId="45BE029C" w:rsidR="00D765E1" w:rsidRPr="0006134E" w:rsidRDefault="00D765E1" w:rsidP="00D765E1">
      <w:pPr>
        <w:pStyle w:val="ListParagraph"/>
        <w:spacing w:after="0" w:line="240" w:lineRule="auto"/>
        <w:contextualSpacing w:val="0"/>
        <w:jc w:val="center"/>
        <w:rPr>
          <w:i/>
          <w:iCs/>
          <w:sz w:val="24"/>
          <w:szCs w:val="24"/>
        </w:rPr>
      </w:pPr>
      <w:r w:rsidRPr="0006134E">
        <w:rPr>
          <w:i/>
          <w:iCs/>
          <w:sz w:val="24"/>
          <w:szCs w:val="24"/>
        </w:rPr>
        <w:lastRenderedPageBreak/>
        <w:t>Exhibit #5.1</w:t>
      </w:r>
      <w:r w:rsidR="00DE2DC1" w:rsidRPr="0006134E">
        <w:rPr>
          <w:i/>
          <w:iCs/>
          <w:sz w:val="24"/>
          <w:szCs w:val="24"/>
        </w:rPr>
        <w:t>(a)</w:t>
      </w:r>
      <w:r w:rsidRPr="0006134E">
        <w:rPr>
          <w:i/>
          <w:iCs/>
          <w:sz w:val="24"/>
          <w:szCs w:val="24"/>
        </w:rPr>
        <w:t xml:space="preserve"> </w:t>
      </w:r>
    </w:p>
    <w:p w14:paraId="1AE857BD" w14:textId="77777777" w:rsidR="00D765E1" w:rsidRDefault="00D765E1" w:rsidP="006960E4">
      <w:pPr>
        <w:pStyle w:val="ListParagraph"/>
        <w:spacing w:after="0" w:line="240" w:lineRule="auto"/>
        <w:contextualSpacing w:val="0"/>
        <w:jc w:val="center"/>
        <w:rPr>
          <w:b/>
          <w:bCs/>
          <w:sz w:val="24"/>
          <w:szCs w:val="24"/>
        </w:rPr>
      </w:pPr>
    </w:p>
    <w:p w14:paraId="19557A47" w14:textId="760E3A88" w:rsidR="00E900DF" w:rsidRDefault="006960E4" w:rsidP="006960E4">
      <w:pPr>
        <w:pStyle w:val="ListParagraph"/>
        <w:spacing w:after="0" w:line="240" w:lineRule="auto"/>
        <w:contextualSpacing w:val="0"/>
        <w:jc w:val="center"/>
        <w:rPr>
          <w:b/>
          <w:bCs/>
          <w:sz w:val="24"/>
          <w:szCs w:val="24"/>
        </w:rPr>
      </w:pPr>
      <w:r w:rsidRPr="002650FB">
        <w:rPr>
          <w:b/>
          <w:bCs/>
          <w:sz w:val="24"/>
          <w:szCs w:val="24"/>
        </w:rPr>
        <w:t>Draft Implementation Language to</w:t>
      </w:r>
      <w:r w:rsidR="00422168" w:rsidRPr="00422168">
        <w:rPr>
          <w:b/>
          <w:bCs/>
          <w:sz w:val="24"/>
          <w:szCs w:val="24"/>
        </w:rPr>
        <w:t xml:space="preserve"> </w:t>
      </w:r>
      <w:r w:rsidR="003806BD">
        <w:rPr>
          <w:b/>
          <w:bCs/>
          <w:sz w:val="24"/>
          <w:szCs w:val="24"/>
        </w:rPr>
        <w:t>I</w:t>
      </w:r>
      <w:r w:rsidR="00422168" w:rsidRPr="00422168">
        <w:rPr>
          <w:b/>
          <w:bCs/>
          <w:sz w:val="24"/>
          <w:szCs w:val="24"/>
        </w:rPr>
        <w:t xml:space="preserve">ncrease the </w:t>
      </w:r>
      <w:r w:rsidR="003806BD">
        <w:rPr>
          <w:b/>
          <w:bCs/>
          <w:sz w:val="24"/>
          <w:szCs w:val="24"/>
        </w:rPr>
        <w:t>L</w:t>
      </w:r>
      <w:r w:rsidR="00422168" w:rsidRPr="00422168">
        <w:rPr>
          <w:b/>
          <w:bCs/>
          <w:sz w:val="24"/>
          <w:szCs w:val="24"/>
        </w:rPr>
        <w:t xml:space="preserve">evel of </w:t>
      </w:r>
      <w:r w:rsidR="003806BD">
        <w:rPr>
          <w:b/>
          <w:bCs/>
          <w:sz w:val="24"/>
          <w:szCs w:val="24"/>
        </w:rPr>
        <w:t>S</w:t>
      </w:r>
      <w:r w:rsidR="00422168" w:rsidRPr="00422168">
        <w:rPr>
          <w:b/>
          <w:bCs/>
          <w:sz w:val="24"/>
          <w:szCs w:val="24"/>
        </w:rPr>
        <w:t xml:space="preserve">urveillance </w:t>
      </w:r>
    </w:p>
    <w:p w14:paraId="63B9D7CB" w14:textId="69B46F18" w:rsidR="006960E4" w:rsidRPr="00AE2CD6" w:rsidRDefault="003806BD" w:rsidP="006960E4">
      <w:pPr>
        <w:pStyle w:val="ListParagraph"/>
        <w:spacing w:after="0" w:line="240" w:lineRule="auto"/>
        <w:contextualSpacing w:val="0"/>
        <w:jc w:val="center"/>
        <w:rPr>
          <w:sz w:val="24"/>
          <w:szCs w:val="24"/>
        </w:rPr>
      </w:pPr>
      <w:r>
        <w:rPr>
          <w:b/>
          <w:bCs/>
          <w:sz w:val="24"/>
          <w:szCs w:val="24"/>
        </w:rPr>
        <w:t>P</w:t>
      </w:r>
      <w:r w:rsidR="00422168" w:rsidRPr="00422168">
        <w:rPr>
          <w:b/>
          <w:bCs/>
          <w:sz w:val="24"/>
          <w:szCs w:val="24"/>
        </w:rPr>
        <w:t xml:space="preserve">erformed by AGE as </w:t>
      </w:r>
      <w:r w:rsidR="00E900DF">
        <w:rPr>
          <w:b/>
          <w:bCs/>
          <w:sz w:val="24"/>
          <w:szCs w:val="24"/>
        </w:rPr>
        <w:t>R</w:t>
      </w:r>
      <w:r w:rsidR="00422168" w:rsidRPr="00422168">
        <w:rPr>
          <w:b/>
          <w:bCs/>
          <w:sz w:val="24"/>
          <w:szCs w:val="24"/>
        </w:rPr>
        <w:t>egulator (certifier) to Assisted Living Residences</w:t>
      </w:r>
      <w:r w:rsidR="00E80AFC">
        <w:rPr>
          <w:b/>
          <w:bCs/>
          <w:sz w:val="24"/>
          <w:szCs w:val="24"/>
        </w:rPr>
        <w:t>- Amending ALR Statute</w:t>
      </w:r>
      <w:r w:rsidR="006960E4" w:rsidRPr="002650FB">
        <w:rPr>
          <w:b/>
          <w:bCs/>
          <w:sz w:val="24"/>
          <w:szCs w:val="24"/>
        </w:rPr>
        <w:t xml:space="preserve"> </w:t>
      </w:r>
    </w:p>
    <w:p w14:paraId="02348CD2" w14:textId="77777777" w:rsidR="00727241" w:rsidRDefault="00727241" w:rsidP="00480F80">
      <w:pPr>
        <w:pStyle w:val="ListParagraph"/>
        <w:spacing w:after="0" w:line="240" w:lineRule="auto"/>
        <w:contextualSpacing w:val="0"/>
        <w:rPr>
          <w:sz w:val="24"/>
          <w:szCs w:val="24"/>
        </w:rPr>
      </w:pPr>
    </w:p>
    <w:tbl>
      <w:tblPr>
        <w:tblStyle w:val="TableGrid"/>
        <w:tblW w:w="0" w:type="auto"/>
        <w:tblInd w:w="-5" w:type="dxa"/>
        <w:tblLook w:val="04A0" w:firstRow="1" w:lastRow="0" w:firstColumn="1" w:lastColumn="0" w:noHBand="0" w:noVBand="1"/>
      </w:tblPr>
      <w:tblGrid>
        <w:gridCol w:w="6210"/>
        <w:gridCol w:w="270"/>
        <w:gridCol w:w="4315"/>
      </w:tblGrid>
      <w:tr w:rsidR="00727241" w14:paraId="1DF7C221" w14:textId="77777777" w:rsidTr="00820127">
        <w:tc>
          <w:tcPr>
            <w:tcW w:w="6210" w:type="dxa"/>
          </w:tcPr>
          <w:p w14:paraId="3A85F539" w14:textId="6B4227DC" w:rsidR="00727241" w:rsidRDefault="00727241" w:rsidP="00A552A0">
            <w:pPr>
              <w:pStyle w:val="ListParagraph"/>
              <w:ind w:left="0"/>
              <w:contextualSpacing w:val="0"/>
              <w:rPr>
                <w:sz w:val="24"/>
                <w:szCs w:val="24"/>
              </w:rPr>
            </w:pPr>
            <w:r w:rsidRPr="00E6075B">
              <w:rPr>
                <w:b/>
                <w:bCs/>
              </w:rPr>
              <w:t>Proposed Language</w:t>
            </w:r>
            <w:r w:rsidR="00791DC7">
              <w:rPr>
                <w:b/>
                <w:bCs/>
              </w:rPr>
              <w:t xml:space="preserve"> </w:t>
            </w:r>
            <w:r w:rsidR="00A90886">
              <w:rPr>
                <w:b/>
                <w:bCs/>
              </w:rPr>
              <w:t>(Entirely New Section</w:t>
            </w:r>
            <w:r w:rsidR="00B54B2F">
              <w:rPr>
                <w:b/>
                <w:bCs/>
              </w:rPr>
              <w:t xml:space="preserve">) for </w:t>
            </w:r>
            <w:r w:rsidR="00B54B2F" w:rsidRPr="00096CA7">
              <w:rPr>
                <w:b/>
                <w:bCs/>
              </w:rPr>
              <w:t>Amend</w:t>
            </w:r>
            <w:r w:rsidR="00B54B2F">
              <w:rPr>
                <w:b/>
                <w:bCs/>
              </w:rPr>
              <w:t>ing</w:t>
            </w:r>
            <w:r w:rsidR="00B54B2F" w:rsidRPr="00096CA7">
              <w:rPr>
                <w:b/>
                <w:bCs/>
              </w:rPr>
              <w:t xml:space="preserve"> the ALR statute (M.G.L. c. 19D)</w:t>
            </w:r>
          </w:p>
        </w:tc>
        <w:tc>
          <w:tcPr>
            <w:tcW w:w="270" w:type="dxa"/>
          </w:tcPr>
          <w:p w14:paraId="401D4E05" w14:textId="77777777" w:rsidR="00727241" w:rsidRDefault="00727241" w:rsidP="00A552A0">
            <w:pPr>
              <w:pStyle w:val="ListParagraph"/>
              <w:ind w:left="0"/>
              <w:contextualSpacing w:val="0"/>
              <w:rPr>
                <w:sz w:val="24"/>
                <w:szCs w:val="24"/>
              </w:rPr>
            </w:pPr>
          </w:p>
        </w:tc>
        <w:tc>
          <w:tcPr>
            <w:tcW w:w="4315" w:type="dxa"/>
          </w:tcPr>
          <w:p w14:paraId="3F46E624" w14:textId="77777777" w:rsidR="00727241" w:rsidRDefault="00727241" w:rsidP="00A552A0">
            <w:pPr>
              <w:pStyle w:val="ListParagraph"/>
              <w:ind w:left="0"/>
              <w:contextualSpacing w:val="0"/>
              <w:rPr>
                <w:sz w:val="24"/>
                <w:szCs w:val="24"/>
              </w:rPr>
            </w:pPr>
            <w:r w:rsidRPr="0087213B">
              <w:rPr>
                <w:b/>
                <w:bCs/>
              </w:rPr>
              <w:t>Comment</w:t>
            </w:r>
          </w:p>
        </w:tc>
      </w:tr>
      <w:tr w:rsidR="00791DC7" w14:paraId="4F759C09" w14:textId="77777777" w:rsidTr="00820127">
        <w:tc>
          <w:tcPr>
            <w:tcW w:w="6210" w:type="dxa"/>
          </w:tcPr>
          <w:p w14:paraId="42676021" w14:textId="13A36BE0" w:rsidR="00791DC7" w:rsidRDefault="00791DC7" w:rsidP="00791DC7">
            <w:pPr>
              <w:rPr>
                <w:sz w:val="24"/>
                <w:szCs w:val="24"/>
              </w:rPr>
            </w:pPr>
            <w:r w:rsidRPr="004257EA">
              <w:rPr>
                <w:b/>
                <w:bCs/>
              </w:rPr>
              <w:t xml:space="preserve">Section </w:t>
            </w:r>
            <w:r w:rsidR="001B6449">
              <w:rPr>
                <w:b/>
                <w:bCs/>
              </w:rPr>
              <w:t>4</w:t>
            </w:r>
            <w:r w:rsidR="00F3207E" w:rsidRPr="00F3207E">
              <w:rPr>
                <w:b/>
                <w:bCs/>
                <w:sz w:val="18"/>
                <w:szCs w:val="18"/>
              </w:rPr>
              <w:t xml:space="preserve">1/2 </w:t>
            </w:r>
            <w:r w:rsidR="00CC62BC" w:rsidRPr="00F3207E">
              <w:rPr>
                <w:b/>
                <w:bCs/>
                <w:sz w:val="18"/>
                <w:szCs w:val="18"/>
              </w:rPr>
              <w:t xml:space="preserve"> </w:t>
            </w:r>
            <w:r w:rsidR="00CC62BC">
              <w:rPr>
                <w:b/>
                <w:bCs/>
              </w:rPr>
              <w:t>Assessment</w:t>
            </w:r>
          </w:p>
        </w:tc>
        <w:tc>
          <w:tcPr>
            <w:tcW w:w="270" w:type="dxa"/>
          </w:tcPr>
          <w:p w14:paraId="12DFB6FF" w14:textId="77777777" w:rsidR="00791DC7" w:rsidRDefault="00791DC7" w:rsidP="00791DC7">
            <w:pPr>
              <w:pStyle w:val="ListParagraph"/>
              <w:ind w:left="0"/>
              <w:contextualSpacing w:val="0"/>
              <w:rPr>
                <w:sz w:val="24"/>
                <w:szCs w:val="24"/>
              </w:rPr>
            </w:pPr>
          </w:p>
        </w:tc>
        <w:tc>
          <w:tcPr>
            <w:tcW w:w="4315" w:type="dxa"/>
          </w:tcPr>
          <w:p w14:paraId="2B7C026B" w14:textId="20E4E483" w:rsidR="00791DC7" w:rsidRDefault="00CC62BC" w:rsidP="00791DC7">
            <w:pPr>
              <w:pStyle w:val="ListParagraph"/>
              <w:ind w:left="0"/>
              <w:contextualSpacing w:val="0"/>
              <w:rPr>
                <w:sz w:val="24"/>
                <w:szCs w:val="24"/>
              </w:rPr>
            </w:pPr>
            <w:r>
              <w:t>New Secti</w:t>
            </w:r>
            <w:r w:rsidR="00F3207E">
              <w:t>on and Title</w:t>
            </w:r>
          </w:p>
        </w:tc>
      </w:tr>
      <w:tr w:rsidR="00791DC7" w14:paraId="7A6F5756" w14:textId="77777777" w:rsidTr="00820127">
        <w:tc>
          <w:tcPr>
            <w:tcW w:w="6210" w:type="dxa"/>
          </w:tcPr>
          <w:p w14:paraId="496F9CA1" w14:textId="77777777" w:rsidR="00791DC7" w:rsidRDefault="00DC5EBC" w:rsidP="00791DC7">
            <w:r w:rsidRPr="007C71D7">
              <w:t>On or before October f</w:t>
            </w:r>
            <w:r>
              <w:t>ifteenth</w:t>
            </w:r>
            <w:r w:rsidRPr="007C71D7">
              <w:t xml:space="preserve"> in any fiscal year, the </w:t>
            </w:r>
            <w:r>
              <w:t xml:space="preserve">Secretary </w:t>
            </w:r>
            <w:r w:rsidRPr="007C71D7">
              <w:t>shall</w:t>
            </w:r>
            <w:r>
              <w:t xml:space="preserve"> make an annual assessment against each Assisted Living Residence. The assessment amount shall be paid by the Assisted Living Residence within 30 days after the date of the notice of assessment is issued by the Secretary.</w:t>
            </w:r>
          </w:p>
          <w:p w14:paraId="272F3CC2" w14:textId="6CC77DA4" w:rsidR="00EC6325" w:rsidRDefault="00EC6325" w:rsidP="00791DC7">
            <w:pPr>
              <w:rPr>
                <w:sz w:val="24"/>
                <w:szCs w:val="24"/>
              </w:rPr>
            </w:pPr>
          </w:p>
        </w:tc>
        <w:tc>
          <w:tcPr>
            <w:tcW w:w="270" w:type="dxa"/>
          </w:tcPr>
          <w:p w14:paraId="5A3AA954" w14:textId="77777777" w:rsidR="00791DC7" w:rsidRDefault="00791DC7" w:rsidP="00791DC7">
            <w:pPr>
              <w:pStyle w:val="ListParagraph"/>
              <w:ind w:left="0"/>
              <w:contextualSpacing w:val="0"/>
              <w:rPr>
                <w:sz w:val="24"/>
                <w:szCs w:val="24"/>
              </w:rPr>
            </w:pPr>
          </w:p>
        </w:tc>
        <w:tc>
          <w:tcPr>
            <w:tcW w:w="4315" w:type="dxa"/>
          </w:tcPr>
          <w:p w14:paraId="177EE6F7" w14:textId="0CF2BB41" w:rsidR="00791DC7" w:rsidRDefault="00791DC7" w:rsidP="00791DC7">
            <w:pPr>
              <w:pStyle w:val="ListParagraph"/>
              <w:ind w:left="0"/>
              <w:contextualSpacing w:val="0"/>
              <w:rPr>
                <w:sz w:val="24"/>
                <w:szCs w:val="24"/>
              </w:rPr>
            </w:pPr>
          </w:p>
        </w:tc>
      </w:tr>
      <w:tr w:rsidR="00791DC7" w14:paraId="5CE3326E" w14:textId="77777777" w:rsidTr="00820127">
        <w:tc>
          <w:tcPr>
            <w:tcW w:w="6210" w:type="dxa"/>
          </w:tcPr>
          <w:p w14:paraId="4D008AA2" w14:textId="77777777" w:rsidR="00791DC7" w:rsidRDefault="00656DD9" w:rsidP="007C45B9">
            <w:r>
              <w:t>The assessments levied shall be made at a rate sufficient to produce the amount authorized for expenditure from item 9110-0106 and the associated fringe and benefit costs estimated to be expended from the item; provided further, that if the Secretary fails to expend in any fiscal year the total amount of funds available in line item 9110-0106 or the estimated fringe and benefit costs, any such unexpended amount shall be credited towards the assessment to be made in the following year and the assessment in such following year shall be reduced by such credited amount.</w:t>
            </w:r>
          </w:p>
          <w:p w14:paraId="07651E08" w14:textId="7D2750B1" w:rsidR="007C45B9" w:rsidRDefault="007C45B9" w:rsidP="007C45B9">
            <w:pPr>
              <w:rPr>
                <w:sz w:val="24"/>
                <w:szCs w:val="24"/>
              </w:rPr>
            </w:pPr>
          </w:p>
        </w:tc>
        <w:tc>
          <w:tcPr>
            <w:tcW w:w="270" w:type="dxa"/>
          </w:tcPr>
          <w:p w14:paraId="4D3DCEB4" w14:textId="77777777" w:rsidR="00791DC7" w:rsidRDefault="00791DC7" w:rsidP="00791DC7">
            <w:pPr>
              <w:pStyle w:val="ListParagraph"/>
              <w:ind w:left="0"/>
              <w:contextualSpacing w:val="0"/>
              <w:rPr>
                <w:sz w:val="24"/>
                <w:szCs w:val="24"/>
              </w:rPr>
            </w:pPr>
          </w:p>
        </w:tc>
        <w:tc>
          <w:tcPr>
            <w:tcW w:w="4315" w:type="dxa"/>
          </w:tcPr>
          <w:p w14:paraId="016822E3" w14:textId="77777777" w:rsidR="00791DC7" w:rsidRPr="000F5016" w:rsidRDefault="00791DC7" w:rsidP="00791DC7">
            <w:pPr>
              <w:pStyle w:val="ListParagraph"/>
              <w:ind w:left="0"/>
              <w:contextualSpacing w:val="0"/>
            </w:pPr>
          </w:p>
          <w:p w14:paraId="03467739" w14:textId="6B684917" w:rsidR="000F5016" w:rsidRDefault="000F5016" w:rsidP="00791DC7">
            <w:pPr>
              <w:pStyle w:val="ListParagraph"/>
              <w:ind w:left="0"/>
              <w:contextualSpacing w:val="0"/>
            </w:pPr>
            <w:r w:rsidRPr="000F5016">
              <w:t>T</w:t>
            </w:r>
            <w:r>
              <w:t>his parag</w:t>
            </w:r>
            <w:r w:rsidR="00825C23">
              <w:t>raph interoperate</w:t>
            </w:r>
            <w:r w:rsidR="00F85516">
              <w:t>s</w:t>
            </w:r>
            <w:r w:rsidR="00825C23">
              <w:t xml:space="preserve"> with a proposed new line item (detailed in </w:t>
            </w:r>
            <w:r w:rsidR="003F6C97">
              <w:t xml:space="preserve">exhibit </w:t>
            </w:r>
            <w:r w:rsidR="00E80AFC">
              <w:t>5.2</w:t>
            </w:r>
            <w:r w:rsidR="00825C23">
              <w:t>)</w:t>
            </w:r>
            <w:r w:rsidR="00F85516">
              <w:t xml:space="preserve">, where the state budget process is routinely making a judgement on </w:t>
            </w:r>
            <w:r w:rsidR="00215F03">
              <w:t>the funding level for ALR certification, which drives the annual assessment amount on the ALR industry.</w:t>
            </w:r>
          </w:p>
          <w:p w14:paraId="572FB943" w14:textId="4DFD9D1A" w:rsidR="00801067" w:rsidRDefault="00801067" w:rsidP="00791DC7">
            <w:pPr>
              <w:pStyle w:val="ListParagraph"/>
              <w:ind w:left="0"/>
              <w:contextualSpacing w:val="0"/>
              <w:rPr>
                <w:sz w:val="24"/>
                <w:szCs w:val="24"/>
              </w:rPr>
            </w:pPr>
          </w:p>
        </w:tc>
      </w:tr>
      <w:tr w:rsidR="00791DC7" w14:paraId="05ACD1CB" w14:textId="77777777" w:rsidTr="00820127">
        <w:tc>
          <w:tcPr>
            <w:tcW w:w="6210" w:type="dxa"/>
          </w:tcPr>
          <w:p w14:paraId="5BCAA494" w14:textId="77777777" w:rsidR="00B81B74" w:rsidRDefault="00B81B74" w:rsidP="00B81B74">
            <w:r>
              <w:t xml:space="preserve">For any fiscal year that the Secretary issues a notice of assessment, the Secretary may not collect fees associated with re-certification costs. The Secretary may continue collecting fees associated with initial certification costs. </w:t>
            </w:r>
          </w:p>
          <w:p w14:paraId="47BDAD25" w14:textId="77777777" w:rsidR="00791DC7" w:rsidRDefault="00791DC7" w:rsidP="00791DC7"/>
        </w:tc>
        <w:tc>
          <w:tcPr>
            <w:tcW w:w="270" w:type="dxa"/>
          </w:tcPr>
          <w:p w14:paraId="52A83DD4" w14:textId="77777777" w:rsidR="00791DC7" w:rsidRDefault="00791DC7" w:rsidP="00791DC7">
            <w:pPr>
              <w:pStyle w:val="ListParagraph"/>
              <w:ind w:left="0"/>
              <w:contextualSpacing w:val="0"/>
              <w:rPr>
                <w:sz w:val="24"/>
                <w:szCs w:val="24"/>
              </w:rPr>
            </w:pPr>
          </w:p>
        </w:tc>
        <w:tc>
          <w:tcPr>
            <w:tcW w:w="4315" w:type="dxa"/>
          </w:tcPr>
          <w:p w14:paraId="288A05B6" w14:textId="77777777" w:rsidR="00C470BD" w:rsidRDefault="00801067" w:rsidP="00791DC7">
            <w:pPr>
              <w:pStyle w:val="ListParagraph"/>
              <w:ind w:left="0"/>
              <w:contextualSpacing w:val="0"/>
            </w:pPr>
            <w:r w:rsidRPr="000F5016">
              <w:t>T</w:t>
            </w:r>
            <w:r>
              <w:t xml:space="preserve">his paragraph supports the transition </w:t>
            </w:r>
            <w:r w:rsidR="00EE4EFE">
              <w:t>of fee revenue based on re-certification episodes to an annual assessment. Note that as re-certification is currently on a two-year cycle and not evenly dist</w:t>
            </w:r>
            <w:r w:rsidR="00AD481F">
              <w:t>ributed, this provision will have the</w:t>
            </w:r>
            <w:r w:rsidR="00A21196">
              <w:t xml:space="preserve"> desirable fiscal management </w:t>
            </w:r>
            <w:r w:rsidR="00AD481F">
              <w:t xml:space="preserve">effect of smoothing out </w:t>
            </w:r>
            <w:r w:rsidR="00A21196">
              <w:t>annual ALR revenues</w:t>
            </w:r>
            <w:r w:rsidR="00026BCB">
              <w:t xml:space="preserve"> so the correlation to annual expenditure can be more readily observed by A&amp;F and W&amp;M analysts.</w:t>
            </w:r>
          </w:p>
          <w:p w14:paraId="3BFA2010" w14:textId="4195BD40" w:rsidR="00791DC7" w:rsidRDefault="00EE4EFE" w:rsidP="00791DC7">
            <w:pPr>
              <w:pStyle w:val="ListParagraph"/>
              <w:ind w:left="0"/>
              <w:contextualSpacing w:val="0"/>
              <w:rPr>
                <w:sz w:val="24"/>
                <w:szCs w:val="24"/>
              </w:rPr>
            </w:pPr>
            <w:r>
              <w:t xml:space="preserve"> </w:t>
            </w:r>
          </w:p>
        </w:tc>
      </w:tr>
      <w:tr w:rsidR="00791DC7" w14:paraId="2B414CEC" w14:textId="77777777" w:rsidTr="00820127">
        <w:tc>
          <w:tcPr>
            <w:tcW w:w="6210" w:type="dxa"/>
          </w:tcPr>
          <w:p w14:paraId="657342D3" w14:textId="77777777" w:rsidR="00EC6325" w:rsidRPr="007C71D7" w:rsidRDefault="00EC6325" w:rsidP="00EC6325">
            <w:r w:rsidRPr="00B710F4">
              <w:t>In determining the rates of assessments</w:t>
            </w:r>
            <w:r>
              <w:t xml:space="preserve">, the Secretary shall apportion the total assessment amount on a fair and reasonable basis that considers the number of certified units that were recorded in December of the previous year, in addition to any other considerations deemed appropriate by the Secretary. For the initial implementation year of these assessments, the Secretary may make appropriate discount considerations related to the transition from an episodic fee schedule to an annual assessment schedule. </w:t>
            </w:r>
          </w:p>
          <w:p w14:paraId="5B64EC39" w14:textId="77777777" w:rsidR="00791DC7" w:rsidRDefault="00791DC7" w:rsidP="00791DC7"/>
        </w:tc>
        <w:tc>
          <w:tcPr>
            <w:tcW w:w="270" w:type="dxa"/>
          </w:tcPr>
          <w:p w14:paraId="49C71C5A" w14:textId="77777777" w:rsidR="00791DC7" w:rsidRDefault="00791DC7" w:rsidP="00791DC7">
            <w:pPr>
              <w:pStyle w:val="ListParagraph"/>
              <w:ind w:left="0"/>
              <w:contextualSpacing w:val="0"/>
              <w:rPr>
                <w:sz w:val="24"/>
                <w:szCs w:val="24"/>
              </w:rPr>
            </w:pPr>
          </w:p>
        </w:tc>
        <w:tc>
          <w:tcPr>
            <w:tcW w:w="4315" w:type="dxa"/>
          </w:tcPr>
          <w:p w14:paraId="769773C5" w14:textId="1EB926CE" w:rsidR="00791DC7" w:rsidRDefault="00C470BD" w:rsidP="00791DC7">
            <w:pPr>
              <w:pStyle w:val="ListParagraph"/>
              <w:ind w:left="0"/>
              <w:contextualSpacing w:val="0"/>
            </w:pPr>
            <w:r>
              <w:t xml:space="preserve">The envisioned operation is that in October, the AGE Secretary will issue an order that apportions the </w:t>
            </w:r>
            <w:r w:rsidR="007C4D76">
              <w:t xml:space="preserve">necessary assessment across ALRs by unit count. </w:t>
            </w:r>
            <w:r w:rsidR="00AC5EBE">
              <w:t>The AGE Secretary can work with ALR industry to develop additional factors to the apportionment formula (</w:t>
            </w:r>
            <w:r w:rsidR="006C5FE6">
              <w:t xml:space="preserve">e.g. giving greater weight to </w:t>
            </w:r>
            <w:r w:rsidR="00BF2D83">
              <w:t>special care units).</w:t>
            </w:r>
          </w:p>
        </w:tc>
      </w:tr>
    </w:tbl>
    <w:p w14:paraId="5A16DF6B" w14:textId="77777777" w:rsidR="00727241" w:rsidRDefault="00727241" w:rsidP="00480F80">
      <w:pPr>
        <w:pStyle w:val="ListParagraph"/>
        <w:spacing w:after="0" w:line="240" w:lineRule="auto"/>
        <w:contextualSpacing w:val="0"/>
        <w:rPr>
          <w:sz w:val="24"/>
          <w:szCs w:val="24"/>
        </w:rPr>
      </w:pPr>
    </w:p>
    <w:p w14:paraId="3414F7CC" w14:textId="6A649A0B" w:rsidR="00DE2DC1" w:rsidRDefault="00DE2DC1">
      <w:pPr>
        <w:rPr>
          <w:sz w:val="24"/>
          <w:szCs w:val="24"/>
        </w:rPr>
      </w:pPr>
      <w:r>
        <w:rPr>
          <w:sz w:val="24"/>
          <w:szCs w:val="24"/>
        </w:rPr>
        <w:br w:type="page"/>
      </w:r>
    </w:p>
    <w:p w14:paraId="4DA611A2" w14:textId="73B04984" w:rsidR="00DE2DC1" w:rsidRPr="0006134E" w:rsidRDefault="00DE2DC1" w:rsidP="00DE2DC1">
      <w:pPr>
        <w:pStyle w:val="ListParagraph"/>
        <w:spacing w:after="0" w:line="240" w:lineRule="auto"/>
        <w:contextualSpacing w:val="0"/>
        <w:jc w:val="center"/>
        <w:rPr>
          <w:i/>
          <w:iCs/>
          <w:sz w:val="24"/>
          <w:szCs w:val="24"/>
        </w:rPr>
      </w:pPr>
      <w:r w:rsidRPr="0006134E">
        <w:rPr>
          <w:i/>
          <w:iCs/>
          <w:sz w:val="24"/>
          <w:szCs w:val="24"/>
        </w:rPr>
        <w:lastRenderedPageBreak/>
        <w:t xml:space="preserve">Exhibit #5.1(b) </w:t>
      </w:r>
    </w:p>
    <w:p w14:paraId="76FF5DDF" w14:textId="77777777" w:rsidR="00DE2DC1" w:rsidRDefault="00DE2DC1" w:rsidP="00DE2DC1">
      <w:pPr>
        <w:pStyle w:val="ListParagraph"/>
        <w:spacing w:after="0" w:line="240" w:lineRule="auto"/>
        <w:contextualSpacing w:val="0"/>
        <w:jc w:val="center"/>
        <w:rPr>
          <w:b/>
          <w:bCs/>
          <w:sz w:val="24"/>
          <w:szCs w:val="24"/>
        </w:rPr>
      </w:pPr>
    </w:p>
    <w:p w14:paraId="133F8DBA" w14:textId="77777777" w:rsidR="00B7034E" w:rsidRDefault="00DE2DC1" w:rsidP="00DE2DC1">
      <w:pPr>
        <w:pStyle w:val="ListParagraph"/>
        <w:spacing w:after="0" w:line="240" w:lineRule="auto"/>
        <w:contextualSpacing w:val="0"/>
        <w:jc w:val="center"/>
        <w:rPr>
          <w:b/>
          <w:bCs/>
          <w:sz w:val="24"/>
          <w:szCs w:val="24"/>
        </w:rPr>
      </w:pPr>
      <w:r w:rsidRPr="002650FB">
        <w:rPr>
          <w:b/>
          <w:bCs/>
          <w:sz w:val="24"/>
          <w:szCs w:val="24"/>
        </w:rPr>
        <w:t xml:space="preserve">Draft </w:t>
      </w:r>
      <w:r w:rsidR="00856CD2">
        <w:rPr>
          <w:b/>
          <w:bCs/>
          <w:sz w:val="24"/>
          <w:szCs w:val="24"/>
        </w:rPr>
        <w:t xml:space="preserve">New </w:t>
      </w:r>
      <w:r w:rsidR="00012DE2">
        <w:rPr>
          <w:b/>
          <w:bCs/>
          <w:sz w:val="24"/>
          <w:szCs w:val="24"/>
        </w:rPr>
        <w:t xml:space="preserve">GAA </w:t>
      </w:r>
      <w:r w:rsidR="00856CD2">
        <w:rPr>
          <w:b/>
          <w:bCs/>
          <w:sz w:val="24"/>
          <w:szCs w:val="24"/>
        </w:rPr>
        <w:t>Line Item for ALR Oversight</w:t>
      </w:r>
      <w:r w:rsidR="00012DE2">
        <w:rPr>
          <w:b/>
          <w:bCs/>
          <w:sz w:val="24"/>
          <w:szCs w:val="24"/>
        </w:rPr>
        <w:t xml:space="preserve"> and </w:t>
      </w:r>
      <w:r w:rsidR="00B7034E">
        <w:rPr>
          <w:b/>
          <w:bCs/>
          <w:sz w:val="24"/>
          <w:szCs w:val="24"/>
        </w:rPr>
        <w:t>Certification Duties which</w:t>
      </w:r>
    </w:p>
    <w:p w14:paraId="63D42805" w14:textId="1C82A0AC" w:rsidR="00DD2F08" w:rsidRDefault="007234B3" w:rsidP="00DE2DC1">
      <w:pPr>
        <w:pStyle w:val="ListParagraph"/>
        <w:spacing w:after="0" w:line="240" w:lineRule="auto"/>
        <w:contextualSpacing w:val="0"/>
        <w:jc w:val="center"/>
        <w:rPr>
          <w:b/>
          <w:bCs/>
          <w:sz w:val="24"/>
          <w:szCs w:val="24"/>
        </w:rPr>
      </w:pPr>
      <w:r>
        <w:rPr>
          <w:b/>
          <w:bCs/>
          <w:sz w:val="24"/>
          <w:szCs w:val="24"/>
        </w:rPr>
        <w:t>Interoperate</w:t>
      </w:r>
      <w:r w:rsidR="00B7034E">
        <w:rPr>
          <w:b/>
          <w:bCs/>
          <w:sz w:val="24"/>
          <w:szCs w:val="24"/>
        </w:rPr>
        <w:t xml:space="preserve"> with</w:t>
      </w:r>
      <w:r>
        <w:rPr>
          <w:b/>
          <w:bCs/>
          <w:sz w:val="24"/>
          <w:szCs w:val="24"/>
        </w:rPr>
        <w:t xml:space="preserve"> a </w:t>
      </w:r>
      <w:proofErr w:type="spellStart"/>
      <w:r>
        <w:rPr>
          <w:b/>
          <w:bCs/>
          <w:sz w:val="24"/>
          <w:szCs w:val="24"/>
        </w:rPr>
        <w:t>Porposed</w:t>
      </w:r>
      <w:proofErr w:type="spellEnd"/>
      <w:r w:rsidR="00DD2F08">
        <w:rPr>
          <w:b/>
          <w:bCs/>
          <w:sz w:val="24"/>
          <w:szCs w:val="24"/>
        </w:rPr>
        <w:t xml:space="preserve"> ALR Assessment Statutory Provision</w:t>
      </w:r>
    </w:p>
    <w:p w14:paraId="381C9261" w14:textId="6D890150" w:rsidR="00DE2DC1" w:rsidRPr="007234B3" w:rsidRDefault="00DD2F08" w:rsidP="00DE2DC1">
      <w:pPr>
        <w:pStyle w:val="ListParagraph"/>
        <w:spacing w:after="0" w:line="240" w:lineRule="auto"/>
        <w:contextualSpacing w:val="0"/>
        <w:jc w:val="center"/>
        <w:rPr>
          <w:i/>
          <w:iCs/>
          <w:sz w:val="24"/>
          <w:szCs w:val="24"/>
        </w:rPr>
      </w:pPr>
      <w:r w:rsidRPr="007234B3">
        <w:rPr>
          <w:i/>
          <w:iCs/>
          <w:sz w:val="24"/>
          <w:szCs w:val="24"/>
        </w:rPr>
        <w:t xml:space="preserve">This item is dependent on </w:t>
      </w:r>
      <w:r w:rsidR="00344B53" w:rsidRPr="007234B3">
        <w:rPr>
          <w:i/>
          <w:iCs/>
          <w:sz w:val="24"/>
          <w:szCs w:val="24"/>
        </w:rPr>
        <w:t>Exhibit #5.1(a)</w:t>
      </w:r>
      <w:r w:rsidR="00856CD2" w:rsidRPr="007234B3">
        <w:rPr>
          <w:b/>
          <w:bCs/>
          <w:i/>
          <w:iCs/>
          <w:sz w:val="24"/>
          <w:szCs w:val="24"/>
        </w:rPr>
        <w:t xml:space="preserve"> </w:t>
      </w:r>
      <w:r w:rsidR="00DE2DC1" w:rsidRPr="007234B3">
        <w:rPr>
          <w:b/>
          <w:bCs/>
          <w:i/>
          <w:iCs/>
          <w:sz w:val="24"/>
          <w:szCs w:val="24"/>
        </w:rPr>
        <w:t xml:space="preserve"> </w:t>
      </w:r>
    </w:p>
    <w:p w14:paraId="3B287399" w14:textId="77777777" w:rsidR="00DE2DC1" w:rsidRDefault="00DE2DC1" w:rsidP="00DE2DC1">
      <w:pPr>
        <w:pStyle w:val="ListParagraph"/>
        <w:spacing w:after="0" w:line="240" w:lineRule="auto"/>
        <w:contextualSpacing w:val="0"/>
        <w:rPr>
          <w:sz w:val="24"/>
          <w:szCs w:val="24"/>
        </w:rPr>
      </w:pPr>
    </w:p>
    <w:tbl>
      <w:tblPr>
        <w:tblStyle w:val="TableGrid"/>
        <w:tblW w:w="0" w:type="auto"/>
        <w:tblInd w:w="-5" w:type="dxa"/>
        <w:tblLook w:val="04A0" w:firstRow="1" w:lastRow="0" w:firstColumn="1" w:lastColumn="0" w:noHBand="0" w:noVBand="1"/>
      </w:tblPr>
      <w:tblGrid>
        <w:gridCol w:w="10440"/>
      </w:tblGrid>
      <w:tr w:rsidR="00E85B84" w14:paraId="7D619920" w14:textId="77777777" w:rsidTr="00E85B84">
        <w:tc>
          <w:tcPr>
            <w:tcW w:w="10440" w:type="dxa"/>
          </w:tcPr>
          <w:p w14:paraId="0C4FFE28" w14:textId="77777777" w:rsidR="00E85B84" w:rsidRDefault="00E85B84" w:rsidP="00E85B84">
            <w:pPr>
              <w:pStyle w:val="ListParagraph"/>
              <w:ind w:left="0"/>
              <w:contextualSpacing w:val="0"/>
              <w:jc w:val="center"/>
              <w:rPr>
                <w:b/>
                <w:bCs/>
              </w:rPr>
            </w:pPr>
            <w:r w:rsidRPr="00E6075B">
              <w:rPr>
                <w:b/>
                <w:bCs/>
              </w:rPr>
              <w:t xml:space="preserve">Proposed </w:t>
            </w:r>
            <w:r>
              <w:rPr>
                <w:b/>
                <w:bCs/>
              </w:rPr>
              <w:t>New Line Item (Assumed for FY27 Budget Development Cycle)</w:t>
            </w:r>
          </w:p>
          <w:p w14:paraId="19E77EB0" w14:textId="7133C66F" w:rsidR="00E85B84" w:rsidRDefault="00E85B84" w:rsidP="00E85B84">
            <w:pPr>
              <w:pStyle w:val="ListParagraph"/>
              <w:ind w:left="0"/>
              <w:contextualSpacing w:val="0"/>
              <w:jc w:val="center"/>
              <w:rPr>
                <w:sz w:val="24"/>
                <w:szCs w:val="24"/>
              </w:rPr>
            </w:pPr>
            <w:r>
              <w:rPr>
                <w:b/>
                <w:bCs/>
              </w:rPr>
              <w:t>(offered in redline to current FY26 Line Items)</w:t>
            </w:r>
          </w:p>
        </w:tc>
      </w:tr>
      <w:tr w:rsidR="00E85B84" w14:paraId="488868FC" w14:textId="77777777" w:rsidTr="00B927BB">
        <w:trPr>
          <w:trHeight w:val="2789"/>
        </w:trPr>
        <w:tc>
          <w:tcPr>
            <w:tcW w:w="10440" w:type="dxa"/>
          </w:tcPr>
          <w:p w14:paraId="578D0A17" w14:textId="25FD8260" w:rsidR="00E85B84" w:rsidRDefault="00E85B84" w:rsidP="00FD0532">
            <w:r w:rsidRPr="00B927BB">
              <w:rPr>
                <w:b/>
                <w:bCs/>
              </w:rPr>
              <w:t>9110-0100: Elder Affairs Administration</w:t>
            </w:r>
            <w:r w:rsidR="002D7B7E">
              <w:t xml:space="preserve">     </w:t>
            </w:r>
            <w:r w:rsidR="002D7B7E" w:rsidRPr="003010F9">
              <w:rPr>
                <w:strike/>
                <w:color w:val="EE0000"/>
              </w:rPr>
              <w:t>$5,977,609</w:t>
            </w:r>
            <w:r w:rsidR="00A22E53" w:rsidRPr="003010F9">
              <w:rPr>
                <w:color w:val="EE0000"/>
              </w:rPr>
              <w:t xml:space="preserve"> </w:t>
            </w:r>
            <w:r w:rsidR="00620E5C" w:rsidRPr="003010F9">
              <w:rPr>
                <w:color w:val="EE0000"/>
              </w:rPr>
              <w:t>$</w:t>
            </w:r>
            <w:r w:rsidR="003010F9" w:rsidRPr="003010F9">
              <w:rPr>
                <w:color w:val="EE0000"/>
              </w:rPr>
              <w:t>4,737,609</w:t>
            </w:r>
          </w:p>
          <w:p w14:paraId="6F666BD9" w14:textId="77777777" w:rsidR="00E85B84" w:rsidRDefault="00E85B84" w:rsidP="00FD0532"/>
          <w:p w14:paraId="26E6CC4A" w14:textId="1F2EAD00" w:rsidR="00E85B84" w:rsidRDefault="00E85B84" w:rsidP="00FD0532">
            <w:pPr>
              <w:rPr>
                <w:sz w:val="24"/>
                <w:szCs w:val="24"/>
              </w:rPr>
            </w:pPr>
            <w:r w:rsidRPr="00CC6344">
              <w:t xml:space="preserve">For the operation of the executive office of aging and independence </w:t>
            </w:r>
            <w:r w:rsidRPr="00E85B84">
              <w:rPr>
                <w:strike/>
                <w:color w:val="EE0000"/>
              </w:rPr>
              <w:t>and the regulation of assisted living facilities</w:t>
            </w:r>
            <w:r w:rsidRPr="00CC6344">
              <w:t>; provided, that not less than $120,000 shall be expended to the LGBTQIA+ Aging Project of Fenway Health for staffing and operations to support the permanent commission on older lesbian, gay, bisexual and transgender, queer and questioning, or LGBT, adults and their caregivers established in </w:t>
            </w:r>
            <w:hyperlink r:id="rId9" w:tgtFrame="_blank" w:history="1">
              <w:r w:rsidRPr="00CC6344">
                <w:t>section 71 of chapter 3</w:t>
              </w:r>
            </w:hyperlink>
            <w:r w:rsidRPr="00CC6344">
              <w:t> of the General Laws; provided further, that the secretary of aging and independence may transfer funds between items 9110--1630 and 9110--0600; and provided further, that not less than $20,000 shall be expended to Martha's Vineyard Community Foundation, Inc. for costs associated with transportation for older adults on Martha's Vineyard</w:t>
            </w:r>
          </w:p>
        </w:tc>
      </w:tr>
      <w:tr w:rsidR="00E85B84" w14:paraId="62F188BD" w14:textId="77777777" w:rsidTr="00E85B84">
        <w:tc>
          <w:tcPr>
            <w:tcW w:w="10440" w:type="dxa"/>
          </w:tcPr>
          <w:p w14:paraId="3EF3810B" w14:textId="1D9F38D3" w:rsidR="00E85B84" w:rsidRPr="00C157D4" w:rsidRDefault="00B927BB" w:rsidP="00B927BB">
            <w:pPr>
              <w:rPr>
                <w:b/>
                <w:bCs/>
                <w:i/>
                <w:iCs/>
              </w:rPr>
            </w:pPr>
            <w:r w:rsidRPr="00C157D4">
              <w:rPr>
                <w:b/>
                <w:bCs/>
                <w:i/>
                <w:iCs/>
              </w:rPr>
              <w:t>COMMENT</w:t>
            </w:r>
            <w:r w:rsidR="00C157D4" w:rsidRPr="00C157D4">
              <w:rPr>
                <w:b/>
                <w:bCs/>
                <w:i/>
                <w:iCs/>
              </w:rPr>
              <w:t>:</w:t>
            </w:r>
            <w:r w:rsidR="00D565F4">
              <w:rPr>
                <w:b/>
                <w:bCs/>
                <w:i/>
                <w:iCs/>
              </w:rPr>
              <w:t xml:space="preserve"> </w:t>
            </w:r>
            <w:r w:rsidR="00C157D4" w:rsidRPr="00D565F4">
              <w:t>The</w:t>
            </w:r>
            <w:r w:rsidR="00D565F4">
              <w:t xml:space="preserve"> above language change </w:t>
            </w:r>
            <w:r w:rsidR="00647ACA">
              <w:t>removes assisted living duties from the AGE Administration Item</w:t>
            </w:r>
            <w:r w:rsidR="00D24E9A">
              <w:t xml:space="preserve"> for the purpose of isolating on the activity in the below new appropriation line. The </w:t>
            </w:r>
            <w:r w:rsidR="00050CAB">
              <w:t>line-item</w:t>
            </w:r>
            <w:r w:rsidR="00315F7D">
              <w:t xml:space="preserve"> reduction of $1,240,000 mirrors the placeholder amount </w:t>
            </w:r>
            <w:r w:rsidR="0063392E">
              <w:t>referenced in the new line</w:t>
            </w:r>
            <w:r w:rsidR="00EA3332">
              <w:t xml:space="preserve"> item</w:t>
            </w:r>
            <w:r w:rsidR="0063392E">
              <w:t>.</w:t>
            </w:r>
            <w:r w:rsidR="00C157D4" w:rsidRPr="00C157D4">
              <w:rPr>
                <w:b/>
                <w:bCs/>
                <w:i/>
                <w:iCs/>
              </w:rPr>
              <w:t xml:space="preserve"> </w:t>
            </w:r>
          </w:p>
        </w:tc>
      </w:tr>
      <w:tr w:rsidR="00E85B84" w14:paraId="3878400B" w14:textId="77777777" w:rsidTr="00E85B84">
        <w:tc>
          <w:tcPr>
            <w:tcW w:w="10440" w:type="dxa"/>
          </w:tcPr>
          <w:p w14:paraId="55601A55" w14:textId="5A7F8424" w:rsidR="00674BE7" w:rsidRDefault="00674BE7" w:rsidP="00674BE7">
            <w:r w:rsidRPr="00D93363">
              <w:rPr>
                <w:b/>
                <w:bCs/>
                <w:color w:val="EE0000"/>
              </w:rPr>
              <w:t>9110-010</w:t>
            </w:r>
            <w:r w:rsidR="00D93363" w:rsidRPr="00D93363">
              <w:rPr>
                <w:b/>
                <w:bCs/>
                <w:color w:val="EE0000"/>
              </w:rPr>
              <w:t>6</w:t>
            </w:r>
            <w:r w:rsidRPr="00D93363">
              <w:rPr>
                <w:b/>
                <w:bCs/>
                <w:color w:val="EE0000"/>
              </w:rPr>
              <w:t xml:space="preserve">: </w:t>
            </w:r>
            <w:r w:rsidR="00DC29E8" w:rsidRPr="00D93363">
              <w:rPr>
                <w:b/>
                <w:bCs/>
                <w:color w:val="EE0000"/>
              </w:rPr>
              <w:t xml:space="preserve">Assisted Living </w:t>
            </w:r>
            <w:r w:rsidR="00AF56FF" w:rsidRPr="00D93363">
              <w:rPr>
                <w:b/>
                <w:bCs/>
                <w:color w:val="EE0000"/>
              </w:rPr>
              <w:t xml:space="preserve">Oversight </w:t>
            </w:r>
            <w:r w:rsidRPr="00D93363">
              <w:rPr>
                <w:color w:val="EE0000"/>
              </w:rPr>
              <w:t xml:space="preserve">     </w:t>
            </w:r>
            <w:r w:rsidRPr="003010F9">
              <w:rPr>
                <w:color w:val="EE0000"/>
              </w:rPr>
              <w:t>$</w:t>
            </w:r>
            <w:r w:rsidR="008120A5">
              <w:rPr>
                <w:color w:val="EE0000"/>
              </w:rPr>
              <w:t>1,240,000</w:t>
            </w:r>
          </w:p>
          <w:p w14:paraId="62DF21D1" w14:textId="77777777" w:rsidR="00674BE7" w:rsidRDefault="00674BE7" w:rsidP="00674BE7"/>
          <w:p w14:paraId="28870A38" w14:textId="77777777" w:rsidR="00E85B84" w:rsidRDefault="00674BE7" w:rsidP="00674BE7">
            <w:pPr>
              <w:rPr>
                <w:color w:val="EE0000"/>
              </w:rPr>
            </w:pPr>
            <w:r w:rsidRPr="00B81288">
              <w:rPr>
                <w:color w:val="EE0000"/>
              </w:rPr>
              <w:t>For the</w:t>
            </w:r>
            <w:r w:rsidR="00CE181E" w:rsidRPr="00B81288">
              <w:rPr>
                <w:color w:val="EE0000"/>
              </w:rPr>
              <w:t xml:space="preserve"> costs incurred by </w:t>
            </w:r>
            <w:r w:rsidR="000D5CCF" w:rsidRPr="00B81288">
              <w:rPr>
                <w:color w:val="EE0000"/>
              </w:rPr>
              <w:t xml:space="preserve">the executive office of aging and independence associated with the regulation of assisted living facilities </w:t>
            </w:r>
            <w:r w:rsidR="00280083" w:rsidRPr="00B81288">
              <w:rPr>
                <w:color w:val="EE0000"/>
              </w:rPr>
              <w:t>under chapter 19D of the General Laws</w:t>
            </w:r>
            <w:r w:rsidR="008C2481" w:rsidRPr="00B81288">
              <w:rPr>
                <w:color w:val="EE0000"/>
              </w:rPr>
              <w:t xml:space="preserve">; provided further that consistent with </w:t>
            </w:r>
            <w:r w:rsidR="00782C5B" w:rsidRPr="00B81288">
              <w:rPr>
                <w:color w:val="EE0000"/>
              </w:rPr>
              <w:t>section 4</w:t>
            </w:r>
            <w:r w:rsidR="00782C5B" w:rsidRPr="00B81288">
              <w:rPr>
                <w:color w:val="EE0000"/>
                <w:sz w:val="18"/>
                <w:szCs w:val="18"/>
              </w:rPr>
              <w:t xml:space="preserve">1/2 </w:t>
            </w:r>
            <w:r w:rsidR="00782C5B" w:rsidRPr="00B81288">
              <w:rPr>
                <w:color w:val="EE0000"/>
              </w:rPr>
              <w:t>of</w:t>
            </w:r>
            <w:r w:rsidRPr="00B81288">
              <w:rPr>
                <w:color w:val="EE0000"/>
              </w:rPr>
              <w:t xml:space="preserve"> </w:t>
            </w:r>
            <w:r w:rsidR="00A06C66" w:rsidRPr="00B81288">
              <w:rPr>
                <w:color w:val="EE0000"/>
              </w:rPr>
              <w:t xml:space="preserve">chapter 19D of the General Laws, the </w:t>
            </w:r>
            <w:r w:rsidR="008434B4" w:rsidRPr="00B81288">
              <w:rPr>
                <w:color w:val="EE0000"/>
              </w:rPr>
              <w:t>Secretary shall levy an asse</w:t>
            </w:r>
            <w:r w:rsidR="00B81288" w:rsidRPr="00B81288">
              <w:rPr>
                <w:color w:val="EE0000"/>
              </w:rPr>
              <w:t>ss</w:t>
            </w:r>
            <w:r w:rsidR="008434B4" w:rsidRPr="00B81288">
              <w:rPr>
                <w:color w:val="EE0000"/>
              </w:rPr>
              <w:t>ment</w:t>
            </w:r>
            <w:r w:rsidR="00AA6C73" w:rsidRPr="00B81288">
              <w:rPr>
                <w:color w:val="EE0000"/>
              </w:rPr>
              <w:t xml:space="preserve"> on </w:t>
            </w:r>
            <w:r w:rsidR="00985252" w:rsidRPr="00B81288">
              <w:rPr>
                <w:color w:val="EE0000"/>
              </w:rPr>
              <w:t>assisted living residences at a level appropriate to offset the costs to state government</w:t>
            </w:r>
            <w:r w:rsidR="00A70FA8" w:rsidRPr="00B81288">
              <w:rPr>
                <w:color w:val="EE0000"/>
              </w:rPr>
              <w:t xml:space="preserve"> for the conduct of regulating </w:t>
            </w:r>
            <w:r w:rsidR="001730B2" w:rsidRPr="00B81288">
              <w:rPr>
                <w:color w:val="EE0000"/>
              </w:rPr>
              <w:t xml:space="preserve">assisted living </w:t>
            </w:r>
            <w:r w:rsidR="00B81288" w:rsidRPr="00B81288">
              <w:rPr>
                <w:color w:val="EE0000"/>
              </w:rPr>
              <w:t>tenancy and services.</w:t>
            </w:r>
          </w:p>
          <w:p w14:paraId="0EB72387" w14:textId="2A41BEA2" w:rsidR="00AE65F5" w:rsidRDefault="00AE65F5" w:rsidP="00674BE7"/>
        </w:tc>
      </w:tr>
      <w:tr w:rsidR="00B927BB" w14:paraId="00529E43" w14:textId="77777777" w:rsidTr="00E85B84">
        <w:tc>
          <w:tcPr>
            <w:tcW w:w="10440" w:type="dxa"/>
          </w:tcPr>
          <w:p w14:paraId="6185D7E7" w14:textId="77777777" w:rsidR="006072EF" w:rsidRDefault="00AE65F5" w:rsidP="00B927BB">
            <w:pPr>
              <w:rPr>
                <w:b/>
                <w:bCs/>
              </w:rPr>
            </w:pPr>
            <w:r w:rsidRPr="00C157D4">
              <w:rPr>
                <w:b/>
                <w:bCs/>
                <w:i/>
                <w:iCs/>
              </w:rPr>
              <w:t>COMMENT:</w:t>
            </w:r>
            <w:r>
              <w:rPr>
                <w:b/>
                <w:bCs/>
                <w:i/>
                <w:iCs/>
              </w:rPr>
              <w:t xml:space="preserve"> </w:t>
            </w:r>
            <w:r>
              <w:rPr>
                <w:b/>
                <w:bCs/>
              </w:rPr>
              <w:t xml:space="preserve">IT IS EMPHASIZED THAT THE PUBLIC POLICY GOAL OF THIS INITIATIVE WILL ONLY BE ACHIEVED IF THE ALR COMMISSION, OR SOME OTHER </w:t>
            </w:r>
            <w:r w:rsidR="00C501FA">
              <w:rPr>
                <w:b/>
                <w:bCs/>
              </w:rPr>
              <w:t xml:space="preserve">THIRD PARTY, WORKS WITH AGE TO </w:t>
            </w:r>
            <w:r w:rsidR="00E36D53">
              <w:rPr>
                <w:b/>
                <w:bCs/>
              </w:rPr>
              <w:t>FIRST DETERMINE WHAT IS THE TARGET NUMBER</w:t>
            </w:r>
            <w:r w:rsidR="0032186F">
              <w:rPr>
                <w:b/>
                <w:bCs/>
              </w:rPr>
              <w:t xml:space="preserve"> OF ANNUAL ALR ON-SITE VISITS THAT SHOULD BE EXPECTED OF A SOUND REGULATORY PROCESS</w:t>
            </w:r>
            <w:r w:rsidR="001376C5">
              <w:rPr>
                <w:b/>
                <w:bCs/>
              </w:rPr>
              <w:t xml:space="preserve">; AND THE NECESSARY STAFFING PLAN TO SUCCESSFULLY MEET SUCH </w:t>
            </w:r>
            <w:r w:rsidR="006072EF">
              <w:rPr>
                <w:b/>
                <w:bCs/>
              </w:rPr>
              <w:t>TARGET NUMBER.</w:t>
            </w:r>
          </w:p>
          <w:p w14:paraId="52D46349" w14:textId="77777777" w:rsidR="006072EF" w:rsidRDefault="006072EF" w:rsidP="00B927BB"/>
          <w:p w14:paraId="00C0FDF0" w14:textId="6C17A6BA" w:rsidR="00050CAB" w:rsidRDefault="00050CAB" w:rsidP="00B927BB">
            <w:r>
              <w:t xml:space="preserve">For demonstration purposes, it has been roughly estimated that </w:t>
            </w:r>
            <w:r w:rsidR="003B2F3E">
              <w:t>across a biennial licensing cycle AGE averages $1,240,00</w:t>
            </w:r>
            <w:r w:rsidR="00B244D5">
              <w:t>0 per year in re-certification fees. Furthermore, as placeholder</w:t>
            </w:r>
            <w:r w:rsidR="00F35181">
              <w:t xml:space="preserve"> expenditure value it is assumed AGE is currently planning and spending $1,240,000 per year</w:t>
            </w:r>
            <w:r w:rsidR="00C72B68">
              <w:t xml:space="preserve"> on ALR-related duties.</w:t>
            </w:r>
          </w:p>
          <w:p w14:paraId="345206AE" w14:textId="77777777" w:rsidR="00403DF5" w:rsidRDefault="00403DF5" w:rsidP="00B927BB"/>
          <w:p w14:paraId="0A4FFB0F" w14:textId="77777777" w:rsidR="00B927BB" w:rsidRDefault="00403DF5" w:rsidP="00F72A79">
            <w:r>
              <w:t>It is expected that a proper reconsideration</w:t>
            </w:r>
            <w:r w:rsidR="009676B9">
              <w:t xml:space="preserve"> by the ALR Commission</w:t>
            </w:r>
            <w:r>
              <w:t xml:space="preserve"> of </w:t>
            </w:r>
            <w:r w:rsidR="006F6DCF">
              <w:t xml:space="preserve">the scope and cost of a model ALR-Certification </w:t>
            </w:r>
            <w:r w:rsidR="009676B9">
              <w:t xml:space="preserve">operation will result in a revision to these values. It is generally </w:t>
            </w:r>
            <w:r w:rsidR="00F72A79">
              <w:t>expected</w:t>
            </w:r>
            <w:r w:rsidR="009676B9">
              <w:t xml:space="preserve"> that </w:t>
            </w:r>
            <w:r w:rsidR="00F338BF">
              <w:t xml:space="preserve">in order to achieve an appropriate level of on-site </w:t>
            </w:r>
            <w:r w:rsidR="006826AA">
              <w:t>reviews and overall monitoring presence, AGE will need to expand the current ALR</w:t>
            </w:r>
            <w:r w:rsidR="00F72A79">
              <w:t xml:space="preserve"> operational footprint.</w:t>
            </w:r>
          </w:p>
          <w:p w14:paraId="1268C9FA" w14:textId="77777777" w:rsidR="00201886" w:rsidRDefault="00201886" w:rsidP="00F72A79"/>
          <w:p w14:paraId="6C89DF91" w14:textId="141F05C8" w:rsidR="00201886" w:rsidRDefault="00201886" w:rsidP="00F72A79">
            <w:r>
              <w:t xml:space="preserve">*A technical caution is offered that, because this </w:t>
            </w:r>
            <w:proofErr w:type="gramStart"/>
            <w:r>
              <w:t>line item</w:t>
            </w:r>
            <w:proofErr w:type="gramEnd"/>
            <w:r w:rsidR="00642763">
              <w:t xml:space="preserve"> amount</w:t>
            </w:r>
            <w:r>
              <w:t xml:space="preserve"> </w:t>
            </w:r>
            <w:r w:rsidR="00642763">
              <w:t xml:space="preserve">is to be directly tied to an industry assessment, W&amp;Ms analysts should maintain a file note that this line item is not generally suitable for hosting </w:t>
            </w:r>
            <w:r w:rsidR="00CC38D4">
              <w:t>provider earmarks</w:t>
            </w:r>
            <w:r w:rsidR="00542D11">
              <w:t>.</w:t>
            </w:r>
            <w:r w:rsidR="00642763">
              <w:t xml:space="preserve"> </w:t>
            </w:r>
          </w:p>
        </w:tc>
      </w:tr>
    </w:tbl>
    <w:p w14:paraId="307683AB" w14:textId="77777777" w:rsidR="00BF2D83" w:rsidRDefault="00BF2D83" w:rsidP="00480F80">
      <w:pPr>
        <w:pStyle w:val="ListParagraph"/>
        <w:spacing w:after="0" w:line="240" w:lineRule="auto"/>
        <w:contextualSpacing w:val="0"/>
        <w:rPr>
          <w:sz w:val="24"/>
          <w:szCs w:val="24"/>
        </w:rPr>
      </w:pPr>
    </w:p>
    <w:p w14:paraId="42F77780" w14:textId="356FAC7E" w:rsidR="00633954" w:rsidRDefault="00633954">
      <w:pPr>
        <w:rPr>
          <w:sz w:val="24"/>
          <w:szCs w:val="24"/>
        </w:rPr>
      </w:pPr>
      <w:r>
        <w:rPr>
          <w:sz w:val="24"/>
          <w:szCs w:val="24"/>
        </w:rPr>
        <w:br w:type="page"/>
      </w:r>
    </w:p>
    <w:p w14:paraId="63D2ADD4" w14:textId="06333D24" w:rsidR="00633954" w:rsidRPr="0006134E" w:rsidRDefault="00633954" w:rsidP="00633954">
      <w:pPr>
        <w:pStyle w:val="ListParagraph"/>
        <w:spacing w:after="0" w:line="240" w:lineRule="auto"/>
        <w:contextualSpacing w:val="0"/>
        <w:jc w:val="center"/>
        <w:rPr>
          <w:i/>
          <w:iCs/>
          <w:sz w:val="24"/>
          <w:szCs w:val="24"/>
        </w:rPr>
      </w:pPr>
      <w:r w:rsidRPr="0006134E">
        <w:rPr>
          <w:i/>
          <w:iCs/>
          <w:sz w:val="24"/>
          <w:szCs w:val="24"/>
        </w:rPr>
        <w:lastRenderedPageBreak/>
        <w:t xml:space="preserve">Exhibit #6.0 </w:t>
      </w:r>
    </w:p>
    <w:p w14:paraId="2463923B" w14:textId="77777777" w:rsidR="00633954" w:rsidRDefault="00633954" w:rsidP="00633954">
      <w:pPr>
        <w:pStyle w:val="ListParagraph"/>
        <w:spacing w:after="0" w:line="240" w:lineRule="auto"/>
        <w:contextualSpacing w:val="0"/>
        <w:jc w:val="center"/>
        <w:rPr>
          <w:b/>
          <w:bCs/>
          <w:sz w:val="24"/>
          <w:szCs w:val="24"/>
        </w:rPr>
      </w:pPr>
    </w:p>
    <w:p w14:paraId="2BA0F057" w14:textId="67CDDC7C" w:rsidR="00633954" w:rsidRDefault="001758D0" w:rsidP="00633954">
      <w:pPr>
        <w:pStyle w:val="ListParagraph"/>
        <w:spacing w:after="0" w:line="240" w:lineRule="auto"/>
        <w:contextualSpacing w:val="0"/>
        <w:jc w:val="center"/>
        <w:rPr>
          <w:b/>
          <w:bCs/>
          <w:sz w:val="24"/>
          <w:szCs w:val="24"/>
        </w:rPr>
      </w:pPr>
      <w:r>
        <w:rPr>
          <w:b/>
          <w:bCs/>
          <w:sz w:val="24"/>
          <w:szCs w:val="24"/>
        </w:rPr>
        <w:t xml:space="preserve">Definition of </w:t>
      </w:r>
      <w:r w:rsidR="0000794B">
        <w:rPr>
          <w:b/>
          <w:bCs/>
          <w:sz w:val="24"/>
          <w:szCs w:val="24"/>
        </w:rPr>
        <w:t>Affordable Assisted Living</w:t>
      </w:r>
      <w:r w:rsidR="007F7A2C">
        <w:rPr>
          <w:b/>
          <w:bCs/>
          <w:sz w:val="24"/>
          <w:szCs w:val="24"/>
        </w:rPr>
        <w:t xml:space="preserve"> &amp; </w:t>
      </w:r>
    </w:p>
    <w:p w14:paraId="424BAD7F" w14:textId="1345197A" w:rsidR="007F7A2C" w:rsidRDefault="007F7A2C" w:rsidP="00633954">
      <w:pPr>
        <w:pStyle w:val="ListParagraph"/>
        <w:spacing w:after="0" w:line="240" w:lineRule="auto"/>
        <w:contextualSpacing w:val="0"/>
        <w:jc w:val="center"/>
        <w:rPr>
          <w:b/>
          <w:bCs/>
          <w:sz w:val="24"/>
          <w:szCs w:val="24"/>
        </w:rPr>
      </w:pPr>
      <w:r>
        <w:rPr>
          <w:b/>
          <w:bCs/>
          <w:sz w:val="24"/>
          <w:szCs w:val="24"/>
        </w:rPr>
        <w:t xml:space="preserve">Framing </w:t>
      </w:r>
      <w:r w:rsidR="001D0A9F">
        <w:rPr>
          <w:b/>
          <w:bCs/>
          <w:sz w:val="24"/>
          <w:szCs w:val="24"/>
        </w:rPr>
        <w:t>Relative Proposition of Currently Subsidized ALR Tenancies</w:t>
      </w:r>
    </w:p>
    <w:p w14:paraId="61D0FD4C" w14:textId="77777777" w:rsidR="0000794B" w:rsidRDefault="0000794B" w:rsidP="00633954">
      <w:pPr>
        <w:pStyle w:val="ListParagraph"/>
        <w:spacing w:after="0" w:line="240" w:lineRule="auto"/>
        <w:contextualSpacing w:val="0"/>
        <w:jc w:val="center"/>
        <w:rPr>
          <w:b/>
          <w:bCs/>
          <w:sz w:val="24"/>
          <w:szCs w:val="24"/>
        </w:rPr>
      </w:pPr>
    </w:p>
    <w:p w14:paraId="75A6B16C" w14:textId="5691896E" w:rsidR="00AC6F91" w:rsidRDefault="0000794B" w:rsidP="005B1C84">
      <w:pPr>
        <w:pStyle w:val="ListParagraph"/>
        <w:spacing w:after="0" w:line="240" w:lineRule="auto"/>
        <w:ind w:left="0"/>
        <w:contextualSpacing w:val="0"/>
        <w:rPr>
          <w:sz w:val="24"/>
          <w:szCs w:val="24"/>
        </w:rPr>
      </w:pPr>
      <w:r w:rsidRPr="0000794B">
        <w:rPr>
          <w:sz w:val="24"/>
          <w:szCs w:val="24"/>
        </w:rPr>
        <w:t>In the course of developing this ALR</w:t>
      </w:r>
      <w:r>
        <w:rPr>
          <w:sz w:val="24"/>
          <w:szCs w:val="24"/>
        </w:rPr>
        <w:t xml:space="preserve"> Reform Omnibus</w:t>
      </w:r>
      <w:r w:rsidR="00D713D5">
        <w:rPr>
          <w:sz w:val="24"/>
          <w:szCs w:val="24"/>
        </w:rPr>
        <w:t xml:space="preserve"> and consulting </w:t>
      </w:r>
      <w:r w:rsidR="00336AD9">
        <w:rPr>
          <w:sz w:val="24"/>
          <w:szCs w:val="24"/>
        </w:rPr>
        <w:t xml:space="preserve">the various documents posted as Commission Materials, </w:t>
      </w:r>
      <w:r w:rsidR="00556271">
        <w:rPr>
          <w:sz w:val="24"/>
          <w:szCs w:val="24"/>
        </w:rPr>
        <w:t xml:space="preserve">it was noted that a draft ALR Commission </w:t>
      </w:r>
      <w:r w:rsidR="00FB4A77">
        <w:rPr>
          <w:sz w:val="24"/>
          <w:szCs w:val="24"/>
        </w:rPr>
        <w:t>Recommendation</w:t>
      </w:r>
      <w:r w:rsidR="006D05E8">
        <w:rPr>
          <w:sz w:val="24"/>
          <w:szCs w:val="24"/>
        </w:rPr>
        <w:t xml:space="preserve"> dated 7/28/25 called </w:t>
      </w:r>
      <w:r w:rsidR="00AC6F91">
        <w:t xml:space="preserve">for </w:t>
      </w:r>
      <w:r w:rsidR="00AC6F91" w:rsidRPr="00AC6F91">
        <w:rPr>
          <w:sz w:val="24"/>
          <w:szCs w:val="24"/>
        </w:rPr>
        <w:t xml:space="preserve">an “Interagency &amp; Expert Task Force Focused on Affordable Assisted Living, with a lead charge of “creating a definition of “affordable” ALR and an inventory of all affordable ALRs in the Commonwealth”. </w:t>
      </w:r>
    </w:p>
    <w:p w14:paraId="46D2C25E" w14:textId="77777777" w:rsidR="00AC6F91" w:rsidRDefault="00AC6F91" w:rsidP="005B1C84">
      <w:pPr>
        <w:pStyle w:val="ListParagraph"/>
        <w:spacing w:after="0" w:line="240" w:lineRule="auto"/>
        <w:ind w:left="0"/>
        <w:contextualSpacing w:val="0"/>
        <w:rPr>
          <w:sz w:val="24"/>
          <w:szCs w:val="24"/>
        </w:rPr>
      </w:pPr>
    </w:p>
    <w:p w14:paraId="0739BB0E" w14:textId="302153E3" w:rsidR="00EF4783" w:rsidRDefault="00AC6F91" w:rsidP="005B1C84">
      <w:pPr>
        <w:pStyle w:val="ListParagraph"/>
        <w:pBdr>
          <w:bottom w:val="single" w:sz="4" w:space="1" w:color="auto"/>
        </w:pBdr>
        <w:spacing w:after="0" w:line="240" w:lineRule="auto"/>
        <w:ind w:left="0"/>
        <w:contextualSpacing w:val="0"/>
        <w:rPr>
          <w:sz w:val="24"/>
          <w:szCs w:val="24"/>
        </w:rPr>
      </w:pPr>
      <w:r>
        <w:rPr>
          <w:sz w:val="24"/>
          <w:szCs w:val="24"/>
        </w:rPr>
        <w:t xml:space="preserve">On the matter of </w:t>
      </w:r>
      <w:r w:rsidR="00B75F04">
        <w:rPr>
          <w:sz w:val="24"/>
          <w:szCs w:val="24"/>
        </w:rPr>
        <w:t>defining Affordable Assisted Living</w:t>
      </w:r>
      <w:r w:rsidR="0021531D">
        <w:rPr>
          <w:sz w:val="24"/>
          <w:szCs w:val="24"/>
        </w:rPr>
        <w:t xml:space="preserve">, Dignity Alliance urges this </w:t>
      </w:r>
      <w:r w:rsidR="00022A60">
        <w:rPr>
          <w:sz w:val="24"/>
          <w:szCs w:val="24"/>
        </w:rPr>
        <w:t>ALR Commission to</w:t>
      </w:r>
      <w:r w:rsidR="004A7962">
        <w:rPr>
          <w:sz w:val="24"/>
          <w:szCs w:val="24"/>
        </w:rPr>
        <w:t xml:space="preserve"> directly</w:t>
      </w:r>
      <w:r w:rsidR="00041AE3">
        <w:rPr>
          <w:sz w:val="24"/>
          <w:szCs w:val="24"/>
        </w:rPr>
        <w:t xml:space="preserve"> </w:t>
      </w:r>
      <w:r w:rsidR="00C704C6">
        <w:rPr>
          <w:sz w:val="24"/>
          <w:szCs w:val="24"/>
        </w:rPr>
        <w:t>establish</w:t>
      </w:r>
      <w:r w:rsidR="004A7962">
        <w:rPr>
          <w:sz w:val="24"/>
          <w:szCs w:val="24"/>
        </w:rPr>
        <w:t xml:space="preserve"> </w:t>
      </w:r>
      <w:r w:rsidR="008264AE">
        <w:rPr>
          <w:sz w:val="24"/>
          <w:szCs w:val="24"/>
        </w:rPr>
        <w:t>a</w:t>
      </w:r>
      <w:r w:rsidR="004A7962">
        <w:rPr>
          <w:sz w:val="24"/>
          <w:szCs w:val="24"/>
        </w:rPr>
        <w:t xml:space="preserve"> definition</w:t>
      </w:r>
      <w:r w:rsidR="005126BF">
        <w:rPr>
          <w:sz w:val="24"/>
          <w:szCs w:val="24"/>
        </w:rPr>
        <w:t xml:space="preserve"> for the purpose of grounding related policy development activity.</w:t>
      </w:r>
      <w:r w:rsidR="00EF4783">
        <w:rPr>
          <w:sz w:val="24"/>
          <w:szCs w:val="24"/>
        </w:rPr>
        <w:t xml:space="preserve"> For the consideration of the ALR Commission, Dignity Alliance offers</w:t>
      </w:r>
      <w:r w:rsidR="00022136">
        <w:rPr>
          <w:sz w:val="24"/>
          <w:szCs w:val="24"/>
        </w:rPr>
        <w:t xml:space="preserve"> a</w:t>
      </w:r>
      <w:r w:rsidR="00EF4783">
        <w:rPr>
          <w:sz w:val="24"/>
          <w:szCs w:val="24"/>
        </w:rPr>
        <w:t xml:space="preserve"> draft definition fo</w:t>
      </w:r>
      <w:r w:rsidR="008264AE">
        <w:rPr>
          <w:sz w:val="24"/>
          <w:szCs w:val="24"/>
        </w:rPr>
        <w:t xml:space="preserve">r commission members to further </w:t>
      </w:r>
      <w:r w:rsidR="00EF4783">
        <w:rPr>
          <w:sz w:val="24"/>
          <w:szCs w:val="24"/>
        </w:rPr>
        <w:t>improve upon.</w:t>
      </w:r>
    </w:p>
    <w:p w14:paraId="626450B1" w14:textId="77777777" w:rsidR="001C39E6" w:rsidRDefault="001C39E6" w:rsidP="005B1C84">
      <w:pPr>
        <w:pStyle w:val="ListParagraph"/>
        <w:pBdr>
          <w:bottom w:val="single" w:sz="4" w:space="1" w:color="auto"/>
        </w:pBdr>
        <w:spacing w:after="0" w:line="240" w:lineRule="auto"/>
        <w:ind w:left="0"/>
        <w:contextualSpacing w:val="0"/>
        <w:rPr>
          <w:sz w:val="24"/>
          <w:szCs w:val="24"/>
        </w:rPr>
      </w:pPr>
    </w:p>
    <w:p w14:paraId="53E83EEB" w14:textId="61032E88" w:rsidR="001C39E6" w:rsidRDefault="001C39E6" w:rsidP="005B1C84">
      <w:pPr>
        <w:pStyle w:val="ListParagraph"/>
        <w:pBdr>
          <w:bottom w:val="single" w:sz="4" w:space="1" w:color="auto"/>
        </w:pBdr>
        <w:spacing w:after="0" w:line="240" w:lineRule="auto"/>
        <w:ind w:left="0"/>
        <w:contextualSpacing w:val="0"/>
        <w:rPr>
          <w:sz w:val="24"/>
          <w:szCs w:val="24"/>
        </w:rPr>
      </w:pPr>
      <w:r>
        <w:rPr>
          <w:sz w:val="24"/>
          <w:szCs w:val="24"/>
        </w:rPr>
        <w:t>Below the offered definition i</w:t>
      </w:r>
      <w:r w:rsidR="000F4831">
        <w:rPr>
          <w:sz w:val="24"/>
          <w:szCs w:val="24"/>
        </w:rPr>
        <w:t>s an attempt to frame</w:t>
      </w:r>
      <w:r w:rsidR="00A859F4">
        <w:rPr>
          <w:sz w:val="24"/>
          <w:szCs w:val="24"/>
        </w:rPr>
        <w:t xml:space="preserve"> Affordable Assisted Living within </w:t>
      </w:r>
      <w:r w:rsidR="00D32173">
        <w:rPr>
          <w:sz w:val="24"/>
          <w:szCs w:val="24"/>
        </w:rPr>
        <w:t>the current state</w:t>
      </w:r>
      <w:r w:rsidR="003519B5">
        <w:rPr>
          <w:sz w:val="24"/>
          <w:szCs w:val="24"/>
        </w:rPr>
        <w:t xml:space="preserve"> </w:t>
      </w:r>
      <w:r w:rsidR="000F4831">
        <w:rPr>
          <w:sz w:val="24"/>
          <w:szCs w:val="24"/>
        </w:rPr>
        <w:t>housing supports and health care supports that are</w:t>
      </w:r>
      <w:r w:rsidR="00A859F4">
        <w:rPr>
          <w:sz w:val="24"/>
          <w:szCs w:val="24"/>
        </w:rPr>
        <w:t xml:space="preserve"> on offer via </w:t>
      </w:r>
      <w:r w:rsidR="007374F1">
        <w:rPr>
          <w:sz w:val="24"/>
          <w:szCs w:val="24"/>
        </w:rPr>
        <w:t>MassHealth</w:t>
      </w:r>
      <w:r w:rsidR="008832DA">
        <w:rPr>
          <w:sz w:val="24"/>
          <w:szCs w:val="24"/>
        </w:rPr>
        <w:t xml:space="preserve"> and the Department of </w:t>
      </w:r>
      <w:r w:rsidR="00DB7E16">
        <w:rPr>
          <w:sz w:val="24"/>
          <w:szCs w:val="24"/>
        </w:rPr>
        <w:t>Transitional</w:t>
      </w:r>
      <w:r w:rsidR="00E0777E">
        <w:rPr>
          <w:sz w:val="24"/>
          <w:szCs w:val="24"/>
        </w:rPr>
        <w:t xml:space="preserve"> Assistance.</w:t>
      </w:r>
    </w:p>
    <w:p w14:paraId="726F7202" w14:textId="77777777" w:rsidR="00EF4783" w:rsidRDefault="00EF4783" w:rsidP="005B1C84">
      <w:pPr>
        <w:pStyle w:val="ListParagraph"/>
        <w:spacing w:after="0" w:line="240" w:lineRule="auto"/>
        <w:ind w:left="0"/>
        <w:contextualSpacing w:val="0"/>
        <w:rPr>
          <w:sz w:val="24"/>
          <w:szCs w:val="24"/>
        </w:rPr>
      </w:pPr>
    </w:p>
    <w:p w14:paraId="15E352B5" w14:textId="3D7CD18E" w:rsidR="002D6B34" w:rsidRDefault="002C091A" w:rsidP="005B1C84">
      <w:pPr>
        <w:pStyle w:val="ListParagraph"/>
        <w:spacing w:after="0" w:line="240" w:lineRule="auto"/>
        <w:ind w:left="0"/>
        <w:contextualSpacing w:val="0"/>
        <w:rPr>
          <w:sz w:val="24"/>
          <w:szCs w:val="24"/>
        </w:rPr>
      </w:pPr>
      <w:r>
        <w:rPr>
          <w:sz w:val="24"/>
          <w:szCs w:val="24"/>
        </w:rPr>
        <w:t>For purposes of context,</w:t>
      </w:r>
      <w:r w:rsidR="009044DB">
        <w:rPr>
          <w:sz w:val="24"/>
          <w:szCs w:val="24"/>
        </w:rPr>
        <w:t xml:space="preserve"> the active definition</w:t>
      </w:r>
      <w:r w:rsidR="002D6B34">
        <w:rPr>
          <w:rStyle w:val="FootnoteReference"/>
          <w:sz w:val="24"/>
          <w:szCs w:val="24"/>
        </w:rPr>
        <w:footnoteReference w:id="2"/>
      </w:r>
      <w:r w:rsidR="009044DB">
        <w:rPr>
          <w:sz w:val="24"/>
          <w:szCs w:val="24"/>
        </w:rPr>
        <w:t xml:space="preserve"> of Assisted Living Residences</w:t>
      </w:r>
      <w:r w:rsidR="002D6B34">
        <w:rPr>
          <w:sz w:val="24"/>
          <w:szCs w:val="24"/>
        </w:rPr>
        <w:t xml:space="preserve"> is as follows:</w:t>
      </w:r>
    </w:p>
    <w:p w14:paraId="119FE0B9" w14:textId="77777777" w:rsidR="002D6B34" w:rsidRDefault="002D6B34" w:rsidP="005B1C84">
      <w:pPr>
        <w:pStyle w:val="ListParagraph"/>
        <w:spacing w:after="0" w:line="240" w:lineRule="auto"/>
        <w:ind w:left="0"/>
        <w:contextualSpacing w:val="0"/>
        <w:rPr>
          <w:sz w:val="24"/>
          <w:szCs w:val="24"/>
        </w:rPr>
      </w:pPr>
    </w:p>
    <w:p w14:paraId="6F72852D" w14:textId="176C007E" w:rsidR="00836B67" w:rsidRDefault="00836B67" w:rsidP="000D6E66">
      <w:pPr>
        <w:pStyle w:val="ListParagraph"/>
        <w:spacing w:after="0" w:line="240" w:lineRule="auto"/>
        <w:ind w:left="360"/>
        <w:contextualSpacing w:val="0"/>
        <w:rPr>
          <w:sz w:val="24"/>
          <w:szCs w:val="24"/>
        </w:rPr>
      </w:pPr>
      <w:r w:rsidRPr="00094F37">
        <w:rPr>
          <w:sz w:val="24"/>
          <w:szCs w:val="24"/>
        </w:rPr>
        <w:t>''Assisted living residence'' or ''Residence'', any entity, however organized, whether conducted for profit or not for profit, which meets all of the following criteria:</w:t>
      </w:r>
    </w:p>
    <w:p w14:paraId="5620B289" w14:textId="77777777" w:rsidR="003519B5" w:rsidRPr="00094F37" w:rsidRDefault="003519B5" w:rsidP="000D6E66">
      <w:pPr>
        <w:pStyle w:val="ListParagraph"/>
        <w:spacing w:after="0" w:line="240" w:lineRule="auto"/>
        <w:ind w:left="360"/>
        <w:contextualSpacing w:val="0"/>
        <w:rPr>
          <w:sz w:val="24"/>
          <w:szCs w:val="24"/>
        </w:rPr>
      </w:pPr>
    </w:p>
    <w:p w14:paraId="0277BC8C" w14:textId="0C5E2358" w:rsidR="008C1AD0" w:rsidRPr="00094F37" w:rsidRDefault="008C1AD0" w:rsidP="00E56975">
      <w:pPr>
        <w:pStyle w:val="ListParagraph"/>
        <w:numPr>
          <w:ilvl w:val="0"/>
          <w:numId w:val="3"/>
        </w:numPr>
        <w:spacing w:after="120" w:line="240" w:lineRule="auto"/>
        <w:ind w:left="1080"/>
        <w:contextualSpacing w:val="0"/>
        <w:rPr>
          <w:sz w:val="24"/>
          <w:szCs w:val="24"/>
        </w:rPr>
      </w:pPr>
      <w:r w:rsidRPr="00094F37">
        <w:rPr>
          <w:sz w:val="24"/>
          <w:szCs w:val="24"/>
        </w:rPr>
        <w:t>provides room and board; and</w:t>
      </w:r>
    </w:p>
    <w:p w14:paraId="3525CDF4" w14:textId="65957623" w:rsidR="00C91D38" w:rsidRPr="00094F37" w:rsidRDefault="00C91D38" w:rsidP="00E56975">
      <w:pPr>
        <w:pStyle w:val="ListParagraph"/>
        <w:numPr>
          <w:ilvl w:val="0"/>
          <w:numId w:val="3"/>
        </w:numPr>
        <w:spacing w:after="120"/>
        <w:ind w:left="1080"/>
        <w:contextualSpacing w:val="0"/>
        <w:rPr>
          <w:sz w:val="24"/>
          <w:szCs w:val="24"/>
        </w:rPr>
      </w:pPr>
      <w:r w:rsidRPr="00094F37">
        <w:rPr>
          <w:sz w:val="24"/>
          <w:szCs w:val="24"/>
        </w:rPr>
        <w:t>provides, directly by employees of the entity or through arrangements with another organization which the entity may or may not control or own, assistance with activities of daily living for three or more adult residents who are not related by consanguinity or affinity to their care provider; and</w:t>
      </w:r>
    </w:p>
    <w:p w14:paraId="6E2B40B4" w14:textId="4F84BC27" w:rsidR="00C91D38" w:rsidRPr="00094F37" w:rsidRDefault="000D6E66" w:rsidP="000D6E66">
      <w:pPr>
        <w:pStyle w:val="ListParagraph"/>
        <w:numPr>
          <w:ilvl w:val="0"/>
          <w:numId w:val="3"/>
        </w:numPr>
        <w:spacing w:after="0" w:line="240" w:lineRule="auto"/>
        <w:ind w:left="1080"/>
        <w:contextualSpacing w:val="0"/>
        <w:rPr>
          <w:sz w:val="24"/>
          <w:szCs w:val="24"/>
        </w:rPr>
      </w:pPr>
      <w:r w:rsidRPr="00094F37">
        <w:rPr>
          <w:sz w:val="24"/>
          <w:szCs w:val="24"/>
        </w:rPr>
        <w:t xml:space="preserve">collects payments or </w:t>
      </w:r>
      <w:proofErr w:type="gramStart"/>
      <w:r w:rsidRPr="00094F37">
        <w:rPr>
          <w:sz w:val="24"/>
          <w:szCs w:val="24"/>
        </w:rPr>
        <w:t>third party</w:t>
      </w:r>
      <w:proofErr w:type="gramEnd"/>
      <w:r w:rsidRPr="00094F37">
        <w:rPr>
          <w:sz w:val="24"/>
          <w:szCs w:val="24"/>
        </w:rPr>
        <w:t xml:space="preserve"> reimbursements from or on behalf of residents to pay for the provision of assistance with the activities of daily living or arranges for the same.</w:t>
      </w:r>
    </w:p>
    <w:p w14:paraId="1AD22A8A" w14:textId="77777777" w:rsidR="00ED7784" w:rsidRPr="00C0612A" w:rsidRDefault="00ED7784" w:rsidP="00C0612A">
      <w:pPr>
        <w:pBdr>
          <w:bottom w:val="single" w:sz="4" w:space="1" w:color="auto"/>
        </w:pBdr>
        <w:spacing w:after="0" w:line="240" w:lineRule="auto"/>
        <w:rPr>
          <w:sz w:val="16"/>
          <w:szCs w:val="16"/>
        </w:rPr>
      </w:pPr>
    </w:p>
    <w:p w14:paraId="5A7F4B3E" w14:textId="77777777" w:rsidR="00836B67" w:rsidRDefault="00836B67" w:rsidP="005B1C84">
      <w:pPr>
        <w:pStyle w:val="ListParagraph"/>
        <w:spacing w:after="0" w:line="240" w:lineRule="auto"/>
        <w:ind w:left="0"/>
        <w:contextualSpacing w:val="0"/>
        <w:rPr>
          <w:sz w:val="24"/>
          <w:szCs w:val="24"/>
        </w:rPr>
      </w:pPr>
    </w:p>
    <w:p w14:paraId="1EFB2E91" w14:textId="4BC6226A" w:rsidR="00ED7784" w:rsidRPr="005730FF" w:rsidRDefault="00E603E4" w:rsidP="005B1C84">
      <w:pPr>
        <w:pStyle w:val="ListParagraph"/>
        <w:spacing w:after="0" w:line="240" w:lineRule="auto"/>
        <w:ind w:left="0"/>
        <w:contextualSpacing w:val="0"/>
        <w:rPr>
          <w:b/>
          <w:bCs/>
          <w:sz w:val="24"/>
          <w:szCs w:val="24"/>
        </w:rPr>
      </w:pPr>
      <w:r w:rsidRPr="005730FF">
        <w:rPr>
          <w:b/>
          <w:bCs/>
          <w:sz w:val="24"/>
          <w:szCs w:val="24"/>
        </w:rPr>
        <w:t xml:space="preserve">The proposed definition for </w:t>
      </w:r>
      <w:r w:rsidR="005730FF" w:rsidRPr="005730FF">
        <w:rPr>
          <w:b/>
          <w:bCs/>
          <w:sz w:val="24"/>
          <w:szCs w:val="24"/>
        </w:rPr>
        <w:t>“</w:t>
      </w:r>
      <w:r w:rsidRPr="005730FF">
        <w:rPr>
          <w:b/>
          <w:bCs/>
          <w:sz w:val="24"/>
          <w:szCs w:val="24"/>
        </w:rPr>
        <w:t>Affordable Assisted Living</w:t>
      </w:r>
      <w:r w:rsidR="005730FF" w:rsidRPr="005730FF">
        <w:rPr>
          <w:b/>
          <w:bCs/>
          <w:sz w:val="24"/>
          <w:szCs w:val="24"/>
        </w:rPr>
        <w:t>”</w:t>
      </w:r>
      <w:r w:rsidRPr="005730FF">
        <w:rPr>
          <w:b/>
          <w:bCs/>
          <w:sz w:val="24"/>
          <w:szCs w:val="24"/>
        </w:rPr>
        <w:t xml:space="preserve"> is as follows:</w:t>
      </w:r>
    </w:p>
    <w:p w14:paraId="73C44A68" w14:textId="77777777" w:rsidR="00E603E4" w:rsidRPr="00094F37" w:rsidRDefault="00E603E4" w:rsidP="005B1C84">
      <w:pPr>
        <w:pStyle w:val="ListParagraph"/>
        <w:spacing w:after="0" w:line="240" w:lineRule="auto"/>
        <w:ind w:left="0"/>
        <w:contextualSpacing w:val="0"/>
        <w:rPr>
          <w:sz w:val="24"/>
          <w:szCs w:val="24"/>
        </w:rPr>
      </w:pPr>
    </w:p>
    <w:p w14:paraId="6FA1A988" w14:textId="77777777" w:rsidR="004B3508" w:rsidRPr="00094F37" w:rsidRDefault="004B3508" w:rsidP="004B3508">
      <w:pPr>
        <w:rPr>
          <w:color w:val="3071C3" w:themeColor="text2" w:themeTint="BF"/>
          <w:sz w:val="24"/>
          <w:szCs w:val="24"/>
        </w:rPr>
      </w:pPr>
      <w:r w:rsidRPr="00094F37">
        <w:rPr>
          <w:color w:val="3071C3" w:themeColor="text2" w:themeTint="BF"/>
          <w:sz w:val="24"/>
          <w:szCs w:val="24"/>
        </w:rPr>
        <w:t xml:space="preserve">'' Affordable Assisted Living Residence'' or ''Affordable ALR'', any assisted living residence, whether conducted for profit or not for profit, which is committed to supporting older adults with limited incomes at a lower out-of-pocket cost than standard, “market-rate”, assisted living placements. </w:t>
      </w:r>
    </w:p>
    <w:p w14:paraId="00492CD7" w14:textId="77777777" w:rsidR="004B3508" w:rsidRPr="00094F37" w:rsidRDefault="004B3508" w:rsidP="004B3508">
      <w:pPr>
        <w:rPr>
          <w:color w:val="3071C3" w:themeColor="text2" w:themeTint="BF"/>
          <w:sz w:val="24"/>
          <w:szCs w:val="24"/>
        </w:rPr>
      </w:pPr>
      <w:r w:rsidRPr="00094F37">
        <w:rPr>
          <w:color w:val="3071C3" w:themeColor="text2" w:themeTint="BF"/>
          <w:sz w:val="24"/>
          <w:szCs w:val="24"/>
        </w:rPr>
        <w:t>The Affordable ALR offers this public service/benefit by making use of government subsidies to lower resident fees for housing, meal assistance, or assistance with daily living activities.</w:t>
      </w:r>
    </w:p>
    <w:p w14:paraId="1D8BB43A" w14:textId="25263626" w:rsidR="00DE02FD" w:rsidRPr="00094F37" w:rsidRDefault="00E35A84" w:rsidP="00DE02FD">
      <w:pPr>
        <w:rPr>
          <w:color w:val="3071C3" w:themeColor="text2" w:themeTint="BF"/>
          <w:sz w:val="24"/>
          <w:szCs w:val="24"/>
        </w:rPr>
      </w:pPr>
      <w:r w:rsidRPr="00094F37">
        <w:rPr>
          <w:color w:val="3071C3" w:themeColor="text2" w:themeTint="BF"/>
          <w:sz w:val="24"/>
          <w:szCs w:val="24"/>
        </w:rPr>
        <w:t>In regard to</w:t>
      </w:r>
      <w:r w:rsidR="00DE02FD" w:rsidRPr="00094F37">
        <w:rPr>
          <w:color w:val="3071C3" w:themeColor="text2" w:themeTint="BF"/>
          <w:sz w:val="24"/>
          <w:szCs w:val="24"/>
        </w:rPr>
        <w:t xml:space="preserve"> limiting the out-of-pocket cost</w:t>
      </w:r>
      <w:r w:rsidR="00194C4F">
        <w:rPr>
          <w:color w:val="3071C3" w:themeColor="text2" w:themeTint="BF"/>
          <w:sz w:val="24"/>
          <w:szCs w:val="24"/>
        </w:rPr>
        <w:t>s</w:t>
      </w:r>
      <w:r w:rsidR="00DE02FD" w:rsidRPr="00094F37">
        <w:rPr>
          <w:color w:val="3071C3" w:themeColor="text2" w:themeTint="BF"/>
          <w:sz w:val="24"/>
          <w:szCs w:val="24"/>
        </w:rPr>
        <w:t xml:space="preserve"> of “room and board” components of an assisted living residence tenancy, an Affordable ALR will help an ALR Resident access housing supports such as rental assistance </w:t>
      </w:r>
      <w:r w:rsidR="00DE02FD" w:rsidRPr="00094F37">
        <w:rPr>
          <w:color w:val="3071C3" w:themeColor="text2" w:themeTint="BF"/>
          <w:sz w:val="24"/>
          <w:szCs w:val="24"/>
        </w:rPr>
        <w:lastRenderedPageBreak/>
        <w:t>(vouchers); or income assistance such as the state supplement</w:t>
      </w:r>
      <w:r w:rsidR="006B3A6F" w:rsidRPr="00094F37">
        <w:rPr>
          <w:rStyle w:val="FootnoteReference"/>
          <w:color w:val="3071C3" w:themeColor="text2" w:themeTint="BF"/>
          <w:sz w:val="24"/>
          <w:szCs w:val="24"/>
        </w:rPr>
        <w:footnoteReference w:id="3"/>
      </w:r>
      <w:r w:rsidR="00DE02FD" w:rsidRPr="00094F37">
        <w:rPr>
          <w:color w:val="3071C3" w:themeColor="text2" w:themeTint="BF"/>
          <w:sz w:val="24"/>
          <w:szCs w:val="24"/>
        </w:rPr>
        <w:t xml:space="preserve"> to the Social Security Income benefit for individuals who reside in Assisted Living and are MassHealth beneficiaries receiving Group Adult Foster Care</w:t>
      </w:r>
      <w:r w:rsidR="00AB42F2">
        <w:rPr>
          <w:rStyle w:val="FootnoteReference"/>
          <w:color w:val="3071C3" w:themeColor="text2" w:themeTint="BF"/>
          <w:sz w:val="24"/>
          <w:szCs w:val="24"/>
        </w:rPr>
        <w:footnoteReference w:id="4"/>
      </w:r>
      <w:r w:rsidR="00DE02FD" w:rsidRPr="00094F37">
        <w:rPr>
          <w:color w:val="3071C3" w:themeColor="text2" w:themeTint="BF"/>
          <w:sz w:val="24"/>
          <w:szCs w:val="24"/>
        </w:rPr>
        <w:t xml:space="preserve"> services. </w:t>
      </w:r>
    </w:p>
    <w:p w14:paraId="1AD9CF1F" w14:textId="2CBA31D1" w:rsidR="00B376C9" w:rsidRPr="00094F37" w:rsidRDefault="00E35A84" w:rsidP="00B376C9">
      <w:pPr>
        <w:rPr>
          <w:color w:val="3071C3" w:themeColor="text2" w:themeTint="BF"/>
          <w:sz w:val="24"/>
          <w:szCs w:val="24"/>
        </w:rPr>
      </w:pPr>
      <w:r w:rsidRPr="00094F37">
        <w:rPr>
          <w:color w:val="3071C3" w:themeColor="text2" w:themeTint="BF"/>
          <w:sz w:val="24"/>
          <w:szCs w:val="24"/>
        </w:rPr>
        <w:t>In regard to</w:t>
      </w:r>
      <w:r w:rsidR="00B376C9" w:rsidRPr="00094F37">
        <w:rPr>
          <w:color w:val="3071C3" w:themeColor="text2" w:themeTint="BF"/>
          <w:sz w:val="24"/>
          <w:szCs w:val="24"/>
        </w:rPr>
        <w:t xml:space="preserve"> limiting the out-of-pocket cost of the “assistance with activities of daily living” components of an assisted living residence tenancy, an Affordable ALR will help an ALR Resident access health-care related supports. As a practical matter, such supports are typically Medicaid-funded with the Affordable ALR performing in the role of a Medicaid Provider. </w:t>
      </w:r>
    </w:p>
    <w:p w14:paraId="14A51E65" w14:textId="77777777" w:rsidR="00DE02FD" w:rsidRPr="00094F37" w:rsidRDefault="00DE02FD" w:rsidP="001B7462">
      <w:pPr>
        <w:pBdr>
          <w:bottom w:val="single" w:sz="4" w:space="1" w:color="auto"/>
        </w:pBdr>
        <w:rPr>
          <w:color w:val="3071C3" w:themeColor="text2" w:themeTint="BF"/>
          <w:sz w:val="24"/>
          <w:szCs w:val="24"/>
        </w:rPr>
      </w:pPr>
    </w:p>
    <w:p w14:paraId="60DDE7EC" w14:textId="2175B62E" w:rsidR="005B1C84" w:rsidRPr="001B7462" w:rsidRDefault="002C091A" w:rsidP="005B1C84">
      <w:pPr>
        <w:pStyle w:val="ListParagraph"/>
        <w:spacing w:after="0" w:line="240" w:lineRule="auto"/>
        <w:ind w:left="0"/>
        <w:contextualSpacing w:val="0"/>
        <w:rPr>
          <w:b/>
          <w:bCs/>
          <w:sz w:val="24"/>
          <w:szCs w:val="24"/>
        </w:rPr>
      </w:pPr>
      <w:r w:rsidRPr="001B7462">
        <w:rPr>
          <w:b/>
          <w:bCs/>
          <w:sz w:val="24"/>
          <w:szCs w:val="24"/>
        </w:rPr>
        <w:t xml:space="preserve"> </w:t>
      </w:r>
      <w:r w:rsidR="001B7462" w:rsidRPr="001B7462">
        <w:rPr>
          <w:b/>
          <w:bCs/>
          <w:sz w:val="24"/>
          <w:szCs w:val="24"/>
        </w:rPr>
        <w:t>Supplemental Comment</w:t>
      </w:r>
    </w:p>
    <w:p w14:paraId="6B0A0B35" w14:textId="4D1FED2A" w:rsidR="00ED7784" w:rsidRDefault="00AC6F91" w:rsidP="005B1C84">
      <w:pPr>
        <w:pStyle w:val="ListParagraph"/>
        <w:spacing w:after="0" w:line="240" w:lineRule="auto"/>
        <w:ind w:left="0"/>
        <w:contextualSpacing w:val="0"/>
        <w:rPr>
          <w:sz w:val="24"/>
          <w:szCs w:val="24"/>
        </w:rPr>
      </w:pPr>
      <w:r w:rsidRPr="00AC6F91">
        <w:rPr>
          <w:sz w:val="24"/>
          <w:szCs w:val="24"/>
        </w:rPr>
        <w:t xml:space="preserve"> </w:t>
      </w:r>
      <w:r w:rsidR="0000794B" w:rsidRPr="0000794B">
        <w:rPr>
          <w:sz w:val="24"/>
          <w:szCs w:val="24"/>
        </w:rPr>
        <w:t xml:space="preserve"> </w:t>
      </w:r>
    </w:p>
    <w:p w14:paraId="71C357D6" w14:textId="34FC2550" w:rsidR="00FA45A2" w:rsidRPr="00943C4C" w:rsidRDefault="00DF7AD0" w:rsidP="00FA45A2">
      <w:pPr>
        <w:rPr>
          <w:sz w:val="24"/>
          <w:szCs w:val="24"/>
        </w:rPr>
      </w:pPr>
      <w:r w:rsidRPr="00AD1EA6">
        <w:rPr>
          <w:b/>
          <w:bCs/>
          <w:sz w:val="24"/>
          <w:szCs w:val="24"/>
        </w:rPr>
        <w:t>Regarding public subsidies related to “room and board” related expenses</w:t>
      </w:r>
      <w:r w:rsidR="00FA45A2">
        <w:rPr>
          <w:sz w:val="24"/>
          <w:szCs w:val="24"/>
        </w:rPr>
        <w:t xml:space="preserve">, </w:t>
      </w:r>
      <w:r w:rsidR="00E95CA1">
        <w:t>f</w:t>
      </w:r>
      <w:r w:rsidR="00FA45A2">
        <w:t xml:space="preserve">or Affordable ALR’s </w:t>
      </w:r>
      <w:r w:rsidR="00FA45A2" w:rsidRPr="00943C4C">
        <w:rPr>
          <w:sz w:val="24"/>
          <w:szCs w:val="24"/>
        </w:rPr>
        <w:t xml:space="preserve">that are willing to reserve a significant share of units for low-income older adults, developers and owners of assisted living residences could explore obtaining Low-Income Housing Tax Credits (“LIHTC”) to help finance the construction of new affordable ALRs. </w:t>
      </w:r>
    </w:p>
    <w:p w14:paraId="1D31CDF9" w14:textId="77777777" w:rsidR="00AD1EA6" w:rsidRDefault="00FA45A2" w:rsidP="00FA45A2">
      <w:pPr>
        <w:rPr>
          <w:sz w:val="24"/>
          <w:szCs w:val="24"/>
        </w:rPr>
      </w:pPr>
      <w:r w:rsidRPr="00943C4C">
        <w:rPr>
          <w:sz w:val="24"/>
          <w:szCs w:val="24"/>
        </w:rPr>
        <w:t>Highlighting an emerging “best practice” of public administration</w:t>
      </w:r>
      <w:r w:rsidR="006A217A">
        <w:rPr>
          <w:sz w:val="24"/>
          <w:szCs w:val="24"/>
        </w:rPr>
        <w:t>,</w:t>
      </w:r>
      <w:r w:rsidR="00684D31">
        <w:rPr>
          <w:sz w:val="24"/>
          <w:szCs w:val="24"/>
        </w:rPr>
        <w:t xml:space="preserve"> </w:t>
      </w:r>
      <w:r w:rsidRPr="00943C4C">
        <w:rPr>
          <w:sz w:val="24"/>
          <w:szCs w:val="24"/>
        </w:rPr>
        <w:t>in November 2024 Ohio launched a 4% LIHTC program specifically targeting the need to develop Affordable Assisted Living service capacity</w:t>
      </w:r>
      <w:r>
        <w:t xml:space="preserve"> </w:t>
      </w:r>
      <w:r w:rsidRPr="006A217A">
        <w:rPr>
          <w:sz w:val="24"/>
          <w:szCs w:val="24"/>
        </w:rPr>
        <w:t>(</w:t>
      </w:r>
      <w:hyperlink r:id="rId10" w:history="1">
        <w:r w:rsidRPr="006A217A">
          <w:rPr>
            <w:rStyle w:val="Hyperlink"/>
            <w:sz w:val="24"/>
            <w:szCs w:val="24"/>
          </w:rPr>
          <w:t>AffordableAssistedLivingGuidelines.pdf</w:t>
        </w:r>
      </w:hyperlink>
      <w:r w:rsidRPr="006A217A">
        <w:rPr>
          <w:sz w:val="24"/>
          <w:szCs w:val="24"/>
        </w:rPr>
        <w:t>).</w:t>
      </w:r>
    </w:p>
    <w:p w14:paraId="2A70CD5D" w14:textId="243EEDF1" w:rsidR="00354A30" w:rsidRDefault="00AD1EA6" w:rsidP="00FA45A2">
      <w:pPr>
        <w:rPr>
          <w:sz w:val="24"/>
          <w:szCs w:val="24"/>
        </w:rPr>
      </w:pPr>
      <w:r w:rsidRPr="00AD1EA6">
        <w:rPr>
          <w:b/>
          <w:bCs/>
          <w:sz w:val="24"/>
          <w:szCs w:val="24"/>
        </w:rPr>
        <w:t>Regarding public subsidies related to</w:t>
      </w:r>
      <w:r w:rsidR="005C19C8">
        <w:rPr>
          <w:b/>
          <w:bCs/>
          <w:sz w:val="24"/>
          <w:szCs w:val="24"/>
        </w:rPr>
        <w:t xml:space="preserve"> </w:t>
      </w:r>
      <w:r w:rsidRPr="00AD1EA6">
        <w:rPr>
          <w:b/>
          <w:bCs/>
          <w:sz w:val="24"/>
          <w:szCs w:val="24"/>
        </w:rPr>
        <w:t>“</w:t>
      </w:r>
      <w:r w:rsidR="005C19C8">
        <w:rPr>
          <w:b/>
          <w:bCs/>
          <w:sz w:val="24"/>
          <w:szCs w:val="24"/>
        </w:rPr>
        <w:t>assistance with activities of daily living</w:t>
      </w:r>
      <w:r w:rsidRPr="00AD1EA6">
        <w:rPr>
          <w:b/>
          <w:bCs/>
          <w:sz w:val="24"/>
          <w:szCs w:val="24"/>
        </w:rPr>
        <w:t>”</w:t>
      </w:r>
      <w:r w:rsidR="00C62DE7">
        <w:rPr>
          <w:b/>
          <w:bCs/>
          <w:sz w:val="24"/>
          <w:szCs w:val="24"/>
        </w:rPr>
        <w:t>-</w:t>
      </w:r>
      <w:r w:rsidRPr="00AD1EA6">
        <w:rPr>
          <w:b/>
          <w:bCs/>
          <w:sz w:val="24"/>
          <w:szCs w:val="24"/>
        </w:rPr>
        <w:t>related expenses</w:t>
      </w:r>
      <w:r w:rsidR="004816D2">
        <w:rPr>
          <w:b/>
          <w:bCs/>
          <w:sz w:val="24"/>
          <w:szCs w:val="24"/>
        </w:rPr>
        <w:t xml:space="preserve"> offered by SCO and PACE: </w:t>
      </w:r>
      <w:r w:rsidR="004816D2" w:rsidRPr="004816D2">
        <w:rPr>
          <w:sz w:val="24"/>
          <w:szCs w:val="24"/>
        </w:rPr>
        <w:t>W</w:t>
      </w:r>
      <w:r w:rsidR="00764452" w:rsidRPr="004816D2">
        <w:rPr>
          <w:sz w:val="24"/>
          <w:szCs w:val="24"/>
        </w:rPr>
        <w:t>h</w:t>
      </w:r>
      <w:r w:rsidR="00764452" w:rsidRPr="00764452">
        <w:rPr>
          <w:sz w:val="24"/>
          <w:szCs w:val="24"/>
        </w:rPr>
        <w:t>ile it is acknowledged that the SCO and PACE integrated care models do provide ADL supports</w:t>
      </w:r>
      <w:r w:rsidR="0040010B">
        <w:rPr>
          <w:sz w:val="24"/>
          <w:szCs w:val="24"/>
        </w:rPr>
        <w:t xml:space="preserve"> to a </w:t>
      </w:r>
      <w:r w:rsidR="00AF3A57">
        <w:rPr>
          <w:sz w:val="24"/>
          <w:szCs w:val="24"/>
        </w:rPr>
        <w:t>most limited number of MassHealth ALR Residents</w:t>
      </w:r>
      <w:r w:rsidR="00764452" w:rsidRPr="00764452">
        <w:rPr>
          <w:sz w:val="24"/>
          <w:szCs w:val="24"/>
        </w:rPr>
        <w:t xml:space="preserve">, </w:t>
      </w:r>
      <w:r w:rsidR="00764452" w:rsidRPr="00E43142">
        <w:rPr>
          <w:b/>
          <w:bCs/>
          <w:sz w:val="24"/>
          <w:szCs w:val="24"/>
        </w:rPr>
        <w:t xml:space="preserve">it is essential to understand that they do so </w:t>
      </w:r>
      <w:r w:rsidR="00E43142" w:rsidRPr="00E43142">
        <w:rPr>
          <w:b/>
          <w:bCs/>
          <w:sz w:val="24"/>
          <w:szCs w:val="24"/>
        </w:rPr>
        <w:t xml:space="preserve">only </w:t>
      </w:r>
      <w:r w:rsidR="00764452" w:rsidRPr="00E43142">
        <w:rPr>
          <w:b/>
          <w:bCs/>
          <w:sz w:val="24"/>
          <w:szCs w:val="24"/>
        </w:rPr>
        <w:t>with the active GAFC service definition and regulated service rate as anchor</w:t>
      </w:r>
      <w:r w:rsidR="003C2662">
        <w:rPr>
          <w:b/>
          <w:bCs/>
          <w:sz w:val="24"/>
          <w:szCs w:val="24"/>
        </w:rPr>
        <w:t xml:space="preserve"> to </w:t>
      </w:r>
      <w:r w:rsidR="00764452" w:rsidRPr="00E43142">
        <w:rPr>
          <w:b/>
          <w:bCs/>
          <w:sz w:val="24"/>
          <w:szCs w:val="24"/>
        </w:rPr>
        <w:t>their offering</w:t>
      </w:r>
      <w:r w:rsidR="00885A0A">
        <w:rPr>
          <w:rStyle w:val="FootnoteReference"/>
          <w:b/>
          <w:bCs/>
          <w:sz w:val="24"/>
          <w:szCs w:val="24"/>
        </w:rPr>
        <w:footnoteReference w:id="5"/>
      </w:r>
      <w:r w:rsidR="00764452" w:rsidRPr="00764452">
        <w:rPr>
          <w:sz w:val="24"/>
          <w:szCs w:val="24"/>
        </w:rPr>
        <w:t>. Variation from the state regulated rate is constrained by the process by which SCO monthly capitation rates are established.</w:t>
      </w:r>
      <w:r w:rsidR="006F4B8B">
        <w:rPr>
          <w:sz w:val="24"/>
          <w:szCs w:val="24"/>
        </w:rPr>
        <w:t xml:space="preserve"> Neither SCO nor PACE plans can be expected to fill the void of affordable assisted living services without MassHealth taking </w:t>
      </w:r>
      <w:r w:rsidR="00227784">
        <w:rPr>
          <w:sz w:val="24"/>
          <w:szCs w:val="24"/>
        </w:rPr>
        <w:t>major</w:t>
      </w:r>
      <w:r w:rsidR="006F4B8B">
        <w:rPr>
          <w:sz w:val="24"/>
          <w:szCs w:val="24"/>
        </w:rPr>
        <w:t xml:space="preserve"> policy </w:t>
      </w:r>
      <w:r w:rsidR="00227784">
        <w:rPr>
          <w:sz w:val="24"/>
          <w:szCs w:val="24"/>
        </w:rPr>
        <w:t>steps</w:t>
      </w:r>
      <w:r w:rsidR="006F4B8B">
        <w:rPr>
          <w:sz w:val="24"/>
          <w:szCs w:val="24"/>
        </w:rPr>
        <w:t xml:space="preserve"> to either </w:t>
      </w:r>
      <w:r w:rsidR="00354A30">
        <w:rPr>
          <w:sz w:val="24"/>
          <w:szCs w:val="24"/>
        </w:rPr>
        <w:t xml:space="preserve">overhaul the GAFC rate </w:t>
      </w:r>
      <w:r w:rsidR="00FC0FE6">
        <w:rPr>
          <w:sz w:val="24"/>
          <w:szCs w:val="24"/>
        </w:rPr>
        <w:t>schedule or</w:t>
      </w:r>
      <w:r w:rsidR="00354A30">
        <w:rPr>
          <w:sz w:val="24"/>
          <w:szCs w:val="24"/>
        </w:rPr>
        <w:t xml:space="preserve"> </w:t>
      </w:r>
      <w:proofErr w:type="gramStart"/>
      <w:r w:rsidR="00354A30">
        <w:rPr>
          <w:sz w:val="24"/>
          <w:szCs w:val="24"/>
        </w:rPr>
        <w:t>creating</w:t>
      </w:r>
      <w:proofErr w:type="gramEnd"/>
      <w:r w:rsidR="00354A30">
        <w:rPr>
          <w:sz w:val="24"/>
          <w:szCs w:val="24"/>
        </w:rPr>
        <w:t xml:space="preserve"> an alternate service to replace GAFC.</w:t>
      </w:r>
      <w:r w:rsidR="00093E08">
        <w:rPr>
          <w:sz w:val="24"/>
          <w:szCs w:val="24"/>
        </w:rPr>
        <w:t xml:space="preserve"> </w:t>
      </w:r>
    </w:p>
    <w:p w14:paraId="493F5164" w14:textId="1D22329C" w:rsidR="00151062" w:rsidRDefault="00151062">
      <w:pPr>
        <w:rPr>
          <w:sz w:val="24"/>
          <w:szCs w:val="24"/>
        </w:rPr>
      </w:pPr>
      <w:r>
        <w:rPr>
          <w:sz w:val="24"/>
          <w:szCs w:val="24"/>
        </w:rPr>
        <w:br w:type="page"/>
      </w:r>
    </w:p>
    <w:p w14:paraId="43FC56E0" w14:textId="77777777" w:rsidR="00151062" w:rsidRDefault="00151062" w:rsidP="00FA45A2">
      <w:pPr>
        <w:rPr>
          <w:sz w:val="24"/>
          <w:szCs w:val="24"/>
        </w:rPr>
      </w:pPr>
    </w:p>
    <w:p w14:paraId="35B06E83" w14:textId="46DB65ED" w:rsidR="00CF609B" w:rsidRPr="00CF609B" w:rsidRDefault="00354A30" w:rsidP="00CF609B">
      <w:pPr>
        <w:rPr>
          <w:sz w:val="24"/>
          <w:szCs w:val="24"/>
        </w:rPr>
      </w:pPr>
      <w:r w:rsidRPr="002B4985">
        <w:rPr>
          <w:b/>
          <w:bCs/>
          <w:sz w:val="24"/>
          <w:szCs w:val="24"/>
        </w:rPr>
        <w:t>Regarding</w:t>
      </w:r>
      <w:r w:rsidR="00083D86">
        <w:rPr>
          <w:b/>
          <w:bCs/>
          <w:sz w:val="24"/>
          <w:szCs w:val="24"/>
        </w:rPr>
        <w:t xml:space="preserve"> </w:t>
      </w:r>
      <w:r w:rsidR="00FC0FE6">
        <w:rPr>
          <w:b/>
          <w:bCs/>
          <w:sz w:val="24"/>
          <w:szCs w:val="24"/>
        </w:rPr>
        <w:t>s</w:t>
      </w:r>
      <w:r w:rsidRPr="002B4985">
        <w:rPr>
          <w:b/>
          <w:bCs/>
          <w:sz w:val="24"/>
          <w:szCs w:val="24"/>
        </w:rPr>
        <w:t xml:space="preserve">tate </w:t>
      </w:r>
      <w:r w:rsidR="00FC0FE6">
        <w:rPr>
          <w:b/>
          <w:bCs/>
          <w:sz w:val="24"/>
          <w:szCs w:val="24"/>
        </w:rPr>
        <w:t>b</w:t>
      </w:r>
      <w:r w:rsidRPr="002B4985">
        <w:rPr>
          <w:b/>
          <w:bCs/>
          <w:sz w:val="24"/>
          <w:szCs w:val="24"/>
        </w:rPr>
        <w:t xml:space="preserve">udget </w:t>
      </w:r>
      <w:r w:rsidR="00FC0FE6">
        <w:rPr>
          <w:b/>
          <w:bCs/>
          <w:sz w:val="24"/>
          <w:szCs w:val="24"/>
        </w:rPr>
        <w:t>n</w:t>
      </w:r>
      <w:r w:rsidRPr="002B4985">
        <w:rPr>
          <w:b/>
          <w:bCs/>
          <w:sz w:val="24"/>
          <w:szCs w:val="24"/>
        </w:rPr>
        <w:t xml:space="preserve">eutrality </w:t>
      </w:r>
      <w:r w:rsidR="002B4985" w:rsidRPr="002B4985">
        <w:rPr>
          <w:b/>
          <w:bCs/>
          <w:sz w:val="24"/>
          <w:szCs w:val="24"/>
        </w:rPr>
        <w:t xml:space="preserve">to </w:t>
      </w:r>
      <w:r w:rsidR="00FC0FE6">
        <w:rPr>
          <w:b/>
          <w:bCs/>
          <w:sz w:val="24"/>
          <w:szCs w:val="24"/>
        </w:rPr>
        <w:t>e</w:t>
      </w:r>
      <w:r w:rsidR="002B4985" w:rsidRPr="002B4985">
        <w:rPr>
          <w:b/>
          <w:bCs/>
          <w:sz w:val="24"/>
          <w:szCs w:val="24"/>
        </w:rPr>
        <w:t xml:space="preserve">ffective </w:t>
      </w:r>
      <w:r w:rsidR="00FC0FE6">
        <w:rPr>
          <w:b/>
          <w:bCs/>
          <w:sz w:val="24"/>
          <w:szCs w:val="24"/>
        </w:rPr>
        <w:t>a</w:t>
      </w:r>
      <w:r w:rsidR="002B4985" w:rsidRPr="002B4985">
        <w:rPr>
          <w:b/>
          <w:bCs/>
          <w:sz w:val="24"/>
          <w:szCs w:val="24"/>
        </w:rPr>
        <w:t xml:space="preserve">ffordable </w:t>
      </w:r>
      <w:r w:rsidR="00FC0FE6">
        <w:rPr>
          <w:b/>
          <w:bCs/>
          <w:sz w:val="24"/>
          <w:szCs w:val="24"/>
        </w:rPr>
        <w:t>a</w:t>
      </w:r>
      <w:r w:rsidR="002B4985" w:rsidRPr="002B4985">
        <w:rPr>
          <w:b/>
          <w:bCs/>
          <w:sz w:val="24"/>
          <w:szCs w:val="24"/>
        </w:rPr>
        <w:t xml:space="preserve">ssisted </w:t>
      </w:r>
      <w:r w:rsidR="00FC0FE6">
        <w:rPr>
          <w:b/>
          <w:bCs/>
          <w:sz w:val="24"/>
          <w:szCs w:val="24"/>
        </w:rPr>
        <w:t>l</w:t>
      </w:r>
      <w:r w:rsidR="002B4985" w:rsidRPr="002B4985">
        <w:rPr>
          <w:b/>
          <w:bCs/>
          <w:sz w:val="24"/>
          <w:szCs w:val="24"/>
        </w:rPr>
        <w:t>iving</w:t>
      </w:r>
      <w:r w:rsidR="00083D86">
        <w:rPr>
          <w:b/>
          <w:bCs/>
          <w:sz w:val="24"/>
          <w:szCs w:val="24"/>
        </w:rPr>
        <w:t xml:space="preserve">, and the concerning level of relative underpayment for </w:t>
      </w:r>
      <w:r w:rsidR="00DE0044">
        <w:rPr>
          <w:b/>
          <w:bCs/>
          <w:sz w:val="24"/>
          <w:szCs w:val="24"/>
        </w:rPr>
        <w:t>MassHealth GAFC members</w:t>
      </w:r>
      <w:r w:rsidR="002B4985">
        <w:rPr>
          <w:sz w:val="24"/>
          <w:szCs w:val="24"/>
        </w:rPr>
        <w:t xml:space="preserve">: </w:t>
      </w:r>
      <w:r w:rsidR="00CF609B" w:rsidRPr="00CF609B">
        <w:rPr>
          <w:sz w:val="24"/>
          <w:szCs w:val="24"/>
        </w:rPr>
        <w:t xml:space="preserve">Using an average service month term of 30.4 days, it is noted that for the scenario of a MassHealth member residing in an ALR who is receiving GAFC and enrolled in SSI-G income assistance, the proposition to the ALR Provider is related monthly room and board costs are being subsidized in the amount of $1,348.20 ($1,421.00 – personal needs allowance of $72.80);  and ADL Assistance costs are subsidized in the amount of $1,520.00. </w:t>
      </w:r>
    </w:p>
    <w:p w14:paraId="4C8C5E06" w14:textId="455E8085" w:rsidR="00CF609B" w:rsidRPr="00C164CC" w:rsidRDefault="00C164CC" w:rsidP="00CF609B">
      <w:pPr>
        <w:rPr>
          <w:b/>
          <w:bCs/>
          <w:color w:val="4F81BD" w:themeColor="accent1"/>
          <w:sz w:val="24"/>
          <w:szCs w:val="24"/>
        </w:rPr>
      </w:pPr>
      <w:r>
        <w:rPr>
          <w:b/>
          <w:bCs/>
          <w:color w:val="4F81BD" w:themeColor="accent1"/>
          <w:sz w:val="24"/>
          <w:szCs w:val="24"/>
        </w:rPr>
        <w:t xml:space="preserve">FOR </w:t>
      </w:r>
      <w:r w:rsidR="00656C75">
        <w:rPr>
          <w:b/>
          <w:bCs/>
          <w:color w:val="4F81BD" w:themeColor="accent1"/>
          <w:sz w:val="24"/>
          <w:szCs w:val="24"/>
        </w:rPr>
        <w:t xml:space="preserve">A </w:t>
      </w:r>
      <w:r>
        <w:rPr>
          <w:b/>
          <w:bCs/>
          <w:color w:val="4F81BD" w:themeColor="accent1"/>
          <w:sz w:val="24"/>
          <w:szCs w:val="24"/>
        </w:rPr>
        <w:t xml:space="preserve">MASSHEALTH GAFC ALR RESIDENT, THE </w:t>
      </w:r>
      <w:r w:rsidR="00CF609B" w:rsidRPr="00C164CC">
        <w:rPr>
          <w:b/>
          <w:bCs/>
          <w:color w:val="4F81BD" w:themeColor="accent1"/>
          <w:sz w:val="24"/>
          <w:szCs w:val="24"/>
        </w:rPr>
        <w:t xml:space="preserve">TOTAL </w:t>
      </w:r>
      <w:r>
        <w:rPr>
          <w:b/>
          <w:bCs/>
          <w:color w:val="4F81BD" w:themeColor="accent1"/>
          <w:sz w:val="24"/>
          <w:szCs w:val="24"/>
        </w:rPr>
        <w:t xml:space="preserve">CURRENT </w:t>
      </w:r>
      <w:r w:rsidR="00CF609B" w:rsidRPr="00C164CC">
        <w:rPr>
          <w:b/>
          <w:bCs/>
          <w:color w:val="4F81BD" w:themeColor="accent1"/>
          <w:sz w:val="24"/>
          <w:szCs w:val="24"/>
        </w:rPr>
        <w:t xml:space="preserve">MONTHLY SUBSIDY </w:t>
      </w:r>
      <w:r w:rsidR="009921AD">
        <w:rPr>
          <w:b/>
          <w:bCs/>
          <w:color w:val="4F81BD" w:themeColor="accent1"/>
          <w:sz w:val="24"/>
          <w:szCs w:val="24"/>
        </w:rPr>
        <w:t>is</w:t>
      </w:r>
      <w:r w:rsidR="00CF609B" w:rsidRPr="00C164CC">
        <w:rPr>
          <w:b/>
          <w:bCs/>
          <w:color w:val="4F81BD" w:themeColor="accent1"/>
          <w:sz w:val="24"/>
          <w:szCs w:val="24"/>
        </w:rPr>
        <w:t xml:space="preserve"> $2,868.20, EXPRESSED IN DAILY TERMS AS $94.35.</w:t>
      </w:r>
    </w:p>
    <w:p w14:paraId="55ACB08F" w14:textId="4EC08D2D" w:rsidR="00CF609B" w:rsidRPr="00CF609B" w:rsidRDefault="00CF609B" w:rsidP="00CF609B">
      <w:pPr>
        <w:rPr>
          <w:sz w:val="24"/>
          <w:szCs w:val="24"/>
        </w:rPr>
      </w:pPr>
      <w:r w:rsidRPr="009921AD">
        <w:rPr>
          <w:b/>
          <w:bCs/>
          <w:sz w:val="24"/>
          <w:szCs w:val="24"/>
        </w:rPr>
        <w:t>The suggested public policy issue for the ALR Commission to now struggle with is, as the Commonwealth is presently a payer in support of these Affordable Assisted Living Residence placements</w:t>
      </w:r>
      <w:r w:rsidR="007B450E">
        <w:rPr>
          <w:b/>
          <w:bCs/>
          <w:sz w:val="24"/>
          <w:szCs w:val="24"/>
        </w:rPr>
        <w:t xml:space="preserve"> facilitated by GAFC</w:t>
      </w:r>
      <w:r w:rsidRPr="009921AD">
        <w:rPr>
          <w:b/>
          <w:bCs/>
          <w:sz w:val="24"/>
          <w:szCs w:val="24"/>
        </w:rPr>
        <w:t>, what is the safety and quality expectation t</w:t>
      </w:r>
      <w:r w:rsidR="004110D5">
        <w:rPr>
          <w:b/>
          <w:bCs/>
          <w:sz w:val="24"/>
          <w:szCs w:val="24"/>
        </w:rPr>
        <w:t>o be</w:t>
      </w:r>
      <w:r w:rsidRPr="009921AD">
        <w:rPr>
          <w:b/>
          <w:bCs/>
          <w:sz w:val="24"/>
          <w:szCs w:val="24"/>
        </w:rPr>
        <w:t xml:space="preserve"> reasonabl</w:t>
      </w:r>
      <w:r w:rsidR="004110D5">
        <w:rPr>
          <w:b/>
          <w:bCs/>
          <w:sz w:val="24"/>
          <w:szCs w:val="24"/>
        </w:rPr>
        <w:t>y</w:t>
      </w:r>
      <w:r w:rsidRPr="009921AD">
        <w:rPr>
          <w:b/>
          <w:bCs/>
          <w:sz w:val="24"/>
          <w:szCs w:val="24"/>
        </w:rPr>
        <w:t xml:space="preserve"> to associate</w:t>
      </w:r>
      <w:r w:rsidR="004110D5">
        <w:rPr>
          <w:b/>
          <w:bCs/>
          <w:sz w:val="24"/>
          <w:szCs w:val="24"/>
        </w:rPr>
        <w:t>d</w:t>
      </w:r>
      <w:r w:rsidRPr="009921AD">
        <w:rPr>
          <w:b/>
          <w:bCs/>
          <w:sz w:val="24"/>
          <w:szCs w:val="24"/>
        </w:rPr>
        <w:t xml:space="preserve"> to average monthly support of $2,868</w:t>
      </w:r>
      <w:r w:rsidR="002B6020">
        <w:rPr>
          <w:b/>
          <w:bCs/>
          <w:sz w:val="24"/>
          <w:szCs w:val="24"/>
        </w:rPr>
        <w:t>.20</w:t>
      </w:r>
      <w:r w:rsidR="007A634E">
        <w:rPr>
          <w:b/>
          <w:bCs/>
          <w:sz w:val="24"/>
          <w:szCs w:val="24"/>
        </w:rPr>
        <w:t>?</w:t>
      </w:r>
      <w:r w:rsidRPr="00CF609B">
        <w:rPr>
          <w:sz w:val="24"/>
          <w:szCs w:val="24"/>
        </w:rPr>
        <w:t xml:space="preserve"> The Fall River tragedy places a priority on the ALR Commission now determining whether chronic under-funding of MassHealth members in an ALR setting contributed to an “Affordable ALR” environment with compromised safety and quality conditions.</w:t>
      </w:r>
    </w:p>
    <w:p w14:paraId="25FC0F13" w14:textId="3C7259D7" w:rsidR="00CF609B" w:rsidRPr="00CF609B" w:rsidRDefault="00CF609B" w:rsidP="00CF609B">
      <w:pPr>
        <w:rPr>
          <w:sz w:val="24"/>
          <w:szCs w:val="24"/>
        </w:rPr>
      </w:pPr>
      <w:r w:rsidRPr="00CF609B">
        <w:rPr>
          <w:sz w:val="24"/>
          <w:szCs w:val="24"/>
        </w:rPr>
        <w:t>To</w:t>
      </w:r>
      <w:r w:rsidR="009C22D8">
        <w:rPr>
          <w:sz w:val="24"/>
          <w:szCs w:val="24"/>
        </w:rPr>
        <w:t xml:space="preserve"> further</w:t>
      </w:r>
      <w:r w:rsidRPr="00CF609B">
        <w:rPr>
          <w:sz w:val="24"/>
          <w:szCs w:val="24"/>
        </w:rPr>
        <w:t xml:space="preserve"> place the $2,868 monthly subsidy in context, per pg. 13 of the 6/4 ALR meeting presentation deck, the estimated 2023 Massachusetts “standard tier” Assisted Living Total Monthly Cost ranged from $6,675 - $9,920. </w:t>
      </w:r>
    </w:p>
    <w:p w14:paraId="51DB13FC" w14:textId="41B44D3D" w:rsidR="00CF609B" w:rsidRPr="00CF609B" w:rsidRDefault="00CF609B" w:rsidP="00CF609B">
      <w:pPr>
        <w:rPr>
          <w:sz w:val="24"/>
          <w:szCs w:val="24"/>
        </w:rPr>
      </w:pPr>
      <w:r w:rsidRPr="00CF609B">
        <w:rPr>
          <w:sz w:val="24"/>
          <w:szCs w:val="24"/>
        </w:rPr>
        <w:t>As additional reflection point of the $2,868 current Affordable ALR monthly subsidy, MassHealth Eligibility Operations Memo 24-07 issued in November 2024 established that the average cost to a person privately paying nursing facility services is $441</w:t>
      </w:r>
      <w:r w:rsidR="00A10211">
        <w:rPr>
          <w:sz w:val="24"/>
          <w:szCs w:val="24"/>
        </w:rPr>
        <w:t xml:space="preserve"> </w:t>
      </w:r>
      <w:r w:rsidRPr="00CF609B">
        <w:rPr>
          <w:sz w:val="24"/>
          <w:szCs w:val="24"/>
        </w:rPr>
        <w:t xml:space="preserve">per day; the suggested monthly equivalent of $13,306. </w:t>
      </w:r>
    </w:p>
    <w:p w14:paraId="50CACE7D" w14:textId="5B16729D" w:rsidR="00467B9A" w:rsidRDefault="00CF609B" w:rsidP="00CF609B">
      <w:pPr>
        <w:rPr>
          <w:sz w:val="24"/>
          <w:szCs w:val="24"/>
        </w:rPr>
      </w:pPr>
      <w:r w:rsidRPr="00151062">
        <w:rPr>
          <w:sz w:val="24"/>
          <w:szCs w:val="24"/>
        </w:rPr>
        <w:t xml:space="preserve">As a final additional reflection point of the $2,868 current Affordable ALR monthly subsidy, it is noted that </w:t>
      </w:r>
      <w:r w:rsidRPr="00255BD4">
        <w:rPr>
          <w:b/>
          <w:bCs/>
          <w:sz w:val="24"/>
          <w:szCs w:val="24"/>
        </w:rPr>
        <w:t>for a MassHealth SCO member residing in a nursing home with care complexity comparable to individuals being served in the Frail Elder Waiver</w:t>
      </w:r>
      <w:r w:rsidRPr="00151062">
        <w:rPr>
          <w:sz w:val="24"/>
          <w:szCs w:val="24"/>
        </w:rPr>
        <w:t xml:space="preserve"> (“Institutional-Tier 2”), the monthly capitation payment that MassHealth is now issuing to the SCO is </w:t>
      </w:r>
      <w:r w:rsidRPr="00321C37">
        <w:rPr>
          <w:b/>
          <w:bCs/>
          <w:sz w:val="24"/>
          <w:szCs w:val="24"/>
        </w:rPr>
        <w:t>$8,790.48</w:t>
      </w:r>
      <w:r w:rsidRPr="00151062">
        <w:rPr>
          <w:sz w:val="24"/>
          <w:szCs w:val="24"/>
        </w:rPr>
        <w:t>.</w:t>
      </w:r>
    </w:p>
    <w:p w14:paraId="5C449A18" w14:textId="0300E8DB" w:rsidR="0072410C" w:rsidRDefault="00467B9A" w:rsidP="00CF609B">
      <w:pPr>
        <w:rPr>
          <w:b/>
          <w:bCs/>
          <w:sz w:val="24"/>
          <w:szCs w:val="24"/>
        </w:rPr>
      </w:pPr>
      <w:r w:rsidRPr="0055644D">
        <w:rPr>
          <w:b/>
          <w:bCs/>
          <w:color w:val="4F81BD" w:themeColor="accent1"/>
          <w:sz w:val="24"/>
          <w:szCs w:val="24"/>
        </w:rPr>
        <w:t xml:space="preserve">IT IS AFFIRMED THAT WHILE THE PROSPECT OF THE COMMONWEALTH </w:t>
      </w:r>
      <w:r w:rsidR="008011C6" w:rsidRPr="0055644D">
        <w:rPr>
          <w:b/>
          <w:bCs/>
          <w:color w:val="4F81BD" w:themeColor="accent1"/>
          <w:sz w:val="24"/>
          <w:szCs w:val="24"/>
        </w:rPr>
        <w:t xml:space="preserve">SUBSIDIZING AN ASSISTED LIVING </w:t>
      </w:r>
      <w:r w:rsidR="004A2ABC" w:rsidRPr="0055644D">
        <w:rPr>
          <w:b/>
          <w:bCs/>
          <w:color w:val="4F81BD" w:themeColor="accent1"/>
          <w:sz w:val="24"/>
          <w:szCs w:val="24"/>
        </w:rPr>
        <w:t xml:space="preserve">TENANCY IN LIEU OF NURSING HOME PLACEMENT SHOULD </w:t>
      </w:r>
      <w:r w:rsidR="00F91F11" w:rsidRPr="0055644D">
        <w:rPr>
          <w:b/>
          <w:bCs/>
          <w:color w:val="4F81BD" w:themeColor="accent1"/>
          <w:sz w:val="24"/>
          <w:szCs w:val="24"/>
        </w:rPr>
        <w:t>BE ASSOCIATED WITH A DISCOUNT IN THE COST OF CARE</w:t>
      </w:r>
      <w:r w:rsidR="009B5281">
        <w:rPr>
          <w:b/>
          <w:bCs/>
          <w:color w:val="4F81BD" w:themeColor="accent1"/>
          <w:sz w:val="24"/>
          <w:szCs w:val="24"/>
        </w:rPr>
        <w:t xml:space="preserve"> AND TENANCY SUPPORT</w:t>
      </w:r>
      <w:r w:rsidR="00F91F11" w:rsidRPr="0055644D">
        <w:rPr>
          <w:b/>
          <w:bCs/>
          <w:color w:val="4F81BD" w:themeColor="accent1"/>
          <w:sz w:val="24"/>
          <w:szCs w:val="24"/>
        </w:rPr>
        <w:t xml:space="preserve">, </w:t>
      </w:r>
      <w:r w:rsidR="00855B63" w:rsidRPr="0055644D">
        <w:rPr>
          <w:b/>
          <w:bCs/>
          <w:color w:val="4F81BD" w:themeColor="accent1"/>
          <w:sz w:val="24"/>
          <w:szCs w:val="24"/>
        </w:rPr>
        <w:t xml:space="preserve">FROM TIME TO TIME </w:t>
      </w:r>
      <w:r w:rsidR="00F91F11" w:rsidRPr="0055644D">
        <w:rPr>
          <w:b/>
          <w:bCs/>
          <w:color w:val="4F81BD" w:themeColor="accent1"/>
          <w:sz w:val="24"/>
          <w:szCs w:val="24"/>
        </w:rPr>
        <w:t>A REASONABLENESS TEST MUST BE</w:t>
      </w:r>
      <w:r w:rsidR="00855B63" w:rsidRPr="0055644D">
        <w:rPr>
          <w:b/>
          <w:bCs/>
          <w:color w:val="4F81BD" w:themeColor="accent1"/>
          <w:sz w:val="24"/>
          <w:szCs w:val="24"/>
        </w:rPr>
        <w:t xml:space="preserve"> APPLIED TO THE ACTIVE LEVEL OF DISCOUNT FOR THE PURPOSE OF ALIGNING </w:t>
      </w:r>
      <w:r w:rsidR="00A10211" w:rsidRPr="0055644D">
        <w:rPr>
          <w:b/>
          <w:bCs/>
          <w:color w:val="4F81BD" w:themeColor="accent1"/>
          <w:sz w:val="24"/>
          <w:szCs w:val="24"/>
        </w:rPr>
        <w:t xml:space="preserve">SERVICE QUALITY EXPECTATIONS. </w:t>
      </w:r>
      <w:r w:rsidR="00F91F11" w:rsidRPr="0055644D">
        <w:rPr>
          <w:b/>
          <w:bCs/>
          <w:color w:val="4F81BD" w:themeColor="accent1"/>
          <w:sz w:val="24"/>
          <w:szCs w:val="24"/>
        </w:rPr>
        <w:t xml:space="preserve"> </w:t>
      </w:r>
      <w:r w:rsidR="0055644D">
        <w:rPr>
          <w:b/>
          <w:bCs/>
          <w:sz w:val="24"/>
          <w:szCs w:val="24"/>
        </w:rPr>
        <w:t>The fact that</w:t>
      </w:r>
      <w:r w:rsidR="009B5281">
        <w:rPr>
          <w:b/>
          <w:bCs/>
          <w:sz w:val="24"/>
          <w:szCs w:val="24"/>
        </w:rPr>
        <w:t xml:space="preserve"> the </w:t>
      </w:r>
      <w:r w:rsidR="00C7327A">
        <w:rPr>
          <w:b/>
          <w:bCs/>
          <w:sz w:val="24"/>
          <w:szCs w:val="24"/>
        </w:rPr>
        <w:t>current proposition for subsidi</w:t>
      </w:r>
      <w:r w:rsidR="00203A83">
        <w:rPr>
          <w:b/>
          <w:bCs/>
          <w:sz w:val="24"/>
          <w:szCs w:val="24"/>
        </w:rPr>
        <w:t>zin</w:t>
      </w:r>
      <w:r w:rsidR="00C7327A">
        <w:rPr>
          <w:b/>
          <w:bCs/>
          <w:sz w:val="24"/>
          <w:szCs w:val="24"/>
        </w:rPr>
        <w:t>g an ALR Resident receiv</w:t>
      </w:r>
      <w:r w:rsidR="003B0580">
        <w:rPr>
          <w:b/>
          <w:bCs/>
          <w:sz w:val="24"/>
          <w:szCs w:val="24"/>
        </w:rPr>
        <w:t xml:space="preserve">ing GAFC services is </w:t>
      </w:r>
      <w:r w:rsidR="003F369F">
        <w:rPr>
          <w:b/>
          <w:bCs/>
          <w:sz w:val="24"/>
          <w:szCs w:val="24"/>
        </w:rPr>
        <w:t>less than 35%</w:t>
      </w:r>
      <w:r w:rsidR="00C44B35">
        <w:rPr>
          <w:b/>
          <w:bCs/>
          <w:sz w:val="24"/>
          <w:szCs w:val="24"/>
        </w:rPr>
        <w:t xml:space="preserve"> of</w:t>
      </w:r>
      <w:r w:rsidR="003F369F">
        <w:rPr>
          <w:b/>
          <w:bCs/>
          <w:sz w:val="24"/>
          <w:szCs w:val="24"/>
        </w:rPr>
        <w:t xml:space="preserve"> </w:t>
      </w:r>
      <w:r w:rsidR="00D17E75">
        <w:rPr>
          <w:b/>
          <w:bCs/>
          <w:sz w:val="24"/>
          <w:szCs w:val="24"/>
        </w:rPr>
        <w:t>either i)</w:t>
      </w:r>
      <w:r w:rsidR="003F369F">
        <w:rPr>
          <w:b/>
          <w:bCs/>
          <w:sz w:val="24"/>
          <w:szCs w:val="24"/>
        </w:rPr>
        <w:t xml:space="preserve"> </w:t>
      </w:r>
      <w:r w:rsidR="00BE23B8">
        <w:rPr>
          <w:b/>
          <w:bCs/>
          <w:sz w:val="24"/>
          <w:szCs w:val="24"/>
        </w:rPr>
        <w:t xml:space="preserve">the cost that MassHealth would pay to a SCO plan serving </w:t>
      </w:r>
      <w:r w:rsidR="00672BF5">
        <w:rPr>
          <w:b/>
          <w:bCs/>
          <w:sz w:val="24"/>
          <w:szCs w:val="24"/>
        </w:rPr>
        <w:t xml:space="preserve">an individual in a nursing home; or </w:t>
      </w:r>
      <w:r w:rsidR="00B26C20">
        <w:rPr>
          <w:b/>
          <w:bCs/>
          <w:sz w:val="24"/>
          <w:szCs w:val="24"/>
        </w:rPr>
        <w:t>ii) the average cost of a private</w:t>
      </w:r>
      <w:r w:rsidR="00882783">
        <w:rPr>
          <w:b/>
          <w:bCs/>
          <w:sz w:val="24"/>
          <w:szCs w:val="24"/>
        </w:rPr>
        <w:t xml:space="preserve">-pay ALR tenancy, should be of great concern to the ALR Commission and with suggested cause for </w:t>
      </w:r>
      <w:r w:rsidR="007F7A2C">
        <w:rPr>
          <w:b/>
          <w:bCs/>
          <w:sz w:val="24"/>
          <w:szCs w:val="24"/>
        </w:rPr>
        <w:t>a sense of alarm.</w:t>
      </w:r>
      <w:r w:rsidR="00B26C20">
        <w:rPr>
          <w:b/>
          <w:bCs/>
          <w:sz w:val="24"/>
          <w:szCs w:val="24"/>
        </w:rPr>
        <w:t xml:space="preserve"> </w:t>
      </w:r>
    </w:p>
    <w:p w14:paraId="5CDA3BFF" w14:textId="331C35B1" w:rsidR="00ED7784" w:rsidRPr="0055644D" w:rsidRDefault="00ED7784" w:rsidP="00CF609B">
      <w:pPr>
        <w:rPr>
          <w:b/>
          <w:bCs/>
          <w:sz w:val="24"/>
          <w:szCs w:val="24"/>
        </w:rPr>
      </w:pPr>
      <w:r w:rsidRPr="0055644D">
        <w:rPr>
          <w:b/>
          <w:bCs/>
          <w:sz w:val="24"/>
          <w:szCs w:val="24"/>
        </w:rPr>
        <w:br w:type="page"/>
      </w:r>
    </w:p>
    <w:p w14:paraId="6928610C" w14:textId="77777777" w:rsidR="0000794B" w:rsidRPr="0000794B" w:rsidRDefault="0000794B" w:rsidP="005B1C84">
      <w:pPr>
        <w:pStyle w:val="ListParagraph"/>
        <w:spacing w:after="0" w:line="240" w:lineRule="auto"/>
        <w:ind w:left="0"/>
        <w:contextualSpacing w:val="0"/>
        <w:rPr>
          <w:sz w:val="24"/>
          <w:szCs w:val="24"/>
        </w:rPr>
      </w:pPr>
    </w:p>
    <w:p w14:paraId="5F6685F9" w14:textId="34A79FA3" w:rsidR="009E1BF4" w:rsidRPr="0006134E" w:rsidRDefault="009E1BF4" w:rsidP="009E1BF4">
      <w:pPr>
        <w:pStyle w:val="ListParagraph"/>
        <w:spacing w:after="0" w:line="240" w:lineRule="auto"/>
        <w:contextualSpacing w:val="0"/>
        <w:jc w:val="center"/>
        <w:rPr>
          <w:i/>
          <w:iCs/>
          <w:sz w:val="24"/>
          <w:szCs w:val="24"/>
        </w:rPr>
      </w:pPr>
      <w:r w:rsidRPr="0006134E">
        <w:rPr>
          <w:i/>
          <w:iCs/>
          <w:sz w:val="24"/>
          <w:szCs w:val="24"/>
        </w:rPr>
        <w:t>Exhibit #6.</w:t>
      </w:r>
      <w:r w:rsidR="00D52C08" w:rsidRPr="0006134E">
        <w:rPr>
          <w:i/>
          <w:iCs/>
          <w:sz w:val="24"/>
          <w:szCs w:val="24"/>
        </w:rPr>
        <w:t>1</w:t>
      </w:r>
      <w:r w:rsidRPr="0006134E">
        <w:rPr>
          <w:i/>
          <w:iCs/>
          <w:sz w:val="24"/>
          <w:szCs w:val="24"/>
        </w:rPr>
        <w:t xml:space="preserve"> </w:t>
      </w:r>
    </w:p>
    <w:p w14:paraId="7B2E840F" w14:textId="77777777" w:rsidR="009E1BF4" w:rsidRDefault="009E1BF4" w:rsidP="009E1BF4">
      <w:pPr>
        <w:pStyle w:val="ListParagraph"/>
        <w:spacing w:after="0" w:line="240" w:lineRule="auto"/>
        <w:contextualSpacing w:val="0"/>
        <w:jc w:val="center"/>
        <w:rPr>
          <w:b/>
          <w:bCs/>
          <w:sz w:val="24"/>
          <w:szCs w:val="24"/>
        </w:rPr>
      </w:pPr>
    </w:p>
    <w:p w14:paraId="7481D027" w14:textId="66D01BF7" w:rsidR="00E04FAD" w:rsidRDefault="000030AF" w:rsidP="00E04FAD">
      <w:pPr>
        <w:pStyle w:val="ListParagraph"/>
        <w:spacing w:after="0" w:line="240" w:lineRule="auto"/>
        <w:contextualSpacing w:val="0"/>
        <w:jc w:val="center"/>
        <w:rPr>
          <w:b/>
          <w:bCs/>
          <w:sz w:val="24"/>
          <w:szCs w:val="24"/>
        </w:rPr>
      </w:pPr>
      <w:r w:rsidRPr="000B3A15">
        <w:rPr>
          <w:b/>
          <w:bCs/>
          <w:sz w:val="24"/>
          <w:szCs w:val="24"/>
        </w:rPr>
        <w:t>Policy Proposal Statement</w:t>
      </w:r>
      <w:r>
        <w:rPr>
          <w:b/>
          <w:bCs/>
          <w:sz w:val="24"/>
          <w:szCs w:val="24"/>
        </w:rPr>
        <w:t xml:space="preserve"> </w:t>
      </w:r>
      <w:r w:rsidR="006C4706">
        <w:rPr>
          <w:b/>
          <w:bCs/>
          <w:sz w:val="24"/>
          <w:szCs w:val="24"/>
        </w:rPr>
        <w:t>for</w:t>
      </w:r>
      <w:r w:rsidR="005D6286">
        <w:rPr>
          <w:b/>
          <w:bCs/>
          <w:sz w:val="24"/>
          <w:szCs w:val="24"/>
        </w:rPr>
        <w:t xml:space="preserve"> </w:t>
      </w:r>
      <w:r w:rsidR="00B35554">
        <w:rPr>
          <w:b/>
          <w:bCs/>
          <w:sz w:val="24"/>
          <w:szCs w:val="24"/>
        </w:rPr>
        <w:t>Prescribing</w:t>
      </w:r>
      <w:r w:rsidR="00AF2C11">
        <w:rPr>
          <w:b/>
          <w:bCs/>
          <w:sz w:val="24"/>
          <w:szCs w:val="24"/>
        </w:rPr>
        <w:t xml:space="preserve"> the Overhaul of</w:t>
      </w:r>
      <w:r w:rsidR="00AF2C11" w:rsidRPr="00E04FAD">
        <w:rPr>
          <w:b/>
          <w:bCs/>
          <w:sz w:val="24"/>
          <w:szCs w:val="24"/>
        </w:rPr>
        <w:t xml:space="preserve"> the</w:t>
      </w:r>
    </w:p>
    <w:p w14:paraId="1574BD0A" w14:textId="77777777" w:rsidR="003F365F" w:rsidRDefault="00AF2C11" w:rsidP="00E04FAD">
      <w:pPr>
        <w:pStyle w:val="ListParagraph"/>
        <w:spacing w:after="0" w:line="240" w:lineRule="auto"/>
        <w:contextualSpacing w:val="0"/>
        <w:jc w:val="center"/>
        <w:rPr>
          <w:b/>
          <w:bCs/>
          <w:sz w:val="24"/>
          <w:szCs w:val="24"/>
        </w:rPr>
      </w:pPr>
      <w:r w:rsidRPr="00E04FAD">
        <w:rPr>
          <w:b/>
          <w:bCs/>
          <w:sz w:val="24"/>
          <w:szCs w:val="24"/>
        </w:rPr>
        <w:t xml:space="preserve"> MassHealth </w:t>
      </w:r>
      <w:r>
        <w:rPr>
          <w:b/>
          <w:bCs/>
          <w:sz w:val="24"/>
          <w:szCs w:val="24"/>
        </w:rPr>
        <w:t xml:space="preserve">Affordable Assisted </w:t>
      </w:r>
      <w:r w:rsidR="00E00BF4">
        <w:rPr>
          <w:b/>
          <w:bCs/>
          <w:sz w:val="24"/>
          <w:szCs w:val="24"/>
        </w:rPr>
        <w:t>Living Service Offering</w:t>
      </w:r>
    </w:p>
    <w:p w14:paraId="3EF5B1FA" w14:textId="40E47585" w:rsidR="0033590A" w:rsidRPr="00E04FAD" w:rsidRDefault="00E00BF4" w:rsidP="00E04FAD">
      <w:pPr>
        <w:pStyle w:val="ListParagraph"/>
        <w:spacing w:after="0" w:line="240" w:lineRule="auto"/>
        <w:contextualSpacing w:val="0"/>
        <w:jc w:val="center"/>
        <w:rPr>
          <w:b/>
          <w:bCs/>
          <w:sz w:val="24"/>
          <w:szCs w:val="24"/>
        </w:rPr>
      </w:pPr>
      <w:r>
        <w:rPr>
          <w:b/>
          <w:bCs/>
          <w:sz w:val="24"/>
          <w:szCs w:val="24"/>
        </w:rPr>
        <w:t xml:space="preserve"> to a Standard</w:t>
      </w:r>
      <w:r w:rsidR="00795DE4">
        <w:rPr>
          <w:b/>
          <w:bCs/>
          <w:sz w:val="24"/>
          <w:szCs w:val="24"/>
        </w:rPr>
        <w:t xml:space="preserve"> </w:t>
      </w:r>
      <w:r w:rsidR="00E04FAD">
        <w:rPr>
          <w:b/>
          <w:bCs/>
          <w:sz w:val="24"/>
          <w:szCs w:val="24"/>
        </w:rPr>
        <w:t xml:space="preserve">Better </w:t>
      </w:r>
      <w:r w:rsidR="00632C92">
        <w:rPr>
          <w:b/>
          <w:bCs/>
          <w:sz w:val="24"/>
          <w:szCs w:val="24"/>
        </w:rPr>
        <w:t xml:space="preserve">Representative of </w:t>
      </w:r>
      <w:r w:rsidR="005D6286" w:rsidRPr="00E04FAD">
        <w:rPr>
          <w:b/>
          <w:bCs/>
          <w:sz w:val="24"/>
          <w:szCs w:val="24"/>
        </w:rPr>
        <w:t>Best Practices in Other States</w:t>
      </w:r>
      <w:r w:rsidR="00362348" w:rsidRPr="00E04FAD">
        <w:rPr>
          <w:b/>
          <w:bCs/>
          <w:sz w:val="24"/>
          <w:szCs w:val="24"/>
        </w:rPr>
        <w:t xml:space="preserve"> </w:t>
      </w:r>
    </w:p>
    <w:p w14:paraId="0AA95869" w14:textId="21EE1FEA" w:rsidR="000030AF" w:rsidRDefault="00AB658E" w:rsidP="000030AF">
      <w:pPr>
        <w:pStyle w:val="ListParagraph"/>
        <w:spacing w:after="0" w:line="240" w:lineRule="auto"/>
        <w:contextualSpacing w:val="0"/>
        <w:jc w:val="center"/>
        <w:rPr>
          <w:b/>
          <w:bCs/>
          <w:sz w:val="24"/>
          <w:szCs w:val="24"/>
        </w:rPr>
      </w:pPr>
      <w:r>
        <w:rPr>
          <w:b/>
          <w:bCs/>
          <w:sz w:val="24"/>
          <w:szCs w:val="24"/>
        </w:rPr>
        <w:t xml:space="preserve"> </w:t>
      </w:r>
      <w:r w:rsidR="000030AF">
        <w:rPr>
          <w:b/>
          <w:bCs/>
          <w:sz w:val="24"/>
          <w:szCs w:val="24"/>
        </w:rPr>
        <w:t xml:space="preserve"> </w:t>
      </w:r>
    </w:p>
    <w:p w14:paraId="0616EC4C" w14:textId="77777777" w:rsidR="001758D0" w:rsidRDefault="001758D0" w:rsidP="00633954">
      <w:pPr>
        <w:pStyle w:val="ListParagraph"/>
        <w:spacing w:after="0" w:line="240" w:lineRule="auto"/>
        <w:contextualSpacing w:val="0"/>
        <w:jc w:val="center"/>
        <w:rPr>
          <w:b/>
          <w:bCs/>
          <w:sz w:val="24"/>
          <w:szCs w:val="24"/>
        </w:rPr>
      </w:pPr>
    </w:p>
    <w:tbl>
      <w:tblPr>
        <w:tblStyle w:val="TableGrid"/>
        <w:tblW w:w="0" w:type="auto"/>
        <w:tblInd w:w="-5" w:type="dxa"/>
        <w:tblLook w:val="04A0" w:firstRow="1" w:lastRow="0" w:firstColumn="1" w:lastColumn="0" w:noHBand="0" w:noVBand="1"/>
      </w:tblPr>
      <w:tblGrid>
        <w:gridCol w:w="1564"/>
        <w:gridCol w:w="262"/>
        <w:gridCol w:w="8344"/>
      </w:tblGrid>
      <w:tr w:rsidR="004E7354" w14:paraId="59106471" w14:textId="77777777" w:rsidTr="00AA196A">
        <w:tc>
          <w:tcPr>
            <w:tcW w:w="1564" w:type="dxa"/>
          </w:tcPr>
          <w:p w14:paraId="77D4F154" w14:textId="77777777" w:rsidR="004E7354" w:rsidRPr="00326E1D" w:rsidRDefault="004E7354" w:rsidP="00180BA2">
            <w:pPr>
              <w:rPr>
                <w:b/>
                <w:bCs/>
              </w:rPr>
            </w:pPr>
            <w:r w:rsidRPr="00326E1D">
              <w:rPr>
                <w:b/>
                <w:bCs/>
              </w:rPr>
              <w:t>Solution</w:t>
            </w:r>
            <w:r>
              <w:rPr>
                <w:b/>
                <w:bCs/>
              </w:rPr>
              <w:t xml:space="preserve"> 5</w:t>
            </w:r>
            <w:r w:rsidRPr="00326E1D">
              <w:rPr>
                <w:b/>
                <w:bCs/>
              </w:rPr>
              <w:t>:</w:t>
            </w:r>
          </w:p>
        </w:tc>
        <w:tc>
          <w:tcPr>
            <w:tcW w:w="262" w:type="dxa"/>
          </w:tcPr>
          <w:p w14:paraId="3F3B24D8" w14:textId="77777777" w:rsidR="004E7354" w:rsidRDefault="004E7354" w:rsidP="00180BA2"/>
        </w:tc>
        <w:tc>
          <w:tcPr>
            <w:tcW w:w="8344" w:type="dxa"/>
          </w:tcPr>
          <w:p w14:paraId="5B0139B9" w14:textId="7C157508" w:rsidR="004E7354" w:rsidRDefault="00795DE4" w:rsidP="00180BA2">
            <w:r>
              <w:t xml:space="preserve">Overhauling MassHealth Affordable Assisted Living Service Offer (either GAFC, </w:t>
            </w:r>
            <w:r w:rsidR="008D3946">
              <w:t>or Replacing GAFC with a new service)</w:t>
            </w:r>
          </w:p>
        </w:tc>
      </w:tr>
      <w:tr w:rsidR="004E7354" w14:paraId="5B3ACD58" w14:textId="77777777" w:rsidTr="00AA196A">
        <w:trPr>
          <w:trHeight w:val="431"/>
        </w:trPr>
        <w:tc>
          <w:tcPr>
            <w:tcW w:w="1564" w:type="dxa"/>
          </w:tcPr>
          <w:p w14:paraId="64EA3504" w14:textId="77777777" w:rsidR="004E7354" w:rsidRPr="00326E1D" w:rsidRDefault="004E7354" w:rsidP="00180BA2">
            <w:pPr>
              <w:rPr>
                <w:b/>
                <w:bCs/>
              </w:rPr>
            </w:pPr>
            <w:r w:rsidRPr="00326E1D">
              <w:rPr>
                <w:b/>
                <w:bCs/>
              </w:rPr>
              <w:t>Domain:</w:t>
            </w:r>
          </w:p>
        </w:tc>
        <w:tc>
          <w:tcPr>
            <w:tcW w:w="262" w:type="dxa"/>
          </w:tcPr>
          <w:p w14:paraId="0800BEDC" w14:textId="77777777" w:rsidR="004E7354" w:rsidRDefault="004E7354" w:rsidP="00180BA2"/>
        </w:tc>
        <w:tc>
          <w:tcPr>
            <w:tcW w:w="8344" w:type="dxa"/>
          </w:tcPr>
          <w:p w14:paraId="1FA6C0AF" w14:textId="77777777" w:rsidR="004E7354" w:rsidRDefault="004E7354" w:rsidP="00180BA2">
            <w:r>
              <w:t>Affordability</w:t>
            </w:r>
          </w:p>
        </w:tc>
      </w:tr>
      <w:tr w:rsidR="004E7354" w14:paraId="3FC66959" w14:textId="77777777" w:rsidTr="00AA196A">
        <w:trPr>
          <w:trHeight w:val="440"/>
        </w:trPr>
        <w:tc>
          <w:tcPr>
            <w:tcW w:w="1564" w:type="dxa"/>
          </w:tcPr>
          <w:p w14:paraId="79E485A7" w14:textId="77777777" w:rsidR="004E7354" w:rsidRPr="00326E1D" w:rsidRDefault="004E7354" w:rsidP="00180BA2">
            <w:pPr>
              <w:rPr>
                <w:b/>
                <w:bCs/>
              </w:rPr>
            </w:pPr>
            <w:r w:rsidRPr="00326E1D">
              <w:rPr>
                <w:b/>
                <w:bCs/>
              </w:rPr>
              <w:t>Change Type:</w:t>
            </w:r>
          </w:p>
        </w:tc>
        <w:tc>
          <w:tcPr>
            <w:tcW w:w="262" w:type="dxa"/>
          </w:tcPr>
          <w:p w14:paraId="4EE84BF5" w14:textId="77777777" w:rsidR="004E7354" w:rsidRDefault="004E7354" w:rsidP="00180BA2"/>
        </w:tc>
        <w:tc>
          <w:tcPr>
            <w:tcW w:w="8344" w:type="dxa"/>
          </w:tcPr>
          <w:p w14:paraId="40B6CC3F" w14:textId="77777777" w:rsidR="004E7354" w:rsidRDefault="004E7354" w:rsidP="00180BA2">
            <w:r>
              <w:t>Statutory Amendment</w:t>
            </w:r>
          </w:p>
        </w:tc>
      </w:tr>
      <w:tr w:rsidR="004E7354" w14:paraId="54A3C1C6" w14:textId="77777777" w:rsidTr="00AA196A">
        <w:trPr>
          <w:trHeight w:val="440"/>
        </w:trPr>
        <w:tc>
          <w:tcPr>
            <w:tcW w:w="1564" w:type="dxa"/>
          </w:tcPr>
          <w:p w14:paraId="39C45AB7" w14:textId="77777777" w:rsidR="004E7354" w:rsidRPr="00326E1D" w:rsidRDefault="004E7354" w:rsidP="00180BA2">
            <w:pPr>
              <w:rPr>
                <w:b/>
                <w:bCs/>
              </w:rPr>
            </w:pPr>
            <w:r w:rsidRPr="00326E1D">
              <w:rPr>
                <w:b/>
                <w:bCs/>
              </w:rPr>
              <w:t>Problem Statement:</w:t>
            </w:r>
          </w:p>
        </w:tc>
        <w:tc>
          <w:tcPr>
            <w:tcW w:w="262" w:type="dxa"/>
          </w:tcPr>
          <w:p w14:paraId="3CD90116" w14:textId="77777777" w:rsidR="004E7354" w:rsidRDefault="004E7354" w:rsidP="00180BA2"/>
        </w:tc>
        <w:tc>
          <w:tcPr>
            <w:tcW w:w="8344" w:type="dxa"/>
          </w:tcPr>
          <w:p w14:paraId="6C0B8454" w14:textId="77777777" w:rsidR="004E7354" w:rsidRDefault="004E7354" w:rsidP="00180BA2">
            <w:r>
              <w:t>Consistent with the definition established in M.G.L. c. 19d § 1 , a Massachusetts Assisted Living Residence meets all of the following criteria: i) Provides room and board; ii) provides assistance with activities of daily living for three or more unrelated adult residents; and iii) collects payments or third party reimbursements from or on behalf of residents to pay for the provision of assistance with the activities of daily living, or arranges the same.</w:t>
            </w:r>
          </w:p>
          <w:p w14:paraId="10E07478" w14:textId="77777777" w:rsidR="004E7354" w:rsidRDefault="004E7354" w:rsidP="00180BA2"/>
          <w:p w14:paraId="0DE0CD14" w14:textId="77777777" w:rsidR="004E7354" w:rsidRDefault="004E7354" w:rsidP="00180BA2">
            <w:r>
              <w:t xml:space="preserve">The statutory expectation clearly defines a residential care setting intended to support individuals with long-term care needs. While it is understandable that when Assisted Living was first established as a regulated entity in the eighties, resistance from the nursing home industry resulted in a slow uptake of state Medicaid agencies leveraging the presence of Assisted Living as an alternative setting to nursing home placement. However, over time public policy has </w:t>
            </w:r>
            <w:proofErr w:type="gramStart"/>
            <w:r>
              <w:t>matured</w:t>
            </w:r>
            <w:proofErr w:type="gramEnd"/>
            <w:r>
              <w:t xml:space="preserve"> and </w:t>
            </w:r>
            <w:proofErr w:type="gramStart"/>
            <w:r>
              <w:t>the overwhelming majority of</w:t>
            </w:r>
            <w:proofErr w:type="gramEnd"/>
            <w:r>
              <w:t xml:space="preserve"> state Medicaid agencies have come to recognize the important role that Assisted Living has on the long-term care continuum of services. Most states have some form of standard offering that enables Assisted Living as a setting of choice for qualifying older individuals.</w:t>
            </w:r>
          </w:p>
          <w:p w14:paraId="04283590" w14:textId="77777777" w:rsidR="004E7354" w:rsidRDefault="004E7354" w:rsidP="00180BA2"/>
          <w:p w14:paraId="159B78C2" w14:textId="77777777" w:rsidR="004E7354" w:rsidRDefault="004E7354" w:rsidP="00180BA2">
            <w:r>
              <w:t xml:space="preserve">MassHealth is long overdue to </w:t>
            </w:r>
            <w:proofErr w:type="gramStart"/>
            <w:r>
              <w:t>offer</w:t>
            </w:r>
            <w:proofErr w:type="gramEnd"/>
            <w:r>
              <w:t xml:space="preserve"> a viable Assisted Living Service. The fact that MassHealth has not launched an effective ALR service has contributed to a profound condition of economic disparity within the Assisted Living setting which should concern any policymaker. </w:t>
            </w:r>
            <w:r w:rsidRPr="00D361EE">
              <w:t xml:space="preserve">Per the </w:t>
            </w:r>
            <w:r>
              <w:t>2023</w:t>
            </w:r>
            <w:r w:rsidRPr="00D361EE">
              <w:t xml:space="preserve"> AGE census of ALRs, and typical of prior year observations, only 10% of ALR Residents were MassHealth members. This implies 90% of ALR stays are privately funded. As contrast, per Kaiser Family Foundation routine analysis of</w:t>
            </w:r>
            <w:r>
              <w:t xml:space="preserve"> national nursing home utilization data (</w:t>
            </w:r>
            <w:r w:rsidRPr="00D361EE">
              <w:t>CASPER</w:t>
            </w:r>
            <w:r>
              <w:t>)</w:t>
            </w:r>
            <w:r w:rsidRPr="00D361EE">
              <w:t>, in 2023</w:t>
            </w:r>
            <w:r>
              <w:t xml:space="preserve"> only</w:t>
            </w:r>
            <w:r w:rsidRPr="00D361EE">
              <w:t xml:space="preserve"> 27% of Massachusetts Nursing Home Bed days were privately funded.</w:t>
            </w:r>
          </w:p>
          <w:p w14:paraId="08745ABC" w14:textId="77777777" w:rsidR="004E7354" w:rsidRDefault="004E7354" w:rsidP="00180BA2"/>
          <w:p w14:paraId="72C990DF" w14:textId="77777777" w:rsidR="004E7354" w:rsidRDefault="004E7354" w:rsidP="00180BA2">
            <w:r>
              <w:t>Massachusetts is presently enabling a type of housing (Assisted Living) that is demonstrating a clear and convincing pattern of structural economic inequality.</w:t>
            </w:r>
          </w:p>
          <w:p w14:paraId="39C7AC27" w14:textId="77777777" w:rsidR="004E7354" w:rsidRDefault="004E7354" w:rsidP="00180BA2"/>
          <w:p w14:paraId="3C2438CC" w14:textId="6D7F253B" w:rsidR="004E7354" w:rsidRDefault="004E7354" w:rsidP="00180BA2">
            <w:r>
              <w:t>Furthermore, a concern is raise</w:t>
            </w:r>
            <w:r w:rsidR="00D62403">
              <w:t>d</w:t>
            </w:r>
            <w:r>
              <w:t xml:space="preserve"> that MassHealth is in continual violation of the Olmstead “least restrictive setting” principle by not offering a meaningful residential service alternative to qualifying seniors in lieu of nursing home placement</w:t>
            </w:r>
            <w:r w:rsidRPr="008D5577">
              <w:rPr>
                <w:b/>
                <w:bCs/>
              </w:rPr>
              <w:t>. At minimum, Assisted Living should be enabled as an optional setting of care for MassHealth seniors</w:t>
            </w:r>
            <w:r w:rsidR="004A07A6">
              <w:rPr>
                <w:b/>
                <w:bCs/>
              </w:rPr>
              <w:t xml:space="preserve"> with LTSS needs</w:t>
            </w:r>
            <w:r w:rsidRPr="008D5577">
              <w:rPr>
                <w:b/>
                <w:bCs/>
              </w:rPr>
              <w:t xml:space="preserve"> for whom “housing issues” is identified as a barrier to community living.   </w:t>
            </w:r>
          </w:p>
        </w:tc>
      </w:tr>
      <w:tr w:rsidR="004E7354" w14:paraId="387CAF27" w14:textId="77777777" w:rsidTr="00AA196A">
        <w:tc>
          <w:tcPr>
            <w:tcW w:w="1564" w:type="dxa"/>
          </w:tcPr>
          <w:p w14:paraId="294DB6B4" w14:textId="77777777" w:rsidR="004E7354" w:rsidRPr="00326E1D" w:rsidRDefault="004E7354" w:rsidP="00180BA2">
            <w:pPr>
              <w:rPr>
                <w:b/>
                <w:bCs/>
              </w:rPr>
            </w:pPr>
            <w:r w:rsidRPr="00326E1D">
              <w:rPr>
                <w:b/>
                <w:bCs/>
              </w:rPr>
              <w:t>Solution Narrative:</w:t>
            </w:r>
          </w:p>
        </w:tc>
        <w:tc>
          <w:tcPr>
            <w:tcW w:w="262" w:type="dxa"/>
          </w:tcPr>
          <w:p w14:paraId="2566CED7" w14:textId="77777777" w:rsidR="004E7354" w:rsidRDefault="004E7354" w:rsidP="00180BA2"/>
        </w:tc>
        <w:tc>
          <w:tcPr>
            <w:tcW w:w="8344" w:type="dxa"/>
          </w:tcPr>
          <w:p w14:paraId="7419D177" w14:textId="77777777" w:rsidR="004E7354" w:rsidRDefault="004E7354" w:rsidP="00180BA2">
            <w:r>
              <w:t xml:space="preserve"> The proposed approach is modeled with observation of best practices in other </w:t>
            </w:r>
            <w:proofErr w:type="gramStart"/>
            <w:r>
              <w:t>states, and</w:t>
            </w:r>
            <w:proofErr w:type="gramEnd"/>
            <w:r>
              <w:t xml:space="preserve"> informed from instances where a state legislature became most prescriptive with a state Medicaid agency on the matter of installing an Assisted Living service.</w:t>
            </w:r>
          </w:p>
          <w:p w14:paraId="1D85A763" w14:textId="77777777" w:rsidR="004E7354" w:rsidRDefault="004E7354" w:rsidP="00180BA2"/>
          <w:p w14:paraId="2B733CD6" w14:textId="77777777" w:rsidR="004E7354" w:rsidRDefault="004E7354" w:rsidP="00180BA2">
            <w:r w:rsidRPr="00BA2B9F">
              <w:rPr>
                <w:b/>
                <w:bCs/>
              </w:rPr>
              <w:t>The proposed statutory amendment is additive to current proposed legislation, H.791/S.474, “An Act relative to assisted living and the frail elder waiver”.</w:t>
            </w:r>
            <w:r>
              <w:t xml:space="preserve"> A notable </w:t>
            </w:r>
            <w:r>
              <w:lastRenderedPageBreak/>
              <w:t>difference in this proposal is recognizing the concerns of several ALR Commissioners about the inadequacy of the Group Adult Foster Care service rate, this model approach establishes ALR service rate minimums.</w:t>
            </w:r>
          </w:p>
          <w:p w14:paraId="7EF1963C" w14:textId="77777777" w:rsidR="004E7354" w:rsidRDefault="004E7354" w:rsidP="00180BA2"/>
          <w:p w14:paraId="151D7A5B" w14:textId="6780FC6E" w:rsidR="004E7354" w:rsidRDefault="004E7354" w:rsidP="00180BA2">
            <w:r>
              <w:t xml:space="preserve">The proposed amendment also promotes quality by incentivizing ALRs performing as MassHealth Providers to obtain accreditation from appropriate nationally recognized accreditation bodies. The approach made is influenced by provisions that promoted quality for children’s residential foster care programs </w:t>
            </w:r>
            <w:r w:rsidR="00E41F6C">
              <w:t>embedded</w:t>
            </w:r>
            <w:r>
              <w:t xml:space="preserve"> in the Family First Prevention Services Act of 2017 (H.R. 253 of the 115</w:t>
            </w:r>
            <w:r w:rsidRPr="00437DED">
              <w:rPr>
                <w:vertAlign w:val="superscript"/>
              </w:rPr>
              <w:t>th</w:t>
            </w:r>
            <w:r>
              <w:t xml:space="preserve"> Congress).</w:t>
            </w:r>
          </w:p>
          <w:p w14:paraId="26EBA098" w14:textId="77777777" w:rsidR="004E7354" w:rsidRDefault="004E7354" w:rsidP="00180BA2">
            <w:r>
              <w:t xml:space="preserve"> </w:t>
            </w:r>
          </w:p>
        </w:tc>
      </w:tr>
      <w:tr w:rsidR="004E7354" w14:paraId="6549ADCB" w14:textId="77777777" w:rsidTr="00AA196A">
        <w:trPr>
          <w:trHeight w:val="404"/>
        </w:trPr>
        <w:tc>
          <w:tcPr>
            <w:tcW w:w="1564" w:type="dxa"/>
          </w:tcPr>
          <w:p w14:paraId="22582D08" w14:textId="77777777" w:rsidR="004E7354" w:rsidRPr="00326E1D" w:rsidRDefault="004E7354" w:rsidP="00180BA2">
            <w:pPr>
              <w:rPr>
                <w:b/>
                <w:bCs/>
              </w:rPr>
            </w:pPr>
            <w:r w:rsidRPr="00326E1D">
              <w:rPr>
                <w:b/>
                <w:bCs/>
              </w:rPr>
              <w:lastRenderedPageBreak/>
              <w:t>Insertion Description:</w:t>
            </w:r>
          </w:p>
        </w:tc>
        <w:tc>
          <w:tcPr>
            <w:tcW w:w="262" w:type="dxa"/>
          </w:tcPr>
          <w:p w14:paraId="2BC458C9" w14:textId="77777777" w:rsidR="004E7354" w:rsidRDefault="004E7354" w:rsidP="00180BA2"/>
        </w:tc>
        <w:tc>
          <w:tcPr>
            <w:tcW w:w="8344" w:type="dxa"/>
          </w:tcPr>
          <w:p w14:paraId="268ED86F" w14:textId="77777777" w:rsidR="004E7354" w:rsidRPr="00326E1D" w:rsidRDefault="004E7354" w:rsidP="00180BA2">
            <w:r>
              <w:t>Statutory amendment creating new section within M.G.L. c. 19d, tentatively titled “Section 13 ½ MassHealth Reimbursement for Assisted Living Residents Receiving Support Services From Assisted Living Residences”.</w:t>
            </w:r>
          </w:p>
          <w:p w14:paraId="5111E3C1" w14:textId="77777777" w:rsidR="004E7354" w:rsidRPr="00326E1D" w:rsidRDefault="004E7354" w:rsidP="00180BA2"/>
          <w:p w14:paraId="365B3D41" w14:textId="77777777" w:rsidR="004E7354" w:rsidRDefault="004E7354" w:rsidP="00180BA2"/>
        </w:tc>
      </w:tr>
    </w:tbl>
    <w:p w14:paraId="2BA145ED" w14:textId="77777777" w:rsidR="004E7354" w:rsidRDefault="004E7354" w:rsidP="004E7354">
      <w:pPr>
        <w:pStyle w:val="ListParagraph"/>
        <w:tabs>
          <w:tab w:val="left" w:pos="0"/>
        </w:tabs>
        <w:spacing w:after="0" w:line="240" w:lineRule="auto"/>
        <w:ind w:left="90"/>
        <w:contextualSpacing w:val="0"/>
        <w:rPr>
          <w:b/>
          <w:bCs/>
          <w:sz w:val="24"/>
          <w:szCs w:val="24"/>
        </w:rPr>
      </w:pPr>
    </w:p>
    <w:p w14:paraId="5830F240" w14:textId="77777777" w:rsidR="00633954" w:rsidRDefault="00633954" w:rsidP="00633954">
      <w:pPr>
        <w:pStyle w:val="ListParagraph"/>
        <w:spacing w:after="0" w:line="240" w:lineRule="auto"/>
        <w:contextualSpacing w:val="0"/>
        <w:rPr>
          <w:sz w:val="24"/>
          <w:szCs w:val="24"/>
        </w:rPr>
      </w:pPr>
    </w:p>
    <w:p w14:paraId="2F94C486" w14:textId="794416FA" w:rsidR="00E76304" w:rsidRDefault="00E76304">
      <w:pPr>
        <w:rPr>
          <w:sz w:val="24"/>
          <w:szCs w:val="24"/>
        </w:rPr>
      </w:pPr>
      <w:r>
        <w:rPr>
          <w:sz w:val="24"/>
          <w:szCs w:val="24"/>
        </w:rPr>
        <w:br w:type="page"/>
      </w:r>
    </w:p>
    <w:p w14:paraId="5DAF2523" w14:textId="37D6FB9C" w:rsidR="00E76304" w:rsidRPr="008049C9" w:rsidRDefault="00E76304" w:rsidP="00E76304">
      <w:pPr>
        <w:pStyle w:val="ListParagraph"/>
        <w:spacing w:after="0" w:line="240" w:lineRule="auto"/>
        <w:contextualSpacing w:val="0"/>
        <w:jc w:val="center"/>
        <w:rPr>
          <w:i/>
          <w:iCs/>
          <w:sz w:val="24"/>
          <w:szCs w:val="24"/>
        </w:rPr>
      </w:pPr>
      <w:r w:rsidRPr="008049C9">
        <w:rPr>
          <w:i/>
          <w:iCs/>
          <w:sz w:val="24"/>
          <w:szCs w:val="24"/>
        </w:rPr>
        <w:lastRenderedPageBreak/>
        <w:t>Exhibit #</w:t>
      </w:r>
      <w:r w:rsidR="0092081D" w:rsidRPr="008049C9">
        <w:rPr>
          <w:i/>
          <w:iCs/>
          <w:sz w:val="24"/>
          <w:szCs w:val="24"/>
        </w:rPr>
        <w:t>6</w:t>
      </w:r>
      <w:r w:rsidRPr="008049C9">
        <w:rPr>
          <w:i/>
          <w:iCs/>
          <w:sz w:val="24"/>
          <w:szCs w:val="24"/>
        </w:rPr>
        <w:t>.</w:t>
      </w:r>
      <w:r w:rsidR="0092081D" w:rsidRPr="008049C9">
        <w:rPr>
          <w:i/>
          <w:iCs/>
          <w:sz w:val="24"/>
          <w:szCs w:val="24"/>
        </w:rPr>
        <w:t>2</w:t>
      </w:r>
      <w:r w:rsidRPr="008049C9">
        <w:rPr>
          <w:i/>
          <w:iCs/>
          <w:sz w:val="24"/>
          <w:szCs w:val="24"/>
        </w:rPr>
        <w:t xml:space="preserve"> </w:t>
      </w:r>
    </w:p>
    <w:p w14:paraId="233090F9" w14:textId="77777777" w:rsidR="00E76304" w:rsidRDefault="00E76304" w:rsidP="00E76304">
      <w:pPr>
        <w:pStyle w:val="ListParagraph"/>
        <w:spacing w:after="0" w:line="240" w:lineRule="auto"/>
        <w:contextualSpacing w:val="0"/>
        <w:jc w:val="center"/>
        <w:rPr>
          <w:b/>
          <w:bCs/>
          <w:sz w:val="24"/>
          <w:szCs w:val="24"/>
        </w:rPr>
      </w:pPr>
    </w:p>
    <w:p w14:paraId="60EEF91C" w14:textId="512D8720" w:rsidR="001D6B50" w:rsidRPr="00E04FAD" w:rsidRDefault="00E76304" w:rsidP="001D6B50">
      <w:pPr>
        <w:pStyle w:val="ListParagraph"/>
        <w:spacing w:after="0" w:line="240" w:lineRule="auto"/>
        <w:contextualSpacing w:val="0"/>
        <w:jc w:val="center"/>
        <w:rPr>
          <w:b/>
          <w:bCs/>
          <w:sz w:val="24"/>
          <w:szCs w:val="24"/>
        </w:rPr>
      </w:pPr>
      <w:r w:rsidRPr="002650FB">
        <w:rPr>
          <w:b/>
          <w:bCs/>
          <w:sz w:val="24"/>
          <w:szCs w:val="24"/>
        </w:rPr>
        <w:t>Draft Implementation Language to</w:t>
      </w:r>
      <w:r w:rsidRPr="00422168">
        <w:rPr>
          <w:b/>
          <w:bCs/>
          <w:sz w:val="24"/>
          <w:szCs w:val="24"/>
        </w:rPr>
        <w:t xml:space="preserve"> </w:t>
      </w:r>
      <w:r w:rsidR="001D6B50">
        <w:rPr>
          <w:b/>
          <w:bCs/>
          <w:sz w:val="24"/>
          <w:szCs w:val="24"/>
        </w:rPr>
        <w:t>Prescribe the Overhaul of</w:t>
      </w:r>
      <w:r w:rsidR="001D6B50" w:rsidRPr="00E04FAD">
        <w:rPr>
          <w:b/>
          <w:bCs/>
          <w:sz w:val="24"/>
          <w:szCs w:val="24"/>
        </w:rPr>
        <w:t xml:space="preserve"> the MassHealth </w:t>
      </w:r>
      <w:r w:rsidR="001D6B50">
        <w:rPr>
          <w:b/>
          <w:bCs/>
          <w:sz w:val="24"/>
          <w:szCs w:val="24"/>
        </w:rPr>
        <w:t xml:space="preserve">Affordable Assisted Living Service Offering to a Standard Better Representative of </w:t>
      </w:r>
      <w:r w:rsidR="001D6B50" w:rsidRPr="00E04FAD">
        <w:rPr>
          <w:b/>
          <w:bCs/>
          <w:sz w:val="24"/>
          <w:szCs w:val="24"/>
        </w:rPr>
        <w:t xml:space="preserve">Best Practices in Other States </w:t>
      </w:r>
    </w:p>
    <w:p w14:paraId="4023DF73" w14:textId="77777777" w:rsidR="00E76304" w:rsidRDefault="00E76304" w:rsidP="00E76304">
      <w:pPr>
        <w:pStyle w:val="ListParagraph"/>
        <w:spacing w:after="0" w:line="240" w:lineRule="auto"/>
        <w:contextualSpacing w:val="0"/>
        <w:rPr>
          <w:sz w:val="24"/>
          <w:szCs w:val="24"/>
        </w:rPr>
      </w:pPr>
    </w:p>
    <w:tbl>
      <w:tblPr>
        <w:tblStyle w:val="TableGrid"/>
        <w:tblW w:w="0" w:type="auto"/>
        <w:tblInd w:w="-5" w:type="dxa"/>
        <w:tblLook w:val="04A0" w:firstRow="1" w:lastRow="0" w:firstColumn="1" w:lastColumn="0" w:noHBand="0" w:noVBand="1"/>
      </w:tblPr>
      <w:tblGrid>
        <w:gridCol w:w="6210"/>
        <w:gridCol w:w="270"/>
        <w:gridCol w:w="4315"/>
      </w:tblGrid>
      <w:tr w:rsidR="00E76304" w14:paraId="436E2771" w14:textId="77777777" w:rsidTr="009B5B2C">
        <w:trPr>
          <w:trHeight w:val="656"/>
        </w:trPr>
        <w:tc>
          <w:tcPr>
            <w:tcW w:w="6210" w:type="dxa"/>
          </w:tcPr>
          <w:p w14:paraId="3B400729" w14:textId="2EC93CA7" w:rsidR="00E641DC" w:rsidRPr="001D6B50" w:rsidRDefault="00E76304" w:rsidP="009B5B2C">
            <w:pPr>
              <w:pStyle w:val="ListParagraph"/>
              <w:ind w:left="0"/>
              <w:contextualSpacing w:val="0"/>
            </w:pPr>
            <w:r w:rsidRPr="001D6B50">
              <w:rPr>
                <w:b/>
                <w:bCs/>
              </w:rPr>
              <w:t>Proposed Language (New Section) for Amending the ALR statute (M.G.L. c. 19D)</w:t>
            </w:r>
          </w:p>
        </w:tc>
        <w:tc>
          <w:tcPr>
            <w:tcW w:w="270" w:type="dxa"/>
          </w:tcPr>
          <w:p w14:paraId="225F7535" w14:textId="77777777" w:rsidR="00E76304" w:rsidRPr="001D6B50" w:rsidRDefault="00E76304" w:rsidP="00180BA2">
            <w:pPr>
              <w:pStyle w:val="ListParagraph"/>
              <w:ind w:left="0"/>
              <w:contextualSpacing w:val="0"/>
            </w:pPr>
          </w:p>
        </w:tc>
        <w:tc>
          <w:tcPr>
            <w:tcW w:w="4315" w:type="dxa"/>
          </w:tcPr>
          <w:p w14:paraId="43202667" w14:textId="77777777" w:rsidR="00E76304" w:rsidRPr="001D6B50" w:rsidRDefault="00E76304" w:rsidP="00180BA2">
            <w:pPr>
              <w:pStyle w:val="ListParagraph"/>
              <w:ind w:left="0"/>
              <w:contextualSpacing w:val="0"/>
            </w:pPr>
            <w:r w:rsidRPr="001D6B50">
              <w:rPr>
                <w:b/>
                <w:bCs/>
              </w:rPr>
              <w:t>Comment</w:t>
            </w:r>
          </w:p>
        </w:tc>
      </w:tr>
      <w:tr w:rsidR="00E76304" w14:paraId="49897127" w14:textId="77777777" w:rsidTr="00180BA2">
        <w:tc>
          <w:tcPr>
            <w:tcW w:w="6210" w:type="dxa"/>
          </w:tcPr>
          <w:p w14:paraId="73EBF4B6" w14:textId="2941645C" w:rsidR="00E76304" w:rsidRPr="001D6B50" w:rsidRDefault="00E76304" w:rsidP="00180BA2">
            <w:r w:rsidRPr="001D6B50">
              <w:rPr>
                <w:b/>
                <w:bCs/>
              </w:rPr>
              <w:t xml:space="preserve">Section </w:t>
            </w:r>
            <w:r w:rsidR="001D6B50" w:rsidRPr="001D6B50">
              <w:rPr>
                <w:b/>
                <w:bCs/>
              </w:rPr>
              <w:t>13</w:t>
            </w:r>
            <w:r w:rsidRPr="00820724">
              <w:rPr>
                <w:b/>
                <w:bCs/>
                <w:sz w:val="18"/>
                <w:szCs w:val="18"/>
              </w:rPr>
              <w:t>1/2</w:t>
            </w:r>
            <w:r w:rsidRPr="001D6B50">
              <w:rPr>
                <w:b/>
                <w:bCs/>
              </w:rPr>
              <w:t xml:space="preserve">  </w:t>
            </w:r>
            <w:r w:rsidR="001D6B50" w:rsidRPr="001D6B50">
              <w:rPr>
                <w:b/>
                <w:bCs/>
              </w:rPr>
              <w:t>MassHealth Reimbursement for Assisted Living Residents Receiving Support Services From Assisted Living Residence</w:t>
            </w:r>
          </w:p>
        </w:tc>
        <w:tc>
          <w:tcPr>
            <w:tcW w:w="270" w:type="dxa"/>
          </w:tcPr>
          <w:p w14:paraId="3E17E214" w14:textId="77777777" w:rsidR="00E76304" w:rsidRPr="001D6B50" w:rsidRDefault="00E76304" w:rsidP="00180BA2">
            <w:pPr>
              <w:pStyle w:val="ListParagraph"/>
              <w:ind w:left="0"/>
              <w:contextualSpacing w:val="0"/>
            </w:pPr>
          </w:p>
        </w:tc>
        <w:tc>
          <w:tcPr>
            <w:tcW w:w="4315" w:type="dxa"/>
          </w:tcPr>
          <w:p w14:paraId="3548EBC3" w14:textId="114AC151" w:rsidR="00E76304" w:rsidRPr="001D6B50" w:rsidRDefault="008800C3" w:rsidP="00180BA2">
            <w:pPr>
              <w:pStyle w:val="ListParagraph"/>
              <w:ind w:left="0"/>
              <w:contextualSpacing w:val="0"/>
            </w:pPr>
            <w:r>
              <w:t xml:space="preserve">Section </w:t>
            </w:r>
            <w:r w:rsidR="00E76304" w:rsidRPr="001D6B50">
              <w:t>Title</w:t>
            </w:r>
          </w:p>
        </w:tc>
      </w:tr>
      <w:tr w:rsidR="00E76304" w14:paraId="588E26BF" w14:textId="77777777" w:rsidTr="00180BA2">
        <w:tc>
          <w:tcPr>
            <w:tcW w:w="6210" w:type="dxa"/>
          </w:tcPr>
          <w:p w14:paraId="7EE8B74A" w14:textId="77777777" w:rsidR="00684E62" w:rsidRDefault="00684E62" w:rsidP="00684E62"/>
          <w:p w14:paraId="38C6D2CA" w14:textId="6BEC0A43" w:rsidR="00E76304" w:rsidRPr="001D6B50" w:rsidRDefault="00684E62" w:rsidP="00180BA2">
            <w:r>
              <w:t xml:space="preserve">(a) </w:t>
            </w:r>
            <w:r w:rsidRPr="0080040F">
              <w:t xml:space="preserve">Notwithstanding the provisions of any other law or regulation to the contrary, MassHealth shall provide a residential services program that offers support services in promotion of a MassHealth member maintaining residency in an assisted living </w:t>
            </w:r>
            <w:proofErr w:type="gramStart"/>
            <w:r w:rsidRPr="0080040F">
              <w:t>residence, and</w:t>
            </w:r>
            <w:proofErr w:type="gramEnd"/>
            <w:r w:rsidRPr="0080040F">
              <w:t xml:space="preserve"> reimbursed on a per diem basis. As of the effective date of this act, such a residential service program is substantially similar to the Group Adult Foster Care service as defined in 130 CMR 408.00. Nothing in this section shall be construed as restricting MassHealth from developing an alternate residential services program for the care setting of assisted living residences that replaces the Group Adult Foster Care Program service offering.</w:t>
            </w:r>
          </w:p>
          <w:p w14:paraId="3E915F42" w14:textId="77777777" w:rsidR="00E76304" w:rsidRPr="001D6B50" w:rsidRDefault="00E76304" w:rsidP="00180BA2"/>
        </w:tc>
        <w:tc>
          <w:tcPr>
            <w:tcW w:w="270" w:type="dxa"/>
          </w:tcPr>
          <w:p w14:paraId="6A003294" w14:textId="77777777" w:rsidR="00E76304" w:rsidRPr="001D6B50" w:rsidRDefault="00E76304" w:rsidP="00180BA2">
            <w:pPr>
              <w:pStyle w:val="ListParagraph"/>
              <w:ind w:left="0"/>
              <w:contextualSpacing w:val="0"/>
            </w:pPr>
          </w:p>
        </w:tc>
        <w:tc>
          <w:tcPr>
            <w:tcW w:w="4315" w:type="dxa"/>
          </w:tcPr>
          <w:p w14:paraId="0D7AB540" w14:textId="77777777" w:rsidR="00E76304" w:rsidRDefault="00E76304" w:rsidP="00180BA2">
            <w:pPr>
              <w:pStyle w:val="ListParagraph"/>
              <w:ind w:left="0"/>
              <w:contextualSpacing w:val="0"/>
            </w:pPr>
          </w:p>
          <w:p w14:paraId="40B0D847" w14:textId="77777777" w:rsidR="00B41DB3" w:rsidRDefault="00B41DB3" w:rsidP="00180BA2">
            <w:pPr>
              <w:pStyle w:val="ListParagraph"/>
              <w:ind w:left="0"/>
              <w:contextualSpacing w:val="0"/>
            </w:pPr>
            <w:r>
              <w:t xml:space="preserve">Note this approach is neutral on the </w:t>
            </w:r>
            <w:r w:rsidRPr="00675534">
              <w:rPr>
                <w:b/>
                <w:bCs/>
              </w:rPr>
              <w:t xml:space="preserve">particular </w:t>
            </w:r>
            <w:r>
              <w:t>service to be provided. It requires MassHealth to implement an Assisted Living program (could be GAFC, or an alternate service). MassHealth could potentially carve the GAFC program into “Provider Types</w:t>
            </w:r>
            <w:proofErr w:type="gramStart"/>
            <w:r>
              <w:t>”, and</w:t>
            </w:r>
            <w:proofErr w:type="gramEnd"/>
            <w:r>
              <w:t xml:space="preserve"> designate different rate schedules for different Provider types (so a GAFC rate schedule that only applies to Assisted Living would be an option). Alternatively, MassHealth could use other authority such as 1915(i), 1915(c), or “in lieu of services or setting’ to comply with this paragraph.</w:t>
            </w:r>
          </w:p>
          <w:p w14:paraId="24A13C2C" w14:textId="37881B03" w:rsidR="00B41DB3" w:rsidRPr="001D6B50" w:rsidRDefault="00B41DB3" w:rsidP="00180BA2">
            <w:pPr>
              <w:pStyle w:val="ListParagraph"/>
              <w:ind w:left="0"/>
              <w:contextualSpacing w:val="0"/>
            </w:pPr>
          </w:p>
        </w:tc>
      </w:tr>
      <w:tr w:rsidR="00E76304" w14:paraId="68535065" w14:textId="77777777" w:rsidTr="00180BA2">
        <w:tc>
          <w:tcPr>
            <w:tcW w:w="6210" w:type="dxa"/>
          </w:tcPr>
          <w:p w14:paraId="0481EEA4" w14:textId="4CDEEEC9" w:rsidR="00AC1698" w:rsidRDefault="00AC1698" w:rsidP="00AC1698">
            <w:r>
              <w:t xml:space="preserve">(b) </w:t>
            </w:r>
            <w:r w:rsidRPr="0080040F">
              <w:t>MassHealth shall develop a set of other service limitations and exclusions that apply to Members who are assisted living residents and elect to participate in a residential service program. The service limitations and exclusions shall be developed for the purpose of guarding against overlapping and duplicating services.</w:t>
            </w:r>
          </w:p>
          <w:p w14:paraId="73DD7837" w14:textId="77777777" w:rsidR="00E76304" w:rsidRPr="001D6B50" w:rsidRDefault="00E76304" w:rsidP="001D6B50"/>
        </w:tc>
        <w:tc>
          <w:tcPr>
            <w:tcW w:w="270" w:type="dxa"/>
          </w:tcPr>
          <w:p w14:paraId="1259CA46" w14:textId="77777777" w:rsidR="00E76304" w:rsidRPr="001D6B50" w:rsidRDefault="00E76304" w:rsidP="00180BA2">
            <w:pPr>
              <w:pStyle w:val="ListParagraph"/>
              <w:ind w:left="0"/>
              <w:contextualSpacing w:val="0"/>
            </w:pPr>
          </w:p>
        </w:tc>
        <w:tc>
          <w:tcPr>
            <w:tcW w:w="4315" w:type="dxa"/>
          </w:tcPr>
          <w:p w14:paraId="3455C9D1" w14:textId="77777777" w:rsidR="00E76304" w:rsidRDefault="006A633F" w:rsidP="00180BA2">
            <w:pPr>
              <w:pStyle w:val="ListParagraph"/>
              <w:ind w:left="0"/>
              <w:contextualSpacing w:val="0"/>
            </w:pPr>
            <w:r>
              <w:t>Relevance is to signal that MassHealth has the option to limit the availability of other LTSS when a MassHealth member elects to receive an “Assisted Living Service”. This is an important design option to consider in order to promote the effective, efficient, and appropriate use of the ALR care setting.</w:t>
            </w:r>
          </w:p>
          <w:p w14:paraId="119A5248" w14:textId="0884FA7F" w:rsidR="006A633F" w:rsidRPr="001D6B50" w:rsidRDefault="006A633F" w:rsidP="00180BA2">
            <w:pPr>
              <w:pStyle w:val="ListParagraph"/>
              <w:ind w:left="0"/>
              <w:contextualSpacing w:val="0"/>
            </w:pPr>
          </w:p>
        </w:tc>
      </w:tr>
      <w:tr w:rsidR="00E76304" w14:paraId="15CE7924" w14:textId="77777777" w:rsidTr="00180BA2">
        <w:tc>
          <w:tcPr>
            <w:tcW w:w="6210" w:type="dxa"/>
          </w:tcPr>
          <w:p w14:paraId="5F7488A5" w14:textId="77777777" w:rsidR="00BB607E" w:rsidRPr="0080040F" w:rsidRDefault="00BB607E" w:rsidP="00BB607E">
            <w:r>
              <w:t xml:space="preserve">(c) </w:t>
            </w:r>
            <w:r w:rsidRPr="0080040F">
              <w:t xml:space="preserve">For purposes of this section, all MassHealth members residing in an Assisted Living Residence and participating in the </w:t>
            </w:r>
            <w:r>
              <w:t xml:space="preserve">MassHealth </w:t>
            </w:r>
            <w:r w:rsidRPr="0080040F">
              <w:t>residential services program shall be considered to be at-risk of nursing home placement. Furthermore, consistent with paragraph 4 of section 4B of chapter 19A, ASAPs shall be responsible for conducting level-of-care determinations to establish whether an assisted living resident is clinically eligible for institutional care services from MassHealth.</w:t>
            </w:r>
          </w:p>
          <w:p w14:paraId="3D26CA47" w14:textId="77777777" w:rsidR="00E76304" w:rsidRPr="001D6B50" w:rsidRDefault="00E76304" w:rsidP="001D6B50"/>
        </w:tc>
        <w:tc>
          <w:tcPr>
            <w:tcW w:w="270" w:type="dxa"/>
          </w:tcPr>
          <w:p w14:paraId="142AD97E" w14:textId="77777777" w:rsidR="00E76304" w:rsidRPr="001D6B50" w:rsidRDefault="00E76304" w:rsidP="00180BA2">
            <w:pPr>
              <w:pStyle w:val="ListParagraph"/>
              <w:ind w:left="0"/>
              <w:contextualSpacing w:val="0"/>
            </w:pPr>
          </w:p>
        </w:tc>
        <w:tc>
          <w:tcPr>
            <w:tcW w:w="4315" w:type="dxa"/>
          </w:tcPr>
          <w:p w14:paraId="03E8D20A" w14:textId="69BCBA93" w:rsidR="005050D0" w:rsidRPr="001D6B50" w:rsidRDefault="005050D0" w:rsidP="00180BA2">
            <w:pPr>
              <w:pStyle w:val="ListParagraph"/>
              <w:ind w:left="0"/>
              <w:contextualSpacing w:val="0"/>
            </w:pPr>
            <w:r>
              <w:t xml:space="preserve">Functional purpose is to create </w:t>
            </w:r>
            <w:r w:rsidRPr="009303BA">
              <w:rPr>
                <w:b/>
                <w:bCs/>
              </w:rPr>
              <w:t>at least</w:t>
            </w:r>
            <w:r>
              <w:t xml:space="preserve"> a two-tier payment schedule, with emphasis on enabling effective rates for when the AL</w:t>
            </w:r>
            <w:r w:rsidR="005F202C">
              <w:t>R</w:t>
            </w:r>
            <w:r>
              <w:t xml:space="preserve"> service is serving an individual who is NF-LOC and therefore actively diverting them from a nursing home placement.</w:t>
            </w:r>
          </w:p>
        </w:tc>
      </w:tr>
      <w:tr w:rsidR="00E76304" w14:paraId="59455DC1" w14:textId="77777777" w:rsidTr="00180BA2">
        <w:tc>
          <w:tcPr>
            <w:tcW w:w="6210" w:type="dxa"/>
          </w:tcPr>
          <w:p w14:paraId="4A108C5A" w14:textId="77777777" w:rsidR="00D52127" w:rsidRDefault="00D52127" w:rsidP="00D52127">
            <w:r>
              <w:t xml:space="preserve">(d) </w:t>
            </w:r>
            <w:r w:rsidRPr="00871F73">
              <w:t xml:space="preserve">Commencing on January 1, 2026, the base rate for a MassHealth residential service program delivered to assisted living residents shall be no less than $75 per day. </w:t>
            </w:r>
          </w:p>
          <w:p w14:paraId="6AB0F8D9" w14:textId="77777777" w:rsidR="00E76304" w:rsidRDefault="00E76304" w:rsidP="001D6B50"/>
          <w:p w14:paraId="010ACB4D" w14:textId="77777777" w:rsidR="00D42D33" w:rsidRPr="00871F73" w:rsidRDefault="00D42D33" w:rsidP="00D42D33">
            <w:r w:rsidRPr="00871F73">
              <w:t xml:space="preserve">Furthermore, for </w:t>
            </w:r>
            <w:r>
              <w:t xml:space="preserve">assisted living </w:t>
            </w:r>
            <w:r w:rsidRPr="00871F73">
              <w:t>residents deemed clinically eligible for institutional care services, the rate shall be no less than $135 per day.</w:t>
            </w:r>
            <w:r>
              <w:t xml:space="preserve"> Furthermore, MassHealth shall develop a tiered series of base rate enhancements for when an Assisted Living Residence has fewer than sixty, forty, twenty, or eight traditional units.</w:t>
            </w:r>
          </w:p>
          <w:p w14:paraId="5AE40B2A" w14:textId="77777777" w:rsidR="00250A6E" w:rsidRDefault="00D42D33" w:rsidP="00D42D33">
            <w:r w:rsidRPr="0080040F">
              <w:t xml:space="preserve"> </w:t>
            </w:r>
          </w:p>
          <w:p w14:paraId="390B12D1" w14:textId="77777777" w:rsidR="004009E3" w:rsidRDefault="004009E3" w:rsidP="00D42D33"/>
          <w:p w14:paraId="76A287A6" w14:textId="77777777" w:rsidR="00D52127" w:rsidRPr="001D6B50" w:rsidRDefault="00D52127" w:rsidP="00427553"/>
        </w:tc>
        <w:tc>
          <w:tcPr>
            <w:tcW w:w="270" w:type="dxa"/>
          </w:tcPr>
          <w:p w14:paraId="543AF266" w14:textId="77777777" w:rsidR="00E76304" w:rsidRPr="001D6B50" w:rsidRDefault="00E76304" w:rsidP="00180BA2">
            <w:pPr>
              <w:pStyle w:val="ListParagraph"/>
              <w:ind w:left="0"/>
              <w:contextualSpacing w:val="0"/>
            </w:pPr>
          </w:p>
        </w:tc>
        <w:tc>
          <w:tcPr>
            <w:tcW w:w="4315" w:type="dxa"/>
          </w:tcPr>
          <w:p w14:paraId="25829330" w14:textId="77777777" w:rsidR="00EA510A" w:rsidRDefault="00EA510A" w:rsidP="00017BA7">
            <w:pPr>
              <w:pStyle w:val="ListParagraph"/>
              <w:ind w:left="0"/>
              <w:contextualSpacing w:val="0"/>
            </w:pPr>
            <w:r>
              <w:t>It is assumed that ALR Commission Members will deliberate on particular minimum rate levels. The focus here should be on the concept of creating a rate differential for “at risk of nursing home placement” vs the more acute  “NF-LOC”.</w:t>
            </w:r>
          </w:p>
          <w:p w14:paraId="1D556F22" w14:textId="77777777" w:rsidR="00EA510A" w:rsidRDefault="00EA510A" w:rsidP="00EA510A">
            <w:pPr>
              <w:jc w:val="center"/>
            </w:pPr>
          </w:p>
          <w:p w14:paraId="533B3B65" w14:textId="77777777" w:rsidR="00EA510A" w:rsidRDefault="00EA510A" w:rsidP="00EA510A">
            <w:pPr>
              <w:pStyle w:val="ListParagraph"/>
              <w:ind w:left="0"/>
              <w:contextualSpacing w:val="0"/>
            </w:pPr>
            <w:r>
              <w:t xml:space="preserve">The approach also makes an important consideration for the considerable ALR variation in campus size. With an assertion </w:t>
            </w:r>
            <w:r>
              <w:lastRenderedPageBreak/>
              <w:t xml:space="preserve">that Dignity Alliance </w:t>
            </w:r>
            <w:proofErr w:type="gramStart"/>
            <w:r>
              <w:t>has a preference for</w:t>
            </w:r>
            <w:proofErr w:type="gramEnd"/>
            <w:r>
              <w:t xml:space="preserve"> smaller ALR settings, it is noted that the smaller the residence the more challenging it is to manage overhead costs from fixed government payer (MassHealth) rates. This approach is intended to support the viability of smaller settings.</w:t>
            </w:r>
          </w:p>
          <w:p w14:paraId="74722013" w14:textId="719524E5" w:rsidR="00F576C7" w:rsidRPr="001D6B50" w:rsidRDefault="00F576C7" w:rsidP="00EA510A">
            <w:pPr>
              <w:pStyle w:val="ListParagraph"/>
              <w:ind w:left="0"/>
              <w:contextualSpacing w:val="0"/>
            </w:pPr>
          </w:p>
        </w:tc>
      </w:tr>
      <w:tr w:rsidR="003E2DC4" w14:paraId="57CFFA49" w14:textId="77777777" w:rsidTr="00180BA2">
        <w:tc>
          <w:tcPr>
            <w:tcW w:w="6210" w:type="dxa"/>
          </w:tcPr>
          <w:p w14:paraId="6020F67A" w14:textId="77777777" w:rsidR="00BD3A62" w:rsidRDefault="00BD3A62" w:rsidP="00BD3A62">
            <w:r w:rsidRPr="00871F73">
              <w:lastRenderedPageBreak/>
              <w:t>When an assisted living residence is performing as a provider of the MassHealth residential service program, and the assisted living residence demonstrates that</w:t>
            </w:r>
            <w:r>
              <w:t xml:space="preserve"> </w:t>
            </w:r>
            <w:r w:rsidRPr="00871F73">
              <w:t xml:space="preserve">MassHealth residents </w:t>
            </w:r>
            <w:r>
              <w:t>constitute at least 15</w:t>
            </w:r>
            <w:r w:rsidRPr="00871F73">
              <w:t>% of the total resident population, there shall be a critical access add-on payment of no less than $2</w:t>
            </w:r>
            <w:r>
              <w:t>0</w:t>
            </w:r>
            <w:r w:rsidRPr="00871F73">
              <w:t xml:space="preserve"> per day</w:t>
            </w:r>
            <w:r>
              <w:t>. Furthermore, MassHealth shall develop a tiered series of add-on payment enhancements for when MassHealth residents constitute at least 25%, 40%, and 55% of the total resident population.</w:t>
            </w:r>
          </w:p>
          <w:p w14:paraId="0B4C4535" w14:textId="77777777" w:rsidR="003E2DC4" w:rsidRDefault="003E2DC4" w:rsidP="008C1B21"/>
        </w:tc>
        <w:tc>
          <w:tcPr>
            <w:tcW w:w="270" w:type="dxa"/>
          </w:tcPr>
          <w:p w14:paraId="0807A8FF" w14:textId="77777777" w:rsidR="003E2DC4" w:rsidRPr="001D6B50" w:rsidRDefault="003E2DC4" w:rsidP="00180BA2">
            <w:pPr>
              <w:pStyle w:val="ListParagraph"/>
              <w:ind w:left="0"/>
              <w:contextualSpacing w:val="0"/>
            </w:pPr>
          </w:p>
        </w:tc>
        <w:tc>
          <w:tcPr>
            <w:tcW w:w="4315" w:type="dxa"/>
          </w:tcPr>
          <w:p w14:paraId="22192BAC" w14:textId="77777777" w:rsidR="009F168C" w:rsidRDefault="009F168C" w:rsidP="000050A8">
            <w:pPr>
              <w:pStyle w:val="ListParagraph"/>
              <w:ind w:left="0"/>
              <w:contextualSpacing w:val="0"/>
            </w:pPr>
            <w:r>
              <w:t xml:space="preserve">Modeled from rate elements that are active in Ohio and New Jersey. </w:t>
            </w:r>
          </w:p>
          <w:p w14:paraId="3AAD1FDB" w14:textId="77777777" w:rsidR="009F168C" w:rsidRDefault="009F168C" w:rsidP="009F168C">
            <w:pPr>
              <w:jc w:val="center"/>
            </w:pPr>
          </w:p>
          <w:p w14:paraId="14EC7AD6" w14:textId="77777777" w:rsidR="003E2DC4" w:rsidRDefault="009F168C" w:rsidP="009F168C">
            <w:pPr>
              <w:pStyle w:val="ListParagraph"/>
              <w:ind w:left="0"/>
              <w:contextualSpacing w:val="0"/>
            </w:pPr>
            <w:r>
              <w:t>The approach of making considerations for MassHealth Resident presence in census supports mission-driven ALRs that have a disproportionately high level of MassHealth members and therefore less opportunity to offset operational costs from private pay residents.</w:t>
            </w:r>
          </w:p>
          <w:p w14:paraId="28EAEE98" w14:textId="1EABDB25" w:rsidR="009F168C" w:rsidRDefault="009F168C" w:rsidP="009F168C">
            <w:pPr>
              <w:pStyle w:val="ListParagraph"/>
              <w:ind w:left="0"/>
              <w:contextualSpacing w:val="0"/>
            </w:pPr>
          </w:p>
        </w:tc>
      </w:tr>
      <w:tr w:rsidR="0034301E" w14:paraId="2E7F9892" w14:textId="77777777" w:rsidTr="00180BA2">
        <w:tc>
          <w:tcPr>
            <w:tcW w:w="6210" w:type="dxa"/>
          </w:tcPr>
          <w:p w14:paraId="38C45C45" w14:textId="77777777" w:rsidR="0034301E" w:rsidRPr="002F4727" w:rsidRDefault="0034301E" w:rsidP="0034301E">
            <w:pPr>
              <w:rPr>
                <w:color w:val="EE0000"/>
              </w:rPr>
            </w:pPr>
            <w:r>
              <w:t xml:space="preserve">Commencing on January 1, </w:t>
            </w:r>
            <w:proofErr w:type="gramStart"/>
            <w:r>
              <w:t>2027</w:t>
            </w:r>
            <w:proofErr w:type="gramEnd"/>
            <w:r>
              <w:t xml:space="preserve"> and annually thereafter, MassHealth shall make inflationary adjustments to rate component minimums established in paragraphs one, two, and three in subsection d. The inflationary adjustments shall be based on the </w:t>
            </w:r>
            <w:r w:rsidRPr="0052116F">
              <w:t xml:space="preserve">“Home Health Agency Market Basket” </w:t>
            </w:r>
            <w:r>
              <w:t xml:space="preserve">and the “Skilled Nursing Facility Market Basket” data published by </w:t>
            </w:r>
            <w:r w:rsidRPr="0052116F">
              <w:t>the United States Department of Health and Human Services, Centers for Medicare and Medicaid Services</w:t>
            </w:r>
            <w:r>
              <w:t xml:space="preserve">. With comparison of these two respective market baskets, the inflationary adjustment shall be no less than the lesser “Four-Quarter Moving Average Percent Change” of the forecasted quarter four of the prospective rate year.   </w:t>
            </w:r>
          </w:p>
          <w:p w14:paraId="24E43B47" w14:textId="77777777" w:rsidR="0034301E" w:rsidRDefault="0034301E" w:rsidP="0034301E"/>
        </w:tc>
        <w:tc>
          <w:tcPr>
            <w:tcW w:w="270" w:type="dxa"/>
          </w:tcPr>
          <w:p w14:paraId="62C2CE22" w14:textId="77777777" w:rsidR="0034301E" w:rsidRPr="001D6B50" w:rsidRDefault="0034301E" w:rsidP="0034301E">
            <w:pPr>
              <w:pStyle w:val="ListParagraph"/>
              <w:ind w:left="0"/>
              <w:contextualSpacing w:val="0"/>
            </w:pPr>
          </w:p>
        </w:tc>
        <w:tc>
          <w:tcPr>
            <w:tcW w:w="4315" w:type="dxa"/>
          </w:tcPr>
          <w:p w14:paraId="6C4E99F6" w14:textId="77777777" w:rsidR="0034301E" w:rsidRDefault="0034301E" w:rsidP="00756E8B">
            <w:pPr>
              <w:pStyle w:val="ListParagraph"/>
              <w:ind w:left="0"/>
              <w:contextualSpacing w:val="0"/>
            </w:pPr>
            <w:r>
              <w:t>This admittedly technical paragraph performs a simple function. It ensures that the rate floors established by this section are annually revised for inflation.</w:t>
            </w:r>
          </w:p>
          <w:p w14:paraId="1E755BB8" w14:textId="77777777" w:rsidR="0034301E" w:rsidRDefault="0034301E" w:rsidP="00756E8B">
            <w:pPr>
              <w:pStyle w:val="ListParagraph"/>
              <w:ind w:left="0"/>
              <w:contextualSpacing w:val="0"/>
            </w:pPr>
          </w:p>
          <w:p w14:paraId="174C644F" w14:textId="77777777" w:rsidR="0034301E" w:rsidRDefault="0034301E" w:rsidP="00756E8B">
            <w:pPr>
              <w:pStyle w:val="ListParagraph"/>
              <w:ind w:left="0"/>
              <w:contextualSpacing w:val="0"/>
            </w:pPr>
            <w:r>
              <w:t>The technique is to use the conservative national inflation indices that are published by CMS and updated on a quarterly basis.</w:t>
            </w:r>
          </w:p>
          <w:p w14:paraId="68B0E298" w14:textId="77777777" w:rsidR="0034301E" w:rsidRDefault="0034301E" w:rsidP="0034301E">
            <w:pPr>
              <w:jc w:val="center"/>
            </w:pPr>
          </w:p>
          <w:p w14:paraId="36138534" w14:textId="07E59A2D" w:rsidR="0034301E" w:rsidRDefault="0034301E" w:rsidP="0034301E">
            <w:pPr>
              <w:pStyle w:val="ListParagraph"/>
              <w:ind w:left="0"/>
              <w:contextualSpacing w:val="0"/>
            </w:pPr>
            <w:r w:rsidRPr="00140A9D">
              <w:rPr>
                <w:b/>
                <w:bCs/>
              </w:rPr>
              <w:t>Scenario:</w:t>
            </w:r>
            <w:r>
              <w:t xml:space="preserve"> An analyst determining inflationary adjustment over CY26 rates that go in effect on 1/1/27 would examine the active CMS forecasts. As of this writing (8/13/25), CMS is projecting a CY2027-Q4 annual inflation rate of 3.1% for Skilled Nursing Homes, and 3.1% for Home Health Agencies. As such, the analyst would apply an inflationary factor of +3.1% to the MassHealth Assisted Living Service rate to take effect on 1/1/27.</w:t>
            </w:r>
          </w:p>
          <w:p w14:paraId="666AE928" w14:textId="64F1CE63" w:rsidR="0034301E" w:rsidRDefault="0034301E" w:rsidP="0034301E">
            <w:pPr>
              <w:pStyle w:val="ListParagraph"/>
              <w:ind w:left="0"/>
              <w:contextualSpacing w:val="0"/>
            </w:pPr>
          </w:p>
        </w:tc>
      </w:tr>
      <w:tr w:rsidR="0034301E" w14:paraId="305BC301" w14:textId="77777777" w:rsidTr="00180BA2">
        <w:tc>
          <w:tcPr>
            <w:tcW w:w="6210" w:type="dxa"/>
          </w:tcPr>
          <w:p w14:paraId="37F08B40" w14:textId="2EA6D265" w:rsidR="0034301E" w:rsidRPr="001D6B50" w:rsidRDefault="0034301E" w:rsidP="0002751A">
            <w:r>
              <w:t>(e) An assisted living residence performing as a provider of the residential services program established by this chapter shall only qualify for the enhanced payment provisions established in paragraphs two and three of subsection d if they are accredited by any of the following independent, non-for-profit organizations: (i) The Commission on Accreditation of Rehabilitation Facilities (CARF); (ii) The Joint Commission on Accreditation of Health Care Organizations (JCAHO); (iii) EAGLE Accreditation; or (iv) Any other independent, not-for-profit accrediting organization approved by the Secretary of Aging and Independence.</w:t>
            </w:r>
          </w:p>
        </w:tc>
        <w:tc>
          <w:tcPr>
            <w:tcW w:w="270" w:type="dxa"/>
          </w:tcPr>
          <w:p w14:paraId="221AE048" w14:textId="77777777" w:rsidR="0034301E" w:rsidRPr="001D6B50" w:rsidRDefault="0034301E" w:rsidP="0034301E">
            <w:pPr>
              <w:pStyle w:val="ListParagraph"/>
              <w:ind w:left="0"/>
              <w:contextualSpacing w:val="0"/>
            </w:pPr>
          </w:p>
        </w:tc>
        <w:tc>
          <w:tcPr>
            <w:tcW w:w="4315" w:type="dxa"/>
          </w:tcPr>
          <w:p w14:paraId="7C1AEF50" w14:textId="011AA9AE" w:rsidR="0034301E" w:rsidRPr="001D6B50" w:rsidRDefault="0034301E" w:rsidP="0034301E">
            <w:pPr>
              <w:pStyle w:val="ListParagraph"/>
              <w:ind w:left="0"/>
              <w:contextualSpacing w:val="0"/>
            </w:pPr>
            <w:r>
              <w:t xml:space="preserve">This provision promotes quality by linking the </w:t>
            </w:r>
            <w:proofErr w:type="gramStart"/>
            <w:r>
              <w:t>provider</w:t>
            </w:r>
            <w:proofErr w:type="gramEnd"/>
            <w:r>
              <w:t xml:space="preserve"> opportunity to receive enhanced compensation for the Assisted Living Service daily rate to being credited by a nationally recognized accrediting body. It is further recommended that EOHHS/AGE/MassHealth should develop scholarship initiatives that </w:t>
            </w:r>
            <w:r w:rsidR="00BE0183">
              <w:t>assist</w:t>
            </w:r>
            <w:r>
              <w:t xml:space="preserve"> non-profit ALRs and smaller census ALRs with the costs of accreditation.</w:t>
            </w:r>
          </w:p>
        </w:tc>
      </w:tr>
    </w:tbl>
    <w:p w14:paraId="44326DE8" w14:textId="77777777" w:rsidR="00E76304" w:rsidRDefault="00E76304" w:rsidP="00633954">
      <w:pPr>
        <w:pStyle w:val="ListParagraph"/>
        <w:spacing w:after="0" w:line="240" w:lineRule="auto"/>
        <w:contextualSpacing w:val="0"/>
        <w:rPr>
          <w:sz w:val="24"/>
          <w:szCs w:val="24"/>
        </w:rPr>
      </w:pPr>
    </w:p>
    <w:p w14:paraId="1839287B" w14:textId="77777777" w:rsidR="002F33B5" w:rsidRDefault="002F33B5" w:rsidP="00480F80">
      <w:pPr>
        <w:pStyle w:val="ListParagraph"/>
        <w:spacing w:after="0" w:line="240" w:lineRule="auto"/>
        <w:contextualSpacing w:val="0"/>
        <w:rPr>
          <w:sz w:val="24"/>
          <w:szCs w:val="24"/>
        </w:rPr>
      </w:pPr>
    </w:p>
    <w:p w14:paraId="5B175A69" w14:textId="29F45061" w:rsidR="00BE0183" w:rsidRDefault="00BE0183">
      <w:pPr>
        <w:rPr>
          <w:sz w:val="24"/>
          <w:szCs w:val="24"/>
        </w:rPr>
      </w:pPr>
      <w:r>
        <w:rPr>
          <w:sz w:val="24"/>
          <w:szCs w:val="24"/>
        </w:rPr>
        <w:br w:type="page"/>
      </w:r>
    </w:p>
    <w:p w14:paraId="618D5764" w14:textId="510EA6C0" w:rsidR="007910D9" w:rsidRPr="00B1790E" w:rsidRDefault="007910D9" w:rsidP="007910D9">
      <w:pPr>
        <w:pStyle w:val="ListParagraph"/>
        <w:spacing w:after="0" w:line="240" w:lineRule="auto"/>
        <w:contextualSpacing w:val="0"/>
        <w:jc w:val="center"/>
        <w:rPr>
          <w:i/>
          <w:iCs/>
          <w:sz w:val="24"/>
          <w:szCs w:val="24"/>
        </w:rPr>
      </w:pPr>
      <w:r w:rsidRPr="00B1790E">
        <w:rPr>
          <w:i/>
          <w:iCs/>
          <w:sz w:val="24"/>
          <w:szCs w:val="24"/>
        </w:rPr>
        <w:lastRenderedPageBreak/>
        <w:t>Exhibit #</w:t>
      </w:r>
      <w:r w:rsidR="00EC4712" w:rsidRPr="00B1790E">
        <w:rPr>
          <w:i/>
          <w:iCs/>
          <w:sz w:val="24"/>
          <w:szCs w:val="24"/>
        </w:rPr>
        <w:t>7.0</w:t>
      </w:r>
      <w:r w:rsidRPr="00B1790E">
        <w:rPr>
          <w:i/>
          <w:iCs/>
          <w:sz w:val="24"/>
          <w:szCs w:val="24"/>
        </w:rPr>
        <w:t xml:space="preserve"> </w:t>
      </w:r>
    </w:p>
    <w:p w14:paraId="065E857A" w14:textId="77777777" w:rsidR="007910D9" w:rsidRDefault="007910D9" w:rsidP="007910D9">
      <w:pPr>
        <w:pStyle w:val="ListParagraph"/>
        <w:spacing w:after="0" w:line="240" w:lineRule="auto"/>
        <w:contextualSpacing w:val="0"/>
        <w:jc w:val="center"/>
        <w:rPr>
          <w:b/>
          <w:bCs/>
          <w:sz w:val="24"/>
          <w:szCs w:val="24"/>
        </w:rPr>
      </w:pPr>
    </w:p>
    <w:p w14:paraId="73334D3E" w14:textId="260D63EF" w:rsidR="007910D9" w:rsidRPr="00B23A71" w:rsidRDefault="007910D9" w:rsidP="007910D9">
      <w:pPr>
        <w:pStyle w:val="ListParagraph"/>
        <w:spacing w:after="0" w:line="240" w:lineRule="auto"/>
        <w:contextualSpacing w:val="0"/>
        <w:jc w:val="center"/>
        <w:rPr>
          <w:b/>
          <w:bCs/>
        </w:rPr>
      </w:pPr>
      <w:r w:rsidRPr="00B23A71">
        <w:rPr>
          <w:b/>
          <w:bCs/>
        </w:rPr>
        <w:t>Policy Proposal Statement for the State Auditor’s Office</w:t>
      </w:r>
    </w:p>
    <w:p w14:paraId="2D39649B" w14:textId="77777777" w:rsidR="00B23A71" w:rsidRDefault="007910D9" w:rsidP="007910D9">
      <w:pPr>
        <w:pStyle w:val="ListParagraph"/>
        <w:spacing w:after="0" w:line="240" w:lineRule="auto"/>
        <w:contextualSpacing w:val="0"/>
        <w:jc w:val="center"/>
        <w:rPr>
          <w:b/>
          <w:bCs/>
        </w:rPr>
      </w:pPr>
      <w:r w:rsidRPr="00B23A71">
        <w:rPr>
          <w:b/>
          <w:bCs/>
        </w:rPr>
        <w:t>To</w:t>
      </w:r>
      <w:r w:rsidR="00EB3EFA" w:rsidRPr="00B23A71">
        <w:rPr>
          <w:b/>
          <w:bCs/>
        </w:rPr>
        <w:t xml:space="preserve"> Routinely Examine the</w:t>
      </w:r>
      <w:r w:rsidRPr="00B23A71">
        <w:rPr>
          <w:b/>
          <w:bCs/>
        </w:rPr>
        <w:t xml:space="preserve"> ALR Certification Unit of the Executive Office of Aging and Independence;</w:t>
      </w:r>
    </w:p>
    <w:p w14:paraId="7C930B00" w14:textId="77777777" w:rsidR="000B7245" w:rsidRDefault="007910D9" w:rsidP="007910D9">
      <w:pPr>
        <w:pStyle w:val="ListParagraph"/>
        <w:spacing w:after="0" w:line="240" w:lineRule="auto"/>
        <w:contextualSpacing w:val="0"/>
        <w:jc w:val="center"/>
        <w:rPr>
          <w:b/>
          <w:bCs/>
        </w:rPr>
      </w:pPr>
      <w:r w:rsidRPr="00B23A71">
        <w:rPr>
          <w:b/>
          <w:bCs/>
        </w:rPr>
        <w:t xml:space="preserve"> the Long-Term Care Ombudsman of the Executive Office of Health and Human Services; and </w:t>
      </w:r>
      <w:r w:rsidR="00B23A71">
        <w:rPr>
          <w:b/>
          <w:bCs/>
        </w:rPr>
        <w:t>the</w:t>
      </w:r>
    </w:p>
    <w:p w14:paraId="1A1AFCCE" w14:textId="78F16A67" w:rsidR="007910D9" w:rsidRPr="00E04FAD" w:rsidRDefault="007910D9" w:rsidP="000B7245">
      <w:pPr>
        <w:pStyle w:val="ListParagraph"/>
        <w:spacing w:after="0" w:line="240" w:lineRule="auto"/>
        <w:contextualSpacing w:val="0"/>
        <w:jc w:val="center"/>
        <w:rPr>
          <w:b/>
          <w:bCs/>
          <w:sz w:val="24"/>
          <w:szCs w:val="24"/>
        </w:rPr>
      </w:pPr>
      <w:r w:rsidRPr="00B23A71">
        <w:rPr>
          <w:b/>
          <w:bCs/>
        </w:rPr>
        <w:t>MassHealth LTSS Provider Network Management</w:t>
      </w:r>
      <w:r w:rsidR="000B7245">
        <w:rPr>
          <w:b/>
          <w:bCs/>
        </w:rPr>
        <w:t xml:space="preserve"> Function</w:t>
      </w:r>
      <w:r>
        <w:rPr>
          <w:b/>
          <w:bCs/>
          <w:sz w:val="24"/>
          <w:szCs w:val="24"/>
        </w:rPr>
        <w:t xml:space="preserve"> </w:t>
      </w:r>
    </w:p>
    <w:p w14:paraId="18612176" w14:textId="77777777" w:rsidR="007910D9" w:rsidRDefault="007910D9" w:rsidP="007910D9">
      <w:pPr>
        <w:pStyle w:val="ListParagraph"/>
        <w:spacing w:after="0" w:line="240" w:lineRule="auto"/>
        <w:contextualSpacing w:val="0"/>
        <w:jc w:val="center"/>
        <w:rPr>
          <w:b/>
          <w:bCs/>
          <w:sz w:val="24"/>
          <w:szCs w:val="24"/>
        </w:rPr>
      </w:pPr>
      <w:r>
        <w:rPr>
          <w:b/>
          <w:bCs/>
          <w:sz w:val="24"/>
          <w:szCs w:val="24"/>
        </w:rPr>
        <w:t xml:space="preserve">  </w:t>
      </w:r>
    </w:p>
    <w:p w14:paraId="614D6F4D" w14:textId="77777777" w:rsidR="007910D9" w:rsidRDefault="007910D9" w:rsidP="007910D9">
      <w:pPr>
        <w:pStyle w:val="ListParagraph"/>
        <w:spacing w:after="0" w:line="240" w:lineRule="auto"/>
        <w:contextualSpacing w:val="0"/>
        <w:jc w:val="center"/>
        <w:rPr>
          <w:b/>
          <w:bCs/>
          <w:sz w:val="24"/>
          <w:szCs w:val="24"/>
        </w:rPr>
      </w:pPr>
    </w:p>
    <w:tbl>
      <w:tblPr>
        <w:tblStyle w:val="TableGrid"/>
        <w:tblW w:w="0" w:type="auto"/>
        <w:tblInd w:w="-5" w:type="dxa"/>
        <w:tblLook w:val="04A0" w:firstRow="1" w:lastRow="0" w:firstColumn="1" w:lastColumn="0" w:noHBand="0" w:noVBand="1"/>
      </w:tblPr>
      <w:tblGrid>
        <w:gridCol w:w="1564"/>
        <w:gridCol w:w="262"/>
        <w:gridCol w:w="8344"/>
      </w:tblGrid>
      <w:tr w:rsidR="007910D9" w14:paraId="0CB47EF5" w14:textId="77777777" w:rsidTr="00180BA2">
        <w:tc>
          <w:tcPr>
            <w:tcW w:w="1564" w:type="dxa"/>
          </w:tcPr>
          <w:p w14:paraId="72B3C917" w14:textId="77777777" w:rsidR="007910D9" w:rsidRPr="00326E1D" w:rsidRDefault="007910D9" w:rsidP="00180BA2">
            <w:pPr>
              <w:rPr>
                <w:b/>
                <w:bCs/>
              </w:rPr>
            </w:pPr>
            <w:r w:rsidRPr="00326E1D">
              <w:rPr>
                <w:b/>
                <w:bCs/>
              </w:rPr>
              <w:t>Solution</w:t>
            </w:r>
            <w:r>
              <w:rPr>
                <w:b/>
                <w:bCs/>
              </w:rPr>
              <w:t xml:space="preserve"> 5</w:t>
            </w:r>
            <w:r w:rsidRPr="00326E1D">
              <w:rPr>
                <w:b/>
                <w:bCs/>
              </w:rPr>
              <w:t>:</w:t>
            </w:r>
          </w:p>
        </w:tc>
        <w:tc>
          <w:tcPr>
            <w:tcW w:w="262" w:type="dxa"/>
          </w:tcPr>
          <w:p w14:paraId="76367BAD" w14:textId="77777777" w:rsidR="007910D9" w:rsidRDefault="007910D9" w:rsidP="00180BA2"/>
        </w:tc>
        <w:tc>
          <w:tcPr>
            <w:tcW w:w="8344" w:type="dxa"/>
          </w:tcPr>
          <w:p w14:paraId="233393A9" w14:textId="77777777" w:rsidR="007910D9" w:rsidRDefault="007910D9" w:rsidP="00180BA2">
            <w:r>
              <w:t>Overhauling MassHealth Affordable Assisted Living Service Offer (either GAFC, or Replacing GAFC with a new service)</w:t>
            </w:r>
          </w:p>
        </w:tc>
      </w:tr>
      <w:tr w:rsidR="007910D9" w14:paraId="12768AE4" w14:textId="77777777" w:rsidTr="00180BA2">
        <w:trPr>
          <w:trHeight w:val="431"/>
        </w:trPr>
        <w:tc>
          <w:tcPr>
            <w:tcW w:w="1564" w:type="dxa"/>
          </w:tcPr>
          <w:p w14:paraId="03773834" w14:textId="77777777" w:rsidR="007910D9" w:rsidRPr="00326E1D" w:rsidRDefault="007910D9" w:rsidP="00180BA2">
            <w:pPr>
              <w:rPr>
                <w:b/>
                <w:bCs/>
              </w:rPr>
            </w:pPr>
            <w:r w:rsidRPr="00326E1D">
              <w:rPr>
                <w:b/>
                <w:bCs/>
              </w:rPr>
              <w:t>Domain:</w:t>
            </w:r>
          </w:p>
        </w:tc>
        <w:tc>
          <w:tcPr>
            <w:tcW w:w="262" w:type="dxa"/>
          </w:tcPr>
          <w:p w14:paraId="0FB3C30A" w14:textId="77777777" w:rsidR="007910D9" w:rsidRDefault="007910D9" w:rsidP="00180BA2"/>
        </w:tc>
        <w:tc>
          <w:tcPr>
            <w:tcW w:w="8344" w:type="dxa"/>
          </w:tcPr>
          <w:p w14:paraId="7E4E072F" w14:textId="5A01AEDF" w:rsidR="007910D9" w:rsidRDefault="00045896" w:rsidP="00180BA2">
            <w:r>
              <w:t>Government Oversight, Consumer Protection</w:t>
            </w:r>
          </w:p>
        </w:tc>
      </w:tr>
      <w:tr w:rsidR="007910D9" w14:paraId="11C7FFC8" w14:textId="77777777" w:rsidTr="00180BA2">
        <w:trPr>
          <w:trHeight w:val="440"/>
        </w:trPr>
        <w:tc>
          <w:tcPr>
            <w:tcW w:w="1564" w:type="dxa"/>
          </w:tcPr>
          <w:p w14:paraId="68BB0732" w14:textId="77777777" w:rsidR="007910D9" w:rsidRPr="00326E1D" w:rsidRDefault="007910D9" w:rsidP="00180BA2">
            <w:pPr>
              <w:rPr>
                <w:b/>
                <w:bCs/>
              </w:rPr>
            </w:pPr>
            <w:r w:rsidRPr="00326E1D">
              <w:rPr>
                <w:b/>
                <w:bCs/>
              </w:rPr>
              <w:t>Change Type:</w:t>
            </w:r>
          </w:p>
        </w:tc>
        <w:tc>
          <w:tcPr>
            <w:tcW w:w="262" w:type="dxa"/>
          </w:tcPr>
          <w:p w14:paraId="6A0FF61C" w14:textId="77777777" w:rsidR="007910D9" w:rsidRDefault="007910D9" w:rsidP="00180BA2"/>
        </w:tc>
        <w:tc>
          <w:tcPr>
            <w:tcW w:w="8344" w:type="dxa"/>
          </w:tcPr>
          <w:p w14:paraId="01616E10" w14:textId="77777777" w:rsidR="007910D9" w:rsidRDefault="007910D9" w:rsidP="00180BA2">
            <w:r>
              <w:t>Statutory Amendment</w:t>
            </w:r>
          </w:p>
        </w:tc>
      </w:tr>
      <w:tr w:rsidR="007910D9" w14:paraId="71661FED" w14:textId="77777777" w:rsidTr="00180BA2">
        <w:trPr>
          <w:trHeight w:val="440"/>
        </w:trPr>
        <w:tc>
          <w:tcPr>
            <w:tcW w:w="1564" w:type="dxa"/>
          </w:tcPr>
          <w:p w14:paraId="40AC5654" w14:textId="77777777" w:rsidR="007910D9" w:rsidRPr="00326E1D" w:rsidRDefault="007910D9" w:rsidP="00180BA2">
            <w:pPr>
              <w:rPr>
                <w:b/>
                <w:bCs/>
              </w:rPr>
            </w:pPr>
            <w:r w:rsidRPr="00326E1D">
              <w:rPr>
                <w:b/>
                <w:bCs/>
              </w:rPr>
              <w:t>Problem Statement:</w:t>
            </w:r>
          </w:p>
        </w:tc>
        <w:tc>
          <w:tcPr>
            <w:tcW w:w="262" w:type="dxa"/>
          </w:tcPr>
          <w:p w14:paraId="2E789C1C" w14:textId="77777777" w:rsidR="007910D9" w:rsidRDefault="007910D9" w:rsidP="00180BA2"/>
        </w:tc>
        <w:tc>
          <w:tcPr>
            <w:tcW w:w="8344" w:type="dxa"/>
          </w:tcPr>
          <w:p w14:paraId="211FF156" w14:textId="25E580E9" w:rsidR="006C3EE4" w:rsidRDefault="006C3EE4" w:rsidP="006C3EE4">
            <w:r>
              <w:t>There is presently an inadequate degree of oversight to the AGE ALR Certification Unit. While there is no pressing concern that the existing AGE ALR Certification Unit is in deficiency, there is</w:t>
            </w:r>
            <w:r w:rsidR="00602EC6">
              <w:t xml:space="preserve"> also</w:t>
            </w:r>
            <w:r>
              <w:t xml:space="preserve"> no available record of a third party reviewing such operations to validate the public’s trust in the ALR Certification process. The same concern is extended to the </w:t>
            </w:r>
            <w:r w:rsidR="000D27E4">
              <w:t>Long-Term Care Ombudsman operation</w:t>
            </w:r>
            <w:r w:rsidR="00D00205">
              <w:t xml:space="preserve">. Lastly, when considering so many of the Gabriel House victims were </w:t>
            </w:r>
            <w:r w:rsidR="00BE3EEA">
              <w:t xml:space="preserve">routinely </w:t>
            </w:r>
            <w:r w:rsidR="00D00205">
              <w:t>receiving MassHealth GAFC</w:t>
            </w:r>
            <w:r w:rsidR="00BE3EEA">
              <w:t xml:space="preserve"> services, it compels </w:t>
            </w:r>
            <w:r w:rsidR="008A5ADE">
              <w:t xml:space="preserve">inquiry as to how </w:t>
            </w:r>
            <w:proofErr w:type="gramStart"/>
            <w:r w:rsidR="008A5ADE">
              <w:t xml:space="preserve">could the </w:t>
            </w:r>
            <w:r w:rsidR="00593556">
              <w:t xml:space="preserve">ongoing conditions of the </w:t>
            </w:r>
            <w:r w:rsidR="005E69DE">
              <w:t>care setting</w:t>
            </w:r>
            <w:proofErr w:type="gramEnd"/>
            <w:r w:rsidR="005E69DE">
              <w:t xml:space="preserve"> not have raised concerns to </w:t>
            </w:r>
            <w:r w:rsidR="00E2562F">
              <w:t>MassHealth as primary payer of services</w:t>
            </w:r>
            <w:r w:rsidR="00067BAF">
              <w:t>?</w:t>
            </w:r>
            <w:r w:rsidR="00E2562F">
              <w:t xml:space="preserve"> As such, the</w:t>
            </w:r>
            <w:r w:rsidR="00067BAF">
              <w:t xml:space="preserve"> activity center of</w:t>
            </w:r>
            <w:r w:rsidR="00EC0EA3">
              <w:t xml:space="preserve"> MassHealth Provider Network Management </w:t>
            </w:r>
            <w:r w:rsidR="00060064">
              <w:t>should also fall under the reviewing lens of the State Auditor</w:t>
            </w:r>
            <w:r w:rsidR="009B5680">
              <w:t>.</w:t>
            </w:r>
            <w:r w:rsidR="00D00205">
              <w:t xml:space="preserve"> </w:t>
            </w:r>
          </w:p>
          <w:p w14:paraId="617A2C68" w14:textId="77777777" w:rsidR="006C3EE4" w:rsidRDefault="006C3EE4" w:rsidP="006C3EE4"/>
          <w:p w14:paraId="27068C84" w14:textId="708F3F9C" w:rsidR="006C3EE4" w:rsidRDefault="006C3EE4" w:rsidP="006C3EE4">
            <w:r>
              <w:t>Per the prior recommendation</w:t>
            </w:r>
            <w:r w:rsidR="009B5680">
              <w:t>s</w:t>
            </w:r>
            <w:r>
              <w:t>, compared to other institutional services and residential service models, Assisted Living Residences in Massachusetts have a very low level of federal funds  supporting ALR Residents. This results in entities that typically conduct performance audits over state governments (for example, the Office of Inspector General monitoring the nursing home survey process) as not having an interest in Assisted Living Residences.</w:t>
            </w:r>
          </w:p>
          <w:p w14:paraId="41496BA9" w14:textId="77777777" w:rsidR="006C3EE4" w:rsidRDefault="006C3EE4" w:rsidP="006C3EE4"/>
          <w:p w14:paraId="64387902" w14:textId="38B405B7" w:rsidR="007910D9" w:rsidRDefault="006C3EE4" w:rsidP="006C3EE4">
            <w:r>
              <w:t>A review of published audits by the State Auditor’s Office (“SAO”) could not identify an instance where the SAO evaluated the AGE ALR Certification Unit.</w:t>
            </w:r>
          </w:p>
          <w:p w14:paraId="23FB0E73" w14:textId="6CDDEA2C" w:rsidR="007910D9" w:rsidRDefault="007910D9" w:rsidP="00045896"/>
        </w:tc>
      </w:tr>
      <w:tr w:rsidR="007910D9" w14:paraId="3274F0A9" w14:textId="77777777" w:rsidTr="00180BA2">
        <w:tc>
          <w:tcPr>
            <w:tcW w:w="1564" w:type="dxa"/>
          </w:tcPr>
          <w:p w14:paraId="75E3B23E" w14:textId="77777777" w:rsidR="007910D9" w:rsidRPr="00326E1D" w:rsidRDefault="007910D9" w:rsidP="00180BA2">
            <w:pPr>
              <w:rPr>
                <w:b/>
                <w:bCs/>
              </w:rPr>
            </w:pPr>
            <w:r w:rsidRPr="00326E1D">
              <w:rPr>
                <w:b/>
                <w:bCs/>
              </w:rPr>
              <w:t>Solution Narrative:</w:t>
            </w:r>
          </w:p>
        </w:tc>
        <w:tc>
          <w:tcPr>
            <w:tcW w:w="262" w:type="dxa"/>
          </w:tcPr>
          <w:p w14:paraId="3B39EB23" w14:textId="77777777" w:rsidR="007910D9" w:rsidRDefault="007910D9" w:rsidP="00180BA2"/>
        </w:tc>
        <w:tc>
          <w:tcPr>
            <w:tcW w:w="8344" w:type="dxa"/>
          </w:tcPr>
          <w:p w14:paraId="12E23F46" w14:textId="77777777" w:rsidR="001F621C" w:rsidRDefault="005D45A4" w:rsidP="005D45A4">
            <w:r>
              <w:t>With recognition that Assisted Living Residences are essentially only regulated and monitored with a state lens, to be more prescriptive as to the expectation and frequency with which the SAO is expected to review the AGE ALR Certification Unit</w:t>
            </w:r>
            <w:r w:rsidR="00982BD8">
              <w:t xml:space="preserve"> and other state entities routinely involved in </w:t>
            </w:r>
            <w:r w:rsidR="001F621C">
              <w:t>either regulating assisted living or enabling state funded services within an Assisted Living setting of care.</w:t>
            </w:r>
          </w:p>
          <w:p w14:paraId="68AFFB20" w14:textId="3AF2940A" w:rsidR="005D45A4" w:rsidRDefault="005D45A4" w:rsidP="005D45A4"/>
          <w:p w14:paraId="25FB3D8C" w14:textId="4241EB64" w:rsidR="007910D9" w:rsidRDefault="005D45A4" w:rsidP="005D45A4">
            <w:r>
              <w:t>The expectation is for the SAO to conduct an examination no less than once every five years.</w:t>
            </w:r>
            <w:r w:rsidR="007910D9">
              <w:t xml:space="preserve"> </w:t>
            </w:r>
          </w:p>
        </w:tc>
      </w:tr>
      <w:tr w:rsidR="007910D9" w14:paraId="714883B8" w14:textId="77777777" w:rsidTr="00180BA2">
        <w:trPr>
          <w:trHeight w:val="404"/>
        </w:trPr>
        <w:tc>
          <w:tcPr>
            <w:tcW w:w="1564" w:type="dxa"/>
          </w:tcPr>
          <w:p w14:paraId="4B416434" w14:textId="77777777" w:rsidR="007910D9" w:rsidRPr="00326E1D" w:rsidRDefault="007910D9" w:rsidP="00180BA2">
            <w:pPr>
              <w:rPr>
                <w:b/>
                <w:bCs/>
              </w:rPr>
            </w:pPr>
            <w:r w:rsidRPr="00326E1D">
              <w:rPr>
                <w:b/>
                <w:bCs/>
              </w:rPr>
              <w:t>Insertion Description:</w:t>
            </w:r>
          </w:p>
        </w:tc>
        <w:tc>
          <w:tcPr>
            <w:tcW w:w="262" w:type="dxa"/>
          </w:tcPr>
          <w:p w14:paraId="26ADEC71" w14:textId="77777777" w:rsidR="007910D9" w:rsidRDefault="007910D9" w:rsidP="00180BA2"/>
        </w:tc>
        <w:tc>
          <w:tcPr>
            <w:tcW w:w="8344" w:type="dxa"/>
          </w:tcPr>
          <w:p w14:paraId="7527A6F9" w14:textId="16560249" w:rsidR="00B20163" w:rsidRPr="00326E1D" w:rsidRDefault="00B20163" w:rsidP="00B20163">
            <w:r>
              <w:t>Statutory amendment creating new section within M.G.L. c. 19d, tentatively titled</w:t>
            </w:r>
            <w:r w:rsidRPr="00B20163">
              <w:t xml:space="preserve"> “Section 4 1/</w:t>
            </w:r>
            <w:r w:rsidR="009C0EB4">
              <w:t>4</w:t>
            </w:r>
            <w:r w:rsidRPr="00B20163">
              <w:t xml:space="preserve">. </w:t>
            </w:r>
            <w:r w:rsidRPr="00B20163">
              <w:rPr>
                <w:color w:val="000000"/>
              </w:rPr>
              <w:t>Review of Assisted Living Residences Certification Operation by the State Auditor”</w:t>
            </w:r>
          </w:p>
          <w:p w14:paraId="3A7810A1" w14:textId="77777777" w:rsidR="007910D9" w:rsidRPr="00326E1D" w:rsidRDefault="007910D9" w:rsidP="00180BA2"/>
          <w:p w14:paraId="2B22CE13" w14:textId="77777777" w:rsidR="007910D9" w:rsidRDefault="007910D9" w:rsidP="00180BA2"/>
        </w:tc>
      </w:tr>
    </w:tbl>
    <w:p w14:paraId="1CBC51BD" w14:textId="77777777" w:rsidR="00BE0183" w:rsidRDefault="00BE0183" w:rsidP="00480F80">
      <w:pPr>
        <w:pStyle w:val="ListParagraph"/>
        <w:spacing w:after="0" w:line="240" w:lineRule="auto"/>
        <w:contextualSpacing w:val="0"/>
        <w:rPr>
          <w:sz w:val="24"/>
          <w:szCs w:val="24"/>
        </w:rPr>
      </w:pPr>
    </w:p>
    <w:p w14:paraId="2987B54B" w14:textId="5642C9FF" w:rsidR="00476F99" w:rsidRDefault="00476F99">
      <w:pPr>
        <w:rPr>
          <w:sz w:val="24"/>
          <w:szCs w:val="24"/>
        </w:rPr>
      </w:pPr>
      <w:r>
        <w:rPr>
          <w:sz w:val="24"/>
          <w:szCs w:val="24"/>
        </w:rPr>
        <w:br w:type="page"/>
      </w:r>
    </w:p>
    <w:p w14:paraId="49FBA0BC" w14:textId="302311BB" w:rsidR="00EC4712" w:rsidRPr="00B1790E" w:rsidRDefault="00EC4712" w:rsidP="00EC4712">
      <w:pPr>
        <w:pStyle w:val="ListParagraph"/>
        <w:spacing w:after="0" w:line="240" w:lineRule="auto"/>
        <w:contextualSpacing w:val="0"/>
        <w:jc w:val="center"/>
        <w:rPr>
          <w:i/>
          <w:iCs/>
          <w:sz w:val="24"/>
          <w:szCs w:val="24"/>
        </w:rPr>
      </w:pPr>
      <w:r w:rsidRPr="00B1790E">
        <w:rPr>
          <w:i/>
          <w:iCs/>
          <w:sz w:val="24"/>
          <w:szCs w:val="24"/>
        </w:rPr>
        <w:lastRenderedPageBreak/>
        <w:t>Exhibit #</w:t>
      </w:r>
      <w:r w:rsidR="00472788" w:rsidRPr="00B1790E">
        <w:rPr>
          <w:i/>
          <w:iCs/>
          <w:sz w:val="24"/>
          <w:szCs w:val="24"/>
        </w:rPr>
        <w:t>7.1</w:t>
      </w:r>
      <w:r w:rsidRPr="00B1790E">
        <w:rPr>
          <w:i/>
          <w:iCs/>
          <w:sz w:val="24"/>
          <w:szCs w:val="24"/>
        </w:rPr>
        <w:t xml:space="preserve"> </w:t>
      </w:r>
    </w:p>
    <w:p w14:paraId="5552229D" w14:textId="77777777" w:rsidR="00EC4712" w:rsidRDefault="00EC4712" w:rsidP="00EC4712">
      <w:pPr>
        <w:pStyle w:val="ListParagraph"/>
        <w:spacing w:after="0" w:line="240" w:lineRule="auto"/>
        <w:contextualSpacing w:val="0"/>
        <w:jc w:val="center"/>
        <w:rPr>
          <w:b/>
          <w:bCs/>
          <w:sz w:val="24"/>
          <w:szCs w:val="24"/>
        </w:rPr>
      </w:pPr>
    </w:p>
    <w:p w14:paraId="01BE9587" w14:textId="044D10A6" w:rsidR="00853771" w:rsidRDefault="00BF73EF" w:rsidP="00A57810">
      <w:pPr>
        <w:spacing w:after="0" w:line="240" w:lineRule="auto"/>
        <w:jc w:val="center"/>
        <w:rPr>
          <w:b/>
          <w:bCs/>
          <w:sz w:val="24"/>
          <w:szCs w:val="24"/>
        </w:rPr>
      </w:pPr>
      <w:r w:rsidRPr="002650FB">
        <w:rPr>
          <w:b/>
          <w:bCs/>
          <w:sz w:val="24"/>
          <w:szCs w:val="24"/>
        </w:rPr>
        <w:t xml:space="preserve">Draft Implementation Language </w:t>
      </w:r>
      <w:r w:rsidR="00A57810" w:rsidRPr="00BF73EF">
        <w:rPr>
          <w:b/>
          <w:bCs/>
          <w:sz w:val="24"/>
          <w:szCs w:val="24"/>
        </w:rPr>
        <w:t>to Mandate</w:t>
      </w:r>
      <w:r w:rsidR="009F4ED2">
        <w:rPr>
          <w:b/>
          <w:bCs/>
          <w:sz w:val="24"/>
          <w:szCs w:val="24"/>
        </w:rPr>
        <w:t xml:space="preserve"> the</w:t>
      </w:r>
      <w:r w:rsidR="00A57810" w:rsidRPr="00BF73EF">
        <w:rPr>
          <w:b/>
          <w:bCs/>
          <w:sz w:val="24"/>
          <w:szCs w:val="24"/>
        </w:rPr>
        <w:t xml:space="preserve"> State Auditor’s Office</w:t>
      </w:r>
      <w:r w:rsidR="005378D9">
        <w:rPr>
          <w:b/>
          <w:bCs/>
          <w:sz w:val="24"/>
          <w:szCs w:val="24"/>
        </w:rPr>
        <w:t xml:space="preserve"> Routine</w:t>
      </w:r>
      <w:r w:rsidR="00A57810" w:rsidRPr="00BF73EF">
        <w:rPr>
          <w:b/>
          <w:bCs/>
          <w:sz w:val="24"/>
          <w:szCs w:val="24"/>
        </w:rPr>
        <w:t xml:space="preserve"> Review of</w:t>
      </w:r>
    </w:p>
    <w:p w14:paraId="43396734" w14:textId="77777777" w:rsidR="005378D9" w:rsidRDefault="00A57810" w:rsidP="00A57810">
      <w:pPr>
        <w:spacing w:after="0" w:line="240" w:lineRule="auto"/>
        <w:jc w:val="center"/>
        <w:rPr>
          <w:b/>
          <w:bCs/>
          <w:sz w:val="24"/>
          <w:szCs w:val="24"/>
        </w:rPr>
      </w:pPr>
      <w:r w:rsidRPr="00BF73EF">
        <w:rPr>
          <w:b/>
          <w:bCs/>
          <w:sz w:val="24"/>
          <w:szCs w:val="24"/>
        </w:rPr>
        <w:t xml:space="preserve"> AGE Assisted Living Residence Certification Unit</w:t>
      </w:r>
      <w:r w:rsidR="00853771">
        <w:rPr>
          <w:b/>
          <w:bCs/>
          <w:sz w:val="24"/>
          <w:szCs w:val="24"/>
        </w:rPr>
        <w:t xml:space="preserve"> and </w:t>
      </w:r>
    </w:p>
    <w:p w14:paraId="02F5AA84" w14:textId="421AE5FA" w:rsidR="00853771" w:rsidRPr="00BF73EF" w:rsidRDefault="00853771" w:rsidP="00A57810">
      <w:pPr>
        <w:spacing w:after="0" w:line="240" w:lineRule="auto"/>
        <w:jc w:val="center"/>
        <w:rPr>
          <w:b/>
          <w:bCs/>
          <w:sz w:val="24"/>
          <w:szCs w:val="24"/>
        </w:rPr>
      </w:pPr>
      <w:r>
        <w:rPr>
          <w:b/>
          <w:bCs/>
          <w:sz w:val="24"/>
          <w:szCs w:val="24"/>
        </w:rPr>
        <w:t>Other State Agenc</w:t>
      </w:r>
      <w:r w:rsidR="00D2634A">
        <w:rPr>
          <w:b/>
          <w:bCs/>
          <w:sz w:val="24"/>
          <w:szCs w:val="24"/>
        </w:rPr>
        <w:t>y Activity Centers with</w:t>
      </w:r>
      <w:r w:rsidR="005378D9">
        <w:rPr>
          <w:b/>
          <w:bCs/>
          <w:sz w:val="24"/>
          <w:szCs w:val="24"/>
        </w:rPr>
        <w:t xml:space="preserve"> </w:t>
      </w:r>
      <w:r>
        <w:rPr>
          <w:b/>
          <w:bCs/>
          <w:sz w:val="24"/>
          <w:szCs w:val="24"/>
        </w:rPr>
        <w:t>Meaningful</w:t>
      </w:r>
      <w:r w:rsidR="00D2634A">
        <w:rPr>
          <w:b/>
          <w:bCs/>
          <w:sz w:val="24"/>
          <w:szCs w:val="24"/>
        </w:rPr>
        <w:t xml:space="preserve"> ALR</w:t>
      </w:r>
      <w:r>
        <w:rPr>
          <w:b/>
          <w:bCs/>
          <w:sz w:val="24"/>
          <w:szCs w:val="24"/>
        </w:rPr>
        <w:t xml:space="preserve"> Involvement</w:t>
      </w:r>
    </w:p>
    <w:p w14:paraId="266998C1" w14:textId="77777777" w:rsidR="00EC4712" w:rsidRPr="00BF73EF" w:rsidRDefault="00EC4712" w:rsidP="00BF73EF">
      <w:pPr>
        <w:spacing w:after="0" w:line="240" w:lineRule="auto"/>
        <w:jc w:val="center"/>
        <w:rPr>
          <w:b/>
          <w:bCs/>
          <w:sz w:val="24"/>
          <w:szCs w:val="24"/>
        </w:rPr>
      </w:pPr>
    </w:p>
    <w:tbl>
      <w:tblPr>
        <w:tblStyle w:val="TableGrid"/>
        <w:tblW w:w="0" w:type="auto"/>
        <w:tblInd w:w="-5" w:type="dxa"/>
        <w:tblLook w:val="04A0" w:firstRow="1" w:lastRow="0" w:firstColumn="1" w:lastColumn="0" w:noHBand="0" w:noVBand="1"/>
      </w:tblPr>
      <w:tblGrid>
        <w:gridCol w:w="6210"/>
        <w:gridCol w:w="270"/>
        <w:gridCol w:w="4315"/>
      </w:tblGrid>
      <w:tr w:rsidR="00EC4712" w14:paraId="18115BE5" w14:textId="77777777" w:rsidTr="00180BA2">
        <w:tc>
          <w:tcPr>
            <w:tcW w:w="6210" w:type="dxa"/>
          </w:tcPr>
          <w:p w14:paraId="14318157" w14:textId="77777777" w:rsidR="00B66753" w:rsidRDefault="00EC4712" w:rsidP="00180BA2">
            <w:pPr>
              <w:pStyle w:val="ListParagraph"/>
              <w:ind w:left="0"/>
              <w:contextualSpacing w:val="0"/>
              <w:rPr>
                <w:b/>
                <w:bCs/>
              </w:rPr>
            </w:pPr>
            <w:r w:rsidRPr="00E6075B">
              <w:rPr>
                <w:b/>
                <w:bCs/>
              </w:rPr>
              <w:t>Proposed Language</w:t>
            </w:r>
            <w:r>
              <w:rPr>
                <w:b/>
                <w:bCs/>
              </w:rPr>
              <w:t xml:space="preserve"> (Entirely New Section) for </w:t>
            </w:r>
            <w:r w:rsidRPr="00096CA7">
              <w:rPr>
                <w:b/>
                <w:bCs/>
              </w:rPr>
              <w:t>Amend</w:t>
            </w:r>
            <w:r>
              <w:rPr>
                <w:b/>
                <w:bCs/>
              </w:rPr>
              <w:t>ing</w:t>
            </w:r>
            <w:r w:rsidRPr="00096CA7">
              <w:rPr>
                <w:b/>
                <w:bCs/>
              </w:rPr>
              <w:t xml:space="preserve"> the ALR statute (M.G.L. c. 19D)</w:t>
            </w:r>
          </w:p>
          <w:p w14:paraId="3C15FBEE" w14:textId="45C4B31F" w:rsidR="002A4CD2" w:rsidRPr="00B66753" w:rsidRDefault="002A4CD2" w:rsidP="00180BA2">
            <w:pPr>
              <w:pStyle w:val="ListParagraph"/>
              <w:ind w:left="0"/>
              <w:contextualSpacing w:val="0"/>
              <w:rPr>
                <w:b/>
                <w:bCs/>
              </w:rPr>
            </w:pPr>
          </w:p>
        </w:tc>
        <w:tc>
          <w:tcPr>
            <w:tcW w:w="270" w:type="dxa"/>
          </w:tcPr>
          <w:p w14:paraId="326EAECE" w14:textId="77777777" w:rsidR="00EC4712" w:rsidRDefault="00EC4712" w:rsidP="00180BA2">
            <w:pPr>
              <w:pStyle w:val="ListParagraph"/>
              <w:ind w:left="0"/>
              <w:contextualSpacing w:val="0"/>
              <w:rPr>
                <w:sz w:val="24"/>
                <w:szCs w:val="24"/>
              </w:rPr>
            </w:pPr>
          </w:p>
        </w:tc>
        <w:tc>
          <w:tcPr>
            <w:tcW w:w="4315" w:type="dxa"/>
          </w:tcPr>
          <w:p w14:paraId="5B34EA67" w14:textId="77777777" w:rsidR="00EC4712" w:rsidRDefault="00EC4712" w:rsidP="00180BA2">
            <w:pPr>
              <w:pStyle w:val="ListParagraph"/>
              <w:ind w:left="0"/>
              <w:contextualSpacing w:val="0"/>
              <w:rPr>
                <w:sz w:val="24"/>
                <w:szCs w:val="24"/>
              </w:rPr>
            </w:pPr>
            <w:r w:rsidRPr="0087213B">
              <w:rPr>
                <w:b/>
                <w:bCs/>
              </w:rPr>
              <w:t>Comment</w:t>
            </w:r>
          </w:p>
        </w:tc>
      </w:tr>
      <w:tr w:rsidR="00EC4712" w14:paraId="3477F15F" w14:textId="77777777" w:rsidTr="00180BA2">
        <w:tc>
          <w:tcPr>
            <w:tcW w:w="6210" w:type="dxa"/>
          </w:tcPr>
          <w:p w14:paraId="6CFF17F0" w14:textId="7B89D67A" w:rsidR="00EC4712" w:rsidRDefault="00307EC4" w:rsidP="00307EC4">
            <w:pPr>
              <w:rPr>
                <w:sz w:val="24"/>
                <w:szCs w:val="24"/>
              </w:rPr>
            </w:pPr>
            <w:r w:rsidRPr="0080040F">
              <w:rPr>
                <w:b/>
                <w:bCs/>
              </w:rPr>
              <w:t xml:space="preserve">Section </w:t>
            </w:r>
            <w:r>
              <w:rPr>
                <w:b/>
                <w:bCs/>
              </w:rPr>
              <w:t>4</w:t>
            </w:r>
            <w:r w:rsidRPr="0080040F">
              <w:rPr>
                <w:b/>
                <w:bCs/>
              </w:rPr>
              <w:t xml:space="preserve"> 1/</w:t>
            </w:r>
            <w:r w:rsidR="009C0EB4">
              <w:rPr>
                <w:b/>
                <w:bCs/>
              </w:rPr>
              <w:t>4</w:t>
            </w:r>
            <w:r w:rsidRPr="0080040F">
              <w:rPr>
                <w:b/>
                <w:bCs/>
              </w:rPr>
              <w:t xml:space="preserve">. </w:t>
            </w:r>
            <w:r>
              <w:rPr>
                <w:b/>
                <w:bCs/>
                <w:color w:val="000000"/>
              </w:rPr>
              <w:t>Review of Assisted Living Residences Certification Operation by the State Auditor</w:t>
            </w:r>
          </w:p>
        </w:tc>
        <w:tc>
          <w:tcPr>
            <w:tcW w:w="270" w:type="dxa"/>
          </w:tcPr>
          <w:p w14:paraId="1146316D" w14:textId="77777777" w:rsidR="00EC4712" w:rsidRDefault="00EC4712" w:rsidP="00180BA2">
            <w:pPr>
              <w:pStyle w:val="ListParagraph"/>
              <w:ind w:left="0"/>
              <w:contextualSpacing w:val="0"/>
              <w:rPr>
                <w:sz w:val="24"/>
                <w:szCs w:val="24"/>
              </w:rPr>
            </w:pPr>
          </w:p>
        </w:tc>
        <w:tc>
          <w:tcPr>
            <w:tcW w:w="4315" w:type="dxa"/>
          </w:tcPr>
          <w:p w14:paraId="4CE2D0FA" w14:textId="77777777" w:rsidR="00EC4712" w:rsidRDefault="00EC4712" w:rsidP="00180BA2">
            <w:pPr>
              <w:pStyle w:val="ListParagraph"/>
              <w:ind w:left="0"/>
              <w:contextualSpacing w:val="0"/>
              <w:rPr>
                <w:sz w:val="24"/>
                <w:szCs w:val="24"/>
              </w:rPr>
            </w:pPr>
            <w:r>
              <w:t>New Section and Title</w:t>
            </w:r>
          </w:p>
        </w:tc>
      </w:tr>
      <w:tr w:rsidR="00EC4712" w14:paraId="26456CAE" w14:textId="77777777" w:rsidTr="00180BA2">
        <w:tc>
          <w:tcPr>
            <w:tcW w:w="6210" w:type="dxa"/>
          </w:tcPr>
          <w:p w14:paraId="3CFD7091" w14:textId="77777777" w:rsidR="000D118C" w:rsidRDefault="000D118C" w:rsidP="000D118C"/>
          <w:p w14:paraId="30909C93" w14:textId="77777777" w:rsidR="00EC4712" w:rsidRDefault="000D118C" w:rsidP="00A41AF1">
            <w:r w:rsidRPr="000D118C">
              <w:t xml:space="preserve">The state auditor, pursuant to section 12 of chapter 11, shall conduct a non-financial performance audit of the department’s process of certifying assisted living residences and reviewing incident reports at a frequency of no less than once every five years. The state auditor shall make recommendations to the department, the senate and house committees on ways and means and the joint committee on aging and independence about changes in law, regulation, policy, or procedure that may improve the level of safety and consumer protection that the certification process is assuring for assisted living residents. </w:t>
            </w:r>
          </w:p>
          <w:p w14:paraId="40BC87F4" w14:textId="77777777" w:rsidR="004479B6" w:rsidRDefault="004479B6" w:rsidP="00A41AF1"/>
          <w:p w14:paraId="033DF430" w14:textId="5E3B6BBE" w:rsidR="000A3C97" w:rsidRDefault="004479B6" w:rsidP="00556341">
            <w:pPr>
              <w:rPr>
                <w:sz w:val="24"/>
                <w:szCs w:val="24"/>
              </w:rPr>
            </w:pPr>
            <w:r>
              <w:t xml:space="preserve">Furthermore, on occasion the state auditor shall consult with the Secretary </w:t>
            </w:r>
            <w:r w:rsidR="002C64B5">
              <w:t xml:space="preserve">to confirm the array of other state agencies that play a meaningful role in ensuring </w:t>
            </w:r>
            <w:r w:rsidR="009E2703">
              <w:t xml:space="preserve">state funded services delivered within an assisted living residence </w:t>
            </w:r>
            <w:r w:rsidR="00C614FA">
              <w:t xml:space="preserve">are delivering a safe service of high quality, and the auditor shall consider coordinating </w:t>
            </w:r>
            <w:r w:rsidR="009C7579">
              <w:t xml:space="preserve">the performance audits described in paragraph one with performance audits of other related state agency activity </w:t>
            </w:r>
            <w:r w:rsidR="00AF53C4">
              <w:t xml:space="preserve">centers. </w:t>
            </w:r>
          </w:p>
        </w:tc>
        <w:tc>
          <w:tcPr>
            <w:tcW w:w="270" w:type="dxa"/>
          </w:tcPr>
          <w:p w14:paraId="7ACD841D" w14:textId="77777777" w:rsidR="00EC4712" w:rsidRDefault="00EC4712" w:rsidP="00180BA2">
            <w:pPr>
              <w:pStyle w:val="ListParagraph"/>
              <w:ind w:left="0"/>
              <w:contextualSpacing w:val="0"/>
              <w:rPr>
                <w:sz w:val="24"/>
                <w:szCs w:val="24"/>
              </w:rPr>
            </w:pPr>
          </w:p>
        </w:tc>
        <w:tc>
          <w:tcPr>
            <w:tcW w:w="4315" w:type="dxa"/>
          </w:tcPr>
          <w:p w14:paraId="1120CDEE" w14:textId="77777777" w:rsidR="00EC4712" w:rsidRDefault="00EC4712" w:rsidP="00180BA2">
            <w:pPr>
              <w:pStyle w:val="ListParagraph"/>
              <w:ind w:left="0"/>
              <w:contextualSpacing w:val="0"/>
              <w:rPr>
                <w:sz w:val="24"/>
                <w:szCs w:val="24"/>
              </w:rPr>
            </w:pPr>
          </w:p>
          <w:p w14:paraId="3C7DACB4" w14:textId="77777777" w:rsidR="00616730" w:rsidRDefault="00616730" w:rsidP="00616730">
            <w:r>
              <w:t xml:space="preserve">It is acknowledged that this provision can be improved upon. </w:t>
            </w:r>
            <w:proofErr w:type="gramStart"/>
            <w:r>
              <w:t>Would</w:t>
            </w:r>
            <w:proofErr w:type="gramEnd"/>
            <w:r>
              <w:t xml:space="preserve"> like to find a way to stress that self-determination and independence considerations are balanced with safety considerations. </w:t>
            </w:r>
          </w:p>
          <w:p w14:paraId="46516ADE" w14:textId="77777777" w:rsidR="00616730" w:rsidRDefault="00616730" w:rsidP="00180BA2">
            <w:pPr>
              <w:pStyle w:val="ListParagraph"/>
              <w:ind w:left="0"/>
              <w:contextualSpacing w:val="0"/>
              <w:rPr>
                <w:sz w:val="24"/>
                <w:szCs w:val="24"/>
              </w:rPr>
            </w:pPr>
          </w:p>
          <w:p w14:paraId="395252F6" w14:textId="77777777" w:rsidR="00616730" w:rsidRPr="00616730" w:rsidRDefault="00616730" w:rsidP="00616730"/>
        </w:tc>
      </w:tr>
    </w:tbl>
    <w:p w14:paraId="5B4C2DFA" w14:textId="77777777" w:rsidR="00476F99" w:rsidRDefault="00476F99" w:rsidP="00EC4712">
      <w:pPr>
        <w:pStyle w:val="ListParagraph"/>
        <w:tabs>
          <w:tab w:val="left" w:pos="0"/>
        </w:tabs>
        <w:spacing w:after="0" w:line="240" w:lineRule="auto"/>
        <w:ind w:left="0"/>
        <w:contextualSpacing w:val="0"/>
        <w:rPr>
          <w:sz w:val="24"/>
          <w:szCs w:val="24"/>
        </w:rPr>
      </w:pPr>
    </w:p>
    <w:p w14:paraId="6307F09D" w14:textId="77777777" w:rsidR="009431BC" w:rsidRDefault="009431BC" w:rsidP="00EC4712">
      <w:pPr>
        <w:pStyle w:val="ListParagraph"/>
        <w:tabs>
          <w:tab w:val="left" w:pos="0"/>
        </w:tabs>
        <w:spacing w:after="0" w:line="240" w:lineRule="auto"/>
        <w:ind w:left="0"/>
        <w:contextualSpacing w:val="0"/>
        <w:rPr>
          <w:sz w:val="24"/>
          <w:szCs w:val="24"/>
        </w:rPr>
      </w:pPr>
    </w:p>
    <w:p w14:paraId="0DD3D33C" w14:textId="125B6DDB" w:rsidR="009431BC" w:rsidRDefault="009431BC">
      <w:pPr>
        <w:rPr>
          <w:sz w:val="24"/>
          <w:szCs w:val="24"/>
        </w:rPr>
      </w:pPr>
      <w:r>
        <w:rPr>
          <w:sz w:val="24"/>
          <w:szCs w:val="24"/>
        </w:rPr>
        <w:br w:type="page"/>
      </w:r>
    </w:p>
    <w:p w14:paraId="7929AA58" w14:textId="671DC435" w:rsidR="009431BC" w:rsidRPr="00B1790E" w:rsidRDefault="009431BC" w:rsidP="009431BC">
      <w:pPr>
        <w:pStyle w:val="ListParagraph"/>
        <w:spacing w:after="0" w:line="240" w:lineRule="auto"/>
        <w:contextualSpacing w:val="0"/>
        <w:jc w:val="center"/>
        <w:rPr>
          <w:i/>
          <w:iCs/>
          <w:sz w:val="24"/>
          <w:szCs w:val="24"/>
        </w:rPr>
      </w:pPr>
      <w:r w:rsidRPr="00B1790E">
        <w:rPr>
          <w:i/>
          <w:iCs/>
          <w:sz w:val="24"/>
          <w:szCs w:val="24"/>
        </w:rPr>
        <w:lastRenderedPageBreak/>
        <w:t xml:space="preserve">Exhibit #8.0 </w:t>
      </w:r>
    </w:p>
    <w:p w14:paraId="1ED0DE3A" w14:textId="77777777" w:rsidR="009431BC" w:rsidRDefault="009431BC" w:rsidP="009431BC">
      <w:pPr>
        <w:pStyle w:val="ListParagraph"/>
        <w:spacing w:after="0" w:line="240" w:lineRule="auto"/>
        <w:contextualSpacing w:val="0"/>
        <w:jc w:val="center"/>
        <w:rPr>
          <w:b/>
          <w:bCs/>
          <w:sz w:val="24"/>
          <w:szCs w:val="24"/>
        </w:rPr>
      </w:pPr>
      <w:r>
        <w:rPr>
          <w:b/>
          <w:bCs/>
          <w:sz w:val="24"/>
          <w:szCs w:val="24"/>
        </w:rPr>
        <w:t xml:space="preserve">  </w:t>
      </w:r>
    </w:p>
    <w:p w14:paraId="4DEA07C6" w14:textId="77777777" w:rsidR="009431BC" w:rsidRDefault="009431BC" w:rsidP="009431BC">
      <w:pPr>
        <w:pStyle w:val="ListParagraph"/>
        <w:spacing w:after="0" w:line="240" w:lineRule="auto"/>
        <w:contextualSpacing w:val="0"/>
        <w:jc w:val="center"/>
        <w:rPr>
          <w:b/>
          <w:bCs/>
          <w:sz w:val="24"/>
          <w:szCs w:val="24"/>
        </w:rPr>
      </w:pPr>
    </w:p>
    <w:tbl>
      <w:tblPr>
        <w:tblStyle w:val="TableGrid"/>
        <w:tblW w:w="0" w:type="auto"/>
        <w:tblInd w:w="-5" w:type="dxa"/>
        <w:tblLook w:val="04A0" w:firstRow="1" w:lastRow="0" w:firstColumn="1" w:lastColumn="0" w:noHBand="0" w:noVBand="1"/>
      </w:tblPr>
      <w:tblGrid>
        <w:gridCol w:w="1564"/>
        <w:gridCol w:w="262"/>
        <w:gridCol w:w="8344"/>
      </w:tblGrid>
      <w:tr w:rsidR="009431BC" w14:paraId="28E61E6B" w14:textId="77777777" w:rsidTr="008A42EC">
        <w:tc>
          <w:tcPr>
            <w:tcW w:w="1564" w:type="dxa"/>
          </w:tcPr>
          <w:p w14:paraId="26391351" w14:textId="77777777" w:rsidR="009431BC" w:rsidRPr="00326E1D" w:rsidRDefault="009431BC" w:rsidP="008A42EC">
            <w:pPr>
              <w:rPr>
                <w:b/>
                <w:bCs/>
              </w:rPr>
            </w:pPr>
            <w:r w:rsidRPr="00326E1D">
              <w:rPr>
                <w:b/>
                <w:bCs/>
              </w:rPr>
              <w:t>Solution</w:t>
            </w:r>
            <w:r>
              <w:rPr>
                <w:b/>
                <w:bCs/>
              </w:rPr>
              <w:t xml:space="preserve"> 5</w:t>
            </w:r>
            <w:r w:rsidRPr="00326E1D">
              <w:rPr>
                <w:b/>
                <w:bCs/>
              </w:rPr>
              <w:t>:</w:t>
            </w:r>
          </w:p>
        </w:tc>
        <w:tc>
          <w:tcPr>
            <w:tcW w:w="262" w:type="dxa"/>
          </w:tcPr>
          <w:p w14:paraId="76A6E2D7" w14:textId="77777777" w:rsidR="009431BC" w:rsidRDefault="009431BC" w:rsidP="008A42EC"/>
        </w:tc>
        <w:tc>
          <w:tcPr>
            <w:tcW w:w="8344" w:type="dxa"/>
          </w:tcPr>
          <w:p w14:paraId="7B5938D4" w14:textId="11E0FDF4" w:rsidR="009431BC" w:rsidRDefault="006B0BCD" w:rsidP="008A42EC">
            <w:r w:rsidRPr="00706D9F">
              <w:rPr>
                <w:b/>
                <w:bCs/>
              </w:rPr>
              <w:t>Enhance Assisted Living Residence Minimum Staffing Requirements</w:t>
            </w:r>
          </w:p>
        </w:tc>
      </w:tr>
      <w:tr w:rsidR="009431BC" w14:paraId="0A4D7787" w14:textId="77777777" w:rsidTr="008A42EC">
        <w:trPr>
          <w:trHeight w:val="431"/>
        </w:trPr>
        <w:tc>
          <w:tcPr>
            <w:tcW w:w="1564" w:type="dxa"/>
          </w:tcPr>
          <w:p w14:paraId="1F29BD06" w14:textId="77777777" w:rsidR="009431BC" w:rsidRPr="00326E1D" w:rsidRDefault="009431BC" w:rsidP="008A42EC">
            <w:pPr>
              <w:rPr>
                <w:b/>
                <w:bCs/>
              </w:rPr>
            </w:pPr>
            <w:r w:rsidRPr="00326E1D">
              <w:rPr>
                <w:b/>
                <w:bCs/>
              </w:rPr>
              <w:t>Domain:</w:t>
            </w:r>
          </w:p>
        </w:tc>
        <w:tc>
          <w:tcPr>
            <w:tcW w:w="262" w:type="dxa"/>
          </w:tcPr>
          <w:p w14:paraId="1F4553F7" w14:textId="77777777" w:rsidR="009431BC" w:rsidRDefault="009431BC" w:rsidP="008A42EC"/>
        </w:tc>
        <w:tc>
          <w:tcPr>
            <w:tcW w:w="8344" w:type="dxa"/>
          </w:tcPr>
          <w:p w14:paraId="41B2FAD4" w14:textId="23A17F5F" w:rsidR="009431BC" w:rsidRDefault="001775A8" w:rsidP="008A42EC">
            <w:r>
              <w:t>Consumer Protection and Emergency Preparedness</w:t>
            </w:r>
          </w:p>
        </w:tc>
      </w:tr>
      <w:tr w:rsidR="009431BC" w14:paraId="10C06E56" w14:textId="77777777" w:rsidTr="008A42EC">
        <w:trPr>
          <w:trHeight w:val="440"/>
        </w:trPr>
        <w:tc>
          <w:tcPr>
            <w:tcW w:w="1564" w:type="dxa"/>
          </w:tcPr>
          <w:p w14:paraId="58EF27B8" w14:textId="77777777" w:rsidR="009431BC" w:rsidRPr="00326E1D" w:rsidRDefault="009431BC" w:rsidP="008A42EC">
            <w:pPr>
              <w:rPr>
                <w:b/>
                <w:bCs/>
              </w:rPr>
            </w:pPr>
            <w:r w:rsidRPr="00326E1D">
              <w:rPr>
                <w:b/>
                <w:bCs/>
              </w:rPr>
              <w:t>Change Type:</w:t>
            </w:r>
          </w:p>
        </w:tc>
        <w:tc>
          <w:tcPr>
            <w:tcW w:w="262" w:type="dxa"/>
          </w:tcPr>
          <w:p w14:paraId="69D3A817" w14:textId="77777777" w:rsidR="009431BC" w:rsidRDefault="009431BC" w:rsidP="008A42EC"/>
        </w:tc>
        <w:tc>
          <w:tcPr>
            <w:tcW w:w="8344" w:type="dxa"/>
          </w:tcPr>
          <w:p w14:paraId="77E469EC" w14:textId="5E587489" w:rsidR="009431BC" w:rsidRDefault="00F22BBC" w:rsidP="008A42EC">
            <w:r>
              <w:t>Resolve of 2025</w:t>
            </w:r>
          </w:p>
        </w:tc>
      </w:tr>
      <w:tr w:rsidR="00D6146D" w14:paraId="6C5C6D53" w14:textId="77777777" w:rsidTr="008A42EC">
        <w:trPr>
          <w:trHeight w:val="440"/>
        </w:trPr>
        <w:tc>
          <w:tcPr>
            <w:tcW w:w="1564" w:type="dxa"/>
          </w:tcPr>
          <w:p w14:paraId="4155866D" w14:textId="77777777" w:rsidR="00D6146D" w:rsidRPr="00326E1D" w:rsidRDefault="00D6146D" w:rsidP="00D6146D">
            <w:pPr>
              <w:rPr>
                <w:b/>
                <w:bCs/>
              </w:rPr>
            </w:pPr>
            <w:r w:rsidRPr="00326E1D">
              <w:rPr>
                <w:b/>
                <w:bCs/>
              </w:rPr>
              <w:t>Problem Statement:</w:t>
            </w:r>
          </w:p>
        </w:tc>
        <w:tc>
          <w:tcPr>
            <w:tcW w:w="262" w:type="dxa"/>
          </w:tcPr>
          <w:p w14:paraId="0912CB62" w14:textId="77777777" w:rsidR="00D6146D" w:rsidRDefault="00D6146D" w:rsidP="00D6146D"/>
        </w:tc>
        <w:tc>
          <w:tcPr>
            <w:tcW w:w="8344" w:type="dxa"/>
          </w:tcPr>
          <w:p w14:paraId="3D832CDA" w14:textId="3C772760" w:rsidR="00D6146D" w:rsidRDefault="00D6146D" w:rsidP="00D6146D">
            <w:r>
              <w:t>Existing ALR staffing requirements are out of date and inadequate.</w:t>
            </w:r>
          </w:p>
        </w:tc>
      </w:tr>
      <w:tr w:rsidR="00D6146D" w14:paraId="33AF60DF" w14:textId="77777777" w:rsidTr="008A42EC">
        <w:tc>
          <w:tcPr>
            <w:tcW w:w="1564" w:type="dxa"/>
          </w:tcPr>
          <w:p w14:paraId="30DB09F5" w14:textId="77777777" w:rsidR="00D6146D" w:rsidRPr="00326E1D" w:rsidRDefault="00D6146D" w:rsidP="00D6146D">
            <w:pPr>
              <w:rPr>
                <w:b/>
                <w:bCs/>
              </w:rPr>
            </w:pPr>
            <w:r w:rsidRPr="00326E1D">
              <w:rPr>
                <w:b/>
                <w:bCs/>
              </w:rPr>
              <w:t>Solution Narrative:</w:t>
            </w:r>
          </w:p>
        </w:tc>
        <w:tc>
          <w:tcPr>
            <w:tcW w:w="262" w:type="dxa"/>
          </w:tcPr>
          <w:p w14:paraId="5E19B8C5" w14:textId="77777777" w:rsidR="00D6146D" w:rsidRDefault="00D6146D" w:rsidP="00D6146D"/>
        </w:tc>
        <w:tc>
          <w:tcPr>
            <w:tcW w:w="8344" w:type="dxa"/>
          </w:tcPr>
          <w:p w14:paraId="767220DD" w14:textId="0604860B" w:rsidR="003F4CF5" w:rsidRDefault="003F4CF5" w:rsidP="003F4CF5">
            <w:r>
              <w:t>The proposed approach is for a special law to instruct the Secretary of Aging and Independence to revise regulations and enhance minimum staffing requirements. The resolve seeks an update on implementation progress by 3/31/26.</w:t>
            </w:r>
          </w:p>
          <w:p w14:paraId="1363B221" w14:textId="77777777" w:rsidR="003F4CF5" w:rsidRDefault="003F4CF5" w:rsidP="003F4CF5"/>
          <w:p w14:paraId="72B54891" w14:textId="77777777" w:rsidR="003F4CF5" w:rsidRDefault="003F4CF5" w:rsidP="003F4CF5">
            <w:r>
              <w:t>The approach recommends the development of an “Assisted Living</w:t>
            </w:r>
            <w:r w:rsidRPr="00FF0176">
              <w:t xml:space="preserve"> Minimum Staffing Requirement Index</w:t>
            </w:r>
            <w:r>
              <w:t xml:space="preserve">” that is based on the overall volume of residents, and the aggregate acuity level of the residents. </w:t>
            </w:r>
          </w:p>
          <w:p w14:paraId="42216A5E" w14:textId="77777777" w:rsidR="009109C2" w:rsidRDefault="009109C2" w:rsidP="003F4CF5"/>
          <w:p w14:paraId="2FADE5CD" w14:textId="459ADD27" w:rsidR="003F4CF5" w:rsidRDefault="003F4CF5" w:rsidP="003F4CF5">
            <w:r>
              <w:t>Furthermore, the resolve establishes a mandatory role for social workers</w:t>
            </w:r>
            <w:r w:rsidR="000F296A">
              <w:t xml:space="preserve"> licensed</w:t>
            </w:r>
            <w:r w:rsidR="00541834">
              <w:t xml:space="preserve"> in</w:t>
            </w:r>
            <w:r w:rsidR="000F296A">
              <w:t xml:space="preserve"> Massachusetts</w:t>
            </w:r>
            <w:r>
              <w:t xml:space="preserve"> </w:t>
            </w:r>
            <w:r w:rsidR="00D36B87">
              <w:t xml:space="preserve">within </w:t>
            </w:r>
            <w:r>
              <w:t>the ALR service model.</w:t>
            </w:r>
          </w:p>
          <w:p w14:paraId="3D1D9A25" w14:textId="6738506C" w:rsidR="00D6146D" w:rsidRDefault="00D6146D" w:rsidP="00D6146D"/>
        </w:tc>
      </w:tr>
      <w:tr w:rsidR="00D6146D" w14:paraId="48DA16AF" w14:textId="77777777" w:rsidTr="008A42EC">
        <w:trPr>
          <w:trHeight w:val="404"/>
        </w:trPr>
        <w:tc>
          <w:tcPr>
            <w:tcW w:w="1564" w:type="dxa"/>
          </w:tcPr>
          <w:p w14:paraId="6A242646" w14:textId="77777777" w:rsidR="00D6146D" w:rsidRPr="00326E1D" w:rsidRDefault="00D6146D" w:rsidP="00D6146D">
            <w:pPr>
              <w:rPr>
                <w:b/>
                <w:bCs/>
              </w:rPr>
            </w:pPr>
            <w:r w:rsidRPr="00326E1D">
              <w:rPr>
                <w:b/>
                <w:bCs/>
              </w:rPr>
              <w:t>Insertion Description:</w:t>
            </w:r>
          </w:p>
        </w:tc>
        <w:tc>
          <w:tcPr>
            <w:tcW w:w="262" w:type="dxa"/>
          </w:tcPr>
          <w:p w14:paraId="07DD2E6A" w14:textId="77777777" w:rsidR="00D6146D" w:rsidRDefault="00D6146D" w:rsidP="00D6146D"/>
        </w:tc>
        <w:tc>
          <w:tcPr>
            <w:tcW w:w="8344" w:type="dxa"/>
          </w:tcPr>
          <w:p w14:paraId="4B4A49F6" w14:textId="269DB8FA" w:rsidR="00D6146D" w:rsidRPr="00326E1D" w:rsidRDefault="008F109A" w:rsidP="00D6146D">
            <w:r>
              <w:t>Special law introduced as a Resolve of 2025</w:t>
            </w:r>
          </w:p>
          <w:p w14:paraId="7C0437B5" w14:textId="77777777" w:rsidR="00D6146D" w:rsidRDefault="00D6146D" w:rsidP="00D6146D"/>
        </w:tc>
      </w:tr>
    </w:tbl>
    <w:p w14:paraId="589221DB" w14:textId="77777777" w:rsidR="009431BC" w:rsidRDefault="009431BC" w:rsidP="00EC4712">
      <w:pPr>
        <w:pStyle w:val="ListParagraph"/>
        <w:tabs>
          <w:tab w:val="left" w:pos="0"/>
        </w:tabs>
        <w:spacing w:after="0" w:line="240" w:lineRule="auto"/>
        <w:ind w:left="0"/>
        <w:contextualSpacing w:val="0"/>
        <w:rPr>
          <w:sz w:val="24"/>
          <w:szCs w:val="24"/>
        </w:rPr>
      </w:pPr>
    </w:p>
    <w:p w14:paraId="696AED5F" w14:textId="77777777" w:rsidR="008F109A" w:rsidRDefault="008F109A" w:rsidP="00EC4712">
      <w:pPr>
        <w:pStyle w:val="ListParagraph"/>
        <w:tabs>
          <w:tab w:val="left" w:pos="0"/>
        </w:tabs>
        <w:spacing w:after="0" w:line="240" w:lineRule="auto"/>
        <w:ind w:left="0"/>
        <w:contextualSpacing w:val="0"/>
        <w:rPr>
          <w:sz w:val="24"/>
          <w:szCs w:val="24"/>
        </w:rPr>
      </w:pPr>
    </w:p>
    <w:p w14:paraId="07274790" w14:textId="08F111AB" w:rsidR="008F109A" w:rsidRDefault="008F109A">
      <w:pPr>
        <w:rPr>
          <w:sz w:val="24"/>
          <w:szCs w:val="24"/>
        </w:rPr>
      </w:pPr>
      <w:r>
        <w:rPr>
          <w:sz w:val="24"/>
          <w:szCs w:val="24"/>
        </w:rPr>
        <w:br w:type="page"/>
      </w:r>
    </w:p>
    <w:p w14:paraId="56913B1D" w14:textId="3479DAE8" w:rsidR="008F109A" w:rsidRPr="00466185" w:rsidRDefault="008F109A" w:rsidP="008F109A">
      <w:pPr>
        <w:pStyle w:val="ListParagraph"/>
        <w:spacing w:after="0" w:line="240" w:lineRule="auto"/>
        <w:contextualSpacing w:val="0"/>
        <w:jc w:val="center"/>
        <w:rPr>
          <w:i/>
          <w:iCs/>
          <w:sz w:val="24"/>
          <w:szCs w:val="24"/>
        </w:rPr>
      </w:pPr>
      <w:r w:rsidRPr="00466185">
        <w:rPr>
          <w:i/>
          <w:iCs/>
          <w:sz w:val="24"/>
          <w:szCs w:val="24"/>
        </w:rPr>
        <w:lastRenderedPageBreak/>
        <w:t xml:space="preserve">Exhibit #8.1 </w:t>
      </w:r>
    </w:p>
    <w:p w14:paraId="1C95B682" w14:textId="77777777" w:rsidR="008F109A" w:rsidRDefault="008F109A" w:rsidP="008F109A">
      <w:pPr>
        <w:pStyle w:val="ListParagraph"/>
        <w:spacing w:after="0" w:line="240" w:lineRule="auto"/>
        <w:contextualSpacing w:val="0"/>
        <w:jc w:val="center"/>
        <w:rPr>
          <w:b/>
          <w:bCs/>
          <w:sz w:val="24"/>
          <w:szCs w:val="24"/>
        </w:rPr>
      </w:pPr>
    </w:p>
    <w:p w14:paraId="5397EC47" w14:textId="77777777" w:rsidR="008F109A" w:rsidRPr="00BF73EF" w:rsidRDefault="008F109A" w:rsidP="008F109A">
      <w:pPr>
        <w:spacing w:after="0" w:line="240" w:lineRule="auto"/>
        <w:jc w:val="center"/>
        <w:rPr>
          <w:b/>
          <w:bCs/>
          <w:sz w:val="24"/>
          <w:szCs w:val="24"/>
        </w:rPr>
      </w:pPr>
    </w:p>
    <w:tbl>
      <w:tblPr>
        <w:tblStyle w:val="TableGrid"/>
        <w:tblW w:w="0" w:type="auto"/>
        <w:tblInd w:w="-5" w:type="dxa"/>
        <w:tblLook w:val="04A0" w:firstRow="1" w:lastRow="0" w:firstColumn="1" w:lastColumn="0" w:noHBand="0" w:noVBand="1"/>
      </w:tblPr>
      <w:tblGrid>
        <w:gridCol w:w="6840"/>
        <w:gridCol w:w="270"/>
        <w:gridCol w:w="3685"/>
      </w:tblGrid>
      <w:tr w:rsidR="00000C03" w14:paraId="69ABBBCC" w14:textId="77777777" w:rsidTr="005A4CD9">
        <w:tc>
          <w:tcPr>
            <w:tcW w:w="6840" w:type="dxa"/>
          </w:tcPr>
          <w:p w14:paraId="51D929D4" w14:textId="33315923" w:rsidR="00000C03" w:rsidRPr="00B66753" w:rsidRDefault="00000C03" w:rsidP="00000C03">
            <w:pPr>
              <w:pStyle w:val="ListParagraph"/>
              <w:ind w:left="0"/>
              <w:contextualSpacing w:val="0"/>
              <w:rPr>
                <w:b/>
                <w:bCs/>
              </w:rPr>
            </w:pPr>
            <w:r w:rsidRPr="00E6075B">
              <w:rPr>
                <w:b/>
                <w:bCs/>
              </w:rPr>
              <w:t>Proposed Language</w:t>
            </w:r>
          </w:p>
        </w:tc>
        <w:tc>
          <w:tcPr>
            <w:tcW w:w="270" w:type="dxa"/>
          </w:tcPr>
          <w:p w14:paraId="132690E5" w14:textId="77777777" w:rsidR="00000C03" w:rsidRDefault="00000C03" w:rsidP="00000C03">
            <w:pPr>
              <w:pStyle w:val="ListParagraph"/>
              <w:ind w:left="0"/>
              <w:contextualSpacing w:val="0"/>
              <w:rPr>
                <w:sz w:val="24"/>
                <w:szCs w:val="24"/>
              </w:rPr>
            </w:pPr>
          </w:p>
        </w:tc>
        <w:tc>
          <w:tcPr>
            <w:tcW w:w="3685" w:type="dxa"/>
          </w:tcPr>
          <w:p w14:paraId="499163BA" w14:textId="250F70E9" w:rsidR="00000C03" w:rsidRDefault="00000C03" w:rsidP="00000C03">
            <w:pPr>
              <w:pStyle w:val="ListParagraph"/>
              <w:ind w:left="0"/>
              <w:contextualSpacing w:val="0"/>
              <w:rPr>
                <w:sz w:val="24"/>
                <w:szCs w:val="24"/>
              </w:rPr>
            </w:pPr>
            <w:r w:rsidRPr="0087213B">
              <w:rPr>
                <w:b/>
                <w:bCs/>
              </w:rPr>
              <w:t>Comment</w:t>
            </w:r>
          </w:p>
        </w:tc>
      </w:tr>
      <w:tr w:rsidR="00000C03" w14:paraId="029C5362" w14:textId="77777777" w:rsidTr="005A4CD9">
        <w:tc>
          <w:tcPr>
            <w:tcW w:w="6840" w:type="dxa"/>
          </w:tcPr>
          <w:p w14:paraId="7EAE4F8A" w14:textId="77777777" w:rsidR="008D6FCB" w:rsidRDefault="008D6FCB" w:rsidP="008D6FCB">
            <w:r w:rsidRPr="00846B02">
              <w:t>RESOLVE PROVIDING FOR</w:t>
            </w:r>
            <w:r>
              <w:t xml:space="preserve"> </w:t>
            </w:r>
            <w:r w:rsidRPr="00846B02">
              <w:t>THE</w:t>
            </w:r>
            <w:r>
              <w:t xml:space="preserve"> SECRETARY OF AGING AND INDEPENDENCE TO ENHANCE THE MINIMUM STAFFING REQUIREMENTS OF ASSISTED LIVING RESIDENCES.</w:t>
            </w:r>
          </w:p>
          <w:p w14:paraId="7C506A28" w14:textId="5C6B5F47" w:rsidR="00000C03" w:rsidRDefault="00000C03" w:rsidP="00000C03">
            <w:pPr>
              <w:rPr>
                <w:sz w:val="24"/>
                <w:szCs w:val="24"/>
              </w:rPr>
            </w:pPr>
          </w:p>
        </w:tc>
        <w:tc>
          <w:tcPr>
            <w:tcW w:w="270" w:type="dxa"/>
          </w:tcPr>
          <w:p w14:paraId="340573B2" w14:textId="77777777" w:rsidR="00000C03" w:rsidRDefault="00000C03" w:rsidP="00000C03">
            <w:pPr>
              <w:pStyle w:val="ListParagraph"/>
              <w:ind w:left="0"/>
              <w:contextualSpacing w:val="0"/>
              <w:rPr>
                <w:sz w:val="24"/>
                <w:szCs w:val="24"/>
              </w:rPr>
            </w:pPr>
          </w:p>
        </w:tc>
        <w:tc>
          <w:tcPr>
            <w:tcW w:w="3685" w:type="dxa"/>
          </w:tcPr>
          <w:p w14:paraId="5034548C" w14:textId="441EB8A4" w:rsidR="00000C03" w:rsidRDefault="00000C03" w:rsidP="00000C03">
            <w:pPr>
              <w:pStyle w:val="ListParagraph"/>
              <w:ind w:left="0"/>
              <w:contextualSpacing w:val="0"/>
              <w:rPr>
                <w:sz w:val="24"/>
                <w:szCs w:val="24"/>
              </w:rPr>
            </w:pPr>
            <w:r>
              <w:t>Overview Statement to Resolve</w:t>
            </w:r>
          </w:p>
        </w:tc>
      </w:tr>
      <w:tr w:rsidR="00297AC2" w14:paraId="0C61DF2E" w14:textId="77777777" w:rsidTr="005A4CD9">
        <w:tc>
          <w:tcPr>
            <w:tcW w:w="6840" w:type="dxa"/>
          </w:tcPr>
          <w:p w14:paraId="44ECE24B" w14:textId="61846D0B" w:rsidR="00297AC2" w:rsidRDefault="00297AC2" w:rsidP="00297AC2">
            <w:r w:rsidRPr="00E3179F">
              <w:rPr>
                <w:b/>
                <w:bCs/>
              </w:rPr>
              <w:t>Resolved</w:t>
            </w:r>
            <w:r w:rsidRPr="00E3179F">
              <w:t>, </w:t>
            </w:r>
            <w:r w:rsidRPr="00846B02">
              <w:t>That</w:t>
            </w:r>
            <w:r>
              <w:t xml:space="preserve"> consistent with the powers assigned by section six of chapter 19A and section fifteen of chapter 19D of the General Laws, </w:t>
            </w:r>
            <w:r w:rsidRPr="00846B02">
              <w:t xml:space="preserve">the </w:t>
            </w:r>
            <w:r>
              <w:t xml:space="preserve">secretary of aging and independence shall revise regulations to </w:t>
            </w:r>
            <w:r w:rsidRPr="00FF0176">
              <w:t>establish minimum staffing requirements</w:t>
            </w:r>
            <w:r>
              <w:t xml:space="preserve"> for assisted living residences. Such minimum staffing requirements will be at least partially </w:t>
            </w:r>
            <w:r w:rsidRPr="00FF0176">
              <w:t xml:space="preserve">derived from the annual report of </w:t>
            </w:r>
            <w:r>
              <w:t>assisted living residence</w:t>
            </w:r>
            <w:r w:rsidRPr="00FF0176">
              <w:t xml:space="preserve"> residents as established by 651 CMR 12:04 (13)(a)(2). The Secretary shall develop an </w:t>
            </w:r>
            <w:r>
              <w:t>“Assisted Living</w:t>
            </w:r>
            <w:r w:rsidRPr="00FF0176">
              <w:t xml:space="preserve"> Minimum Staffing Requirement Index</w:t>
            </w:r>
            <w:r>
              <w:t>”</w:t>
            </w:r>
            <w:r w:rsidRPr="00FF0176">
              <w:t>. Calculation inputs to the index shall include, but not be limited to, (i)</w:t>
            </w:r>
            <w:r>
              <w:t xml:space="preserve"> </w:t>
            </w:r>
            <w:r w:rsidRPr="00FF0176">
              <w:t xml:space="preserve">the total number of  </w:t>
            </w:r>
            <w:r>
              <w:t>r</w:t>
            </w:r>
            <w:r w:rsidRPr="00FF0176">
              <w:t xml:space="preserve">esidents, (ii) the percentage of residents with a medical diagnosis of Alzheimer’s disease or related dementia, (iii) the number of special care residents. and (IV) the average number of </w:t>
            </w:r>
            <w:r>
              <w:t xml:space="preserve">activities of daily living </w:t>
            </w:r>
            <w:r w:rsidRPr="00FF0176">
              <w:t xml:space="preserve"> with which current </w:t>
            </w:r>
            <w:r>
              <w:t>r</w:t>
            </w:r>
            <w:r w:rsidRPr="00FF0176">
              <w:t>esidents receive assistance. </w:t>
            </w:r>
          </w:p>
          <w:p w14:paraId="0E5F7AF0" w14:textId="699E3681" w:rsidR="00297AC2" w:rsidRDefault="00297AC2" w:rsidP="00297AC2">
            <w:pPr>
              <w:rPr>
                <w:sz w:val="24"/>
                <w:szCs w:val="24"/>
              </w:rPr>
            </w:pPr>
          </w:p>
        </w:tc>
        <w:tc>
          <w:tcPr>
            <w:tcW w:w="270" w:type="dxa"/>
          </w:tcPr>
          <w:p w14:paraId="7FFBF4CB" w14:textId="77777777" w:rsidR="00297AC2" w:rsidRDefault="00297AC2" w:rsidP="00297AC2">
            <w:pPr>
              <w:pStyle w:val="ListParagraph"/>
              <w:ind w:left="0"/>
              <w:contextualSpacing w:val="0"/>
              <w:rPr>
                <w:sz w:val="24"/>
                <w:szCs w:val="24"/>
              </w:rPr>
            </w:pPr>
          </w:p>
        </w:tc>
        <w:tc>
          <w:tcPr>
            <w:tcW w:w="3685" w:type="dxa"/>
          </w:tcPr>
          <w:p w14:paraId="7328EEAA" w14:textId="77777777" w:rsidR="00297AC2" w:rsidRDefault="00297AC2" w:rsidP="00297AC2">
            <w:pPr>
              <w:jc w:val="center"/>
            </w:pPr>
          </w:p>
          <w:p w14:paraId="1046EF95" w14:textId="4EB9DA9B" w:rsidR="00297AC2" w:rsidRPr="00616730" w:rsidRDefault="00297AC2" w:rsidP="00297AC2">
            <w:r>
              <w:t>Note that it is a relatively low</w:t>
            </w:r>
            <w:r w:rsidR="007A599E">
              <w:t xml:space="preserve"> level-of-effort</w:t>
            </w:r>
            <w:r>
              <w:t xml:space="preserve"> effort for AGE to develop the envisioned index. The necessary data is routinely collected on an annual basis by AGE from each ALR.</w:t>
            </w:r>
          </w:p>
        </w:tc>
      </w:tr>
      <w:tr w:rsidR="00297AC2" w14:paraId="78826EC7" w14:textId="77777777" w:rsidTr="005A4CD9">
        <w:tc>
          <w:tcPr>
            <w:tcW w:w="6840" w:type="dxa"/>
          </w:tcPr>
          <w:p w14:paraId="399BEEFF" w14:textId="77777777" w:rsidR="00946929" w:rsidRDefault="00946929" w:rsidP="00297AC2"/>
          <w:p w14:paraId="10FF920D" w14:textId="2E8FF459" w:rsidR="00297AC2" w:rsidRDefault="00297AC2" w:rsidP="00297AC2">
            <w:r w:rsidRPr="00706D9F">
              <w:t>Furthermore, the secretary shall revise regulations to ensure residents have access to a social worker</w:t>
            </w:r>
            <w:r w:rsidR="00C705CB">
              <w:t xml:space="preserve"> who is licensed in Massachusetts</w:t>
            </w:r>
            <w:r w:rsidRPr="00706D9F">
              <w:t xml:space="preserve"> and that such social worker has a meaningful role in collaboration with the nurse and service coordinator in the course of conducting the “screening and assessment” and "service plan development” duties established by 651 CMR 12:04(6) and 12:04(7), respectively.</w:t>
            </w:r>
          </w:p>
          <w:p w14:paraId="5C154BF2" w14:textId="77777777" w:rsidR="00297AC2" w:rsidRPr="00E3179F" w:rsidRDefault="00297AC2" w:rsidP="00297AC2">
            <w:pPr>
              <w:rPr>
                <w:b/>
                <w:bCs/>
              </w:rPr>
            </w:pPr>
          </w:p>
        </w:tc>
        <w:tc>
          <w:tcPr>
            <w:tcW w:w="270" w:type="dxa"/>
          </w:tcPr>
          <w:p w14:paraId="380F75DB" w14:textId="77777777" w:rsidR="00297AC2" w:rsidRDefault="00297AC2" w:rsidP="00297AC2">
            <w:pPr>
              <w:pStyle w:val="ListParagraph"/>
              <w:ind w:left="0"/>
              <w:contextualSpacing w:val="0"/>
              <w:rPr>
                <w:sz w:val="24"/>
                <w:szCs w:val="24"/>
              </w:rPr>
            </w:pPr>
          </w:p>
        </w:tc>
        <w:tc>
          <w:tcPr>
            <w:tcW w:w="3685" w:type="dxa"/>
          </w:tcPr>
          <w:p w14:paraId="0782BF42" w14:textId="77777777" w:rsidR="00946929" w:rsidRDefault="00946929" w:rsidP="00297AC2"/>
          <w:p w14:paraId="44291E76" w14:textId="4C44D3EB" w:rsidR="00297AC2" w:rsidRPr="00616730" w:rsidRDefault="00946929" w:rsidP="00297AC2">
            <w:r>
              <w:t xml:space="preserve">Requirement addresses particular concern with the need to ensure an ALR Resident is accessing and leveraging Medicare and Medicaid benefits within their ALR service plan.  </w:t>
            </w:r>
          </w:p>
        </w:tc>
      </w:tr>
      <w:tr w:rsidR="00297AC2" w14:paraId="67C30D15" w14:textId="77777777" w:rsidTr="005A4CD9">
        <w:tc>
          <w:tcPr>
            <w:tcW w:w="6840" w:type="dxa"/>
          </w:tcPr>
          <w:p w14:paraId="2BB89272" w14:textId="77777777" w:rsidR="00297AC2" w:rsidRPr="00706D9F" w:rsidRDefault="00297AC2" w:rsidP="00297AC2">
            <w:r w:rsidRPr="00846B02">
              <w:t xml:space="preserve">The </w:t>
            </w:r>
            <w:r>
              <w:t>Secretary</w:t>
            </w:r>
            <w:r w:rsidRPr="00846B02">
              <w:t xml:space="preserve"> shall file a report</w:t>
            </w:r>
            <w:r>
              <w:t xml:space="preserve"> to update on the progress of installing revised assisted living residence staffing requirements </w:t>
            </w:r>
            <w:r w:rsidRPr="00846B02">
              <w:t xml:space="preserve">with the governor and the clerks of the senate and house of representatives not later than </w:t>
            </w:r>
            <w:r>
              <w:t>March 31</w:t>
            </w:r>
            <w:r w:rsidRPr="00846B02">
              <w:t>, 20</w:t>
            </w:r>
            <w:r>
              <w:t>26</w:t>
            </w:r>
            <w:r w:rsidRPr="00846B02">
              <w:t>.</w:t>
            </w:r>
          </w:p>
          <w:p w14:paraId="1B62C4BB" w14:textId="77777777" w:rsidR="00297AC2" w:rsidRPr="00E3179F" w:rsidRDefault="00297AC2" w:rsidP="00297AC2">
            <w:pPr>
              <w:rPr>
                <w:b/>
                <w:bCs/>
              </w:rPr>
            </w:pPr>
          </w:p>
        </w:tc>
        <w:tc>
          <w:tcPr>
            <w:tcW w:w="270" w:type="dxa"/>
          </w:tcPr>
          <w:p w14:paraId="3721F1AE" w14:textId="77777777" w:rsidR="00297AC2" w:rsidRDefault="00297AC2" w:rsidP="00297AC2">
            <w:pPr>
              <w:pStyle w:val="ListParagraph"/>
              <w:ind w:left="0"/>
              <w:contextualSpacing w:val="0"/>
              <w:rPr>
                <w:sz w:val="24"/>
                <w:szCs w:val="24"/>
              </w:rPr>
            </w:pPr>
          </w:p>
        </w:tc>
        <w:tc>
          <w:tcPr>
            <w:tcW w:w="3685" w:type="dxa"/>
          </w:tcPr>
          <w:p w14:paraId="2C417F72" w14:textId="77777777" w:rsidR="00297AC2" w:rsidRPr="00616730" w:rsidRDefault="00297AC2" w:rsidP="00297AC2"/>
        </w:tc>
      </w:tr>
    </w:tbl>
    <w:p w14:paraId="233F82FF" w14:textId="77777777" w:rsidR="008F109A" w:rsidRPr="00B56354" w:rsidRDefault="008F109A" w:rsidP="00EC4712">
      <w:pPr>
        <w:pStyle w:val="ListParagraph"/>
        <w:tabs>
          <w:tab w:val="left" w:pos="0"/>
        </w:tabs>
        <w:spacing w:after="0" w:line="240" w:lineRule="auto"/>
        <w:ind w:left="0"/>
        <w:contextualSpacing w:val="0"/>
        <w:rPr>
          <w:sz w:val="24"/>
          <w:szCs w:val="24"/>
        </w:rPr>
      </w:pPr>
    </w:p>
    <w:sectPr w:rsidR="008F109A" w:rsidRPr="00B56354" w:rsidSect="00DE3B1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1936" w14:textId="77777777" w:rsidR="000B59EE" w:rsidRDefault="000B59EE" w:rsidP="00471DF3">
      <w:pPr>
        <w:spacing w:after="0" w:line="240" w:lineRule="auto"/>
      </w:pPr>
      <w:r>
        <w:separator/>
      </w:r>
    </w:p>
  </w:endnote>
  <w:endnote w:type="continuationSeparator" w:id="0">
    <w:p w14:paraId="4E962280" w14:textId="77777777" w:rsidR="000B59EE" w:rsidRDefault="000B59EE" w:rsidP="0047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7CE4" w14:textId="77777777" w:rsidR="000B59EE" w:rsidRDefault="000B59EE" w:rsidP="00471DF3">
      <w:pPr>
        <w:spacing w:after="0" w:line="240" w:lineRule="auto"/>
      </w:pPr>
      <w:r>
        <w:separator/>
      </w:r>
    </w:p>
  </w:footnote>
  <w:footnote w:type="continuationSeparator" w:id="0">
    <w:p w14:paraId="63D30BEF" w14:textId="77777777" w:rsidR="000B59EE" w:rsidRDefault="000B59EE" w:rsidP="00471DF3">
      <w:pPr>
        <w:spacing w:after="0" w:line="240" w:lineRule="auto"/>
      </w:pPr>
      <w:r>
        <w:continuationSeparator/>
      </w:r>
    </w:p>
  </w:footnote>
  <w:footnote w:id="1">
    <w:p w14:paraId="59002C59" w14:textId="77777777" w:rsidR="00341952" w:rsidRDefault="00341952" w:rsidP="00341952">
      <w:pPr>
        <w:pStyle w:val="FootnoteText"/>
      </w:pPr>
      <w:r>
        <w:rPr>
          <w:rStyle w:val="FootnoteReference"/>
        </w:rPr>
        <w:footnoteRef/>
      </w:r>
      <w:r>
        <w:t xml:space="preserve"> </w:t>
      </w:r>
      <w:r w:rsidRPr="00D11238">
        <w:rPr>
          <w:b/>
          <w:bCs/>
        </w:rPr>
        <w:t>Boston Globe Staff.</w:t>
      </w:r>
      <w:r w:rsidRPr="00D11238">
        <w:t> (2025, August 7). </w:t>
      </w:r>
      <w:r w:rsidRPr="00D11238">
        <w:rPr>
          <w:i/>
          <w:iCs/>
        </w:rPr>
        <w:t>Years of Complaints against Gabriel House owner offer glimpses of an embattled businessman</w:t>
      </w:r>
      <w:r w:rsidRPr="00D11238">
        <w:t>. The Boston Globe. Retrieved from </w:t>
      </w:r>
      <w:hyperlink r:id="rId1" w:tgtFrame="_blank" w:history="1">
        <w:r w:rsidRPr="00D11238">
          <w:rPr>
            <w:rStyle w:val="Hyperlink"/>
          </w:rPr>
          <w:t>https://www.bostonglobe.com/tag/gabriel-house-fire</w:t>
        </w:r>
      </w:hyperlink>
    </w:p>
  </w:footnote>
  <w:footnote w:id="2">
    <w:p w14:paraId="787FFED6" w14:textId="5B918FDE" w:rsidR="002D6B34" w:rsidRDefault="002D6B34">
      <w:pPr>
        <w:pStyle w:val="FootnoteText"/>
      </w:pPr>
      <w:r>
        <w:rPr>
          <w:rStyle w:val="FootnoteReference"/>
        </w:rPr>
        <w:footnoteRef/>
      </w:r>
      <w:r>
        <w:t xml:space="preserve"> </w:t>
      </w:r>
      <w:r w:rsidR="00CD6E08" w:rsidRPr="00CD6E08">
        <w:t>M.G.L. c.19D:1</w:t>
      </w:r>
    </w:p>
  </w:footnote>
  <w:footnote w:id="3">
    <w:p w14:paraId="6A6AC605" w14:textId="46D6766C" w:rsidR="006B3A6F" w:rsidRDefault="006B3A6F" w:rsidP="00AB42F2">
      <w:r>
        <w:rPr>
          <w:rStyle w:val="FootnoteReference"/>
        </w:rPr>
        <w:footnoteRef/>
      </w:r>
      <w:r>
        <w:t xml:space="preserve"> </w:t>
      </w:r>
      <w:r w:rsidR="00744856">
        <w:t>As of September 2025, and pursuant to 106 CMR 327.220(G), “State Living Arrangement G: Assisted Living” for an individual provides $1,421.00 in total assistance ($967 federal/$454.00 state).</w:t>
      </w:r>
    </w:p>
  </w:footnote>
  <w:footnote w:id="4">
    <w:p w14:paraId="45F828D2" w14:textId="4D46758C" w:rsidR="00AB42F2" w:rsidRDefault="00AB42F2" w:rsidP="00932F66">
      <w:r>
        <w:rPr>
          <w:rStyle w:val="FootnoteReference"/>
        </w:rPr>
        <w:footnoteRef/>
      </w:r>
      <w:r>
        <w:t xml:space="preserve"> </w:t>
      </w:r>
      <w:r w:rsidR="00987CAB">
        <w:t>For Massachusetts, as of September 2025 the only widely available MassHealth service offering is the Group Adul</w:t>
      </w:r>
      <w:r w:rsidR="00063DC4">
        <w:t>t</w:t>
      </w:r>
      <w:r w:rsidR="00987CAB">
        <w:t xml:space="preserve"> Foster Care service (“GAFC”). </w:t>
      </w:r>
      <w:r w:rsidR="00987CAB" w:rsidRPr="00245077">
        <w:rPr>
          <w:b/>
          <w:bCs/>
        </w:rPr>
        <w:t>Per 101 CMR 351.00, the current GAFC rate is $50 per day.</w:t>
      </w:r>
    </w:p>
  </w:footnote>
  <w:footnote w:id="5">
    <w:p w14:paraId="2C996089" w14:textId="3342E6C7" w:rsidR="00885A0A" w:rsidRDefault="00885A0A" w:rsidP="00932F66">
      <w:r>
        <w:rPr>
          <w:rStyle w:val="FootnoteReference"/>
        </w:rPr>
        <w:footnoteRef/>
      </w:r>
      <w:r>
        <w:t xml:space="preserve"> </w:t>
      </w:r>
      <w:r w:rsidRPr="00932F66">
        <w:t xml:space="preserve">As evidence, for the SCO contracts that go in effect on 1/1/26, Appendix D itemizes GAFC services as an authorized “State Directed Payment” with reference to a minimum fee schedule (which aligns to the aforementioned </w:t>
      </w:r>
      <w:r w:rsidR="00A866E5">
        <w:t xml:space="preserve">101 </w:t>
      </w:r>
      <w:r w:rsidRPr="00A866E5">
        <w:t xml:space="preserve">CMR </w:t>
      </w:r>
      <w:r w:rsidRPr="00932F66">
        <w:t xml:space="preserve">351.00). This is the same manner as MassHealth contractual </w:t>
      </w:r>
      <w:r w:rsidR="004144CC">
        <w:t>guidance</w:t>
      </w:r>
      <w:r w:rsidRPr="00932F66">
        <w:t xml:space="preserve"> to the SCOs regarding the rates that are to be in effect for other MassHealth State Plan LTSS services such as Adult Day Health (ADH), Adult Foster Care (AFC), and PCA services. </w:t>
      </w:r>
      <w:r w:rsidR="004144CC">
        <w:t xml:space="preserve">The </w:t>
      </w:r>
      <w:r w:rsidRPr="00932F66">
        <w:t>suggested prevailing SCO provider network contract management practice is that when MassHealth regulates a service rate, and the SCO contract requires SCO plans to pay no less than the regulated rate, that SCO plans in turn adopt the minimum payment levels as the dominant service rate to their provider network.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E1645"/>
    <w:multiLevelType w:val="hybridMultilevel"/>
    <w:tmpl w:val="D5281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60D3E"/>
    <w:multiLevelType w:val="hybridMultilevel"/>
    <w:tmpl w:val="6026E9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D04183"/>
    <w:multiLevelType w:val="hybridMultilevel"/>
    <w:tmpl w:val="21A2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21254">
    <w:abstractNumId w:val="0"/>
  </w:num>
  <w:num w:numId="2" w16cid:durableId="139621361">
    <w:abstractNumId w:val="1"/>
  </w:num>
  <w:num w:numId="3" w16cid:durableId="1150486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FA"/>
    <w:rsid w:val="00000C03"/>
    <w:rsid w:val="00001F34"/>
    <w:rsid w:val="000030AF"/>
    <w:rsid w:val="000030D3"/>
    <w:rsid w:val="00003597"/>
    <w:rsid w:val="000050A8"/>
    <w:rsid w:val="000059BA"/>
    <w:rsid w:val="00006B81"/>
    <w:rsid w:val="0000794B"/>
    <w:rsid w:val="00012A24"/>
    <w:rsid w:val="00012DE2"/>
    <w:rsid w:val="0001330D"/>
    <w:rsid w:val="0001365C"/>
    <w:rsid w:val="000147BB"/>
    <w:rsid w:val="00014E26"/>
    <w:rsid w:val="000150FB"/>
    <w:rsid w:val="00017BA7"/>
    <w:rsid w:val="00022136"/>
    <w:rsid w:val="00022A60"/>
    <w:rsid w:val="000247BE"/>
    <w:rsid w:val="00026BCB"/>
    <w:rsid w:val="0002751A"/>
    <w:rsid w:val="00030F31"/>
    <w:rsid w:val="00033439"/>
    <w:rsid w:val="00033D49"/>
    <w:rsid w:val="0003598B"/>
    <w:rsid w:val="000359FE"/>
    <w:rsid w:val="00035A46"/>
    <w:rsid w:val="00037A3C"/>
    <w:rsid w:val="00041AE3"/>
    <w:rsid w:val="0004290A"/>
    <w:rsid w:val="00043F30"/>
    <w:rsid w:val="000446E2"/>
    <w:rsid w:val="00045896"/>
    <w:rsid w:val="00050CAB"/>
    <w:rsid w:val="0005350C"/>
    <w:rsid w:val="000535DE"/>
    <w:rsid w:val="0005392C"/>
    <w:rsid w:val="00056193"/>
    <w:rsid w:val="0005786E"/>
    <w:rsid w:val="00060064"/>
    <w:rsid w:val="00060550"/>
    <w:rsid w:val="00060974"/>
    <w:rsid w:val="0006134E"/>
    <w:rsid w:val="00063DC4"/>
    <w:rsid w:val="00065400"/>
    <w:rsid w:val="00065C9C"/>
    <w:rsid w:val="00066F56"/>
    <w:rsid w:val="00067BAF"/>
    <w:rsid w:val="00070458"/>
    <w:rsid w:val="00070658"/>
    <w:rsid w:val="000732C7"/>
    <w:rsid w:val="000749EB"/>
    <w:rsid w:val="00075E08"/>
    <w:rsid w:val="000806FA"/>
    <w:rsid w:val="00081FFB"/>
    <w:rsid w:val="00082D0A"/>
    <w:rsid w:val="00083D86"/>
    <w:rsid w:val="00085920"/>
    <w:rsid w:val="00085CC9"/>
    <w:rsid w:val="00086B7C"/>
    <w:rsid w:val="00086EC6"/>
    <w:rsid w:val="00087A74"/>
    <w:rsid w:val="0009003C"/>
    <w:rsid w:val="00091B10"/>
    <w:rsid w:val="0009350D"/>
    <w:rsid w:val="00093E08"/>
    <w:rsid w:val="00094848"/>
    <w:rsid w:val="00094F37"/>
    <w:rsid w:val="00096CA7"/>
    <w:rsid w:val="00097A40"/>
    <w:rsid w:val="000A19B2"/>
    <w:rsid w:val="000A21B0"/>
    <w:rsid w:val="000A3C97"/>
    <w:rsid w:val="000A3D0F"/>
    <w:rsid w:val="000A49D8"/>
    <w:rsid w:val="000A5E08"/>
    <w:rsid w:val="000A6DE3"/>
    <w:rsid w:val="000A7026"/>
    <w:rsid w:val="000A7F85"/>
    <w:rsid w:val="000B2F77"/>
    <w:rsid w:val="000B3A15"/>
    <w:rsid w:val="000B4BF4"/>
    <w:rsid w:val="000B5969"/>
    <w:rsid w:val="000B59EE"/>
    <w:rsid w:val="000B7245"/>
    <w:rsid w:val="000C1993"/>
    <w:rsid w:val="000C2AD7"/>
    <w:rsid w:val="000C35C3"/>
    <w:rsid w:val="000C48DD"/>
    <w:rsid w:val="000C5955"/>
    <w:rsid w:val="000C5B8F"/>
    <w:rsid w:val="000C696E"/>
    <w:rsid w:val="000D0308"/>
    <w:rsid w:val="000D118C"/>
    <w:rsid w:val="000D1CFB"/>
    <w:rsid w:val="000D27E4"/>
    <w:rsid w:val="000D3B65"/>
    <w:rsid w:val="000D41C1"/>
    <w:rsid w:val="000D5CCF"/>
    <w:rsid w:val="000D6E66"/>
    <w:rsid w:val="000D704E"/>
    <w:rsid w:val="000E0B85"/>
    <w:rsid w:val="000E0EC4"/>
    <w:rsid w:val="000E1056"/>
    <w:rsid w:val="000E134C"/>
    <w:rsid w:val="000E1B64"/>
    <w:rsid w:val="000E3276"/>
    <w:rsid w:val="000E3D3A"/>
    <w:rsid w:val="000E798B"/>
    <w:rsid w:val="000E7F3C"/>
    <w:rsid w:val="000F0BFA"/>
    <w:rsid w:val="000F0E4C"/>
    <w:rsid w:val="000F1ED4"/>
    <w:rsid w:val="000F296A"/>
    <w:rsid w:val="000F444A"/>
    <w:rsid w:val="000F4831"/>
    <w:rsid w:val="000F5016"/>
    <w:rsid w:val="000F62D0"/>
    <w:rsid w:val="00101094"/>
    <w:rsid w:val="00101BF1"/>
    <w:rsid w:val="001027D6"/>
    <w:rsid w:val="00103B9C"/>
    <w:rsid w:val="001046E5"/>
    <w:rsid w:val="00105672"/>
    <w:rsid w:val="00105C15"/>
    <w:rsid w:val="00107B11"/>
    <w:rsid w:val="0011162E"/>
    <w:rsid w:val="0011267E"/>
    <w:rsid w:val="0011570C"/>
    <w:rsid w:val="00116B1B"/>
    <w:rsid w:val="00122C63"/>
    <w:rsid w:val="00123500"/>
    <w:rsid w:val="00124B0E"/>
    <w:rsid w:val="00124F29"/>
    <w:rsid w:val="00125B8A"/>
    <w:rsid w:val="001276F4"/>
    <w:rsid w:val="00130C76"/>
    <w:rsid w:val="00131F58"/>
    <w:rsid w:val="00134E0D"/>
    <w:rsid w:val="00135B7A"/>
    <w:rsid w:val="001376C5"/>
    <w:rsid w:val="0014120F"/>
    <w:rsid w:val="00141880"/>
    <w:rsid w:val="00141D3D"/>
    <w:rsid w:val="001425EE"/>
    <w:rsid w:val="00144661"/>
    <w:rsid w:val="00145E7D"/>
    <w:rsid w:val="00151062"/>
    <w:rsid w:val="00151B03"/>
    <w:rsid w:val="0015282D"/>
    <w:rsid w:val="00156135"/>
    <w:rsid w:val="00156675"/>
    <w:rsid w:val="00162400"/>
    <w:rsid w:val="00163E8F"/>
    <w:rsid w:val="00164AF2"/>
    <w:rsid w:val="00167F72"/>
    <w:rsid w:val="00170169"/>
    <w:rsid w:val="00170943"/>
    <w:rsid w:val="00171151"/>
    <w:rsid w:val="0017123D"/>
    <w:rsid w:val="00172C56"/>
    <w:rsid w:val="001730B2"/>
    <w:rsid w:val="00174A19"/>
    <w:rsid w:val="001750E4"/>
    <w:rsid w:val="00175236"/>
    <w:rsid w:val="001758D0"/>
    <w:rsid w:val="00175BBE"/>
    <w:rsid w:val="00176304"/>
    <w:rsid w:val="001775A8"/>
    <w:rsid w:val="00180C72"/>
    <w:rsid w:val="00181474"/>
    <w:rsid w:val="00182F64"/>
    <w:rsid w:val="00183CDD"/>
    <w:rsid w:val="00186994"/>
    <w:rsid w:val="00187B0E"/>
    <w:rsid w:val="00191119"/>
    <w:rsid w:val="0019423B"/>
    <w:rsid w:val="00194859"/>
    <w:rsid w:val="00194C4F"/>
    <w:rsid w:val="00196791"/>
    <w:rsid w:val="00197982"/>
    <w:rsid w:val="001A1C64"/>
    <w:rsid w:val="001B076F"/>
    <w:rsid w:val="001B1E66"/>
    <w:rsid w:val="001B2413"/>
    <w:rsid w:val="001B2C8D"/>
    <w:rsid w:val="001B6449"/>
    <w:rsid w:val="001B7321"/>
    <w:rsid w:val="001B7462"/>
    <w:rsid w:val="001C132A"/>
    <w:rsid w:val="001C23C7"/>
    <w:rsid w:val="001C39E6"/>
    <w:rsid w:val="001C3BB0"/>
    <w:rsid w:val="001C4ACC"/>
    <w:rsid w:val="001C7A56"/>
    <w:rsid w:val="001D0937"/>
    <w:rsid w:val="001D0A9F"/>
    <w:rsid w:val="001D1734"/>
    <w:rsid w:val="001D2180"/>
    <w:rsid w:val="001D22AE"/>
    <w:rsid w:val="001D3B56"/>
    <w:rsid w:val="001D6B50"/>
    <w:rsid w:val="001D7736"/>
    <w:rsid w:val="001D7DAB"/>
    <w:rsid w:val="001E0152"/>
    <w:rsid w:val="001E11DB"/>
    <w:rsid w:val="001E12A6"/>
    <w:rsid w:val="001E18E8"/>
    <w:rsid w:val="001E1BE4"/>
    <w:rsid w:val="001E2184"/>
    <w:rsid w:val="001E229B"/>
    <w:rsid w:val="001E43D5"/>
    <w:rsid w:val="001E5122"/>
    <w:rsid w:val="001F05EB"/>
    <w:rsid w:val="001F1E67"/>
    <w:rsid w:val="001F1F2E"/>
    <w:rsid w:val="001F4940"/>
    <w:rsid w:val="001F494A"/>
    <w:rsid w:val="001F5DFD"/>
    <w:rsid w:val="001F621C"/>
    <w:rsid w:val="001F6B14"/>
    <w:rsid w:val="002000F8"/>
    <w:rsid w:val="00201886"/>
    <w:rsid w:val="0020374E"/>
    <w:rsid w:val="00203A83"/>
    <w:rsid w:val="002054B2"/>
    <w:rsid w:val="0020604F"/>
    <w:rsid w:val="00206774"/>
    <w:rsid w:val="002077CB"/>
    <w:rsid w:val="00210F91"/>
    <w:rsid w:val="0021196D"/>
    <w:rsid w:val="00213CE0"/>
    <w:rsid w:val="002141AD"/>
    <w:rsid w:val="0021465E"/>
    <w:rsid w:val="00214D7F"/>
    <w:rsid w:val="0021531D"/>
    <w:rsid w:val="00215F03"/>
    <w:rsid w:val="002161C2"/>
    <w:rsid w:val="00217C9D"/>
    <w:rsid w:val="00220543"/>
    <w:rsid w:val="00221EBA"/>
    <w:rsid w:val="002221F2"/>
    <w:rsid w:val="00223DC5"/>
    <w:rsid w:val="00223E83"/>
    <w:rsid w:val="002250AC"/>
    <w:rsid w:val="0022539A"/>
    <w:rsid w:val="00227403"/>
    <w:rsid w:val="00227784"/>
    <w:rsid w:val="00227C7A"/>
    <w:rsid w:val="002305DC"/>
    <w:rsid w:val="00232D9E"/>
    <w:rsid w:val="0023528E"/>
    <w:rsid w:val="002356B8"/>
    <w:rsid w:val="00236D67"/>
    <w:rsid w:val="00241A29"/>
    <w:rsid w:val="002427DD"/>
    <w:rsid w:val="002447E4"/>
    <w:rsid w:val="00244C72"/>
    <w:rsid w:val="00244E70"/>
    <w:rsid w:val="0024774F"/>
    <w:rsid w:val="00250A6E"/>
    <w:rsid w:val="00250B73"/>
    <w:rsid w:val="00250E80"/>
    <w:rsid w:val="002516AE"/>
    <w:rsid w:val="0025434A"/>
    <w:rsid w:val="00254DF3"/>
    <w:rsid w:val="00255774"/>
    <w:rsid w:val="002557D5"/>
    <w:rsid w:val="00255BD4"/>
    <w:rsid w:val="00256027"/>
    <w:rsid w:val="00260A38"/>
    <w:rsid w:val="00261981"/>
    <w:rsid w:val="002650FB"/>
    <w:rsid w:val="00265D86"/>
    <w:rsid w:val="0026706C"/>
    <w:rsid w:val="00274C1B"/>
    <w:rsid w:val="00276D91"/>
    <w:rsid w:val="0027705C"/>
    <w:rsid w:val="00277B0A"/>
    <w:rsid w:val="00280083"/>
    <w:rsid w:val="00283148"/>
    <w:rsid w:val="00283154"/>
    <w:rsid w:val="0028330D"/>
    <w:rsid w:val="00284BCE"/>
    <w:rsid w:val="00285717"/>
    <w:rsid w:val="002933C0"/>
    <w:rsid w:val="0029384B"/>
    <w:rsid w:val="00294EF4"/>
    <w:rsid w:val="002954C3"/>
    <w:rsid w:val="0029580D"/>
    <w:rsid w:val="00296005"/>
    <w:rsid w:val="00296241"/>
    <w:rsid w:val="00296A9A"/>
    <w:rsid w:val="0029749F"/>
    <w:rsid w:val="00297AC2"/>
    <w:rsid w:val="002A3E17"/>
    <w:rsid w:val="002A4CD2"/>
    <w:rsid w:val="002A4E6D"/>
    <w:rsid w:val="002A73AF"/>
    <w:rsid w:val="002A7553"/>
    <w:rsid w:val="002A789A"/>
    <w:rsid w:val="002B11FF"/>
    <w:rsid w:val="002B3B4A"/>
    <w:rsid w:val="002B3E7A"/>
    <w:rsid w:val="002B4443"/>
    <w:rsid w:val="002B4985"/>
    <w:rsid w:val="002B52E3"/>
    <w:rsid w:val="002B6020"/>
    <w:rsid w:val="002B7774"/>
    <w:rsid w:val="002C091A"/>
    <w:rsid w:val="002C0A06"/>
    <w:rsid w:val="002C3BFD"/>
    <w:rsid w:val="002C3DD0"/>
    <w:rsid w:val="002C5FB6"/>
    <w:rsid w:val="002C64B5"/>
    <w:rsid w:val="002C6C40"/>
    <w:rsid w:val="002D2695"/>
    <w:rsid w:val="002D3A9A"/>
    <w:rsid w:val="002D4FFA"/>
    <w:rsid w:val="002D6A47"/>
    <w:rsid w:val="002D6B34"/>
    <w:rsid w:val="002D7B7E"/>
    <w:rsid w:val="002E0C1F"/>
    <w:rsid w:val="002E1AFC"/>
    <w:rsid w:val="002E263C"/>
    <w:rsid w:val="002E2C00"/>
    <w:rsid w:val="002E4FB7"/>
    <w:rsid w:val="002E55EB"/>
    <w:rsid w:val="002E70A7"/>
    <w:rsid w:val="002E77CD"/>
    <w:rsid w:val="002F2A9F"/>
    <w:rsid w:val="002F33B5"/>
    <w:rsid w:val="002F399C"/>
    <w:rsid w:val="002F3ADB"/>
    <w:rsid w:val="002F6000"/>
    <w:rsid w:val="002F73D7"/>
    <w:rsid w:val="0030084D"/>
    <w:rsid w:val="00300D24"/>
    <w:rsid w:val="003010F9"/>
    <w:rsid w:val="00301C13"/>
    <w:rsid w:val="003045A4"/>
    <w:rsid w:val="00306145"/>
    <w:rsid w:val="00307EC4"/>
    <w:rsid w:val="003101C2"/>
    <w:rsid w:val="00311BAA"/>
    <w:rsid w:val="0031575F"/>
    <w:rsid w:val="00315F7D"/>
    <w:rsid w:val="003168E0"/>
    <w:rsid w:val="00321182"/>
    <w:rsid w:val="0032186F"/>
    <w:rsid w:val="00321C37"/>
    <w:rsid w:val="00322287"/>
    <w:rsid w:val="003246BC"/>
    <w:rsid w:val="00324770"/>
    <w:rsid w:val="003253E3"/>
    <w:rsid w:val="003271B1"/>
    <w:rsid w:val="00330BF1"/>
    <w:rsid w:val="0033590A"/>
    <w:rsid w:val="0033590F"/>
    <w:rsid w:val="00336AD9"/>
    <w:rsid w:val="00337F57"/>
    <w:rsid w:val="00341952"/>
    <w:rsid w:val="0034301E"/>
    <w:rsid w:val="003439B1"/>
    <w:rsid w:val="00344B53"/>
    <w:rsid w:val="00347054"/>
    <w:rsid w:val="00347F3F"/>
    <w:rsid w:val="00350B84"/>
    <w:rsid w:val="003519B5"/>
    <w:rsid w:val="00352A15"/>
    <w:rsid w:val="00352E40"/>
    <w:rsid w:val="0035455D"/>
    <w:rsid w:val="00354A30"/>
    <w:rsid w:val="00354AF7"/>
    <w:rsid w:val="00354BB0"/>
    <w:rsid w:val="00362348"/>
    <w:rsid w:val="003657EE"/>
    <w:rsid w:val="00365D7E"/>
    <w:rsid w:val="00367BFF"/>
    <w:rsid w:val="0037135D"/>
    <w:rsid w:val="003757CF"/>
    <w:rsid w:val="003759DA"/>
    <w:rsid w:val="00377129"/>
    <w:rsid w:val="003806BD"/>
    <w:rsid w:val="00381625"/>
    <w:rsid w:val="0038463C"/>
    <w:rsid w:val="00390386"/>
    <w:rsid w:val="00392059"/>
    <w:rsid w:val="00392181"/>
    <w:rsid w:val="003930E3"/>
    <w:rsid w:val="0039480A"/>
    <w:rsid w:val="003A0A17"/>
    <w:rsid w:val="003A0E15"/>
    <w:rsid w:val="003A3F24"/>
    <w:rsid w:val="003A41C9"/>
    <w:rsid w:val="003A661F"/>
    <w:rsid w:val="003B0580"/>
    <w:rsid w:val="003B0779"/>
    <w:rsid w:val="003B25B3"/>
    <w:rsid w:val="003B29BF"/>
    <w:rsid w:val="003B2F3E"/>
    <w:rsid w:val="003B3D3A"/>
    <w:rsid w:val="003B5AD1"/>
    <w:rsid w:val="003B65FB"/>
    <w:rsid w:val="003B7DE8"/>
    <w:rsid w:val="003B7F78"/>
    <w:rsid w:val="003C0264"/>
    <w:rsid w:val="003C0A1C"/>
    <w:rsid w:val="003C2662"/>
    <w:rsid w:val="003C283A"/>
    <w:rsid w:val="003C3643"/>
    <w:rsid w:val="003C5DE9"/>
    <w:rsid w:val="003D0E53"/>
    <w:rsid w:val="003D1CA9"/>
    <w:rsid w:val="003D20EF"/>
    <w:rsid w:val="003D43F9"/>
    <w:rsid w:val="003D74F9"/>
    <w:rsid w:val="003D7C5A"/>
    <w:rsid w:val="003E03B7"/>
    <w:rsid w:val="003E0AAD"/>
    <w:rsid w:val="003E1F41"/>
    <w:rsid w:val="003E2DC4"/>
    <w:rsid w:val="003E395D"/>
    <w:rsid w:val="003E5559"/>
    <w:rsid w:val="003E5D5B"/>
    <w:rsid w:val="003F2529"/>
    <w:rsid w:val="003F365F"/>
    <w:rsid w:val="003F369F"/>
    <w:rsid w:val="003F37F7"/>
    <w:rsid w:val="003F4CF5"/>
    <w:rsid w:val="003F6C97"/>
    <w:rsid w:val="003F6EA2"/>
    <w:rsid w:val="0040010B"/>
    <w:rsid w:val="004009E3"/>
    <w:rsid w:val="00403729"/>
    <w:rsid w:val="00403DF5"/>
    <w:rsid w:val="00405375"/>
    <w:rsid w:val="0040756D"/>
    <w:rsid w:val="0041013C"/>
    <w:rsid w:val="004104D0"/>
    <w:rsid w:val="004109FD"/>
    <w:rsid w:val="004110D5"/>
    <w:rsid w:val="00412678"/>
    <w:rsid w:val="00413A78"/>
    <w:rsid w:val="004144CC"/>
    <w:rsid w:val="004158B3"/>
    <w:rsid w:val="004173BD"/>
    <w:rsid w:val="004207E3"/>
    <w:rsid w:val="00422168"/>
    <w:rsid w:val="004223CA"/>
    <w:rsid w:val="00427553"/>
    <w:rsid w:val="00431C21"/>
    <w:rsid w:val="00432690"/>
    <w:rsid w:val="0043555A"/>
    <w:rsid w:val="004363F3"/>
    <w:rsid w:val="004373D4"/>
    <w:rsid w:val="0044066F"/>
    <w:rsid w:val="0044165A"/>
    <w:rsid w:val="00444483"/>
    <w:rsid w:val="00444BD7"/>
    <w:rsid w:val="00445A53"/>
    <w:rsid w:val="00447567"/>
    <w:rsid w:val="004479B6"/>
    <w:rsid w:val="00451587"/>
    <w:rsid w:val="00454CDB"/>
    <w:rsid w:val="00454E4C"/>
    <w:rsid w:val="00455847"/>
    <w:rsid w:val="00455DDD"/>
    <w:rsid w:val="004564D6"/>
    <w:rsid w:val="0045688F"/>
    <w:rsid w:val="00456976"/>
    <w:rsid w:val="004609B0"/>
    <w:rsid w:val="00461C86"/>
    <w:rsid w:val="0046285D"/>
    <w:rsid w:val="0046560D"/>
    <w:rsid w:val="00465DA8"/>
    <w:rsid w:val="00466185"/>
    <w:rsid w:val="00466949"/>
    <w:rsid w:val="00467B9A"/>
    <w:rsid w:val="0047022B"/>
    <w:rsid w:val="00471DF3"/>
    <w:rsid w:val="00472788"/>
    <w:rsid w:val="00474062"/>
    <w:rsid w:val="0047426F"/>
    <w:rsid w:val="00476F99"/>
    <w:rsid w:val="00480BD0"/>
    <w:rsid w:val="00480F80"/>
    <w:rsid w:val="004814BA"/>
    <w:rsid w:val="00481587"/>
    <w:rsid w:val="00481630"/>
    <w:rsid w:val="004816D2"/>
    <w:rsid w:val="00483556"/>
    <w:rsid w:val="00483A3F"/>
    <w:rsid w:val="00484D83"/>
    <w:rsid w:val="0048598F"/>
    <w:rsid w:val="0048624F"/>
    <w:rsid w:val="0048739C"/>
    <w:rsid w:val="00490073"/>
    <w:rsid w:val="00490E38"/>
    <w:rsid w:val="00490F56"/>
    <w:rsid w:val="00491837"/>
    <w:rsid w:val="00491E1E"/>
    <w:rsid w:val="0049599A"/>
    <w:rsid w:val="004A0784"/>
    <w:rsid w:val="004A07A6"/>
    <w:rsid w:val="004A0F48"/>
    <w:rsid w:val="004A1FE0"/>
    <w:rsid w:val="004A239C"/>
    <w:rsid w:val="004A2ABC"/>
    <w:rsid w:val="004A31A5"/>
    <w:rsid w:val="004A3753"/>
    <w:rsid w:val="004A41E7"/>
    <w:rsid w:val="004A5295"/>
    <w:rsid w:val="004A70F9"/>
    <w:rsid w:val="004A7962"/>
    <w:rsid w:val="004B084E"/>
    <w:rsid w:val="004B1FE5"/>
    <w:rsid w:val="004B2DF5"/>
    <w:rsid w:val="004B3031"/>
    <w:rsid w:val="004B3508"/>
    <w:rsid w:val="004B574A"/>
    <w:rsid w:val="004C1ADB"/>
    <w:rsid w:val="004C24B7"/>
    <w:rsid w:val="004C300D"/>
    <w:rsid w:val="004C3C5A"/>
    <w:rsid w:val="004C506F"/>
    <w:rsid w:val="004C59AE"/>
    <w:rsid w:val="004C5CB3"/>
    <w:rsid w:val="004C7331"/>
    <w:rsid w:val="004C73E0"/>
    <w:rsid w:val="004D14E5"/>
    <w:rsid w:val="004D2D96"/>
    <w:rsid w:val="004D5172"/>
    <w:rsid w:val="004D5D74"/>
    <w:rsid w:val="004E02EA"/>
    <w:rsid w:val="004E09E4"/>
    <w:rsid w:val="004E52E8"/>
    <w:rsid w:val="004E6DD0"/>
    <w:rsid w:val="004E7354"/>
    <w:rsid w:val="005000BA"/>
    <w:rsid w:val="0050251E"/>
    <w:rsid w:val="005036FD"/>
    <w:rsid w:val="005050D0"/>
    <w:rsid w:val="00512298"/>
    <w:rsid w:val="005126BF"/>
    <w:rsid w:val="0051296D"/>
    <w:rsid w:val="005133EA"/>
    <w:rsid w:val="0051713C"/>
    <w:rsid w:val="005174D2"/>
    <w:rsid w:val="00520838"/>
    <w:rsid w:val="00525409"/>
    <w:rsid w:val="00525705"/>
    <w:rsid w:val="00525EDB"/>
    <w:rsid w:val="00533868"/>
    <w:rsid w:val="00537064"/>
    <w:rsid w:val="00537641"/>
    <w:rsid w:val="005378D9"/>
    <w:rsid w:val="00541834"/>
    <w:rsid w:val="00542D11"/>
    <w:rsid w:val="00545F9C"/>
    <w:rsid w:val="00546D2A"/>
    <w:rsid w:val="005512CA"/>
    <w:rsid w:val="0055246D"/>
    <w:rsid w:val="00555B40"/>
    <w:rsid w:val="00555C82"/>
    <w:rsid w:val="00556264"/>
    <w:rsid w:val="00556271"/>
    <w:rsid w:val="00556341"/>
    <w:rsid w:val="0055644D"/>
    <w:rsid w:val="0056202A"/>
    <w:rsid w:val="00564A02"/>
    <w:rsid w:val="005664ED"/>
    <w:rsid w:val="00566A7B"/>
    <w:rsid w:val="0056793E"/>
    <w:rsid w:val="00571109"/>
    <w:rsid w:val="005730FF"/>
    <w:rsid w:val="005731B9"/>
    <w:rsid w:val="00574044"/>
    <w:rsid w:val="005749CC"/>
    <w:rsid w:val="00574FF9"/>
    <w:rsid w:val="00577F75"/>
    <w:rsid w:val="0058020A"/>
    <w:rsid w:val="0058221B"/>
    <w:rsid w:val="005828F5"/>
    <w:rsid w:val="00583CA7"/>
    <w:rsid w:val="00591343"/>
    <w:rsid w:val="0059254F"/>
    <w:rsid w:val="00593556"/>
    <w:rsid w:val="00594384"/>
    <w:rsid w:val="0059612A"/>
    <w:rsid w:val="00596150"/>
    <w:rsid w:val="005A188D"/>
    <w:rsid w:val="005A27BA"/>
    <w:rsid w:val="005A43DB"/>
    <w:rsid w:val="005A4CD9"/>
    <w:rsid w:val="005B1C84"/>
    <w:rsid w:val="005B5BED"/>
    <w:rsid w:val="005B5F3B"/>
    <w:rsid w:val="005B6418"/>
    <w:rsid w:val="005B6BBC"/>
    <w:rsid w:val="005B6E69"/>
    <w:rsid w:val="005B792C"/>
    <w:rsid w:val="005B7A92"/>
    <w:rsid w:val="005C19C8"/>
    <w:rsid w:val="005C2653"/>
    <w:rsid w:val="005C2E9D"/>
    <w:rsid w:val="005C6D00"/>
    <w:rsid w:val="005D2991"/>
    <w:rsid w:val="005D32B7"/>
    <w:rsid w:val="005D38DC"/>
    <w:rsid w:val="005D4169"/>
    <w:rsid w:val="005D45A4"/>
    <w:rsid w:val="005D4ABF"/>
    <w:rsid w:val="005D6286"/>
    <w:rsid w:val="005D6BEB"/>
    <w:rsid w:val="005D7735"/>
    <w:rsid w:val="005E2C57"/>
    <w:rsid w:val="005E6749"/>
    <w:rsid w:val="005E69DE"/>
    <w:rsid w:val="005E7602"/>
    <w:rsid w:val="005F0FE5"/>
    <w:rsid w:val="005F1579"/>
    <w:rsid w:val="005F202C"/>
    <w:rsid w:val="005F2AD5"/>
    <w:rsid w:val="005F2C88"/>
    <w:rsid w:val="00600297"/>
    <w:rsid w:val="0060054A"/>
    <w:rsid w:val="0060086F"/>
    <w:rsid w:val="00601A4D"/>
    <w:rsid w:val="00602907"/>
    <w:rsid w:val="00602EC6"/>
    <w:rsid w:val="00603590"/>
    <w:rsid w:val="00603C7D"/>
    <w:rsid w:val="006072EF"/>
    <w:rsid w:val="0060763A"/>
    <w:rsid w:val="006108E1"/>
    <w:rsid w:val="00610B73"/>
    <w:rsid w:val="00610B84"/>
    <w:rsid w:val="00611522"/>
    <w:rsid w:val="006156EB"/>
    <w:rsid w:val="00616730"/>
    <w:rsid w:val="00616C77"/>
    <w:rsid w:val="00620E5C"/>
    <w:rsid w:val="00621EF1"/>
    <w:rsid w:val="00622079"/>
    <w:rsid w:val="00622509"/>
    <w:rsid w:val="00623334"/>
    <w:rsid w:val="006236A5"/>
    <w:rsid w:val="006260B0"/>
    <w:rsid w:val="00626858"/>
    <w:rsid w:val="00626C10"/>
    <w:rsid w:val="00627474"/>
    <w:rsid w:val="00630CE9"/>
    <w:rsid w:val="00632C92"/>
    <w:rsid w:val="0063392E"/>
    <w:rsid w:val="00633954"/>
    <w:rsid w:val="0063442D"/>
    <w:rsid w:val="0063462A"/>
    <w:rsid w:val="00634E5D"/>
    <w:rsid w:val="00635470"/>
    <w:rsid w:val="00636E60"/>
    <w:rsid w:val="006414C1"/>
    <w:rsid w:val="006424D6"/>
    <w:rsid w:val="00642763"/>
    <w:rsid w:val="00642C3B"/>
    <w:rsid w:val="00643212"/>
    <w:rsid w:val="0064353C"/>
    <w:rsid w:val="00646ADE"/>
    <w:rsid w:val="00646F09"/>
    <w:rsid w:val="00647228"/>
    <w:rsid w:val="00647ACA"/>
    <w:rsid w:val="00651850"/>
    <w:rsid w:val="00652130"/>
    <w:rsid w:val="0065221E"/>
    <w:rsid w:val="00653294"/>
    <w:rsid w:val="006539ED"/>
    <w:rsid w:val="00654A75"/>
    <w:rsid w:val="006550C5"/>
    <w:rsid w:val="006551C8"/>
    <w:rsid w:val="0065581E"/>
    <w:rsid w:val="00655FF4"/>
    <w:rsid w:val="00656C75"/>
    <w:rsid w:val="00656DD9"/>
    <w:rsid w:val="0066088A"/>
    <w:rsid w:val="00660B65"/>
    <w:rsid w:val="0066496A"/>
    <w:rsid w:val="0067006E"/>
    <w:rsid w:val="006708A6"/>
    <w:rsid w:val="00670F59"/>
    <w:rsid w:val="00672BF5"/>
    <w:rsid w:val="006731DD"/>
    <w:rsid w:val="00674BE7"/>
    <w:rsid w:val="00675497"/>
    <w:rsid w:val="006767DF"/>
    <w:rsid w:val="00677ABB"/>
    <w:rsid w:val="006804B8"/>
    <w:rsid w:val="006826AA"/>
    <w:rsid w:val="00682DD3"/>
    <w:rsid w:val="00684D31"/>
    <w:rsid w:val="00684E62"/>
    <w:rsid w:val="006865C4"/>
    <w:rsid w:val="00687F71"/>
    <w:rsid w:val="00690935"/>
    <w:rsid w:val="00690EF0"/>
    <w:rsid w:val="00693776"/>
    <w:rsid w:val="006960E4"/>
    <w:rsid w:val="006974B5"/>
    <w:rsid w:val="006A09A3"/>
    <w:rsid w:val="006A217A"/>
    <w:rsid w:val="006A3008"/>
    <w:rsid w:val="006A3C9D"/>
    <w:rsid w:val="006A5D94"/>
    <w:rsid w:val="006A633F"/>
    <w:rsid w:val="006A6A19"/>
    <w:rsid w:val="006A7DE7"/>
    <w:rsid w:val="006B0BCD"/>
    <w:rsid w:val="006B1073"/>
    <w:rsid w:val="006B3A6F"/>
    <w:rsid w:val="006B43BE"/>
    <w:rsid w:val="006B4F02"/>
    <w:rsid w:val="006B7A41"/>
    <w:rsid w:val="006C19D8"/>
    <w:rsid w:val="006C2954"/>
    <w:rsid w:val="006C3EE4"/>
    <w:rsid w:val="006C4706"/>
    <w:rsid w:val="006C5FE6"/>
    <w:rsid w:val="006D009F"/>
    <w:rsid w:val="006D042D"/>
    <w:rsid w:val="006D05E8"/>
    <w:rsid w:val="006D0A62"/>
    <w:rsid w:val="006D6DE1"/>
    <w:rsid w:val="006E05F0"/>
    <w:rsid w:val="006E2E7A"/>
    <w:rsid w:val="006E37D2"/>
    <w:rsid w:val="006E4621"/>
    <w:rsid w:val="006E4F0F"/>
    <w:rsid w:val="006E6E73"/>
    <w:rsid w:val="006E7280"/>
    <w:rsid w:val="006F10B6"/>
    <w:rsid w:val="006F2B30"/>
    <w:rsid w:val="006F4031"/>
    <w:rsid w:val="006F4B8B"/>
    <w:rsid w:val="006F6DCF"/>
    <w:rsid w:val="006F6E1A"/>
    <w:rsid w:val="006F7202"/>
    <w:rsid w:val="006F7A94"/>
    <w:rsid w:val="007031E8"/>
    <w:rsid w:val="007051F2"/>
    <w:rsid w:val="00705387"/>
    <w:rsid w:val="0070613D"/>
    <w:rsid w:val="007063F6"/>
    <w:rsid w:val="00707757"/>
    <w:rsid w:val="00710959"/>
    <w:rsid w:val="007119AA"/>
    <w:rsid w:val="007119CD"/>
    <w:rsid w:val="00712368"/>
    <w:rsid w:val="00712FA3"/>
    <w:rsid w:val="00714E2C"/>
    <w:rsid w:val="007150C1"/>
    <w:rsid w:val="007168A2"/>
    <w:rsid w:val="00716DD9"/>
    <w:rsid w:val="00717B94"/>
    <w:rsid w:val="00721651"/>
    <w:rsid w:val="00721A31"/>
    <w:rsid w:val="00721F63"/>
    <w:rsid w:val="007234B3"/>
    <w:rsid w:val="0072365B"/>
    <w:rsid w:val="0072387F"/>
    <w:rsid w:val="0072410C"/>
    <w:rsid w:val="00727241"/>
    <w:rsid w:val="0073021E"/>
    <w:rsid w:val="0073082B"/>
    <w:rsid w:val="007322A0"/>
    <w:rsid w:val="00733F07"/>
    <w:rsid w:val="007374F1"/>
    <w:rsid w:val="00741F11"/>
    <w:rsid w:val="007443CF"/>
    <w:rsid w:val="00744856"/>
    <w:rsid w:val="007448F8"/>
    <w:rsid w:val="00744CA2"/>
    <w:rsid w:val="00745826"/>
    <w:rsid w:val="00745BEE"/>
    <w:rsid w:val="00746D62"/>
    <w:rsid w:val="00747DC8"/>
    <w:rsid w:val="00750505"/>
    <w:rsid w:val="00751210"/>
    <w:rsid w:val="0075150B"/>
    <w:rsid w:val="00753184"/>
    <w:rsid w:val="00756173"/>
    <w:rsid w:val="00756E8B"/>
    <w:rsid w:val="007608F1"/>
    <w:rsid w:val="00764452"/>
    <w:rsid w:val="00764470"/>
    <w:rsid w:val="00765E32"/>
    <w:rsid w:val="00767326"/>
    <w:rsid w:val="007677BD"/>
    <w:rsid w:val="00767D31"/>
    <w:rsid w:val="00771F0B"/>
    <w:rsid w:val="007736F8"/>
    <w:rsid w:val="0077460C"/>
    <w:rsid w:val="00775414"/>
    <w:rsid w:val="0077723D"/>
    <w:rsid w:val="00777418"/>
    <w:rsid w:val="00777528"/>
    <w:rsid w:val="00780A8F"/>
    <w:rsid w:val="00782C5B"/>
    <w:rsid w:val="007836F4"/>
    <w:rsid w:val="00783CB6"/>
    <w:rsid w:val="0078746F"/>
    <w:rsid w:val="007910D9"/>
    <w:rsid w:val="00791256"/>
    <w:rsid w:val="0079163F"/>
    <w:rsid w:val="00791DC7"/>
    <w:rsid w:val="007925AB"/>
    <w:rsid w:val="00793ABB"/>
    <w:rsid w:val="00795DE4"/>
    <w:rsid w:val="007A39D0"/>
    <w:rsid w:val="007A3CD9"/>
    <w:rsid w:val="007A3E03"/>
    <w:rsid w:val="007A536E"/>
    <w:rsid w:val="007A599E"/>
    <w:rsid w:val="007A634E"/>
    <w:rsid w:val="007B19F9"/>
    <w:rsid w:val="007B1F92"/>
    <w:rsid w:val="007B2ED9"/>
    <w:rsid w:val="007B2F98"/>
    <w:rsid w:val="007B4160"/>
    <w:rsid w:val="007B450E"/>
    <w:rsid w:val="007B46C6"/>
    <w:rsid w:val="007B4828"/>
    <w:rsid w:val="007B5DC0"/>
    <w:rsid w:val="007C131B"/>
    <w:rsid w:val="007C45B9"/>
    <w:rsid w:val="007C474D"/>
    <w:rsid w:val="007C4D76"/>
    <w:rsid w:val="007C5A93"/>
    <w:rsid w:val="007D2006"/>
    <w:rsid w:val="007D2091"/>
    <w:rsid w:val="007D3B8D"/>
    <w:rsid w:val="007D5B66"/>
    <w:rsid w:val="007D5C58"/>
    <w:rsid w:val="007D6976"/>
    <w:rsid w:val="007E0BEC"/>
    <w:rsid w:val="007E2CEC"/>
    <w:rsid w:val="007E5D80"/>
    <w:rsid w:val="007F1BD3"/>
    <w:rsid w:val="007F3E4E"/>
    <w:rsid w:val="007F7A2C"/>
    <w:rsid w:val="00801067"/>
    <w:rsid w:val="008011C6"/>
    <w:rsid w:val="0080199B"/>
    <w:rsid w:val="0080255E"/>
    <w:rsid w:val="0080355E"/>
    <w:rsid w:val="00803B9C"/>
    <w:rsid w:val="008049C9"/>
    <w:rsid w:val="008065EB"/>
    <w:rsid w:val="00812030"/>
    <w:rsid w:val="008120A5"/>
    <w:rsid w:val="00813C33"/>
    <w:rsid w:val="00813F47"/>
    <w:rsid w:val="00820127"/>
    <w:rsid w:val="00820724"/>
    <w:rsid w:val="0082135B"/>
    <w:rsid w:val="00822B8D"/>
    <w:rsid w:val="00823E63"/>
    <w:rsid w:val="00824D39"/>
    <w:rsid w:val="00825C23"/>
    <w:rsid w:val="008264AE"/>
    <w:rsid w:val="00833C03"/>
    <w:rsid w:val="0083612E"/>
    <w:rsid w:val="00836B67"/>
    <w:rsid w:val="0083745D"/>
    <w:rsid w:val="00837D62"/>
    <w:rsid w:val="008403A4"/>
    <w:rsid w:val="008434B4"/>
    <w:rsid w:val="00844569"/>
    <w:rsid w:val="008455A7"/>
    <w:rsid w:val="00845FFB"/>
    <w:rsid w:val="00847B3F"/>
    <w:rsid w:val="00850961"/>
    <w:rsid w:val="00853771"/>
    <w:rsid w:val="00855B63"/>
    <w:rsid w:val="00856700"/>
    <w:rsid w:val="00856CD2"/>
    <w:rsid w:val="0086210B"/>
    <w:rsid w:val="00862D7F"/>
    <w:rsid w:val="008641A2"/>
    <w:rsid w:val="00864809"/>
    <w:rsid w:val="00865A62"/>
    <w:rsid w:val="00872B4E"/>
    <w:rsid w:val="00872E25"/>
    <w:rsid w:val="00872E2E"/>
    <w:rsid w:val="00872F2F"/>
    <w:rsid w:val="0087449F"/>
    <w:rsid w:val="008746F0"/>
    <w:rsid w:val="00876F90"/>
    <w:rsid w:val="008800C3"/>
    <w:rsid w:val="00881BA3"/>
    <w:rsid w:val="008825DB"/>
    <w:rsid w:val="00882783"/>
    <w:rsid w:val="008832DA"/>
    <w:rsid w:val="00883EAA"/>
    <w:rsid w:val="00884DB7"/>
    <w:rsid w:val="00885A0A"/>
    <w:rsid w:val="00890DFA"/>
    <w:rsid w:val="0089288C"/>
    <w:rsid w:val="00894C11"/>
    <w:rsid w:val="008969C8"/>
    <w:rsid w:val="008A0756"/>
    <w:rsid w:val="008A3249"/>
    <w:rsid w:val="008A3B8F"/>
    <w:rsid w:val="008A3F3F"/>
    <w:rsid w:val="008A4297"/>
    <w:rsid w:val="008A461B"/>
    <w:rsid w:val="008A5ADE"/>
    <w:rsid w:val="008A798E"/>
    <w:rsid w:val="008B27C6"/>
    <w:rsid w:val="008B4884"/>
    <w:rsid w:val="008B4CA6"/>
    <w:rsid w:val="008B505C"/>
    <w:rsid w:val="008C057E"/>
    <w:rsid w:val="008C1AD0"/>
    <w:rsid w:val="008C1B21"/>
    <w:rsid w:val="008C200E"/>
    <w:rsid w:val="008C2481"/>
    <w:rsid w:val="008C4E77"/>
    <w:rsid w:val="008C4F86"/>
    <w:rsid w:val="008C5122"/>
    <w:rsid w:val="008C54D4"/>
    <w:rsid w:val="008D22D2"/>
    <w:rsid w:val="008D29D0"/>
    <w:rsid w:val="008D2EC9"/>
    <w:rsid w:val="008D31E3"/>
    <w:rsid w:val="008D3761"/>
    <w:rsid w:val="008D3946"/>
    <w:rsid w:val="008D4114"/>
    <w:rsid w:val="008D5577"/>
    <w:rsid w:val="008D592E"/>
    <w:rsid w:val="008D5AAE"/>
    <w:rsid w:val="008D6227"/>
    <w:rsid w:val="008D6FCB"/>
    <w:rsid w:val="008E1B3D"/>
    <w:rsid w:val="008E1EEF"/>
    <w:rsid w:val="008E344E"/>
    <w:rsid w:val="008E3858"/>
    <w:rsid w:val="008E5142"/>
    <w:rsid w:val="008E6F5D"/>
    <w:rsid w:val="008E7F99"/>
    <w:rsid w:val="008F109A"/>
    <w:rsid w:val="008F1550"/>
    <w:rsid w:val="008F3181"/>
    <w:rsid w:val="008F44AB"/>
    <w:rsid w:val="008F485A"/>
    <w:rsid w:val="009044DB"/>
    <w:rsid w:val="00907015"/>
    <w:rsid w:val="009109C2"/>
    <w:rsid w:val="00910BD8"/>
    <w:rsid w:val="00912121"/>
    <w:rsid w:val="0091221B"/>
    <w:rsid w:val="00912641"/>
    <w:rsid w:val="00912797"/>
    <w:rsid w:val="009160A5"/>
    <w:rsid w:val="0091630A"/>
    <w:rsid w:val="009177EB"/>
    <w:rsid w:val="009207DF"/>
    <w:rsid w:val="0092081D"/>
    <w:rsid w:val="00920BE0"/>
    <w:rsid w:val="00926FE7"/>
    <w:rsid w:val="009303BA"/>
    <w:rsid w:val="00932DD0"/>
    <w:rsid w:val="00932F66"/>
    <w:rsid w:val="00933393"/>
    <w:rsid w:val="00935CED"/>
    <w:rsid w:val="009376A8"/>
    <w:rsid w:val="009378CD"/>
    <w:rsid w:val="009408BF"/>
    <w:rsid w:val="00942E40"/>
    <w:rsid w:val="009431BC"/>
    <w:rsid w:val="00943C4C"/>
    <w:rsid w:val="00946929"/>
    <w:rsid w:val="0094714E"/>
    <w:rsid w:val="00953A87"/>
    <w:rsid w:val="00955303"/>
    <w:rsid w:val="00960065"/>
    <w:rsid w:val="00962E83"/>
    <w:rsid w:val="00963108"/>
    <w:rsid w:val="00964413"/>
    <w:rsid w:val="009676B9"/>
    <w:rsid w:val="009678D2"/>
    <w:rsid w:val="00967B39"/>
    <w:rsid w:val="00967FD9"/>
    <w:rsid w:val="00970029"/>
    <w:rsid w:val="0097028E"/>
    <w:rsid w:val="00970D5C"/>
    <w:rsid w:val="00972B17"/>
    <w:rsid w:val="00975099"/>
    <w:rsid w:val="0097618F"/>
    <w:rsid w:val="00976DE9"/>
    <w:rsid w:val="00980A38"/>
    <w:rsid w:val="00982BD8"/>
    <w:rsid w:val="00983606"/>
    <w:rsid w:val="00985252"/>
    <w:rsid w:val="009853F0"/>
    <w:rsid w:val="00985AF3"/>
    <w:rsid w:val="00986CC8"/>
    <w:rsid w:val="009872DA"/>
    <w:rsid w:val="00987B1E"/>
    <w:rsid w:val="00987CAB"/>
    <w:rsid w:val="00991AED"/>
    <w:rsid w:val="00991C3A"/>
    <w:rsid w:val="009921AD"/>
    <w:rsid w:val="00993F9F"/>
    <w:rsid w:val="00994097"/>
    <w:rsid w:val="009942DF"/>
    <w:rsid w:val="00996D73"/>
    <w:rsid w:val="009A1742"/>
    <w:rsid w:val="009A47D5"/>
    <w:rsid w:val="009A5A11"/>
    <w:rsid w:val="009A71FA"/>
    <w:rsid w:val="009A7764"/>
    <w:rsid w:val="009B0092"/>
    <w:rsid w:val="009B0381"/>
    <w:rsid w:val="009B36F4"/>
    <w:rsid w:val="009B4BC5"/>
    <w:rsid w:val="009B5281"/>
    <w:rsid w:val="009B5680"/>
    <w:rsid w:val="009B5B2C"/>
    <w:rsid w:val="009B61CF"/>
    <w:rsid w:val="009B6804"/>
    <w:rsid w:val="009B70A6"/>
    <w:rsid w:val="009C04CF"/>
    <w:rsid w:val="009C0EB4"/>
    <w:rsid w:val="009C22D8"/>
    <w:rsid w:val="009C265C"/>
    <w:rsid w:val="009C3869"/>
    <w:rsid w:val="009C48D9"/>
    <w:rsid w:val="009C493C"/>
    <w:rsid w:val="009C569E"/>
    <w:rsid w:val="009C5EDD"/>
    <w:rsid w:val="009C7579"/>
    <w:rsid w:val="009D07FB"/>
    <w:rsid w:val="009D323F"/>
    <w:rsid w:val="009D3D22"/>
    <w:rsid w:val="009D5FEB"/>
    <w:rsid w:val="009E0B91"/>
    <w:rsid w:val="009E1BF4"/>
    <w:rsid w:val="009E2703"/>
    <w:rsid w:val="009E7C3B"/>
    <w:rsid w:val="009F12C4"/>
    <w:rsid w:val="009F168C"/>
    <w:rsid w:val="009F3FAC"/>
    <w:rsid w:val="009F4ED2"/>
    <w:rsid w:val="009F6ABF"/>
    <w:rsid w:val="00A0053F"/>
    <w:rsid w:val="00A03820"/>
    <w:rsid w:val="00A03943"/>
    <w:rsid w:val="00A03BD9"/>
    <w:rsid w:val="00A0675F"/>
    <w:rsid w:val="00A06C66"/>
    <w:rsid w:val="00A07242"/>
    <w:rsid w:val="00A10211"/>
    <w:rsid w:val="00A118A3"/>
    <w:rsid w:val="00A129FD"/>
    <w:rsid w:val="00A14E36"/>
    <w:rsid w:val="00A16EDC"/>
    <w:rsid w:val="00A176B9"/>
    <w:rsid w:val="00A21196"/>
    <w:rsid w:val="00A2142D"/>
    <w:rsid w:val="00A22E53"/>
    <w:rsid w:val="00A257B8"/>
    <w:rsid w:val="00A264AA"/>
    <w:rsid w:val="00A26B70"/>
    <w:rsid w:val="00A3452B"/>
    <w:rsid w:val="00A357BA"/>
    <w:rsid w:val="00A35A3E"/>
    <w:rsid w:val="00A3630D"/>
    <w:rsid w:val="00A37CBC"/>
    <w:rsid w:val="00A41AF1"/>
    <w:rsid w:val="00A421C1"/>
    <w:rsid w:val="00A43BEB"/>
    <w:rsid w:val="00A44816"/>
    <w:rsid w:val="00A45D56"/>
    <w:rsid w:val="00A47867"/>
    <w:rsid w:val="00A479CB"/>
    <w:rsid w:val="00A504B5"/>
    <w:rsid w:val="00A5064F"/>
    <w:rsid w:val="00A50E63"/>
    <w:rsid w:val="00A52535"/>
    <w:rsid w:val="00A52996"/>
    <w:rsid w:val="00A53866"/>
    <w:rsid w:val="00A55A27"/>
    <w:rsid w:val="00A57236"/>
    <w:rsid w:val="00A57810"/>
    <w:rsid w:val="00A60008"/>
    <w:rsid w:val="00A60BD1"/>
    <w:rsid w:val="00A62B02"/>
    <w:rsid w:val="00A632DB"/>
    <w:rsid w:val="00A63358"/>
    <w:rsid w:val="00A6460C"/>
    <w:rsid w:val="00A64BC2"/>
    <w:rsid w:val="00A65AB8"/>
    <w:rsid w:val="00A665EB"/>
    <w:rsid w:val="00A70415"/>
    <w:rsid w:val="00A70FA8"/>
    <w:rsid w:val="00A71DF5"/>
    <w:rsid w:val="00A71E84"/>
    <w:rsid w:val="00A7229F"/>
    <w:rsid w:val="00A7334B"/>
    <w:rsid w:val="00A734C6"/>
    <w:rsid w:val="00A80708"/>
    <w:rsid w:val="00A80BD8"/>
    <w:rsid w:val="00A81C65"/>
    <w:rsid w:val="00A859F4"/>
    <w:rsid w:val="00A866E5"/>
    <w:rsid w:val="00A87E85"/>
    <w:rsid w:val="00A90886"/>
    <w:rsid w:val="00A91CF2"/>
    <w:rsid w:val="00AA15D4"/>
    <w:rsid w:val="00AA196A"/>
    <w:rsid w:val="00AA1EB7"/>
    <w:rsid w:val="00AA27D4"/>
    <w:rsid w:val="00AA36D2"/>
    <w:rsid w:val="00AA4B58"/>
    <w:rsid w:val="00AA6C73"/>
    <w:rsid w:val="00AA761E"/>
    <w:rsid w:val="00AB1C7D"/>
    <w:rsid w:val="00AB2F32"/>
    <w:rsid w:val="00AB42F2"/>
    <w:rsid w:val="00AB4F59"/>
    <w:rsid w:val="00AB59D9"/>
    <w:rsid w:val="00AB6384"/>
    <w:rsid w:val="00AB658E"/>
    <w:rsid w:val="00AB7D64"/>
    <w:rsid w:val="00AC1498"/>
    <w:rsid w:val="00AC1698"/>
    <w:rsid w:val="00AC465A"/>
    <w:rsid w:val="00AC5EBE"/>
    <w:rsid w:val="00AC6B18"/>
    <w:rsid w:val="00AC6F91"/>
    <w:rsid w:val="00AD0BB4"/>
    <w:rsid w:val="00AD1EA6"/>
    <w:rsid w:val="00AD20A6"/>
    <w:rsid w:val="00AD2C36"/>
    <w:rsid w:val="00AD3398"/>
    <w:rsid w:val="00AD3D82"/>
    <w:rsid w:val="00AD3FC1"/>
    <w:rsid w:val="00AD481F"/>
    <w:rsid w:val="00AD61DD"/>
    <w:rsid w:val="00AE05DB"/>
    <w:rsid w:val="00AE2CD6"/>
    <w:rsid w:val="00AE3425"/>
    <w:rsid w:val="00AE3C41"/>
    <w:rsid w:val="00AE6337"/>
    <w:rsid w:val="00AE65F5"/>
    <w:rsid w:val="00AE6BE3"/>
    <w:rsid w:val="00AF1DF4"/>
    <w:rsid w:val="00AF2251"/>
    <w:rsid w:val="00AF2C11"/>
    <w:rsid w:val="00AF3080"/>
    <w:rsid w:val="00AF3A57"/>
    <w:rsid w:val="00AF4C8B"/>
    <w:rsid w:val="00AF53C4"/>
    <w:rsid w:val="00AF56FF"/>
    <w:rsid w:val="00AF663C"/>
    <w:rsid w:val="00AF6C3A"/>
    <w:rsid w:val="00B00CEC"/>
    <w:rsid w:val="00B01264"/>
    <w:rsid w:val="00B014CA"/>
    <w:rsid w:val="00B104EB"/>
    <w:rsid w:val="00B1180A"/>
    <w:rsid w:val="00B11D39"/>
    <w:rsid w:val="00B1790E"/>
    <w:rsid w:val="00B20163"/>
    <w:rsid w:val="00B20E40"/>
    <w:rsid w:val="00B2199F"/>
    <w:rsid w:val="00B22915"/>
    <w:rsid w:val="00B22E18"/>
    <w:rsid w:val="00B233D1"/>
    <w:rsid w:val="00B23A71"/>
    <w:rsid w:val="00B244D5"/>
    <w:rsid w:val="00B25092"/>
    <w:rsid w:val="00B2534B"/>
    <w:rsid w:val="00B26A24"/>
    <w:rsid w:val="00B26C20"/>
    <w:rsid w:val="00B312E4"/>
    <w:rsid w:val="00B34C52"/>
    <w:rsid w:val="00B34C7C"/>
    <w:rsid w:val="00B35554"/>
    <w:rsid w:val="00B3565B"/>
    <w:rsid w:val="00B376C9"/>
    <w:rsid w:val="00B40F18"/>
    <w:rsid w:val="00B41179"/>
    <w:rsid w:val="00B411F3"/>
    <w:rsid w:val="00B41DB3"/>
    <w:rsid w:val="00B41E44"/>
    <w:rsid w:val="00B42954"/>
    <w:rsid w:val="00B45876"/>
    <w:rsid w:val="00B54B2F"/>
    <w:rsid w:val="00B54BDC"/>
    <w:rsid w:val="00B55797"/>
    <w:rsid w:val="00B56354"/>
    <w:rsid w:val="00B6071F"/>
    <w:rsid w:val="00B63B32"/>
    <w:rsid w:val="00B64779"/>
    <w:rsid w:val="00B651B3"/>
    <w:rsid w:val="00B66753"/>
    <w:rsid w:val="00B7021E"/>
    <w:rsid w:val="00B7034E"/>
    <w:rsid w:val="00B70B1D"/>
    <w:rsid w:val="00B72574"/>
    <w:rsid w:val="00B73C60"/>
    <w:rsid w:val="00B75F04"/>
    <w:rsid w:val="00B80C92"/>
    <w:rsid w:val="00B81288"/>
    <w:rsid w:val="00B815EC"/>
    <w:rsid w:val="00B81B74"/>
    <w:rsid w:val="00B81D49"/>
    <w:rsid w:val="00B84EBE"/>
    <w:rsid w:val="00B85889"/>
    <w:rsid w:val="00B900EC"/>
    <w:rsid w:val="00B9088C"/>
    <w:rsid w:val="00B91B8A"/>
    <w:rsid w:val="00B9265F"/>
    <w:rsid w:val="00B927BB"/>
    <w:rsid w:val="00B930BA"/>
    <w:rsid w:val="00B937B3"/>
    <w:rsid w:val="00B94B36"/>
    <w:rsid w:val="00BA127F"/>
    <w:rsid w:val="00BA2706"/>
    <w:rsid w:val="00BA2B9F"/>
    <w:rsid w:val="00BA2DFB"/>
    <w:rsid w:val="00BA324C"/>
    <w:rsid w:val="00BA427A"/>
    <w:rsid w:val="00BA5CE3"/>
    <w:rsid w:val="00BA7B3E"/>
    <w:rsid w:val="00BB0F48"/>
    <w:rsid w:val="00BB1B2E"/>
    <w:rsid w:val="00BB205A"/>
    <w:rsid w:val="00BB284F"/>
    <w:rsid w:val="00BB287B"/>
    <w:rsid w:val="00BB3E57"/>
    <w:rsid w:val="00BB435E"/>
    <w:rsid w:val="00BB5256"/>
    <w:rsid w:val="00BB5446"/>
    <w:rsid w:val="00BB5C8E"/>
    <w:rsid w:val="00BB607E"/>
    <w:rsid w:val="00BB6498"/>
    <w:rsid w:val="00BC0361"/>
    <w:rsid w:val="00BC1428"/>
    <w:rsid w:val="00BC1FCD"/>
    <w:rsid w:val="00BC2772"/>
    <w:rsid w:val="00BC320C"/>
    <w:rsid w:val="00BC612E"/>
    <w:rsid w:val="00BC6372"/>
    <w:rsid w:val="00BC6BCB"/>
    <w:rsid w:val="00BC7DCE"/>
    <w:rsid w:val="00BD2352"/>
    <w:rsid w:val="00BD3A62"/>
    <w:rsid w:val="00BD4D43"/>
    <w:rsid w:val="00BD5E49"/>
    <w:rsid w:val="00BD6015"/>
    <w:rsid w:val="00BD7F43"/>
    <w:rsid w:val="00BE0183"/>
    <w:rsid w:val="00BE23B8"/>
    <w:rsid w:val="00BE336A"/>
    <w:rsid w:val="00BE342C"/>
    <w:rsid w:val="00BE3EEA"/>
    <w:rsid w:val="00BE5C8A"/>
    <w:rsid w:val="00BE6093"/>
    <w:rsid w:val="00BE7DB7"/>
    <w:rsid w:val="00BF0A09"/>
    <w:rsid w:val="00BF2712"/>
    <w:rsid w:val="00BF2D83"/>
    <w:rsid w:val="00BF3788"/>
    <w:rsid w:val="00BF4FC0"/>
    <w:rsid w:val="00BF6662"/>
    <w:rsid w:val="00BF6722"/>
    <w:rsid w:val="00BF73EF"/>
    <w:rsid w:val="00BF7AFE"/>
    <w:rsid w:val="00C000B5"/>
    <w:rsid w:val="00C00536"/>
    <w:rsid w:val="00C03206"/>
    <w:rsid w:val="00C037E4"/>
    <w:rsid w:val="00C0612A"/>
    <w:rsid w:val="00C0625D"/>
    <w:rsid w:val="00C07D89"/>
    <w:rsid w:val="00C1006B"/>
    <w:rsid w:val="00C12984"/>
    <w:rsid w:val="00C157D4"/>
    <w:rsid w:val="00C164CC"/>
    <w:rsid w:val="00C1790C"/>
    <w:rsid w:val="00C23687"/>
    <w:rsid w:val="00C23BD6"/>
    <w:rsid w:val="00C251ED"/>
    <w:rsid w:val="00C2522D"/>
    <w:rsid w:val="00C25741"/>
    <w:rsid w:val="00C26221"/>
    <w:rsid w:val="00C267B7"/>
    <w:rsid w:val="00C27A91"/>
    <w:rsid w:val="00C31825"/>
    <w:rsid w:val="00C32E60"/>
    <w:rsid w:val="00C33D17"/>
    <w:rsid w:val="00C34EA3"/>
    <w:rsid w:val="00C365F5"/>
    <w:rsid w:val="00C3670A"/>
    <w:rsid w:val="00C37110"/>
    <w:rsid w:val="00C37686"/>
    <w:rsid w:val="00C409D5"/>
    <w:rsid w:val="00C44028"/>
    <w:rsid w:val="00C44B35"/>
    <w:rsid w:val="00C470BD"/>
    <w:rsid w:val="00C47966"/>
    <w:rsid w:val="00C47C0D"/>
    <w:rsid w:val="00C501FA"/>
    <w:rsid w:val="00C5048A"/>
    <w:rsid w:val="00C5700E"/>
    <w:rsid w:val="00C60E12"/>
    <w:rsid w:val="00C614FA"/>
    <w:rsid w:val="00C61EDA"/>
    <w:rsid w:val="00C62DE7"/>
    <w:rsid w:val="00C64441"/>
    <w:rsid w:val="00C66095"/>
    <w:rsid w:val="00C67CDA"/>
    <w:rsid w:val="00C704C6"/>
    <w:rsid w:val="00C705CB"/>
    <w:rsid w:val="00C71C37"/>
    <w:rsid w:val="00C7200E"/>
    <w:rsid w:val="00C72213"/>
    <w:rsid w:val="00C72B68"/>
    <w:rsid w:val="00C72FD7"/>
    <w:rsid w:val="00C7327A"/>
    <w:rsid w:val="00C741BB"/>
    <w:rsid w:val="00C74397"/>
    <w:rsid w:val="00C75007"/>
    <w:rsid w:val="00C802A5"/>
    <w:rsid w:val="00C802F0"/>
    <w:rsid w:val="00C81210"/>
    <w:rsid w:val="00C817FC"/>
    <w:rsid w:val="00C82642"/>
    <w:rsid w:val="00C82AC7"/>
    <w:rsid w:val="00C82C51"/>
    <w:rsid w:val="00C83642"/>
    <w:rsid w:val="00C848DE"/>
    <w:rsid w:val="00C84990"/>
    <w:rsid w:val="00C8789C"/>
    <w:rsid w:val="00C87C90"/>
    <w:rsid w:val="00C91D38"/>
    <w:rsid w:val="00C92EBD"/>
    <w:rsid w:val="00C95141"/>
    <w:rsid w:val="00C97728"/>
    <w:rsid w:val="00CA1ABA"/>
    <w:rsid w:val="00CA2384"/>
    <w:rsid w:val="00CB0F36"/>
    <w:rsid w:val="00CB2B42"/>
    <w:rsid w:val="00CB467D"/>
    <w:rsid w:val="00CB4B17"/>
    <w:rsid w:val="00CB5059"/>
    <w:rsid w:val="00CB5BF3"/>
    <w:rsid w:val="00CB67E2"/>
    <w:rsid w:val="00CC3312"/>
    <w:rsid w:val="00CC38D4"/>
    <w:rsid w:val="00CC467B"/>
    <w:rsid w:val="00CC4AAC"/>
    <w:rsid w:val="00CC62BC"/>
    <w:rsid w:val="00CC6344"/>
    <w:rsid w:val="00CC6459"/>
    <w:rsid w:val="00CC7676"/>
    <w:rsid w:val="00CD3A78"/>
    <w:rsid w:val="00CD4A1D"/>
    <w:rsid w:val="00CD5812"/>
    <w:rsid w:val="00CD6105"/>
    <w:rsid w:val="00CD6A3E"/>
    <w:rsid w:val="00CD6BEF"/>
    <w:rsid w:val="00CD6E08"/>
    <w:rsid w:val="00CD7B2F"/>
    <w:rsid w:val="00CE181E"/>
    <w:rsid w:val="00CE1C5E"/>
    <w:rsid w:val="00CE2219"/>
    <w:rsid w:val="00CE31F0"/>
    <w:rsid w:val="00CE4CA9"/>
    <w:rsid w:val="00CE5260"/>
    <w:rsid w:val="00CE5458"/>
    <w:rsid w:val="00CF4FB4"/>
    <w:rsid w:val="00CF609B"/>
    <w:rsid w:val="00CF7045"/>
    <w:rsid w:val="00D00205"/>
    <w:rsid w:val="00D0032E"/>
    <w:rsid w:val="00D03C17"/>
    <w:rsid w:val="00D03C56"/>
    <w:rsid w:val="00D05130"/>
    <w:rsid w:val="00D05CBE"/>
    <w:rsid w:val="00D10412"/>
    <w:rsid w:val="00D11CB0"/>
    <w:rsid w:val="00D12803"/>
    <w:rsid w:val="00D15719"/>
    <w:rsid w:val="00D17CD9"/>
    <w:rsid w:val="00D17E74"/>
    <w:rsid w:val="00D17E75"/>
    <w:rsid w:val="00D24E9A"/>
    <w:rsid w:val="00D2634A"/>
    <w:rsid w:val="00D31D3B"/>
    <w:rsid w:val="00D31D5A"/>
    <w:rsid w:val="00D32173"/>
    <w:rsid w:val="00D338D0"/>
    <w:rsid w:val="00D34B43"/>
    <w:rsid w:val="00D34C03"/>
    <w:rsid w:val="00D3545C"/>
    <w:rsid w:val="00D35D52"/>
    <w:rsid w:val="00D36842"/>
    <w:rsid w:val="00D36B87"/>
    <w:rsid w:val="00D37CE9"/>
    <w:rsid w:val="00D40014"/>
    <w:rsid w:val="00D41932"/>
    <w:rsid w:val="00D423C3"/>
    <w:rsid w:val="00D42D33"/>
    <w:rsid w:val="00D471C6"/>
    <w:rsid w:val="00D47C95"/>
    <w:rsid w:val="00D52127"/>
    <w:rsid w:val="00D52C08"/>
    <w:rsid w:val="00D53B6A"/>
    <w:rsid w:val="00D54314"/>
    <w:rsid w:val="00D5543B"/>
    <w:rsid w:val="00D559E9"/>
    <w:rsid w:val="00D565F4"/>
    <w:rsid w:val="00D56D5C"/>
    <w:rsid w:val="00D60B35"/>
    <w:rsid w:val="00D61052"/>
    <w:rsid w:val="00D6146D"/>
    <w:rsid w:val="00D62403"/>
    <w:rsid w:val="00D62638"/>
    <w:rsid w:val="00D6264C"/>
    <w:rsid w:val="00D62D1A"/>
    <w:rsid w:val="00D67DF0"/>
    <w:rsid w:val="00D70076"/>
    <w:rsid w:val="00D70976"/>
    <w:rsid w:val="00D71265"/>
    <w:rsid w:val="00D713D5"/>
    <w:rsid w:val="00D73311"/>
    <w:rsid w:val="00D7414C"/>
    <w:rsid w:val="00D765E1"/>
    <w:rsid w:val="00D771C2"/>
    <w:rsid w:val="00D77E09"/>
    <w:rsid w:val="00D805FB"/>
    <w:rsid w:val="00D83E0E"/>
    <w:rsid w:val="00D85EA0"/>
    <w:rsid w:val="00D86913"/>
    <w:rsid w:val="00D9250E"/>
    <w:rsid w:val="00D93363"/>
    <w:rsid w:val="00D94ADE"/>
    <w:rsid w:val="00D94D79"/>
    <w:rsid w:val="00D96443"/>
    <w:rsid w:val="00D96B7F"/>
    <w:rsid w:val="00D9738A"/>
    <w:rsid w:val="00D97F3E"/>
    <w:rsid w:val="00D97FA1"/>
    <w:rsid w:val="00DA0606"/>
    <w:rsid w:val="00DA0DF7"/>
    <w:rsid w:val="00DA3B26"/>
    <w:rsid w:val="00DA3E12"/>
    <w:rsid w:val="00DA47FA"/>
    <w:rsid w:val="00DA4A30"/>
    <w:rsid w:val="00DA69A3"/>
    <w:rsid w:val="00DB12F8"/>
    <w:rsid w:val="00DB2065"/>
    <w:rsid w:val="00DB3C6C"/>
    <w:rsid w:val="00DB51BA"/>
    <w:rsid w:val="00DB56D9"/>
    <w:rsid w:val="00DB61EA"/>
    <w:rsid w:val="00DB63CD"/>
    <w:rsid w:val="00DB7B11"/>
    <w:rsid w:val="00DB7E16"/>
    <w:rsid w:val="00DC12C5"/>
    <w:rsid w:val="00DC1C88"/>
    <w:rsid w:val="00DC29E8"/>
    <w:rsid w:val="00DC2FBB"/>
    <w:rsid w:val="00DC3961"/>
    <w:rsid w:val="00DC403F"/>
    <w:rsid w:val="00DC4314"/>
    <w:rsid w:val="00DC5EBC"/>
    <w:rsid w:val="00DC6D94"/>
    <w:rsid w:val="00DC74AC"/>
    <w:rsid w:val="00DC7834"/>
    <w:rsid w:val="00DD09F3"/>
    <w:rsid w:val="00DD2EC5"/>
    <w:rsid w:val="00DD2F08"/>
    <w:rsid w:val="00DD4257"/>
    <w:rsid w:val="00DD5405"/>
    <w:rsid w:val="00DD6068"/>
    <w:rsid w:val="00DD7697"/>
    <w:rsid w:val="00DE0044"/>
    <w:rsid w:val="00DE020B"/>
    <w:rsid w:val="00DE02FD"/>
    <w:rsid w:val="00DE2DC1"/>
    <w:rsid w:val="00DE3890"/>
    <w:rsid w:val="00DE3B1E"/>
    <w:rsid w:val="00DF04B8"/>
    <w:rsid w:val="00DF29F4"/>
    <w:rsid w:val="00DF5223"/>
    <w:rsid w:val="00DF5D3D"/>
    <w:rsid w:val="00DF6A45"/>
    <w:rsid w:val="00DF7AD0"/>
    <w:rsid w:val="00E00081"/>
    <w:rsid w:val="00E00BF4"/>
    <w:rsid w:val="00E01BB3"/>
    <w:rsid w:val="00E02C85"/>
    <w:rsid w:val="00E03615"/>
    <w:rsid w:val="00E04D21"/>
    <w:rsid w:val="00E04FAD"/>
    <w:rsid w:val="00E05098"/>
    <w:rsid w:val="00E058DB"/>
    <w:rsid w:val="00E0614C"/>
    <w:rsid w:val="00E06FBE"/>
    <w:rsid w:val="00E0777E"/>
    <w:rsid w:val="00E13530"/>
    <w:rsid w:val="00E13D7A"/>
    <w:rsid w:val="00E1535C"/>
    <w:rsid w:val="00E171A0"/>
    <w:rsid w:val="00E17785"/>
    <w:rsid w:val="00E23238"/>
    <w:rsid w:val="00E23376"/>
    <w:rsid w:val="00E2562F"/>
    <w:rsid w:val="00E27052"/>
    <w:rsid w:val="00E32238"/>
    <w:rsid w:val="00E326A0"/>
    <w:rsid w:val="00E35A84"/>
    <w:rsid w:val="00E3646E"/>
    <w:rsid w:val="00E36D53"/>
    <w:rsid w:val="00E408AE"/>
    <w:rsid w:val="00E40A55"/>
    <w:rsid w:val="00E41C20"/>
    <w:rsid w:val="00E41F6C"/>
    <w:rsid w:val="00E426D0"/>
    <w:rsid w:val="00E42EC4"/>
    <w:rsid w:val="00E43142"/>
    <w:rsid w:val="00E43F3F"/>
    <w:rsid w:val="00E4468D"/>
    <w:rsid w:val="00E45EA1"/>
    <w:rsid w:val="00E4686A"/>
    <w:rsid w:val="00E476E5"/>
    <w:rsid w:val="00E51A05"/>
    <w:rsid w:val="00E530EF"/>
    <w:rsid w:val="00E530FD"/>
    <w:rsid w:val="00E5345B"/>
    <w:rsid w:val="00E55C76"/>
    <w:rsid w:val="00E56975"/>
    <w:rsid w:val="00E603E4"/>
    <w:rsid w:val="00E61DDA"/>
    <w:rsid w:val="00E62122"/>
    <w:rsid w:val="00E63CA1"/>
    <w:rsid w:val="00E63DA0"/>
    <w:rsid w:val="00E641DC"/>
    <w:rsid w:val="00E647EF"/>
    <w:rsid w:val="00E72073"/>
    <w:rsid w:val="00E723AA"/>
    <w:rsid w:val="00E727E4"/>
    <w:rsid w:val="00E72F88"/>
    <w:rsid w:val="00E73A87"/>
    <w:rsid w:val="00E74C8C"/>
    <w:rsid w:val="00E75F39"/>
    <w:rsid w:val="00E76304"/>
    <w:rsid w:val="00E80AFC"/>
    <w:rsid w:val="00E85B84"/>
    <w:rsid w:val="00E900DF"/>
    <w:rsid w:val="00E90256"/>
    <w:rsid w:val="00E92491"/>
    <w:rsid w:val="00E929D8"/>
    <w:rsid w:val="00E945E7"/>
    <w:rsid w:val="00E9475C"/>
    <w:rsid w:val="00E95CA1"/>
    <w:rsid w:val="00E96DB6"/>
    <w:rsid w:val="00E96FBC"/>
    <w:rsid w:val="00E97B34"/>
    <w:rsid w:val="00EA0339"/>
    <w:rsid w:val="00EA3332"/>
    <w:rsid w:val="00EA510A"/>
    <w:rsid w:val="00EA65AD"/>
    <w:rsid w:val="00EA6A09"/>
    <w:rsid w:val="00EB0C7E"/>
    <w:rsid w:val="00EB3936"/>
    <w:rsid w:val="00EB3ED2"/>
    <w:rsid w:val="00EB3EFA"/>
    <w:rsid w:val="00EB4115"/>
    <w:rsid w:val="00EB4157"/>
    <w:rsid w:val="00EB54DD"/>
    <w:rsid w:val="00EB7C0D"/>
    <w:rsid w:val="00EC02AE"/>
    <w:rsid w:val="00EC02EF"/>
    <w:rsid w:val="00EC0EA3"/>
    <w:rsid w:val="00EC1359"/>
    <w:rsid w:val="00EC41FE"/>
    <w:rsid w:val="00EC4712"/>
    <w:rsid w:val="00EC56B8"/>
    <w:rsid w:val="00EC6325"/>
    <w:rsid w:val="00ED0313"/>
    <w:rsid w:val="00ED053C"/>
    <w:rsid w:val="00ED0906"/>
    <w:rsid w:val="00ED0F8D"/>
    <w:rsid w:val="00ED1E69"/>
    <w:rsid w:val="00ED2649"/>
    <w:rsid w:val="00ED3D15"/>
    <w:rsid w:val="00ED4729"/>
    <w:rsid w:val="00ED5708"/>
    <w:rsid w:val="00ED7784"/>
    <w:rsid w:val="00EE2B13"/>
    <w:rsid w:val="00EE37F8"/>
    <w:rsid w:val="00EE3AEE"/>
    <w:rsid w:val="00EE4B4C"/>
    <w:rsid w:val="00EE4EFE"/>
    <w:rsid w:val="00EE60A4"/>
    <w:rsid w:val="00EF2228"/>
    <w:rsid w:val="00EF3EBE"/>
    <w:rsid w:val="00EF446D"/>
    <w:rsid w:val="00EF4783"/>
    <w:rsid w:val="00EF75A2"/>
    <w:rsid w:val="00F00CA9"/>
    <w:rsid w:val="00F01810"/>
    <w:rsid w:val="00F01869"/>
    <w:rsid w:val="00F01881"/>
    <w:rsid w:val="00F02A22"/>
    <w:rsid w:val="00F02A8E"/>
    <w:rsid w:val="00F02E98"/>
    <w:rsid w:val="00F043C7"/>
    <w:rsid w:val="00F04791"/>
    <w:rsid w:val="00F04CBB"/>
    <w:rsid w:val="00F04D4C"/>
    <w:rsid w:val="00F103C4"/>
    <w:rsid w:val="00F111A3"/>
    <w:rsid w:val="00F116B5"/>
    <w:rsid w:val="00F137BA"/>
    <w:rsid w:val="00F14661"/>
    <w:rsid w:val="00F14F38"/>
    <w:rsid w:val="00F15A9F"/>
    <w:rsid w:val="00F16405"/>
    <w:rsid w:val="00F1658A"/>
    <w:rsid w:val="00F16DBE"/>
    <w:rsid w:val="00F16F11"/>
    <w:rsid w:val="00F22BBC"/>
    <w:rsid w:val="00F2348D"/>
    <w:rsid w:val="00F2350B"/>
    <w:rsid w:val="00F23CEA"/>
    <w:rsid w:val="00F24BC7"/>
    <w:rsid w:val="00F2519E"/>
    <w:rsid w:val="00F31755"/>
    <w:rsid w:val="00F3207E"/>
    <w:rsid w:val="00F338BF"/>
    <w:rsid w:val="00F3402E"/>
    <w:rsid w:val="00F34185"/>
    <w:rsid w:val="00F35181"/>
    <w:rsid w:val="00F357A2"/>
    <w:rsid w:val="00F36833"/>
    <w:rsid w:val="00F369D4"/>
    <w:rsid w:val="00F42E49"/>
    <w:rsid w:val="00F455E0"/>
    <w:rsid w:val="00F50661"/>
    <w:rsid w:val="00F506E4"/>
    <w:rsid w:val="00F50F5A"/>
    <w:rsid w:val="00F52C41"/>
    <w:rsid w:val="00F53F5C"/>
    <w:rsid w:val="00F542F7"/>
    <w:rsid w:val="00F56BDB"/>
    <w:rsid w:val="00F573D5"/>
    <w:rsid w:val="00F576C7"/>
    <w:rsid w:val="00F60C93"/>
    <w:rsid w:val="00F623E2"/>
    <w:rsid w:val="00F62ABC"/>
    <w:rsid w:val="00F64EF5"/>
    <w:rsid w:val="00F6672B"/>
    <w:rsid w:val="00F67776"/>
    <w:rsid w:val="00F70479"/>
    <w:rsid w:val="00F707C6"/>
    <w:rsid w:val="00F70BA9"/>
    <w:rsid w:val="00F72A79"/>
    <w:rsid w:val="00F7482C"/>
    <w:rsid w:val="00F760EA"/>
    <w:rsid w:val="00F76C2F"/>
    <w:rsid w:val="00F774E5"/>
    <w:rsid w:val="00F77C56"/>
    <w:rsid w:val="00F81DBC"/>
    <w:rsid w:val="00F821B7"/>
    <w:rsid w:val="00F85516"/>
    <w:rsid w:val="00F85E0D"/>
    <w:rsid w:val="00F867D1"/>
    <w:rsid w:val="00F86AA7"/>
    <w:rsid w:val="00F87944"/>
    <w:rsid w:val="00F91F11"/>
    <w:rsid w:val="00F92357"/>
    <w:rsid w:val="00F93E17"/>
    <w:rsid w:val="00F95B9B"/>
    <w:rsid w:val="00F95F2F"/>
    <w:rsid w:val="00F95FFB"/>
    <w:rsid w:val="00F96340"/>
    <w:rsid w:val="00F9714B"/>
    <w:rsid w:val="00F97F09"/>
    <w:rsid w:val="00FA0EA2"/>
    <w:rsid w:val="00FA45A2"/>
    <w:rsid w:val="00FA4834"/>
    <w:rsid w:val="00FA647C"/>
    <w:rsid w:val="00FA6914"/>
    <w:rsid w:val="00FA7D15"/>
    <w:rsid w:val="00FB0203"/>
    <w:rsid w:val="00FB0D7D"/>
    <w:rsid w:val="00FB18E5"/>
    <w:rsid w:val="00FB1A28"/>
    <w:rsid w:val="00FB4A77"/>
    <w:rsid w:val="00FB4E51"/>
    <w:rsid w:val="00FB6733"/>
    <w:rsid w:val="00FB6C4F"/>
    <w:rsid w:val="00FC0FE6"/>
    <w:rsid w:val="00FC119C"/>
    <w:rsid w:val="00FC156D"/>
    <w:rsid w:val="00FC1D21"/>
    <w:rsid w:val="00FC3110"/>
    <w:rsid w:val="00FC4A18"/>
    <w:rsid w:val="00FC6007"/>
    <w:rsid w:val="00FC6208"/>
    <w:rsid w:val="00FC7B42"/>
    <w:rsid w:val="00FD0532"/>
    <w:rsid w:val="00FD0D97"/>
    <w:rsid w:val="00FD2F14"/>
    <w:rsid w:val="00FD3564"/>
    <w:rsid w:val="00FD4E69"/>
    <w:rsid w:val="00FD5A40"/>
    <w:rsid w:val="00FE0965"/>
    <w:rsid w:val="00FE0CC1"/>
    <w:rsid w:val="00FE2685"/>
    <w:rsid w:val="00FE7954"/>
    <w:rsid w:val="00FF0227"/>
    <w:rsid w:val="00FF0F42"/>
    <w:rsid w:val="00FF40D0"/>
    <w:rsid w:val="00FF7CA8"/>
    <w:rsid w:val="00FF7CAD"/>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31AFB"/>
  <w15:chartTrackingRefBased/>
  <w15:docId w15:val="{D7808020-2269-4887-A9DB-CBF94E1C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1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A71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A71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A71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A71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A7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1F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A71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A71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71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A71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A7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1FA"/>
    <w:rPr>
      <w:rFonts w:eastAsiaTheme="majorEastAsia" w:cstheme="majorBidi"/>
      <w:color w:val="272727" w:themeColor="text1" w:themeTint="D8"/>
    </w:rPr>
  </w:style>
  <w:style w:type="paragraph" w:styleId="Title">
    <w:name w:val="Title"/>
    <w:basedOn w:val="Normal"/>
    <w:next w:val="Normal"/>
    <w:link w:val="TitleChar"/>
    <w:uiPriority w:val="10"/>
    <w:qFormat/>
    <w:rsid w:val="009A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1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1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71FA"/>
    <w:rPr>
      <w:i/>
      <w:iCs/>
      <w:color w:val="404040" w:themeColor="text1" w:themeTint="BF"/>
    </w:rPr>
  </w:style>
  <w:style w:type="paragraph" w:styleId="ListParagraph">
    <w:name w:val="List Paragraph"/>
    <w:basedOn w:val="Normal"/>
    <w:uiPriority w:val="34"/>
    <w:qFormat/>
    <w:rsid w:val="009A71FA"/>
    <w:pPr>
      <w:ind w:left="720"/>
      <w:contextualSpacing/>
    </w:pPr>
  </w:style>
  <w:style w:type="character" w:styleId="IntenseEmphasis">
    <w:name w:val="Intense Emphasis"/>
    <w:basedOn w:val="DefaultParagraphFont"/>
    <w:uiPriority w:val="21"/>
    <w:qFormat/>
    <w:rsid w:val="009A71FA"/>
    <w:rPr>
      <w:i/>
      <w:iCs/>
      <w:color w:val="365F91" w:themeColor="accent1" w:themeShade="BF"/>
    </w:rPr>
  </w:style>
  <w:style w:type="paragraph" w:styleId="IntenseQuote">
    <w:name w:val="Intense Quote"/>
    <w:basedOn w:val="Normal"/>
    <w:next w:val="Normal"/>
    <w:link w:val="IntenseQuoteChar"/>
    <w:uiPriority w:val="30"/>
    <w:qFormat/>
    <w:rsid w:val="009A71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71FA"/>
    <w:rPr>
      <w:i/>
      <w:iCs/>
      <w:color w:val="365F91" w:themeColor="accent1" w:themeShade="BF"/>
    </w:rPr>
  </w:style>
  <w:style w:type="character" w:styleId="IntenseReference">
    <w:name w:val="Intense Reference"/>
    <w:basedOn w:val="DefaultParagraphFont"/>
    <w:uiPriority w:val="32"/>
    <w:qFormat/>
    <w:rsid w:val="009A71FA"/>
    <w:rPr>
      <w:b/>
      <w:bCs/>
      <w:smallCaps/>
      <w:color w:val="365F91" w:themeColor="accent1" w:themeShade="BF"/>
      <w:spacing w:val="5"/>
    </w:rPr>
  </w:style>
  <w:style w:type="character" w:styleId="Hyperlink">
    <w:name w:val="Hyperlink"/>
    <w:basedOn w:val="DefaultParagraphFont"/>
    <w:uiPriority w:val="99"/>
    <w:unhideWhenUsed/>
    <w:rsid w:val="009A71FA"/>
    <w:rPr>
      <w:color w:val="0000FF" w:themeColor="hyperlink"/>
      <w:u w:val="single"/>
    </w:rPr>
  </w:style>
  <w:style w:type="character" w:styleId="UnresolvedMention">
    <w:name w:val="Unresolved Mention"/>
    <w:basedOn w:val="DefaultParagraphFont"/>
    <w:uiPriority w:val="99"/>
    <w:semiHidden/>
    <w:unhideWhenUsed/>
    <w:rsid w:val="009A71FA"/>
    <w:rPr>
      <w:color w:val="605E5C"/>
      <w:shd w:val="clear" w:color="auto" w:fill="E1DFDD"/>
    </w:rPr>
  </w:style>
  <w:style w:type="paragraph" w:styleId="Header">
    <w:name w:val="header"/>
    <w:basedOn w:val="Normal"/>
    <w:link w:val="HeaderChar"/>
    <w:uiPriority w:val="99"/>
    <w:unhideWhenUsed/>
    <w:rsid w:val="00471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F3"/>
  </w:style>
  <w:style w:type="paragraph" w:styleId="Footer">
    <w:name w:val="footer"/>
    <w:basedOn w:val="Normal"/>
    <w:link w:val="FooterChar"/>
    <w:uiPriority w:val="99"/>
    <w:unhideWhenUsed/>
    <w:rsid w:val="00471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F3"/>
  </w:style>
  <w:style w:type="paragraph" w:styleId="FootnoteText">
    <w:name w:val="footnote text"/>
    <w:basedOn w:val="Normal"/>
    <w:link w:val="FootnoteTextChar"/>
    <w:uiPriority w:val="99"/>
    <w:semiHidden/>
    <w:unhideWhenUsed/>
    <w:rsid w:val="00AF6C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C3A"/>
    <w:rPr>
      <w:sz w:val="20"/>
      <w:szCs w:val="20"/>
    </w:rPr>
  </w:style>
  <w:style w:type="character" w:styleId="FootnoteReference">
    <w:name w:val="footnote reference"/>
    <w:basedOn w:val="DefaultParagraphFont"/>
    <w:uiPriority w:val="99"/>
    <w:semiHidden/>
    <w:unhideWhenUsed/>
    <w:rsid w:val="00AF6C3A"/>
    <w:rPr>
      <w:vertAlign w:val="superscript"/>
    </w:rPr>
  </w:style>
  <w:style w:type="table" w:styleId="TableGrid">
    <w:name w:val="Table Grid"/>
    <w:basedOn w:val="TableNormal"/>
    <w:uiPriority w:val="39"/>
    <w:rsid w:val="002F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44906">
      <w:bodyDiv w:val="1"/>
      <w:marLeft w:val="0"/>
      <w:marRight w:val="0"/>
      <w:marTop w:val="0"/>
      <w:marBottom w:val="0"/>
      <w:divBdr>
        <w:top w:val="none" w:sz="0" w:space="0" w:color="auto"/>
        <w:left w:val="none" w:sz="0" w:space="0" w:color="auto"/>
        <w:bottom w:val="none" w:sz="0" w:space="0" w:color="auto"/>
        <w:right w:val="none" w:sz="0" w:space="0" w:color="auto"/>
      </w:divBdr>
      <w:divsChild>
        <w:div w:id="1042025079">
          <w:marLeft w:val="0"/>
          <w:marRight w:val="0"/>
          <w:marTop w:val="0"/>
          <w:marBottom w:val="0"/>
          <w:divBdr>
            <w:top w:val="none" w:sz="0" w:space="0" w:color="auto"/>
            <w:left w:val="none" w:sz="0" w:space="0" w:color="auto"/>
            <w:bottom w:val="none" w:sz="0" w:space="0" w:color="auto"/>
            <w:right w:val="none" w:sz="0" w:space="0" w:color="auto"/>
          </w:divBdr>
        </w:div>
        <w:div w:id="25721268">
          <w:marLeft w:val="0"/>
          <w:marRight w:val="0"/>
          <w:marTop w:val="0"/>
          <w:marBottom w:val="0"/>
          <w:divBdr>
            <w:top w:val="none" w:sz="0" w:space="0" w:color="auto"/>
            <w:left w:val="none" w:sz="0" w:space="0" w:color="auto"/>
            <w:bottom w:val="none" w:sz="0" w:space="0" w:color="auto"/>
            <w:right w:val="none" w:sz="0" w:space="0" w:color="auto"/>
          </w:divBdr>
        </w:div>
        <w:div w:id="386808728">
          <w:marLeft w:val="0"/>
          <w:marRight w:val="0"/>
          <w:marTop w:val="0"/>
          <w:marBottom w:val="0"/>
          <w:divBdr>
            <w:top w:val="none" w:sz="0" w:space="0" w:color="auto"/>
            <w:left w:val="none" w:sz="0" w:space="0" w:color="auto"/>
            <w:bottom w:val="none" w:sz="0" w:space="0" w:color="auto"/>
            <w:right w:val="none" w:sz="0" w:space="0" w:color="auto"/>
          </w:divBdr>
        </w:div>
        <w:div w:id="1646006169">
          <w:marLeft w:val="0"/>
          <w:marRight w:val="0"/>
          <w:marTop w:val="0"/>
          <w:marBottom w:val="0"/>
          <w:divBdr>
            <w:top w:val="none" w:sz="0" w:space="0" w:color="auto"/>
            <w:left w:val="none" w:sz="0" w:space="0" w:color="auto"/>
            <w:bottom w:val="none" w:sz="0" w:space="0" w:color="auto"/>
            <w:right w:val="none" w:sz="0" w:space="0" w:color="auto"/>
          </w:divBdr>
        </w:div>
        <w:div w:id="1691640848">
          <w:marLeft w:val="0"/>
          <w:marRight w:val="0"/>
          <w:marTop w:val="0"/>
          <w:marBottom w:val="0"/>
          <w:divBdr>
            <w:top w:val="none" w:sz="0" w:space="0" w:color="auto"/>
            <w:left w:val="none" w:sz="0" w:space="0" w:color="auto"/>
            <w:bottom w:val="none" w:sz="0" w:space="0" w:color="auto"/>
            <w:right w:val="none" w:sz="0" w:space="0" w:color="auto"/>
          </w:divBdr>
        </w:div>
        <w:div w:id="1384593804">
          <w:marLeft w:val="0"/>
          <w:marRight w:val="0"/>
          <w:marTop w:val="0"/>
          <w:marBottom w:val="0"/>
          <w:divBdr>
            <w:top w:val="none" w:sz="0" w:space="0" w:color="auto"/>
            <w:left w:val="none" w:sz="0" w:space="0" w:color="auto"/>
            <w:bottom w:val="none" w:sz="0" w:space="0" w:color="auto"/>
            <w:right w:val="none" w:sz="0" w:space="0" w:color="auto"/>
          </w:divBdr>
        </w:div>
        <w:div w:id="927230388">
          <w:marLeft w:val="0"/>
          <w:marRight w:val="0"/>
          <w:marTop w:val="0"/>
          <w:marBottom w:val="0"/>
          <w:divBdr>
            <w:top w:val="none" w:sz="0" w:space="0" w:color="auto"/>
            <w:left w:val="none" w:sz="0" w:space="0" w:color="auto"/>
            <w:bottom w:val="none" w:sz="0" w:space="0" w:color="auto"/>
            <w:right w:val="none" w:sz="0" w:space="0" w:color="auto"/>
          </w:divBdr>
        </w:div>
        <w:div w:id="1411535247">
          <w:marLeft w:val="0"/>
          <w:marRight w:val="0"/>
          <w:marTop w:val="0"/>
          <w:marBottom w:val="0"/>
          <w:divBdr>
            <w:top w:val="none" w:sz="0" w:space="0" w:color="auto"/>
            <w:left w:val="none" w:sz="0" w:space="0" w:color="auto"/>
            <w:bottom w:val="none" w:sz="0" w:space="0" w:color="auto"/>
            <w:right w:val="none" w:sz="0" w:space="0" w:color="auto"/>
          </w:divBdr>
        </w:div>
        <w:div w:id="2034382156">
          <w:marLeft w:val="0"/>
          <w:marRight w:val="0"/>
          <w:marTop w:val="0"/>
          <w:marBottom w:val="0"/>
          <w:divBdr>
            <w:top w:val="none" w:sz="0" w:space="0" w:color="auto"/>
            <w:left w:val="none" w:sz="0" w:space="0" w:color="auto"/>
            <w:bottom w:val="none" w:sz="0" w:space="0" w:color="auto"/>
            <w:right w:val="none" w:sz="0" w:space="0" w:color="auto"/>
          </w:divBdr>
        </w:div>
      </w:divsChild>
    </w:div>
    <w:div w:id="2027176058">
      <w:bodyDiv w:val="1"/>
      <w:marLeft w:val="0"/>
      <w:marRight w:val="0"/>
      <w:marTop w:val="0"/>
      <w:marBottom w:val="0"/>
      <w:divBdr>
        <w:top w:val="none" w:sz="0" w:space="0" w:color="auto"/>
        <w:left w:val="none" w:sz="0" w:space="0" w:color="auto"/>
        <w:bottom w:val="none" w:sz="0" w:space="0" w:color="auto"/>
        <w:right w:val="none" w:sz="0" w:space="0" w:color="auto"/>
      </w:divBdr>
      <w:divsChild>
        <w:div w:id="943727602">
          <w:marLeft w:val="0"/>
          <w:marRight w:val="0"/>
          <w:marTop w:val="0"/>
          <w:marBottom w:val="0"/>
          <w:divBdr>
            <w:top w:val="none" w:sz="0" w:space="0" w:color="auto"/>
            <w:left w:val="none" w:sz="0" w:space="0" w:color="auto"/>
            <w:bottom w:val="none" w:sz="0" w:space="0" w:color="auto"/>
            <w:right w:val="none" w:sz="0" w:space="0" w:color="auto"/>
          </w:divBdr>
        </w:div>
        <w:div w:id="294943643">
          <w:marLeft w:val="0"/>
          <w:marRight w:val="0"/>
          <w:marTop w:val="0"/>
          <w:marBottom w:val="0"/>
          <w:divBdr>
            <w:top w:val="none" w:sz="0" w:space="0" w:color="auto"/>
            <w:left w:val="none" w:sz="0" w:space="0" w:color="auto"/>
            <w:bottom w:val="none" w:sz="0" w:space="0" w:color="auto"/>
            <w:right w:val="none" w:sz="0" w:space="0" w:color="auto"/>
          </w:divBdr>
        </w:div>
        <w:div w:id="568731382">
          <w:marLeft w:val="0"/>
          <w:marRight w:val="0"/>
          <w:marTop w:val="0"/>
          <w:marBottom w:val="0"/>
          <w:divBdr>
            <w:top w:val="none" w:sz="0" w:space="0" w:color="auto"/>
            <w:left w:val="none" w:sz="0" w:space="0" w:color="auto"/>
            <w:bottom w:val="none" w:sz="0" w:space="0" w:color="auto"/>
            <w:right w:val="none" w:sz="0" w:space="0" w:color="auto"/>
          </w:divBdr>
        </w:div>
        <w:div w:id="834224290">
          <w:marLeft w:val="0"/>
          <w:marRight w:val="0"/>
          <w:marTop w:val="0"/>
          <w:marBottom w:val="0"/>
          <w:divBdr>
            <w:top w:val="none" w:sz="0" w:space="0" w:color="auto"/>
            <w:left w:val="none" w:sz="0" w:space="0" w:color="auto"/>
            <w:bottom w:val="none" w:sz="0" w:space="0" w:color="auto"/>
            <w:right w:val="none" w:sz="0" w:space="0" w:color="auto"/>
          </w:divBdr>
        </w:div>
        <w:div w:id="664940502">
          <w:marLeft w:val="0"/>
          <w:marRight w:val="0"/>
          <w:marTop w:val="0"/>
          <w:marBottom w:val="0"/>
          <w:divBdr>
            <w:top w:val="none" w:sz="0" w:space="0" w:color="auto"/>
            <w:left w:val="none" w:sz="0" w:space="0" w:color="auto"/>
            <w:bottom w:val="none" w:sz="0" w:space="0" w:color="auto"/>
            <w:right w:val="none" w:sz="0" w:space="0" w:color="auto"/>
          </w:divBdr>
        </w:div>
        <w:div w:id="671952122">
          <w:marLeft w:val="0"/>
          <w:marRight w:val="0"/>
          <w:marTop w:val="0"/>
          <w:marBottom w:val="0"/>
          <w:divBdr>
            <w:top w:val="none" w:sz="0" w:space="0" w:color="auto"/>
            <w:left w:val="none" w:sz="0" w:space="0" w:color="auto"/>
            <w:bottom w:val="none" w:sz="0" w:space="0" w:color="auto"/>
            <w:right w:val="none" w:sz="0" w:space="0" w:color="auto"/>
          </w:divBdr>
        </w:div>
        <w:div w:id="421535719">
          <w:marLeft w:val="0"/>
          <w:marRight w:val="0"/>
          <w:marTop w:val="0"/>
          <w:marBottom w:val="0"/>
          <w:divBdr>
            <w:top w:val="none" w:sz="0" w:space="0" w:color="auto"/>
            <w:left w:val="none" w:sz="0" w:space="0" w:color="auto"/>
            <w:bottom w:val="none" w:sz="0" w:space="0" w:color="auto"/>
            <w:right w:val="none" w:sz="0" w:space="0" w:color="auto"/>
          </w:divBdr>
        </w:div>
        <w:div w:id="1607151655">
          <w:marLeft w:val="0"/>
          <w:marRight w:val="0"/>
          <w:marTop w:val="0"/>
          <w:marBottom w:val="0"/>
          <w:divBdr>
            <w:top w:val="none" w:sz="0" w:space="0" w:color="auto"/>
            <w:left w:val="none" w:sz="0" w:space="0" w:color="auto"/>
            <w:bottom w:val="none" w:sz="0" w:space="0" w:color="auto"/>
            <w:right w:val="none" w:sz="0" w:space="0" w:color="auto"/>
          </w:divBdr>
        </w:div>
        <w:div w:id="173947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hiohome.org/ppd/documents/AffordableAssistedLivingGuidelines.pdf" TargetMode="External"/><Relationship Id="rId4" Type="http://schemas.openxmlformats.org/officeDocument/2006/relationships/settings" Target="settings.xml"/><Relationship Id="rId9" Type="http://schemas.openxmlformats.org/officeDocument/2006/relationships/hyperlink" Target="https://malegislature.gov/Laws/GeneralLaws/PartI/TitleI/Chapter3/Section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ostonglobe.com/tag/gabriel-house-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75E76-0BDC-41D5-88FF-A4F50880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9644</Words>
  <Characters>55545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Mass Law Reform Institute</Company>
  <LinksUpToDate>false</LinksUpToDate>
  <CharactersWithSpaces>65059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Kaplan</dc:creator>
  <cp:keywords/>
  <dc:description/>
  <cp:lastModifiedBy>Romano, Eleanor (ELD)</cp:lastModifiedBy>
  <cp:revision>3</cp:revision>
  <dcterms:created xsi:type="dcterms:W3CDTF">2025-09-26T20:35:00Z</dcterms:created>
  <dcterms:modified xsi:type="dcterms:W3CDTF">2025-10-01T20:14:00Z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81e1a964b6af88c052716fd91b70ab8bd735fbfead182918f5d092ae1b8b9a58</vt:lpwstr>
  </property>
</Properties>
</file>