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4ED" w:rsidRPr="003A308A" w:rsidRDefault="00B014ED" w:rsidP="004D1E5D">
      <w:pPr>
        <w:jc w:val="center"/>
        <w:rPr>
          <w:rFonts w:asciiTheme="majorHAnsi" w:hAnsiTheme="majorHAnsi" w:cstheme="majorHAnsi"/>
          <w:b/>
          <w:i/>
        </w:rPr>
      </w:pPr>
      <w:r w:rsidRPr="003A308A">
        <w:rPr>
          <w:rFonts w:asciiTheme="majorHAnsi" w:hAnsiTheme="majorHAnsi" w:cstheme="majorHAnsi"/>
          <w:b/>
          <w:sz w:val="28"/>
          <w:szCs w:val="28"/>
          <w:u w:val="single"/>
        </w:rPr>
        <w:t>ADDENDUM A</w:t>
      </w:r>
      <w:r w:rsidR="0018262A" w:rsidRPr="003A308A">
        <w:rPr>
          <w:rFonts w:asciiTheme="majorHAnsi" w:hAnsiTheme="majorHAnsi" w:cstheme="majorHAnsi"/>
          <w:b/>
          <w:sz w:val="28"/>
          <w:szCs w:val="28"/>
        </w:rPr>
        <w:t>: Full Hospital Closures</w:t>
      </w:r>
    </w:p>
    <w:p w:rsidR="0018262A" w:rsidRPr="003A308A" w:rsidRDefault="0018262A" w:rsidP="0018262A">
      <w:pPr>
        <w:pStyle w:val="Body"/>
        <w:spacing w:before="0"/>
        <w:rPr>
          <w:rFonts w:hAnsi="Times New Roman" w:cs="Times New Roman"/>
          <w:color w:val="auto"/>
          <w:lang w:val="en-US"/>
        </w:rPr>
      </w:pPr>
    </w:p>
    <w:p w:rsidR="0018262A" w:rsidRPr="003A308A" w:rsidRDefault="0018262A" w:rsidP="0018262A">
      <w:pPr>
        <w:pStyle w:val="Body"/>
        <w:spacing w:before="0"/>
        <w:rPr>
          <w:rFonts w:hAnsi="Times New Roman" w:cs="Times New Roman"/>
          <w:color w:val="auto"/>
          <w:lang w:val="en-US"/>
        </w:rPr>
      </w:pPr>
      <w:r w:rsidRPr="003A308A">
        <w:rPr>
          <w:rFonts w:hAnsi="Times New Roman" w:cs="Times New Roman"/>
          <w:color w:val="auto"/>
          <w:lang w:val="en-US"/>
        </w:rPr>
        <w:t>The following summary provides all recent examples of hospital closures</w:t>
      </w:r>
      <w:r w:rsidR="00BA6B51">
        <w:rPr>
          <w:rFonts w:hAnsi="Times New Roman" w:cs="Times New Roman"/>
          <w:color w:val="auto"/>
          <w:lang w:val="en-US"/>
        </w:rPr>
        <w:t xml:space="preserve"> in the Commonwealth</w:t>
      </w:r>
      <w:r w:rsidRPr="003A308A">
        <w:rPr>
          <w:rFonts w:hAnsi="Times New Roman" w:cs="Times New Roman"/>
          <w:color w:val="auto"/>
          <w:lang w:val="en-US"/>
        </w:rPr>
        <w:t xml:space="preserve"> within the last </w:t>
      </w:r>
      <w:r w:rsidR="00BA6B51">
        <w:rPr>
          <w:rFonts w:hAnsi="Times New Roman" w:cs="Times New Roman"/>
          <w:color w:val="auto"/>
          <w:lang w:val="en-US"/>
        </w:rPr>
        <w:t xml:space="preserve">ten </w:t>
      </w:r>
      <w:r w:rsidRPr="003A308A">
        <w:rPr>
          <w:rFonts w:hAnsi="Times New Roman" w:cs="Times New Roman"/>
          <w:color w:val="auto"/>
          <w:lang w:val="en-US"/>
        </w:rPr>
        <w:t>years. The three most recent full hospital closures in Massachusetts, Hubbard Regional Hospital, North Adams Regional Hospital, and Radius Specialty Hospital, were all precipitated by financial distress, and all occurred under the current laws and regulations applicable to hospital closures.</w:t>
      </w:r>
    </w:p>
    <w:p w:rsidR="0018262A" w:rsidRPr="003A308A" w:rsidRDefault="0018262A" w:rsidP="0018262A">
      <w:pPr>
        <w:pStyle w:val="Body"/>
        <w:spacing w:before="0"/>
        <w:rPr>
          <w:rFonts w:hAnsi="Times New Roman" w:cs="Times New Roman"/>
          <w:color w:val="auto"/>
          <w:lang w:val="en-US"/>
        </w:rPr>
      </w:pPr>
    </w:p>
    <w:p w:rsidR="0018262A" w:rsidRPr="003A308A" w:rsidRDefault="0018262A" w:rsidP="0018262A">
      <w:pPr>
        <w:pStyle w:val="Subtitle"/>
        <w:spacing w:before="0"/>
        <w:rPr>
          <w:rFonts w:hAnsi="Times New Roman" w:cs="Times New Roman"/>
          <w:b/>
          <w:color w:val="auto"/>
          <w:lang w:val="en-US"/>
        </w:rPr>
      </w:pPr>
      <w:r w:rsidRPr="003A308A">
        <w:rPr>
          <w:rFonts w:hAnsi="Times New Roman" w:cs="Times New Roman"/>
          <w:b/>
          <w:i/>
          <w:color w:val="auto"/>
          <w:u w:val="none"/>
          <w:lang w:val="en-US"/>
        </w:rPr>
        <w:t>Hubbard Regional Hospital</w:t>
      </w:r>
    </w:p>
    <w:p w:rsidR="0018262A" w:rsidRPr="003A308A" w:rsidRDefault="0018262A" w:rsidP="0018262A">
      <w:pPr>
        <w:pStyle w:val="Body"/>
        <w:spacing w:before="0"/>
        <w:rPr>
          <w:rFonts w:hAnsi="Times New Roman" w:cs="Times New Roman"/>
          <w:color w:val="auto"/>
          <w:u w:color="4F81BD"/>
          <w:lang w:val="en-US"/>
        </w:rPr>
      </w:pPr>
      <w:r w:rsidRPr="003A308A">
        <w:rPr>
          <w:rFonts w:hAnsi="Times New Roman" w:cs="Times New Roman"/>
          <w:color w:val="auto"/>
          <w:lang w:val="en-US"/>
        </w:rPr>
        <w:t xml:space="preserve">Hubbard Regional Hospital (Hubbard) closed its doors on May 3, 2009. Hubbard, an acute care community hospital located in Webster, MA was licensed for </w:t>
      </w:r>
      <w:r w:rsidR="00AC6B3E" w:rsidRPr="003A308A">
        <w:rPr>
          <w:rFonts w:hAnsi="Times New Roman" w:cs="Times New Roman"/>
          <w:color w:val="auto"/>
          <w:lang w:val="en-US"/>
        </w:rPr>
        <w:t xml:space="preserve">22 </w:t>
      </w:r>
      <w:proofErr w:type="gramStart"/>
      <w:r w:rsidRPr="003A308A">
        <w:rPr>
          <w:rFonts w:hAnsi="Times New Roman" w:cs="Times New Roman"/>
          <w:color w:val="auto"/>
          <w:lang w:val="en-US"/>
        </w:rPr>
        <w:t>beds</w:t>
      </w:r>
      <w:r w:rsidR="00BA6B51">
        <w:rPr>
          <w:rFonts w:hAnsi="Times New Roman" w:cs="Times New Roman"/>
          <w:color w:val="auto"/>
          <w:lang w:val="en-US"/>
        </w:rPr>
        <w:t>,</w:t>
      </w:r>
      <w:proofErr w:type="gramEnd"/>
      <w:r w:rsidRPr="003A308A">
        <w:rPr>
          <w:rFonts w:hAnsi="Times New Roman" w:cs="Times New Roman"/>
          <w:color w:val="auto"/>
          <w:lang w:val="en-US"/>
        </w:rPr>
        <w:t xml:space="preserve"> of which 16 were medical/surgical beds and six (6) were intensive care unit or “ICU” beds. DPH received notification of Hubbard’s intent to close on April </w:t>
      </w:r>
      <w:r w:rsidR="00B43B7E">
        <w:rPr>
          <w:rFonts w:hAnsi="Times New Roman" w:cs="Times New Roman"/>
          <w:color w:val="auto"/>
          <w:lang w:val="en-US"/>
        </w:rPr>
        <w:t>6</w:t>
      </w:r>
      <w:r w:rsidRPr="003A308A">
        <w:rPr>
          <w:rFonts w:hAnsi="Times New Roman" w:cs="Times New Roman"/>
          <w:color w:val="auto"/>
          <w:lang w:val="en-US"/>
        </w:rPr>
        <w:t>, 2009, 30 days before the proposed closure date (</w:t>
      </w:r>
      <w:r w:rsidR="00AD6C0C" w:rsidRPr="003A308A">
        <w:rPr>
          <w:rFonts w:hAnsi="Times New Roman" w:cs="Times New Roman"/>
          <w:i/>
          <w:color w:val="auto"/>
          <w:lang w:val="en-US"/>
        </w:rPr>
        <w:t>Note:</w:t>
      </w:r>
      <w:r w:rsidR="00AD6C0C" w:rsidRPr="003A308A">
        <w:rPr>
          <w:rFonts w:hAnsi="Times New Roman" w:cs="Times New Roman"/>
          <w:color w:val="auto"/>
          <w:lang w:val="en-US"/>
        </w:rPr>
        <w:t xml:space="preserve"> </w:t>
      </w:r>
      <w:r w:rsidRPr="003A308A">
        <w:rPr>
          <w:rFonts w:hAnsi="Times New Roman" w:cs="Times New Roman"/>
          <w:color w:val="auto"/>
          <w:lang w:val="en-US"/>
        </w:rPr>
        <w:t>90-day notice by licensee is required by law). Despite this short timetable, t</w:t>
      </w:r>
      <w:r w:rsidRPr="003A308A">
        <w:rPr>
          <w:rFonts w:hAnsi="Times New Roman" w:cs="Times New Roman"/>
          <w:color w:val="auto"/>
          <w:u w:color="4F81BD"/>
          <w:lang w:val="en-US"/>
        </w:rPr>
        <w:t>here was sufficient notice to immediately schedule and hold a public hearing prior to the closure date, and ultimately, the Commissioner of Public Health waived the 90-day notice requirement under 105 CMR 130.122(C).</w:t>
      </w:r>
    </w:p>
    <w:p w:rsidR="0018262A" w:rsidRPr="003A308A" w:rsidRDefault="0018262A" w:rsidP="0018262A">
      <w:pPr>
        <w:pStyle w:val="Body"/>
        <w:spacing w:before="0"/>
        <w:rPr>
          <w:rFonts w:hAnsi="Times New Roman" w:cs="Times New Roman"/>
          <w:color w:val="auto"/>
          <w:u w:color="4F81BD"/>
          <w:lang w:val="en-US"/>
        </w:rPr>
      </w:pPr>
    </w:p>
    <w:p w:rsidR="004D1E5D" w:rsidRPr="003A308A" w:rsidRDefault="00EA59BB" w:rsidP="00EA59BB">
      <w:pPr>
        <w:pStyle w:val="Body"/>
        <w:spacing w:before="0"/>
        <w:rPr>
          <w:rFonts w:hAnsi="Times New Roman" w:cs="Times New Roman"/>
          <w:color w:val="auto"/>
          <w:lang w:val="en-US"/>
        </w:rPr>
      </w:pPr>
      <w:r w:rsidRPr="003A308A">
        <w:rPr>
          <w:rFonts w:hAnsi="Times New Roman" w:cs="Times New Roman"/>
          <w:color w:val="auto"/>
          <w:lang w:val="en-US"/>
        </w:rPr>
        <w:t xml:space="preserve">The reason for </w:t>
      </w:r>
      <w:r w:rsidR="00AD6C0C" w:rsidRPr="003A308A">
        <w:rPr>
          <w:rFonts w:hAnsi="Times New Roman" w:cs="Times New Roman"/>
          <w:color w:val="auto"/>
          <w:lang w:val="en-US"/>
        </w:rPr>
        <w:t xml:space="preserve">this </w:t>
      </w:r>
      <w:r w:rsidRPr="003A308A">
        <w:rPr>
          <w:rFonts w:hAnsi="Times New Roman" w:cs="Times New Roman"/>
          <w:color w:val="auto"/>
          <w:lang w:val="en-US"/>
        </w:rPr>
        <w:t xml:space="preserve">closure </w:t>
      </w:r>
      <w:r w:rsidR="00AD6C0C" w:rsidRPr="003A308A">
        <w:rPr>
          <w:rFonts w:hAnsi="Times New Roman" w:cs="Times New Roman"/>
          <w:color w:val="auto"/>
          <w:lang w:val="en-US"/>
        </w:rPr>
        <w:t>was</w:t>
      </w:r>
      <w:r w:rsidRPr="003A308A">
        <w:rPr>
          <w:rFonts w:hAnsi="Times New Roman" w:cs="Times New Roman"/>
          <w:color w:val="auto"/>
          <w:lang w:val="en-US"/>
        </w:rPr>
        <w:t xml:space="preserve"> multifactorial:</w:t>
      </w:r>
    </w:p>
    <w:p w:rsidR="00EA59BB" w:rsidRPr="003A308A" w:rsidRDefault="00EA59BB" w:rsidP="00EA59BB">
      <w:pPr>
        <w:pStyle w:val="Body"/>
        <w:numPr>
          <w:ilvl w:val="0"/>
          <w:numId w:val="24"/>
        </w:numPr>
        <w:spacing w:before="0"/>
        <w:rPr>
          <w:rFonts w:hAnsi="Times New Roman" w:cs="Times New Roman"/>
          <w:color w:val="auto"/>
          <w:lang w:val="en-US"/>
        </w:rPr>
      </w:pPr>
      <w:r w:rsidRPr="003A308A">
        <w:rPr>
          <w:rFonts w:hAnsi="Times New Roman" w:cs="Times New Roman"/>
          <w:color w:val="auto"/>
          <w:lang w:val="en-US"/>
        </w:rPr>
        <w:t xml:space="preserve">According to </w:t>
      </w:r>
      <w:r w:rsidR="00AD6C0C" w:rsidRPr="003A308A">
        <w:rPr>
          <w:rFonts w:hAnsi="Times New Roman" w:cs="Times New Roman"/>
          <w:color w:val="auto"/>
          <w:lang w:val="en-US"/>
        </w:rPr>
        <w:t xml:space="preserve">several media accounts, including </w:t>
      </w:r>
      <w:r w:rsidRPr="003A308A">
        <w:rPr>
          <w:rFonts w:hAnsi="Times New Roman" w:cs="Times New Roman"/>
          <w:color w:val="auto"/>
          <w:lang w:val="en-US"/>
        </w:rPr>
        <w:t>the Boston Business Journal</w:t>
      </w:r>
      <w:r w:rsidR="00AD6C0C" w:rsidRPr="003A308A">
        <w:rPr>
          <w:rFonts w:hAnsi="Times New Roman" w:cs="Times New Roman"/>
          <w:color w:val="auto"/>
          <w:lang w:val="en-US"/>
        </w:rPr>
        <w:t xml:space="preserve"> and</w:t>
      </w:r>
      <w:r w:rsidRPr="003A308A">
        <w:rPr>
          <w:rFonts w:hAnsi="Times New Roman" w:cs="Times New Roman"/>
          <w:color w:val="auto"/>
          <w:lang w:val="en-US"/>
        </w:rPr>
        <w:t xml:space="preserve"> </w:t>
      </w:r>
      <w:r w:rsidR="00CF1C7C">
        <w:rPr>
          <w:rFonts w:hAnsi="Times New Roman" w:cs="Times New Roman"/>
          <w:color w:val="auto"/>
          <w:lang w:val="en-US"/>
        </w:rPr>
        <w:t>t</w:t>
      </w:r>
      <w:r w:rsidRPr="003A308A">
        <w:rPr>
          <w:rFonts w:hAnsi="Times New Roman" w:cs="Times New Roman"/>
          <w:color w:val="auto"/>
          <w:lang w:val="en-US"/>
        </w:rPr>
        <w:t>he Webster Times</w:t>
      </w:r>
      <w:r w:rsidR="003A308A">
        <w:rPr>
          <w:rFonts w:hAnsi="Times New Roman" w:cs="Times New Roman"/>
          <w:color w:val="auto"/>
          <w:lang w:val="en-US"/>
        </w:rPr>
        <w:t>,</w:t>
      </w:r>
      <w:r w:rsidR="00AD6C0C" w:rsidRPr="003A308A">
        <w:rPr>
          <w:rStyle w:val="FootnoteReference"/>
          <w:rFonts w:hAnsi="Times New Roman" w:cs="Times New Roman"/>
          <w:color w:val="auto"/>
          <w:lang w:val="en-US"/>
        </w:rPr>
        <w:footnoteReference w:id="2"/>
      </w:r>
      <w:r w:rsidR="00AD6C0C" w:rsidRPr="003A308A">
        <w:rPr>
          <w:rStyle w:val="FootnoteReference"/>
          <w:rFonts w:hAnsi="Times New Roman" w:cs="Times New Roman"/>
          <w:color w:val="auto"/>
          <w:lang w:val="en-US"/>
        </w:rPr>
        <w:footnoteReference w:id="3"/>
      </w:r>
      <w:r w:rsidRPr="003A308A">
        <w:rPr>
          <w:rFonts w:hAnsi="Times New Roman" w:cs="Times New Roman"/>
          <w:color w:val="auto"/>
          <w:lang w:val="en-US"/>
        </w:rPr>
        <w:t xml:space="preserve"> </w:t>
      </w:r>
      <w:r w:rsidR="00AD6C0C" w:rsidRPr="003A308A">
        <w:rPr>
          <w:rFonts w:hAnsi="Times New Roman" w:cs="Times New Roman"/>
          <w:color w:val="auto"/>
          <w:lang w:val="en-US"/>
        </w:rPr>
        <w:t xml:space="preserve">as well as the Hospital’s own </w:t>
      </w:r>
      <w:r w:rsidRPr="003A308A">
        <w:rPr>
          <w:rFonts w:hAnsi="Times New Roman" w:cs="Times New Roman"/>
          <w:color w:val="auto"/>
          <w:lang w:val="en-US"/>
        </w:rPr>
        <w:t xml:space="preserve">closure notification letter </w:t>
      </w:r>
      <w:r w:rsidR="00AD6C0C" w:rsidRPr="003A308A">
        <w:rPr>
          <w:rFonts w:hAnsi="Times New Roman" w:cs="Times New Roman"/>
          <w:color w:val="auto"/>
          <w:lang w:val="en-US"/>
        </w:rPr>
        <w:t xml:space="preserve">received </w:t>
      </w:r>
      <w:r w:rsidRPr="003A308A">
        <w:rPr>
          <w:rFonts w:hAnsi="Times New Roman" w:cs="Times New Roman"/>
          <w:color w:val="auto"/>
          <w:lang w:val="en-US"/>
        </w:rPr>
        <w:t xml:space="preserve">on April </w:t>
      </w:r>
      <w:r w:rsidR="00B43B7E">
        <w:rPr>
          <w:rFonts w:hAnsi="Times New Roman" w:cs="Times New Roman"/>
          <w:color w:val="auto"/>
          <w:lang w:val="en-US"/>
        </w:rPr>
        <w:t>6</w:t>
      </w:r>
      <w:r w:rsidRPr="003A308A">
        <w:rPr>
          <w:rFonts w:hAnsi="Times New Roman" w:cs="Times New Roman"/>
          <w:color w:val="auto"/>
          <w:lang w:val="en-US"/>
        </w:rPr>
        <w:t xml:space="preserve">, 2009, Hubbard </w:t>
      </w:r>
      <w:r w:rsidR="00AD6C0C" w:rsidRPr="003A308A">
        <w:rPr>
          <w:rFonts w:hAnsi="Times New Roman" w:cs="Times New Roman"/>
          <w:color w:val="auto"/>
          <w:lang w:val="en-US"/>
        </w:rPr>
        <w:t xml:space="preserve">had </w:t>
      </w:r>
      <w:r w:rsidR="00BA6B51">
        <w:rPr>
          <w:rFonts w:hAnsi="Times New Roman" w:cs="Times New Roman"/>
          <w:color w:val="auto"/>
          <w:lang w:val="en-US"/>
        </w:rPr>
        <w:t>experienced</w:t>
      </w:r>
      <w:r w:rsidRPr="003A308A">
        <w:rPr>
          <w:rFonts w:hAnsi="Times New Roman" w:cs="Times New Roman"/>
          <w:color w:val="auto"/>
          <w:lang w:val="en-US"/>
        </w:rPr>
        <w:t xml:space="preserve"> financial distress for some time, including an FY2008 operating loss of approximately $1.8M</w:t>
      </w:r>
      <w:r w:rsidR="00AD6C0C" w:rsidRPr="003A308A">
        <w:rPr>
          <w:rFonts w:hAnsi="Times New Roman" w:cs="Times New Roman"/>
          <w:color w:val="auto"/>
          <w:lang w:val="en-US"/>
        </w:rPr>
        <w:t>.</w:t>
      </w:r>
      <w:r w:rsidRPr="003A308A">
        <w:rPr>
          <w:rFonts w:hAnsi="Times New Roman" w:cs="Times New Roman"/>
          <w:color w:val="auto"/>
          <w:lang w:val="en-US"/>
        </w:rPr>
        <w:t xml:space="preserve"> </w:t>
      </w:r>
      <w:r w:rsidR="00AD6C0C" w:rsidRPr="003A308A">
        <w:rPr>
          <w:rFonts w:hAnsi="Times New Roman" w:cs="Times New Roman"/>
          <w:color w:val="auto"/>
          <w:lang w:val="en-US"/>
        </w:rPr>
        <w:t xml:space="preserve">These </w:t>
      </w:r>
      <w:r w:rsidRPr="003A308A">
        <w:rPr>
          <w:rFonts w:hAnsi="Times New Roman" w:cs="Times New Roman"/>
          <w:color w:val="auto"/>
          <w:lang w:val="en-US"/>
        </w:rPr>
        <w:t>recurring losses contribut</w:t>
      </w:r>
      <w:r w:rsidR="00AD6C0C" w:rsidRPr="003A308A">
        <w:rPr>
          <w:rFonts w:hAnsi="Times New Roman" w:cs="Times New Roman"/>
          <w:color w:val="auto"/>
          <w:lang w:val="en-US"/>
        </w:rPr>
        <w:t>ed</w:t>
      </w:r>
      <w:r w:rsidRPr="003A308A">
        <w:rPr>
          <w:rFonts w:hAnsi="Times New Roman" w:cs="Times New Roman"/>
          <w:color w:val="auto"/>
          <w:lang w:val="en-US"/>
        </w:rPr>
        <w:t xml:space="preserve"> to the Hospital’s severe financial distress and</w:t>
      </w:r>
      <w:r w:rsidR="00AD6C0C" w:rsidRPr="003A308A">
        <w:rPr>
          <w:rFonts w:hAnsi="Times New Roman" w:cs="Times New Roman"/>
          <w:color w:val="auto"/>
          <w:lang w:val="en-US"/>
        </w:rPr>
        <w:t xml:space="preserve"> placed</w:t>
      </w:r>
      <w:r w:rsidRPr="003A308A">
        <w:rPr>
          <w:rFonts w:hAnsi="Times New Roman" w:cs="Times New Roman"/>
          <w:color w:val="auto"/>
          <w:lang w:val="en-US"/>
        </w:rPr>
        <w:t xml:space="preserve"> “substantial doubt about [Hubbard</w:t>
      </w:r>
      <w:r w:rsidR="004D1E5D" w:rsidRPr="003A308A">
        <w:rPr>
          <w:rFonts w:hAnsi="Times New Roman" w:cs="Times New Roman"/>
          <w:color w:val="auto"/>
          <w:lang w:val="en-US"/>
        </w:rPr>
        <w:t>’</w:t>
      </w:r>
      <w:r w:rsidRPr="003A308A">
        <w:rPr>
          <w:rFonts w:hAnsi="Times New Roman" w:cs="Times New Roman"/>
          <w:color w:val="auto"/>
          <w:lang w:val="en-US"/>
        </w:rPr>
        <w:t>s] ability to continue.</w:t>
      </w:r>
      <w:r w:rsidR="00AD6C0C" w:rsidRPr="003A308A">
        <w:rPr>
          <w:rFonts w:hAnsi="Times New Roman" w:cs="Times New Roman"/>
          <w:color w:val="auto"/>
          <w:lang w:val="en-US"/>
        </w:rPr>
        <w:t>”</w:t>
      </w:r>
      <w:r w:rsidRPr="003A308A">
        <w:rPr>
          <w:rFonts w:hAnsi="Times New Roman" w:cs="Times New Roman"/>
          <w:color w:val="auto"/>
          <w:lang w:val="en-US"/>
        </w:rPr>
        <w:t xml:space="preserve">  According to </w:t>
      </w:r>
      <w:r w:rsidR="00AD6C0C" w:rsidRPr="003A308A">
        <w:rPr>
          <w:rFonts w:hAnsi="Times New Roman" w:cs="Times New Roman"/>
          <w:color w:val="auto"/>
          <w:lang w:val="en-US"/>
        </w:rPr>
        <w:t>T</w:t>
      </w:r>
      <w:r w:rsidRPr="003A308A">
        <w:rPr>
          <w:rFonts w:hAnsi="Times New Roman" w:cs="Times New Roman"/>
          <w:color w:val="auto"/>
          <w:lang w:val="en-US"/>
        </w:rPr>
        <w:t xml:space="preserve">he Webster Times and representatives from Hubbard, this financial distress was exacerbated by inadequate insurance reimbursements to the Hospital.  Requests for state funding </w:t>
      </w:r>
      <w:r w:rsidR="00BA6B51">
        <w:rPr>
          <w:rFonts w:hAnsi="Times New Roman" w:cs="Times New Roman"/>
          <w:color w:val="auto"/>
          <w:lang w:val="en-US"/>
        </w:rPr>
        <w:t xml:space="preserve">were included </w:t>
      </w:r>
      <w:r w:rsidRPr="003A308A">
        <w:rPr>
          <w:rFonts w:hAnsi="Times New Roman" w:cs="Times New Roman"/>
          <w:color w:val="auto"/>
          <w:lang w:val="en-US"/>
        </w:rPr>
        <w:t xml:space="preserve">in both the FY2006 and FY2007 General Appropriations Acts </w:t>
      </w:r>
      <w:r w:rsidR="003A308A" w:rsidRPr="003A308A">
        <w:rPr>
          <w:rFonts w:hAnsi="Times New Roman" w:cs="Times New Roman"/>
          <w:color w:val="auto"/>
          <w:lang w:val="en-US"/>
        </w:rPr>
        <w:t>(GAA)</w:t>
      </w:r>
      <w:r w:rsidR="00BA6B51">
        <w:rPr>
          <w:rFonts w:hAnsi="Times New Roman" w:cs="Times New Roman"/>
          <w:color w:val="auto"/>
          <w:lang w:val="en-US"/>
        </w:rPr>
        <w:t>,</w:t>
      </w:r>
      <w:r w:rsidR="003A308A" w:rsidRPr="003A308A">
        <w:rPr>
          <w:rFonts w:hAnsi="Times New Roman" w:cs="Times New Roman"/>
          <w:color w:val="auto"/>
          <w:lang w:val="en-US"/>
        </w:rPr>
        <w:t xml:space="preserve"> </w:t>
      </w:r>
      <w:r w:rsidRPr="003A308A">
        <w:rPr>
          <w:rFonts w:hAnsi="Times New Roman" w:cs="Times New Roman"/>
          <w:color w:val="auto"/>
          <w:lang w:val="en-US"/>
        </w:rPr>
        <w:t xml:space="preserve">further </w:t>
      </w:r>
      <w:r w:rsidR="00CF1C7C">
        <w:rPr>
          <w:rFonts w:hAnsi="Times New Roman" w:cs="Times New Roman"/>
          <w:color w:val="auto"/>
          <w:lang w:val="en-US"/>
        </w:rPr>
        <w:t>evidence of</w:t>
      </w:r>
      <w:r w:rsidRPr="003A308A">
        <w:rPr>
          <w:rFonts w:hAnsi="Times New Roman" w:cs="Times New Roman"/>
          <w:color w:val="auto"/>
          <w:lang w:val="en-US"/>
        </w:rPr>
        <w:t xml:space="preserve"> the level of financial hardship experienced by the Hospital (see Senate Journals from 05/23/2005 and 05/24/2006, GAA for FY2006)</w:t>
      </w:r>
      <w:r w:rsidR="004D1E5D" w:rsidRPr="003A308A">
        <w:rPr>
          <w:rFonts w:hAnsi="Times New Roman" w:cs="Times New Roman"/>
          <w:color w:val="auto"/>
          <w:lang w:val="en-US"/>
        </w:rPr>
        <w:t>.</w:t>
      </w:r>
    </w:p>
    <w:p w:rsidR="00EA59BB" w:rsidRPr="003A308A" w:rsidRDefault="00EA59BB" w:rsidP="00EA59BB">
      <w:pPr>
        <w:pStyle w:val="Body"/>
        <w:numPr>
          <w:ilvl w:val="0"/>
          <w:numId w:val="24"/>
        </w:numPr>
        <w:spacing w:before="0"/>
        <w:rPr>
          <w:rFonts w:hAnsi="Times New Roman" w:cs="Times New Roman"/>
          <w:color w:val="auto"/>
          <w:lang w:val="en-US"/>
        </w:rPr>
      </w:pPr>
      <w:r w:rsidRPr="003A308A">
        <w:rPr>
          <w:rFonts w:hAnsi="Times New Roman" w:cs="Times New Roman"/>
          <w:color w:val="auto"/>
          <w:lang w:val="en-US"/>
        </w:rPr>
        <w:t>The Boston Business Journal reported</w:t>
      </w:r>
      <w:r w:rsidR="00BA6B51">
        <w:rPr>
          <w:rFonts w:hAnsi="Times New Roman" w:cs="Times New Roman"/>
          <w:color w:val="auto"/>
          <w:lang w:val="en-US"/>
        </w:rPr>
        <w:t xml:space="preserve"> that</w:t>
      </w:r>
      <w:r w:rsidRPr="003A308A">
        <w:rPr>
          <w:rFonts w:hAnsi="Times New Roman" w:cs="Times New Roman"/>
          <w:color w:val="auto"/>
          <w:lang w:val="en-US"/>
        </w:rPr>
        <w:t xml:space="preserve"> the departure of several physicians</w:t>
      </w:r>
      <w:r w:rsidR="00AD6C0C" w:rsidRPr="003A308A">
        <w:rPr>
          <w:rFonts w:hAnsi="Times New Roman" w:cs="Times New Roman"/>
          <w:color w:val="auto"/>
          <w:lang w:val="en-US"/>
        </w:rPr>
        <w:t xml:space="preserve"> drastically</w:t>
      </w:r>
      <w:r w:rsidRPr="003A308A">
        <w:rPr>
          <w:rFonts w:hAnsi="Times New Roman" w:cs="Times New Roman"/>
          <w:color w:val="auto"/>
          <w:lang w:val="en-US"/>
        </w:rPr>
        <w:t xml:space="preserve"> </w:t>
      </w:r>
      <w:r w:rsidR="00B4279C">
        <w:rPr>
          <w:rFonts w:hAnsi="Times New Roman" w:cs="Times New Roman"/>
          <w:color w:val="auto"/>
          <w:lang w:val="en-US"/>
        </w:rPr>
        <w:t>reduced</w:t>
      </w:r>
      <w:r w:rsidR="00AD6C0C" w:rsidRPr="003A308A">
        <w:rPr>
          <w:rFonts w:hAnsi="Times New Roman" w:cs="Times New Roman"/>
          <w:color w:val="auto"/>
          <w:lang w:val="en-US"/>
        </w:rPr>
        <w:t xml:space="preserve"> </w:t>
      </w:r>
      <w:r w:rsidRPr="003A308A">
        <w:rPr>
          <w:rFonts w:hAnsi="Times New Roman" w:cs="Times New Roman"/>
          <w:color w:val="auto"/>
          <w:lang w:val="en-US"/>
        </w:rPr>
        <w:t xml:space="preserve">hospital admissions. </w:t>
      </w:r>
    </w:p>
    <w:p w:rsidR="00EA59BB" w:rsidRPr="003A308A" w:rsidRDefault="00EA59BB" w:rsidP="00EA59BB">
      <w:pPr>
        <w:pStyle w:val="Body"/>
        <w:numPr>
          <w:ilvl w:val="0"/>
          <w:numId w:val="24"/>
        </w:numPr>
        <w:spacing w:before="0"/>
        <w:rPr>
          <w:rFonts w:hAnsi="Times New Roman" w:cs="Times New Roman"/>
          <w:color w:val="auto"/>
          <w:lang w:val="en-US"/>
        </w:rPr>
      </w:pPr>
      <w:r w:rsidRPr="003A308A">
        <w:rPr>
          <w:rFonts w:hAnsi="Times New Roman" w:cs="Times New Roman"/>
          <w:color w:val="auto"/>
          <w:lang w:val="en-US"/>
        </w:rPr>
        <w:t>After several efforts to improve the financial status of the hospital, the board, as noted in the closure notification letter submitted to the Department</w:t>
      </w:r>
      <w:r w:rsidR="00AD6C0C" w:rsidRPr="003A308A">
        <w:rPr>
          <w:rFonts w:hAnsi="Times New Roman" w:cs="Times New Roman"/>
          <w:color w:val="auto"/>
          <w:lang w:val="en-US"/>
        </w:rPr>
        <w:t xml:space="preserve">, </w:t>
      </w:r>
      <w:r w:rsidRPr="003A308A">
        <w:rPr>
          <w:rFonts w:hAnsi="Times New Roman" w:cs="Times New Roman"/>
          <w:color w:val="auto"/>
          <w:lang w:val="en-US"/>
        </w:rPr>
        <w:t xml:space="preserve">opted to close the full hospital in order to avoid impending bankruptcy. </w:t>
      </w:r>
    </w:p>
    <w:p w:rsidR="00EA59BB" w:rsidRPr="003A308A" w:rsidRDefault="00EA59BB" w:rsidP="00EA59BB">
      <w:pPr>
        <w:pStyle w:val="Body"/>
        <w:numPr>
          <w:ilvl w:val="0"/>
          <w:numId w:val="24"/>
        </w:numPr>
        <w:spacing w:before="0"/>
        <w:rPr>
          <w:rFonts w:hAnsi="Times New Roman" w:cs="Times New Roman"/>
          <w:color w:val="auto"/>
          <w:lang w:val="en-US"/>
        </w:rPr>
      </w:pPr>
      <w:r w:rsidRPr="003A308A">
        <w:rPr>
          <w:rFonts w:hAnsi="Times New Roman" w:cs="Times New Roman"/>
          <w:color w:val="auto"/>
          <w:lang w:val="en-US"/>
        </w:rPr>
        <w:t xml:space="preserve">In conjunction with its decision to close, Hubbard entered into a management agreement with Harrington Memorial Hospital (Harrington), located in Southbridge, MA, 12 miles from Hubbard. This agreement, as discussed in the closure notification letter submitted to the Department and </w:t>
      </w:r>
      <w:r w:rsidR="00CF1C7C">
        <w:rPr>
          <w:rFonts w:hAnsi="Times New Roman" w:cs="Times New Roman"/>
          <w:color w:val="auto"/>
          <w:lang w:val="en-US"/>
        </w:rPr>
        <w:t>as reported by</w:t>
      </w:r>
      <w:r w:rsidR="00CF1C7C" w:rsidRPr="003A308A">
        <w:rPr>
          <w:rFonts w:hAnsi="Times New Roman" w:cs="Times New Roman"/>
          <w:color w:val="auto"/>
          <w:lang w:val="en-US"/>
        </w:rPr>
        <w:t xml:space="preserve"> </w:t>
      </w:r>
      <w:r w:rsidR="00CF1C7C">
        <w:rPr>
          <w:rFonts w:hAnsi="Times New Roman" w:cs="Times New Roman"/>
          <w:color w:val="auto"/>
          <w:lang w:val="en-US"/>
        </w:rPr>
        <w:t>t</w:t>
      </w:r>
      <w:r w:rsidRPr="003A308A">
        <w:rPr>
          <w:rFonts w:hAnsi="Times New Roman" w:cs="Times New Roman"/>
          <w:color w:val="auto"/>
          <w:lang w:val="en-US"/>
        </w:rPr>
        <w:t>he Webster Times</w:t>
      </w:r>
      <w:r w:rsidR="00CF1C7C">
        <w:rPr>
          <w:rFonts w:hAnsi="Times New Roman" w:cs="Times New Roman"/>
          <w:color w:val="auto"/>
          <w:lang w:val="en-US"/>
        </w:rPr>
        <w:t>,</w:t>
      </w:r>
      <w:r w:rsidR="00AD6C0C" w:rsidRPr="003A308A">
        <w:rPr>
          <w:rStyle w:val="FootnoteReference"/>
          <w:rFonts w:hAnsi="Times New Roman" w:cs="Times New Roman"/>
          <w:color w:val="auto"/>
          <w:lang w:val="en-US"/>
        </w:rPr>
        <w:footnoteReference w:id="4"/>
      </w:r>
      <w:r w:rsidRPr="003A308A">
        <w:rPr>
          <w:rFonts w:hAnsi="Times New Roman" w:cs="Times New Roman"/>
          <w:color w:val="auto"/>
          <w:lang w:val="en-US"/>
        </w:rPr>
        <w:t xml:space="preserve"> included the preservation of some services on the Hubbard campus following closure, including a satellite emergency facility providing 24-hour emergency care.  Additionally, prior to co</w:t>
      </w:r>
      <w:r w:rsidR="00B4279C">
        <w:rPr>
          <w:rFonts w:hAnsi="Times New Roman" w:cs="Times New Roman"/>
          <w:color w:val="auto"/>
          <w:lang w:val="en-US"/>
        </w:rPr>
        <w:t>mpletion</w:t>
      </w:r>
      <w:r w:rsidRPr="003A308A">
        <w:rPr>
          <w:rFonts w:hAnsi="Times New Roman" w:cs="Times New Roman"/>
          <w:color w:val="auto"/>
          <w:lang w:val="en-US"/>
        </w:rPr>
        <w:t xml:space="preserve"> of the management agreement, Harrington secured higher reimbursement rates from one of the primary insurers carried by patients of Hubbard.</w:t>
      </w:r>
      <w:r w:rsidR="00AD6C0C" w:rsidRPr="003A308A">
        <w:rPr>
          <w:rStyle w:val="FootnoteReference"/>
          <w:rFonts w:hAnsi="Times New Roman" w:cs="Times New Roman"/>
          <w:color w:val="auto"/>
          <w:lang w:val="en-US"/>
        </w:rPr>
        <w:footnoteReference w:id="5"/>
      </w:r>
      <w:r w:rsidRPr="003A308A">
        <w:rPr>
          <w:rFonts w:hAnsi="Times New Roman" w:cs="Times New Roman"/>
          <w:color w:val="auto"/>
          <w:lang w:val="en-US"/>
        </w:rPr>
        <w:t xml:space="preserve"> </w:t>
      </w:r>
    </w:p>
    <w:p w:rsidR="00EA59BB" w:rsidRPr="003A308A" w:rsidRDefault="00EA59BB" w:rsidP="00EA59BB">
      <w:pPr>
        <w:pStyle w:val="Body"/>
        <w:spacing w:before="0"/>
        <w:contextualSpacing/>
        <w:rPr>
          <w:rFonts w:hAnsi="Times New Roman" w:cs="Times New Roman"/>
          <w:color w:val="auto"/>
          <w:lang w:val="en-US"/>
        </w:rPr>
      </w:pPr>
    </w:p>
    <w:p w:rsidR="00463812" w:rsidRPr="003A308A" w:rsidRDefault="00EA59BB" w:rsidP="00463812">
      <w:pPr>
        <w:pStyle w:val="Body"/>
        <w:spacing w:before="0"/>
        <w:contextualSpacing/>
        <w:rPr>
          <w:rFonts w:hAnsi="Times New Roman" w:cs="Times New Roman"/>
          <w:color w:val="auto"/>
          <w:lang w:val="en-US"/>
        </w:rPr>
      </w:pPr>
      <w:r w:rsidRPr="003A308A">
        <w:rPr>
          <w:rFonts w:hAnsi="Times New Roman" w:cs="Times New Roman"/>
          <w:color w:val="auto"/>
          <w:u w:val="single"/>
          <w:lang w:val="en-US"/>
        </w:rPr>
        <w:lastRenderedPageBreak/>
        <w:t>Application of State Determination Process</w:t>
      </w:r>
      <w:r w:rsidRPr="003A308A">
        <w:rPr>
          <w:rFonts w:hAnsi="Times New Roman" w:cs="Times New Roman"/>
          <w:color w:val="auto"/>
          <w:lang w:val="en-US"/>
        </w:rPr>
        <w:t xml:space="preserve">: </w:t>
      </w:r>
      <w:r w:rsidR="00463812" w:rsidRPr="003A308A">
        <w:rPr>
          <w:rFonts w:hAnsi="Times New Roman" w:cs="Times New Roman"/>
          <w:color w:val="auto"/>
          <w:lang w:val="en-US"/>
        </w:rPr>
        <w:t>T</w:t>
      </w:r>
      <w:r w:rsidRPr="003A308A">
        <w:rPr>
          <w:rFonts w:hAnsi="Times New Roman" w:cs="Times New Roman"/>
          <w:color w:val="auto"/>
          <w:lang w:val="en-US"/>
        </w:rPr>
        <w:t>he essential service process achieve</w:t>
      </w:r>
      <w:r w:rsidR="00CF1C7C">
        <w:rPr>
          <w:rFonts w:hAnsi="Times New Roman" w:cs="Times New Roman"/>
          <w:color w:val="auto"/>
          <w:lang w:val="en-US"/>
        </w:rPr>
        <w:t>d</w:t>
      </w:r>
      <w:r w:rsidRPr="003A308A">
        <w:rPr>
          <w:rFonts w:hAnsi="Times New Roman" w:cs="Times New Roman"/>
          <w:color w:val="auto"/>
          <w:lang w:val="en-US"/>
        </w:rPr>
        <w:t xml:space="preserve"> its primary objective</w:t>
      </w:r>
      <w:r w:rsidR="00AD6C0C" w:rsidRPr="003A308A">
        <w:rPr>
          <w:rFonts w:hAnsi="Times New Roman" w:cs="Times New Roman"/>
          <w:color w:val="auto"/>
          <w:lang w:val="en-US"/>
        </w:rPr>
        <w:t>,</w:t>
      </w:r>
      <w:r w:rsidRPr="003A308A">
        <w:rPr>
          <w:rFonts w:hAnsi="Times New Roman" w:cs="Times New Roman"/>
          <w:color w:val="auto"/>
          <w:lang w:val="en-US"/>
        </w:rPr>
        <w:t xml:space="preserve"> which was to allow for stakeholder feedback, provide some opportunity for state analysis of the closure, and ensure needed and appropriate monitoring of the submitted closure plan. </w:t>
      </w:r>
      <w:r w:rsidR="00463812" w:rsidRPr="003A308A">
        <w:rPr>
          <w:rFonts w:hAnsi="Times New Roman" w:cs="Times New Roman"/>
          <w:color w:val="auto"/>
          <w:lang w:val="en-US"/>
        </w:rPr>
        <w:t xml:space="preserve">However, Hubbard Hospital’s notification to the state did not meet state law or the </w:t>
      </w:r>
      <w:r w:rsidR="00B4279C">
        <w:rPr>
          <w:rFonts w:hAnsi="Times New Roman" w:cs="Times New Roman"/>
          <w:color w:val="auto"/>
          <w:lang w:val="en-US"/>
        </w:rPr>
        <w:t>H</w:t>
      </w:r>
      <w:r w:rsidR="00463812" w:rsidRPr="003A308A">
        <w:rPr>
          <w:rFonts w:hAnsi="Times New Roman" w:cs="Times New Roman"/>
          <w:color w:val="auto"/>
          <w:lang w:val="en-US"/>
        </w:rPr>
        <w:t>ospital’s own responsibilities under licensure, frustrating employees, unions, community stakeholders and elected officials</w:t>
      </w:r>
      <w:r w:rsidR="003E0B8B">
        <w:rPr>
          <w:rFonts w:hAnsi="Times New Roman" w:cs="Times New Roman"/>
          <w:color w:val="auto"/>
          <w:lang w:val="en-US"/>
        </w:rPr>
        <w:t xml:space="preserve">. </w:t>
      </w:r>
      <w:r w:rsidR="00463812" w:rsidRPr="003A308A">
        <w:rPr>
          <w:rFonts w:hAnsi="Times New Roman" w:cs="Times New Roman"/>
          <w:color w:val="auto"/>
          <w:lang w:val="en-US"/>
        </w:rPr>
        <w:t xml:space="preserve">Finally, the process did not support needed time, data, and/or cross-agency discussions to allow for a more in-depth analysis of causes, community needs, closure impacts, </w:t>
      </w:r>
      <w:proofErr w:type="spellStart"/>
      <w:r w:rsidR="00463812" w:rsidRPr="003A308A">
        <w:rPr>
          <w:rFonts w:hAnsi="Times New Roman" w:cs="Times New Roman"/>
          <w:color w:val="auto"/>
          <w:lang w:val="en-US"/>
        </w:rPr>
        <w:t>etc</w:t>
      </w:r>
      <w:proofErr w:type="spellEnd"/>
      <w:r w:rsidR="003E0B8B">
        <w:rPr>
          <w:rFonts w:hAnsi="Times New Roman" w:cs="Times New Roman"/>
          <w:color w:val="auto"/>
          <w:lang w:val="en-US"/>
        </w:rPr>
        <w:t>, that might have allowed for more effective state intervention</w:t>
      </w:r>
      <w:r w:rsidR="00463812" w:rsidRPr="003A308A">
        <w:rPr>
          <w:rFonts w:hAnsi="Times New Roman" w:cs="Times New Roman"/>
          <w:color w:val="auto"/>
          <w:lang w:val="en-US"/>
        </w:rPr>
        <w:t xml:space="preserve">. </w:t>
      </w:r>
    </w:p>
    <w:p w:rsidR="0018262A" w:rsidRPr="003A308A" w:rsidRDefault="0018262A" w:rsidP="0018262A">
      <w:pPr>
        <w:pStyle w:val="Body"/>
        <w:spacing w:before="0"/>
        <w:rPr>
          <w:rFonts w:hAnsi="Times New Roman" w:cs="Times New Roman"/>
          <w:color w:val="auto"/>
          <w:lang w:val="en-US"/>
        </w:rPr>
      </w:pPr>
    </w:p>
    <w:p w:rsidR="0018262A" w:rsidRPr="003A308A" w:rsidRDefault="0018262A" w:rsidP="0018262A">
      <w:pPr>
        <w:pStyle w:val="Subtitle"/>
        <w:spacing w:before="0"/>
        <w:rPr>
          <w:rFonts w:hAnsi="Times New Roman" w:cs="Times New Roman"/>
          <w:b/>
          <w:i/>
          <w:color w:val="auto"/>
          <w:u w:val="none"/>
          <w:lang w:val="en-US"/>
        </w:rPr>
      </w:pPr>
      <w:r w:rsidRPr="003A308A">
        <w:rPr>
          <w:rFonts w:hAnsi="Times New Roman" w:cs="Times New Roman"/>
          <w:b/>
          <w:i/>
          <w:color w:val="auto"/>
          <w:u w:val="none"/>
          <w:lang w:val="en-US"/>
        </w:rPr>
        <w:t>North Adams Regional Hospital</w:t>
      </w:r>
    </w:p>
    <w:p w:rsidR="00DC1ADD" w:rsidRPr="003A308A" w:rsidRDefault="00DC1ADD" w:rsidP="00DC1ADD">
      <w:pPr>
        <w:pStyle w:val="Body"/>
        <w:spacing w:before="0"/>
        <w:rPr>
          <w:rFonts w:hAnsi="Times New Roman" w:cs="Times New Roman"/>
          <w:color w:val="auto"/>
          <w:lang w:val="en-US"/>
        </w:rPr>
      </w:pPr>
      <w:r w:rsidRPr="003A308A">
        <w:rPr>
          <w:rFonts w:hAnsi="Times New Roman" w:cs="Times New Roman"/>
          <w:color w:val="auto"/>
          <w:lang w:val="en-US"/>
        </w:rPr>
        <w:t>North Adams Regional Hospital (NARH), an acute care community hospital located in northwestern Massachusetts (North Adams, MA), closed on March 28, 2014. NARH was licensed for 109 beds, but had significantly reduced its beds in service prior to closure. NARH notified the Department of its intent to close on March 25, 2014, three days before it shut its doors. In this case, a public hearing could not be held due to the limited notice provided to the Department.</w:t>
      </w:r>
    </w:p>
    <w:p w:rsidR="00DC1ADD" w:rsidRPr="003A308A" w:rsidRDefault="00DC1ADD" w:rsidP="00DC1ADD">
      <w:pPr>
        <w:pStyle w:val="Body"/>
        <w:spacing w:before="0"/>
        <w:rPr>
          <w:rFonts w:hAnsi="Times New Roman" w:cs="Times New Roman"/>
          <w:color w:val="auto"/>
          <w:lang w:val="en-US"/>
        </w:rPr>
      </w:pPr>
    </w:p>
    <w:p w:rsidR="00B16285" w:rsidRPr="003A308A" w:rsidRDefault="00B16285" w:rsidP="00DC1ADD">
      <w:pPr>
        <w:pStyle w:val="Body"/>
        <w:spacing w:before="0"/>
        <w:rPr>
          <w:rFonts w:hAnsi="Times New Roman" w:cs="Times New Roman"/>
          <w:color w:val="auto"/>
          <w:lang w:val="en-US"/>
        </w:rPr>
      </w:pPr>
      <w:r w:rsidRPr="003A308A">
        <w:rPr>
          <w:rFonts w:hAnsi="Times New Roman" w:cs="Times New Roman"/>
          <w:color w:val="auto"/>
          <w:lang w:val="en-US"/>
        </w:rPr>
        <w:t xml:space="preserve">As with the previous example, closure of </w:t>
      </w:r>
      <w:r w:rsidR="00DC1ADD" w:rsidRPr="003A308A">
        <w:rPr>
          <w:rFonts w:hAnsi="Times New Roman" w:cs="Times New Roman"/>
          <w:color w:val="auto"/>
          <w:lang w:val="en-US"/>
        </w:rPr>
        <w:t xml:space="preserve">NARH </w:t>
      </w:r>
      <w:r w:rsidRPr="003A308A">
        <w:rPr>
          <w:rFonts w:hAnsi="Times New Roman" w:cs="Times New Roman"/>
          <w:color w:val="auto"/>
          <w:lang w:val="en-US"/>
        </w:rPr>
        <w:t>was multifactorial:</w:t>
      </w:r>
    </w:p>
    <w:p w:rsidR="00876FC3" w:rsidRPr="003A308A" w:rsidRDefault="00B16285" w:rsidP="008617FC">
      <w:pPr>
        <w:pStyle w:val="Body"/>
        <w:numPr>
          <w:ilvl w:val="0"/>
          <w:numId w:val="25"/>
        </w:numPr>
        <w:spacing w:before="0"/>
        <w:rPr>
          <w:rFonts w:hAnsi="Times New Roman" w:cs="Times New Roman"/>
          <w:color w:val="auto"/>
          <w:lang w:val="en-US"/>
        </w:rPr>
      </w:pPr>
      <w:r w:rsidRPr="003A308A">
        <w:rPr>
          <w:rFonts w:hAnsi="Times New Roman" w:cs="Times New Roman"/>
          <w:color w:val="auto"/>
          <w:lang w:val="en-US"/>
        </w:rPr>
        <w:t xml:space="preserve">NARH </w:t>
      </w:r>
      <w:r w:rsidR="00DC1ADD" w:rsidRPr="003A308A">
        <w:rPr>
          <w:rFonts w:hAnsi="Times New Roman" w:cs="Times New Roman"/>
          <w:color w:val="auto"/>
          <w:lang w:val="en-US"/>
        </w:rPr>
        <w:t>had experienced an extended period of financial difficulty prior to its full closure in 2014</w:t>
      </w:r>
      <w:r w:rsidR="00AC6B3E" w:rsidRPr="003A308A">
        <w:rPr>
          <w:rFonts w:hAnsi="Times New Roman" w:cs="Times New Roman"/>
          <w:color w:val="auto"/>
          <w:lang w:val="en-US"/>
        </w:rPr>
        <w:t xml:space="preserve">.  </w:t>
      </w:r>
      <w:r w:rsidR="00876FC3" w:rsidRPr="003A308A">
        <w:rPr>
          <w:rFonts w:hAnsi="Times New Roman" w:cs="Times New Roman"/>
          <w:color w:val="auto"/>
          <w:lang w:val="en-US"/>
        </w:rPr>
        <w:t xml:space="preserve">While </w:t>
      </w:r>
      <w:r w:rsidR="009B72A5">
        <w:rPr>
          <w:rFonts w:hAnsi="Times New Roman" w:cs="Times New Roman"/>
          <w:color w:val="auto"/>
          <w:lang w:val="en-US"/>
        </w:rPr>
        <w:t>a</w:t>
      </w:r>
      <w:r w:rsidR="009B72A5" w:rsidRPr="003A308A">
        <w:rPr>
          <w:rFonts w:hAnsi="Times New Roman" w:cs="Times New Roman"/>
          <w:color w:val="auto"/>
          <w:lang w:val="en-US"/>
        </w:rPr>
        <w:t xml:space="preserve"> </w:t>
      </w:r>
      <w:r w:rsidR="009B72A5">
        <w:rPr>
          <w:rFonts w:hAnsi="Times New Roman" w:cs="Times New Roman"/>
          <w:color w:val="auto"/>
          <w:lang w:val="en-US"/>
        </w:rPr>
        <w:t xml:space="preserve">September 2014 </w:t>
      </w:r>
      <w:proofErr w:type="spellStart"/>
      <w:r w:rsidR="00876FC3" w:rsidRPr="003A308A">
        <w:rPr>
          <w:rFonts w:hAnsi="Times New Roman" w:cs="Times New Roman"/>
          <w:color w:val="auto"/>
          <w:lang w:val="en-US"/>
        </w:rPr>
        <w:t>Stroudwater</w:t>
      </w:r>
      <w:proofErr w:type="spellEnd"/>
      <w:r w:rsidR="00463812" w:rsidRPr="003A308A">
        <w:rPr>
          <w:rFonts w:hAnsi="Times New Roman" w:cs="Times New Roman"/>
          <w:color w:val="auto"/>
          <w:lang w:val="en-US"/>
        </w:rPr>
        <w:t xml:space="preserve"> </w:t>
      </w:r>
      <w:r w:rsidR="00876FC3" w:rsidRPr="003A308A">
        <w:rPr>
          <w:rFonts w:hAnsi="Times New Roman" w:cs="Times New Roman"/>
          <w:color w:val="auto"/>
          <w:lang w:val="en-US"/>
        </w:rPr>
        <w:t>“Healthcare Market Assessment” for North Adams did not address reasons for closure, it did indicate that inpatient market share consistently decli</w:t>
      </w:r>
      <w:r w:rsidR="00463812" w:rsidRPr="003A308A">
        <w:rPr>
          <w:rFonts w:hAnsi="Times New Roman" w:cs="Times New Roman"/>
          <w:color w:val="auto"/>
          <w:lang w:val="en-US"/>
        </w:rPr>
        <w:t>ned from 2008 through 2012.</w:t>
      </w:r>
      <w:r w:rsidR="00463812" w:rsidRPr="003A308A">
        <w:rPr>
          <w:rStyle w:val="FootnoteReference"/>
          <w:rFonts w:hAnsi="Times New Roman" w:cs="Times New Roman"/>
          <w:color w:val="auto"/>
          <w:lang w:val="en-US"/>
        </w:rPr>
        <w:footnoteReference w:id="6"/>
      </w:r>
      <w:r w:rsidR="00876FC3" w:rsidRPr="003A308A">
        <w:rPr>
          <w:rFonts w:hAnsi="Times New Roman" w:cs="Times New Roman"/>
          <w:color w:val="auto"/>
          <w:lang w:val="en-US"/>
        </w:rPr>
        <w:t xml:space="preserve"> </w:t>
      </w:r>
    </w:p>
    <w:p w:rsidR="00B16285" w:rsidRPr="003A308A" w:rsidRDefault="00463812" w:rsidP="00876FC3">
      <w:pPr>
        <w:pStyle w:val="Body"/>
        <w:numPr>
          <w:ilvl w:val="0"/>
          <w:numId w:val="25"/>
        </w:numPr>
        <w:spacing w:before="0"/>
        <w:rPr>
          <w:rFonts w:hAnsi="Times New Roman" w:cs="Times New Roman"/>
          <w:color w:val="auto"/>
          <w:lang w:val="en-US"/>
        </w:rPr>
      </w:pPr>
      <w:r w:rsidRPr="003A308A">
        <w:rPr>
          <w:rFonts w:hAnsi="Times New Roman" w:cs="Times New Roman"/>
          <w:color w:val="auto"/>
          <w:lang w:val="en-US"/>
        </w:rPr>
        <w:t>NARH</w:t>
      </w:r>
      <w:r w:rsidR="00DC1ADD" w:rsidRPr="003A308A">
        <w:rPr>
          <w:rFonts w:hAnsi="Times New Roman" w:cs="Times New Roman"/>
          <w:color w:val="auto"/>
          <w:lang w:val="en-US"/>
        </w:rPr>
        <w:t xml:space="preserve"> had filed for Chapter 11 bankruptcy to reorganize its </w:t>
      </w:r>
      <w:r w:rsidR="00876FC3" w:rsidRPr="003A308A">
        <w:rPr>
          <w:rFonts w:hAnsi="Times New Roman" w:cs="Times New Roman"/>
          <w:color w:val="auto"/>
          <w:lang w:val="en-US"/>
        </w:rPr>
        <w:t>debts in 2011, from which it had em</w:t>
      </w:r>
      <w:r w:rsidRPr="003A308A">
        <w:rPr>
          <w:rFonts w:hAnsi="Times New Roman" w:cs="Times New Roman"/>
          <w:color w:val="auto"/>
          <w:lang w:val="en-US"/>
        </w:rPr>
        <w:t>erged in 2012</w:t>
      </w:r>
      <w:r w:rsidR="00876FC3" w:rsidRPr="003A308A">
        <w:rPr>
          <w:rFonts w:hAnsi="Times New Roman" w:cs="Times New Roman"/>
          <w:color w:val="auto"/>
          <w:lang w:val="en-US"/>
        </w:rPr>
        <w:t>.</w:t>
      </w:r>
      <w:r w:rsidRPr="003A308A">
        <w:rPr>
          <w:rStyle w:val="FootnoteReference"/>
          <w:rFonts w:hAnsi="Times New Roman" w:cs="Times New Roman"/>
          <w:color w:val="auto"/>
          <w:lang w:val="en-US"/>
        </w:rPr>
        <w:footnoteReference w:id="7"/>
      </w:r>
    </w:p>
    <w:p w:rsidR="00B87799" w:rsidRPr="003A308A" w:rsidRDefault="00B16285" w:rsidP="00280AB2">
      <w:pPr>
        <w:pStyle w:val="Body"/>
        <w:numPr>
          <w:ilvl w:val="0"/>
          <w:numId w:val="26"/>
        </w:numPr>
        <w:spacing w:before="0"/>
        <w:rPr>
          <w:rFonts w:hAnsi="Times New Roman" w:cs="Times New Roman"/>
          <w:color w:val="auto"/>
          <w:lang w:val="en-US"/>
        </w:rPr>
      </w:pPr>
      <w:r w:rsidRPr="003A308A">
        <w:rPr>
          <w:rFonts w:hAnsi="Times New Roman" w:cs="Times New Roman"/>
          <w:color w:val="auto"/>
          <w:lang w:val="en-US"/>
        </w:rPr>
        <w:t>According to</w:t>
      </w:r>
      <w:r w:rsidR="00876FC3" w:rsidRPr="003A308A">
        <w:rPr>
          <w:rFonts w:hAnsi="Times New Roman" w:cs="Times New Roman"/>
          <w:color w:val="auto"/>
          <w:lang w:val="en-US"/>
        </w:rPr>
        <w:t xml:space="preserve"> statements made by hospital officials as reported in the Berkshire</w:t>
      </w:r>
      <w:r w:rsidR="00463812" w:rsidRPr="003A308A">
        <w:rPr>
          <w:rFonts w:hAnsi="Times New Roman" w:cs="Times New Roman"/>
          <w:color w:val="auto"/>
          <w:lang w:val="en-US"/>
        </w:rPr>
        <w:t xml:space="preserve"> Eagle on March 28, 2014</w:t>
      </w:r>
      <w:r w:rsidR="003A308A">
        <w:rPr>
          <w:rFonts w:hAnsi="Times New Roman" w:cs="Times New Roman"/>
          <w:color w:val="auto"/>
          <w:lang w:val="en-US"/>
        </w:rPr>
        <w:t>,</w:t>
      </w:r>
      <w:r w:rsidR="00463812" w:rsidRPr="003A308A">
        <w:rPr>
          <w:rStyle w:val="FootnoteReference"/>
          <w:rFonts w:hAnsi="Times New Roman" w:cs="Times New Roman"/>
          <w:color w:val="auto"/>
          <w:lang w:val="en-US"/>
        </w:rPr>
        <w:footnoteReference w:id="8"/>
      </w:r>
      <w:r w:rsidR="00876FC3" w:rsidRPr="003A308A">
        <w:rPr>
          <w:rFonts w:hAnsi="Times New Roman" w:cs="Times New Roman"/>
          <w:color w:val="auto"/>
          <w:lang w:val="en-US"/>
        </w:rPr>
        <w:t xml:space="preserve"> and </w:t>
      </w:r>
      <w:r w:rsidR="00B4279C">
        <w:rPr>
          <w:rFonts w:hAnsi="Times New Roman" w:cs="Times New Roman"/>
          <w:color w:val="auto"/>
          <w:lang w:val="en-US"/>
        </w:rPr>
        <w:t xml:space="preserve">in </w:t>
      </w:r>
      <w:r w:rsidR="00876FC3" w:rsidRPr="003A308A">
        <w:rPr>
          <w:rFonts w:hAnsi="Times New Roman" w:cs="Times New Roman"/>
          <w:color w:val="auto"/>
          <w:lang w:val="en-US"/>
        </w:rPr>
        <w:t xml:space="preserve">an open letter from </w:t>
      </w:r>
      <w:r w:rsidR="00463812" w:rsidRPr="003A308A">
        <w:rPr>
          <w:rFonts w:hAnsi="Times New Roman" w:cs="Times New Roman"/>
          <w:color w:val="auto"/>
          <w:lang w:val="en-US"/>
        </w:rPr>
        <w:t>the Board to the Community</w:t>
      </w:r>
      <w:r w:rsidR="00B4279C" w:rsidRPr="003A308A">
        <w:rPr>
          <w:rFonts w:hAnsi="Times New Roman" w:cs="Times New Roman"/>
          <w:color w:val="auto"/>
          <w:lang w:val="en-US"/>
        </w:rPr>
        <w:t>,</w:t>
      </w:r>
      <w:r w:rsidR="00463812" w:rsidRPr="003A308A">
        <w:rPr>
          <w:rStyle w:val="FootnoteReference"/>
          <w:rFonts w:hAnsi="Times New Roman" w:cs="Times New Roman"/>
          <w:color w:val="auto"/>
          <w:lang w:val="en-US"/>
        </w:rPr>
        <w:footnoteReference w:id="9"/>
      </w:r>
      <w:r w:rsidR="00876FC3" w:rsidRPr="003A308A">
        <w:rPr>
          <w:rFonts w:hAnsi="Times New Roman" w:cs="Times New Roman"/>
          <w:color w:val="auto"/>
          <w:lang w:val="en-US"/>
        </w:rPr>
        <w:t xml:space="preserve"> </w:t>
      </w:r>
      <w:r w:rsidRPr="003A308A">
        <w:rPr>
          <w:rFonts w:hAnsi="Times New Roman" w:cs="Times New Roman"/>
          <w:color w:val="auto"/>
          <w:lang w:val="en-US"/>
        </w:rPr>
        <w:t>t</w:t>
      </w:r>
      <w:r w:rsidR="00DC1ADD" w:rsidRPr="003A308A">
        <w:rPr>
          <w:rFonts w:hAnsi="Times New Roman" w:cs="Times New Roman"/>
          <w:color w:val="auto"/>
          <w:lang w:val="en-US"/>
        </w:rPr>
        <w:t xml:space="preserve">he Hospital </w:t>
      </w:r>
      <w:r w:rsidRPr="003A308A">
        <w:rPr>
          <w:rFonts w:hAnsi="Times New Roman" w:cs="Times New Roman"/>
          <w:color w:val="auto"/>
          <w:lang w:val="en-US"/>
        </w:rPr>
        <w:t>state</w:t>
      </w:r>
      <w:r w:rsidR="00B4279C">
        <w:rPr>
          <w:rFonts w:hAnsi="Times New Roman" w:cs="Times New Roman"/>
          <w:color w:val="auto"/>
          <w:lang w:val="en-US"/>
        </w:rPr>
        <w:t>d</w:t>
      </w:r>
      <w:r w:rsidRPr="003A308A">
        <w:rPr>
          <w:rFonts w:hAnsi="Times New Roman" w:cs="Times New Roman"/>
          <w:color w:val="auto"/>
          <w:lang w:val="en-US"/>
        </w:rPr>
        <w:t xml:space="preserve"> there was </w:t>
      </w:r>
      <w:r w:rsidR="00DC1ADD" w:rsidRPr="003A308A">
        <w:rPr>
          <w:rFonts w:hAnsi="Times New Roman" w:cs="Times New Roman"/>
          <w:color w:val="auto"/>
          <w:lang w:val="en-US"/>
        </w:rPr>
        <w:t xml:space="preserve">insufficient reimbursement, paired with significant workforce commitments, rendering the Hospital incapable of paying its creditors. </w:t>
      </w:r>
    </w:p>
    <w:p w:rsidR="00B87799" w:rsidRPr="003A308A" w:rsidRDefault="00DC1ADD" w:rsidP="00570ABF">
      <w:pPr>
        <w:pStyle w:val="Body"/>
        <w:numPr>
          <w:ilvl w:val="0"/>
          <w:numId w:val="26"/>
        </w:numPr>
        <w:spacing w:before="0"/>
        <w:rPr>
          <w:rFonts w:hAnsi="Times New Roman" w:cs="Times New Roman"/>
          <w:color w:val="auto"/>
          <w:lang w:val="en-US"/>
        </w:rPr>
      </w:pPr>
      <w:r w:rsidRPr="003A308A">
        <w:rPr>
          <w:rFonts w:hAnsi="Times New Roman" w:cs="Times New Roman"/>
          <w:color w:val="auto"/>
          <w:lang w:val="en-US"/>
        </w:rPr>
        <w:t xml:space="preserve">The Massachusetts </w:t>
      </w:r>
      <w:r w:rsidR="003E0B8B">
        <w:rPr>
          <w:rFonts w:hAnsi="Times New Roman" w:cs="Times New Roman"/>
          <w:color w:val="auto"/>
          <w:lang w:val="en-US"/>
        </w:rPr>
        <w:t xml:space="preserve">Nurses </w:t>
      </w:r>
      <w:r w:rsidRPr="003A308A">
        <w:rPr>
          <w:rFonts w:hAnsi="Times New Roman" w:cs="Times New Roman"/>
          <w:color w:val="auto"/>
          <w:lang w:val="en-US"/>
        </w:rPr>
        <w:t>Association (MNA) released a report indicating that unwise investments in long-term care facilities significantly contributed to t</w:t>
      </w:r>
      <w:r w:rsidR="00570ABF" w:rsidRPr="003A308A">
        <w:rPr>
          <w:rFonts w:hAnsi="Times New Roman" w:cs="Times New Roman"/>
          <w:color w:val="auto"/>
          <w:lang w:val="en-US"/>
        </w:rPr>
        <w:t xml:space="preserve">he </w:t>
      </w:r>
      <w:r w:rsidR="00B4279C">
        <w:rPr>
          <w:rFonts w:hAnsi="Times New Roman" w:cs="Times New Roman"/>
          <w:color w:val="auto"/>
          <w:lang w:val="en-US"/>
        </w:rPr>
        <w:t>H</w:t>
      </w:r>
      <w:r w:rsidR="00570ABF" w:rsidRPr="003A308A">
        <w:rPr>
          <w:rFonts w:hAnsi="Times New Roman" w:cs="Times New Roman"/>
          <w:color w:val="auto"/>
          <w:lang w:val="en-US"/>
        </w:rPr>
        <w:t>ospital’s financial distress.</w:t>
      </w:r>
      <w:r w:rsidR="00463812" w:rsidRPr="003A308A">
        <w:rPr>
          <w:rStyle w:val="FootnoteReference"/>
          <w:rFonts w:hAnsi="Times New Roman" w:cs="Times New Roman"/>
          <w:color w:val="auto"/>
          <w:lang w:val="en-US"/>
        </w:rPr>
        <w:footnoteReference w:id="10"/>
      </w:r>
      <w:r w:rsidR="00876FC3" w:rsidRPr="003A308A">
        <w:rPr>
          <w:rFonts w:hAnsi="Times New Roman" w:cs="Times New Roman"/>
          <w:color w:val="auto"/>
          <w:lang w:val="en-US"/>
        </w:rPr>
        <w:t xml:space="preserve"> </w:t>
      </w:r>
    </w:p>
    <w:p w:rsidR="00B87799" w:rsidRPr="00711572" w:rsidRDefault="00DC1ADD" w:rsidP="008617FC">
      <w:pPr>
        <w:pStyle w:val="Body"/>
        <w:numPr>
          <w:ilvl w:val="0"/>
          <w:numId w:val="26"/>
        </w:numPr>
        <w:spacing w:before="0"/>
        <w:rPr>
          <w:color w:val="auto"/>
        </w:rPr>
      </w:pPr>
      <w:r w:rsidRPr="00711572">
        <w:rPr>
          <w:rFonts w:hAnsi="Times New Roman" w:cs="Times New Roman"/>
          <w:color w:val="auto"/>
          <w:lang w:val="en-US"/>
        </w:rPr>
        <w:t>NARH applied to increase its reimbursement rates by becoming certified as a Critical Access Hospital (CAH), but was denied by the Centers for Medicare and Medicaid Services (CMS) in 2011 as the hospital was less than 35 miles away from the nearest hospital, a CMS requirement for designation (</w:t>
      </w:r>
      <w:r w:rsidRPr="00711572">
        <w:rPr>
          <w:rFonts w:hAnsi="Times New Roman" w:cs="Times New Roman"/>
          <w:i/>
          <w:color w:val="auto"/>
          <w:lang w:val="en-US"/>
        </w:rPr>
        <w:t>Note:</w:t>
      </w:r>
      <w:r w:rsidRPr="00711572">
        <w:rPr>
          <w:rFonts w:hAnsi="Times New Roman" w:cs="Times New Roman"/>
          <w:color w:val="auto"/>
          <w:lang w:val="en-US"/>
        </w:rPr>
        <w:t xml:space="preserve"> Berkshire Medical Center is 25 miles away and Southwestern Vermont Medical Center is 18 miles away).</w:t>
      </w:r>
    </w:p>
    <w:p w:rsidR="00985C05" w:rsidRPr="003A308A" w:rsidRDefault="00DC1ADD" w:rsidP="008617FC">
      <w:pPr>
        <w:pStyle w:val="Body"/>
        <w:numPr>
          <w:ilvl w:val="0"/>
          <w:numId w:val="26"/>
        </w:numPr>
        <w:spacing w:before="0"/>
        <w:rPr>
          <w:color w:val="auto"/>
        </w:rPr>
      </w:pPr>
      <w:r w:rsidRPr="003A308A">
        <w:rPr>
          <w:rFonts w:hAnsi="Times New Roman" w:cs="Times New Roman"/>
          <w:color w:val="auto"/>
          <w:lang w:val="en-US"/>
        </w:rPr>
        <w:t xml:space="preserve">After the closure of NARH, </w:t>
      </w:r>
      <w:r w:rsidR="00985C05" w:rsidRPr="003A308A">
        <w:rPr>
          <w:rFonts w:hAnsi="Times New Roman" w:cs="Times New Roman"/>
          <w:color w:val="auto"/>
          <w:lang w:val="en-US"/>
        </w:rPr>
        <w:t xml:space="preserve">after </w:t>
      </w:r>
      <w:r w:rsidRPr="003A308A">
        <w:rPr>
          <w:rFonts w:hAnsi="Times New Roman" w:cs="Times New Roman"/>
          <w:color w:val="auto"/>
          <w:lang w:val="en-US"/>
        </w:rPr>
        <w:t>a period when no services were provided on the NARH campus, Berkshire</w:t>
      </w:r>
      <w:r w:rsidR="00B4279C">
        <w:rPr>
          <w:rFonts w:hAnsi="Times New Roman" w:cs="Times New Roman"/>
          <w:color w:val="auto"/>
          <w:lang w:val="en-US"/>
        </w:rPr>
        <w:t xml:space="preserve"> Medical Center</w:t>
      </w:r>
      <w:r w:rsidRPr="003A308A">
        <w:rPr>
          <w:rFonts w:hAnsi="Times New Roman" w:cs="Times New Roman"/>
          <w:color w:val="auto"/>
          <w:lang w:val="en-US"/>
        </w:rPr>
        <w:t xml:space="preserve"> purchased the facility, opening a satellite emergency facility on site to provide 24-hour emergency room care and outpatient imaging. </w:t>
      </w:r>
    </w:p>
    <w:p w:rsidR="00DC1ADD" w:rsidRPr="003A308A" w:rsidRDefault="00DC1ADD" w:rsidP="008617FC">
      <w:pPr>
        <w:pStyle w:val="Body"/>
        <w:numPr>
          <w:ilvl w:val="0"/>
          <w:numId w:val="26"/>
        </w:numPr>
        <w:spacing w:before="0"/>
        <w:rPr>
          <w:rFonts w:hAnsi="Times New Roman" w:cs="Times New Roman"/>
          <w:color w:val="auto"/>
          <w:lang w:val="en-US"/>
        </w:rPr>
      </w:pPr>
      <w:r w:rsidRPr="003A308A">
        <w:rPr>
          <w:rFonts w:hAnsi="Times New Roman" w:cs="Times New Roman"/>
          <w:color w:val="auto"/>
          <w:lang w:val="en-US"/>
        </w:rPr>
        <w:t>Berkshire</w:t>
      </w:r>
      <w:r w:rsidR="00B4279C">
        <w:rPr>
          <w:rFonts w:hAnsi="Times New Roman" w:cs="Times New Roman"/>
          <w:color w:val="auto"/>
          <w:lang w:val="en-US"/>
        </w:rPr>
        <w:t xml:space="preserve"> Medical Center</w:t>
      </w:r>
      <w:r w:rsidRPr="003A308A">
        <w:rPr>
          <w:rFonts w:hAnsi="Times New Roman" w:cs="Times New Roman"/>
          <w:color w:val="auto"/>
          <w:lang w:val="en-US"/>
        </w:rPr>
        <w:t xml:space="preserve"> is currently working to provide additional services on the campus (</w:t>
      </w:r>
      <w:r w:rsidRPr="003A308A">
        <w:rPr>
          <w:rFonts w:hAnsi="Times New Roman" w:cs="Times New Roman"/>
          <w:i/>
          <w:color w:val="auto"/>
          <w:lang w:val="en-US"/>
        </w:rPr>
        <w:t>Note:</w:t>
      </w:r>
      <w:r w:rsidRPr="003A308A">
        <w:rPr>
          <w:rFonts w:hAnsi="Times New Roman" w:cs="Times New Roman"/>
          <w:color w:val="auto"/>
          <w:lang w:val="en-US"/>
        </w:rPr>
        <w:t xml:space="preserve"> Berkshire opened outpatient endoscopy </w:t>
      </w:r>
      <w:r w:rsidR="009B72A5">
        <w:rPr>
          <w:rFonts w:hAnsi="Times New Roman" w:cs="Times New Roman"/>
          <w:color w:val="auto"/>
          <w:lang w:val="en-US"/>
        </w:rPr>
        <w:t>on</w:t>
      </w:r>
      <w:r w:rsidR="009B72A5" w:rsidRPr="003A308A">
        <w:rPr>
          <w:rFonts w:hAnsi="Times New Roman" w:cs="Times New Roman"/>
          <w:color w:val="auto"/>
          <w:lang w:val="en-US"/>
        </w:rPr>
        <w:t xml:space="preserve"> </w:t>
      </w:r>
      <w:r w:rsidRPr="003A308A">
        <w:rPr>
          <w:rFonts w:hAnsi="Times New Roman" w:cs="Times New Roman"/>
          <w:color w:val="auto"/>
          <w:lang w:val="en-US"/>
        </w:rPr>
        <w:t>November 3, 2014).</w:t>
      </w:r>
    </w:p>
    <w:p w:rsidR="00DC1ADD" w:rsidRPr="003A308A" w:rsidRDefault="00DC1ADD" w:rsidP="00DC1ADD">
      <w:pPr>
        <w:pStyle w:val="Body"/>
        <w:spacing w:before="0"/>
        <w:rPr>
          <w:rFonts w:hAnsi="Times New Roman" w:cs="Times New Roman"/>
          <w:color w:val="auto"/>
          <w:lang w:val="en-US"/>
        </w:rPr>
      </w:pPr>
    </w:p>
    <w:p w:rsidR="00DC1ADD" w:rsidRPr="003A308A" w:rsidRDefault="00DC1ADD" w:rsidP="00DC1ADD">
      <w:pPr>
        <w:pStyle w:val="Body"/>
        <w:spacing w:before="0"/>
        <w:rPr>
          <w:rFonts w:hAnsi="Times New Roman" w:cs="Times New Roman"/>
          <w:color w:val="auto"/>
          <w:lang w:val="en-US"/>
        </w:rPr>
      </w:pPr>
      <w:r w:rsidRPr="003A308A">
        <w:rPr>
          <w:rFonts w:hAnsi="Times New Roman" w:cs="Times New Roman"/>
          <w:color w:val="auto"/>
          <w:lang w:val="en-US"/>
        </w:rPr>
        <w:lastRenderedPageBreak/>
        <w:t xml:space="preserve">Subsequently, the </w:t>
      </w:r>
      <w:r w:rsidR="009C60EF" w:rsidRPr="003A308A">
        <w:rPr>
          <w:rFonts w:hAnsi="Times New Roman" w:cs="Times New Roman"/>
          <w:color w:val="auto"/>
          <w:lang w:val="en-US"/>
        </w:rPr>
        <w:t xml:space="preserve">Department of Public Health (DPH) </w:t>
      </w:r>
      <w:r w:rsidR="00FB6F98" w:rsidRPr="00FB6F98">
        <w:rPr>
          <w:rFonts w:hAnsi="Times New Roman" w:cs="Times New Roman"/>
          <w:color w:val="auto"/>
          <w:lang w:val="en-US"/>
        </w:rPr>
        <w:t>State Office of Rural Health in partnership with the Massachusetts Hospital Association</w:t>
      </w:r>
      <w:r w:rsidR="00FB6F98">
        <w:rPr>
          <w:rFonts w:hAnsi="Times New Roman" w:cs="Times New Roman"/>
          <w:color w:val="auto"/>
          <w:lang w:val="en-US"/>
        </w:rPr>
        <w:t xml:space="preserve"> </w:t>
      </w:r>
      <w:r w:rsidRPr="003A308A">
        <w:rPr>
          <w:rFonts w:hAnsi="Times New Roman" w:cs="Times New Roman"/>
          <w:color w:val="auto"/>
          <w:lang w:val="en-US"/>
        </w:rPr>
        <w:t xml:space="preserve">commissioned an independent report which </w:t>
      </w:r>
      <w:r w:rsidR="00FB6F98">
        <w:rPr>
          <w:rFonts w:hAnsi="Times New Roman" w:cs="Times New Roman"/>
          <w:color w:val="auto"/>
          <w:lang w:val="en-US"/>
        </w:rPr>
        <w:t xml:space="preserve">supported the </w:t>
      </w:r>
      <w:r w:rsidRPr="003A308A">
        <w:rPr>
          <w:rFonts w:hAnsi="Times New Roman" w:cs="Times New Roman"/>
          <w:color w:val="auto"/>
          <w:lang w:val="en-US"/>
        </w:rPr>
        <w:t xml:space="preserve">need </w:t>
      </w:r>
      <w:r w:rsidR="00FB6F98">
        <w:rPr>
          <w:rFonts w:hAnsi="Times New Roman" w:cs="Times New Roman"/>
          <w:color w:val="auto"/>
          <w:lang w:val="en-US"/>
        </w:rPr>
        <w:t xml:space="preserve">for </w:t>
      </w:r>
      <w:r w:rsidR="00AA1A8C" w:rsidRPr="003A308A">
        <w:rPr>
          <w:rFonts w:hAnsi="Times New Roman" w:cs="Times New Roman"/>
          <w:color w:val="auto"/>
          <w:lang w:val="en-US"/>
        </w:rPr>
        <w:t xml:space="preserve">local access to </w:t>
      </w:r>
      <w:r w:rsidRPr="003A308A">
        <w:rPr>
          <w:rFonts w:hAnsi="Times New Roman" w:cs="Times New Roman"/>
          <w:color w:val="auto"/>
          <w:lang w:val="en-US"/>
        </w:rPr>
        <w:t>a 24-hour emergency room, outpatient services, and a strong primary care component</w:t>
      </w:r>
      <w:r w:rsidR="00463812" w:rsidRPr="003A308A">
        <w:rPr>
          <w:rFonts w:hAnsi="Times New Roman" w:cs="Times New Roman"/>
          <w:color w:val="auto"/>
          <w:lang w:val="en-US"/>
        </w:rPr>
        <w:t>.</w:t>
      </w:r>
      <w:r w:rsidR="00463812" w:rsidRPr="003A308A">
        <w:rPr>
          <w:rStyle w:val="FootnoteReference"/>
          <w:rFonts w:hAnsi="Times New Roman" w:cs="Times New Roman"/>
          <w:color w:val="auto"/>
          <w:lang w:val="en-US"/>
        </w:rPr>
        <w:footnoteReference w:id="11"/>
      </w:r>
    </w:p>
    <w:p w:rsidR="0018262A" w:rsidRPr="003A308A" w:rsidRDefault="0018262A" w:rsidP="0018262A">
      <w:pPr>
        <w:pStyle w:val="Body"/>
        <w:spacing w:before="0"/>
        <w:rPr>
          <w:rFonts w:hAnsi="Times New Roman" w:cs="Times New Roman"/>
          <w:color w:val="auto"/>
          <w:lang w:val="en-US"/>
        </w:rPr>
      </w:pPr>
    </w:p>
    <w:p w:rsidR="0018262A" w:rsidRPr="003A308A" w:rsidRDefault="0018262A" w:rsidP="0018262A">
      <w:pPr>
        <w:pStyle w:val="Body"/>
        <w:spacing w:before="0"/>
        <w:rPr>
          <w:rFonts w:hAnsi="Times New Roman" w:cs="Times New Roman"/>
          <w:color w:val="auto"/>
          <w:lang w:val="en-US"/>
        </w:rPr>
      </w:pPr>
      <w:r w:rsidRPr="003A308A">
        <w:rPr>
          <w:rFonts w:hAnsi="Times New Roman" w:cs="Times New Roman"/>
          <w:color w:val="auto"/>
          <w:u w:val="single"/>
          <w:lang w:val="en-US"/>
        </w:rPr>
        <w:t>Application of State Determination Process</w:t>
      </w:r>
      <w:r w:rsidRPr="003A308A">
        <w:rPr>
          <w:rFonts w:hAnsi="Times New Roman" w:cs="Times New Roman"/>
          <w:color w:val="auto"/>
          <w:lang w:val="en-US"/>
        </w:rPr>
        <w:t xml:space="preserve">: NARH’s notification to the state did not meet state law or the Hospital’s own responsibilities under </w:t>
      </w:r>
      <w:r w:rsidR="008F6B38" w:rsidRPr="003A308A">
        <w:rPr>
          <w:rFonts w:hAnsi="Times New Roman" w:cs="Times New Roman"/>
          <w:color w:val="auto"/>
          <w:lang w:val="en-US"/>
        </w:rPr>
        <w:t>licensure.</w:t>
      </w:r>
      <w:r w:rsidRPr="003A308A">
        <w:rPr>
          <w:rFonts w:hAnsi="Times New Roman" w:cs="Times New Roman"/>
          <w:color w:val="auto"/>
          <w:lang w:val="en-US"/>
        </w:rPr>
        <w:t xml:space="preserve"> Due to this timing, the state was largely unable to intervene in an effective way</w:t>
      </w:r>
      <w:r w:rsidR="00B4279C">
        <w:rPr>
          <w:rFonts w:hAnsi="Times New Roman" w:cs="Times New Roman"/>
          <w:color w:val="auto"/>
          <w:lang w:val="en-US"/>
        </w:rPr>
        <w:t xml:space="preserve"> prior to closure</w:t>
      </w:r>
      <w:r w:rsidRPr="003A308A">
        <w:rPr>
          <w:rFonts w:hAnsi="Times New Roman" w:cs="Times New Roman"/>
          <w:color w:val="auto"/>
          <w:lang w:val="en-US"/>
        </w:rPr>
        <w:t xml:space="preserve">. </w:t>
      </w:r>
      <w:r w:rsidR="00106448">
        <w:rPr>
          <w:rFonts w:hAnsi="Times New Roman" w:cs="Times New Roman"/>
          <w:color w:val="auto"/>
          <w:lang w:val="en-US"/>
        </w:rPr>
        <w:t>T</w:t>
      </w:r>
      <w:r w:rsidRPr="003A308A">
        <w:rPr>
          <w:rFonts w:hAnsi="Times New Roman" w:cs="Times New Roman"/>
          <w:color w:val="auto"/>
          <w:lang w:val="en-US"/>
        </w:rPr>
        <w:t xml:space="preserve">he process did not support needed time, data, and/or cross-agency discussions to allow for a more in-depth analysis of causes, community needs, anticipated closure impacts, among other needs, prior to the </w:t>
      </w:r>
      <w:r w:rsidR="00B4279C">
        <w:rPr>
          <w:rFonts w:hAnsi="Times New Roman" w:cs="Times New Roman"/>
          <w:color w:val="auto"/>
          <w:lang w:val="en-US"/>
        </w:rPr>
        <w:t>H</w:t>
      </w:r>
      <w:r w:rsidRPr="003A308A">
        <w:rPr>
          <w:rFonts w:hAnsi="Times New Roman" w:cs="Times New Roman"/>
          <w:color w:val="auto"/>
          <w:lang w:val="en-US"/>
        </w:rPr>
        <w:t xml:space="preserve">ospital’s closure. However, the ensuing </w:t>
      </w:r>
      <w:proofErr w:type="spellStart"/>
      <w:r w:rsidRPr="003A308A">
        <w:rPr>
          <w:rFonts w:hAnsi="Times New Roman" w:cs="Times New Roman"/>
          <w:color w:val="auto"/>
          <w:lang w:val="en-US"/>
        </w:rPr>
        <w:t>Stroudwater</w:t>
      </w:r>
      <w:proofErr w:type="spellEnd"/>
      <w:r w:rsidRPr="003A308A">
        <w:rPr>
          <w:rFonts w:hAnsi="Times New Roman" w:cs="Times New Roman"/>
          <w:color w:val="auto"/>
          <w:lang w:val="en-US"/>
        </w:rPr>
        <w:t xml:space="preserve"> Report captured much of this data and analysis, underscoring the value of, and need for, determinations to be considered with the context and framing of a community health needs assessment and/or state health plan. </w:t>
      </w:r>
      <w:r w:rsidR="00FB6F98">
        <w:rPr>
          <w:rFonts w:hAnsi="Times New Roman" w:cs="Times New Roman"/>
          <w:color w:val="auto"/>
          <w:lang w:val="en-US"/>
        </w:rPr>
        <w:t>T</w:t>
      </w:r>
      <w:r w:rsidRPr="003A308A">
        <w:rPr>
          <w:rFonts w:hAnsi="Times New Roman" w:cs="Times New Roman"/>
          <w:color w:val="auto"/>
          <w:lang w:val="en-US"/>
        </w:rPr>
        <w:t xml:space="preserve">his independent report confirmed and supported many of the service line decisions that have been made or are being explored, namely continuation of an emergency room and emphasis on primary care needs. </w:t>
      </w:r>
    </w:p>
    <w:p w:rsidR="0018262A" w:rsidRPr="003A308A" w:rsidRDefault="00AA1A8C" w:rsidP="008617FC">
      <w:pPr>
        <w:pStyle w:val="Body"/>
        <w:tabs>
          <w:tab w:val="left" w:pos="9456"/>
        </w:tabs>
        <w:spacing w:before="0"/>
        <w:rPr>
          <w:rFonts w:hAnsi="Times New Roman" w:cs="Times New Roman"/>
          <w:color w:val="auto"/>
          <w:lang w:val="en-US"/>
        </w:rPr>
      </w:pPr>
      <w:r w:rsidRPr="003A308A">
        <w:rPr>
          <w:rFonts w:hAnsi="Times New Roman" w:cs="Times New Roman"/>
          <w:color w:val="auto"/>
          <w:lang w:val="en-US"/>
        </w:rPr>
        <w:tab/>
      </w:r>
    </w:p>
    <w:p w:rsidR="0018262A" w:rsidRPr="003A308A" w:rsidRDefault="0018262A" w:rsidP="0018262A">
      <w:pPr>
        <w:pStyle w:val="Subtitle"/>
        <w:spacing w:before="0"/>
        <w:rPr>
          <w:rFonts w:hAnsi="Times New Roman" w:cs="Times New Roman"/>
          <w:b/>
          <w:i/>
          <w:color w:val="auto"/>
          <w:u w:val="none"/>
          <w:lang w:val="en-US"/>
        </w:rPr>
      </w:pPr>
      <w:r w:rsidRPr="003A308A">
        <w:rPr>
          <w:rFonts w:hAnsi="Times New Roman" w:cs="Times New Roman"/>
          <w:b/>
          <w:i/>
          <w:color w:val="auto"/>
          <w:u w:val="none"/>
          <w:lang w:val="en-US"/>
        </w:rPr>
        <w:t>Radius Specialty Hospital</w:t>
      </w:r>
    </w:p>
    <w:p w:rsidR="0018262A" w:rsidRPr="003A308A" w:rsidRDefault="0018262A" w:rsidP="0018262A">
      <w:pPr>
        <w:pStyle w:val="Body"/>
        <w:spacing w:before="0"/>
        <w:rPr>
          <w:rFonts w:hAnsi="Times New Roman" w:cs="Times New Roman"/>
          <w:color w:val="auto"/>
          <w:lang w:val="en-US"/>
        </w:rPr>
      </w:pPr>
      <w:r w:rsidRPr="003A308A">
        <w:rPr>
          <w:rFonts w:hAnsi="Times New Roman" w:cs="Times New Roman"/>
          <w:color w:val="auto"/>
          <w:lang w:val="en-US"/>
        </w:rPr>
        <w:t>Radius Specialty Hospital (Radius),</w:t>
      </w:r>
      <w:r w:rsidR="008F6B38" w:rsidRPr="003A308A">
        <w:rPr>
          <w:rFonts w:hAnsi="Times New Roman" w:cs="Times New Roman"/>
          <w:color w:val="auto"/>
          <w:lang w:val="en-US"/>
        </w:rPr>
        <w:t xml:space="preserve"> a non-acute </w:t>
      </w:r>
      <w:r w:rsidR="00463812" w:rsidRPr="003A308A">
        <w:rPr>
          <w:rFonts w:hAnsi="Times New Roman" w:cs="Times New Roman"/>
          <w:color w:val="auto"/>
          <w:lang w:val="en-US"/>
        </w:rPr>
        <w:t xml:space="preserve">specialty care </w:t>
      </w:r>
      <w:r w:rsidR="008F6B38" w:rsidRPr="003A308A">
        <w:rPr>
          <w:rFonts w:hAnsi="Times New Roman" w:cs="Times New Roman"/>
          <w:color w:val="auto"/>
          <w:lang w:val="en-US"/>
        </w:rPr>
        <w:t xml:space="preserve">hospital </w:t>
      </w:r>
      <w:r w:rsidRPr="003A308A">
        <w:rPr>
          <w:rFonts w:hAnsi="Times New Roman" w:cs="Times New Roman"/>
          <w:color w:val="auto"/>
          <w:lang w:val="en-US"/>
        </w:rPr>
        <w:t>located in Boston, MA, with a satellite in Quincy, MA, closed October 6, 2014.  Radius was licensed for chronic and rehabilitation services with 169 beds at its Boston location. Additionally, Radius was licensed for 38 beds at its Quincy campus, which was located within Quincy Medical Center, an acute-care hospital. Radius was certified by CMS as a long term care hospital, or “LTCH”.  Radius notified the Department of its pending closure on September 17, 2014, with an anticipated closure by October 13, 2014. Closure of the Radius facilities w</w:t>
      </w:r>
      <w:r w:rsidR="00FB6F98">
        <w:rPr>
          <w:rFonts w:hAnsi="Times New Roman" w:cs="Times New Roman"/>
          <w:color w:val="auto"/>
          <w:lang w:val="en-US"/>
        </w:rPr>
        <w:t>as</w:t>
      </w:r>
      <w:r w:rsidRPr="003A308A">
        <w:rPr>
          <w:rFonts w:hAnsi="Times New Roman" w:cs="Times New Roman"/>
          <w:color w:val="auto"/>
          <w:lang w:val="en-US"/>
        </w:rPr>
        <w:t xml:space="preserve"> not subject to the full essential services process</w:t>
      </w:r>
      <w:r w:rsidR="00FB6F98">
        <w:rPr>
          <w:rFonts w:hAnsi="Times New Roman" w:cs="Times New Roman"/>
          <w:color w:val="auto"/>
          <w:lang w:val="en-US"/>
        </w:rPr>
        <w:t xml:space="preserve"> because they do not provide an essential health service</w:t>
      </w:r>
      <w:r w:rsidR="00E23F60">
        <w:rPr>
          <w:rFonts w:hAnsi="Times New Roman" w:cs="Times New Roman"/>
          <w:color w:val="auto"/>
          <w:lang w:val="en-US"/>
        </w:rPr>
        <w:t xml:space="preserve"> under MGL or corresponding CMR</w:t>
      </w:r>
      <w:r w:rsidRPr="003A308A">
        <w:rPr>
          <w:rFonts w:hAnsi="Times New Roman" w:cs="Times New Roman"/>
          <w:color w:val="auto"/>
          <w:lang w:val="en-US"/>
        </w:rPr>
        <w:t>. Instead, Radius was directed to develop a closure plan for review by the Department.</w:t>
      </w:r>
    </w:p>
    <w:p w:rsidR="0018262A" w:rsidRPr="003A308A" w:rsidRDefault="0018262A" w:rsidP="0018262A">
      <w:pPr>
        <w:pStyle w:val="Body"/>
        <w:spacing w:before="0"/>
        <w:rPr>
          <w:rFonts w:hAnsi="Times New Roman" w:cs="Times New Roman"/>
          <w:color w:val="auto"/>
          <w:lang w:val="en-US"/>
        </w:rPr>
      </w:pPr>
    </w:p>
    <w:p w:rsidR="0018262A" w:rsidRPr="003A308A" w:rsidRDefault="0018262A" w:rsidP="0018262A">
      <w:pPr>
        <w:pStyle w:val="Body"/>
        <w:spacing w:before="0"/>
        <w:rPr>
          <w:rFonts w:hAnsi="Times New Roman" w:cs="Times New Roman"/>
          <w:color w:val="auto"/>
          <w:lang w:val="en-US"/>
        </w:rPr>
      </w:pPr>
      <w:r w:rsidRPr="003A308A">
        <w:rPr>
          <w:rFonts w:hAnsi="Times New Roman" w:cs="Times New Roman"/>
          <w:color w:val="auto"/>
          <w:lang w:val="en-US"/>
        </w:rPr>
        <w:t>Radius indicated to the Department</w:t>
      </w:r>
      <w:r w:rsidR="008F6B38" w:rsidRPr="003A308A">
        <w:rPr>
          <w:rFonts w:hAnsi="Times New Roman" w:cs="Times New Roman"/>
          <w:color w:val="auto"/>
          <w:lang w:val="en-US"/>
        </w:rPr>
        <w:t xml:space="preserve"> through </w:t>
      </w:r>
      <w:r w:rsidR="00117168" w:rsidRPr="003A308A">
        <w:rPr>
          <w:rFonts w:hAnsi="Times New Roman" w:cs="Times New Roman"/>
          <w:color w:val="auto"/>
          <w:lang w:val="en-US"/>
        </w:rPr>
        <w:t>discussions with the Department</w:t>
      </w:r>
      <w:r w:rsidRPr="003A308A">
        <w:rPr>
          <w:rFonts w:hAnsi="Times New Roman" w:cs="Times New Roman"/>
          <w:color w:val="auto"/>
          <w:lang w:val="en-US"/>
        </w:rPr>
        <w:t xml:space="preserve"> that its closure was due to a sharp decline in admissions to its Quincy campus following </w:t>
      </w:r>
      <w:r w:rsidR="001F602C" w:rsidRPr="003A308A">
        <w:rPr>
          <w:rFonts w:hAnsi="Times New Roman" w:cs="Times New Roman"/>
          <w:color w:val="auto"/>
          <w:lang w:val="en-US"/>
        </w:rPr>
        <w:t>a change in referral patterns</w:t>
      </w:r>
      <w:r w:rsidRPr="003A308A">
        <w:rPr>
          <w:rFonts w:hAnsi="Times New Roman" w:cs="Times New Roman"/>
          <w:color w:val="auto"/>
          <w:lang w:val="en-US"/>
        </w:rPr>
        <w:t>.</w:t>
      </w:r>
      <w:r w:rsidR="00117168" w:rsidRPr="003A308A">
        <w:rPr>
          <w:rFonts w:hAnsi="Times New Roman" w:cs="Times New Roman"/>
          <w:color w:val="auto"/>
          <w:lang w:val="en-US"/>
        </w:rPr>
        <w:t xml:space="preserve">  The effects of this change in referrals were also discussed by counsel for Radius in the Boston Globe.</w:t>
      </w:r>
      <w:r w:rsidR="008617FC" w:rsidRPr="003A308A">
        <w:rPr>
          <w:rStyle w:val="FootnoteReference"/>
          <w:rFonts w:hAnsi="Times New Roman" w:cs="Times New Roman"/>
          <w:color w:val="auto"/>
          <w:lang w:val="en-US"/>
        </w:rPr>
        <w:footnoteReference w:id="12"/>
      </w:r>
      <w:r w:rsidRPr="003A308A">
        <w:rPr>
          <w:rFonts w:hAnsi="Times New Roman" w:cs="Times New Roman"/>
          <w:color w:val="auto"/>
          <w:lang w:val="en-US"/>
        </w:rPr>
        <w:t> </w:t>
      </w:r>
      <w:r w:rsidR="00117168" w:rsidRPr="003A308A">
        <w:rPr>
          <w:rFonts w:hAnsi="Times New Roman" w:cs="Times New Roman"/>
          <w:color w:val="auto"/>
          <w:lang w:val="en-US"/>
        </w:rPr>
        <w:t xml:space="preserve"> </w:t>
      </w:r>
    </w:p>
    <w:p w:rsidR="0018262A" w:rsidRPr="003A308A" w:rsidRDefault="0018262A" w:rsidP="0018262A">
      <w:pPr>
        <w:pStyle w:val="Body"/>
        <w:spacing w:before="0"/>
        <w:rPr>
          <w:rFonts w:hAnsi="Times New Roman" w:cs="Times New Roman"/>
          <w:color w:val="auto"/>
          <w:lang w:val="en-US"/>
        </w:rPr>
      </w:pPr>
    </w:p>
    <w:p w:rsidR="0018262A" w:rsidRPr="003A308A" w:rsidRDefault="0018262A" w:rsidP="0018262A">
      <w:pPr>
        <w:pStyle w:val="Body"/>
        <w:spacing w:before="0"/>
        <w:rPr>
          <w:rFonts w:hAnsi="Times New Roman" w:cs="Times New Roman"/>
          <w:color w:val="auto"/>
          <w:lang w:val="en-US"/>
        </w:rPr>
      </w:pPr>
      <w:r w:rsidRPr="003A308A">
        <w:rPr>
          <w:rFonts w:hAnsi="Times New Roman" w:cs="Times New Roman"/>
          <w:color w:val="auto"/>
          <w:lang w:val="en-US"/>
        </w:rPr>
        <w:t>At time of closing, no alternative services were planned for the Boston hospital site. However, skilled nursing facility capacity exists as a more cost-effective alternative</w:t>
      </w:r>
      <w:r w:rsidR="00FB6F98" w:rsidRPr="003A308A">
        <w:rPr>
          <w:rFonts w:eastAsia="Times New Roman" w:hAnsi="Times New Roman" w:cs="Times New Roman"/>
          <w:color w:val="auto"/>
          <w:vertAlign w:val="superscript"/>
          <w:lang w:val="en-US"/>
        </w:rPr>
        <w:footnoteReference w:id="13"/>
      </w:r>
      <w:r w:rsidRPr="003A308A">
        <w:rPr>
          <w:rFonts w:hAnsi="Times New Roman" w:cs="Times New Roman"/>
          <w:color w:val="auto"/>
          <w:lang w:val="en-US"/>
        </w:rPr>
        <w:t xml:space="preserve"> both locally and statewide.</w:t>
      </w:r>
      <w:r w:rsidR="00FB6F98" w:rsidRPr="00FB6F98">
        <w:rPr>
          <w:rFonts w:eastAsia="Times New Roman" w:hAnsi="Times New Roman" w:cs="Times New Roman"/>
          <w:color w:val="auto"/>
          <w:vertAlign w:val="superscript"/>
          <w:lang w:val="en-US"/>
        </w:rPr>
        <w:t xml:space="preserve"> </w:t>
      </w:r>
      <w:r w:rsidR="00FB6F98">
        <w:rPr>
          <w:rFonts w:eastAsia="Times New Roman" w:hAnsi="Times New Roman" w:cs="Times New Roman"/>
          <w:color w:val="auto"/>
          <w:vertAlign w:val="superscript"/>
          <w:lang w:val="en-US"/>
        </w:rPr>
        <w:t xml:space="preserve"> </w:t>
      </w:r>
      <w:r w:rsidRPr="003A308A">
        <w:rPr>
          <w:rFonts w:hAnsi="Times New Roman" w:cs="Times New Roman"/>
          <w:color w:val="auto"/>
          <w:lang w:val="en-US"/>
        </w:rPr>
        <w:t>The Quincy site was leased from Quincy Medical Center and was returned to the control of that hospital.</w:t>
      </w:r>
    </w:p>
    <w:p w:rsidR="0018262A" w:rsidRPr="003A308A" w:rsidRDefault="0018262A" w:rsidP="0018262A">
      <w:pPr>
        <w:pStyle w:val="Body"/>
        <w:spacing w:before="0"/>
        <w:rPr>
          <w:rFonts w:hAnsi="Times New Roman" w:cs="Times New Roman"/>
          <w:color w:val="auto"/>
          <w:lang w:val="en-US"/>
        </w:rPr>
      </w:pPr>
    </w:p>
    <w:p w:rsidR="00DC1ADD" w:rsidRPr="003A308A" w:rsidRDefault="00DC1ADD" w:rsidP="00DC1ADD">
      <w:pPr>
        <w:pStyle w:val="Body"/>
        <w:spacing w:before="0"/>
        <w:rPr>
          <w:rFonts w:hAnsi="Times New Roman" w:cs="Times New Roman"/>
          <w:color w:val="auto"/>
          <w:lang w:val="en-US"/>
        </w:rPr>
      </w:pPr>
      <w:r w:rsidRPr="003A308A">
        <w:rPr>
          <w:rFonts w:hAnsi="Times New Roman" w:cs="Times New Roman"/>
          <w:color w:val="auto"/>
          <w:u w:val="single"/>
          <w:lang w:val="en-US"/>
        </w:rPr>
        <w:t>Application of State Determination Process</w:t>
      </w:r>
      <w:r w:rsidRPr="003A308A">
        <w:rPr>
          <w:rFonts w:hAnsi="Times New Roman" w:cs="Times New Roman"/>
          <w:color w:val="auto"/>
          <w:lang w:val="en-US"/>
        </w:rPr>
        <w:t xml:space="preserve">: While Radius </w:t>
      </w:r>
      <w:r w:rsidR="00224462">
        <w:rPr>
          <w:rFonts w:hAnsi="Times New Roman" w:cs="Times New Roman"/>
          <w:color w:val="auto"/>
          <w:lang w:val="en-US"/>
        </w:rPr>
        <w:t xml:space="preserve">was unable to provide DPH with the required notice pursuant to state statute and licensure regulations, </w:t>
      </w:r>
      <w:r w:rsidRPr="003A308A">
        <w:rPr>
          <w:rFonts w:hAnsi="Times New Roman" w:cs="Times New Roman"/>
          <w:color w:val="auto"/>
          <w:lang w:val="en-US"/>
        </w:rPr>
        <w:t>DPH understands that Radius did</w:t>
      </w:r>
      <w:r w:rsidR="00224462">
        <w:rPr>
          <w:rFonts w:hAnsi="Times New Roman" w:cs="Times New Roman"/>
          <w:color w:val="auto"/>
          <w:lang w:val="en-US"/>
        </w:rPr>
        <w:t xml:space="preserve"> in fact</w:t>
      </w:r>
      <w:r w:rsidRPr="003A308A">
        <w:rPr>
          <w:rFonts w:hAnsi="Times New Roman" w:cs="Times New Roman"/>
          <w:color w:val="auto"/>
          <w:lang w:val="en-US"/>
        </w:rPr>
        <w:t xml:space="preserve"> notify the state </w:t>
      </w:r>
      <w:r w:rsidR="00224462">
        <w:rPr>
          <w:rFonts w:hAnsi="Times New Roman" w:cs="Times New Roman"/>
          <w:color w:val="auto"/>
          <w:lang w:val="en-US"/>
        </w:rPr>
        <w:t>almost immediately</w:t>
      </w:r>
      <w:r w:rsidRPr="003A308A">
        <w:rPr>
          <w:rFonts w:hAnsi="Times New Roman" w:cs="Times New Roman"/>
          <w:color w:val="auto"/>
          <w:lang w:val="en-US"/>
        </w:rPr>
        <w:t xml:space="preserve"> following these </w:t>
      </w:r>
      <w:r w:rsidR="004F1CA2" w:rsidRPr="003A308A">
        <w:rPr>
          <w:rFonts w:hAnsi="Times New Roman" w:cs="Times New Roman"/>
          <w:color w:val="auto"/>
          <w:lang w:val="en-US"/>
        </w:rPr>
        <w:t xml:space="preserve">referring organizations’ </w:t>
      </w:r>
      <w:r w:rsidRPr="003A308A">
        <w:rPr>
          <w:rFonts w:hAnsi="Times New Roman" w:cs="Times New Roman"/>
          <w:color w:val="auto"/>
          <w:lang w:val="en-US"/>
        </w:rPr>
        <w:t xml:space="preserve">own notification to Radius and the related, rapid decline of Radius’ financial condition. Based on both state and local nursing home capacity, as well CMS’ recommendations to reduce costs through redirecting care to nursing home-level care, the closure of Radius, from a health care reform and cost perspective, may have been warranted. However, questions still remain regarding the appropriateness of the timing provided to Radius by the </w:t>
      </w:r>
      <w:r w:rsidR="004F1CA2" w:rsidRPr="003A308A">
        <w:rPr>
          <w:rFonts w:hAnsi="Times New Roman" w:cs="Times New Roman"/>
          <w:color w:val="auto"/>
          <w:lang w:val="en-US"/>
        </w:rPr>
        <w:t>referring organizations</w:t>
      </w:r>
      <w:r w:rsidRPr="003A308A">
        <w:rPr>
          <w:rFonts w:hAnsi="Times New Roman" w:cs="Times New Roman"/>
          <w:color w:val="auto"/>
          <w:lang w:val="en-US"/>
        </w:rPr>
        <w:t xml:space="preserve">, the impacts to Radius’ workforce, and the consequences for Quincy Medical Center. As the health system moves towards directing care to lower cost, often lower acuity community settings, the Radius closure underscores the question of how the state can play an </w:t>
      </w:r>
      <w:r w:rsidRPr="003A308A">
        <w:rPr>
          <w:rFonts w:hAnsi="Times New Roman" w:cs="Times New Roman"/>
          <w:color w:val="auto"/>
          <w:lang w:val="en-US"/>
        </w:rPr>
        <w:lastRenderedPageBreak/>
        <w:t xml:space="preserve">appropriate role in ensuring the safe winding down of operations, particularly in regards to patient transfers and workforce transitions. </w:t>
      </w:r>
    </w:p>
    <w:p w:rsidR="00383827" w:rsidRPr="00383827" w:rsidRDefault="00383827" w:rsidP="0018262A">
      <w:pPr>
        <w:pStyle w:val="Body"/>
        <w:spacing w:before="0"/>
        <w:rPr>
          <w:rFonts w:hAnsi="Times New Roman" w:cs="Times New Roman"/>
          <w:lang w:val="en-US"/>
        </w:rPr>
      </w:pPr>
    </w:p>
    <w:tbl>
      <w:tblPr>
        <w:tblStyle w:val="MediumGrid3-Accent3"/>
        <w:tblpPr w:leftFromText="180" w:rightFromText="180" w:vertAnchor="text" w:horzAnchor="margin" w:tblpY="271"/>
        <w:tblW w:w="0" w:type="auto"/>
        <w:tblLook w:val="04A0" w:firstRow="1" w:lastRow="0" w:firstColumn="1" w:lastColumn="0" w:noHBand="0" w:noVBand="1"/>
      </w:tblPr>
      <w:tblGrid>
        <w:gridCol w:w="1340"/>
        <w:gridCol w:w="2249"/>
        <w:gridCol w:w="1445"/>
        <w:gridCol w:w="1388"/>
        <w:gridCol w:w="1363"/>
        <w:gridCol w:w="3123"/>
      </w:tblGrid>
      <w:tr w:rsidR="002920BF" w:rsidRPr="00EB23A2" w:rsidTr="002920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0" w:type="dxa"/>
          </w:tcPr>
          <w:p w:rsidR="002920BF" w:rsidRPr="00EB23A2" w:rsidRDefault="002920BF" w:rsidP="0016168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lang w:val="en-US"/>
              </w:rPr>
            </w:pPr>
            <w:r w:rsidRPr="00EB23A2">
              <w:rPr>
                <w:rFonts w:asciiTheme="majorHAnsi" w:hAnsiTheme="majorHAnsi" w:cstheme="majorHAnsi"/>
                <w:lang w:val="en-US"/>
              </w:rPr>
              <w:t>Hospital name</w:t>
            </w:r>
          </w:p>
        </w:tc>
        <w:tc>
          <w:tcPr>
            <w:tcW w:w="2249" w:type="dxa"/>
          </w:tcPr>
          <w:p w:rsidR="002920BF" w:rsidRPr="00EB23A2" w:rsidRDefault="002920BF" w:rsidP="00161682">
            <w:pPr>
              <w:pStyle w:val="Body"/>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en-US"/>
              </w:rPr>
            </w:pPr>
            <w:r>
              <w:rPr>
                <w:rFonts w:asciiTheme="majorHAnsi" w:hAnsiTheme="majorHAnsi" w:cstheme="majorHAnsi"/>
                <w:lang w:val="en-US"/>
              </w:rPr>
              <w:t xml:space="preserve">Cited </w:t>
            </w:r>
            <w:r w:rsidRPr="00EB23A2">
              <w:rPr>
                <w:rFonts w:asciiTheme="majorHAnsi" w:hAnsiTheme="majorHAnsi" w:cstheme="majorHAnsi"/>
                <w:lang w:val="en-US"/>
              </w:rPr>
              <w:t>Cause</w:t>
            </w:r>
            <w:r>
              <w:rPr>
                <w:rFonts w:asciiTheme="majorHAnsi" w:hAnsiTheme="majorHAnsi" w:cstheme="majorHAnsi"/>
                <w:lang w:val="en-US"/>
              </w:rPr>
              <w:t>(s)</w:t>
            </w:r>
            <w:r w:rsidRPr="00EB23A2">
              <w:rPr>
                <w:rFonts w:asciiTheme="majorHAnsi" w:hAnsiTheme="majorHAnsi" w:cstheme="majorHAnsi"/>
                <w:lang w:val="en-US"/>
              </w:rPr>
              <w:t xml:space="preserve"> of Closure</w:t>
            </w:r>
          </w:p>
        </w:tc>
        <w:tc>
          <w:tcPr>
            <w:tcW w:w="1445" w:type="dxa"/>
          </w:tcPr>
          <w:p w:rsidR="002920BF" w:rsidRPr="00EB23A2" w:rsidRDefault="002920BF" w:rsidP="00161682">
            <w:pPr>
              <w:pStyle w:val="Body"/>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en-US"/>
              </w:rPr>
            </w:pPr>
            <w:r w:rsidRPr="00EB23A2">
              <w:rPr>
                <w:rFonts w:asciiTheme="majorHAnsi" w:hAnsiTheme="majorHAnsi" w:cstheme="majorHAnsi"/>
                <w:lang w:val="en-US"/>
              </w:rPr>
              <w:t>Amount of Notice (90 Days Required)</w:t>
            </w:r>
          </w:p>
        </w:tc>
        <w:tc>
          <w:tcPr>
            <w:tcW w:w="1388" w:type="dxa"/>
          </w:tcPr>
          <w:p w:rsidR="002920BF" w:rsidRPr="00EB23A2" w:rsidRDefault="002920BF" w:rsidP="00161682">
            <w:pPr>
              <w:pStyle w:val="Body"/>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en-US"/>
              </w:rPr>
            </w:pPr>
            <w:r w:rsidRPr="00EB23A2">
              <w:rPr>
                <w:rFonts w:asciiTheme="majorHAnsi" w:hAnsiTheme="majorHAnsi" w:cstheme="majorHAnsi"/>
                <w:lang w:val="en-US"/>
              </w:rPr>
              <w:t>Public Hearing?</w:t>
            </w:r>
          </w:p>
        </w:tc>
        <w:tc>
          <w:tcPr>
            <w:tcW w:w="1363" w:type="dxa"/>
          </w:tcPr>
          <w:p w:rsidR="002920BF" w:rsidRPr="00EB23A2" w:rsidRDefault="002920BF" w:rsidP="00161682">
            <w:pPr>
              <w:pStyle w:val="Body"/>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en-US"/>
              </w:rPr>
            </w:pPr>
            <w:r w:rsidRPr="00EB23A2">
              <w:rPr>
                <w:rFonts w:asciiTheme="majorHAnsi" w:hAnsiTheme="majorHAnsi" w:cstheme="majorHAnsi"/>
                <w:lang w:val="en-US"/>
              </w:rPr>
              <w:t>Closure Plan Submitted and Approved?</w:t>
            </w:r>
          </w:p>
        </w:tc>
        <w:tc>
          <w:tcPr>
            <w:tcW w:w="3123" w:type="dxa"/>
          </w:tcPr>
          <w:p w:rsidR="002920BF" w:rsidRPr="00EB23A2" w:rsidRDefault="002920BF" w:rsidP="00161682">
            <w:pPr>
              <w:pStyle w:val="Body"/>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en-US"/>
              </w:rPr>
            </w:pPr>
            <w:r>
              <w:rPr>
                <w:rFonts w:asciiTheme="majorHAnsi" w:hAnsiTheme="majorHAnsi" w:cstheme="majorHAnsi"/>
                <w:lang w:val="en-US"/>
              </w:rPr>
              <w:t>Outcome</w:t>
            </w:r>
          </w:p>
        </w:tc>
      </w:tr>
      <w:tr w:rsidR="002920BF" w:rsidRPr="00EB23A2" w:rsidTr="002920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0" w:type="dxa"/>
          </w:tcPr>
          <w:p w:rsidR="002920BF" w:rsidRPr="003D6A32" w:rsidRDefault="002920BF" w:rsidP="0016168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lang w:val="en-US"/>
              </w:rPr>
            </w:pPr>
            <w:r w:rsidRPr="003D6A32">
              <w:rPr>
                <w:rFonts w:asciiTheme="majorHAnsi" w:hAnsiTheme="majorHAnsi" w:cstheme="majorHAnsi"/>
                <w:lang w:val="en-US"/>
              </w:rPr>
              <w:t>Hubbard Regional Hospital</w:t>
            </w:r>
          </w:p>
        </w:tc>
        <w:tc>
          <w:tcPr>
            <w:tcW w:w="2249" w:type="dxa"/>
          </w:tcPr>
          <w:p w:rsidR="002920BF" w:rsidRPr="009E3578" w:rsidRDefault="002920BF" w:rsidP="00161682">
            <w:pPr>
              <w:pStyle w:val="Body"/>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n-US"/>
              </w:rPr>
            </w:pPr>
            <w:r>
              <w:rPr>
                <w:rFonts w:hAnsi="Times New Roman" w:cs="Times New Roman"/>
                <w:lang w:val="en-US"/>
              </w:rPr>
              <w:t>F</w:t>
            </w:r>
            <w:r w:rsidRPr="009E3578">
              <w:rPr>
                <w:rFonts w:hAnsi="Times New Roman" w:cs="Times New Roman"/>
                <w:lang w:val="en-US"/>
              </w:rPr>
              <w:t xml:space="preserve">inancial distress. </w:t>
            </w:r>
            <w:r>
              <w:rPr>
                <w:rFonts w:hAnsi="Times New Roman" w:cs="Times New Roman"/>
                <w:lang w:val="en-US"/>
              </w:rPr>
              <w:t>Departure of several physicians. Sharp decline in admissions. Board opted to close</w:t>
            </w:r>
            <w:r w:rsidRPr="009E3578">
              <w:rPr>
                <w:rFonts w:hAnsi="Times New Roman" w:cs="Times New Roman"/>
                <w:lang w:val="en-US"/>
              </w:rPr>
              <w:t xml:space="preserve"> full hospital to avoid impending bankruptcy.</w:t>
            </w:r>
          </w:p>
        </w:tc>
        <w:tc>
          <w:tcPr>
            <w:tcW w:w="1445" w:type="dxa"/>
          </w:tcPr>
          <w:p w:rsidR="002920BF" w:rsidRPr="00EB23A2" w:rsidRDefault="002920BF" w:rsidP="00161682">
            <w:pPr>
              <w:pStyle w:val="Body"/>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n-US"/>
              </w:rPr>
            </w:pPr>
            <w:r w:rsidRPr="00EB23A2">
              <w:rPr>
                <w:rFonts w:asciiTheme="majorHAnsi" w:hAnsiTheme="majorHAnsi" w:cstheme="majorHAnsi"/>
                <w:lang w:val="en-US"/>
              </w:rPr>
              <w:t>30 days</w:t>
            </w:r>
          </w:p>
        </w:tc>
        <w:tc>
          <w:tcPr>
            <w:tcW w:w="1388" w:type="dxa"/>
          </w:tcPr>
          <w:p w:rsidR="002920BF" w:rsidRPr="00EB23A2" w:rsidRDefault="002920BF" w:rsidP="00161682">
            <w:pPr>
              <w:pStyle w:val="Body"/>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n-US"/>
              </w:rPr>
            </w:pPr>
            <w:r w:rsidRPr="00EB23A2">
              <w:rPr>
                <w:rFonts w:asciiTheme="majorHAnsi" w:hAnsiTheme="majorHAnsi" w:cstheme="majorHAnsi"/>
                <w:lang w:val="en-US"/>
              </w:rPr>
              <w:t>Yes</w:t>
            </w:r>
          </w:p>
        </w:tc>
        <w:tc>
          <w:tcPr>
            <w:tcW w:w="1363" w:type="dxa"/>
          </w:tcPr>
          <w:p w:rsidR="002920BF" w:rsidRPr="00EB23A2" w:rsidRDefault="002920BF" w:rsidP="00161682">
            <w:pPr>
              <w:pStyle w:val="Body"/>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n-US"/>
              </w:rPr>
            </w:pPr>
            <w:r w:rsidRPr="00EB23A2">
              <w:rPr>
                <w:rFonts w:asciiTheme="majorHAnsi" w:hAnsiTheme="majorHAnsi" w:cstheme="majorHAnsi"/>
                <w:lang w:val="en-US"/>
              </w:rPr>
              <w:t>Yes</w:t>
            </w:r>
          </w:p>
        </w:tc>
        <w:tc>
          <w:tcPr>
            <w:tcW w:w="3123" w:type="dxa"/>
          </w:tcPr>
          <w:p w:rsidR="002920BF" w:rsidRPr="00EB23A2" w:rsidRDefault="002920BF" w:rsidP="00161682">
            <w:pPr>
              <w:pStyle w:val="Body"/>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n-US"/>
              </w:rPr>
            </w:pPr>
            <w:r w:rsidRPr="00EB23A2">
              <w:rPr>
                <w:rFonts w:asciiTheme="majorHAnsi" w:hAnsiTheme="majorHAnsi" w:cstheme="majorHAnsi"/>
                <w:lang w:val="en-US"/>
              </w:rPr>
              <w:t xml:space="preserve">Preservation of some services, including </w:t>
            </w:r>
            <w:r>
              <w:rPr>
                <w:rFonts w:asciiTheme="majorHAnsi" w:hAnsiTheme="majorHAnsi" w:cstheme="majorHAnsi"/>
                <w:lang w:val="en-US"/>
              </w:rPr>
              <w:t>24HR</w:t>
            </w:r>
            <w:r w:rsidRPr="00EB23A2">
              <w:rPr>
                <w:rFonts w:asciiTheme="majorHAnsi" w:hAnsiTheme="majorHAnsi" w:cstheme="majorHAnsi"/>
                <w:lang w:val="en-US"/>
              </w:rPr>
              <w:t xml:space="preserve"> ED, following agreement with nearby Harrington Memorial Hospital</w:t>
            </w:r>
          </w:p>
        </w:tc>
      </w:tr>
      <w:tr w:rsidR="002920BF" w:rsidRPr="00EB23A2" w:rsidTr="002920BF">
        <w:tc>
          <w:tcPr>
            <w:cnfStyle w:val="001000000000" w:firstRow="0" w:lastRow="0" w:firstColumn="1" w:lastColumn="0" w:oddVBand="0" w:evenVBand="0" w:oddHBand="0" w:evenHBand="0" w:firstRowFirstColumn="0" w:firstRowLastColumn="0" w:lastRowFirstColumn="0" w:lastRowLastColumn="0"/>
            <w:tcW w:w="1340" w:type="dxa"/>
          </w:tcPr>
          <w:p w:rsidR="002920BF" w:rsidRPr="008C0780" w:rsidRDefault="002920BF" w:rsidP="0016168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lang w:val="en-US"/>
              </w:rPr>
            </w:pPr>
            <w:r w:rsidRPr="003D6A32">
              <w:rPr>
                <w:rFonts w:asciiTheme="majorHAnsi" w:hAnsiTheme="majorHAnsi" w:cstheme="majorHAnsi"/>
                <w:lang w:val="en-US"/>
              </w:rPr>
              <w:t>North Adams Regional Hospital</w:t>
            </w:r>
          </w:p>
        </w:tc>
        <w:tc>
          <w:tcPr>
            <w:tcW w:w="2249" w:type="dxa"/>
          </w:tcPr>
          <w:p w:rsidR="002920BF" w:rsidRPr="00EB23A2" w:rsidRDefault="002920BF" w:rsidP="00161682">
            <w:pPr>
              <w:pStyle w:val="Body"/>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n-US"/>
              </w:rPr>
            </w:pPr>
            <w:r w:rsidRPr="009E3578">
              <w:rPr>
                <w:rFonts w:hAnsi="Times New Roman" w:cs="Times New Roman"/>
                <w:lang w:val="en-US"/>
              </w:rPr>
              <w:t xml:space="preserve">Extended period of financial difficulty prior to full closure, including previous bankruptcy.  NARH cited insufficient reimbursement and significant workforce commitments. MNA cited investments in LTC facilities. </w:t>
            </w:r>
          </w:p>
        </w:tc>
        <w:tc>
          <w:tcPr>
            <w:tcW w:w="1445" w:type="dxa"/>
          </w:tcPr>
          <w:p w:rsidR="002920BF" w:rsidRPr="00EB23A2" w:rsidRDefault="002920BF" w:rsidP="00161682">
            <w:pPr>
              <w:pStyle w:val="Body"/>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n-US"/>
              </w:rPr>
            </w:pPr>
            <w:r w:rsidRPr="00EB23A2">
              <w:rPr>
                <w:rFonts w:asciiTheme="majorHAnsi" w:hAnsiTheme="majorHAnsi" w:cstheme="majorHAnsi"/>
                <w:lang w:val="en-US"/>
              </w:rPr>
              <w:t>3 days</w:t>
            </w:r>
          </w:p>
        </w:tc>
        <w:tc>
          <w:tcPr>
            <w:tcW w:w="1388" w:type="dxa"/>
          </w:tcPr>
          <w:p w:rsidR="002920BF" w:rsidRPr="00EB23A2" w:rsidRDefault="002920BF" w:rsidP="00161682">
            <w:pPr>
              <w:pStyle w:val="Body"/>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n-US"/>
              </w:rPr>
            </w:pPr>
            <w:r w:rsidRPr="00EB23A2">
              <w:rPr>
                <w:rFonts w:asciiTheme="majorHAnsi" w:hAnsiTheme="majorHAnsi" w:cstheme="majorHAnsi"/>
                <w:lang w:val="en-US"/>
              </w:rPr>
              <w:t>No</w:t>
            </w:r>
          </w:p>
        </w:tc>
        <w:tc>
          <w:tcPr>
            <w:tcW w:w="1363" w:type="dxa"/>
          </w:tcPr>
          <w:p w:rsidR="002920BF" w:rsidRPr="00EB23A2" w:rsidRDefault="002920BF" w:rsidP="00161682">
            <w:pPr>
              <w:pStyle w:val="Body"/>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n-US"/>
              </w:rPr>
            </w:pPr>
            <w:r w:rsidRPr="00EB23A2">
              <w:rPr>
                <w:rFonts w:asciiTheme="majorHAnsi" w:hAnsiTheme="majorHAnsi" w:cstheme="majorHAnsi"/>
                <w:lang w:val="en-US"/>
              </w:rPr>
              <w:t>No</w:t>
            </w:r>
          </w:p>
        </w:tc>
        <w:tc>
          <w:tcPr>
            <w:tcW w:w="3123" w:type="dxa"/>
          </w:tcPr>
          <w:p w:rsidR="002920BF" w:rsidRPr="00EB23A2" w:rsidRDefault="002920BF" w:rsidP="00161682">
            <w:pPr>
              <w:pStyle w:val="Body"/>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n-US"/>
              </w:rPr>
            </w:pPr>
            <w:r w:rsidRPr="00EB23A2">
              <w:rPr>
                <w:rFonts w:asciiTheme="majorHAnsi" w:hAnsiTheme="majorHAnsi" w:cstheme="majorHAnsi"/>
                <w:lang w:val="en-US"/>
              </w:rPr>
              <w:t xml:space="preserve">Preservation of some services, including </w:t>
            </w:r>
            <w:r>
              <w:rPr>
                <w:rFonts w:asciiTheme="majorHAnsi" w:hAnsiTheme="majorHAnsi" w:cstheme="majorHAnsi"/>
                <w:lang w:val="en-US"/>
              </w:rPr>
              <w:t>24HR</w:t>
            </w:r>
            <w:r w:rsidRPr="00EB23A2">
              <w:rPr>
                <w:rFonts w:asciiTheme="majorHAnsi" w:hAnsiTheme="majorHAnsi" w:cstheme="majorHAnsi"/>
                <w:lang w:val="en-US"/>
              </w:rPr>
              <w:t xml:space="preserve"> ED, following bankruptcy, closure, and subsequent purchase of property by nearby Berkshire Medical Center.</w:t>
            </w:r>
          </w:p>
        </w:tc>
      </w:tr>
      <w:tr w:rsidR="002920BF" w:rsidRPr="00EB23A2" w:rsidTr="002920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0" w:type="dxa"/>
          </w:tcPr>
          <w:p w:rsidR="002920BF" w:rsidRPr="008C0780" w:rsidRDefault="002920BF" w:rsidP="0016168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lang w:val="en-US"/>
              </w:rPr>
            </w:pPr>
            <w:r w:rsidRPr="003D6A32">
              <w:rPr>
                <w:rFonts w:asciiTheme="majorHAnsi" w:hAnsiTheme="majorHAnsi" w:cstheme="majorHAnsi"/>
                <w:lang w:val="en-US"/>
              </w:rPr>
              <w:t>Radius Specialty Hospital</w:t>
            </w:r>
          </w:p>
        </w:tc>
        <w:tc>
          <w:tcPr>
            <w:tcW w:w="2249" w:type="dxa"/>
          </w:tcPr>
          <w:p w:rsidR="002920BF" w:rsidRPr="00EB23A2" w:rsidRDefault="002920BF" w:rsidP="001F602C">
            <w:pPr>
              <w:pStyle w:val="Body"/>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n-US"/>
              </w:rPr>
            </w:pPr>
            <w:r w:rsidRPr="00EB23A2">
              <w:rPr>
                <w:rFonts w:asciiTheme="majorHAnsi" w:hAnsiTheme="majorHAnsi" w:cstheme="majorHAnsi"/>
                <w:lang w:val="en-US"/>
              </w:rPr>
              <w:t xml:space="preserve">Financial distress following </w:t>
            </w:r>
            <w:r>
              <w:rPr>
                <w:rFonts w:asciiTheme="majorHAnsi" w:hAnsiTheme="majorHAnsi" w:cstheme="majorHAnsi"/>
                <w:lang w:val="en-US"/>
              </w:rPr>
              <w:t>a change in referral patterns</w:t>
            </w:r>
            <w:r w:rsidRPr="00EB23A2">
              <w:rPr>
                <w:rFonts w:asciiTheme="majorHAnsi" w:hAnsiTheme="majorHAnsi" w:cstheme="majorHAnsi"/>
                <w:lang w:val="en-US"/>
              </w:rPr>
              <w:t xml:space="preserve">.  </w:t>
            </w:r>
          </w:p>
        </w:tc>
        <w:tc>
          <w:tcPr>
            <w:tcW w:w="1445" w:type="dxa"/>
          </w:tcPr>
          <w:p w:rsidR="002920BF" w:rsidRPr="00EB23A2" w:rsidRDefault="002920BF" w:rsidP="00161682">
            <w:pPr>
              <w:pStyle w:val="Body"/>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n-US"/>
              </w:rPr>
            </w:pPr>
            <w:r w:rsidRPr="00EB23A2">
              <w:rPr>
                <w:rFonts w:asciiTheme="majorHAnsi" w:hAnsiTheme="majorHAnsi" w:cstheme="majorHAnsi"/>
                <w:lang w:val="en-US"/>
              </w:rPr>
              <w:t>26 days</w:t>
            </w:r>
          </w:p>
        </w:tc>
        <w:tc>
          <w:tcPr>
            <w:tcW w:w="1388" w:type="dxa"/>
          </w:tcPr>
          <w:p w:rsidR="002920BF" w:rsidRPr="00EB23A2" w:rsidRDefault="002920BF" w:rsidP="00161682">
            <w:pPr>
              <w:pStyle w:val="Body"/>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n-US"/>
              </w:rPr>
            </w:pPr>
            <w:r w:rsidRPr="00EB23A2">
              <w:rPr>
                <w:rFonts w:asciiTheme="majorHAnsi" w:hAnsiTheme="majorHAnsi" w:cstheme="majorHAnsi"/>
                <w:lang w:val="en-US"/>
              </w:rPr>
              <w:t>No</w:t>
            </w:r>
          </w:p>
        </w:tc>
        <w:tc>
          <w:tcPr>
            <w:tcW w:w="1363" w:type="dxa"/>
          </w:tcPr>
          <w:p w:rsidR="002920BF" w:rsidRPr="00EB23A2" w:rsidRDefault="002920BF" w:rsidP="00161682">
            <w:pPr>
              <w:pStyle w:val="Body"/>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n-US"/>
              </w:rPr>
            </w:pPr>
            <w:r w:rsidRPr="00EB23A2">
              <w:rPr>
                <w:rFonts w:asciiTheme="majorHAnsi" w:hAnsiTheme="majorHAnsi" w:cstheme="majorHAnsi"/>
                <w:lang w:val="en-US"/>
              </w:rPr>
              <w:t>Yes</w:t>
            </w:r>
          </w:p>
        </w:tc>
        <w:tc>
          <w:tcPr>
            <w:tcW w:w="3123" w:type="dxa"/>
          </w:tcPr>
          <w:p w:rsidR="002920BF" w:rsidRPr="00EB23A2" w:rsidRDefault="002920BF" w:rsidP="00161682">
            <w:pPr>
              <w:pStyle w:val="Body"/>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n-US"/>
              </w:rPr>
            </w:pPr>
            <w:r w:rsidRPr="00EB23A2">
              <w:rPr>
                <w:rFonts w:asciiTheme="majorHAnsi" w:hAnsiTheme="majorHAnsi" w:cstheme="majorHAnsi"/>
                <w:lang w:val="en-US"/>
              </w:rPr>
              <w:t xml:space="preserve">As </w:t>
            </w:r>
            <w:r>
              <w:rPr>
                <w:rFonts w:asciiTheme="majorHAnsi" w:hAnsiTheme="majorHAnsi" w:cstheme="majorHAnsi"/>
                <w:lang w:val="en-US"/>
              </w:rPr>
              <w:t xml:space="preserve">lower cost service </w:t>
            </w:r>
            <w:r w:rsidRPr="00EB23A2">
              <w:rPr>
                <w:rFonts w:asciiTheme="majorHAnsi" w:hAnsiTheme="majorHAnsi" w:cstheme="majorHAnsi"/>
                <w:lang w:val="en-US"/>
              </w:rPr>
              <w:t>alternatives were available elsewhere in the community, there was no public health need to preserve beds.</w:t>
            </w:r>
          </w:p>
        </w:tc>
      </w:tr>
    </w:tbl>
    <w:p w:rsidR="0018262A" w:rsidRPr="003A308A" w:rsidRDefault="0018262A" w:rsidP="0018262A">
      <w:pPr>
        <w:pStyle w:val="Body"/>
        <w:spacing w:before="0"/>
        <w:rPr>
          <w:rFonts w:hAnsi="Times New Roman" w:cs="Times New Roman"/>
          <w:color w:val="auto"/>
          <w:lang w:val="en-US"/>
        </w:rPr>
      </w:pPr>
    </w:p>
    <w:p w:rsidR="0018262A" w:rsidRPr="003A308A" w:rsidRDefault="00161682" w:rsidP="0018262A">
      <w:pPr>
        <w:pStyle w:val="Body"/>
        <w:spacing w:before="0"/>
        <w:contextualSpacing/>
        <w:rPr>
          <w:rFonts w:hAnsi="Times New Roman" w:cs="Times New Roman"/>
          <w:b/>
          <w:i/>
          <w:color w:val="auto"/>
          <w:lang w:val="en-US"/>
        </w:rPr>
      </w:pPr>
      <w:r w:rsidRPr="003A308A">
        <w:rPr>
          <w:rFonts w:hAnsi="Times New Roman" w:cs="Times New Roman"/>
          <w:b/>
          <w:i/>
          <w:color w:val="auto"/>
          <w:lang w:val="en-US"/>
        </w:rPr>
        <w:t xml:space="preserve">Hospital Closures: </w:t>
      </w:r>
      <w:r w:rsidR="004F1CA2" w:rsidRPr="003A308A">
        <w:rPr>
          <w:rFonts w:hAnsi="Times New Roman" w:cs="Times New Roman"/>
          <w:b/>
          <w:i/>
          <w:color w:val="auto"/>
          <w:lang w:val="en-US"/>
        </w:rPr>
        <w:t>Observations</w:t>
      </w:r>
      <w:r w:rsidR="0018262A" w:rsidRPr="003A308A">
        <w:rPr>
          <w:rFonts w:hAnsi="Times New Roman" w:cs="Times New Roman"/>
          <w:b/>
          <w:i/>
          <w:color w:val="auto"/>
          <w:lang w:val="en-US"/>
        </w:rPr>
        <w:t xml:space="preserve"> (</w:t>
      </w:r>
      <w:r w:rsidR="0018262A" w:rsidRPr="003A308A">
        <w:rPr>
          <w:rFonts w:hAnsi="Times New Roman" w:cs="Times New Roman"/>
          <w:b/>
          <w:i/>
          <w:color w:val="auto"/>
          <w:u w:val="single"/>
          <w:lang w:val="en-US"/>
        </w:rPr>
        <w:t>For Discussion</w:t>
      </w:r>
      <w:r w:rsidR="0018262A" w:rsidRPr="003A308A">
        <w:rPr>
          <w:rFonts w:hAnsi="Times New Roman" w:cs="Times New Roman"/>
          <w:b/>
          <w:i/>
          <w:color w:val="auto"/>
          <w:lang w:val="en-US"/>
        </w:rPr>
        <w:t>):</w:t>
      </w:r>
    </w:p>
    <w:p w:rsidR="0018262A" w:rsidRPr="003A308A" w:rsidRDefault="0018262A" w:rsidP="0018262A">
      <w:pPr>
        <w:pStyle w:val="Body"/>
        <w:spacing w:before="0"/>
        <w:contextualSpacing/>
        <w:rPr>
          <w:rFonts w:hAnsi="Times New Roman" w:cs="Times New Roman"/>
          <w:b/>
          <w:color w:val="auto"/>
          <w:lang w:val="en-US"/>
        </w:rPr>
      </w:pPr>
    </w:p>
    <w:p w:rsidR="0018262A" w:rsidRPr="003A308A" w:rsidRDefault="0018262A" w:rsidP="0018262A">
      <w:pPr>
        <w:pStyle w:val="Body"/>
        <w:numPr>
          <w:ilvl w:val="0"/>
          <w:numId w:val="8"/>
        </w:numPr>
        <w:tabs>
          <w:tab w:val="clear" w:pos="360"/>
          <w:tab w:val="left" w:pos="900"/>
        </w:tabs>
        <w:spacing w:before="0"/>
        <w:ind w:left="900"/>
        <w:contextualSpacing/>
        <w:rPr>
          <w:rFonts w:hAnsi="Times New Roman" w:cs="Times New Roman"/>
          <w:color w:val="auto"/>
          <w:lang w:val="en-US"/>
        </w:rPr>
      </w:pPr>
      <w:r w:rsidRPr="003A308A">
        <w:rPr>
          <w:rFonts w:hAnsi="Times New Roman" w:cs="Times New Roman"/>
          <w:color w:val="auto"/>
          <w:lang w:val="en-US"/>
        </w:rPr>
        <w:t>Despite a statutory and regulatory requirement to provide 90</w:t>
      </w:r>
      <w:r w:rsidR="003841DF">
        <w:rPr>
          <w:rFonts w:hAnsi="Times New Roman" w:cs="Times New Roman"/>
          <w:color w:val="auto"/>
          <w:lang w:val="en-US"/>
        </w:rPr>
        <w:t xml:space="preserve"> </w:t>
      </w:r>
      <w:r w:rsidR="003841DF" w:rsidRPr="003A308A">
        <w:rPr>
          <w:rFonts w:hAnsi="Times New Roman" w:cs="Times New Roman"/>
          <w:color w:val="auto"/>
          <w:lang w:val="en-US"/>
        </w:rPr>
        <w:t>days’ notice</w:t>
      </w:r>
      <w:r w:rsidRPr="003A308A">
        <w:rPr>
          <w:rFonts w:hAnsi="Times New Roman" w:cs="Times New Roman"/>
          <w:color w:val="auto"/>
          <w:lang w:val="en-US"/>
        </w:rPr>
        <w:t>, no hospital proposing a full closure has provided the full 90</w:t>
      </w:r>
      <w:r w:rsidR="00B4279C">
        <w:rPr>
          <w:rFonts w:hAnsi="Times New Roman" w:cs="Times New Roman"/>
          <w:color w:val="auto"/>
          <w:lang w:val="en-US"/>
        </w:rPr>
        <w:t>-</w:t>
      </w:r>
      <w:r w:rsidRPr="003A308A">
        <w:rPr>
          <w:rFonts w:hAnsi="Times New Roman" w:cs="Times New Roman"/>
          <w:color w:val="auto"/>
          <w:lang w:val="en-US"/>
        </w:rPr>
        <w:t xml:space="preserve">day notice in the last decade. </w:t>
      </w:r>
    </w:p>
    <w:p w:rsidR="0018262A" w:rsidRPr="003A308A" w:rsidRDefault="004F1CA2" w:rsidP="0018262A">
      <w:pPr>
        <w:pStyle w:val="Body"/>
        <w:numPr>
          <w:ilvl w:val="0"/>
          <w:numId w:val="8"/>
        </w:numPr>
        <w:tabs>
          <w:tab w:val="clear" w:pos="360"/>
          <w:tab w:val="left" w:pos="900"/>
        </w:tabs>
        <w:spacing w:before="0"/>
        <w:ind w:left="900"/>
        <w:contextualSpacing/>
        <w:rPr>
          <w:rFonts w:hAnsi="Times New Roman" w:cs="Times New Roman"/>
          <w:color w:val="auto"/>
          <w:lang w:val="en-US"/>
        </w:rPr>
      </w:pPr>
      <w:r w:rsidRPr="003A308A">
        <w:rPr>
          <w:rFonts w:hAnsi="Times New Roman" w:cs="Times New Roman"/>
          <w:color w:val="auto"/>
          <w:lang w:val="en-US"/>
        </w:rPr>
        <w:t xml:space="preserve">The lack of adequate notice prevents </w:t>
      </w:r>
      <w:r w:rsidR="0018262A" w:rsidRPr="003A308A">
        <w:rPr>
          <w:rFonts w:hAnsi="Times New Roman" w:cs="Times New Roman"/>
          <w:color w:val="auto"/>
          <w:lang w:val="en-US"/>
        </w:rPr>
        <w:t xml:space="preserve">the state </w:t>
      </w:r>
      <w:r w:rsidRPr="003A308A">
        <w:rPr>
          <w:rFonts w:hAnsi="Times New Roman" w:cs="Times New Roman"/>
          <w:color w:val="auto"/>
          <w:lang w:val="en-US"/>
        </w:rPr>
        <w:t xml:space="preserve">from </w:t>
      </w:r>
      <w:r w:rsidR="0018262A" w:rsidRPr="003A308A">
        <w:rPr>
          <w:rFonts w:hAnsi="Times New Roman" w:cs="Times New Roman"/>
          <w:color w:val="auto"/>
          <w:lang w:val="en-US"/>
        </w:rPr>
        <w:t>perform</w:t>
      </w:r>
      <w:r w:rsidRPr="003A308A">
        <w:rPr>
          <w:rFonts w:hAnsi="Times New Roman" w:cs="Times New Roman"/>
          <w:color w:val="auto"/>
          <w:lang w:val="en-US"/>
        </w:rPr>
        <w:t>ing</w:t>
      </w:r>
      <w:r w:rsidR="0018262A" w:rsidRPr="003A308A">
        <w:rPr>
          <w:rFonts w:hAnsi="Times New Roman" w:cs="Times New Roman"/>
          <w:color w:val="auto"/>
          <w:lang w:val="en-US"/>
        </w:rPr>
        <w:t xml:space="preserve"> a thorough analysis of community health needs</w:t>
      </w:r>
      <w:r w:rsidRPr="003A308A">
        <w:rPr>
          <w:rFonts w:hAnsi="Times New Roman" w:cs="Times New Roman"/>
          <w:color w:val="auto"/>
          <w:lang w:val="en-US"/>
        </w:rPr>
        <w:t xml:space="preserve"> prior to the closure</w:t>
      </w:r>
      <w:r w:rsidR="0018262A" w:rsidRPr="003A308A">
        <w:rPr>
          <w:rFonts w:hAnsi="Times New Roman" w:cs="Times New Roman"/>
          <w:color w:val="auto"/>
          <w:lang w:val="en-US"/>
        </w:rPr>
        <w:t>. In the case of North Adams, a thorough health assessment was performed after the hospital had closed and a smaller facility re-opened.</w:t>
      </w:r>
    </w:p>
    <w:p w:rsidR="0018262A" w:rsidRPr="003A308A" w:rsidRDefault="0018262A" w:rsidP="0018262A">
      <w:pPr>
        <w:pStyle w:val="Body"/>
        <w:numPr>
          <w:ilvl w:val="0"/>
          <w:numId w:val="8"/>
        </w:numPr>
        <w:tabs>
          <w:tab w:val="clear" w:pos="360"/>
          <w:tab w:val="left" w:pos="900"/>
        </w:tabs>
        <w:spacing w:before="0"/>
        <w:ind w:left="900"/>
        <w:contextualSpacing/>
        <w:rPr>
          <w:rFonts w:hAnsi="Times New Roman" w:cs="Times New Roman"/>
          <w:color w:val="auto"/>
          <w:lang w:val="en-US"/>
        </w:rPr>
      </w:pPr>
      <w:r w:rsidRPr="003A308A">
        <w:rPr>
          <w:rFonts w:hAnsi="Times New Roman" w:cs="Times New Roman"/>
          <w:color w:val="auto"/>
          <w:lang w:val="en-US"/>
        </w:rPr>
        <w:lastRenderedPageBreak/>
        <w:t>In some cases, DPH could do little beyond requir</w:t>
      </w:r>
      <w:r w:rsidR="004F1CA2" w:rsidRPr="003A308A">
        <w:rPr>
          <w:rFonts w:hAnsi="Times New Roman" w:cs="Times New Roman"/>
          <w:color w:val="auto"/>
          <w:lang w:val="en-US"/>
        </w:rPr>
        <w:t>ing</w:t>
      </w:r>
      <w:r w:rsidRPr="003A308A">
        <w:rPr>
          <w:rFonts w:hAnsi="Times New Roman" w:cs="Times New Roman"/>
          <w:color w:val="auto"/>
          <w:lang w:val="en-US"/>
        </w:rPr>
        <w:t xml:space="preserve"> a closure plan and carefully monitor</w:t>
      </w:r>
      <w:r w:rsidR="004F1CA2" w:rsidRPr="003A308A">
        <w:rPr>
          <w:rFonts w:hAnsi="Times New Roman" w:cs="Times New Roman"/>
          <w:color w:val="auto"/>
          <w:lang w:val="en-US"/>
        </w:rPr>
        <w:t>ing</w:t>
      </w:r>
      <w:r w:rsidRPr="003A308A">
        <w:rPr>
          <w:rFonts w:hAnsi="Times New Roman" w:cs="Times New Roman"/>
          <w:color w:val="auto"/>
          <w:lang w:val="en-US"/>
        </w:rPr>
        <w:t xml:space="preserve"> post-closure</w:t>
      </w:r>
      <w:r w:rsidR="004F1CA2" w:rsidRPr="003A308A">
        <w:rPr>
          <w:rFonts w:hAnsi="Times New Roman" w:cs="Times New Roman"/>
          <w:color w:val="auto"/>
          <w:lang w:val="en-US"/>
        </w:rPr>
        <w:t xml:space="preserve"> impacts</w:t>
      </w:r>
      <w:r w:rsidRPr="003A308A">
        <w:rPr>
          <w:rFonts w:hAnsi="Times New Roman" w:cs="Times New Roman"/>
          <w:color w:val="auto"/>
          <w:lang w:val="en-US"/>
        </w:rPr>
        <w:t>.</w:t>
      </w:r>
    </w:p>
    <w:p w:rsidR="0018262A" w:rsidRPr="003A308A" w:rsidRDefault="0018262A" w:rsidP="0018262A">
      <w:pPr>
        <w:pStyle w:val="Body"/>
        <w:numPr>
          <w:ilvl w:val="0"/>
          <w:numId w:val="8"/>
        </w:numPr>
        <w:tabs>
          <w:tab w:val="clear" w:pos="360"/>
          <w:tab w:val="left" w:pos="900"/>
        </w:tabs>
        <w:spacing w:before="0"/>
        <w:ind w:left="900"/>
        <w:contextualSpacing/>
        <w:rPr>
          <w:rFonts w:hAnsi="Times New Roman" w:cs="Times New Roman"/>
          <w:color w:val="auto"/>
          <w:lang w:val="en-US"/>
        </w:rPr>
      </w:pPr>
      <w:r w:rsidRPr="003A308A">
        <w:rPr>
          <w:rFonts w:hAnsi="Times New Roman" w:cs="Times New Roman"/>
          <w:color w:val="auto"/>
          <w:lang w:val="en-US"/>
        </w:rPr>
        <w:t xml:space="preserve">In some cases, </w:t>
      </w:r>
      <w:r w:rsidR="004F1CA2" w:rsidRPr="003A308A">
        <w:rPr>
          <w:rFonts w:hAnsi="Times New Roman" w:cs="Times New Roman"/>
          <w:color w:val="auto"/>
          <w:lang w:val="en-US"/>
        </w:rPr>
        <w:t xml:space="preserve">due to the lack of adequate notice, </w:t>
      </w:r>
      <w:r w:rsidRPr="003A308A">
        <w:rPr>
          <w:rFonts w:hAnsi="Times New Roman" w:cs="Times New Roman"/>
          <w:color w:val="auto"/>
          <w:lang w:val="en-US"/>
        </w:rPr>
        <w:t xml:space="preserve">the public was unable </w:t>
      </w:r>
      <w:r w:rsidR="004F1CA2" w:rsidRPr="003A308A">
        <w:rPr>
          <w:rFonts w:hAnsi="Times New Roman" w:cs="Times New Roman"/>
          <w:color w:val="auto"/>
          <w:lang w:val="en-US"/>
        </w:rPr>
        <w:t xml:space="preserve">to attend a hearing or </w:t>
      </w:r>
      <w:r w:rsidRPr="003A308A">
        <w:rPr>
          <w:rFonts w:hAnsi="Times New Roman" w:cs="Times New Roman"/>
          <w:color w:val="auto"/>
          <w:lang w:val="en-US"/>
        </w:rPr>
        <w:t>testify.</w:t>
      </w:r>
    </w:p>
    <w:p w:rsidR="0018262A" w:rsidRPr="003A308A" w:rsidRDefault="0018262A" w:rsidP="0018262A">
      <w:pPr>
        <w:pStyle w:val="Body"/>
        <w:numPr>
          <w:ilvl w:val="0"/>
          <w:numId w:val="8"/>
        </w:numPr>
        <w:tabs>
          <w:tab w:val="clear" w:pos="360"/>
          <w:tab w:val="left" w:pos="900"/>
        </w:tabs>
        <w:spacing w:before="0"/>
        <w:ind w:left="900"/>
        <w:contextualSpacing/>
        <w:rPr>
          <w:rFonts w:hAnsi="Times New Roman" w:cs="Times New Roman"/>
          <w:color w:val="auto"/>
          <w:lang w:val="en-US"/>
        </w:rPr>
      </w:pPr>
      <w:r w:rsidRPr="003A308A">
        <w:rPr>
          <w:rFonts w:hAnsi="Times New Roman" w:cs="Times New Roman"/>
          <w:color w:val="auto"/>
          <w:lang w:val="en-US"/>
        </w:rPr>
        <w:t>In two cases, a hospital closed and a smaller facility re-opened at the same location.</w:t>
      </w:r>
    </w:p>
    <w:p w:rsidR="0018262A" w:rsidRDefault="0018262A" w:rsidP="0018262A">
      <w:pPr>
        <w:pStyle w:val="Body"/>
        <w:tabs>
          <w:tab w:val="left" w:pos="900"/>
        </w:tabs>
        <w:spacing w:before="0"/>
        <w:ind w:left="900"/>
        <w:contextualSpacing/>
        <w:rPr>
          <w:rFonts w:hAnsi="Times New Roman" w:cs="Times New Roman"/>
          <w:lang w:val="en-US"/>
        </w:rPr>
      </w:pPr>
    </w:p>
    <w:p w:rsidR="0018262A" w:rsidRDefault="0018262A" w:rsidP="0018262A">
      <w:pPr>
        <w:pStyle w:val="Body"/>
        <w:tabs>
          <w:tab w:val="left" w:pos="900"/>
        </w:tabs>
        <w:spacing w:before="0"/>
        <w:ind w:left="900"/>
        <w:contextualSpacing/>
        <w:rPr>
          <w:rFonts w:hAnsi="Times New Roman" w:cs="Times New Roman"/>
          <w:lang w:val="en-US"/>
        </w:rPr>
      </w:pPr>
    </w:p>
    <w:p w:rsidR="0018262A" w:rsidRDefault="0018262A" w:rsidP="0018262A">
      <w:pPr>
        <w:pStyle w:val="Body"/>
        <w:tabs>
          <w:tab w:val="left" w:pos="900"/>
        </w:tabs>
        <w:spacing w:before="0"/>
        <w:ind w:left="900"/>
        <w:contextualSpacing/>
        <w:rPr>
          <w:rFonts w:hAnsi="Times New Roman" w:cs="Times New Roman"/>
          <w:lang w:val="en-US"/>
        </w:rPr>
      </w:pPr>
    </w:p>
    <w:p w:rsidR="0018262A" w:rsidRDefault="0018262A" w:rsidP="0018262A">
      <w:pPr>
        <w:pStyle w:val="Body"/>
        <w:tabs>
          <w:tab w:val="left" w:pos="900"/>
        </w:tabs>
        <w:spacing w:before="0"/>
        <w:ind w:left="900"/>
        <w:contextualSpacing/>
        <w:rPr>
          <w:rFonts w:hAnsi="Times New Roman" w:cs="Times New Roman"/>
          <w:lang w:val="en-US"/>
        </w:rPr>
      </w:pPr>
    </w:p>
    <w:p w:rsidR="00383827" w:rsidRDefault="00383827" w:rsidP="0018262A">
      <w:pPr>
        <w:pStyle w:val="Body"/>
        <w:tabs>
          <w:tab w:val="left" w:pos="900"/>
        </w:tabs>
        <w:spacing w:before="0"/>
        <w:ind w:left="900"/>
        <w:contextualSpacing/>
        <w:rPr>
          <w:rFonts w:hAnsi="Times New Roman" w:cs="Times New Roman"/>
          <w:lang w:val="en-US"/>
        </w:rPr>
      </w:pPr>
    </w:p>
    <w:p w:rsidR="00383827" w:rsidRDefault="00383827" w:rsidP="0018262A">
      <w:pPr>
        <w:pStyle w:val="Body"/>
        <w:tabs>
          <w:tab w:val="left" w:pos="900"/>
        </w:tabs>
        <w:spacing w:before="0"/>
        <w:ind w:left="900"/>
        <w:contextualSpacing/>
        <w:rPr>
          <w:rFonts w:hAnsi="Times New Roman" w:cs="Times New Roman"/>
          <w:lang w:val="en-US"/>
        </w:rPr>
      </w:pPr>
    </w:p>
    <w:p w:rsidR="00383827" w:rsidRDefault="00383827" w:rsidP="0018262A">
      <w:pPr>
        <w:pStyle w:val="Body"/>
        <w:tabs>
          <w:tab w:val="left" w:pos="900"/>
        </w:tabs>
        <w:spacing w:before="0"/>
        <w:ind w:left="900"/>
        <w:contextualSpacing/>
        <w:rPr>
          <w:rFonts w:hAnsi="Times New Roman" w:cs="Times New Roman"/>
          <w:lang w:val="en-US"/>
        </w:rPr>
      </w:pPr>
    </w:p>
    <w:p w:rsidR="00961844" w:rsidRDefault="00961844" w:rsidP="0018262A">
      <w:pPr>
        <w:pStyle w:val="Body"/>
        <w:tabs>
          <w:tab w:val="left" w:pos="900"/>
        </w:tabs>
        <w:spacing w:before="0"/>
        <w:ind w:left="900"/>
        <w:contextualSpacing/>
        <w:rPr>
          <w:rFonts w:hAnsi="Times New Roman" w:cs="Times New Roman"/>
          <w:lang w:val="en-US"/>
        </w:rPr>
      </w:pPr>
    </w:p>
    <w:p w:rsidR="00961844" w:rsidRDefault="00961844" w:rsidP="0018262A">
      <w:pPr>
        <w:pStyle w:val="Body"/>
        <w:tabs>
          <w:tab w:val="left" w:pos="900"/>
        </w:tabs>
        <w:spacing w:before="0"/>
        <w:ind w:left="900"/>
        <w:contextualSpacing/>
        <w:rPr>
          <w:rFonts w:hAnsi="Times New Roman" w:cs="Times New Roman"/>
          <w:lang w:val="en-US"/>
        </w:rPr>
      </w:pPr>
    </w:p>
    <w:p w:rsidR="00961844" w:rsidRDefault="00961844" w:rsidP="0018262A">
      <w:pPr>
        <w:pStyle w:val="Body"/>
        <w:tabs>
          <w:tab w:val="left" w:pos="900"/>
        </w:tabs>
        <w:spacing w:before="0"/>
        <w:ind w:left="900"/>
        <w:contextualSpacing/>
        <w:rPr>
          <w:rFonts w:hAnsi="Times New Roman" w:cs="Times New Roman"/>
          <w:lang w:val="en-US"/>
        </w:rPr>
      </w:pPr>
    </w:p>
    <w:p w:rsidR="00961844" w:rsidRDefault="00961844" w:rsidP="0018262A">
      <w:pPr>
        <w:pStyle w:val="Body"/>
        <w:tabs>
          <w:tab w:val="left" w:pos="900"/>
        </w:tabs>
        <w:spacing w:before="0"/>
        <w:ind w:left="900"/>
        <w:contextualSpacing/>
        <w:rPr>
          <w:rFonts w:hAnsi="Times New Roman" w:cs="Times New Roman"/>
          <w:lang w:val="en-US"/>
        </w:rPr>
      </w:pPr>
    </w:p>
    <w:p w:rsidR="00961844" w:rsidRDefault="00961844" w:rsidP="0018262A">
      <w:pPr>
        <w:pStyle w:val="Body"/>
        <w:tabs>
          <w:tab w:val="left" w:pos="900"/>
        </w:tabs>
        <w:spacing w:before="0"/>
        <w:ind w:left="900"/>
        <w:contextualSpacing/>
        <w:rPr>
          <w:rFonts w:hAnsi="Times New Roman" w:cs="Times New Roman"/>
          <w:lang w:val="en-US"/>
        </w:rPr>
      </w:pPr>
    </w:p>
    <w:p w:rsidR="00961844" w:rsidRDefault="00961844" w:rsidP="0018262A">
      <w:pPr>
        <w:pStyle w:val="Body"/>
        <w:tabs>
          <w:tab w:val="left" w:pos="900"/>
        </w:tabs>
        <w:spacing w:before="0"/>
        <w:ind w:left="900"/>
        <w:contextualSpacing/>
        <w:rPr>
          <w:rFonts w:hAnsi="Times New Roman" w:cs="Times New Roman"/>
          <w:lang w:val="en-US"/>
        </w:rPr>
      </w:pPr>
    </w:p>
    <w:p w:rsidR="00961844" w:rsidRPr="00195684" w:rsidRDefault="00961844" w:rsidP="0018262A">
      <w:pPr>
        <w:pStyle w:val="Body"/>
        <w:tabs>
          <w:tab w:val="left" w:pos="900"/>
        </w:tabs>
        <w:spacing w:before="0"/>
        <w:ind w:left="900"/>
        <w:contextualSpacing/>
        <w:rPr>
          <w:rFonts w:hAnsi="Times New Roman" w:cs="Times New Roman"/>
          <w:lang w:val="en-US"/>
        </w:rPr>
      </w:pPr>
    </w:p>
    <w:p w:rsidR="004D1E5D" w:rsidRDefault="004D1E5D" w:rsidP="0018262A">
      <w:pPr>
        <w:tabs>
          <w:tab w:val="left" w:pos="900"/>
        </w:tabs>
        <w:ind w:left="810"/>
        <w:jc w:val="center"/>
        <w:rPr>
          <w:rFonts w:asciiTheme="majorHAnsi" w:hAnsiTheme="majorHAnsi" w:cstheme="majorHAnsi"/>
          <w:b/>
          <w:sz w:val="28"/>
          <w:szCs w:val="28"/>
          <w:u w:val="single"/>
        </w:rPr>
      </w:pPr>
    </w:p>
    <w:p w:rsidR="004D1E5D" w:rsidRDefault="004D1E5D" w:rsidP="0018262A">
      <w:pPr>
        <w:tabs>
          <w:tab w:val="left" w:pos="900"/>
        </w:tabs>
        <w:ind w:left="810"/>
        <w:jc w:val="center"/>
        <w:rPr>
          <w:rFonts w:asciiTheme="majorHAnsi" w:hAnsiTheme="majorHAnsi" w:cstheme="majorHAnsi"/>
          <w:b/>
          <w:sz w:val="28"/>
          <w:szCs w:val="28"/>
          <w:u w:val="single"/>
        </w:rPr>
      </w:pPr>
    </w:p>
    <w:p w:rsidR="004D1E5D" w:rsidRDefault="004D1E5D" w:rsidP="0018262A">
      <w:pPr>
        <w:tabs>
          <w:tab w:val="left" w:pos="900"/>
        </w:tabs>
        <w:ind w:left="810"/>
        <w:jc w:val="center"/>
        <w:rPr>
          <w:rFonts w:asciiTheme="majorHAnsi" w:hAnsiTheme="majorHAnsi" w:cstheme="majorHAnsi"/>
          <w:b/>
          <w:sz w:val="28"/>
          <w:szCs w:val="28"/>
          <w:u w:val="single"/>
        </w:rPr>
      </w:pPr>
    </w:p>
    <w:p w:rsidR="004D1E5D" w:rsidRDefault="004D1E5D" w:rsidP="0018262A">
      <w:pPr>
        <w:tabs>
          <w:tab w:val="left" w:pos="900"/>
        </w:tabs>
        <w:ind w:left="810"/>
        <w:jc w:val="center"/>
        <w:rPr>
          <w:rFonts w:asciiTheme="majorHAnsi" w:hAnsiTheme="majorHAnsi" w:cstheme="majorHAnsi"/>
          <w:b/>
          <w:sz w:val="28"/>
          <w:szCs w:val="28"/>
          <w:u w:val="single"/>
        </w:rPr>
      </w:pPr>
    </w:p>
    <w:p w:rsidR="004D1E5D" w:rsidRDefault="004D1E5D" w:rsidP="0018262A">
      <w:pPr>
        <w:tabs>
          <w:tab w:val="left" w:pos="900"/>
        </w:tabs>
        <w:ind w:left="810"/>
        <w:jc w:val="center"/>
        <w:rPr>
          <w:rFonts w:asciiTheme="majorHAnsi" w:hAnsiTheme="majorHAnsi" w:cstheme="majorHAnsi"/>
          <w:b/>
          <w:sz w:val="28"/>
          <w:szCs w:val="28"/>
          <w:u w:val="single"/>
        </w:rPr>
      </w:pPr>
    </w:p>
    <w:p w:rsidR="004D1E5D" w:rsidRDefault="004D1E5D" w:rsidP="0018262A">
      <w:pPr>
        <w:tabs>
          <w:tab w:val="left" w:pos="900"/>
        </w:tabs>
        <w:ind w:left="810"/>
        <w:jc w:val="center"/>
        <w:rPr>
          <w:rFonts w:asciiTheme="majorHAnsi" w:hAnsiTheme="majorHAnsi" w:cstheme="majorHAnsi"/>
          <w:b/>
          <w:sz w:val="28"/>
          <w:szCs w:val="28"/>
          <w:u w:val="single"/>
        </w:rPr>
      </w:pPr>
    </w:p>
    <w:p w:rsidR="004D1E5D" w:rsidRDefault="004D1E5D" w:rsidP="0018262A">
      <w:pPr>
        <w:tabs>
          <w:tab w:val="left" w:pos="900"/>
        </w:tabs>
        <w:ind w:left="810"/>
        <w:jc w:val="center"/>
        <w:rPr>
          <w:rFonts w:asciiTheme="majorHAnsi" w:hAnsiTheme="majorHAnsi" w:cstheme="majorHAnsi"/>
          <w:b/>
          <w:sz w:val="28"/>
          <w:szCs w:val="28"/>
          <w:u w:val="single"/>
        </w:rPr>
      </w:pPr>
    </w:p>
    <w:p w:rsidR="004D1E5D" w:rsidRDefault="004D1E5D" w:rsidP="0018262A">
      <w:pPr>
        <w:tabs>
          <w:tab w:val="left" w:pos="900"/>
        </w:tabs>
        <w:ind w:left="810"/>
        <w:jc w:val="center"/>
        <w:rPr>
          <w:rFonts w:asciiTheme="majorHAnsi" w:hAnsiTheme="majorHAnsi" w:cstheme="majorHAnsi"/>
          <w:b/>
          <w:sz w:val="28"/>
          <w:szCs w:val="28"/>
          <w:u w:val="single"/>
        </w:rPr>
      </w:pPr>
    </w:p>
    <w:p w:rsidR="004D1E5D" w:rsidRDefault="004D1E5D" w:rsidP="0018262A">
      <w:pPr>
        <w:tabs>
          <w:tab w:val="left" w:pos="900"/>
        </w:tabs>
        <w:ind w:left="810"/>
        <w:jc w:val="center"/>
        <w:rPr>
          <w:rFonts w:asciiTheme="majorHAnsi" w:hAnsiTheme="majorHAnsi" w:cstheme="majorHAnsi"/>
          <w:b/>
          <w:sz w:val="28"/>
          <w:szCs w:val="28"/>
          <w:u w:val="single"/>
        </w:rPr>
      </w:pPr>
    </w:p>
    <w:p w:rsidR="004D1E5D" w:rsidRDefault="004D1E5D" w:rsidP="0018262A">
      <w:pPr>
        <w:tabs>
          <w:tab w:val="left" w:pos="900"/>
        </w:tabs>
        <w:ind w:left="810"/>
        <w:jc w:val="center"/>
        <w:rPr>
          <w:rFonts w:asciiTheme="majorHAnsi" w:hAnsiTheme="majorHAnsi" w:cstheme="majorHAnsi"/>
          <w:b/>
          <w:sz w:val="28"/>
          <w:szCs w:val="28"/>
          <w:u w:val="single"/>
        </w:rPr>
      </w:pPr>
    </w:p>
    <w:p w:rsidR="00711572" w:rsidRDefault="00711572">
      <w:pPr>
        <w:rPr>
          <w:rFonts w:asciiTheme="majorHAnsi" w:hAnsiTheme="majorHAnsi" w:cstheme="majorHAnsi"/>
          <w:b/>
          <w:sz w:val="28"/>
          <w:szCs w:val="28"/>
          <w:u w:val="single"/>
        </w:rPr>
      </w:pPr>
      <w:r>
        <w:rPr>
          <w:rFonts w:asciiTheme="majorHAnsi" w:hAnsiTheme="majorHAnsi" w:cstheme="majorHAnsi"/>
          <w:b/>
          <w:sz w:val="28"/>
          <w:szCs w:val="28"/>
          <w:u w:val="single"/>
        </w:rPr>
        <w:br w:type="page"/>
      </w:r>
    </w:p>
    <w:p w:rsidR="004D1E5D" w:rsidRDefault="004D1E5D" w:rsidP="0018262A">
      <w:pPr>
        <w:tabs>
          <w:tab w:val="left" w:pos="900"/>
        </w:tabs>
        <w:ind w:left="810"/>
        <w:jc w:val="center"/>
        <w:rPr>
          <w:rFonts w:asciiTheme="majorHAnsi" w:hAnsiTheme="majorHAnsi" w:cstheme="majorHAnsi"/>
          <w:b/>
          <w:sz w:val="28"/>
          <w:szCs w:val="28"/>
          <w:u w:val="single"/>
        </w:rPr>
      </w:pPr>
    </w:p>
    <w:p w:rsidR="0018262A" w:rsidRDefault="0018262A" w:rsidP="0018262A">
      <w:pPr>
        <w:tabs>
          <w:tab w:val="left" w:pos="900"/>
        </w:tabs>
        <w:ind w:left="810"/>
        <w:jc w:val="center"/>
        <w:rPr>
          <w:rFonts w:asciiTheme="majorHAnsi" w:hAnsiTheme="majorHAnsi" w:cstheme="majorHAnsi"/>
          <w:b/>
          <w:sz w:val="28"/>
          <w:szCs w:val="28"/>
        </w:rPr>
      </w:pPr>
      <w:r>
        <w:rPr>
          <w:rFonts w:asciiTheme="majorHAnsi" w:hAnsiTheme="majorHAnsi" w:cstheme="majorHAnsi"/>
          <w:b/>
          <w:sz w:val="28"/>
          <w:szCs w:val="28"/>
          <w:u w:val="single"/>
        </w:rPr>
        <w:t>ADDENDUM B</w:t>
      </w:r>
      <w:r>
        <w:rPr>
          <w:rFonts w:asciiTheme="majorHAnsi" w:hAnsiTheme="majorHAnsi" w:cstheme="majorHAnsi"/>
          <w:b/>
          <w:sz w:val="28"/>
          <w:szCs w:val="28"/>
        </w:rPr>
        <w:t>: Partial Hospital Closures</w:t>
      </w:r>
    </w:p>
    <w:p w:rsidR="00383827" w:rsidRPr="00C447D4" w:rsidRDefault="00383827" w:rsidP="0018262A">
      <w:pPr>
        <w:pStyle w:val="Body"/>
        <w:spacing w:before="0"/>
        <w:rPr>
          <w:rFonts w:hAnsi="Times New Roman" w:cs="Times New Roman"/>
          <w:lang w:val="en-US"/>
        </w:rPr>
      </w:pPr>
    </w:p>
    <w:p w:rsidR="0018262A" w:rsidRPr="00C447D4" w:rsidRDefault="0018262A" w:rsidP="0018262A">
      <w:pPr>
        <w:pStyle w:val="Body"/>
        <w:spacing w:before="0"/>
        <w:rPr>
          <w:rFonts w:hAnsi="Times New Roman" w:cs="Times New Roman"/>
          <w:lang w:val="en-US"/>
        </w:rPr>
      </w:pPr>
      <w:r w:rsidRPr="00C447D4">
        <w:rPr>
          <w:rFonts w:hAnsi="Times New Roman" w:cs="Times New Roman"/>
          <w:lang w:val="en-US"/>
        </w:rPr>
        <w:t>A complete or substantial discontinuation of an essential service within a hospital also triggers the essential services review process. In 2013, the Department conducted seven hearings in response to notifications regarding the discontinuance of all, or a substantial part of, an essential service, in addition to receiving several exploratory calls from hospitals inquiring about the discontinuation process. No notifications regarding the closure of an individual service has been received in CY 2014 by DPH as of November 1, 2014.</w:t>
      </w:r>
    </w:p>
    <w:p w:rsidR="0018262A" w:rsidRPr="00C447D4" w:rsidRDefault="0018262A" w:rsidP="0018262A">
      <w:pPr>
        <w:pStyle w:val="Body"/>
        <w:spacing w:before="0"/>
        <w:rPr>
          <w:rFonts w:hAnsi="Times New Roman" w:cs="Times New Roman"/>
          <w:lang w:val="en-US"/>
        </w:rPr>
      </w:pPr>
    </w:p>
    <w:p w:rsidR="0018262A" w:rsidRPr="00C447D4" w:rsidRDefault="0018262A" w:rsidP="0018262A">
      <w:pPr>
        <w:pStyle w:val="Body"/>
        <w:spacing w:before="0"/>
        <w:rPr>
          <w:rFonts w:hAnsi="Times New Roman" w:cs="Times New Roman"/>
          <w:lang w:val="en-US"/>
        </w:rPr>
      </w:pPr>
      <w:r w:rsidRPr="00C447D4">
        <w:rPr>
          <w:rFonts w:hAnsi="Times New Roman" w:cs="Times New Roman"/>
          <w:lang w:val="en-US"/>
        </w:rPr>
        <w:t>Of the seven hearings conducted in 2013, two culminated in the complete discontinuation of the service; two resulted in complete discontinuation of the service with the implementation of mitigation action(s) by the hospital; one resulted in a change of location of the service beyond the 5 mile exemption radius; one notification was withdrawn after the hearing was conducted; and the service discontinuations at NARH were followed by bankruptcy and a complete closure of the hospital. Public participation in these various hearings varied considerably, with several devoid of public participation, while others elicited significant testimony and stakeholder input.</w:t>
      </w:r>
    </w:p>
    <w:p w:rsidR="0018262A" w:rsidRPr="00C447D4" w:rsidRDefault="0018262A" w:rsidP="0018262A">
      <w:pPr>
        <w:pStyle w:val="Body"/>
        <w:spacing w:before="0"/>
        <w:rPr>
          <w:rFonts w:hAnsi="Times New Roman" w:cs="Times New Roman"/>
          <w:lang w:val="en-US"/>
        </w:rPr>
      </w:pPr>
    </w:p>
    <w:p w:rsidR="0018262A" w:rsidRPr="00C447D4" w:rsidRDefault="0018262A" w:rsidP="0018262A">
      <w:pPr>
        <w:pStyle w:val="Subtitle"/>
        <w:spacing w:before="0"/>
        <w:rPr>
          <w:rFonts w:hAnsi="Times New Roman" w:cs="Times New Roman"/>
          <w:b/>
          <w:lang w:val="en-US"/>
        </w:rPr>
      </w:pPr>
      <w:r w:rsidRPr="00C447D4">
        <w:rPr>
          <w:rFonts w:hAnsi="Times New Roman" w:cs="Times New Roman"/>
          <w:b/>
          <w:i/>
          <w:u w:val="none"/>
          <w:lang w:val="en-US"/>
        </w:rPr>
        <w:t xml:space="preserve">Morton Hospital Pediatric Service and Brigham and Women’s Faulkner </w:t>
      </w:r>
      <w:r w:rsidR="004F1CA2">
        <w:rPr>
          <w:rFonts w:hAnsi="Times New Roman" w:cs="Times New Roman"/>
          <w:b/>
          <w:i/>
          <w:u w:val="none"/>
          <w:lang w:val="en-US"/>
        </w:rPr>
        <w:t xml:space="preserve">Hospital </w:t>
      </w:r>
      <w:r w:rsidRPr="00C447D4">
        <w:rPr>
          <w:rFonts w:hAnsi="Times New Roman" w:cs="Times New Roman"/>
          <w:b/>
          <w:i/>
          <w:u w:val="none"/>
          <w:lang w:val="en-US"/>
        </w:rPr>
        <w:t>Inpatient Substance Abuse (Discontinued Service with Mitigation)</w:t>
      </w:r>
    </w:p>
    <w:p w:rsidR="0018262A" w:rsidRPr="00C447D4" w:rsidRDefault="0018262A" w:rsidP="0018262A">
      <w:pPr>
        <w:pStyle w:val="Body"/>
        <w:spacing w:before="0"/>
        <w:rPr>
          <w:rFonts w:hAnsi="Times New Roman" w:cs="Times New Roman"/>
          <w:lang w:val="en-US"/>
        </w:rPr>
      </w:pPr>
      <w:r w:rsidRPr="00C447D4">
        <w:rPr>
          <w:rFonts w:hAnsi="Times New Roman" w:cs="Times New Roman"/>
          <w:lang w:val="en-US"/>
        </w:rPr>
        <w:t>The Department was notified of these two separate proposed discontinuations with both hospitals meeting the full 90-day legal notification requirement. Morton Hospital notified DPH on March 20, 2013 with a proposed discontinuation</w:t>
      </w:r>
      <w:r w:rsidR="006D46D2">
        <w:rPr>
          <w:rFonts w:hAnsi="Times New Roman" w:cs="Times New Roman"/>
          <w:lang w:val="en-US"/>
        </w:rPr>
        <w:t xml:space="preserve"> date</w:t>
      </w:r>
      <w:r w:rsidRPr="00C447D4">
        <w:rPr>
          <w:rFonts w:hAnsi="Times New Roman" w:cs="Times New Roman"/>
          <w:lang w:val="en-US"/>
        </w:rPr>
        <w:t xml:space="preserve"> of June 18, 201</w:t>
      </w:r>
      <w:r w:rsidR="00EB1962">
        <w:rPr>
          <w:rFonts w:hAnsi="Times New Roman" w:cs="Times New Roman"/>
          <w:lang w:val="en-US"/>
        </w:rPr>
        <w:t>3</w:t>
      </w:r>
      <w:r w:rsidRPr="00C447D4">
        <w:rPr>
          <w:rFonts w:hAnsi="Times New Roman" w:cs="Times New Roman"/>
          <w:lang w:val="en-US"/>
        </w:rPr>
        <w:t>; while Brigham and Women’s</w:t>
      </w:r>
      <w:r w:rsidR="008617FC">
        <w:rPr>
          <w:rFonts w:hAnsi="Times New Roman" w:cs="Times New Roman"/>
          <w:lang w:val="en-US"/>
        </w:rPr>
        <w:t xml:space="preserve"> </w:t>
      </w:r>
      <w:r w:rsidR="004F1CA2">
        <w:rPr>
          <w:rFonts w:hAnsi="Times New Roman" w:cs="Times New Roman"/>
          <w:lang w:val="en-US"/>
        </w:rPr>
        <w:t>Faulkner Hospital</w:t>
      </w:r>
      <w:r w:rsidRPr="00C447D4">
        <w:rPr>
          <w:rFonts w:hAnsi="Times New Roman" w:cs="Times New Roman"/>
          <w:lang w:val="en-US"/>
        </w:rPr>
        <w:t xml:space="preserve"> notified DPH on January 17, 201</w:t>
      </w:r>
      <w:r w:rsidR="00EB1962">
        <w:rPr>
          <w:rFonts w:hAnsi="Times New Roman" w:cs="Times New Roman"/>
          <w:lang w:val="en-US"/>
        </w:rPr>
        <w:t>3</w:t>
      </w:r>
      <w:r w:rsidRPr="00C447D4">
        <w:rPr>
          <w:rFonts w:hAnsi="Times New Roman" w:cs="Times New Roman"/>
          <w:lang w:val="en-US"/>
        </w:rPr>
        <w:t xml:space="preserve"> with a proposed discontinuation </w:t>
      </w:r>
      <w:r w:rsidR="006D46D2">
        <w:rPr>
          <w:rFonts w:hAnsi="Times New Roman" w:cs="Times New Roman"/>
          <w:lang w:val="en-US"/>
        </w:rPr>
        <w:t xml:space="preserve">date </w:t>
      </w:r>
      <w:r w:rsidR="004756D7">
        <w:rPr>
          <w:rFonts w:hAnsi="Times New Roman" w:cs="Times New Roman"/>
          <w:lang w:val="en-US"/>
        </w:rPr>
        <w:t xml:space="preserve">  </w:t>
      </w:r>
      <w:r w:rsidRPr="00C447D4">
        <w:rPr>
          <w:rFonts w:hAnsi="Times New Roman" w:cs="Times New Roman"/>
          <w:lang w:val="en-US"/>
        </w:rPr>
        <w:t xml:space="preserve">of April 17, 2013.  In both cases, following notification, public hearings were scheduled. Morton Hospital indicated that the closure of its pediatric service was due to declining census, </w:t>
      </w:r>
      <w:r w:rsidR="008617FC">
        <w:rPr>
          <w:rFonts w:hAnsi="Times New Roman" w:cs="Times New Roman"/>
          <w:lang w:val="en-US"/>
        </w:rPr>
        <w:t>a common theme heard nationally across other pediatric services</w:t>
      </w:r>
      <w:r w:rsidR="008617FC">
        <w:rPr>
          <w:rStyle w:val="FootnoteReference"/>
          <w:rFonts w:hAnsi="Times New Roman" w:cs="Times New Roman"/>
          <w:lang w:val="en-US"/>
        </w:rPr>
        <w:footnoteReference w:id="14"/>
      </w:r>
      <w:r w:rsidR="008617FC">
        <w:rPr>
          <w:rFonts w:hAnsi="Times New Roman" w:cs="Times New Roman"/>
          <w:lang w:val="en-US"/>
        </w:rPr>
        <w:t xml:space="preserve">, </w:t>
      </w:r>
      <w:r w:rsidRPr="00C447D4">
        <w:rPr>
          <w:rFonts w:hAnsi="Times New Roman" w:cs="Times New Roman"/>
          <w:lang w:val="en-US"/>
        </w:rPr>
        <w:t>resulting in a loss of experienced pediatric nurses. Brigham and Women’s</w:t>
      </w:r>
      <w:r w:rsidR="008617FC">
        <w:rPr>
          <w:rFonts w:hAnsi="Times New Roman" w:cs="Times New Roman"/>
          <w:lang w:val="en-US"/>
        </w:rPr>
        <w:t xml:space="preserve"> </w:t>
      </w:r>
      <w:r w:rsidR="004F1CA2">
        <w:rPr>
          <w:rFonts w:hAnsi="Times New Roman" w:cs="Times New Roman"/>
          <w:lang w:val="en-US"/>
        </w:rPr>
        <w:t>Faulkner Hospital</w:t>
      </w:r>
      <w:r w:rsidRPr="00C447D4">
        <w:rPr>
          <w:rFonts w:hAnsi="Times New Roman" w:cs="Times New Roman"/>
          <w:lang w:val="en-US"/>
        </w:rPr>
        <w:t xml:space="preserve"> indicated that it believed its substance abuse patients would be better served in a medical/surgical unit rather than within a separate substance abuse </w:t>
      </w:r>
      <w:r w:rsidR="00EB1962">
        <w:rPr>
          <w:rFonts w:hAnsi="Times New Roman" w:cs="Times New Roman"/>
          <w:lang w:val="en-US"/>
        </w:rPr>
        <w:t>unit</w:t>
      </w:r>
      <w:r w:rsidRPr="00C447D4">
        <w:rPr>
          <w:rFonts w:hAnsi="Times New Roman" w:cs="Times New Roman"/>
          <w:lang w:val="en-US"/>
        </w:rPr>
        <w:t>. Both of these hearings resulted in significant public participation in opposition to these proposed service discontinuations, ranging from former and current patients, the behavioral health community, elected officials, and community stakeholders.</w:t>
      </w:r>
    </w:p>
    <w:p w:rsidR="0018262A" w:rsidRPr="00C447D4" w:rsidRDefault="0018262A" w:rsidP="0018262A">
      <w:pPr>
        <w:pStyle w:val="Body"/>
        <w:spacing w:before="0"/>
        <w:rPr>
          <w:rFonts w:hAnsi="Times New Roman" w:cs="Times New Roman"/>
          <w:lang w:val="en-US"/>
        </w:rPr>
      </w:pPr>
    </w:p>
    <w:p w:rsidR="0018262A" w:rsidRPr="00C447D4" w:rsidRDefault="0018262A" w:rsidP="0018262A">
      <w:pPr>
        <w:pStyle w:val="Body"/>
        <w:spacing w:before="0"/>
        <w:rPr>
          <w:rFonts w:hAnsi="Times New Roman" w:cs="Times New Roman"/>
          <w:lang w:val="en-US"/>
        </w:rPr>
      </w:pPr>
      <w:r w:rsidRPr="00C447D4">
        <w:rPr>
          <w:rFonts w:hAnsi="Times New Roman" w:cs="Times New Roman"/>
          <w:lang w:val="en-US"/>
        </w:rPr>
        <w:t xml:space="preserve">Due to public opposition to the Morton closing, the </w:t>
      </w:r>
      <w:r w:rsidR="00B4279C">
        <w:rPr>
          <w:rFonts w:hAnsi="Times New Roman" w:cs="Times New Roman"/>
          <w:lang w:val="en-US"/>
        </w:rPr>
        <w:t>H</w:t>
      </w:r>
      <w:r w:rsidRPr="00C447D4">
        <w:rPr>
          <w:rFonts w:hAnsi="Times New Roman" w:cs="Times New Roman"/>
          <w:lang w:val="en-US"/>
        </w:rPr>
        <w:t xml:space="preserve">ospital proposed the development of </w:t>
      </w:r>
      <w:r w:rsidR="00B4279C">
        <w:rPr>
          <w:rFonts w:hAnsi="Times New Roman" w:cs="Times New Roman"/>
          <w:lang w:val="en-US"/>
        </w:rPr>
        <w:t>four</w:t>
      </w:r>
      <w:r w:rsidRPr="00C447D4">
        <w:rPr>
          <w:rFonts w:hAnsi="Times New Roman" w:cs="Times New Roman"/>
          <w:lang w:val="en-US"/>
        </w:rPr>
        <w:t xml:space="preserve"> observation beds for pediatric patients presenting to its emergency department who did not require an acute hospital admission, but would benefit from extended monitoring. Following a consensus proposal emanating from the City of Boston and concerned stakeholders, Brigham and Women’s </w:t>
      </w:r>
      <w:r w:rsidR="00EB1962">
        <w:rPr>
          <w:rFonts w:hAnsi="Times New Roman" w:cs="Times New Roman"/>
          <w:lang w:val="en-US"/>
        </w:rPr>
        <w:t xml:space="preserve">Faulkner Hospital </w:t>
      </w:r>
      <w:r w:rsidRPr="00C447D4">
        <w:rPr>
          <w:rFonts w:hAnsi="Times New Roman" w:cs="Times New Roman"/>
          <w:lang w:val="en-US"/>
        </w:rPr>
        <w:t xml:space="preserve">agreed that </w:t>
      </w:r>
      <w:r w:rsidR="00B4279C">
        <w:rPr>
          <w:rFonts w:hAnsi="Times New Roman" w:cs="Times New Roman"/>
          <w:lang w:val="en-US"/>
        </w:rPr>
        <w:t>nine</w:t>
      </w:r>
      <w:r w:rsidRPr="00C447D4">
        <w:rPr>
          <w:rFonts w:hAnsi="Times New Roman" w:cs="Times New Roman"/>
          <w:lang w:val="en-US"/>
        </w:rPr>
        <w:t xml:space="preserve"> beds in one of its medical/surgical units would be dedicated to the treatment of substance abuse patients with ongoing monitoring by the Department.</w:t>
      </w:r>
    </w:p>
    <w:p w:rsidR="0018262A" w:rsidRPr="00C447D4" w:rsidRDefault="0018262A" w:rsidP="0018262A">
      <w:pPr>
        <w:pStyle w:val="Body"/>
        <w:spacing w:before="0"/>
        <w:rPr>
          <w:rFonts w:hAnsi="Times New Roman" w:cs="Times New Roman"/>
          <w:lang w:val="en-US"/>
        </w:rPr>
      </w:pPr>
    </w:p>
    <w:p w:rsidR="0018262A" w:rsidRPr="00C447D4" w:rsidRDefault="0018262A" w:rsidP="0018262A">
      <w:pPr>
        <w:pStyle w:val="Body"/>
        <w:spacing w:before="0"/>
        <w:rPr>
          <w:rFonts w:hAnsi="Times New Roman" w:cs="Times New Roman"/>
          <w:lang w:val="en-US"/>
        </w:rPr>
      </w:pPr>
      <w:r w:rsidRPr="00C447D4">
        <w:rPr>
          <w:rFonts w:hAnsi="Times New Roman" w:cs="Times New Roman"/>
          <w:u w:val="single"/>
          <w:lang w:val="en-US"/>
        </w:rPr>
        <w:t>Application of State Determination Process</w:t>
      </w:r>
      <w:r w:rsidRPr="00C447D4">
        <w:rPr>
          <w:rFonts w:hAnsi="Times New Roman" w:cs="Times New Roman"/>
          <w:lang w:val="en-US"/>
        </w:rPr>
        <w:t xml:space="preserve">: While not required under DPH’s regulations, it should be noted that in both cases, the hospitals did not notify local elected officials and community leadership prior to submission of proposals to DPH. Additionally, submissions of proposals followed media stories regarding the anticipated closures. However, following the formal submission, both hospitals </w:t>
      </w:r>
      <w:r w:rsidR="009E4F97">
        <w:rPr>
          <w:rFonts w:hAnsi="Times New Roman" w:cs="Times New Roman"/>
          <w:lang w:val="en-US"/>
        </w:rPr>
        <w:t xml:space="preserve">fully </w:t>
      </w:r>
      <w:r w:rsidRPr="00C447D4">
        <w:rPr>
          <w:rFonts w:hAnsi="Times New Roman" w:cs="Times New Roman"/>
          <w:lang w:val="en-US"/>
        </w:rPr>
        <w:t>cooperat</w:t>
      </w:r>
      <w:r w:rsidR="00EB1962">
        <w:rPr>
          <w:rFonts w:hAnsi="Times New Roman" w:cs="Times New Roman"/>
          <w:lang w:val="en-US"/>
        </w:rPr>
        <w:t>ed</w:t>
      </w:r>
      <w:r w:rsidRPr="00C447D4">
        <w:rPr>
          <w:rFonts w:hAnsi="Times New Roman" w:cs="Times New Roman"/>
          <w:lang w:val="en-US"/>
        </w:rPr>
        <w:t xml:space="preserve"> and complied </w:t>
      </w:r>
      <w:r w:rsidR="003841DF">
        <w:rPr>
          <w:rFonts w:hAnsi="Times New Roman" w:cs="Times New Roman"/>
          <w:lang w:val="en-US"/>
        </w:rPr>
        <w:t>w</w:t>
      </w:r>
      <w:r w:rsidRPr="00C447D4">
        <w:rPr>
          <w:rFonts w:hAnsi="Times New Roman" w:cs="Times New Roman"/>
          <w:lang w:val="en-US"/>
        </w:rPr>
        <w:t xml:space="preserve">ith the essential services process. At this time, DPH had not begun work on </w:t>
      </w:r>
      <w:r w:rsidR="00EB1962">
        <w:rPr>
          <w:rFonts w:hAnsi="Times New Roman" w:cs="Times New Roman"/>
          <w:lang w:val="en-US"/>
        </w:rPr>
        <w:t xml:space="preserve">its </w:t>
      </w:r>
      <w:r w:rsidRPr="00C447D4">
        <w:rPr>
          <w:rFonts w:hAnsi="Times New Roman" w:cs="Times New Roman"/>
          <w:lang w:val="en-US"/>
        </w:rPr>
        <w:t xml:space="preserve">behavioral health state </w:t>
      </w:r>
      <w:r w:rsidR="00EB1962">
        <w:rPr>
          <w:rFonts w:hAnsi="Times New Roman" w:cs="Times New Roman"/>
          <w:lang w:val="en-US"/>
        </w:rPr>
        <w:t>health plan</w:t>
      </w:r>
      <w:r w:rsidRPr="00C447D4">
        <w:rPr>
          <w:rFonts w:hAnsi="Times New Roman" w:cs="Times New Roman"/>
          <w:lang w:val="en-US"/>
        </w:rPr>
        <w:t xml:space="preserve">. As a </w:t>
      </w:r>
      <w:r w:rsidRPr="00C447D4">
        <w:rPr>
          <w:rFonts w:hAnsi="Times New Roman" w:cs="Times New Roman"/>
          <w:lang w:val="en-US"/>
        </w:rPr>
        <w:lastRenderedPageBreak/>
        <w:t>result, DPH was unable to definitively point to community-specific shortages beyond demonstrating impact on total statewide bed count, general market assumptions, and clear individual examples. Ultimately, public pressure applied through the hearing process, rather than any formal authority granted to the Department, allowed the state to negotiate a more appropriate reduction of services in both cases.</w:t>
      </w:r>
    </w:p>
    <w:p w:rsidR="0018262A" w:rsidRPr="00C447D4" w:rsidRDefault="0018262A" w:rsidP="0018262A">
      <w:pPr>
        <w:pStyle w:val="Body"/>
        <w:spacing w:before="0"/>
        <w:rPr>
          <w:rFonts w:hAnsi="Times New Roman" w:cs="Times New Roman"/>
          <w:lang w:val="en-US"/>
        </w:rPr>
      </w:pPr>
    </w:p>
    <w:p w:rsidR="0018262A" w:rsidRPr="00C447D4" w:rsidRDefault="0018262A" w:rsidP="0018262A">
      <w:pPr>
        <w:pStyle w:val="Subtitle"/>
        <w:spacing w:before="0"/>
        <w:rPr>
          <w:rFonts w:hAnsi="Times New Roman" w:cs="Times New Roman"/>
          <w:b/>
          <w:i/>
          <w:u w:val="none"/>
          <w:lang w:val="en-US"/>
        </w:rPr>
      </w:pPr>
      <w:r w:rsidRPr="00C447D4">
        <w:rPr>
          <w:rFonts w:hAnsi="Times New Roman" w:cs="Times New Roman"/>
          <w:b/>
          <w:i/>
          <w:u w:val="none"/>
          <w:lang w:val="en-US"/>
        </w:rPr>
        <w:t>New England Sinai (Tufts Campus) and Quincy Medical Center Partial Hospitalization Program (Discontinued Service)</w:t>
      </w:r>
    </w:p>
    <w:p w:rsidR="00DC1ADD" w:rsidRPr="00C447D4" w:rsidRDefault="00DC1ADD" w:rsidP="00DC1ADD">
      <w:pPr>
        <w:pStyle w:val="Body"/>
        <w:spacing w:before="0"/>
        <w:rPr>
          <w:rFonts w:hAnsi="Times New Roman" w:cs="Times New Roman"/>
          <w:lang w:val="en-US"/>
        </w:rPr>
      </w:pPr>
      <w:r w:rsidRPr="00C447D4">
        <w:rPr>
          <w:rFonts w:hAnsi="Times New Roman" w:cs="Times New Roman"/>
          <w:lang w:val="en-US"/>
        </w:rPr>
        <w:t>The Department was appropriately notified of both of these proposed discontinuations and subsequently schedul</w:t>
      </w:r>
      <w:r w:rsidR="00EB1962">
        <w:rPr>
          <w:rFonts w:hAnsi="Times New Roman" w:cs="Times New Roman"/>
          <w:lang w:val="en-US"/>
        </w:rPr>
        <w:t>ed</w:t>
      </w:r>
      <w:r w:rsidRPr="00C447D4">
        <w:rPr>
          <w:rFonts w:hAnsi="Times New Roman" w:cs="Times New Roman"/>
          <w:lang w:val="en-US"/>
        </w:rPr>
        <w:t xml:space="preserve"> closure hearings. </w:t>
      </w:r>
    </w:p>
    <w:p w:rsidR="00DC1ADD" w:rsidRPr="00C447D4" w:rsidRDefault="00DC1ADD" w:rsidP="00DC1ADD">
      <w:pPr>
        <w:pStyle w:val="Body"/>
        <w:spacing w:before="0"/>
        <w:rPr>
          <w:rFonts w:hAnsi="Times New Roman" w:cs="Times New Roman"/>
          <w:lang w:val="en-US"/>
        </w:rPr>
      </w:pPr>
    </w:p>
    <w:p w:rsidR="00DC1ADD" w:rsidRPr="00C447D4" w:rsidRDefault="00DC1ADD" w:rsidP="00DC1ADD">
      <w:pPr>
        <w:pStyle w:val="Body"/>
        <w:spacing w:before="0"/>
        <w:rPr>
          <w:rFonts w:hAnsi="Times New Roman" w:cs="Times New Roman"/>
          <w:lang w:val="en-US"/>
        </w:rPr>
      </w:pPr>
      <w:r w:rsidRPr="00C447D4">
        <w:rPr>
          <w:rFonts w:hAnsi="Times New Roman" w:cs="Times New Roman"/>
          <w:lang w:val="en-US"/>
        </w:rPr>
        <w:t>New England Sinai notified DPH September 23, 2013</w:t>
      </w:r>
      <w:r>
        <w:rPr>
          <w:rFonts w:hAnsi="Times New Roman" w:cs="Times New Roman"/>
          <w:lang w:val="en-US"/>
        </w:rPr>
        <w:t xml:space="preserve"> of its intention to close beds</w:t>
      </w:r>
      <w:r w:rsidRPr="00C447D4">
        <w:rPr>
          <w:rFonts w:hAnsi="Times New Roman" w:cs="Times New Roman"/>
          <w:lang w:val="en-US"/>
        </w:rPr>
        <w:t xml:space="preserve"> with a proposed closure date of December 23, 2013. The closure of its beds at Tufts was purportedly triggered by changes to federal reimbursement rules capping the percentage of patients that could be admitted to a chronic care hospital located at an acute hospital. </w:t>
      </w:r>
    </w:p>
    <w:p w:rsidR="00DC1ADD" w:rsidRPr="00C447D4" w:rsidRDefault="00DC1ADD" w:rsidP="00DC1ADD">
      <w:pPr>
        <w:pStyle w:val="Body"/>
        <w:spacing w:before="0"/>
        <w:rPr>
          <w:rFonts w:hAnsi="Times New Roman" w:cs="Times New Roman"/>
          <w:lang w:val="en-US"/>
        </w:rPr>
      </w:pPr>
    </w:p>
    <w:p w:rsidR="00DC1ADD" w:rsidRPr="00C447D4" w:rsidRDefault="00DC1ADD" w:rsidP="00DC1ADD">
      <w:pPr>
        <w:pStyle w:val="Body"/>
        <w:spacing w:before="0"/>
        <w:rPr>
          <w:rFonts w:hAnsi="Times New Roman" w:cs="Times New Roman"/>
          <w:lang w:val="en-US"/>
        </w:rPr>
      </w:pPr>
      <w:r w:rsidRPr="00C447D4">
        <w:rPr>
          <w:rFonts w:hAnsi="Times New Roman" w:cs="Times New Roman"/>
          <w:lang w:val="en-US"/>
        </w:rPr>
        <w:t>During the same period, Quincy Medical Center notified DPH on September 13, 2013</w:t>
      </w:r>
      <w:r>
        <w:rPr>
          <w:rFonts w:hAnsi="Times New Roman" w:cs="Times New Roman"/>
          <w:lang w:val="en-US"/>
        </w:rPr>
        <w:t xml:space="preserve"> of its intention to close its partial hospitalization program</w:t>
      </w:r>
      <w:r w:rsidRPr="00C447D4">
        <w:rPr>
          <w:rFonts w:hAnsi="Times New Roman" w:cs="Times New Roman"/>
          <w:lang w:val="en-US"/>
        </w:rPr>
        <w:t xml:space="preserve"> with a propose</w:t>
      </w:r>
      <w:r>
        <w:rPr>
          <w:rFonts w:hAnsi="Times New Roman" w:cs="Times New Roman"/>
          <w:lang w:val="en-US"/>
        </w:rPr>
        <w:t>d</w:t>
      </w:r>
      <w:r w:rsidRPr="00C447D4">
        <w:rPr>
          <w:rFonts w:hAnsi="Times New Roman" w:cs="Times New Roman"/>
          <w:lang w:val="en-US"/>
        </w:rPr>
        <w:t xml:space="preserve"> closure date of December 15, 2013. DPH understood that Quincy Medical Center’s closure of its partial hospitalization program was triggered by a declining census. There was no public input at either hearing, and the closures proceeded without the need for the </w:t>
      </w:r>
      <w:r w:rsidR="00B4279C">
        <w:rPr>
          <w:rFonts w:hAnsi="Times New Roman" w:cs="Times New Roman"/>
          <w:lang w:val="en-US"/>
        </w:rPr>
        <w:t>H</w:t>
      </w:r>
      <w:r w:rsidRPr="00C447D4">
        <w:rPr>
          <w:rFonts w:hAnsi="Times New Roman" w:cs="Times New Roman"/>
          <w:lang w:val="en-US"/>
        </w:rPr>
        <w:t>ospital to plan to ensure access.</w:t>
      </w:r>
    </w:p>
    <w:p w:rsidR="0018262A" w:rsidRPr="00C447D4" w:rsidRDefault="0018262A" w:rsidP="0018262A">
      <w:pPr>
        <w:pStyle w:val="Body"/>
        <w:spacing w:before="0"/>
        <w:rPr>
          <w:rFonts w:hAnsi="Times New Roman" w:cs="Times New Roman"/>
          <w:lang w:val="en-US"/>
        </w:rPr>
      </w:pPr>
    </w:p>
    <w:p w:rsidR="0018262A" w:rsidRPr="00C447D4" w:rsidRDefault="0018262A" w:rsidP="0018262A">
      <w:pPr>
        <w:pStyle w:val="Body"/>
        <w:spacing w:before="0"/>
        <w:rPr>
          <w:rFonts w:hAnsi="Times New Roman" w:cs="Times New Roman"/>
          <w:lang w:val="en-US"/>
        </w:rPr>
      </w:pPr>
      <w:r w:rsidRPr="00C447D4">
        <w:rPr>
          <w:rFonts w:hAnsi="Times New Roman" w:cs="Times New Roman"/>
          <w:u w:val="single"/>
          <w:lang w:val="en-US"/>
        </w:rPr>
        <w:t>Application of State Determination Process</w:t>
      </w:r>
      <w:r w:rsidRPr="00C447D4">
        <w:rPr>
          <w:rFonts w:hAnsi="Times New Roman" w:cs="Times New Roman"/>
          <w:lang w:val="en-US"/>
        </w:rPr>
        <w:t xml:space="preserve">: The process was followed with no notable stakeholder concern or feedback. While there remains continued limitations of health needs data, this closure was closely monitored and completed without incident. </w:t>
      </w:r>
    </w:p>
    <w:p w:rsidR="0018262A" w:rsidRPr="00C447D4" w:rsidRDefault="0018262A" w:rsidP="0018262A">
      <w:pPr>
        <w:pStyle w:val="Body"/>
        <w:spacing w:before="0"/>
        <w:rPr>
          <w:rFonts w:hAnsi="Times New Roman" w:cs="Times New Roman"/>
          <w:lang w:val="en-US"/>
        </w:rPr>
      </w:pPr>
    </w:p>
    <w:p w:rsidR="0018262A" w:rsidRPr="00C447D4" w:rsidRDefault="0018262A" w:rsidP="0018262A">
      <w:pPr>
        <w:pStyle w:val="Subtitle"/>
        <w:spacing w:before="0"/>
        <w:rPr>
          <w:rFonts w:hAnsi="Times New Roman" w:cs="Times New Roman"/>
          <w:b/>
          <w:i/>
          <w:u w:val="none"/>
          <w:lang w:val="en-US"/>
        </w:rPr>
      </w:pPr>
      <w:r w:rsidRPr="00C447D4">
        <w:rPr>
          <w:rFonts w:hAnsi="Times New Roman" w:cs="Times New Roman"/>
          <w:b/>
          <w:i/>
          <w:u w:val="none"/>
          <w:lang w:val="en-US"/>
        </w:rPr>
        <w:t>McLean Hospital Satellite in Brockton (Change of Location)</w:t>
      </w:r>
    </w:p>
    <w:p w:rsidR="0018262A" w:rsidRPr="00C447D4" w:rsidRDefault="0018262A" w:rsidP="0018262A">
      <w:pPr>
        <w:pStyle w:val="Body"/>
        <w:spacing w:before="0"/>
        <w:rPr>
          <w:rFonts w:hAnsi="Times New Roman" w:cs="Times New Roman"/>
          <w:lang w:val="en-US"/>
        </w:rPr>
      </w:pPr>
      <w:r w:rsidRPr="00C447D4">
        <w:rPr>
          <w:rFonts w:hAnsi="Times New Roman" w:cs="Times New Roman"/>
          <w:lang w:val="en-US"/>
        </w:rPr>
        <w:t>The Department was appropriately notified on September 20, 2013 that due to growing space requirements of the Veterans Administration’s Brockton facility, McLean would have to relocate its Brockton satellite to Middleboro, MA. Because these inpatient psychiatric beds were moving out of the 5 mile radius exemption zone, a public hearing was scheduled and subsequently held. There was no public input at the hearing, and the change in location proceeded without the need for the hospital to plan to ensure access.</w:t>
      </w:r>
    </w:p>
    <w:p w:rsidR="0018262A" w:rsidRPr="00C447D4" w:rsidRDefault="0018262A" w:rsidP="0018262A">
      <w:pPr>
        <w:pStyle w:val="Body"/>
        <w:spacing w:before="0"/>
        <w:rPr>
          <w:rFonts w:hAnsi="Times New Roman" w:cs="Times New Roman"/>
          <w:lang w:val="en-US"/>
        </w:rPr>
      </w:pPr>
    </w:p>
    <w:p w:rsidR="0018262A" w:rsidRPr="00C447D4" w:rsidRDefault="0018262A" w:rsidP="0018262A">
      <w:pPr>
        <w:pStyle w:val="Body"/>
        <w:spacing w:before="0"/>
        <w:rPr>
          <w:rFonts w:hAnsi="Times New Roman" w:cs="Times New Roman"/>
          <w:lang w:val="en-US"/>
        </w:rPr>
      </w:pPr>
      <w:r w:rsidRPr="00C447D4">
        <w:rPr>
          <w:rFonts w:hAnsi="Times New Roman" w:cs="Times New Roman"/>
          <w:u w:val="single"/>
          <w:lang w:val="en-US"/>
        </w:rPr>
        <w:t>Application of State Determination Process</w:t>
      </w:r>
      <w:r w:rsidRPr="00C447D4">
        <w:rPr>
          <w:rFonts w:hAnsi="Times New Roman" w:cs="Times New Roman"/>
          <w:lang w:val="en-US"/>
        </w:rPr>
        <w:t xml:space="preserve">: The process was followed, with no notable stakeholder concern or feedback. While there remains a continued limitation of health needs data, specifically for that local community, the location change was monitored and completed without incident. </w:t>
      </w:r>
    </w:p>
    <w:p w:rsidR="0018262A" w:rsidRPr="00C447D4" w:rsidRDefault="0018262A" w:rsidP="0018262A">
      <w:pPr>
        <w:pStyle w:val="Body"/>
        <w:spacing w:before="0"/>
        <w:rPr>
          <w:rFonts w:hAnsi="Times New Roman" w:cs="Times New Roman"/>
          <w:lang w:val="en-US"/>
        </w:rPr>
      </w:pPr>
    </w:p>
    <w:p w:rsidR="0018262A" w:rsidRPr="00C447D4" w:rsidRDefault="0018262A" w:rsidP="0018262A">
      <w:pPr>
        <w:pStyle w:val="Subtitle"/>
        <w:spacing w:before="0"/>
        <w:rPr>
          <w:rFonts w:hAnsi="Times New Roman" w:cs="Times New Roman"/>
          <w:b/>
          <w:i/>
          <w:u w:val="none"/>
          <w:lang w:val="en-US"/>
        </w:rPr>
      </w:pPr>
      <w:r w:rsidRPr="00C447D4">
        <w:rPr>
          <w:rFonts w:hAnsi="Times New Roman" w:cs="Times New Roman"/>
          <w:b/>
          <w:i/>
          <w:u w:val="none"/>
          <w:lang w:val="en-US"/>
        </w:rPr>
        <w:t>Cambridge Health Alliance (Withdrawal)</w:t>
      </w:r>
    </w:p>
    <w:p w:rsidR="0018262A" w:rsidRPr="00C447D4" w:rsidRDefault="0018262A" w:rsidP="0018262A">
      <w:pPr>
        <w:pStyle w:val="Body"/>
        <w:spacing w:before="0"/>
        <w:rPr>
          <w:rFonts w:hAnsi="Times New Roman" w:cs="Times New Roman"/>
          <w:lang w:val="en-US"/>
        </w:rPr>
      </w:pPr>
      <w:r w:rsidRPr="00C447D4">
        <w:rPr>
          <w:rFonts w:hAnsi="Times New Roman" w:cs="Times New Roman"/>
          <w:lang w:val="en-US"/>
        </w:rPr>
        <w:t xml:space="preserve">The Department was appropriately notified on April 3, 2013 by Cambridge Health Alliance (CHA) of a planned change in its inpatient psychiatric services for children and adolescents.  Under the CHA plan, two separate units – or a total of 27 beds – would be replaced by a single 16-bed unit for children ages 8 to 18.  </w:t>
      </w:r>
    </w:p>
    <w:p w:rsidR="0018262A" w:rsidRPr="00C447D4" w:rsidRDefault="0018262A" w:rsidP="0018262A">
      <w:pPr>
        <w:pStyle w:val="Body"/>
        <w:spacing w:before="0"/>
        <w:rPr>
          <w:rFonts w:hAnsi="Times New Roman" w:cs="Times New Roman"/>
          <w:lang w:val="en-US"/>
        </w:rPr>
      </w:pPr>
    </w:p>
    <w:p w:rsidR="0018262A" w:rsidRPr="00C447D4" w:rsidRDefault="0018262A" w:rsidP="0018262A">
      <w:pPr>
        <w:pStyle w:val="Body"/>
        <w:spacing w:before="0"/>
        <w:rPr>
          <w:rFonts w:hAnsi="Times New Roman" w:cs="Times New Roman"/>
          <w:lang w:val="en-US"/>
        </w:rPr>
      </w:pPr>
      <w:r w:rsidRPr="00C447D4">
        <w:rPr>
          <w:rFonts w:hAnsi="Times New Roman" w:cs="Times New Roman"/>
          <w:lang w:val="en-US"/>
        </w:rPr>
        <w:t>The Department considered this change a substantial reduction impacting critical behavioral health statewide bed capacity, and subsequently scheduled a hearing. During the hearing process, the Department received a significant volume of testimony objecting to the reduction of this service. Following substantial opposition from families of patients, behavioral health advocates, and community leaders, including a number of legislators, CHA withdrew its plan to alter and reduce this service capacity.</w:t>
      </w:r>
    </w:p>
    <w:p w:rsidR="0018262A" w:rsidRPr="00C447D4" w:rsidRDefault="0018262A" w:rsidP="0018262A">
      <w:pPr>
        <w:pStyle w:val="Body"/>
        <w:spacing w:before="0"/>
        <w:rPr>
          <w:rFonts w:hAnsi="Times New Roman" w:cs="Times New Roman"/>
          <w:lang w:val="en-US"/>
        </w:rPr>
      </w:pPr>
    </w:p>
    <w:p w:rsidR="0018262A" w:rsidRDefault="0018262A" w:rsidP="0018262A">
      <w:pPr>
        <w:pStyle w:val="Body"/>
        <w:spacing w:before="0"/>
        <w:rPr>
          <w:rFonts w:hAnsi="Times New Roman" w:cs="Times New Roman"/>
          <w:lang w:val="en-US"/>
        </w:rPr>
      </w:pPr>
      <w:r w:rsidRPr="00C447D4">
        <w:rPr>
          <w:rFonts w:hAnsi="Times New Roman" w:cs="Times New Roman"/>
          <w:u w:val="single"/>
          <w:lang w:val="en-US"/>
        </w:rPr>
        <w:t>Application of State Determination Process</w:t>
      </w:r>
      <w:r w:rsidRPr="00C447D4">
        <w:rPr>
          <w:rFonts w:hAnsi="Times New Roman" w:cs="Times New Roman"/>
          <w:lang w:val="en-US"/>
        </w:rPr>
        <w:t xml:space="preserve">: </w:t>
      </w:r>
      <w:r w:rsidR="00EB1962">
        <w:rPr>
          <w:rFonts w:hAnsi="Times New Roman" w:cs="Times New Roman"/>
          <w:lang w:val="en-US"/>
        </w:rPr>
        <w:t>T</w:t>
      </w:r>
      <w:r w:rsidRPr="00C447D4">
        <w:rPr>
          <w:rFonts w:hAnsi="Times New Roman" w:cs="Times New Roman"/>
          <w:lang w:val="en-US"/>
        </w:rPr>
        <w:t xml:space="preserve">he </w:t>
      </w:r>
      <w:r w:rsidR="00B4279C">
        <w:rPr>
          <w:rFonts w:hAnsi="Times New Roman" w:cs="Times New Roman"/>
          <w:lang w:val="en-US"/>
        </w:rPr>
        <w:t>H</w:t>
      </w:r>
      <w:r w:rsidRPr="00C447D4">
        <w:rPr>
          <w:rFonts w:hAnsi="Times New Roman" w:cs="Times New Roman"/>
          <w:lang w:val="en-US"/>
        </w:rPr>
        <w:t xml:space="preserve">ospital did not notify local elected officials and community leadership prior to submission of proposals to DPH. Additionally, submission of this proposal followed media stories regarding the anticipated closure. However, following the formal submission, the hospital was </w:t>
      </w:r>
      <w:r w:rsidR="00EB1962">
        <w:rPr>
          <w:rFonts w:hAnsi="Times New Roman" w:cs="Times New Roman"/>
          <w:lang w:val="en-US"/>
        </w:rPr>
        <w:t xml:space="preserve">fully cooperated and complied with </w:t>
      </w:r>
      <w:r w:rsidRPr="00C447D4">
        <w:rPr>
          <w:rFonts w:hAnsi="Times New Roman" w:cs="Times New Roman"/>
          <w:lang w:val="en-US"/>
        </w:rPr>
        <w:t xml:space="preserve">the essential services process. Ultimately, public pressure applied through the hearing process, rather than any formal authority granted to the Department, stopped the continuation of this proposed service reduction. </w:t>
      </w:r>
    </w:p>
    <w:p w:rsidR="00383827" w:rsidRDefault="00383827" w:rsidP="0018262A">
      <w:pPr>
        <w:pStyle w:val="Body"/>
        <w:spacing w:before="0"/>
        <w:rPr>
          <w:rFonts w:hAnsi="Times New Roman" w:cs="Times New Roman"/>
          <w:lang w:val="en-US"/>
        </w:rPr>
      </w:pPr>
    </w:p>
    <w:tbl>
      <w:tblPr>
        <w:tblStyle w:val="MediumGrid3-Accent3"/>
        <w:tblW w:w="11478" w:type="dxa"/>
        <w:tblLook w:val="04A0" w:firstRow="1" w:lastRow="0" w:firstColumn="1" w:lastColumn="0" w:noHBand="0" w:noVBand="1"/>
      </w:tblPr>
      <w:tblGrid>
        <w:gridCol w:w="1672"/>
        <w:gridCol w:w="1817"/>
        <w:gridCol w:w="1946"/>
        <w:gridCol w:w="1356"/>
        <w:gridCol w:w="1270"/>
        <w:gridCol w:w="1471"/>
        <w:gridCol w:w="1946"/>
      </w:tblGrid>
      <w:tr w:rsidR="002920BF" w:rsidRPr="00EB23A2" w:rsidTr="002920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rsidR="002920BF" w:rsidRPr="00EB23A2" w:rsidRDefault="002920BF" w:rsidP="0016168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Theme="majorHAnsi" w:hAnsiTheme="majorHAnsi" w:cstheme="majorHAnsi"/>
                <w:lang w:val="en-US"/>
              </w:rPr>
            </w:pPr>
            <w:r w:rsidRPr="00EB23A2">
              <w:rPr>
                <w:rFonts w:asciiTheme="majorHAnsi" w:hAnsiTheme="majorHAnsi" w:cstheme="majorHAnsi"/>
                <w:lang w:val="en-US"/>
              </w:rPr>
              <w:t>Hospital Name</w:t>
            </w:r>
          </w:p>
        </w:tc>
        <w:tc>
          <w:tcPr>
            <w:tcW w:w="1680" w:type="dxa"/>
          </w:tcPr>
          <w:p w:rsidR="002920BF" w:rsidRPr="00EB23A2" w:rsidRDefault="002920BF" w:rsidP="0016168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en-US"/>
              </w:rPr>
            </w:pPr>
            <w:r w:rsidRPr="00EB23A2">
              <w:rPr>
                <w:rFonts w:asciiTheme="majorHAnsi" w:hAnsiTheme="majorHAnsi" w:cstheme="majorHAnsi"/>
                <w:lang w:val="en-US"/>
              </w:rPr>
              <w:t>Service Closed</w:t>
            </w:r>
          </w:p>
        </w:tc>
        <w:tc>
          <w:tcPr>
            <w:tcW w:w="1801" w:type="dxa"/>
          </w:tcPr>
          <w:p w:rsidR="002920BF" w:rsidRPr="00EB23A2" w:rsidRDefault="002920BF" w:rsidP="0016168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en-US"/>
              </w:rPr>
            </w:pPr>
            <w:r>
              <w:rPr>
                <w:rFonts w:asciiTheme="majorHAnsi" w:hAnsiTheme="majorHAnsi" w:cstheme="majorHAnsi"/>
                <w:lang w:val="en-US"/>
              </w:rPr>
              <w:t>Cited</w:t>
            </w:r>
            <w:r w:rsidRPr="00EB23A2">
              <w:rPr>
                <w:rFonts w:asciiTheme="majorHAnsi" w:hAnsiTheme="majorHAnsi" w:cstheme="majorHAnsi"/>
                <w:lang w:val="en-US"/>
              </w:rPr>
              <w:t xml:space="preserve"> </w:t>
            </w:r>
            <w:r>
              <w:rPr>
                <w:rFonts w:asciiTheme="majorHAnsi" w:hAnsiTheme="majorHAnsi" w:cstheme="majorHAnsi"/>
                <w:lang w:val="en-US"/>
              </w:rPr>
              <w:t xml:space="preserve">Cause(s) </w:t>
            </w:r>
            <w:r w:rsidRPr="00EB23A2">
              <w:rPr>
                <w:rFonts w:asciiTheme="majorHAnsi" w:hAnsiTheme="majorHAnsi" w:cstheme="majorHAnsi"/>
                <w:lang w:val="en-US"/>
              </w:rPr>
              <w:t>for Closure</w:t>
            </w:r>
          </w:p>
        </w:tc>
        <w:tc>
          <w:tcPr>
            <w:tcW w:w="1255" w:type="dxa"/>
          </w:tcPr>
          <w:p w:rsidR="002920BF" w:rsidRPr="00EB23A2" w:rsidRDefault="002920BF" w:rsidP="0016168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en-US"/>
              </w:rPr>
            </w:pPr>
            <w:r w:rsidRPr="00EB23A2">
              <w:rPr>
                <w:rFonts w:asciiTheme="majorHAnsi" w:hAnsiTheme="majorHAnsi" w:cstheme="majorHAnsi"/>
                <w:lang w:val="en-US"/>
              </w:rPr>
              <w:t>Amount of Notice</w:t>
            </w:r>
            <w:r>
              <w:rPr>
                <w:rFonts w:asciiTheme="majorHAnsi" w:hAnsiTheme="majorHAnsi" w:cstheme="majorHAnsi"/>
                <w:lang w:val="en-US"/>
              </w:rPr>
              <w:t xml:space="preserve"> (90 Days Required)</w:t>
            </w:r>
          </w:p>
        </w:tc>
        <w:tc>
          <w:tcPr>
            <w:tcW w:w="1175" w:type="dxa"/>
          </w:tcPr>
          <w:p w:rsidR="002920BF" w:rsidRPr="00EB23A2" w:rsidRDefault="002920BF" w:rsidP="0016168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en-US"/>
              </w:rPr>
            </w:pPr>
            <w:r w:rsidRPr="00EB23A2">
              <w:rPr>
                <w:rFonts w:asciiTheme="majorHAnsi" w:hAnsiTheme="majorHAnsi" w:cstheme="majorHAnsi"/>
                <w:lang w:val="en-US"/>
              </w:rPr>
              <w:t>Public Hearing?</w:t>
            </w:r>
          </w:p>
        </w:tc>
        <w:tc>
          <w:tcPr>
            <w:tcW w:w="1362" w:type="dxa"/>
          </w:tcPr>
          <w:p w:rsidR="002920BF" w:rsidRPr="00EB23A2" w:rsidRDefault="002920BF" w:rsidP="0016168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en-US"/>
              </w:rPr>
            </w:pPr>
            <w:r w:rsidRPr="00EB23A2">
              <w:rPr>
                <w:rFonts w:asciiTheme="majorHAnsi" w:hAnsiTheme="majorHAnsi" w:cstheme="majorHAnsi"/>
                <w:lang w:val="en-US"/>
              </w:rPr>
              <w:t>Closure Plan Submitted and Approved?</w:t>
            </w:r>
          </w:p>
        </w:tc>
        <w:tc>
          <w:tcPr>
            <w:tcW w:w="1375" w:type="dxa"/>
          </w:tcPr>
          <w:p w:rsidR="002920BF" w:rsidRPr="00EB23A2" w:rsidRDefault="002920BF" w:rsidP="0016168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en-US"/>
              </w:rPr>
            </w:pPr>
            <w:r>
              <w:rPr>
                <w:rFonts w:asciiTheme="majorHAnsi" w:hAnsiTheme="majorHAnsi" w:cstheme="majorHAnsi"/>
                <w:lang w:val="en-US"/>
              </w:rPr>
              <w:t>Outcome</w:t>
            </w:r>
          </w:p>
        </w:tc>
      </w:tr>
      <w:tr w:rsidR="002920BF" w:rsidRPr="00EB23A2" w:rsidTr="002920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rsidR="002920BF" w:rsidRPr="00EB23A2" w:rsidRDefault="002920BF" w:rsidP="0016168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Theme="majorHAnsi" w:hAnsiTheme="majorHAnsi" w:cstheme="majorHAnsi"/>
                <w:lang w:val="en-US"/>
              </w:rPr>
            </w:pPr>
            <w:r w:rsidRPr="00EB23A2">
              <w:rPr>
                <w:rFonts w:asciiTheme="majorHAnsi" w:hAnsiTheme="majorHAnsi" w:cstheme="majorHAnsi"/>
                <w:lang w:val="en-US"/>
              </w:rPr>
              <w:t xml:space="preserve">Morton Hospital </w:t>
            </w:r>
          </w:p>
        </w:tc>
        <w:tc>
          <w:tcPr>
            <w:tcW w:w="1680" w:type="dxa"/>
          </w:tcPr>
          <w:p w:rsidR="002920BF" w:rsidRPr="00EB23A2" w:rsidRDefault="002920BF" w:rsidP="0016168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n-US"/>
              </w:rPr>
            </w:pPr>
            <w:r w:rsidRPr="00EB23A2">
              <w:rPr>
                <w:rFonts w:asciiTheme="majorHAnsi" w:hAnsiTheme="majorHAnsi" w:cstheme="majorHAnsi"/>
                <w:lang w:val="en-US"/>
              </w:rPr>
              <w:t xml:space="preserve">Pediatric </w:t>
            </w:r>
          </w:p>
        </w:tc>
        <w:tc>
          <w:tcPr>
            <w:tcW w:w="1801" w:type="dxa"/>
          </w:tcPr>
          <w:p w:rsidR="002920BF" w:rsidRPr="003D6A32" w:rsidRDefault="002920BF" w:rsidP="0016168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n-US"/>
              </w:rPr>
            </w:pPr>
            <w:r w:rsidRPr="003D6A32">
              <w:rPr>
                <w:rFonts w:asciiTheme="majorHAnsi" w:hAnsiTheme="majorHAnsi" w:cstheme="majorHAnsi"/>
                <w:lang w:val="en-US"/>
              </w:rPr>
              <w:t xml:space="preserve">Fewer patients, </w:t>
            </w:r>
            <w:r w:rsidRPr="003D6A32">
              <w:rPr>
                <w:rFonts w:hAnsi="Times New Roman" w:cs="Times New Roman"/>
                <w:lang w:val="en-US"/>
              </w:rPr>
              <w:t>resulting in loss of experienced pediatric nurses</w:t>
            </w:r>
            <w:r>
              <w:rPr>
                <w:rFonts w:hAnsi="Times New Roman" w:cs="Times New Roman"/>
                <w:lang w:val="en-US"/>
              </w:rPr>
              <w:t>.</w:t>
            </w:r>
          </w:p>
        </w:tc>
        <w:tc>
          <w:tcPr>
            <w:tcW w:w="1255" w:type="dxa"/>
          </w:tcPr>
          <w:p w:rsidR="002920BF" w:rsidRPr="00EB23A2" w:rsidRDefault="002920BF" w:rsidP="0016168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n-US"/>
              </w:rPr>
            </w:pPr>
            <w:r w:rsidRPr="00EB23A2">
              <w:rPr>
                <w:rFonts w:asciiTheme="majorHAnsi" w:hAnsiTheme="majorHAnsi" w:cstheme="majorHAnsi"/>
                <w:lang w:val="en-US"/>
              </w:rPr>
              <w:t>90 Days</w:t>
            </w:r>
          </w:p>
        </w:tc>
        <w:tc>
          <w:tcPr>
            <w:tcW w:w="1175" w:type="dxa"/>
          </w:tcPr>
          <w:p w:rsidR="002920BF" w:rsidRPr="00EB23A2" w:rsidRDefault="002920BF" w:rsidP="0016168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n-US"/>
              </w:rPr>
            </w:pPr>
            <w:r w:rsidRPr="00EB23A2">
              <w:rPr>
                <w:rFonts w:asciiTheme="majorHAnsi" w:hAnsiTheme="majorHAnsi" w:cstheme="majorHAnsi"/>
                <w:lang w:val="en-US"/>
              </w:rPr>
              <w:t>Yes</w:t>
            </w:r>
          </w:p>
        </w:tc>
        <w:tc>
          <w:tcPr>
            <w:tcW w:w="1362" w:type="dxa"/>
          </w:tcPr>
          <w:p w:rsidR="002920BF" w:rsidRPr="00EB23A2" w:rsidRDefault="002920BF" w:rsidP="0016168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n-US"/>
              </w:rPr>
            </w:pPr>
            <w:r w:rsidRPr="00EB23A2">
              <w:rPr>
                <w:rFonts w:asciiTheme="majorHAnsi" w:hAnsiTheme="majorHAnsi" w:cstheme="majorHAnsi"/>
                <w:lang w:val="en-US"/>
              </w:rPr>
              <w:t>Yes</w:t>
            </w:r>
          </w:p>
        </w:tc>
        <w:tc>
          <w:tcPr>
            <w:tcW w:w="1375" w:type="dxa"/>
          </w:tcPr>
          <w:p w:rsidR="002920BF" w:rsidRPr="00EB23A2" w:rsidRDefault="002920BF" w:rsidP="0016168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n-US"/>
              </w:rPr>
            </w:pPr>
            <w:r w:rsidRPr="00EB23A2">
              <w:rPr>
                <w:rFonts w:asciiTheme="majorHAnsi" w:hAnsiTheme="majorHAnsi" w:cstheme="majorHAnsi"/>
                <w:lang w:val="en-US"/>
              </w:rPr>
              <w:t>Morton opened 4 pediatric beds for certain patients presenting at the ED.</w:t>
            </w:r>
          </w:p>
        </w:tc>
      </w:tr>
      <w:tr w:rsidR="002920BF" w:rsidRPr="00EB23A2" w:rsidTr="002920BF">
        <w:tc>
          <w:tcPr>
            <w:cnfStyle w:val="001000000000" w:firstRow="0" w:lastRow="0" w:firstColumn="1" w:lastColumn="0" w:oddVBand="0" w:evenVBand="0" w:oddHBand="0" w:evenHBand="0" w:firstRowFirstColumn="0" w:firstRowLastColumn="0" w:lastRowFirstColumn="0" w:lastRowLastColumn="0"/>
            <w:tcW w:w="1548" w:type="dxa"/>
          </w:tcPr>
          <w:p w:rsidR="002920BF" w:rsidRPr="00EB23A2" w:rsidRDefault="002920BF" w:rsidP="0016168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Theme="majorHAnsi" w:hAnsiTheme="majorHAnsi" w:cstheme="majorHAnsi"/>
                <w:lang w:val="en-US"/>
              </w:rPr>
            </w:pPr>
            <w:r>
              <w:rPr>
                <w:rFonts w:asciiTheme="majorHAnsi" w:hAnsiTheme="majorHAnsi" w:cstheme="majorHAnsi"/>
                <w:lang w:val="en-US"/>
              </w:rPr>
              <w:t xml:space="preserve">Brigham and Women’s </w:t>
            </w:r>
            <w:r w:rsidRPr="00EB23A2">
              <w:rPr>
                <w:rFonts w:asciiTheme="majorHAnsi" w:hAnsiTheme="majorHAnsi" w:cstheme="majorHAnsi"/>
                <w:lang w:val="en-US"/>
              </w:rPr>
              <w:t xml:space="preserve">Faulkner </w:t>
            </w:r>
            <w:r>
              <w:rPr>
                <w:rFonts w:asciiTheme="majorHAnsi" w:hAnsiTheme="majorHAnsi" w:cstheme="majorHAnsi"/>
                <w:lang w:val="en-US"/>
              </w:rPr>
              <w:t>Hospital</w:t>
            </w:r>
          </w:p>
        </w:tc>
        <w:tc>
          <w:tcPr>
            <w:tcW w:w="1680" w:type="dxa"/>
          </w:tcPr>
          <w:p w:rsidR="002920BF" w:rsidRPr="00EB23A2" w:rsidRDefault="002920BF" w:rsidP="0016168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n-US"/>
              </w:rPr>
            </w:pPr>
            <w:r w:rsidRPr="00EB23A2">
              <w:rPr>
                <w:rFonts w:asciiTheme="majorHAnsi" w:hAnsiTheme="majorHAnsi" w:cstheme="majorHAnsi"/>
                <w:lang w:val="en-US"/>
              </w:rPr>
              <w:t>Inpatient Substance Abuse</w:t>
            </w:r>
          </w:p>
        </w:tc>
        <w:tc>
          <w:tcPr>
            <w:tcW w:w="1801" w:type="dxa"/>
          </w:tcPr>
          <w:p w:rsidR="002920BF" w:rsidRPr="00EB23A2" w:rsidRDefault="002920BF" w:rsidP="004F1CA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n-US"/>
              </w:rPr>
            </w:pPr>
            <w:r w:rsidRPr="00EB23A2">
              <w:rPr>
                <w:rFonts w:asciiTheme="majorHAnsi" w:hAnsiTheme="majorHAnsi" w:cstheme="majorHAnsi"/>
                <w:lang w:val="en-US"/>
              </w:rPr>
              <w:t xml:space="preserve">Preferred to serve these patients in </w:t>
            </w:r>
            <w:r>
              <w:rPr>
                <w:rFonts w:asciiTheme="majorHAnsi" w:hAnsiTheme="majorHAnsi" w:cstheme="majorHAnsi"/>
                <w:lang w:val="en-US"/>
              </w:rPr>
              <w:t>a</w:t>
            </w:r>
            <w:r w:rsidRPr="00EB23A2">
              <w:rPr>
                <w:rFonts w:asciiTheme="majorHAnsi" w:hAnsiTheme="majorHAnsi" w:cstheme="majorHAnsi"/>
                <w:lang w:val="en-US"/>
              </w:rPr>
              <w:t xml:space="preserve"> </w:t>
            </w:r>
            <w:r>
              <w:rPr>
                <w:rFonts w:asciiTheme="majorHAnsi" w:hAnsiTheme="majorHAnsi" w:cstheme="majorHAnsi"/>
                <w:lang w:val="en-US"/>
              </w:rPr>
              <w:t>medical/</w:t>
            </w:r>
            <w:r w:rsidRPr="00EB23A2">
              <w:rPr>
                <w:rFonts w:asciiTheme="majorHAnsi" w:hAnsiTheme="majorHAnsi" w:cstheme="majorHAnsi"/>
                <w:lang w:val="en-US"/>
              </w:rPr>
              <w:t>surgical unit.</w:t>
            </w:r>
          </w:p>
        </w:tc>
        <w:tc>
          <w:tcPr>
            <w:tcW w:w="1255" w:type="dxa"/>
          </w:tcPr>
          <w:p w:rsidR="002920BF" w:rsidRPr="00EB23A2" w:rsidRDefault="002920BF" w:rsidP="0016168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n-US"/>
              </w:rPr>
            </w:pPr>
            <w:r w:rsidRPr="00EB23A2">
              <w:rPr>
                <w:rFonts w:asciiTheme="majorHAnsi" w:hAnsiTheme="majorHAnsi" w:cstheme="majorHAnsi"/>
                <w:lang w:val="en-US"/>
              </w:rPr>
              <w:t>90 Days</w:t>
            </w:r>
          </w:p>
        </w:tc>
        <w:tc>
          <w:tcPr>
            <w:tcW w:w="1175" w:type="dxa"/>
          </w:tcPr>
          <w:p w:rsidR="002920BF" w:rsidRPr="00EB23A2" w:rsidRDefault="002920BF" w:rsidP="0016168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n-US"/>
              </w:rPr>
            </w:pPr>
            <w:r w:rsidRPr="00EB23A2">
              <w:rPr>
                <w:rFonts w:asciiTheme="majorHAnsi" w:hAnsiTheme="majorHAnsi" w:cstheme="majorHAnsi"/>
                <w:lang w:val="en-US"/>
              </w:rPr>
              <w:t>Yes</w:t>
            </w:r>
          </w:p>
        </w:tc>
        <w:tc>
          <w:tcPr>
            <w:tcW w:w="1362" w:type="dxa"/>
          </w:tcPr>
          <w:p w:rsidR="002920BF" w:rsidRPr="00EB23A2" w:rsidRDefault="002920BF" w:rsidP="0016168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n-US"/>
              </w:rPr>
            </w:pPr>
            <w:r w:rsidRPr="00EB23A2">
              <w:rPr>
                <w:rFonts w:asciiTheme="majorHAnsi" w:hAnsiTheme="majorHAnsi" w:cstheme="majorHAnsi"/>
                <w:lang w:val="en-US"/>
              </w:rPr>
              <w:t>Yes</w:t>
            </w:r>
          </w:p>
        </w:tc>
        <w:tc>
          <w:tcPr>
            <w:tcW w:w="1375" w:type="dxa"/>
          </w:tcPr>
          <w:p w:rsidR="002920BF" w:rsidRPr="00EB23A2" w:rsidRDefault="002920BF" w:rsidP="00751B2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n-US"/>
              </w:rPr>
            </w:pPr>
            <w:r>
              <w:rPr>
                <w:rFonts w:asciiTheme="majorHAnsi" w:hAnsiTheme="majorHAnsi" w:cstheme="majorHAnsi"/>
                <w:lang w:val="en-US"/>
              </w:rPr>
              <w:t>Faulkner</w:t>
            </w:r>
            <w:r w:rsidRPr="00EB23A2">
              <w:rPr>
                <w:rFonts w:asciiTheme="majorHAnsi" w:hAnsiTheme="majorHAnsi" w:cstheme="majorHAnsi"/>
                <w:lang w:val="en-US"/>
              </w:rPr>
              <w:t xml:space="preserve"> dedicated 9 </w:t>
            </w:r>
            <w:r>
              <w:rPr>
                <w:rFonts w:asciiTheme="majorHAnsi" w:hAnsiTheme="majorHAnsi" w:cstheme="majorHAnsi"/>
                <w:lang w:val="en-US"/>
              </w:rPr>
              <w:t xml:space="preserve">medical/surgical </w:t>
            </w:r>
            <w:r w:rsidRPr="00EB23A2">
              <w:rPr>
                <w:rFonts w:asciiTheme="majorHAnsi" w:hAnsiTheme="majorHAnsi" w:cstheme="majorHAnsi"/>
                <w:lang w:val="en-US"/>
              </w:rPr>
              <w:t>beds to substance abuse.</w:t>
            </w:r>
          </w:p>
        </w:tc>
      </w:tr>
      <w:tr w:rsidR="002920BF" w:rsidRPr="00EB23A2" w:rsidTr="002920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rsidR="002920BF" w:rsidRPr="00EB23A2" w:rsidRDefault="002920BF" w:rsidP="0016168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Theme="majorHAnsi" w:hAnsiTheme="majorHAnsi" w:cstheme="majorHAnsi"/>
                <w:lang w:val="en-US"/>
              </w:rPr>
            </w:pPr>
            <w:r w:rsidRPr="00EB23A2">
              <w:rPr>
                <w:rFonts w:asciiTheme="majorHAnsi" w:hAnsiTheme="majorHAnsi" w:cstheme="majorHAnsi"/>
                <w:lang w:val="en-US"/>
              </w:rPr>
              <w:t xml:space="preserve">New England Sinai </w:t>
            </w:r>
          </w:p>
        </w:tc>
        <w:tc>
          <w:tcPr>
            <w:tcW w:w="1680" w:type="dxa"/>
          </w:tcPr>
          <w:p w:rsidR="002920BF" w:rsidRPr="00EB23A2" w:rsidRDefault="002920BF" w:rsidP="0016168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n-US"/>
              </w:rPr>
            </w:pPr>
            <w:r w:rsidRPr="00EB23A2">
              <w:rPr>
                <w:rFonts w:asciiTheme="majorHAnsi" w:hAnsiTheme="majorHAnsi" w:cstheme="majorHAnsi"/>
                <w:lang w:val="en-US"/>
              </w:rPr>
              <w:t>Closure of its Tufts Campus</w:t>
            </w:r>
          </w:p>
        </w:tc>
        <w:tc>
          <w:tcPr>
            <w:tcW w:w="1801" w:type="dxa"/>
          </w:tcPr>
          <w:p w:rsidR="002920BF" w:rsidRPr="003D6A32" w:rsidRDefault="002920BF" w:rsidP="0016168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n-US"/>
              </w:rPr>
            </w:pPr>
            <w:r w:rsidRPr="003D6A32">
              <w:rPr>
                <w:rFonts w:asciiTheme="majorHAnsi" w:hAnsiTheme="majorHAnsi" w:cstheme="majorHAnsi"/>
                <w:lang w:val="en-US"/>
              </w:rPr>
              <w:t>Changes to federal reimbursement rules</w:t>
            </w:r>
            <w:r>
              <w:rPr>
                <w:rFonts w:asciiTheme="majorHAnsi" w:hAnsiTheme="majorHAnsi" w:cstheme="majorHAnsi"/>
                <w:lang w:val="en-US"/>
              </w:rPr>
              <w:t xml:space="preserve">, </w:t>
            </w:r>
            <w:r w:rsidRPr="003D6A32">
              <w:rPr>
                <w:rFonts w:hAnsi="Times New Roman" w:cs="Times New Roman"/>
                <w:lang w:val="en-US"/>
              </w:rPr>
              <w:t>capping the percentage of patients that could be admitted</w:t>
            </w:r>
            <w:r w:rsidRPr="003D6A32">
              <w:rPr>
                <w:rFonts w:asciiTheme="majorHAnsi" w:hAnsiTheme="majorHAnsi" w:cstheme="majorHAnsi"/>
                <w:lang w:val="en-US"/>
              </w:rPr>
              <w:t>.</w:t>
            </w:r>
          </w:p>
        </w:tc>
        <w:tc>
          <w:tcPr>
            <w:tcW w:w="1255" w:type="dxa"/>
          </w:tcPr>
          <w:p w:rsidR="002920BF" w:rsidRPr="00EB23A2" w:rsidRDefault="002920BF" w:rsidP="0016168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n-US"/>
              </w:rPr>
            </w:pPr>
            <w:r w:rsidRPr="00EB23A2">
              <w:rPr>
                <w:rFonts w:asciiTheme="majorHAnsi" w:hAnsiTheme="majorHAnsi" w:cstheme="majorHAnsi"/>
                <w:lang w:val="en-US"/>
              </w:rPr>
              <w:t>90 Days</w:t>
            </w:r>
          </w:p>
        </w:tc>
        <w:tc>
          <w:tcPr>
            <w:tcW w:w="1175" w:type="dxa"/>
          </w:tcPr>
          <w:p w:rsidR="002920BF" w:rsidRPr="00EB23A2" w:rsidRDefault="002920BF" w:rsidP="0016168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n-US"/>
              </w:rPr>
            </w:pPr>
            <w:r w:rsidRPr="00EB23A2">
              <w:rPr>
                <w:rFonts w:asciiTheme="majorHAnsi" w:hAnsiTheme="majorHAnsi" w:cstheme="majorHAnsi"/>
                <w:lang w:val="en-US"/>
              </w:rPr>
              <w:t>Yes</w:t>
            </w:r>
          </w:p>
        </w:tc>
        <w:tc>
          <w:tcPr>
            <w:tcW w:w="1362" w:type="dxa"/>
          </w:tcPr>
          <w:p w:rsidR="002920BF" w:rsidRPr="00EB23A2" w:rsidRDefault="002920BF" w:rsidP="0016168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n-US"/>
              </w:rPr>
            </w:pPr>
            <w:r w:rsidRPr="00EB23A2">
              <w:rPr>
                <w:rFonts w:asciiTheme="majorHAnsi" w:hAnsiTheme="majorHAnsi" w:cstheme="majorHAnsi"/>
                <w:lang w:val="en-US"/>
              </w:rPr>
              <w:t xml:space="preserve">No </w:t>
            </w:r>
          </w:p>
        </w:tc>
        <w:tc>
          <w:tcPr>
            <w:tcW w:w="1375" w:type="dxa"/>
          </w:tcPr>
          <w:p w:rsidR="002920BF" w:rsidRPr="00EB23A2" w:rsidRDefault="002920BF" w:rsidP="0016168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n-US"/>
              </w:rPr>
            </w:pPr>
            <w:r>
              <w:rPr>
                <w:rFonts w:asciiTheme="majorHAnsi" w:hAnsiTheme="majorHAnsi" w:cstheme="majorHAnsi"/>
                <w:lang w:val="en-US"/>
              </w:rPr>
              <w:t xml:space="preserve">No </w:t>
            </w:r>
            <w:r w:rsidRPr="00EB23A2">
              <w:rPr>
                <w:rFonts w:asciiTheme="majorHAnsi" w:hAnsiTheme="majorHAnsi" w:cstheme="majorHAnsi"/>
                <w:lang w:val="en-US"/>
              </w:rPr>
              <w:t>public input</w:t>
            </w:r>
            <w:r>
              <w:rPr>
                <w:rFonts w:asciiTheme="majorHAnsi" w:hAnsiTheme="majorHAnsi" w:cstheme="majorHAnsi"/>
                <w:lang w:val="en-US"/>
              </w:rPr>
              <w:t xml:space="preserve"> received</w:t>
            </w:r>
            <w:r w:rsidRPr="00EB23A2">
              <w:rPr>
                <w:rFonts w:asciiTheme="majorHAnsi" w:hAnsiTheme="majorHAnsi" w:cstheme="majorHAnsi"/>
                <w:lang w:val="en-US"/>
              </w:rPr>
              <w:t xml:space="preserve"> at hearing</w:t>
            </w:r>
            <w:r>
              <w:rPr>
                <w:rFonts w:asciiTheme="majorHAnsi" w:hAnsiTheme="majorHAnsi" w:cstheme="majorHAnsi"/>
                <w:lang w:val="en-US"/>
              </w:rPr>
              <w:t>.</w:t>
            </w:r>
            <w:r w:rsidRPr="00EB23A2">
              <w:rPr>
                <w:rFonts w:asciiTheme="majorHAnsi" w:hAnsiTheme="majorHAnsi" w:cstheme="majorHAnsi"/>
                <w:lang w:val="en-US"/>
              </w:rPr>
              <w:t xml:space="preserve"> </w:t>
            </w:r>
            <w:r>
              <w:rPr>
                <w:rFonts w:asciiTheme="majorHAnsi" w:hAnsiTheme="majorHAnsi" w:cstheme="majorHAnsi"/>
                <w:lang w:val="en-US"/>
              </w:rPr>
              <w:t>C</w:t>
            </w:r>
            <w:r w:rsidRPr="00EB23A2">
              <w:rPr>
                <w:rFonts w:asciiTheme="majorHAnsi" w:hAnsiTheme="majorHAnsi" w:cstheme="majorHAnsi"/>
                <w:lang w:val="en-US"/>
              </w:rPr>
              <w:t>losures proceeded without a requirement for a closure plan.</w:t>
            </w:r>
          </w:p>
        </w:tc>
      </w:tr>
      <w:tr w:rsidR="002920BF" w:rsidRPr="00EB23A2" w:rsidTr="002920BF">
        <w:tc>
          <w:tcPr>
            <w:cnfStyle w:val="001000000000" w:firstRow="0" w:lastRow="0" w:firstColumn="1" w:lastColumn="0" w:oddVBand="0" w:evenVBand="0" w:oddHBand="0" w:evenHBand="0" w:firstRowFirstColumn="0" w:firstRowLastColumn="0" w:lastRowFirstColumn="0" w:lastRowLastColumn="0"/>
            <w:tcW w:w="1548" w:type="dxa"/>
          </w:tcPr>
          <w:p w:rsidR="002920BF" w:rsidRPr="00EB23A2" w:rsidRDefault="002920BF" w:rsidP="0016168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Theme="majorHAnsi" w:hAnsiTheme="majorHAnsi" w:cstheme="majorHAnsi"/>
                <w:lang w:val="en-US"/>
              </w:rPr>
            </w:pPr>
            <w:r w:rsidRPr="00EB23A2">
              <w:rPr>
                <w:rFonts w:asciiTheme="majorHAnsi" w:hAnsiTheme="majorHAnsi" w:cstheme="majorHAnsi"/>
                <w:lang w:val="en-US"/>
              </w:rPr>
              <w:t xml:space="preserve">Quincy Medical Center </w:t>
            </w:r>
          </w:p>
        </w:tc>
        <w:tc>
          <w:tcPr>
            <w:tcW w:w="1680" w:type="dxa"/>
          </w:tcPr>
          <w:p w:rsidR="002920BF" w:rsidRPr="00EB23A2" w:rsidRDefault="002920BF" w:rsidP="0016168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n-US"/>
              </w:rPr>
            </w:pPr>
            <w:r w:rsidRPr="00EB23A2">
              <w:rPr>
                <w:rFonts w:asciiTheme="majorHAnsi" w:hAnsiTheme="majorHAnsi" w:cstheme="majorHAnsi"/>
                <w:lang w:val="en-US"/>
              </w:rPr>
              <w:t>Partial Hospitalization Program</w:t>
            </w:r>
          </w:p>
        </w:tc>
        <w:tc>
          <w:tcPr>
            <w:tcW w:w="1801" w:type="dxa"/>
          </w:tcPr>
          <w:p w:rsidR="002920BF" w:rsidRPr="00EB23A2" w:rsidRDefault="002920BF" w:rsidP="0016168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n-US"/>
              </w:rPr>
            </w:pPr>
            <w:r w:rsidRPr="00EB23A2">
              <w:rPr>
                <w:rFonts w:asciiTheme="majorHAnsi" w:hAnsiTheme="majorHAnsi" w:cstheme="majorHAnsi"/>
                <w:lang w:val="en-US"/>
              </w:rPr>
              <w:t>Fewer patients.</w:t>
            </w:r>
            <w:r>
              <w:rPr>
                <w:rFonts w:asciiTheme="majorHAnsi" w:hAnsiTheme="majorHAnsi" w:cstheme="majorHAnsi"/>
                <w:lang w:val="en-US"/>
              </w:rPr>
              <w:t xml:space="preserve"> </w:t>
            </w:r>
          </w:p>
        </w:tc>
        <w:tc>
          <w:tcPr>
            <w:tcW w:w="1255" w:type="dxa"/>
          </w:tcPr>
          <w:p w:rsidR="002920BF" w:rsidRPr="00EB23A2" w:rsidRDefault="002920BF" w:rsidP="0016168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n-US"/>
              </w:rPr>
            </w:pPr>
            <w:r w:rsidRPr="00EB23A2">
              <w:rPr>
                <w:rFonts w:asciiTheme="majorHAnsi" w:hAnsiTheme="majorHAnsi" w:cstheme="majorHAnsi"/>
                <w:lang w:val="en-US"/>
              </w:rPr>
              <w:t>90 Days</w:t>
            </w:r>
          </w:p>
        </w:tc>
        <w:tc>
          <w:tcPr>
            <w:tcW w:w="1175" w:type="dxa"/>
          </w:tcPr>
          <w:p w:rsidR="002920BF" w:rsidRPr="00EB23A2" w:rsidRDefault="002920BF" w:rsidP="0016168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n-US"/>
              </w:rPr>
            </w:pPr>
            <w:r w:rsidRPr="00EB23A2">
              <w:rPr>
                <w:rFonts w:asciiTheme="majorHAnsi" w:hAnsiTheme="majorHAnsi" w:cstheme="majorHAnsi"/>
                <w:lang w:val="en-US"/>
              </w:rPr>
              <w:t>Yes</w:t>
            </w:r>
          </w:p>
        </w:tc>
        <w:tc>
          <w:tcPr>
            <w:tcW w:w="1362" w:type="dxa"/>
          </w:tcPr>
          <w:p w:rsidR="002920BF" w:rsidRPr="00EB23A2" w:rsidRDefault="002920BF" w:rsidP="0016168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n-US"/>
              </w:rPr>
            </w:pPr>
            <w:r w:rsidRPr="00EB23A2">
              <w:rPr>
                <w:rFonts w:asciiTheme="majorHAnsi" w:hAnsiTheme="majorHAnsi" w:cstheme="majorHAnsi"/>
                <w:lang w:val="en-US"/>
              </w:rPr>
              <w:t>No</w:t>
            </w:r>
          </w:p>
        </w:tc>
        <w:tc>
          <w:tcPr>
            <w:tcW w:w="1375" w:type="dxa"/>
          </w:tcPr>
          <w:p w:rsidR="002920BF" w:rsidRPr="00EB23A2" w:rsidRDefault="002920BF" w:rsidP="0016168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n-US"/>
              </w:rPr>
            </w:pPr>
            <w:r>
              <w:rPr>
                <w:rFonts w:asciiTheme="majorHAnsi" w:hAnsiTheme="majorHAnsi" w:cstheme="majorHAnsi"/>
                <w:lang w:val="en-US"/>
              </w:rPr>
              <w:t xml:space="preserve">No </w:t>
            </w:r>
            <w:r w:rsidRPr="00EB23A2">
              <w:rPr>
                <w:rFonts w:asciiTheme="majorHAnsi" w:hAnsiTheme="majorHAnsi" w:cstheme="majorHAnsi"/>
                <w:lang w:val="en-US"/>
              </w:rPr>
              <w:t>public input</w:t>
            </w:r>
            <w:r>
              <w:rPr>
                <w:rFonts w:asciiTheme="majorHAnsi" w:hAnsiTheme="majorHAnsi" w:cstheme="majorHAnsi"/>
                <w:lang w:val="en-US"/>
              </w:rPr>
              <w:t xml:space="preserve"> received</w:t>
            </w:r>
            <w:r w:rsidRPr="00EB23A2">
              <w:rPr>
                <w:rFonts w:asciiTheme="majorHAnsi" w:hAnsiTheme="majorHAnsi" w:cstheme="majorHAnsi"/>
                <w:lang w:val="en-US"/>
              </w:rPr>
              <w:t xml:space="preserve"> at hearing</w:t>
            </w:r>
            <w:r>
              <w:rPr>
                <w:rFonts w:asciiTheme="majorHAnsi" w:hAnsiTheme="majorHAnsi" w:cstheme="majorHAnsi"/>
                <w:lang w:val="en-US"/>
              </w:rPr>
              <w:t>.</w:t>
            </w:r>
            <w:r w:rsidRPr="00EB23A2">
              <w:rPr>
                <w:rFonts w:asciiTheme="majorHAnsi" w:hAnsiTheme="majorHAnsi" w:cstheme="majorHAnsi"/>
                <w:lang w:val="en-US"/>
              </w:rPr>
              <w:t xml:space="preserve"> </w:t>
            </w:r>
            <w:r>
              <w:rPr>
                <w:rFonts w:asciiTheme="majorHAnsi" w:hAnsiTheme="majorHAnsi" w:cstheme="majorHAnsi"/>
                <w:lang w:val="en-US"/>
              </w:rPr>
              <w:t>C</w:t>
            </w:r>
            <w:r w:rsidRPr="00EB23A2">
              <w:rPr>
                <w:rFonts w:asciiTheme="majorHAnsi" w:hAnsiTheme="majorHAnsi" w:cstheme="majorHAnsi"/>
                <w:lang w:val="en-US"/>
              </w:rPr>
              <w:t>losures proceeded without a requirement for a closure plan.</w:t>
            </w:r>
          </w:p>
        </w:tc>
      </w:tr>
      <w:tr w:rsidR="002920BF" w:rsidRPr="00EB23A2" w:rsidTr="002920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rsidR="002920BF" w:rsidRPr="00EB23A2" w:rsidRDefault="002920BF" w:rsidP="0016168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Theme="majorHAnsi" w:hAnsiTheme="majorHAnsi" w:cstheme="majorHAnsi"/>
                <w:lang w:val="en-US"/>
              </w:rPr>
            </w:pPr>
            <w:r w:rsidRPr="00EB23A2">
              <w:rPr>
                <w:rFonts w:asciiTheme="majorHAnsi" w:hAnsiTheme="majorHAnsi" w:cstheme="majorHAnsi"/>
                <w:lang w:val="en-US"/>
              </w:rPr>
              <w:t>McLean Hospital</w:t>
            </w:r>
          </w:p>
        </w:tc>
        <w:tc>
          <w:tcPr>
            <w:tcW w:w="1680" w:type="dxa"/>
          </w:tcPr>
          <w:p w:rsidR="002920BF" w:rsidRPr="00EB23A2" w:rsidRDefault="002920BF" w:rsidP="0016168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n-US"/>
              </w:rPr>
            </w:pPr>
            <w:r w:rsidRPr="00EB23A2">
              <w:rPr>
                <w:rFonts w:asciiTheme="majorHAnsi" w:hAnsiTheme="majorHAnsi" w:cstheme="majorHAnsi"/>
                <w:lang w:val="en-US"/>
              </w:rPr>
              <w:t>Brockton Satellite Facility</w:t>
            </w:r>
          </w:p>
        </w:tc>
        <w:tc>
          <w:tcPr>
            <w:tcW w:w="1801" w:type="dxa"/>
          </w:tcPr>
          <w:p w:rsidR="002920BF" w:rsidRPr="00EB23A2" w:rsidRDefault="002920BF" w:rsidP="0016168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n-US"/>
              </w:rPr>
            </w:pPr>
            <w:r>
              <w:rPr>
                <w:rFonts w:asciiTheme="majorHAnsi" w:hAnsiTheme="majorHAnsi" w:cstheme="majorHAnsi"/>
                <w:lang w:val="en-US"/>
              </w:rPr>
              <w:t>Required relocation due to e</w:t>
            </w:r>
            <w:r w:rsidRPr="00EB23A2">
              <w:rPr>
                <w:rFonts w:asciiTheme="majorHAnsi" w:hAnsiTheme="majorHAnsi" w:cstheme="majorHAnsi"/>
                <w:lang w:val="en-US"/>
              </w:rPr>
              <w:t>xpansion of the VA Brockton Facility.</w:t>
            </w:r>
          </w:p>
        </w:tc>
        <w:tc>
          <w:tcPr>
            <w:tcW w:w="1255" w:type="dxa"/>
          </w:tcPr>
          <w:p w:rsidR="002920BF" w:rsidRPr="00EB23A2" w:rsidRDefault="002920BF" w:rsidP="0016168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n-US"/>
              </w:rPr>
            </w:pPr>
            <w:r w:rsidRPr="00EB23A2">
              <w:rPr>
                <w:rFonts w:asciiTheme="majorHAnsi" w:hAnsiTheme="majorHAnsi" w:cstheme="majorHAnsi"/>
                <w:lang w:val="en-US"/>
              </w:rPr>
              <w:t>90 Days</w:t>
            </w:r>
          </w:p>
        </w:tc>
        <w:tc>
          <w:tcPr>
            <w:tcW w:w="1175" w:type="dxa"/>
          </w:tcPr>
          <w:p w:rsidR="002920BF" w:rsidRPr="00EB23A2" w:rsidRDefault="002920BF" w:rsidP="0016168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n-US"/>
              </w:rPr>
            </w:pPr>
            <w:r w:rsidRPr="00EB23A2">
              <w:rPr>
                <w:rFonts w:asciiTheme="majorHAnsi" w:hAnsiTheme="majorHAnsi" w:cstheme="majorHAnsi"/>
                <w:lang w:val="en-US"/>
              </w:rPr>
              <w:t>Yes</w:t>
            </w:r>
          </w:p>
        </w:tc>
        <w:tc>
          <w:tcPr>
            <w:tcW w:w="1362" w:type="dxa"/>
          </w:tcPr>
          <w:p w:rsidR="002920BF" w:rsidRPr="00EB23A2" w:rsidRDefault="002920BF" w:rsidP="0016168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n-US"/>
              </w:rPr>
            </w:pPr>
            <w:r w:rsidRPr="00EB23A2">
              <w:rPr>
                <w:rFonts w:asciiTheme="majorHAnsi" w:hAnsiTheme="majorHAnsi" w:cstheme="majorHAnsi"/>
                <w:lang w:val="en-US"/>
              </w:rPr>
              <w:t>No</w:t>
            </w:r>
          </w:p>
        </w:tc>
        <w:tc>
          <w:tcPr>
            <w:tcW w:w="1375" w:type="dxa"/>
          </w:tcPr>
          <w:p w:rsidR="002920BF" w:rsidRPr="00EB23A2" w:rsidRDefault="002920BF" w:rsidP="0016168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n-US"/>
              </w:rPr>
            </w:pPr>
            <w:r>
              <w:rPr>
                <w:rFonts w:asciiTheme="majorHAnsi" w:hAnsiTheme="majorHAnsi" w:cstheme="majorHAnsi"/>
                <w:lang w:val="en-US"/>
              </w:rPr>
              <w:t xml:space="preserve">No </w:t>
            </w:r>
            <w:r w:rsidRPr="00EB23A2">
              <w:rPr>
                <w:rFonts w:asciiTheme="majorHAnsi" w:hAnsiTheme="majorHAnsi" w:cstheme="majorHAnsi"/>
                <w:lang w:val="en-US"/>
              </w:rPr>
              <w:t>public input</w:t>
            </w:r>
            <w:r>
              <w:rPr>
                <w:rFonts w:asciiTheme="majorHAnsi" w:hAnsiTheme="majorHAnsi" w:cstheme="majorHAnsi"/>
                <w:lang w:val="en-US"/>
              </w:rPr>
              <w:t xml:space="preserve"> received</w:t>
            </w:r>
            <w:r w:rsidRPr="00EB23A2">
              <w:rPr>
                <w:rFonts w:asciiTheme="majorHAnsi" w:hAnsiTheme="majorHAnsi" w:cstheme="majorHAnsi"/>
                <w:lang w:val="en-US"/>
              </w:rPr>
              <w:t xml:space="preserve"> at hearing</w:t>
            </w:r>
            <w:r>
              <w:rPr>
                <w:rFonts w:asciiTheme="majorHAnsi" w:hAnsiTheme="majorHAnsi" w:cstheme="majorHAnsi"/>
                <w:lang w:val="en-US"/>
              </w:rPr>
              <w:t>.</w:t>
            </w:r>
            <w:r w:rsidRPr="00EB23A2">
              <w:rPr>
                <w:rFonts w:asciiTheme="majorHAnsi" w:hAnsiTheme="majorHAnsi" w:cstheme="majorHAnsi"/>
                <w:lang w:val="en-US"/>
              </w:rPr>
              <w:t xml:space="preserve"> </w:t>
            </w:r>
            <w:r>
              <w:rPr>
                <w:rFonts w:asciiTheme="majorHAnsi" w:hAnsiTheme="majorHAnsi" w:cstheme="majorHAnsi"/>
                <w:lang w:val="en-US"/>
              </w:rPr>
              <w:t>C</w:t>
            </w:r>
            <w:r w:rsidRPr="00EB23A2">
              <w:rPr>
                <w:rFonts w:asciiTheme="majorHAnsi" w:hAnsiTheme="majorHAnsi" w:cstheme="majorHAnsi"/>
                <w:lang w:val="en-US"/>
              </w:rPr>
              <w:t>losures proceeded without a requirement for a closure plan.</w:t>
            </w:r>
          </w:p>
        </w:tc>
      </w:tr>
      <w:tr w:rsidR="002920BF" w:rsidRPr="00EB23A2" w:rsidTr="002920BF">
        <w:tc>
          <w:tcPr>
            <w:cnfStyle w:val="001000000000" w:firstRow="0" w:lastRow="0" w:firstColumn="1" w:lastColumn="0" w:oddVBand="0" w:evenVBand="0" w:oddHBand="0" w:evenHBand="0" w:firstRowFirstColumn="0" w:firstRowLastColumn="0" w:lastRowFirstColumn="0" w:lastRowLastColumn="0"/>
            <w:tcW w:w="1548" w:type="dxa"/>
          </w:tcPr>
          <w:p w:rsidR="002920BF" w:rsidRPr="00EB23A2" w:rsidRDefault="002920BF" w:rsidP="0016168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rPr>
                <w:rFonts w:asciiTheme="majorHAnsi" w:hAnsiTheme="majorHAnsi" w:cstheme="majorHAnsi"/>
                <w:lang w:val="en-US"/>
              </w:rPr>
            </w:pPr>
            <w:r w:rsidRPr="00EB23A2">
              <w:rPr>
                <w:rFonts w:asciiTheme="majorHAnsi" w:hAnsiTheme="majorHAnsi" w:cstheme="majorHAnsi"/>
                <w:lang w:val="en-US"/>
              </w:rPr>
              <w:lastRenderedPageBreak/>
              <w:t>Cambridge Health Alliance</w:t>
            </w:r>
          </w:p>
        </w:tc>
        <w:tc>
          <w:tcPr>
            <w:tcW w:w="1680" w:type="dxa"/>
          </w:tcPr>
          <w:p w:rsidR="002920BF" w:rsidRPr="00EB23A2" w:rsidRDefault="002920BF" w:rsidP="0016168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n-US"/>
              </w:rPr>
            </w:pPr>
            <w:r w:rsidRPr="00EB23A2">
              <w:rPr>
                <w:rFonts w:asciiTheme="majorHAnsi" w:hAnsiTheme="majorHAnsi" w:cstheme="majorHAnsi"/>
                <w:lang w:val="en-US"/>
              </w:rPr>
              <w:t>Inpatient Psychiatric Services</w:t>
            </w:r>
          </w:p>
        </w:tc>
        <w:tc>
          <w:tcPr>
            <w:tcW w:w="1801" w:type="dxa"/>
          </w:tcPr>
          <w:p w:rsidR="002920BF" w:rsidRPr="00EB23A2" w:rsidRDefault="002920BF" w:rsidP="0016168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n-US"/>
              </w:rPr>
            </w:pPr>
            <w:r w:rsidRPr="00EB23A2">
              <w:rPr>
                <w:rFonts w:asciiTheme="majorHAnsi" w:hAnsiTheme="majorHAnsi" w:cstheme="majorHAnsi"/>
                <w:lang w:val="en-US"/>
              </w:rPr>
              <w:t>Proposed a reduction in beds</w:t>
            </w:r>
          </w:p>
        </w:tc>
        <w:tc>
          <w:tcPr>
            <w:tcW w:w="1255" w:type="dxa"/>
          </w:tcPr>
          <w:p w:rsidR="002920BF" w:rsidRPr="00EB23A2" w:rsidRDefault="002920BF" w:rsidP="0016168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n-US"/>
              </w:rPr>
            </w:pPr>
            <w:r w:rsidRPr="00EB23A2">
              <w:rPr>
                <w:rFonts w:asciiTheme="majorHAnsi" w:hAnsiTheme="majorHAnsi" w:cstheme="majorHAnsi"/>
                <w:lang w:val="en-US"/>
              </w:rPr>
              <w:t>90 Days</w:t>
            </w:r>
          </w:p>
        </w:tc>
        <w:tc>
          <w:tcPr>
            <w:tcW w:w="1175" w:type="dxa"/>
          </w:tcPr>
          <w:p w:rsidR="002920BF" w:rsidRPr="00EB23A2" w:rsidRDefault="002920BF" w:rsidP="0016168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n-US"/>
              </w:rPr>
            </w:pPr>
            <w:r w:rsidRPr="00EB23A2">
              <w:rPr>
                <w:rFonts w:asciiTheme="majorHAnsi" w:hAnsiTheme="majorHAnsi" w:cstheme="majorHAnsi"/>
                <w:lang w:val="en-US"/>
              </w:rPr>
              <w:t>Yes</w:t>
            </w:r>
          </w:p>
        </w:tc>
        <w:tc>
          <w:tcPr>
            <w:tcW w:w="1362" w:type="dxa"/>
          </w:tcPr>
          <w:p w:rsidR="002920BF" w:rsidRPr="00EB23A2" w:rsidRDefault="002920BF" w:rsidP="0016168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n-US"/>
              </w:rPr>
            </w:pPr>
            <w:r w:rsidRPr="00EB23A2">
              <w:rPr>
                <w:rFonts w:asciiTheme="majorHAnsi" w:hAnsiTheme="majorHAnsi" w:cstheme="majorHAnsi"/>
                <w:lang w:val="en-US"/>
              </w:rPr>
              <w:t>No</w:t>
            </w:r>
          </w:p>
        </w:tc>
        <w:tc>
          <w:tcPr>
            <w:tcW w:w="1375" w:type="dxa"/>
          </w:tcPr>
          <w:p w:rsidR="002920BF" w:rsidRPr="00EB23A2" w:rsidRDefault="002920BF" w:rsidP="0016168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n-US"/>
              </w:rPr>
            </w:pPr>
            <w:r w:rsidRPr="00EB23A2">
              <w:rPr>
                <w:rFonts w:asciiTheme="majorHAnsi" w:hAnsiTheme="majorHAnsi" w:cstheme="majorHAnsi"/>
                <w:lang w:val="en-US"/>
              </w:rPr>
              <w:t>Following public comment, CHA withdrew the notice.</w:t>
            </w:r>
          </w:p>
        </w:tc>
      </w:tr>
    </w:tbl>
    <w:p w:rsidR="00383827" w:rsidRDefault="00383827" w:rsidP="0018262A">
      <w:pPr>
        <w:pStyle w:val="Body"/>
        <w:spacing w:before="0"/>
        <w:rPr>
          <w:rFonts w:hAnsi="Times New Roman" w:cs="Times New Roman"/>
          <w:lang w:val="en-US"/>
        </w:rPr>
      </w:pPr>
    </w:p>
    <w:p w:rsidR="0018262A" w:rsidRDefault="0018262A" w:rsidP="0018262A">
      <w:pPr>
        <w:pStyle w:val="Body"/>
        <w:spacing w:before="0"/>
        <w:rPr>
          <w:rFonts w:hAnsi="Times New Roman" w:cs="Times New Roman"/>
          <w:lang w:val="en-US"/>
        </w:rPr>
      </w:pPr>
    </w:p>
    <w:p w:rsidR="00383827" w:rsidRDefault="00161682" w:rsidP="00383827">
      <w:pPr>
        <w:pStyle w:val="Body"/>
        <w:spacing w:before="0"/>
        <w:contextualSpacing/>
        <w:rPr>
          <w:rFonts w:hAnsi="Times New Roman" w:cs="Times New Roman"/>
          <w:b/>
          <w:i/>
          <w:lang w:val="en-US"/>
        </w:rPr>
      </w:pPr>
      <w:r>
        <w:rPr>
          <w:rFonts w:hAnsi="Times New Roman" w:cs="Times New Roman"/>
          <w:b/>
          <w:i/>
          <w:lang w:val="en-US"/>
        </w:rPr>
        <w:t xml:space="preserve">Service Discontinuations: </w:t>
      </w:r>
      <w:r w:rsidR="004F1CA2">
        <w:rPr>
          <w:rFonts w:hAnsi="Times New Roman" w:cs="Times New Roman"/>
          <w:b/>
          <w:i/>
          <w:lang w:val="en-US"/>
        </w:rPr>
        <w:t>Observations</w:t>
      </w:r>
      <w:r w:rsidR="00383827">
        <w:rPr>
          <w:rFonts w:hAnsi="Times New Roman" w:cs="Times New Roman"/>
          <w:b/>
          <w:i/>
          <w:lang w:val="en-US"/>
        </w:rPr>
        <w:t xml:space="preserve"> (</w:t>
      </w:r>
      <w:r w:rsidR="00383827" w:rsidRPr="00961844">
        <w:rPr>
          <w:rFonts w:hAnsi="Times New Roman" w:cs="Times New Roman"/>
          <w:b/>
          <w:i/>
          <w:u w:val="single"/>
          <w:lang w:val="en-US"/>
        </w:rPr>
        <w:t>For Discussion</w:t>
      </w:r>
      <w:r w:rsidR="00383827">
        <w:rPr>
          <w:rFonts w:hAnsi="Times New Roman" w:cs="Times New Roman"/>
          <w:b/>
          <w:i/>
          <w:lang w:val="en-US"/>
        </w:rPr>
        <w:t>):</w:t>
      </w:r>
    </w:p>
    <w:p w:rsidR="0018262A" w:rsidRDefault="00AA1A8C" w:rsidP="008617FC">
      <w:pPr>
        <w:pStyle w:val="Body"/>
        <w:tabs>
          <w:tab w:val="left" w:pos="668"/>
        </w:tabs>
        <w:spacing w:before="0"/>
        <w:contextualSpacing/>
        <w:rPr>
          <w:rFonts w:hAnsi="Times New Roman" w:cs="Times New Roman"/>
          <w:b/>
          <w:lang w:val="en-US"/>
        </w:rPr>
      </w:pPr>
      <w:r>
        <w:rPr>
          <w:rFonts w:hAnsi="Times New Roman" w:cs="Times New Roman"/>
          <w:b/>
          <w:lang w:val="en-US"/>
        </w:rPr>
        <w:tab/>
      </w:r>
    </w:p>
    <w:p w:rsidR="0018262A" w:rsidRPr="00C447D4" w:rsidRDefault="0018262A" w:rsidP="0018262A">
      <w:pPr>
        <w:pStyle w:val="Body"/>
        <w:numPr>
          <w:ilvl w:val="0"/>
          <w:numId w:val="8"/>
        </w:numPr>
        <w:tabs>
          <w:tab w:val="clear" w:pos="360"/>
          <w:tab w:val="num" w:pos="900"/>
        </w:tabs>
        <w:spacing w:before="0"/>
        <w:ind w:left="900"/>
        <w:rPr>
          <w:rFonts w:hAnsi="Times New Roman" w:cs="Times New Roman"/>
          <w:lang w:val="en-US"/>
        </w:rPr>
      </w:pPr>
      <w:r w:rsidRPr="00C447D4">
        <w:rPr>
          <w:rFonts w:hAnsi="Times New Roman" w:cs="Times New Roman"/>
          <w:lang w:val="en-US"/>
        </w:rPr>
        <w:t>For discontinuation of services (not full hospital closures) hospitals have complied with the state’s 90</w:t>
      </w:r>
      <w:r w:rsidR="00B4279C">
        <w:rPr>
          <w:rFonts w:hAnsi="Times New Roman" w:cs="Times New Roman"/>
          <w:lang w:val="en-US"/>
        </w:rPr>
        <w:t>-</w:t>
      </w:r>
      <w:r w:rsidRPr="00C447D4">
        <w:rPr>
          <w:rFonts w:hAnsi="Times New Roman" w:cs="Times New Roman"/>
          <w:lang w:val="en-US"/>
        </w:rPr>
        <w:t>day notice requirements.</w:t>
      </w:r>
    </w:p>
    <w:p w:rsidR="0018262A" w:rsidRPr="00C447D4" w:rsidRDefault="003841DF" w:rsidP="0018262A">
      <w:pPr>
        <w:pStyle w:val="Body"/>
        <w:numPr>
          <w:ilvl w:val="0"/>
          <w:numId w:val="8"/>
        </w:numPr>
        <w:tabs>
          <w:tab w:val="clear" w:pos="360"/>
          <w:tab w:val="num" w:pos="900"/>
        </w:tabs>
        <w:spacing w:before="0"/>
        <w:ind w:left="900"/>
        <w:rPr>
          <w:rFonts w:hAnsi="Times New Roman" w:cs="Times New Roman"/>
          <w:lang w:val="en-US"/>
        </w:rPr>
      </w:pPr>
      <w:r>
        <w:rPr>
          <w:rFonts w:hAnsi="Times New Roman" w:cs="Times New Roman"/>
          <w:lang w:val="en-US"/>
        </w:rPr>
        <w:t xml:space="preserve">Public pressure – </w:t>
      </w:r>
      <w:r w:rsidR="0018262A" w:rsidRPr="00C447D4">
        <w:rPr>
          <w:rFonts w:hAnsi="Times New Roman" w:cs="Times New Roman"/>
          <w:lang w:val="en-US"/>
        </w:rPr>
        <w:t xml:space="preserve">applied at public hearings and through the media </w:t>
      </w:r>
      <w:r>
        <w:rPr>
          <w:rFonts w:hAnsi="Times New Roman" w:cs="Times New Roman"/>
          <w:lang w:val="en-US"/>
        </w:rPr>
        <w:t xml:space="preserve">– </w:t>
      </w:r>
      <w:r w:rsidR="0018262A" w:rsidRPr="00C447D4">
        <w:rPr>
          <w:rFonts w:hAnsi="Times New Roman" w:cs="Times New Roman"/>
          <w:lang w:val="en-US"/>
        </w:rPr>
        <w:t>changed how the service discontinuations were applied.</w:t>
      </w:r>
    </w:p>
    <w:p w:rsidR="0018262A" w:rsidRPr="00C447D4" w:rsidRDefault="0018262A" w:rsidP="0018262A">
      <w:pPr>
        <w:pStyle w:val="Body"/>
        <w:numPr>
          <w:ilvl w:val="0"/>
          <w:numId w:val="8"/>
        </w:numPr>
        <w:tabs>
          <w:tab w:val="clear" w:pos="360"/>
          <w:tab w:val="num" w:pos="900"/>
        </w:tabs>
        <w:spacing w:before="0"/>
        <w:ind w:left="900"/>
        <w:rPr>
          <w:rFonts w:hAnsi="Times New Roman" w:cs="Times New Roman"/>
          <w:lang w:val="en-US"/>
        </w:rPr>
      </w:pPr>
      <w:r w:rsidRPr="00C447D4">
        <w:rPr>
          <w:rFonts w:hAnsi="Times New Roman" w:cs="Times New Roman"/>
          <w:lang w:val="en-US"/>
        </w:rPr>
        <w:t>While DPH has since conducted a statewide behavioral health ne</w:t>
      </w:r>
      <w:r w:rsidR="003841DF">
        <w:rPr>
          <w:rFonts w:hAnsi="Times New Roman" w:cs="Times New Roman"/>
          <w:lang w:val="en-US"/>
        </w:rPr>
        <w:t>eds assessment, DPH may be well-</w:t>
      </w:r>
      <w:r w:rsidRPr="00C447D4">
        <w:rPr>
          <w:rFonts w:hAnsi="Times New Roman" w:cs="Times New Roman"/>
          <w:lang w:val="en-US"/>
        </w:rPr>
        <w:t>served to proactively fill additional and ongoing data needs to be better prepared the next time a facility proposes discontinuation of those services.</w:t>
      </w:r>
    </w:p>
    <w:p w:rsidR="0090188C" w:rsidRDefault="00AA1A8C" w:rsidP="008617FC">
      <w:pPr>
        <w:pStyle w:val="Body"/>
        <w:tabs>
          <w:tab w:val="left" w:pos="7898"/>
        </w:tabs>
        <w:spacing w:before="0"/>
        <w:rPr>
          <w:rFonts w:hAnsi="Times New Roman" w:cs="Times New Roman"/>
          <w:sz w:val="26"/>
          <w:szCs w:val="26"/>
          <w:lang w:val="en-US"/>
        </w:rPr>
      </w:pPr>
      <w:r>
        <w:rPr>
          <w:rFonts w:hAnsi="Times New Roman" w:cs="Times New Roman"/>
          <w:sz w:val="26"/>
          <w:szCs w:val="26"/>
          <w:lang w:val="en-US"/>
        </w:rPr>
        <w:tab/>
      </w:r>
    </w:p>
    <w:p w:rsidR="0090188C" w:rsidRDefault="0090188C">
      <w:pPr>
        <w:pStyle w:val="Body"/>
        <w:spacing w:before="0"/>
        <w:rPr>
          <w:rFonts w:hAnsi="Times New Roman" w:cs="Times New Roman"/>
          <w:sz w:val="26"/>
          <w:szCs w:val="26"/>
          <w:lang w:val="en-US"/>
        </w:rPr>
      </w:pPr>
    </w:p>
    <w:p w:rsidR="0008290D" w:rsidRDefault="0008290D">
      <w:pPr>
        <w:pStyle w:val="Body"/>
        <w:spacing w:before="0"/>
        <w:rPr>
          <w:rFonts w:hAnsi="Times New Roman" w:cs="Times New Roman"/>
          <w:sz w:val="26"/>
          <w:szCs w:val="26"/>
          <w:lang w:val="en-US"/>
        </w:rPr>
      </w:pPr>
      <w:bookmarkStart w:id="0" w:name="_GoBack"/>
      <w:bookmarkEnd w:id="0"/>
    </w:p>
    <w:p w:rsidR="0008290D" w:rsidRDefault="0008290D">
      <w:pPr>
        <w:pStyle w:val="Body"/>
        <w:spacing w:before="0"/>
        <w:rPr>
          <w:rFonts w:hAnsi="Times New Roman" w:cs="Times New Roman"/>
          <w:sz w:val="26"/>
          <w:szCs w:val="26"/>
          <w:lang w:val="en-US"/>
        </w:rPr>
      </w:pPr>
    </w:p>
    <w:p w:rsidR="0008290D" w:rsidRDefault="0008290D">
      <w:pPr>
        <w:pStyle w:val="Body"/>
        <w:spacing w:before="0"/>
        <w:rPr>
          <w:rFonts w:hAnsi="Times New Roman" w:cs="Times New Roman"/>
          <w:sz w:val="26"/>
          <w:szCs w:val="26"/>
          <w:lang w:val="en-US"/>
        </w:rPr>
      </w:pPr>
    </w:p>
    <w:p w:rsidR="0008290D" w:rsidRDefault="0008290D">
      <w:pPr>
        <w:pStyle w:val="Body"/>
        <w:spacing w:before="0"/>
        <w:rPr>
          <w:rFonts w:hAnsi="Times New Roman" w:cs="Times New Roman"/>
          <w:sz w:val="26"/>
          <w:szCs w:val="26"/>
          <w:lang w:val="en-US"/>
        </w:rPr>
      </w:pPr>
    </w:p>
    <w:p w:rsidR="0008290D" w:rsidRDefault="0008290D">
      <w:pPr>
        <w:pStyle w:val="Body"/>
        <w:spacing w:before="0"/>
        <w:rPr>
          <w:rFonts w:hAnsi="Times New Roman" w:cs="Times New Roman"/>
          <w:sz w:val="26"/>
          <w:szCs w:val="26"/>
          <w:lang w:val="en-US"/>
        </w:rPr>
      </w:pPr>
    </w:p>
    <w:p w:rsidR="0090188C" w:rsidRDefault="0090188C" w:rsidP="00B014ED">
      <w:pPr>
        <w:tabs>
          <w:tab w:val="left" w:pos="900"/>
        </w:tabs>
        <w:ind w:left="810"/>
        <w:jc w:val="center"/>
        <w:rPr>
          <w:rFonts w:asciiTheme="majorHAnsi" w:hAnsiTheme="majorHAnsi" w:cstheme="majorHAnsi"/>
          <w:b/>
          <w:sz w:val="28"/>
          <w:szCs w:val="28"/>
        </w:rPr>
      </w:pPr>
    </w:p>
    <w:p w:rsidR="0090188C" w:rsidRDefault="0090188C" w:rsidP="00B014ED">
      <w:pPr>
        <w:tabs>
          <w:tab w:val="left" w:pos="900"/>
        </w:tabs>
        <w:ind w:left="810"/>
        <w:jc w:val="center"/>
        <w:rPr>
          <w:rFonts w:asciiTheme="majorHAnsi" w:hAnsiTheme="majorHAnsi" w:cstheme="majorHAnsi"/>
          <w:b/>
          <w:sz w:val="28"/>
          <w:szCs w:val="28"/>
        </w:rPr>
      </w:pPr>
    </w:p>
    <w:p w:rsidR="0090188C" w:rsidRPr="00B014ED" w:rsidRDefault="0090188C" w:rsidP="00B014ED">
      <w:pPr>
        <w:tabs>
          <w:tab w:val="left" w:pos="900"/>
        </w:tabs>
        <w:ind w:left="810"/>
        <w:jc w:val="center"/>
        <w:rPr>
          <w:rFonts w:asciiTheme="majorHAnsi" w:hAnsiTheme="majorHAnsi" w:cstheme="majorHAnsi"/>
          <w:b/>
          <w:sz w:val="28"/>
          <w:szCs w:val="28"/>
        </w:rPr>
      </w:pPr>
    </w:p>
    <w:sectPr w:rsidR="0090188C" w:rsidRPr="00B014ED" w:rsidSect="000335C0">
      <w:headerReference w:type="default" r:id="rId9"/>
      <w:footerReference w:type="default" r:id="rId10"/>
      <w:pgSz w:w="12240" w:h="15840"/>
      <w:pgMar w:top="576" w:right="576" w:bottom="576" w:left="576"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4A8" w:rsidRDefault="00B314A8">
      <w:r>
        <w:separator/>
      </w:r>
    </w:p>
  </w:endnote>
  <w:endnote w:type="continuationSeparator" w:id="0">
    <w:p w:rsidR="00B314A8" w:rsidRDefault="00B31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9233803"/>
      <w:docPartObj>
        <w:docPartGallery w:val="Page Numbers (Bottom of Page)"/>
        <w:docPartUnique/>
      </w:docPartObj>
    </w:sdtPr>
    <w:sdtEndPr>
      <w:rPr>
        <w:noProof/>
      </w:rPr>
    </w:sdtEndPr>
    <w:sdtContent>
      <w:p w:rsidR="00333412" w:rsidRDefault="00333412">
        <w:pPr>
          <w:pStyle w:val="Footer"/>
          <w:jc w:val="right"/>
        </w:pPr>
        <w:r>
          <w:fldChar w:fldCharType="begin"/>
        </w:r>
        <w:r>
          <w:instrText xml:space="preserve"> PAGE   \* MERGEFORMAT </w:instrText>
        </w:r>
        <w:r>
          <w:fldChar w:fldCharType="separate"/>
        </w:r>
        <w:r w:rsidR="003841DF">
          <w:rPr>
            <w:noProof/>
          </w:rPr>
          <w:t>9</w:t>
        </w:r>
        <w:r>
          <w:rPr>
            <w:noProof/>
          </w:rPr>
          <w:fldChar w:fldCharType="end"/>
        </w:r>
      </w:p>
    </w:sdtContent>
  </w:sdt>
  <w:p w:rsidR="00333412" w:rsidRDefault="003334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4A8" w:rsidRDefault="00B314A8">
      <w:r>
        <w:separator/>
      </w:r>
    </w:p>
  </w:footnote>
  <w:footnote w:type="continuationSeparator" w:id="0">
    <w:p w:rsidR="00B314A8" w:rsidRDefault="00B314A8">
      <w:r>
        <w:continuationSeparator/>
      </w:r>
    </w:p>
  </w:footnote>
  <w:footnote w:type="continuationNotice" w:id="1">
    <w:p w:rsidR="00B314A8" w:rsidRDefault="00B314A8"/>
  </w:footnote>
  <w:footnote w:id="2">
    <w:p w:rsidR="00AD6C0C" w:rsidRPr="003A308A" w:rsidRDefault="00AD6C0C">
      <w:pPr>
        <w:pStyle w:val="FootnoteText"/>
        <w:rPr>
          <w:color w:val="auto"/>
        </w:rPr>
      </w:pPr>
      <w:r>
        <w:rPr>
          <w:rStyle w:val="FootnoteReference"/>
        </w:rPr>
        <w:footnoteRef/>
      </w:r>
      <w:r>
        <w:t xml:space="preserve"> </w:t>
      </w:r>
      <w:hyperlink r:id="rId1" w:history="1">
        <w:r w:rsidRPr="003A308A">
          <w:rPr>
            <w:rStyle w:val="Hyperlink"/>
            <w:color w:val="auto"/>
          </w:rPr>
          <w:t>http://www.southbridgeeveningnews.com/pdf/WEB.2009.04.10.pdf</w:t>
        </w:r>
      </w:hyperlink>
    </w:p>
  </w:footnote>
  <w:footnote w:id="3">
    <w:p w:rsidR="00AD6C0C" w:rsidRPr="003A308A" w:rsidRDefault="00AD6C0C">
      <w:pPr>
        <w:pStyle w:val="FootnoteText"/>
        <w:rPr>
          <w:color w:val="auto"/>
        </w:rPr>
      </w:pPr>
      <w:r w:rsidRPr="003A308A">
        <w:rPr>
          <w:rStyle w:val="FootnoteReference"/>
          <w:color w:val="auto"/>
        </w:rPr>
        <w:footnoteRef/>
      </w:r>
      <w:r w:rsidRPr="003A308A">
        <w:rPr>
          <w:color w:val="auto"/>
        </w:rPr>
        <w:t xml:space="preserve"> </w:t>
      </w:r>
      <w:hyperlink r:id="rId2" w:history="1">
        <w:r w:rsidR="004D1E5D" w:rsidRPr="003A308A">
          <w:rPr>
            <w:rStyle w:val="Hyperlink"/>
            <w:color w:val="auto"/>
          </w:rPr>
          <w:t>http://www.bizjournals.com/boston/stories/2009/05/04/daily34.html</w:t>
        </w:r>
      </w:hyperlink>
      <w:r w:rsidR="004D1E5D" w:rsidRPr="003A308A">
        <w:rPr>
          <w:color w:val="auto"/>
        </w:rPr>
        <w:t xml:space="preserve"> </w:t>
      </w:r>
    </w:p>
  </w:footnote>
  <w:footnote w:id="4">
    <w:p w:rsidR="00AD6C0C" w:rsidRPr="003A308A" w:rsidRDefault="00AD6C0C">
      <w:pPr>
        <w:pStyle w:val="FootnoteText"/>
        <w:rPr>
          <w:color w:val="auto"/>
        </w:rPr>
      </w:pPr>
      <w:r w:rsidRPr="003A308A">
        <w:rPr>
          <w:rStyle w:val="FootnoteReference"/>
          <w:color w:val="auto"/>
        </w:rPr>
        <w:footnoteRef/>
      </w:r>
      <w:r w:rsidRPr="003A308A">
        <w:rPr>
          <w:color w:val="auto"/>
        </w:rPr>
        <w:t xml:space="preserve"> </w:t>
      </w:r>
      <w:hyperlink r:id="rId3" w:history="1">
        <w:r w:rsidR="004D1E5D" w:rsidRPr="003A308A">
          <w:rPr>
            <w:rStyle w:val="Hyperlink"/>
            <w:color w:val="auto"/>
          </w:rPr>
          <w:t>http://www.southbridgeeveningnews.com/pdf/WEB.2009.04.10.pdf</w:t>
        </w:r>
      </w:hyperlink>
      <w:r w:rsidR="004D1E5D" w:rsidRPr="003A308A">
        <w:rPr>
          <w:color w:val="auto"/>
        </w:rPr>
        <w:t xml:space="preserve"> </w:t>
      </w:r>
    </w:p>
  </w:footnote>
  <w:footnote w:id="5">
    <w:p w:rsidR="00AD6C0C" w:rsidRDefault="00AD6C0C">
      <w:pPr>
        <w:pStyle w:val="FootnoteText"/>
      </w:pPr>
      <w:r w:rsidRPr="003A308A">
        <w:rPr>
          <w:rStyle w:val="FootnoteReference"/>
          <w:color w:val="auto"/>
        </w:rPr>
        <w:footnoteRef/>
      </w:r>
      <w:r w:rsidRPr="003A308A">
        <w:rPr>
          <w:color w:val="auto"/>
        </w:rPr>
        <w:t xml:space="preserve"> </w:t>
      </w:r>
      <w:hyperlink r:id="rId4" w:history="1">
        <w:r w:rsidR="004D1E5D" w:rsidRPr="003A308A">
          <w:rPr>
            <w:rStyle w:val="Hyperlink"/>
            <w:color w:val="auto"/>
          </w:rPr>
          <w:t>http://www.southbridgeeveningnews.com/pdf/WEB.2009.04.10.pdf</w:t>
        </w:r>
      </w:hyperlink>
      <w:r w:rsidR="004D1E5D" w:rsidRPr="003A308A">
        <w:rPr>
          <w:color w:val="auto"/>
        </w:rPr>
        <w:t xml:space="preserve"> </w:t>
      </w:r>
    </w:p>
  </w:footnote>
  <w:footnote w:id="6">
    <w:p w:rsidR="009B72A5" w:rsidRPr="003A308A" w:rsidRDefault="00463812" w:rsidP="009B72A5">
      <w:pPr>
        <w:pStyle w:val="FootnoteText"/>
        <w:rPr>
          <w:color w:val="auto"/>
        </w:rPr>
      </w:pPr>
      <w:r w:rsidRPr="003A308A">
        <w:rPr>
          <w:rStyle w:val="FootnoteReference"/>
          <w:color w:val="auto"/>
        </w:rPr>
        <w:footnoteRef/>
      </w:r>
      <w:r w:rsidRPr="003A308A">
        <w:rPr>
          <w:color w:val="auto"/>
        </w:rPr>
        <w:t xml:space="preserve"> </w:t>
      </w:r>
      <w:hyperlink r:id="rId5" w:history="1">
        <w:r w:rsidRPr="003A308A">
          <w:rPr>
            <w:rStyle w:val="Hyperlink"/>
            <w:color w:val="auto"/>
          </w:rPr>
          <w:t>http://www.mass.gov/eohhs/docs/dph/northern-berkshire-county-assessment.pdf</w:t>
        </w:r>
      </w:hyperlink>
      <w:r w:rsidR="009B72A5">
        <w:rPr>
          <w:rStyle w:val="Hyperlink"/>
          <w:color w:val="auto"/>
        </w:rPr>
        <w:t xml:space="preserve">. </w:t>
      </w:r>
      <w:r w:rsidR="009B72A5" w:rsidRPr="003A308A">
        <w:rPr>
          <w:color w:val="auto"/>
        </w:rPr>
        <w:t>The Berkshire Eagle posted a financial summary of the hospital from 1999 through 2012.</w:t>
      </w:r>
      <w:r w:rsidR="009B72A5">
        <w:rPr>
          <w:color w:val="auto"/>
        </w:rPr>
        <w:t xml:space="preserve"> </w:t>
      </w:r>
      <w:hyperlink r:id="rId6" w:history="1">
        <w:r w:rsidR="009B72A5" w:rsidRPr="003A308A">
          <w:rPr>
            <w:rStyle w:val="Hyperlink"/>
            <w:color w:val="auto"/>
          </w:rPr>
          <w:t>http://www.berkshireeagle.com/ci_25420000/</w:t>
        </w:r>
      </w:hyperlink>
    </w:p>
    <w:p w:rsidR="00463812" w:rsidRPr="003A308A" w:rsidRDefault="009B72A5">
      <w:pPr>
        <w:pStyle w:val="FootnoteText"/>
        <w:rPr>
          <w:color w:val="auto"/>
        </w:rPr>
      </w:pPr>
      <w:r w:rsidRPr="003A308A">
        <w:rPr>
          <w:color w:val="auto"/>
        </w:rPr>
        <w:t xml:space="preserve"> A complete listing of news articles on the closure is also available on the “Berkshire Eagle” website.</w:t>
      </w:r>
      <w:r>
        <w:rPr>
          <w:color w:val="auto"/>
        </w:rPr>
        <w:t xml:space="preserve"> </w:t>
      </w:r>
      <w:hyperlink r:id="rId7" w:history="1">
        <w:r w:rsidRPr="003A308A">
          <w:rPr>
            <w:rStyle w:val="Hyperlink"/>
            <w:color w:val="auto"/>
          </w:rPr>
          <w:t>http://www.berkshireeagle.com/news/ci_25425441/narh-complete-coverage-north-adams-regional-hospital-closing</w:t>
        </w:r>
      </w:hyperlink>
    </w:p>
  </w:footnote>
  <w:footnote w:id="7">
    <w:p w:rsidR="00463812" w:rsidRPr="003A308A" w:rsidRDefault="00463812">
      <w:pPr>
        <w:pStyle w:val="FootnoteText"/>
        <w:rPr>
          <w:color w:val="auto"/>
        </w:rPr>
      </w:pPr>
      <w:r w:rsidRPr="003A308A">
        <w:rPr>
          <w:rStyle w:val="FootnoteReference"/>
          <w:color w:val="auto"/>
        </w:rPr>
        <w:footnoteRef/>
      </w:r>
      <w:r w:rsidRPr="003A308A">
        <w:rPr>
          <w:color w:val="auto"/>
        </w:rPr>
        <w:t xml:space="preserve"> </w:t>
      </w:r>
      <w:hyperlink r:id="rId8" w:history="1">
        <w:r w:rsidRPr="003A308A">
          <w:rPr>
            <w:rStyle w:val="Hyperlink"/>
            <w:color w:val="auto"/>
          </w:rPr>
          <w:t>http://cases.gcginc.com/NBHealth/</w:t>
        </w:r>
      </w:hyperlink>
    </w:p>
  </w:footnote>
  <w:footnote w:id="8">
    <w:p w:rsidR="00463812" w:rsidRPr="003A308A" w:rsidRDefault="00463812">
      <w:pPr>
        <w:pStyle w:val="FootnoteText"/>
        <w:rPr>
          <w:color w:val="auto"/>
        </w:rPr>
      </w:pPr>
      <w:r w:rsidRPr="003A308A">
        <w:rPr>
          <w:rStyle w:val="FootnoteReference"/>
          <w:color w:val="auto"/>
        </w:rPr>
        <w:footnoteRef/>
      </w:r>
      <w:r w:rsidRPr="003A308A">
        <w:rPr>
          <w:color w:val="auto"/>
        </w:rPr>
        <w:t xml:space="preserve"> </w:t>
      </w:r>
      <w:hyperlink r:id="rId9" w:history="1">
        <w:r w:rsidRPr="003A308A">
          <w:rPr>
            <w:rStyle w:val="Hyperlink"/>
            <w:color w:val="auto"/>
          </w:rPr>
          <w:t>http://www.berkshireeagle.com/ci_25435020</w:t>
        </w:r>
      </w:hyperlink>
    </w:p>
  </w:footnote>
  <w:footnote w:id="9">
    <w:p w:rsidR="00463812" w:rsidRPr="003A308A" w:rsidRDefault="00463812">
      <w:pPr>
        <w:pStyle w:val="FootnoteText"/>
        <w:rPr>
          <w:color w:val="auto"/>
        </w:rPr>
      </w:pPr>
      <w:r w:rsidRPr="003A308A">
        <w:rPr>
          <w:rStyle w:val="FootnoteReference"/>
          <w:color w:val="auto"/>
        </w:rPr>
        <w:footnoteRef/>
      </w:r>
      <w:r w:rsidRPr="003A308A">
        <w:rPr>
          <w:color w:val="auto"/>
        </w:rPr>
        <w:t xml:space="preserve"> </w:t>
      </w:r>
      <w:hyperlink r:id="rId10" w:history="1">
        <w:r w:rsidRPr="003A308A">
          <w:rPr>
            <w:rStyle w:val="Hyperlink"/>
            <w:color w:val="auto"/>
          </w:rPr>
          <w:t>http://www.berkshireeagle.com/news/ci_25441585/northern-berkshire-healthcare-trustees-open-letter-community</w:t>
        </w:r>
      </w:hyperlink>
    </w:p>
  </w:footnote>
  <w:footnote w:id="10">
    <w:p w:rsidR="00463812" w:rsidRDefault="00463812">
      <w:pPr>
        <w:pStyle w:val="FootnoteText"/>
      </w:pPr>
      <w:r w:rsidRPr="003A308A">
        <w:rPr>
          <w:rStyle w:val="FootnoteReference"/>
          <w:color w:val="auto"/>
        </w:rPr>
        <w:footnoteRef/>
      </w:r>
      <w:r w:rsidRPr="003A308A">
        <w:rPr>
          <w:color w:val="auto"/>
        </w:rPr>
        <w:t xml:space="preserve"> </w:t>
      </w:r>
      <w:hyperlink r:id="rId11" w:history="1">
        <w:r w:rsidRPr="003A308A">
          <w:rPr>
            <w:rStyle w:val="Hyperlink"/>
            <w:color w:val="auto"/>
          </w:rPr>
          <w:t>http://www.massnurses.org/news-and-events/p/openItem/8902</w:t>
        </w:r>
      </w:hyperlink>
    </w:p>
  </w:footnote>
  <w:footnote w:id="11">
    <w:p w:rsidR="00463812" w:rsidRPr="003A308A" w:rsidRDefault="00463812">
      <w:pPr>
        <w:pStyle w:val="FootnoteText"/>
        <w:rPr>
          <w:color w:val="auto"/>
        </w:rPr>
      </w:pPr>
      <w:r w:rsidRPr="003A308A">
        <w:rPr>
          <w:rStyle w:val="FootnoteReference"/>
          <w:color w:val="auto"/>
        </w:rPr>
        <w:footnoteRef/>
      </w:r>
      <w:r w:rsidRPr="003A308A">
        <w:rPr>
          <w:color w:val="auto"/>
        </w:rPr>
        <w:t xml:space="preserve"> </w:t>
      </w:r>
      <w:hyperlink r:id="rId12" w:history="1">
        <w:r w:rsidRPr="003A308A">
          <w:rPr>
            <w:rStyle w:val="Hyperlink"/>
            <w:color w:val="auto"/>
          </w:rPr>
          <w:t>http://www.mass.gov/eohhs/docs/dph/northern-berkshire-county-assessment.pdf</w:t>
        </w:r>
      </w:hyperlink>
    </w:p>
  </w:footnote>
  <w:footnote w:id="12">
    <w:p w:rsidR="008617FC" w:rsidRPr="003A308A" w:rsidRDefault="008617FC">
      <w:pPr>
        <w:pStyle w:val="FootnoteText"/>
        <w:rPr>
          <w:color w:val="auto"/>
        </w:rPr>
      </w:pPr>
      <w:r w:rsidRPr="003A308A">
        <w:rPr>
          <w:rStyle w:val="FootnoteReference"/>
          <w:color w:val="auto"/>
        </w:rPr>
        <w:footnoteRef/>
      </w:r>
      <w:r w:rsidRPr="003A308A">
        <w:rPr>
          <w:color w:val="auto"/>
        </w:rPr>
        <w:t xml:space="preserve"> </w:t>
      </w:r>
      <w:hyperlink r:id="rId13" w:history="1">
        <w:r w:rsidR="004D1E5D" w:rsidRPr="003A308A">
          <w:rPr>
            <w:rStyle w:val="Hyperlink"/>
            <w:color w:val="auto"/>
          </w:rPr>
          <w:t>http://www.bostonglobe.com/business/2014/09/23/radius-specialty-hospital-laying-off-workers/uSlAh6JFv6pFuCcSOs4seP/story.html</w:t>
        </w:r>
      </w:hyperlink>
      <w:r w:rsidR="004D1E5D" w:rsidRPr="003A308A">
        <w:rPr>
          <w:color w:val="auto"/>
        </w:rPr>
        <w:t xml:space="preserve"> </w:t>
      </w:r>
    </w:p>
  </w:footnote>
  <w:footnote w:id="13">
    <w:p w:rsidR="00FB6F98" w:rsidRPr="00CD4464" w:rsidRDefault="00FB6F98" w:rsidP="00FB6F98">
      <w:pPr>
        <w:pStyle w:val="FootnoteText"/>
        <w:rPr>
          <w:sz w:val="16"/>
          <w:szCs w:val="16"/>
        </w:rPr>
      </w:pPr>
      <w:r w:rsidRPr="003A308A">
        <w:rPr>
          <w:color w:val="auto"/>
          <w:vertAlign w:val="superscript"/>
        </w:rPr>
        <w:footnoteRef/>
      </w:r>
      <w:r w:rsidRPr="003A308A">
        <w:rPr>
          <w:rFonts w:eastAsia="Arial Unicode MS" w:hAnsi="Arial Unicode MS" w:cs="Arial Unicode MS"/>
          <w:color w:val="auto"/>
        </w:rPr>
        <w:t xml:space="preserve"> </w:t>
      </w:r>
      <w:hyperlink r:id="rId14" w:history="1">
        <w:r w:rsidRPr="003A308A">
          <w:rPr>
            <w:rStyle w:val="Hyperlink0"/>
            <w:rFonts w:eastAsia="Arial Unicode MS" w:hAnsi="Arial Unicode MS" w:cs="Arial Unicode MS"/>
            <w:color w:val="auto"/>
            <w:sz w:val="20"/>
            <w:szCs w:val="20"/>
          </w:rPr>
          <w:t>http://www.cms.gov/About-CMS/Legislative-Affairs/OfficeofLegislation/downloads/RTC-long-term-care-hospitals-final.pdf</w:t>
        </w:r>
      </w:hyperlink>
      <w:r w:rsidRPr="003A308A">
        <w:rPr>
          <w:rFonts w:eastAsia="Arial Unicode MS" w:hAnsi="Arial Unicode MS" w:cs="Arial Unicode MS"/>
          <w:color w:val="auto"/>
          <w:sz w:val="16"/>
          <w:szCs w:val="16"/>
          <w:u w:color="1F497D"/>
        </w:rPr>
        <w:t xml:space="preserve">  </w:t>
      </w:r>
    </w:p>
  </w:footnote>
  <w:footnote w:id="14">
    <w:p w:rsidR="008617FC" w:rsidRDefault="008617FC">
      <w:pPr>
        <w:pStyle w:val="FootnoteText"/>
      </w:pPr>
      <w:r w:rsidRPr="003A308A">
        <w:rPr>
          <w:rStyle w:val="FootnoteReference"/>
          <w:color w:val="auto"/>
        </w:rPr>
        <w:footnoteRef/>
      </w:r>
      <w:r w:rsidRPr="003A308A">
        <w:rPr>
          <w:color w:val="auto"/>
        </w:rPr>
        <w:t xml:space="preserve"> </w:t>
      </w:r>
      <w:hyperlink r:id="rId15" w:history="1">
        <w:r w:rsidRPr="003A308A">
          <w:rPr>
            <w:rStyle w:val="Hyperlink"/>
            <w:color w:val="auto"/>
          </w:rPr>
          <w:t>http://news.vanderbilt.edu/2014/11/pneumonia-vaccine-reducing-pediatric-admissions%E2%80%88report/</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412" w:rsidRDefault="00B314A8">
    <w:pPr>
      <w:pStyle w:val="Header"/>
    </w:pPr>
    <w:sdt>
      <w:sdtPr>
        <w:id w:val="-774171530"/>
        <w:docPartObj>
          <w:docPartGallery w:val="Watermarks"/>
          <w:docPartUnique/>
        </w:docPartObj>
      </w:sdtPr>
      <w:sdtEnd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33412">
      <w:t xml:space="preserve">--- DRAFT </w:t>
    </w:r>
    <w:r w:rsidR="00333412">
      <w:t>–</w:t>
    </w:r>
    <w:r w:rsidR="00333412">
      <w:t xml:space="preserve"> </w:t>
    </w:r>
  </w:p>
  <w:p w:rsidR="00AD6C0C" w:rsidRDefault="00AD6C0C" w:rsidP="00AD6C0C">
    <w:pPr>
      <w:pStyle w:val="Header"/>
    </w:pPr>
    <w:r>
      <w:t>Task Force on the Discontinuation of Essential Health Services: Discussion Document</w:t>
    </w:r>
  </w:p>
  <w:p w:rsidR="00333412" w:rsidRDefault="003334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62A29"/>
    <w:multiLevelType w:val="hybridMultilevel"/>
    <w:tmpl w:val="ECB433D4"/>
    <w:lvl w:ilvl="0" w:tplc="7DC0B9EA">
      <w:start w:val="1"/>
      <w:numFmt w:val="bullet"/>
      <w:lvlText w:val=""/>
      <w:lvlJc w:val="left"/>
      <w:pPr>
        <w:tabs>
          <w:tab w:val="num" w:pos="360"/>
        </w:tabs>
        <w:ind w:left="36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20077"/>
    <w:multiLevelType w:val="multilevel"/>
    <w:tmpl w:val="2A58BB26"/>
    <w:styleLink w:val="List0"/>
    <w:lvl w:ilvl="0">
      <w:start w:val="4"/>
      <w:numFmt w:val="upperRoman"/>
      <w:lvlText w:val="%1."/>
      <w:lvlJc w:val="left"/>
      <w:pPr>
        <w:tabs>
          <w:tab w:val="num" w:pos="360"/>
        </w:tabs>
        <w:ind w:left="360" w:hanging="360"/>
      </w:pPr>
      <w:rPr>
        <w:rFonts w:ascii="Times New Roman" w:eastAsia="Times New Roman" w:hAnsi="Times New Roman" w:cs="Times New Roman"/>
        <w:b/>
        <w:bCs/>
        <w:i w:val="0"/>
        <w:iCs w:val="0"/>
        <w:caps w:val="0"/>
        <w:smallCaps w:val="0"/>
        <w:strike w:val="0"/>
        <w:dstrike w:val="0"/>
        <w:outline w:val="0"/>
        <w:color w:val="000000"/>
        <w:spacing w:val="0"/>
        <w:kern w:val="0"/>
        <w:position w:val="0"/>
        <w:sz w:val="24"/>
        <w:szCs w:val="24"/>
        <w:u w:val="none"/>
        <w:vertAlign w:val="baseline"/>
      </w:rPr>
    </w:lvl>
    <w:lvl w:ilvl="1">
      <w:start w:val="1"/>
      <w:numFmt w:val="lowerLetter"/>
      <w:lvlText w:val="%2."/>
      <w:lvlJc w:val="left"/>
      <w:pPr>
        <w:tabs>
          <w:tab w:val="num" w:pos="1440"/>
        </w:tabs>
        <w:ind w:left="1440" w:hanging="360"/>
      </w:pPr>
      <w:rPr>
        <w:rFonts w:ascii="Times New Roman" w:eastAsia="Times New Roman" w:hAnsi="Times New Roman" w:cs="Times New Roman"/>
        <w:b/>
        <w:bCs/>
        <w:i w:val="0"/>
        <w:iCs w:val="0"/>
        <w:caps w:val="0"/>
        <w:smallCaps w:val="0"/>
        <w:strike w:val="0"/>
        <w:dstrike w:val="0"/>
        <w:outline w:val="0"/>
        <w:color w:val="000000"/>
        <w:spacing w:val="0"/>
        <w:kern w:val="0"/>
        <w:position w:val="0"/>
        <w:sz w:val="24"/>
        <w:szCs w:val="24"/>
        <w:u w:val="none"/>
        <w:vertAlign w:val="baseline"/>
      </w:rPr>
    </w:lvl>
    <w:lvl w:ilvl="2">
      <w:start w:val="1"/>
      <w:numFmt w:val="lowerRoman"/>
      <w:lvlText w:val="%3."/>
      <w:lvlJc w:val="left"/>
      <w:pPr>
        <w:tabs>
          <w:tab w:val="num" w:pos="2160"/>
        </w:tabs>
        <w:ind w:left="2160" w:hanging="296"/>
      </w:pPr>
      <w:rPr>
        <w:rFonts w:ascii="Times New Roman" w:eastAsia="Times New Roman" w:hAnsi="Times New Roman" w:cs="Times New Roman"/>
        <w:b/>
        <w:bCs/>
        <w:i w:val="0"/>
        <w:iCs w:val="0"/>
        <w:caps w:val="0"/>
        <w:smallCaps w:val="0"/>
        <w:strike w:val="0"/>
        <w:dstrike w:val="0"/>
        <w:outline w:val="0"/>
        <w:color w:val="000000"/>
        <w:spacing w:val="0"/>
        <w:kern w:val="0"/>
        <w:position w:val="0"/>
        <w:sz w:val="24"/>
        <w:szCs w:val="24"/>
        <w:u w:val="none"/>
        <w:vertAlign w:val="baseline"/>
      </w:rPr>
    </w:lvl>
    <w:lvl w:ilvl="3">
      <w:start w:val="1"/>
      <w:numFmt w:val="decimal"/>
      <w:lvlText w:val="%4."/>
      <w:lvlJc w:val="left"/>
      <w:pPr>
        <w:tabs>
          <w:tab w:val="num" w:pos="2880"/>
        </w:tabs>
        <w:ind w:left="2880" w:hanging="360"/>
      </w:pPr>
      <w:rPr>
        <w:rFonts w:ascii="Times New Roman" w:eastAsia="Times New Roman" w:hAnsi="Times New Roman" w:cs="Times New Roman"/>
        <w:b/>
        <w:bCs/>
        <w:i w:val="0"/>
        <w:iCs w:val="0"/>
        <w:caps w:val="0"/>
        <w:smallCaps w:val="0"/>
        <w:strike w:val="0"/>
        <w:dstrike w:val="0"/>
        <w:outline w:val="0"/>
        <w:color w:val="000000"/>
        <w:spacing w:val="0"/>
        <w:kern w:val="0"/>
        <w:position w:val="0"/>
        <w:sz w:val="24"/>
        <w:szCs w:val="24"/>
        <w:u w:val="none"/>
        <w:vertAlign w:val="baseline"/>
      </w:rPr>
    </w:lvl>
    <w:lvl w:ilvl="4">
      <w:start w:val="1"/>
      <w:numFmt w:val="lowerLetter"/>
      <w:lvlText w:val="%5."/>
      <w:lvlJc w:val="left"/>
      <w:pPr>
        <w:tabs>
          <w:tab w:val="num" w:pos="3600"/>
        </w:tabs>
        <w:ind w:left="3600" w:hanging="360"/>
      </w:pPr>
      <w:rPr>
        <w:rFonts w:ascii="Times New Roman" w:eastAsia="Times New Roman" w:hAnsi="Times New Roman" w:cs="Times New Roman"/>
        <w:b/>
        <w:bCs/>
        <w:i w:val="0"/>
        <w:iCs w:val="0"/>
        <w:caps w:val="0"/>
        <w:smallCaps w:val="0"/>
        <w:strike w:val="0"/>
        <w:dstrike w:val="0"/>
        <w:outline w:val="0"/>
        <w:color w:val="000000"/>
        <w:spacing w:val="0"/>
        <w:kern w:val="0"/>
        <w:position w:val="0"/>
        <w:sz w:val="24"/>
        <w:szCs w:val="24"/>
        <w:u w:val="none"/>
        <w:vertAlign w:val="baseline"/>
      </w:rPr>
    </w:lvl>
    <w:lvl w:ilvl="5">
      <w:start w:val="1"/>
      <w:numFmt w:val="lowerRoman"/>
      <w:lvlText w:val="%6."/>
      <w:lvlJc w:val="left"/>
      <w:pPr>
        <w:tabs>
          <w:tab w:val="num" w:pos="4320"/>
        </w:tabs>
        <w:ind w:left="4320" w:hanging="296"/>
      </w:pPr>
      <w:rPr>
        <w:rFonts w:ascii="Times New Roman" w:eastAsia="Times New Roman" w:hAnsi="Times New Roman" w:cs="Times New Roman"/>
        <w:b/>
        <w:bCs/>
        <w:i w:val="0"/>
        <w:iCs w:val="0"/>
        <w:caps w:val="0"/>
        <w:smallCaps w:val="0"/>
        <w:strike w:val="0"/>
        <w:dstrike w:val="0"/>
        <w:outline w:val="0"/>
        <w:color w:val="000000"/>
        <w:spacing w:val="0"/>
        <w:kern w:val="0"/>
        <w:position w:val="0"/>
        <w:sz w:val="24"/>
        <w:szCs w:val="24"/>
        <w:u w:val="none"/>
        <w:vertAlign w:val="baseline"/>
      </w:rPr>
    </w:lvl>
    <w:lvl w:ilvl="6">
      <w:start w:val="1"/>
      <w:numFmt w:val="decimal"/>
      <w:lvlText w:val="%7."/>
      <w:lvlJc w:val="left"/>
      <w:pPr>
        <w:tabs>
          <w:tab w:val="num" w:pos="5040"/>
        </w:tabs>
        <w:ind w:left="5040" w:hanging="360"/>
      </w:pPr>
      <w:rPr>
        <w:rFonts w:ascii="Times New Roman" w:eastAsia="Times New Roman" w:hAnsi="Times New Roman" w:cs="Times New Roman"/>
        <w:b/>
        <w:bCs/>
        <w:i w:val="0"/>
        <w:iCs w:val="0"/>
        <w:caps w:val="0"/>
        <w:smallCaps w:val="0"/>
        <w:strike w:val="0"/>
        <w:dstrike w:val="0"/>
        <w:outline w:val="0"/>
        <w:color w:val="000000"/>
        <w:spacing w:val="0"/>
        <w:kern w:val="0"/>
        <w:position w:val="0"/>
        <w:sz w:val="24"/>
        <w:szCs w:val="24"/>
        <w:u w:val="none"/>
        <w:vertAlign w:val="baseline"/>
      </w:rPr>
    </w:lvl>
    <w:lvl w:ilvl="7">
      <w:start w:val="1"/>
      <w:numFmt w:val="lowerLetter"/>
      <w:lvlText w:val="%8."/>
      <w:lvlJc w:val="left"/>
      <w:pPr>
        <w:tabs>
          <w:tab w:val="num" w:pos="5760"/>
        </w:tabs>
        <w:ind w:left="5760" w:hanging="360"/>
      </w:pPr>
      <w:rPr>
        <w:rFonts w:ascii="Times New Roman" w:eastAsia="Times New Roman" w:hAnsi="Times New Roman" w:cs="Times New Roman"/>
        <w:b/>
        <w:bCs/>
        <w:i w:val="0"/>
        <w:iCs w:val="0"/>
        <w:caps w:val="0"/>
        <w:smallCaps w:val="0"/>
        <w:strike w:val="0"/>
        <w:dstrike w:val="0"/>
        <w:outline w:val="0"/>
        <w:color w:val="000000"/>
        <w:spacing w:val="0"/>
        <w:kern w:val="0"/>
        <w:position w:val="0"/>
        <w:sz w:val="24"/>
        <w:szCs w:val="24"/>
        <w:u w:val="none"/>
        <w:vertAlign w:val="baseline"/>
      </w:rPr>
    </w:lvl>
    <w:lvl w:ilvl="8">
      <w:start w:val="1"/>
      <w:numFmt w:val="lowerRoman"/>
      <w:lvlText w:val="%9."/>
      <w:lvlJc w:val="left"/>
      <w:pPr>
        <w:tabs>
          <w:tab w:val="num" w:pos="6480"/>
        </w:tabs>
        <w:ind w:left="6480" w:hanging="296"/>
      </w:pPr>
      <w:rPr>
        <w:rFonts w:ascii="Times New Roman" w:eastAsia="Times New Roman" w:hAnsi="Times New Roman" w:cs="Times New Roman"/>
        <w:b/>
        <w:bCs/>
        <w:i w:val="0"/>
        <w:iCs w:val="0"/>
        <w:caps w:val="0"/>
        <w:smallCaps w:val="0"/>
        <w:strike w:val="0"/>
        <w:dstrike w:val="0"/>
        <w:outline w:val="0"/>
        <w:color w:val="000000"/>
        <w:spacing w:val="0"/>
        <w:kern w:val="0"/>
        <w:position w:val="0"/>
        <w:sz w:val="24"/>
        <w:szCs w:val="24"/>
        <w:u w:val="none"/>
        <w:vertAlign w:val="baseline"/>
      </w:rPr>
    </w:lvl>
  </w:abstractNum>
  <w:abstractNum w:abstractNumId="2">
    <w:nsid w:val="0CE965E8"/>
    <w:multiLevelType w:val="multilevel"/>
    <w:tmpl w:val="98A2FB3A"/>
    <w:styleLink w:val="List51"/>
    <w:lvl w:ilvl="0">
      <w:start w:val="1"/>
      <w:numFmt w:val="bullet"/>
      <w:lvlText w:val="•"/>
      <w:lvlJc w:val="left"/>
      <w:rPr>
        <w:position w:val="0"/>
        <w:u w:color="C0504D"/>
      </w:rPr>
    </w:lvl>
    <w:lvl w:ilvl="1">
      <w:start w:val="1"/>
      <w:numFmt w:val="bullet"/>
      <w:lvlText w:val="o"/>
      <w:lvlJc w:val="left"/>
      <w:rPr>
        <w:position w:val="0"/>
        <w:u w:color="C0504D"/>
      </w:rPr>
    </w:lvl>
    <w:lvl w:ilvl="2">
      <w:start w:val="1"/>
      <w:numFmt w:val="bullet"/>
      <w:lvlText w:val="o"/>
      <w:lvlJc w:val="left"/>
      <w:rPr>
        <w:position w:val="0"/>
        <w:u w:color="C0504D"/>
      </w:rPr>
    </w:lvl>
    <w:lvl w:ilvl="3">
      <w:numFmt w:val="bullet"/>
      <w:lvlText w:val="•"/>
      <w:lvlJc w:val="left"/>
      <w:rPr>
        <w:position w:val="0"/>
        <w:u w:color="C0504D"/>
      </w:rPr>
    </w:lvl>
    <w:lvl w:ilvl="4">
      <w:start w:val="1"/>
      <w:numFmt w:val="bullet"/>
      <w:lvlText w:val="o"/>
      <w:lvlJc w:val="left"/>
      <w:rPr>
        <w:position w:val="0"/>
        <w:u w:color="C0504D"/>
      </w:rPr>
    </w:lvl>
    <w:lvl w:ilvl="5">
      <w:start w:val="1"/>
      <w:numFmt w:val="bullet"/>
      <w:lvlText w:val="▪"/>
      <w:lvlJc w:val="left"/>
      <w:rPr>
        <w:position w:val="0"/>
        <w:u w:color="C0504D"/>
      </w:rPr>
    </w:lvl>
    <w:lvl w:ilvl="6">
      <w:start w:val="1"/>
      <w:numFmt w:val="bullet"/>
      <w:lvlText w:val="•"/>
      <w:lvlJc w:val="left"/>
      <w:rPr>
        <w:position w:val="0"/>
        <w:u w:color="C0504D"/>
      </w:rPr>
    </w:lvl>
    <w:lvl w:ilvl="7">
      <w:start w:val="1"/>
      <w:numFmt w:val="bullet"/>
      <w:lvlText w:val="o"/>
      <w:lvlJc w:val="left"/>
      <w:rPr>
        <w:position w:val="0"/>
        <w:u w:color="C0504D"/>
      </w:rPr>
    </w:lvl>
    <w:lvl w:ilvl="8">
      <w:start w:val="1"/>
      <w:numFmt w:val="bullet"/>
      <w:lvlText w:val="▪"/>
      <w:lvlJc w:val="left"/>
      <w:rPr>
        <w:position w:val="0"/>
        <w:u w:color="C0504D"/>
      </w:rPr>
    </w:lvl>
  </w:abstractNum>
  <w:abstractNum w:abstractNumId="3">
    <w:nsid w:val="0E0879E3"/>
    <w:multiLevelType w:val="multilevel"/>
    <w:tmpl w:val="9F56131A"/>
    <w:lvl w:ilvl="0">
      <w:start w:val="1"/>
      <w:numFmt w:val="upperRoman"/>
      <w:lvlText w:val="%1."/>
      <w:lvlJc w:val="left"/>
      <w:pPr>
        <w:tabs>
          <w:tab w:val="num" w:pos="360"/>
        </w:tabs>
        <w:ind w:left="360" w:hanging="360"/>
      </w:pPr>
      <w:rPr>
        <w:rFonts w:ascii="Times New Roman" w:eastAsia="Times New Roman" w:hAnsi="Times New Roman" w:cs="Times New Roman"/>
        <w:b/>
        <w:bCs/>
        <w:i w:val="0"/>
        <w:iCs w:val="0"/>
        <w:caps w:val="0"/>
        <w:smallCaps w:val="0"/>
        <w:strike w:val="0"/>
        <w:dstrike w:val="0"/>
        <w:outline w:val="0"/>
        <w:color w:val="000000"/>
        <w:spacing w:val="0"/>
        <w:kern w:val="0"/>
        <w:position w:val="0"/>
        <w:sz w:val="24"/>
        <w:szCs w:val="24"/>
        <w:u w:val="none"/>
        <w:vertAlign w:val="baseline"/>
      </w:rPr>
    </w:lvl>
    <w:lvl w:ilvl="1">
      <w:start w:val="1"/>
      <w:numFmt w:val="lowerLetter"/>
      <w:lvlText w:val="%2."/>
      <w:lvlJc w:val="left"/>
      <w:pPr>
        <w:tabs>
          <w:tab w:val="num" w:pos="1440"/>
        </w:tabs>
        <w:ind w:left="1440" w:hanging="360"/>
      </w:pPr>
      <w:rPr>
        <w:rFonts w:ascii="Times New Roman" w:eastAsia="Times New Roman" w:hAnsi="Times New Roman" w:cs="Times New Roman"/>
        <w:b/>
        <w:bCs/>
        <w:i w:val="0"/>
        <w:iCs w:val="0"/>
        <w:caps w:val="0"/>
        <w:smallCaps w:val="0"/>
        <w:strike w:val="0"/>
        <w:dstrike w:val="0"/>
        <w:outline w:val="0"/>
        <w:color w:val="000000"/>
        <w:spacing w:val="0"/>
        <w:kern w:val="0"/>
        <w:position w:val="0"/>
        <w:sz w:val="24"/>
        <w:szCs w:val="24"/>
        <w:u w:val="none"/>
        <w:vertAlign w:val="baseline"/>
      </w:rPr>
    </w:lvl>
    <w:lvl w:ilvl="2">
      <w:start w:val="1"/>
      <w:numFmt w:val="lowerRoman"/>
      <w:lvlText w:val="%3."/>
      <w:lvlJc w:val="left"/>
      <w:pPr>
        <w:tabs>
          <w:tab w:val="num" w:pos="2160"/>
        </w:tabs>
        <w:ind w:left="2160" w:hanging="296"/>
      </w:pPr>
      <w:rPr>
        <w:rFonts w:ascii="Times New Roman" w:eastAsia="Times New Roman" w:hAnsi="Times New Roman" w:cs="Times New Roman"/>
        <w:b/>
        <w:bCs/>
        <w:i w:val="0"/>
        <w:iCs w:val="0"/>
        <w:caps w:val="0"/>
        <w:smallCaps w:val="0"/>
        <w:strike w:val="0"/>
        <w:dstrike w:val="0"/>
        <w:outline w:val="0"/>
        <w:color w:val="000000"/>
        <w:spacing w:val="0"/>
        <w:kern w:val="0"/>
        <w:position w:val="0"/>
        <w:sz w:val="24"/>
        <w:szCs w:val="24"/>
        <w:u w:val="none"/>
        <w:vertAlign w:val="baseline"/>
      </w:rPr>
    </w:lvl>
    <w:lvl w:ilvl="3">
      <w:start w:val="1"/>
      <w:numFmt w:val="decimal"/>
      <w:lvlText w:val="%4."/>
      <w:lvlJc w:val="left"/>
      <w:pPr>
        <w:tabs>
          <w:tab w:val="num" w:pos="2880"/>
        </w:tabs>
        <w:ind w:left="2880" w:hanging="360"/>
      </w:pPr>
      <w:rPr>
        <w:rFonts w:ascii="Times New Roman" w:eastAsia="Times New Roman" w:hAnsi="Times New Roman" w:cs="Times New Roman"/>
        <w:b/>
        <w:bCs/>
        <w:i w:val="0"/>
        <w:iCs w:val="0"/>
        <w:caps w:val="0"/>
        <w:smallCaps w:val="0"/>
        <w:strike w:val="0"/>
        <w:dstrike w:val="0"/>
        <w:outline w:val="0"/>
        <w:color w:val="000000"/>
        <w:spacing w:val="0"/>
        <w:kern w:val="0"/>
        <w:position w:val="0"/>
        <w:sz w:val="24"/>
        <w:szCs w:val="24"/>
        <w:u w:val="none"/>
        <w:vertAlign w:val="baseline"/>
      </w:rPr>
    </w:lvl>
    <w:lvl w:ilvl="4">
      <w:start w:val="1"/>
      <w:numFmt w:val="lowerLetter"/>
      <w:lvlText w:val="%5."/>
      <w:lvlJc w:val="left"/>
      <w:pPr>
        <w:tabs>
          <w:tab w:val="num" w:pos="3600"/>
        </w:tabs>
        <w:ind w:left="3600" w:hanging="360"/>
      </w:pPr>
      <w:rPr>
        <w:rFonts w:ascii="Times New Roman" w:eastAsia="Times New Roman" w:hAnsi="Times New Roman" w:cs="Times New Roman"/>
        <w:b/>
        <w:bCs/>
        <w:i w:val="0"/>
        <w:iCs w:val="0"/>
        <w:caps w:val="0"/>
        <w:smallCaps w:val="0"/>
        <w:strike w:val="0"/>
        <w:dstrike w:val="0"/>
        <w:outline w:val="0"/>
        <w:color w:val="000000"/>
        <w:spacing w:val="0"/>
        <w:kern w:val="0"/>
        <w:position w:val="0"/>
        <w:sz w:val="24"/>
        <w:szCs w:val="24"/>
        <w:u w:val="none"/>
        <w:vertAlign w:val="baseline"/>
      </w:rPr>
    </w:lvl>
    <w:lvl w:ilvl="5">
      <w:start w:val="1"/>
      <w:numFmt w:val="lowerRoman"/>
      <w:lvlText w:val="%6."/>
      <w:lvlJc w:val="left"/>
      <w:pPr>
        <w:tabs>
          <w:tab w:val="num" w:pos="4320"/>
        </w:tabs>
        <w:ind w:left="4320" w:hanging="296"/>
      </w:pPr>
      <w:rPr>
        <w:rFonts w:ascii="Times New Roman" w:eastAsia="Times New Roman" w:hAnsi="Times New Roman" w:cs="Times New Roman"/>
        <w:b/>
        <w:bCs/>
        <w:i w:val="0"/>
        <w:iCs w:val="0"/>
        <w:caps w:val="0"/>
        <w:smallCaps w:val="0"/>
        <w:strike w:val="0"/>
        <w:dstrike w:val="0"/>
        <w:outline w:val="0"/>
        <w:color w:val="000000"/>
        <w:spacing w:val="0"/>
        <w:kern w:val="0"/>
        <w:position w:val="0"/>
        <w:sz w:val="24"/>
        <w:szCs w:val="24"/>
        <w:u w:val="none"/>
        <w:vertAlign w:val="baseline"/>
      </w:rPr>
    </w:lvl>
    <w:lvl w:ilvl="6">
      <w:start w:val="1"/>
      <w:numFmt w:val="decimal"/>
      <w:lvlText w:val="%7."/>
      <w:lvlJc w:val="left"/>
      <w:pPr>
        <w:tabs>
          <w:tab w:val="num" w:pos="5040"/>
        </w:tabs>
        <w:ind w:left="5040" w:hanging="360"/>
      </w:pPr>
      <w:rPr>
        <w:rFonts w:ascii="Times New Roman" w:eastAsia="Times New Roman" w:hAnsi="Times New Roman" w:cs="Times New Roman"/>
        <w:b/>
        <w:bCs/>
        <w:i w:val="0"/>
        <w:iCs w:val="0"/>
        <w:caps w:val="0"/>
        <w:smallCaps w:val="0"/>
        <w:strike w:val="0"/>
        <w:dstrike w:val="0"/>
        <w:outline w:val="0"/>
        <w:color w:val="000000"/>
        <w:spacing w:val="0"/>
        <w:kern w:val="0"/>
        <w:position w:val="0"/>
        <w:sz w:val="24"/>
        <w:szCs w:val="24"/>
        <w:u w:val="none"/>
        <w:vertAlign w:val="baseline"/>
      </w:rPr>
    </w:lvl>
    <w:lvl w:ilvl="7">
      <w:start w:val="1"/>
      <w:numFmt w:val="lowerLetter"/>
      <w:lvlText w:val="%8."/>
      <w:lvlJc w:val="left"/>
      <w:pPr>
        <w:tabs>
          <w:tab w:val="num" w:pos="5760"/>
        </w:tabs>
        <w:ind w:left="5760" w:hanging="360"/>
      </w:pPr>
      <w:rPr>
        <w:rFonts w:ascii="Times New Roman" w:eastAsia="Times New Roman" w:hAnsi="Times New Roman" w:cs="Times New Roman"/>
        <w:b/>
        <w:bCs/>
        <w:i w:val="0"/>
        <w:iCs w:val="0"/>
        <w:caps w:val="0"/>
        <w:smallCaps w:val="0"/>
        <w:strike w:val="0"/>
        <w:dstrike w:val="0"/>
        <w:outline w:val="0"/>
        <w:color w:val="000000"/>
        <w:spacing w:val="0"/>
        <w:kern w:val="0"/>
        <w:position w:val="0"/>
        <w:sz w:val="24"/>
        <w:szCs w:val="24"/>
        <w:u w:val="none"/>
        <w:vertAlign w:val="baseline"/>
      </w:rPr>
    </w:lvl>
    <w:lvl w:ilvl="8">
      <w:start w:val="1"/>
      <w:numFmt w:val="lowerRoman"/>
      <w:lvlText w:val="%9."/>
      <w:lvlJc w:val="left"/>
      <w:pPr>
        <w:tabs>
          <w:tab w:val="num" w:pos="6480"/>
        </w:tabs>
        <w:ind w:left="6480" w:hanging="296"/>
      </w:pPr>
      <w:rPr>
        <w:rFonts w:ascii="Times New Roman" w:eastAsia="Times New Roman" w:hAnsi="Times New Roman" w:cs="Times New Roman"/>
        <w:b/>
        <w:bCs/>
        <w:i w:val="0"/>
        <w:iCs w:val="0"/>
        <w:caps w:val="0"/>
        <w:smallCaps w:val="0"/>
        <w:strike w:val="0"/>
        <w:dstrike w:val="0"/>
        <w:outline w:val="0"/>
        <w:color w:val="000000"/>
        <w:spacing w:val="0"/>
        <w:kern w:val="0"/>
        <w:position w:val="0"/>
        <w:sz w:val="24"/>
        <w:szCs w:val="24"/>
        <w:u w:val="none"/>
        <w:vertAlign w:val="baseline"/>
      </w:rPr>
    </w:lvl>
  </w:abstractNum>
  <w:abstractNum w:abstractNumId="4">
    <w:nsid w:val="10704154"/>
    <w:multiLevelType w:val="hybridMultilevel"/>
    <w:tmpl w:val="E5E2D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E779CD"/>
    <w:multiLevelType w:val="hybridMultilevel"/>
    <w:tmpl w:val="07B041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A9C76ED"/>
    <w:multiLevelType w:val="multilevel"/>
    <w:tmpl w:val="EA1A66EA"/>
    <w:styleLink w:val="List21"/>
    <w:lvl w:ilvl="0">
      <w:start w:val="1"/>
      <w:numFmt w:val="decimal"/>
      <w:lvlText w:val="%1."/>
      <w:lvlJc w:val="left"/>
      <w:pPr>
        <w:tabs>
          <w:tab w:val="num" w:pos="288"/>
        </w:tabs>
        <w:ind w:left="288" w:hanging="288"/>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single"/>
        <w:vertAlign w:val="baseline"/>
      </w:rPr>
    </w:lvl>
    <w:lvl w:ilvl="1">
      <w:start w:val="1"/>
      <w:numFmt w:val="bullet"/>
      <w:lvlText w:val="o"/>
      <w:lvlJc w:val="left"/>
      <w:pPr>
        <w:tabs>
          <w:tab w:val="num" w:pos="2160"/>
        </w:tabs>
        <w:ind w:left="2160" w:hanging="36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single"/>
        <w:vertAlign w:val="baseline"/>
      </w:rPr>
    </w:lvl>
    <w:lvl w:ilvl="2">
      <w:start w:val="1"/>
      <w:numFmt w:val="lowerRoman"/>
      <w:lvlText w:val="%3."/>
      <w:lvlJc w:val="left"/>
      <w:pPr>
        <w:tabs>
          <w:tab w:val="num" w:pos="2880"/>
        </w:tabs>
        <w:ind w:left="2880" w:hanging="296"/>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single"/>
        <w:vertAlign w:val="baseline"/>
      </w:rPr>
    </w:lvl>
    <w:lvl w:ilvl="3">
      <w:start w:val="1"/>
      <w:numFmt w:val="decimal"/>
      <w:lvlText w:val="%4."/>
      <w:lvlJc w:val="left"/>
      <w:pPr>
        <w:tabs>
          <w:tab w:val="num" w:pos="3600"/>
        </w:tabs>
        <w:ind w:left="3600" w:hanging="36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single"/>
        <w:vertAlign w:val="baseline"/>
      </w:rPr>
    </w:lvl>
    <w:lvl w:ilvl="4">
      <w:start w:val="1"/>
      <w:numFmt w:val="lowerLetter"/>
      <w:lvlText w:val="%5."/>
      <w:lvlJc w:val="left"/>
      <w:pPr>
        <w:tabs>
          <w:tab w:val="num" w:pos="4320"/>
        </w:tabs>
        <w:ind w:left="4320" w:hanging="36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single"/>
        <w:vertAlign w:val="baseline"/>
      </w:rPr>
    </w:lvl>
    <w:lvl w:ilvl="5">
      <w:start w:val="1"/>
      <w:numFmt w:val="lowerRoman"/>
      <w:lvlText w:val="%6."/>
      <w:lvlJc w:val="left"/>
      <w:pPr>
        <w:tabs>
          <w:tab w:val="num" w:pos="5040"/>
        </w:tabs>
        <w:ind w:left="5040" w:hanging="296"/>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single"/>
        <w:vertAlign w:val="baseline"/>
      </w:rPr>
    </w:lvl>
    <w:lvl w:ilvl="6">
      <w:start w:val="1"/>
      <w:numFmt w:val="decimal"/>
      <w:lvlText w:val="%7."/>
      <w:lvlJc w:val="left"/>
      <w:pPr>
        <w:tabs>
          <w:tab w:val="num" w:pos="5760"/>
        </w:tabs>
        <w:ind w:left="5760" w:hanging="36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single"/>
        <w:vertAlign w:val="baseline"/>
      </w:rPr>
    </w:lvl>
    <w:lvl w:ilvl="7">
      <w:start w:val="1"/>
      <w:numFmt w:val="lowerLetter"/>
      <w:lvlText w:val="%8."/>
      <w:lvlJc w:val="left"/>
      <w:pPr>
        <w:tabs>
          <w:tab w:val="num" w:pos="6480"/>
        </w:tabs>
        <w:ind w:left="6480" w:hanging="36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single"/>
        <w:vertAlign w:val="baseline"/>
      </w:rPr>
    </w:lvl>
    <w:lvl w:ilvl="8">
      <w:start w:val="1"/>
      <w:numFmt w:val="lowerRoman"/>
      <w:lvlText w:val="%9."/>
      <w:lvlJc w:val="left"/>
      <w:pPr>
        <w:tabs>
          <w:tab w:val="num" w:pos="7200"/>
        </w:tabs>
        <w:ind w:left="7200" w:hanging="296"/>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single"/>
        <w:vertAlign w:val="baseline"/>
      </w:rPr>
    </w:lvl>
  </w:abstractNum>
  <w:abstractNum w:abstractNumId="7">
    <w:nsid w:val="214F08E2"/>
    <w:multiLevelType w:val="hybridMultilevel"/>
    <w:tmpl w:val="DC1A8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863783"/>
    <w:multiLevelType w:val="hybridMultilevel"/>
    <w:tmpl w:val="AA26F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24C08A9"/>
    <w:multiLevelType w:val="multilevel"/>
    <w:tmpl w:val="DB62BAA0"/>
    <w:styleLink w:val="List41"/>
    <w:lvl w:ilvl="0">
      <w:start w:val="1"/>
      <w:numFmt w:val="bullet"/>
      <w:lvlText w:val="•"/>
      <w:lvlJc w:val="left"/>
      <w:rPr>
        <w:position w:val="0"/>
        <w:u w:color="C0504D"/>
      </w:rPr>
    </w:lvl>
    <w:lvl w:ilvl="1">
      <w:start w:val="1"/>
      <w:numFmt w:val="bullet"/>
      <w:lvlText w:val="o"/>
      <w:lvlJc w:val="left"/>
      <w:rPr>
        <w:position w:val="0"/>
        <w:u w:color="C0504D"/>
      </w:rPr>
    </w:lvl>
    <w:lvl w:ilvl="2">
      <w:numFmt w:val="bullet"/>
      <w:lvlText w:val="o"/>
      <w:lvlJc w:val="left"/>
      <w:rPr>
        <w:position w:val="0"/>
        <w:u w:color="C0504D"/>
      </w:rPr>
    </w:lvl>
    <w:lvl w:ilvl="3">
      <w:start w:val="1"/>
      <w:numFmt w:val="bullet"/>
      <w:lvlText w:val="•"/>
      <w:lvlJc w:val="left"/>
      <w:rPr>
        <w:position w:val="0"/>
        <w:u w:color="C0504D"/>
      </w:rPr>
    </w:lvl>
    <w:lvl w:ilvl="4">
      <w:start w:val="1"/>
      <w:numFmt w:val="bullet"/>
      <w:lvlText w:val="o"/>
      <w:lvlJc w:val="left"/>
      <w:rPr>
        <w:position w:val="0"/>
        <w:u w:color="C0504D"/>
      </w:rPr>
    </w:lvl>
    <w:lvl w:ilvl="5">
      <w:start w:val="1"/>
      <w:numFmt w:val="bullet"/>
      <w:lvlText w:val="▪"/>
      <w:lvlJc w:val="left"/>
      <w:rPr>
        <w:position w:val="0"/>
        <w:u w:color="C0504D"/>
      </w:rPr>
    </w:lvl>
    <w:lvl w:ilvl="6">
      <w:start w:val="1"/>
      <w:numFmt w:val="bullet"/>
      <w:lvlText w:val="•"/>
      <w:lvlJc w:val="left"/>
      <w:rPr>
        <w:position w:val="0"/>
        <w:u w:color="C0504D"/>
      </w:rPr>
    </w:lvl>
    <w:lvl w:ilvl="7">
      <w:start w:val="1"/>
      <w:numFmt w:val="bullet"/>
      <w:lvlText w:val="o"/>
      <w:lvlJc w:val="left"/>
      <w:rPr>
        <w:position w:val="0"/>
        <w:u w:color="C0504D"/>
      </w:rPr>
    </w:lvl>
    <w:lvl w:ilvl="8">
      <w:start w:val="1"/>
      <w:numFmt w:val="bullet"/>
      <w:lvlText w:val="▪"/>
      <w:lvlJc w:val="left"/>
      <w:rPr>
        <w:position w:val="0"/>
        <w:u w:color="C0504D"/>
      </w:rPr>
    </w:lvl>
  </w:abstractNum>
  <w:abstractNum w:abstractNumId="10">
    <w:nsid w:val="23634545"/>
    <w:multiLevelType w:val="multilevel"/>
    <w:tmpl w:val="73563AD6"/>
    <w:styleLink w:val="List6"/>
    <w:lvl w:ilvl="0">
      <w:start w:val="1"/>
      <w:numFmt w:val="bullet"/>
      <w:lvlText w:val="•"/>
      <w:lvlJc w:val="left"/>
      <w:rPr>
        <w:position w:val="0"/>
        <w:u w:color="C0504D"/>
      </w:rPr>
    </w:lvl>
    <w:lvl w:ilvl="1">
      <w:start w:val="1"/>
      <w:numFmt w:val="bullet"/>
      <w:lvlText w:val="o"/>
      <w:lvlJc w:val="left"/>
      <w:rPr>
        <w:position w:val="0"/>
        <w:u w:color="C0504D"/>
      </w:rPr>
    </w:lvl>
    <w:lvl w:ilvl="2">
      <w:numFmt w:val="bullet"/>
      <w:lvlText w:val="o"/>
      <w:lvlJc w:val="left"/>
      <w:rPr>
        <w:position w:val="0"/>
        <w:u w:color="C0504D"/>
      </w:rPr>
    </w:lvl>
    <w:lvl w:ilvl="3">
      <w:start w:val="1"/>
      <w:numFmt w:val="bullet"/>
      <w:lvlText w:val="•"/>
      <w:lvlJc w:val="left"/>
      <w:rPr>
        <w:position w:val="0"/>
        <w:u w:color="C0504D"/>
      </w:rPr>
    </w:lvl>
    <w:lvl w:ilvl="4">
      <w:start w:val="1"/>
      <w:numFmt w:val="bullet"/>
      <w:lvlText w:val="o"/>
      <w:lvlJc w:val="left"/>
      <w:rPr>
        <w:position w:val="0"/>
        <w:u w:color="C0504D"/>
      </w:rPr>
    </w:lvl>
    <w:lvl w:ilvl="5">
      <w:start w:val="1"/>
      <w:numFmt w:val="bullet"/>
      <w:lvlText w:val="▪"/>
      <w:lvlJc w:val="left"/>
      <w:rPr>
        <w:position w:val="0"/>
        <w:u w:color="C0504D"/>
      </w:rPr>
    </w:lvl>
    <w:lvl w:ilvl="6">
      <w:start w:val="1"/>
      <w:numFmt w:val="bullet"/>
      <w:lvlText w:val="•"/>
      <w:lvlJc w:val="left"/>
      <w:rPr>
        <w:position w:val="0"/>
        <w:u w:color="C0504D"/>
      </w:rPr>
    </w:lvl>
    <w:lvl w:ilvl="7">
      <w:start w:val="1"/>
      <w:numFmt w:val="bullet"/>
      <w:lvlText w:val="o"/>
      <w:lvlJc w:val="left"/>
      <w:rPr>
        <w:position w:val="0"/>
        <w:u w:color="C0504D"/>
      </w:rPr>
    </w:lvl>
    <w:lvl w:ilvl="8">
      <w:start w:val="1"/>
      <w:numFmt w:val="bullet"/>
      <w:lvlText w:val="▪"/>
      <w:lvlJc w:val="left"/>
      <w:rPr>
        <w:position w:val="0"/>
        <w:u w:color="C0504D"/>
      </w:rPr>
    </w:lvl>
  </w:abstractNum>
  <w:abstractNum w:abstractNumId="11">
    <w:nsid w:val="26E85362"/>
    <w:multiLevelType w:val="hybridMultilevel"/>
    <w:tmpl w:val="B3A2DCDA"/>
    <w:lvl w:ilvl="0" w:tplc="4D7AB7B8">
      <w:numFmt w:val="bullet"/>
      <w:lvlText w:val=""/>
      <w:lvlJc w:val="left"/>
      <w:pPr>
        <w:ind w:left="36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770359"/>
    <w:multiLevelType w:val="hybridMultilevel"/>
    <w:tmpl w:val="142C2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462595"/>
    <w:multiLevelType w:val="hybridMultilevel"/>
    <w:tmpl w:val="B4AA81B2"/>
    <w:lvl w:ilvl="0" w:tplc="D7A0920E">
      <w:numFmt w:val="bullet"/>
      <w:lvlText w:val=""/>
      <w:lvlJc w:val="left"/>
      <w:pPr>
        <w:ind w:left="36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61508C"/>
    <w:multiLevelType w:val="multilevel"/>
    <w:tmpl w:val="BE7E5C14"/>
    <w:styleLink w:val="List1"/>
    <w:lvl w:ilvl="0">
      <w:start w:val="3"/>
      <w:numFmt w:val="upperRoman"/>
      <w:lvlText w:val="%1."/>
      <w:lvlJc w:val="left"/>
      <w:pPr>
        <w:tabs>
          <w:tab w:val="num" w:pos="432"/>
        </w:tabs>
        <w:ind w:left="432" w:hanging="432"/>
      </w:pPr>
      <w:rPr>
        <w:rFonts w:ascii="Times New Roman" w:eastAsia="Times New Roman" w:hAnsi="Times New Roman" w:cs="Times New Roman"/>
        <w:b/>
        <w:bCs/>
        <w:i w:val="0"/>
        <w:iCs w:val="0"/>
        <w:caps w:val="0"/>
        <w:smallCaps w:val="0"/>
        <w:strike w:val="0"/>
        <w:dstrike w:val="0"/>
        <w:outline w:val="0"/>
        <w:color w:val="000000"/>
        <w:spacing w:val="0"/>
        <w:kern w:val="0"/>
        <w:position w:val="0"/>
        <w:sz w:val="24"/>
        <w:szCs w:val="24"/>
        <w:u w:val="none"/>
        <w:vertAlign w:val="baseline"/>
      </w:rPr>
    </w:lvl>
    <w:lvl w:ilvl="1">
      <w:start w:val="1"/>
      <w:numFmt w:val="lowerLetter"/>
      <w:lvlText w:val="%2."/>
      <w:lvlJc w:val="left"/>
      <w:pPr>
        <w:tabs>
          <w:tab w:val="num" w:pos="1440"/>
        </w:tabs>
        <w:ind w:left="1440" w:hanging="360"/>
      </w:pPr>
      <w:rPr>
        <w:rFonts w:ascii="Times New Roman" w:eastAsia="Times New Roman" w:hAnsi="Times New Roman" w:cs="Times New Roman"/>
        <w:b/>
        <w:bCs/>
        <w:i w:val="0"/>
        <w:iCs w:val="0"/>
        <w:caps w:val="0"/>
        <w:smallCaps w:val="0"/>
        <w:strike w:val="0"/>
        <w:dstrike w:val="0"/>
        <w:outline w:val="0"/>
        <w:color w:val="000000"/>
        <w:spacing w:val="0"/>
        <w:kern w:val="0"/>
        <w:position w:val="0"/>
        <w:sz w:val="24"/>
        <w:szCs w:val="24"/>
        <w:u w:val="none"/>
        <w:vertAlign w:val="baseline"/>
      </w:rPr>
    </w:lvl>
    <w:lvl w:ilvl="2">
      <w:start w:val="1"/>
      <w:numFmt w:val="lowerRoman"/>
      <w:lvlText w:val="%3."/>
      <w:lvlJc w:val="left"/>
      <w:pPr>
        <w:tabs>
          <w:tab w:val="num" w:pos="2160"/>
        </w:tabs>
        <w:ind w:left="2160" w:hanging="296"/>
      </w:pPr>
      <w:rPr>
        <w:rFonts w:ascii="Times New Roman" w:eastAsia="Times New Roman" w:hAnsi="Times New Roman" w:cs="Times New Roman"/>
        <w:b/>
        <w:bCs/>
        <w:i w:val="0"/>
        <w:iCs w:val="0"/>
        <w:caps w:val="0"/>
        <w:smallCaps w:val="0"/>
        <w:strike w:val="0"/>
        <w:dstrike w:val="0"/>
        <w:outline w:val="0"/>
        <w:color w:val="000000"/>
        <w:spacing w:val="0"/>
        <w:kern w:val="0"/>
        <w:position w:val="0"/>
        <w:sz w:val="24"/>
        <w:szCs w:val="24"/>
        <w:u w:val="none"/>
        <w:vertAlign w:val="baseline"/>
      </w:rPr>
    </w:lvl>
    <w:lvl w:ilvl="3">
      <w:start w:val="1"/>
      <w:numFmt w:val="decimal"/>
      <w:lvlText w:val="%4."/>
      <w:lvlJc w:val="left"/>
      <w:pPr>
        <w:tabs>
          <w:tab w:val="num" w:pos="2880"/>
        </w:tabs>
        <w:ind w:left="2880" w:hanging="360"/>
      </w:pPr>
      <w:rPr>
        <w:rFonts w:ascii="Times New Roman" w:eastAsia="Times New Roman" w:hAnsi="Times New Roman" w:cs="Times New Roman"/>
        <w:b/>
        <w:bCs/>
        <w:i w:val="0"/>
        <w:iCs w:val="0"/>
        <w:caps w:val="0"/>
        <w:smallCaps w:val="0"/>
        <w:strike w:val="0"/>
        <w:dstrike w:val="0"/>
        <w:outline w:val="0"/>
        <w:color w:val="000000"/>
        <w:spacing w:val="0"/>
        <w:kern w:val="0"/>
        <w:position w:val="0"/>
        <w:sz w:val="24"/>
        <w:szCs w:val="24"/>
        <w:u w:val="none"/>
        <w:vertAlign w:val="baseline"/>
      </w:rPr>
    </w:lvl>
    <w:lvl w:ilvl="4">
      <w:start w:val="1"/>
      <w:numFmt w:val="lowerLetter"/>
      <w:lvlText w:val="%5."/>
      <w:lvlJc w:val="left"/>
      <w:pPr>
        <w:tabs>
          <w:tab w:val="num" w:pos="3600"/>
        </w:tabs>
        <w:ind w:left="3600" w:hanging="360"/>
      </w:pPr>
      <w:rPr>
        <w:rFonts w:ascii="Times New Roman" w:eastAsia="Times New Roman" w:hAnsi="Times New Roman" w:cs="Times New Roman"/>
        <w:b/>
        <w:bCs/>
        <w:i w:val="0"/>
        <w:iCs w:val="0"/>
        <w:caps w:val="0"/>
        <w:smallCaps w:val="0"/>
        <w:strike w:val="0"/>
        <w:dstrike w:val="0"/>
        <w:outline w:val="0"/>
        <w:color w:val="000000"/>
        <w:spacing w:val="0"/>
        <w:kern w:val="0"/>
        <w:position w:val="0"/>
        <w:sz w:val="24"/>
        <w:szCs w:val="24"/>
        <w:u w:val="none"/>
        <w:vertAlign w:val="baseline"/>
      </w:rPr>
    </w:lvl>
    <w:lvl w:ilvl="5">
      <w:start w:val="1"/>
      <w:numFmt w:val="lowerRoman"/>
      <w:lvlText w:val="%6."/>
      <w:lvlJc w:val="left"/>
      <w:pPr>
        <w:tabs>
          <w:tab w:val="num" w:pos="4320"/>
        </w:tabs>
        <w:ind w:left="4320" w:hanging="296"/>
      </w:pPr>
      <w:rPr>
        <w:rFonts w:ascii="Times New Roman" w:eastAsia="Times New Roman" w:hAnsi="Times New Roman" w:cs="Times New Roman"/>
        <w:b/>
        <w:bCs/>
        <w:i w:val="0"/>
        <w:iCs w:val="0"/>
        <w:caps w:val="0"/>
        <w:smallCaps w:val="0"/>
        <w:strike w:val="0"/>
        <w:dstrike w:val="0"/>
        <w:outline w:val="0"/>
        <w:color w:val="000000"/>
        <w:spacing w:val="0"/>
        <w:kern w:val="0"/>
        <w:position w:val="0"/>
        <w:sz w:val="24"/>
        <w:szCs w:val="24"/>
        <w:u w:val="none"/>
        <w:vertAlign w:val="baseline"/>
      </w:rPr>
    </w:lvl>
    <w:lvl w:ilvl="6">
      <w:start w:val="1"/>
      <w:numFmt w:val="decimal"/>
      <w:lvlText w:val="%7."/>
      <w:lvlJc w:val="left"/>
      <w:pPr>
        <w:tabs>
          <w:tab w:val="num" w:pos="5040"/>
        </w:tabs>
        <w:ind w:left="5040" w:hanging="360"/>
      </w:pPr>
      <w:rPr>
        <w:rFonts w:ascii="Times New Roman" w:eastAsia="Times New Roman" w:hAnsi="Times New Roman" w:cs="Times New Roman"/>
        <w:b/>
        <w:bCs/>
        <w:i w:val="0"/>
        <w:iCs w:val="0"/>
        <w:caps w:val="0"/>
        <w:smallCaps w:val="0"/>
        <w:strike w:val="0"/>
        <w:dstrike w:val="0"/>
        <w:outline w:val="0"/>
        <w:color w:val="000000"/>
        <w:spacing w:val="0"/>
        <w:kern w:val="0"/>
        <w:position w:val="0"/>
        <w:sz w:val="24"/>
        <w:szCs w:val="24"/>
        <w:u w:val="none"/>
        <w:vertAlign w:val="baseline"/>
      </w:rPr>
    </w:lvl>
    <w:lvl w:ilvl="7">
      <w:start w:val="1"/>
      <w:numFmt w:val="lowerLetter"/>
      <w:lvlText w:val="%8."/>
      <w:lvlJc w:val="left"/>
      <w:pPr>
        <w:tabs>
          <w:tab w:val="num" w:pos="5760"/>
        </w:tabs>
        <w:ind w:left="5760" w:hanging="360"/>
      </w:pPr>
      <w:rPr>
        <w:rFonts w:ascii="Times New Roman" w:eastAsia="Times New Roman" w:hAnsi="Times New Roman" w:cs="Times New Roman"/>
        <w:b/>
        <w:bCs/>
        <w:i w:val="0"/>
        <w:iCs w:val="0"/>
        <w:caps w:val="0"/>
        <w:smallCaps w:val="0"/>
        <w:strike w:val="0"/>
        <w:dstrike w:val="0"/>
        <w:outline w:val="0"/>
        <w:color w:val="000000"/>
        <w:spacing w:val="0"/>
        <w:kern w:val="0"/>
        <w:position w:val="0"/>
        <w:sz w:val="24"/>
        <w:szCs w:val="24"/>
        <w:u w:val="none"/>
        <w:vertAlign w:val="baseline"/>
      </w:rPr>
    </w:lvl>
    <w:lvl w:ilvl="8">
      <w:start w:val="1"/>
      <w:numFmt w:val="lowerRoman"/>
      <w:lvlText w:val="%9."/>
      <w:lvlJc w:val="left"/>
      <w:pPr>
        <w:tabs>
          <w:tab w:val="num" w:pos="6480"/>
        </w:tabs>
        <w:ind w:left="6480" w:hanging="296"/>
      </w:pPr>
      <w:rPr>
        <w:rFonts w:ascii="Times New Roman" w:eastAsia="Times New Roman" w:hAnsi="Times New Roman" w:cs="Times New Roman"/>
        <w:b/>
        <w:bCs/>
        <w:i w:val="0"/>
        <w:iCs w:val="0"/>
        <w:caps w:val="0"/>
        <w:smallCaps w:val="0"/>
        <w:strike w:val="0"/>
        <w:dstrike w:val="0"/>
        <w:outline w:val="0"/>
        <w:color w:val="000000"/>
        <w:spacing w:val="0"/>
        <w:kern w:val="0"/>
        <w:position w:val="0"/>
        <w:sz w:val="24"/>
        <w:szCs w:val="24"/>
        <w:u w:val="none"/>
        <w:vertAlign w:val="baseline"/>
      </w:rPr>
    </w:lvl>
  </w:abstractNum>
  <w:abstractNum w:abstractNumId="15">
    <w:nsid w:val="43C07132"/>
    <w:multiLevelType w:val="hybridMultilevel"/>
    <w:tmpl w:val="95FC7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3023EA"/>
    <w:multiLevelType w:val="hybridMultilevel"/>
    <w:tmpl w:val="FF40F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5B3AE2"/>
    <w:multiLevelType w:val="hybridMultilevel"/>
    <w:tmpl w:val="42B68C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89A5576"/>
    <w:multiLevelType w:val="hybridMultilevel"/>
    <w:tmpl w:val="9E6E8BAE"/>
    <w:lvl w:ilvl="0" w:tplc="F79CC882">
      <w:start w:val="60"/>
      <w:numFmt w:val="bullet"/>
      <w:lvlText w:val=""/>
      <w:lvlJc w:val="left"/>
      <w:pPr>
        <w:ind w:left="360" w:hanging="360"/>
      </w:pPr>
      <w:rPr>
        <w:rFonts w:ascii="Symbol" w:eastAsia="Arial Unicode MS" w:hAnsi="Symbol" w:cs="Times New Roman" w:hint="default"/>
        <w:sz w:val="2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A528BE"/>
    <w:multiLevelType w:val="hybridMultilevel"/>
    <w:tmpl w:val="1F881D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87491C"/>
    <w:multiLevelType w:val="multilevel"/>
    <w:tmpl w:val="DAFC911E"/>
    <w:styleLink w:val="List31"/>
    <w:lvl w:ilvl="0">
      <w:start w:val="1"/>
      <w:numFmt w:val="decimal"/>
      <w:lvlText w:val="%1."/>
      <w:lvlJc w:val="left"/>
      <w:rPr>
        <w:position w:val="0"/>
        <w:u w:color="C0504D"/>
      </w:rPr>
    </w:lvl>
    <w:lvl w:ilvl="1">
      <w:start w:val="1"/>
      <w:numFmt w:val="lowerLetter"/>
      <w:lvlText w:val="%2."/>
      <w:lvlJc w:val="left"/>
      <w:rPr>
        <w:position w:val="0"/>
        <w:u w:color="C0504D"/>
      </w:rPr>
    </w:lvl>
    <w:lvl w:ilvl="2">
      <w:start w:val="1"/>
      <w:numFmt w:val="lowerRoman"/>
      <w:lvlText w:val="%3."/>
      <w:lvlJc w:val="left"/>
      <w:rPr>
        <w:position w:val="0"/>
        <w:u w:color="C0504D"/>
      </w:rPr>
    </w:lvl>
    <w:lvl w:ilvl="3">
      <w:start w:val="1"/>
      <w:numFmt w:val="decimal"/>
      <w:lvlText w:val="%4."/>
      <w:lvlJc w:val="left"/>
      <w:rPr>
        <w:position w:val="0"/>
        <w:u w:color="C0504D"/>
      </w:rPr>
    </w:lvl>
    <w:lvl w:ilvl="4">
      <w:start w:val="1"/>
      <w:numFmt w:val="lowerLetter"/>
      <w:lvlText w:val="%5."/>
      <w:lvlJc w:val="left"/>
      <w:rPr>
        <w:position w:val="0"/>
        <w:u w:color="C0504D"/>
      </w:rPr>
    </w:lvl>
    <w:lvl w:ilvl="5">
      <w:start w:val="1"/>
      <w:numFmt w:val="lowerRoman"/>
      <w:lvlText w:val="%6."/>
      <w:lvlJc w:val="left"/>
      <w:rPr>
        <w:position w:val="0"/>
        <w:u w:color="C0504D"/>
      </w:rPr>
    </w:lvl>
    <w:lvl w:ilvl="6">
      <w:start w:val="1"/>
      <w:numFmt w:val="decimal"/>
      <w:lvlText w:val="%7."/>
      <w:lvlJc w:val="left"/>
      <w:rPr>
        <w:position w:val="0"/>
        <w:u w:color="C0504D"/>
      </w:rPr>
    </w:lvl>
    <w:lvl w:ilvl="7">
      <w:start w:val="1"/>
      <w:numFmt w:val="lowerLetter"/>
      <w:lvlText w:val="%8."/>
      <w:lvlJc w:val="left"/>
      <w:rPr>
        <w:position w:val="0"/>
        <w:u w:color="C0504D"/>
      </w:rPr>
    </w:lvl>
    <w:lvl w:ilvl="8">
      <w:start w:val="1"/>
      <w:numFmt w:val="lowerRoman"/>
      <w:lvlText w:val="%9."/>
      <w:lvlJc w:val="left"/>
      <w:rPr>
        <w:position w:val="0"/>
        <w:u w:color="C0504D"/>
      </w:rPr>
    </w:lvl>
  </w:abstractNum>
  <w:abstractNum w:abstractNumId="21">
    <w:nsid w:val="6ADD010A"/>
    <w:multiLevelType w:val="hybridMultilevel"/>
    <w:tmpl w:val="3C4C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BF4F42"/>
    <w:multiLevelType w:val="hybridMultilevel"/>
    <w:tmpl w:val="B7363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AD0C1C"/>
    <w:multiLevelType w:val="hybridMultilevel"/>
    <w:tmpl w:val="06F43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87293C"/>
    <w:multiLevelType w:val="hybridMultilevel"/>
    <w:tmpl w:val="DE388AE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E3C6CFF8">
      <w:start w:val="1"/>
      <w:numFmt w:val="upperRoman"/>
      <w:lvlText w:val="%4."/>
      <w:lvlJc w:val="left"/>
      <w:pPr>
        <w:ind w:left="3240" w:hanging="720"/>
      </w:pPr>
      <w:rPr>
        <w:rFonts w:hint="default"/>
        <w:b/>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0"/>
  </w:num>
  <w:num w:numId="4">
    <w:abstractNumId w:val="9"/>
  </w:num>
  <w:num w:numId="5">
    <w:abstractNumId w:val="2"/>
  </w:num>
  <w:num w:numId="6">
    <w:abstractNumId w:val="10"/>
  </w:num>
  <w:num w:numId="7">
    <w:abstractNumId w:val="6"/>
  </w:num>
  <w:num w:numId="8">
    <w:abstractNumId w:val="0"/>
  </w:num>
  <w:num w:numId="9">
    <w:abstractNumId w:val="14"/>
  </w:num>
  <w:num w:numId="10">
    <w:abstractNumId w:val="13"/>
  </w:num>
  <w:num w:numId="11">
    <w:abstractNumId w:val="11"/>
  </w:num>
  <w:num w:numId="12">
    <w:abstractNumId w:val="18"/>
  </w:num>
  <w:num w:numId="13">
    <w:abstractNumId w:val="19"/>
  </w:num>
  <w:num w:numId="14">
    <w:abstractNumId w:val="23"/>
  </w:num>
  <w:num w:numId="15">
    <w:abstractNumId w:val="14"/>
    <w:lvlOverride w:ilvl="3">
      <w:lvl w:ilvl="3">
        <w:start w:val="1"/>
        <w:numFmt w:val="decimal"/>
        <w:lvlText w:val="%4."/>
        <w:lvlJc w:val="left"/>
        <w:pPr>
          <w:tabs>
            <w:tab w:val="num" w:pos="2880"/>
          </w:tabs>
          <w:ind w:left="2880" w:hanging="360"/>
        </w:pPr>
        <w:rPr>
          <w:rFonts w:ascii="Times New Roman" w:eastAsia="Times New Roman" w:hAnsi="Times New Roman" w:cs="Times New Roman"/>
          <w:b w:val="0"/>
          <w:bCs/>
          <w:i w:val="0"/>
          <w:iCs w:val="0"/>
          <w:caps w:val="0"/>
          <w:smallCaps w:val="0"/>
          <w:strike w:val="0"/>
          <w:dstrike w:val="0"/>
          <w:outline w:val="0"/>
          <w:color w:val="000000"/>
          <w:spacing w:val="0"/>
          <w:kern w:val="0"/>
          <w:position w:val="0"/>
          <w:sz w:val="24"/>
          <w:szCs w:val="24"/>
          <w:u w:val="none"/>
          <w:vertAlign w:val="baseline"/>
        </w:rPr>
      </w:lvl>
    </w:lvlOverride>
    <w:lvlOverride w:ilvl="6">
      <w:lvl w:ilvl="6">
        <w:start w:val="1"/>
        <w:numFmt w:val="decimal"/>
        <w:lvlText w:val="%7."/>
        <w:lvlJc w:val="left"/>
        <w:pPr>
          <w:tabs>
            <w:tab w:val="num" w:pos="5040"/>
          </w:tabs>
          <w:ind w:left="5040" w:hanging="360"/>
        </w:pPr>
        <w:rPr>
          <w:rFonts w:ascii="Times New Roman" w:eastAsia="Times New Roman" w:hAnsi="Times New Roman" w:cs="Times New Roman"/>
          <w:b w:val="0"/>
          <w:bCs/>
          <w:i w:val="0"/>
          <w:iCs w:val="0"/>
          <w:caps w:val="0"/>
          <w:smallCaps w:val="0"/>
          <w:strike w:val="0"/>
          <w:dstrike w:val="0"/>
          <w:outline w:val="0"/>
          <w:color w:val="000000"/>
          <w:spacing w:val="0"/>
          <w:kern w:val="0"/>
          <w:position w:val="0"/>
          <w:sz w:val="24"/>
          <w:szCs w:val="24"/>
          <w:u w:val="none"/>
          <w:vertAlign w:val="baseline"/>
        </w:rPr>
      </w:lvl>
    </w:lvlOverride>
  </w:num>
  <w:num w:numId="16">
    <w:abstractNumId w:val="21"/>
  </w:num>
  <w:num w:numId="17">
    <w:abstractNumId w:val="22"/>
  </w:num>
  <w:num w:numId="18">
    <w:abstractNumId w:val="24"/>
  </w:num>
  <w:num w:numId="19">
    <w:abstractNumId w:val="17"/>
  </w:num>
  <w:num w:numId="20">
    <w:abstractNumId w:val="16"/>
  </w:num>
  <w:num w:numId="21">
    <w:abstractNumId w:val="5"/>
  </w:num>
  <w:num w:numId="22">
    <w:abstractNumId w:val="8"/>
  </w:num>
  <w:num w:numId="23">
    <w:abstractNumId w:val="12"/>
  </w:num>
  <w:num w:numId="24">
    <w:abstractNumId w:val="15"/>
  </w:num>
  <w:num w:numId="25">
    <w:abstractNumId w:val="7"/>
  </w:num>
  <w:num w:numId="26">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288"/>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Pr>
  <w:compat>
    <w:useFELayout/>
    <w:compatSetting w:name="compatibilityMode" w:uri="http://schemas.microsoft.com/office/word" w:val="14"/>
  </w:compat>
  <w:rsids>
    <w:rsidRoot w:val="00E919AA"/>
    <w:rsid w:val="00003CC5"/>
    <w:rsid w:val="00007ABE"/>
    <w:rsid w:val="0001762A"/>
    <w:rsid w:val="00026FE8"/>
    <w:rsid w:val="00027C22"/>
    <w:rsid w:val="000330F2"/>
    <w:rsid w:val="000335C0"/>
    <w:rsid w:val="00036E57"/>
    <w:rsid w:val="00041981"/>
    <w:rsid w:val="00056E26"/>
    <w:rsid w:val="000715EF"/>
    <w:rsid w:val="000718FB"/>
    <w:rsid w:val="00074D42"/>
    <w:rsid w:val="000807B4"/>
    <w:rsid w:val="00082803"/>
    <w:rsid w:val="0008290D"/>
    <w:rsid w:val="0008452D"/>
    <w:rsid w:val="00084922"/>
    <w:rsid w:val="00091FBC"/>
    <w:rsid w:val="000930D8"/>
    <w:rsid w:val="000962AF"/>
    <w:rsid w:val="000975D9"/>
    <w:rsid w:val="000A0ADB"/>
    <w:rsid w:val="000A2055"/>
    <w:rsid w:val="000A3A6E"/>
    <w:rsid w:val="000B3527"/>
    <w:rsid w:val="000B5BFF"/>
    <w:rsid w:val="000B63B5"/>
    <w:rsid w:val="000C20BA"/>
    <w:rsid w:val="000C22AF"/>
    <w:rsid w:val="000D1E16"/>
    <w:rsid w:val="000D6FA4"/>
    <w:rsid w:val="000E1043"/>
    <w:rsid w:val="00101D50"/>
    <w:rsid w:val="00106448"/>
    <w:rsid w:val="00117168"/>
    <w:rsid w:val="00117C52"/>
    <w:rsid w:val="00125673"/>
    <w:rsid w:val="00125C7E"/>
    <w:rsid w:val="00127E12"/>
    <w:rsid w:val="00127F98"/>
    <w:rsid w:val="001301C2"/>
    <w:rsid w:val="0014080E"/>
    <w:rsid w:val="0014418A"/>
    <w:rsid w:val="001505E0"/>
    <w:rsid w:val="001537E1"/>
    <w:rsid w:val="00161682"/>
    <w:rsid w:val="00163414"/>
    <w:rsid w:val="00164A8E"/>
    <w:rsid w:val="00171D60"/>
    <w:rsid w:val="00180521"/>
    <w:rsid w:val="0018262A"/>
    <w:rsid w:val="0018266B"/>
    <w:rsid w:val="001832AC"/>
    <w:rsid w:val="00190EE9"/>
    <w:rsid w:val="00194180"/>
    <w:rsid w:val="001979C0"/>
    <w:rsid w:val="001A1D6D"/>
    <w:rsid w:val="001A70B2"/>
    <w:rsid w:val="001D5FE8"/>
    <w:rsid w:val="001D63CB"/>
    <w:rsid w:val="001E107A"/>
    <w:rsid w:val="001E460E"/>
    <w:rsid w:val="001E513C"/>
    <w:rsid w:val="001F3038"/>
    <w:rsid w:val="001F3C06"/>
    <w:rsid w:val="001F602C"/>
    <w:rsid w:val="00224462"/>
    <w:rsid w:val="00224924"/>
    <w:rsid w:val="00225472"/>
    <w:rsid w:val="00227013"/>
    <w:rsid w:val="00230239"/>
    <w:rsid w:val="00231C2F"/>
    <w:rsid w:val="00241637"/>
    <w:rsid w:val="00242C93"/>
    <w:rsid w:val="00256B15"/>
    <w:rsid w:val="00257373"/>
    <w:rsid w:val="00261C70"/>
    <w:rsid w:val="00264ED4"/>
    <w:rsid w:val="00275CA9"/>
    <w:rsid w:val="00276FA1"/>
    <w:rsid w:val="00280AB2"/>
    <w:rsid w:val="00283D49"/>
    <w:rsid w:val="00283EFD"/>
    <w:rsid w:val="00286C49"/>
    <w:rsid w:val="00290A93"/>
    <w:rsid w:val="002920BF"/>
    <w:rsid w:val="00294A47"/>
    <w:rsid w:val="002A352D"/>
    <w:rsid w:val="002B6533"/>
    <w:rsid w:val="002C3580"/>
    <w:rsid w:val="002D3597"/>
    <w:rsid w:val="002E4E21"/>
    <w:rsid w:val="002F027B"/>
    <w:rsid w:val="003002A7"/>
    <w:rsid w:val="00302BA3"/>
    <w:rsid w:val="00303FB5"/>
    <w:rsid w:val="00307EF1"/>
    <w:rsid w:val="0031372D"/>
    <w:rsid w:val="00326990"/>
    <w:rsid w:val="00333412"/>
    <w:rsid w:val="00333DF5"/>
    <w:rsid w:val="0033418C"/>
    <w:rsid w:val="00341BDD"/>
    <w:rsid w:val="00342434"/>
    <w:rsid w:val="00346138"/>
    <w:rsid w:val="00350919"/>
    <w:rsid w:val="00356B7B"/>
    <w:rsid w:val="00361100"/>
    <w:rsid w:val="003634EB"/>
    <w:rsid w:val="0036619F"/>
    <w:rsid w:val="00370100"/>
    <w:rsid w:val="003718B0"/>
    <w:rsid w:val="00380C71"/>
    <w:rsid w:val="00380F9B"/>
    <w:rsid w:val="00383827"/>
    <w:rsid w:val="003841DF"/>
    <w:rsid w:val="00384360"/>
    <w:rsid w:val="003A308A"/>
    <w:rsid w:val="003A68E1"/>
    <w:rsid w:val="003B5077"/>
    <w:rsid w:val="003B7921"/>
    <w:rsid w:val="003D04D9"/>
    <w:rsid w:val="003D3745"/>
    <w:rsid w:val="003D5461"/>
    <w:rsid w:val="003D617C"/>
    <w:rsid w:val="003D6A32"/>
    <w:rsid w:val="003E0B8B"/>
    <w:rsid w:val="003E1FF5"/>
    <w:rsid w:val="003E5B48"/>
    <w:rsid w:val="003E699C"/>
    <w:rsid w:val="003F19F7"/>
    <w:rsid w:val="0040381F"/>
    <w:rsid w:val="004062DA"/>
    <w:rsid w:val="004146D1"/>
    <w:rsid w:val="00425A50"/>
    <w:rsid w:val="0042738F"/>
    <w:rsid w:val="004304B3"/>
    <w:rsid w:val="00433A78"/>
    <w:rsid w:val="0044308A"/>
    <w:rsid w:val="004540E6"/>
    <w:rsid w:val="004546D2"/>
    <w:rsid w:val="00455538"/>
    <w:rsid w:val="00462EFB"/>
    <w:rsid w:val="00463812"/>
    <w:rsid w:val="004650F0"/>
    <w:rsid w:val="00471BF4"/>
    <w:rsid w:val="004756D7"/>
    <w:rsid w:val="004859ED"/>
    <w:rsid w:val="004902D1"/>
    <w:rsid w:val="00490F1F"/>
    <w:rsid w:val="00491E02"/>
    <w:rsid w:val="00496C18"/>
    <w:rsid w:val="004A6A68"/>
    <w:rsid w:val="004B6CEF"/>
    <w:rsid w:val="004B7333"/>
    <w:rsid w:val="004C1CF9"/>
    <w:rsid w:val="004D1E5D"/>
    <w:rsid w:val="004D34B6"/>
    <w:rsid w:val="004D4B8A"/>
    <w:rsid w:val="004D5BF1"/>
    <w:rsid w:val="004E5BBC"/>
    <w:rsid w:val="004E61B3"/>
    <w:rsid w:val="004F1C71"/>
    <w:rsid w:val="004F1CA2"/>
    <w:rsid w:val="004F1E11"/>
    <w:rsid w:val="004F6B8A"/>
    <w:rsid w:val="00501068"/>
    <w:rsid w:val="00524CEA"/>
    <w:rsid w:val="00527519"/>
    <w:rsid w:val="00527E72"/>
    <w:rsid w:val="00540231"/>
    <w:rsid w:val="00541AA6"/>
    <w:rsid w:val="00545F2F"/>
    <w:rsid w:val="0054750C"/>
    <w:rsid w:val="00555823"/>
    <w:rsid w:val="0056291F"/>
    <w:rsid w:val="00564B39"/>
    <w:rsid w:val="00566A50"/>
    <w:rsid w:val="00567E88"/>
    <w:rsid w:val="00570ABF"/>
    <w:rsid w:val="00575705"/>
    <w:rsid w:val="00587C75"/>
    <w:rsid w:val="00593FDF"/>
    <w:rsid w:val="00596383"/>
    <w:rsid w:val="005A4C70"/>
    <w:rsid w:val="005B52AB"/>
    <w:rsid w:val="005C3C8A"/>
    <w:rsid w:val="005C4C2E"/>
    <w:rsid w:val="005C7045"/>
    <w:rsid w:val="005D47C5"/>
    <w:rsid w:val="005D52AD"/>
    <w:rsid w:val="005E7035"/>
    <w:rsid w:val="005F4B20"/>
    <w:rsid w:val="00600A40"/>
    <w:rsid w:val="00601E90"/>
    <w:rsid w:val="00607213"/>
    <w:rsid w:val="0061072C"/>
    <w:rsid w:val="006121AF"/>
    <w:rsid w:val="00617DB1"/>
    <w:rsid w:val="00624EC4"/>
    <w:rsid w:val="00631A5F"/>
    <w:rsid w:val="006358A6"/>
    <w:rsid w:val="006414B2"/>
    <w:rsid w:val="0065005C"/>
    <w:rsid w:val="0065316F"/>
    <w:rsid w:val="00656710"/>
    <w:rsid w:val="00660B81"/>
    <w:rsid w:val="0066115E"/>
    <w:rsid w:val="0066274A"/>
    <w:rsid w:val="006667DB"/>
    <w:rsid w:val="00667F60"/>
    <w:rsid w:val="00676C80"/>
    <w:rsid w:val="006808E3"/>
    <w:rsid w:val="0068500B"/>
    <w:rsid w:val="00687A8C"/>
    <w:rsid w:val="0069026E"/>
    <w:rsid w:val="006A2A6F"/>
    <w:rsid w:val="006A43F6"/>
    <w:rsid w:val="006A51C4"/>
    <w:rsid w:val="006B3199"/>
    <w:rsid w:val="006C0B95"/>
    <w:rsid w:val="006D46D2"/>
    <w:rsid w:val="006D4D8C"/>
    <w:rsid w:val="006D6BDF"/>
    <w:rsid w:val="006E0B87"/>
    <w:rsid w:val="006E154F"/>
    <w:rsid w:val="006E373E"/>
    <w:rsid w:val="006E3DFD"/>
    <w:rsid w:val="006E76A0"/>
    <w:rsid w:val="006F1723"/>
    <w:rsid w:val="006F5EDD"/>
    <w:rsid w:val="006F75F9"/>
    <w:rsid w:val="007075B3"/>
    <w:rsid w:val="00711572"/>
    <w:rsid w:val="00714299"/>
    <w:rsid w:val="00715990"/>
    <w:rsid w:val="00716569"/>
    <w:rsid w:val="00717C8A"/>
    <w:rsid w:val="00722AB6"/>
    <w:rsid w:val="00724AC4"/>
    <w:rsid w:val="007300F6"/>
    <w:rsid w:val="00735E76"/>
    <w:rsid w:val="007440AB"/>
    <w:rsid w:val="00744FDA"/>
    <w:rsid w:val="00745861"/>
    <w:rsid w:val="00751B24"/>
    <w:rsid w:val="00763A43"/>
    <w:rsid w:val="00773714"/>
    <w:rsid w:val="00783015"/>
    <w:rsid w:val="007851D8"/>
    <w:rsid w:val="0078528C"/>
    <w:rsid w:val="00786FCE"/>
    <w:rsid w:val="00796885"/>
    <w:rsid w:val="007A1171"/>
    <w:rsid w:val="007A472D"/>
    <w:rsid w:val="007C284D"/>
    <w:rsid w:val="007C35DD"/>
    <w:rsid w:val="007D69DD"/>
    <w:rsid w:val="007E2DA4"/>
    <w:rsid w:val="007F0784"/>
    <w:rsid w:val="007F422E"/>
    <w:rsid w:val="008079F7"/>
    <w:rsid w:val="0081521E"/>
    <w:rsid w:val="008178B2"/>
    <w:rsid w:val="00822FDD"/>
    <w:rsid w:val="00826DE6"/>
    <w:rsid w:val="008272F7"/>
    <w:rsid w:val="00843A5F"/>
    <w:rsid w:val="00850A2E"/>
    <w:rsid w:val="00852484"/>
    <w:rsid w:val="00852C3A"/>
    <w:rsid w:val="008554F3"/>
    <w:rsid w:val="00857AD6"/>
    <w:rsid w:val="008617FC"/>
    <w:rsid w:val="008676F0"/>
    <w:rsid w:val="00872343"/>
    <w:rsid w:val="008739EA"/>
    <w:rsid w:val="00873FC6"/>
    <w:rsid w:val="00874783"/>
    <w:rsid w:val="00874855"/>
    <w:rsid w:val="00875EC8"/>
    <w:rsid w:val="00876FC3"/>
    <w:rsid w:val="00882E44"/>
    <w:rsid w:val="008856B1"/>
    <w:rsid w:val="008870EA"/>
    <w:rsid w:val="008907BB"/>
    <w:rsid w:val="008946B4"/>
    <w:rsid w:val="008952E7"/>
    <w:rsid w:val="008961CC"/>
    <w:rsid w:val="008B5777"/>
    <w:rsid w:val="008B6357"/>
    <w:rsid w:val="008B7A3D"/>
    <w:rsid w:val="008C0780"/>
    <w:rsid w:val="008C4DE7"/>
    <w:rsid w:val="008D3E9C"/>
    <w:rsid w:val="008D742A"/>
    <w:rsid w:val="008E54E3"/>
    <w:rsid w:val="008F23D8"/>
    <w:rsid w:val="008F6B38"/>
    <w:rsid w:val="0090117F"/>
    <w:rsid w:val="0090188C"/>
    <w:rsid w:val="009023D3"/>
    <w:rsid w:val="00906FAE"/>
    <w:rsid w:val="0091393D"/>
    <w:rsid w:val="00916B7B"/>
    <w:rsid w:val="009223FE"/>
    <w:rsid w:val="00922701"/>
    <w:rsid w:val="00933A5A"/>
    <w:rsid w:val="009349C4"/>
    <w:rsid w:val="00935B7F"/>
    <w:rsid w:val="00936765"/>
    <w:rsid w:val="00954090"/>
    <w:rsid w:val="00961844"/>
    <w:rsid w:val="00977944"/>
    <w:rsid w:val="00977972"/>
    <w:rsid w:val="00985C05"/>
    <w:rsid w:val="00985ECF"/>
    <w:rsid w:val="00987936"/>
    <w:rsid w:val="00990580"/>
    <w:rsid w:val="00993BD3"/>
    <w:rsid w:val="009A047E"/>
    <w:rsid w:val="009B72A5"/>
    <w:rsid w:val="009B7BE1"/>
    <w:rsid w:val="009C4DED"/>
    <w:rsid w:val="009C558A"/>
    <w:rsid w:val="009C60EF"/>
    <w:rsid w:val="009C720D"/>
    <w:rsid w:val="009D7C76"/>
    <w:rsid w:val="009E327B"/>
    <w:rsid w:val="009E3578"/>
    <w:rsid w:val="009E4F97"/>
    <w:rsid w:val="009E66DA"/>
    <w:rsid w:val="00A06458"/>
    <w:rsid w:val="00A113B7"/>
    <w:rsid w:val="00A1533A"/>
    <w:rsid w:val="00A21913"/>
    <w:rsid w:val="00A22CEB"/>
    <w:rsid w:val="00A22F75"/>
    <w:rsid w:val="00A24E32"/>
    <w:rsid w:val="00A319F0"/>
    <w:rsid w:val="00A51066"/>
    <w:rsid w:val="00A55513"/>
    <w:rsid w:val="00A565FD"/>
    <w:rsid w:val="00A62CE6"/>
    <w:rsid w:val="00A63DB0"/>
    <w:rsid w:val="00A653AD"/>
    <w:rsid w:val="00A659BC"/>
    <w:rsid w:val="00A728F4"/>
    <w:rsid w:val="00A74CE5"/>
    <w:rsid w:val="00A92F45"/>
    <w:rsid w:val="00A952EE"/>
    <w:rsid w:val="00A97647"/>
    <w:rsid w:val="00AA1394"/>
    <w:rsid w:val="00AA1A8C"/>
    <w:rsid w:val="00AA3487"/>
    <w:rsid w:val="00AA726D"/>
    <w:rsid w:val="00AA758B"/>
    <w:rsid w:val="00AB2FE7"/>
    <w:rsid w:val="00AC18EE"/>
    <w:rsid w:val="00AC6B3E"/>
    <w:rsid w:val="00AD098A"/>
    <w:rsid w:val="00AD1BAE"/>
    <w:rsid w:val="00AD2C6C"/>
    <w:rsid w:val="00AD35F4"/>
    <w:rsid w:val="00AD6C0C"/>
    <w:rsid w:val="00AD762A"/>
    <w:rsid w:val="00AE2533"/>
    <w:rsid w:val="00AE3D79"/>
    <w:rsid w:val="00AE5315"/>
    <w:rsid w:val="00AF2551"/>
    <w:rsid w:val="00AF4244"/>
    <w:rsid w:val="00AF5B93"/>
    <w:rsid w:val="00AF78B6"/>
    <w:rsid w:val="00B014ED"/>
    <w:rsid w:val="00B102A5"/>
    <w:rsid w:val="00B12699"/>
    <w:rsid w:val="00B16285"/>
    <w:rsid w:val="00B166CC"/>
    <w:rsid w:val="00B200CE"/>
    <w:rsid w:val="00B309D8"/>
    <w:rsid w:val="00B314A8"/>
    <w:rsid w:val="00B35F4C"/>
    <w:rsid w:val="00B418E2"/>
    <w:rsid w:val="00B41D36"/>
    <w:rsid w:val="00B4279C"/>
    <w:rsid w:val="00B42AB0"/>
    <w:rsid w:val="00B432C0"/>
    <w:rsid w:val="00B43B7E"/>
    <w:rsid w:val="00B43F04"/>
    <w:rsid w:val="00B46062"/>
    <w:rsid w:val="00B6177F"/>
    <w:rsid w:val="00B65939"/>
    <w:rsid w:val="00B6719F"/>
    <w:rsid w:val="00B718B1"/>
    <w:rsid w:val="00B810FC"/>
    <w:rsid w:val="00B874FD"/>
    <w:rsid w:val="00B87799"/>
    <w:rsid w:val="00B91525"/>
    <w:rsid w:val="00BA65D2"/>
    <w:rsid w:val="00BA6B51"/>
    <w:rsid w:val="00BA6DF5"/>
    <w:rsid w:val="00BA7143"/>
    <w:rsid w:val="00BA759D"/>
    <w:rsid w:val="00BB57A8"/>
    <w:rsid w:val="00BC6555"/>
    <w:rsid w:val="00BC68E8"/>
    <w:rsid w:val="00BD29D2"/>
    <w:rsid w:val="00BD5F66"/>
    <w:rsid w:val="00BE43BA"/>
    <w:rsid w:val="00BF45A4"/>
    <w:rsid w:val="00BF5367"/>
    <w:rsid w:val="00C048FA"/>
    <w:rsid w:val="00C13AC2"/>
    <w:rsid w:val="00C21E43"/>
    <w:rsid w:val="00C25114"/>
    <w:rsid w:val="00C25404"/>
    <w:rsid w:val="00C2701C"/>
    <w:rsid w:val="00C32E80"/>
    <w:rsid w:val="00C411ED"/>
    <w:rsid w:val="00C416A9"/>
    <w:rsid w:val="00C42A9F"/>
    <w:rsid w:val="00C5372B"/>
    <w:rsid w:val="00C5624C"/>
    <w:rsid w:val="00C613D6"/>
    <w:rsid w:val="00C63E41"/>
    <w:rsid w:val="00C6696D"/>
    <w:rsid w:val="00C67B2A"/>
    <w:rsid w:val="00C769E5"/>
    <w:rsid w:val="00C76A33"/>
    <w:rsid w:val="00C82605"/>
    <w:rsid w:val="00C87934"/>
    <w:rsid w:val="00C91C72"/>
    <w:rsid w:val="00C9238D"/>
    <w:rsid w:val="00CA2C17"/>
    <w:rsid w:val="00CA2DC5"/>
    <w:rsid w:val="00CA389F"/>
    <w:rsid w:val="00CA67B2"/>
    <w:rsid w:val="00CA689D"/>
    <w:rsid w:val="00CA6D3A"/>
    <w:rsid w:val="00CC5525"/>
    <w:rsid w:val="00CC71F3"/>
    <w:rsid w:val="00CD40B7"/>
    <w:rsid w:val="00CD4464"/>
    <w:rsid w:val="00CD4937"/>
    <w:rsid w:val="00CE15C9"/>
    <w:rsid w:val="00CE2FBD"/>
    <w:rsid w:val="00CE3DD8"/>
    <w:rsid w:val="00CF1C7C"/>
    <w:rsid w:val="00CF4BB7"/>
    <w:rsid w:val="00D0020B"/>
    <w:rsid w:val="00D02AE3"/>
    <w:rsid w:val="00D02D61"/>
    <w:rsid w:val="00D05B62"/>
    <w:rsid w:val="00D1122E"/>
    <w:rsid w:val="00D12F55"/>
    <w:rsid w:val="00D235FB"/>
    <w:rsid w:val="00D30EFE"/>
    <w:rsid w:val="00D3106A"/>
    <w:rsid w:val="00D33753"/>
    <w:rsid w:val="00D34EE8"/>
    <w:rsid w:val="00D3663F"/>
    <w:rsid w:val="00D36E41"/>
    <w:rsid w:val="00D44EC6"/>
    <w:rsid w:val="00D47336"/>
    <w:rsid w:val="00D521AD"/>
    <w:rsid w:val="00D5270B"/>
    <w:rsid w:val="00D54D83"/>
    <w:rsid w:val="00D7083F"/>
    <w:rsid w:val="00D70C91"/>
    <w:rsid w:val="00D72AEC"/>
    <w:rsid w:val="00D757DE"/>
    <w:rsid w:val="00D760B1"/>
    <w:rsid w:val="00D81EAA"/>
    <w:rsid w:val="00D8315F"/>
    <w:rsid w:val="00D87E27"/>
    <w:rsid w:val="00D95EEE"/>
    <w:rsid w:val="00DA43D3"/>
    <w:rsid w:val="00DB1B60"/>
    <w:rsid w:val="00DC0398"/>
    <w:rsid w:val="00DC09E3"/>
    <w:rsid w:val="00DC1ADD"/>
    <w:rsid w:val="00DC21B1"/>
    <w:rsid w:val="00DD1655"/>
    <w:rsid w:val="00DE3225"/>
    <w:rsid w:val="00DE4765"/>
    <w:rsid w:val="00DE4F32"/>
    <w:rsid w:val="00E00645"/>
    <w:rsid w:val="00E01D87"/>
    <w:rsid w:val="00E10F29"/>
    <w:rsid w:val="00E1361F"/>
    <w:rsid w:val="00E23F60"/>
    <w:rsid w:val="00E23F86"/>
    <w:rsid w:val="00E264AB"/>
    <w:rsid w:val="00E36F7A"/>
    <w:rsid w:val="00E417C7"/>
    <w:rsid w:val="00E45028"/>
    <w:rsid w:val="00E46306"/>
    <w:rsid w:val="00E51D85"/>
    <w:rsid w:val="00E60535"/>
    <w:rsid w:val="00E60DDF"/>
    <w:rsid w:val="00E6624B"/>
    <w:rsid w:val="00E66655"/>
    <w:rsid w:val="00E66688"/>
    <w:rsid w:val="00E7279F"/>
    <w:rsid w:val="00E74581"/>
    <w:rsid w:val="00E84AF7"/>
    <w:rsid w:val="00E87B80"/>
    <w:rsid w:val="00E90EE5"/>
    <w:rsid w:val="00E919AA"/>
    <w:rsid w:val="00E92E66"/>
    <w:rsid w:val="00E93740"/>
    <w:rsid w:val="00E96330"/>
    <w:rsid w:val="00E973FC"/>
    <w:rsid w:val="00EA1930"/>
    <w:rsid w:val="00EA302C"/>
    <w:rsid w:val="00EA59BB"/>
    <w:rsid w:val="00EA71AF"/>
    <w:rsid w:val="00EA7213"/>
    <w:rsid w:val="00EA7D25"/>
    <w:rsid w:val="00EB1962"/>
    <w:rsid w:val="00EB23A2"/>
    <w:rsid w:val="00EB2ECB"/>
    <w:rsid w:val="00EB5F1F"/>
    <w:rsid w:val="00EC02E8"/>
    <w:rsid w:val="00EC05E9"/>
    <w:rsid w:val="00ED22B2"/>
    <w:rsid w:val="00EE669F"/>
    <w:rsid w:val="00EF05CD"/>
    <w:rsid w:val="00EF29FB"/>
    <w:rsid w:val="00EF36BA"/>
    <w:rsid w:val="00EF3B95"/>
    <w:rsid w:val="00EF6D79"/>
    <w:rsid w:val="00F021EE"/>
    <w:rsid w:val="00F036C4"/>
    <w:rsid w:val="00F12B6C"/>
    <w:rsid w:val="00F140EA"/>
    <w:rsid w:val="00F14DF3"/>
    <w:rsid w:val="00F16593"/>
    <w:rsid w:val="00F2532E"/>
    <w:rsid w:val="00F25D21"/>
    <w:rsid w:val="00F26322"/>
    <w:rsid w:val="00F34693"/>
    <w:rsid w:val="00F3594C"/>
    <w:rsid w:val="00F44C09"/>
    <w:rsid w:val="00F456C4"/>
    <w:rsid w:val="00F46FB8"/>
    <w:rsid w:val="00F476CB"/>
    <w:rsid w:val="00F50CF7"/>
    <w:rsid w:val="00F523A5"/>
    <w:rsid w:val="00F53D27"/>
    <w:rsid w:val="00F60DCA"/>
    <w:rsid w:val="00F61433"/>
    <w:rsid w:val="00F75220"/>
    <w:rsid w:val="00F87579"/>
    <w:rsid w:val="00F93C00"/>
    <w:rsid w:val="00F94407"/>
    <w:rsid w:val="00F97414"/>
    <w:rsid w:val="00FA010B"/>
    <w:rsid w:val="00FA031C"/>
    <w:rsid w:val="00FA6841"/>
    <w:rsid w:val="00FB3FAE"/>
    <w:rsid w:val="00FB6F98"/>
    <w:rsid w:val="00FD6BA9"/>
    <w:rsid w:val="00FD7F0E"/>
    <w:rsid w:val="00FE0707"/>
    <w:rsid w:val="00FE61A4"/>
    <w:rsid w:val="00FE75D7"/>
    <w:rsid w:val="00FF1EB9"/>
    <w:rsid w:val="00FF5D78"/>
    <w:rsid w:val="00FF6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1">
    <w:name w:val="heading 1"/>
    <w:basedOn w:val="Normal"/>
    <w:next w:val="Normal"/>
    <w:link w:val="Heading1Char"/>
    <w:uiPriority w:val="9"/>
    <w:qFormat/>
    <w:rsid w:val="00F53D2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0"/>
    </w:pPr>
    <w:rPr>
      <w:rFonts w:asciiTheme="majorHAnsi" w:eastAsiaTheme="majorEastAsia" w:hAnsiTheme="majorHAnsi" w:cstheme="majorBidi"/>
      <w:b/>
      <w:bCs/>
      <w:color w:val="2F759E" w:themeColor="accent1" w:themeShade="BF"/>
      <w:sz w:val="28"/>
      <w:szCs w:val="28"/>
      <w:bdr w:val="none" w:sz="0" w:space="0" w:color="auto"/>
      <w:lang w:eastAsia="ja-JP"/>
    </w:rPr>
  </w:style>
  <w:style w:type="paragraph" w:styleId="Heading2">
    <w:name w:val="heading 2"/>
    <w:next w:val="Body"/>
    <w:link w:val="Heading2Char"/>
    <w:pPr>
      <w:keepNext/>
      <w:spacing w:before="400"/>
      <w:outlineLvl w:val="1"/>
    </w:pPr>
    <w:rPr>
      <w:rFonts w:hAnsi="Arial Unicode MS" w:cs="Arial Unicode MS"/>
      <w:b/>
      <w:bCs/>
      <w:color w:val="000000"/>
      <w:sz w:val="24"/>
      <w:szCs w:val="24"/>
    </w:rPr>
  </w:style>
  <w:style w:type="paragraph" w:styleId="Heading3">
    <w:name w:val="heading 3"/>
    <w:basedOn w:val="Normal"/>
    <w:next w:val="Normal"/>
    <w:link w:val="Heading3Char"/>
    <w:uiPriority w:val="9"/>
    <w:semiHidden/>
    <w:unhideWhenUsed/>
    <w:qFormat/>
    <w:rsid w:val="002A352D"/>
    <w:pPr>
      <w:keepNext/>
      <w:keepLines/>
      <w:spacing w:before="200"/>
      <w:outlineLvl w:val="2"/>
    </w:pPr>
    <w:rPr>
      <w:rFonts w:asciiTheme="majorHAnsi" w:eastAsiaTheme="majorEastAsia" w:hAnsiTheme="majorHAnsi" w:cstheme="majorBidi"/>
      <w:b/>
      <w:bCs/>
      <w:color w:val="499BC9"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pPr>
      <w:jc w:val="center"/>
    </w:pPr>
    <w:rPr>
      <w:rFonts w:hAnsi="Arial Unicode MS" w:cs="Arial Unicode MS"/>
      <w:b/>
      <w:bCs/>
      <w:color w:val="000000"/>
      <w:sz w:val="24"/>
      <w:szCs w:val="24"/>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Heading">
    <w:name w:val="Heading"/>
    <w:next w:val="Body"/>
    <w:pPr>
      <w:keepNext/>
      <w:spacing w:before="400"/>
      <w:outlineLvl w:val="0"/>
    </w:pPr>
    <w:rPr>
      <w:rFonts w:hAnsi="Arial Unicode MS" w:cs="Arial Unicode MS"/>
      <w:b/>
      <w:bCs/>
      <w:color w:val="000000"/>
      <w:sz w:val="24"/>
      <w:szCs w:val="24"/>
      <w:lang w:val="sv-SE"/>
    </w:rPr>
  </w:style>
  <w:style w:type="paragraph" w:customStyle="1" w:styleId="Body">
    <w:name w:val="Body"/>
    <w:pPr>
      <w:spacing w:before="200"/>
    </w:pPr>
    <w:rPr>
      <w:rFonts w:hAnsi="Arial Unicode MS" w:cs="Arial Unicode MS"/>
      <w:color w:val="000000"/>
      <w:sz w:val="24"/>
      <w:szCs w:val="24"/>
      <w:u w:color="000000"/>
      <w:lang w:val="sv-SE"/>
    </w:rPr>
  </w:style>
  <w:style w:type="numbering" w:customStyle="1" w:styleId="List0">
    <w:name w:val="List 0"/>
    <w:basedOn w:val="ImportedStyle1"/>
    <w:pPr>
      <w:numPr>
        <w:numId w:val="2"/>
      </w:numPr>
    </w:pPr>
  </w:style>
  <w:style w:type="numbering" w:customStyle="1" w:styleId="ImportedStyle1">
    <w:name w:val="Imported Style 1"/>
  </w:style>
  <w:style w:type="numbering" w:customStyle="1" w:styleId="List1">
    <w:name w:val="List 1"/>
    <w:basedOn w:val="ImportedStyle1"/>
    <w:pPr>
      <w:numPr>
        <w:numId w:val="9"/>
      </w:numPr>
    </w:pPr>
  </w:style>
  <w:style w:type="paragraph" w:styleId="Subtitle">
    <w:name w:val="Subtitle"/>
    <w:next w:val="Body"/>
    <w:link w:val="SubtitleChar"/>
    <w:pPr>
      <w:keepNext/>
      <w:spacing w:before="400"/>
    </w:pPr>
    <w:rPr>
      <w:rFonts w:hAnsi="Arial Unicode MS" w:cs="Arial Unicode MS"/>
      <w:color w:val="000000"/>
      <w:sz w:val="24"/>
      <w:szCs w:val="24"/>
      <w:u w:val="single"/>
      <w:lang w:val="de-DE"/>
    </w:rPr>
  </w:style>
  <w:style w:type="paragraph" w:styleId="FootnoteText">
    <w:name w:val="footnote text"/>
    <w:link w:val="FootnoteTextChar"/>
    <w:rPr>
      <w:rFonts w:eastAsia="Times New Roman"/>
      <w:color w:val="000000"/>
      <w:u w:color="000000"/>
    </w:rPr>
  </w:style>
  <w:style w:type="character" w:customStyle="1" w:styleId="Link">
    <w:name w:val="Link"/>
    <w:rPr>
      <w:color w:val="0000FF"/>
      <w:u w:val="single" w:color="0000FF"/>
    </w:rPr>
  </w:style>
  <w:style w:type="character" w:customStyle="1" w:styleId="Hyperlink0">
    <w:name w:val="Hyperlink.0"/>
    <w:basedOn w:val="Link"/>
    <w:rPr>
      <w:color w:val="0000FF"/>
      <w:sz w:val="24"/>
      <w:szCs w:val="24"/>
      <w:u w:val="single" w:color="0000FF"/>
    </w:rPr>
  </w:style>
  <w:style w:type="numbering" w:customStyle="1" w:styleId="List21">
    <w:name w:val="List 21"/>
    <w:basedOn w:val="ImportedStyle2"/>
    <w:pPr>
      <w:numPr>
        <w:numId w:val="7"/>
      </w:numPr>
    </w:pPr>
  </w:style>
  <w:style w:type="numbering" w:customStyle="1" w:styleId="ImportedStyle2">
    <w:name w:val="Imported Style 2"/>
  </w:style>
  <w:style w:type="numbering" w:customStyle="1" w:styleId="List31">
    <w:name w:val="List 31"/>
    <w:basedOn w:val="ImportedStyle5"/>
    <w:pPr>
      <w:numPr>
        <w:numId w:val="3"/>
      </w:numPr>
    </w:pPr>
  </w:style>
  <w:style w:type="numbering" w:customStyle="1" w:styleId="ImportedStyle5">
    <w:name w:val="Imported Style 5"/>
  </w:style>
  <w:style w:type="numbering" w:customStyle="1" w:styleId="List41">
    <w:name w:val="List 41"/>
    <w:basedOn w:val="ImportedStyle7"/>
    <w:pPr>
      <w:numPr>
        <w:numId w:val="4"/>
      </w:numPr>
    </w:pPr>
  </w:style>
  <w:style w:type="numbering" w:customStyle="1" w:styleId="ImportedStyle7">
    <w:name w:val="Imported Style 7"/>
  </w:style>
  <w:style w:type="numbering" w:customStyle="1" w:styleId="List51">
    <w:name w:val="List 51"/>
    <w:basedOn w:val="ImportedStyle7"/>
    <w:pPr>
      <w:numPr>
        <w:numId w:val="5"/>
      </w:numPr>
    </w:pPr>
  </w:style>
  <w:style w:type="numbering" w:customStyle="1" w:styleId="List6">
    <w:name w:val="List 6"/>
    <w:basedOn w:val="ImportedStyle8"/>
    <w:pPr>
      <w:numPr>
        <w:numId w:val="6"/>
      </w:numPr>
    </w:pPr>
  </w:style>
  <w:style w:type="numbering" w:customStyle="1" w:styleId="ImportedStyle8">
    <w:name w:val="Imported Style 8"/>
  </w:style>
  <w:style w:type="character" w:customStyle="1" w:styleId="Heading3Char">
    <w:name w:val="Heading 3 Char"/>
    <w:basedOn w:val="DefaultParagraphFont"/>
    <w:link w:val="Heading3"/>
    <w:uiPriority w:val="9"/>
    <w:semiHidden/>
    <w:rsid w:val="002A352D"/>
    <w:rPr>
      <w:rFonts w:asciiTheme="majorHAnsi" w:eastAsiaTheme="majorEastAsia" w:hAnsiTheme="majorHAnsi" w:cstheme="majorBidi"/>
      <w:b/>
      <w:bCs/>
      <w:color w:val="499BC9" w:themeColor="accent1"/>
      <w:sz w:val="24"/>
      <w:szCs w:val="24"/>
    </w:rPr>
  </w:style>
  <w:style w:type="character" w:styleId="FootnoteReference">
    <w:name w:val="footnote reference"/>
    <w:basedOn w:val="DefaultParagraphFont"/>
    <w:uiPriority w:val="99"/>
    <w:semiHidden/>
    <w:unhideWhenUsed/>
    <w:rsid w:val="00125673"/>
    <w:rPr>
      <w:vertAlign w:val="superscript"/>
    </w:rPr>
  </w:style>
  <w:style w:type="paragraph" w:styleId="BalloonText">
    <w:name w:val="Balloon Text"/>
    <w:basedOn w:val="Normal"/>
    <w:link w:val="BalloonTextChar"/>
    <w:uiPriority w:val="99"/>
    <w:semiHidden/>
    <w:unhideWhenUsed/>
    <w:rsid w:val="00922701"/>
    <w:rPr>
      <w:rFonts w:ascii="Tahoma" w:hAnsi="Tahoma" w:cs="Tahoma"/>
      <w:sz w:val="16"/>
      <w:szCs w:val="16"/>
    </w:rPr>
  </w:style>
  <w:style w:type="character" w:customStyle="1" w:styleId="BalloonTextChar">
    <w:name w:val="Balloon Text Char"/>
    <w:basedOn w:val="DefaultParagraphFont"/>
    <w:link w:val="BalloonText"/>
    <w:uiPriority w:val="99"/>
    <w:semiHidden/>
    <w:rsid w:val="00922701"/>
    <w:rPr>
      <w:rFonts w:ascii="Tahoma" w:hAnsi="Tahoma" w:cs="Tahoma"/>
      <w:sz w:val="16"/>
      <w:szCs w:val="16"/>
    </w:rPr>
  </w:style>
  <w:style w:type="character" w:customStyle="1" w:styleId="FootnoteTextChar">
    <w:name w:val="Footnote Text Char"/>
    <w:basedOn w:val="DefaultParagraphFont"/>
    <w:link w:val="FootnoteText"/>
    <w:rsid w:val="00922701"/>
    <w:rPr>
      <w:rFonts w:eastAsia="Times New Roman"/>
      <w:color w:val="000000"/>
      <w:u w:color="000000"/>
    </w:rPr>
  </w:style>
  <w:style w:type="character" w:styleId="CommentReference">
    <w:name w:val="annotation reference"/>
    <w:basedOn w:val="DefaultParagraphFont"/>
    <w:uiPriority w:val="99"/>
    <w:semiHidden/>
    <w:unhideWhenUsed/>
    <w:rsid w:val="00527519"/>
    <w:rPr>
      <w:sz w:val="16"/>
      <w:szCs w:val="16"/>
    </w:rPr>
  </w:style>
  <w:style w:type="paragraph" w:styleId="CommentText">
    <w:name w:val="annotation text"/>
    <w:basedOn w:val="Normal"/>
    <w:link w:val="CommentTextChar"/>
    <w:uiPriority w:val="99"/>
    <w:unhideWhenUsed/>
    <w:rsid w:val="00527519"/>
    <w:rPr>
      <w:sz w:val="20"/>
      <w:szCs w:val="20"/>
    </w:rPr>
  </w:style>
  <w:style w:type="character" w:customStyle="1" w:styleId="CommentTextChar">
    <w:name w:val="Comment Text Char"/>
    <w:basedOn w:val="DefaultParagraphFont"/>
    <w:link w:val="CommentText"/>
    <w:uiPriority w:val="99"/>
    <w:rsid w:val="00527519"/>
  </w:style>
  <w:style w:type="paragraph" w:styleId="CommentSubject">
    <w:name w:val="annotation subject"/>
    <w:basedOn w:val="CommentText"/>
    <w:next w:val="CommentText"/>
    <w:link w:val="CommentSubjectChar"/>
    <w:uiPriority w:val="99"/>
    <w:semiHidden/>
    <w:unhideWhenUsed/>
    <w:rsid w:val="00527519"/>
    <w:rPr>
      <w:b/>
      <w:bCs/>
    </w:rPr>
  </w:style>
  <w:style w:type="character" w:customStyle="1" w:styleId="CommentSubjectChar">
    <w:name w:val="Comment Subject Char"/>
    <w:basedOn w:val="CommentTextChar"/>
    <w:link w:val="CommentSubject"/>
    <w:uiPriority w:val="99"/>
    <w:semiHidden/>
    <w:rsid w:val="00527519"/>
    <w:rPr>
      <w:b/>
      <w:bCs/>
    </w:rPr>
  </w:style>
  <w:style w:type="paragraph" w:styleId="Revision">
    <w:name w:val="Revision"/>
    <w:hidden/>
    <w:uiPriority w:val="99"/>
    <w:semiHidden/>
    <w:rsid w:val="0052751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customStyle="1" w:styleId="FreeForm">
    <w:name w:val="Free Form"/>
    <w:uiPriority w:val="99"/>
    <w:rsid w:val="00631A5F"/>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Times New Roman" w:hAnsi="Helvetica"/>
      <w:color w:val="000000"/>
      <w:sz w:val="24"/>
      <w:bdr w:val="none" w:sz="0" w:space="0" w:color="auto"/>
    </w:rPr>
  </w:style>
  <w:style w:type="paragraph" w:customStyle="1" w:styleId="Default">
    <w:name w:val="Default"/>
    <w:rsid w:val="00601E9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rPr>
  </w:style>
  <w:style w:type="paragraph" w:customStyle="1" w:styleId="CM9">
    <w:name w:val="CM9"/>
    <w:basedOn w:val="Default"/>
    <w:next w:val="Default"/>
    <w:uiPriority w:val="99"/>
    <w:rsid w:val="00601E90"/>
    <w:pPr>
      <w:spacing w:line="278" w:lineRule="atLeast"/>
    </w:pPr>
    <w:rPr>
      <w:color w:val="auto"/>
    </w:rPr>
  </w:style>
  <w:style w:type="paragraph" w:styleId="ListParagraph">
    <w:name w:val="List Paragraph"/>
    <w:basedOn w:val="Normal"/>
    <w:uiPriority w:val="34"/>
    <w:qFormat/>
    <w:rsid w:val="00AD35F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rPr>
  </w:style>
  <w:style w:type="paragraph" w:styleId="Footer">
    <w:name w:val="footer"/>
    <w:basedOn w:val="Normal"/>
    <w:link w:val="FooterChar"/>
    <w:uiPriority w:val="99"/>
    <w:unhideWhenUsed/>
    <w:rsid w:val="009223FE"/>
    <w:pPr>
      <w:tabs>
        <w:tab w:val="center" w:pos="4680"/>
        <w:tab w:val="right" w:pos="9360"/>
      </w:tabs>
    </w:pPr>
  </w:style>
  <w:style w:type="character" w:customStyle="1" w:styleId="FooterChar">
    <w:name w:val="Footer Char"/>
    <w:basedOn w:val="DefaultParagraphFont"/>
    <w:link w:val="Footer"/>
    <w:uiPriority w:val="99"/>
    <w:rsid w:val="009223FE"/>
    <w:rPr>
      <w:sz w:val="24"/>
      <w:szCs w:val="24"/>
    </w:rPr>
  </w:style>
  <w:style w:type="character" w:customStyle="1" w:styleId="Heading1Char">
    <w:name w:val="Heading 1 Char"/>
    <w:basedOn w:val="DefaultParagraphFont"/>
    <w:link w:val="Heading1"/>
    <w:uiPriority w:val="9"/>
    <w:rsid w:val="00F53D27"/>
    <w:rPr>
      <w:rFonts w:asciiTheme="majorHAnsi" w:eastAsiaTheme="majorEastAsia" w:hAnsiTheme="majorHAnsi" w:cstheme="majorBidi"/>
      <w:b/>
      <w:bCs/>
      <w:color w:val="2F759E" w:themeColor="accent1" w:themeShade="BF"/>
      <w:sz w:val="28"/>
      <w:szCs w:val="28"/>
      <w:bdr w:val="none" w:sz="0" w:space="0" w:color="auto"/>
      <w:lang w:eastAsia="ja-JP"/>
    </w:rPr>
  </w:style>
  <w:style w:type="paragraph" w:styleId="Quote">
    <w:name w:val="Quote"/>
    <w:basedOn w:val="Normal"/>
    <w:next w:val="Normal"/>
    <w:link w:val="QuoteChar"/>
    <w:uiPriority w:val="29"/>
    <w:qFormat/>
    <w:rsid w:val="00735E76"/>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heme="minorHAnsi" w:eastAsiaTheme="minorEastAsia" w:hAnsiTheme="minorHAnsi" w:cstheme="minorBidi"/>
      <w:i/>
      <w:iCs/>
      <w:color w:val="000000" w:themeColor="text1"/>
      <w:sz w:val="22"/>
      <w:szCs w:val="22"/>
      <w:bdr w:val="none" w:sz="0" w:space="0" w:color="auto"/>
      <w:lang w:eastAsia="ja-JP"/>
    </w:rPr>
  </w:style>
  <w:style w:type="character" w:customStyle="1" w:styleId="QuoteChar">
    <w:name w:val="Quote Char"/>
    <w:basedOn w:val="DefaultParagraphFont"/>
    <w:link w:val="Quote"/>
    <w:uiPriority w:val="29"/>
    <w:rsid w:val="00735E76"/>
    <w:rPr>
      <w:rFonts w:asciiTheme="minorHAnsi" w:eastAsiaTheme="minorEastAsia" w:hAnsiTheme="minorHAnsi" w:cstheme="minorBidi"/>
      <w:i/>
      <w:iCs/>
      <w:color w:val="000000" w:themeColor="text1"/>
      <w:sz w:val="22"/>
      <w:szCs w:val="22"/>
      <w:bdr w:val="none" w:sz="0" w:space="0" w:color="auto"/>
      <w:lang w:eastAsia="ja-JP"/>
    </w:rPr>
  </w:style>
  <w:style w:type="table" w:styleId="TableGrid">
    <w:name w:val="Table Grid"/>
    <w:basedOn w:val="TableNormal"/>
    <w:uiPriority w:val="59"/>
    <w:rsid w:val="00FE07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2">
    <w:name w:val="Light Shading Accent 2"/>
    <w:basedOn w:val="TableNormal"/>
    <w:uiPriority w:val="60"/>
    <w:rsid w:val="00FE0707"/>
    <w:rPr>
      <w:color w:val="528F2A" w:themeColor="accent2" w:themeShade="BF"/>
    </w:rPr>
    <w:tblPr>
      <w:tblStyleRowBandSize w:val="1"/>
      <w:tblStyleColBandSize w:val="1"/>
      <w:tblInd w:w="0" w:type="dxa"/>
      <w:tblBorders>
        <w:top w:val="single" w:sz="8" w:space="0" w:color="6EC038" w:themeColor="accent2"/>
        <w:bottom w:val="single" w:sz="8" w:space="0" w:color="6EC038"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EC038" w:themeColor="accent2"/>
          <w:left w:val="nil"/>
          <w:bottom w:val="single" w:sz="8" w:space="0" w:color="6EC038" w:themeColor="accent2"/>
          <w:right w:val="nil"/>
          <w:insideH w:val="nil"/>
          <w:insideV w:val="nil"/>
        </w:tcBorders>
      </w:tcPr>
    </w:tblStylePr>
    <w:tblStylePr w:type="lastRow">
      <w:pPr>
        <w:spacing w:before="0" w:after="0" w:line="240" w:lineRule="auto"/>
      </w:pPr>
      <w:rPr>
        <w:b/>
        <w:bCs/>
      </w:rPr>
      <w:tblPr/>
      <w:tcPr>
        <w:tcBorders>
          <w:top w:val="single" w:sz="8" w:space="0" w:color="6EC038" w:themeColor="accent2"/>
          <w:left w:val="nil"/>
          <w:bottom w:val="single" w:sz="8" w:space="0" w:color="6EC03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F0CC" w:themeFill="accent2" w:themeFillTint="3F"/>
      </w:tcPr>
    </w:tblStylePr>
    <w:tblStylePr w:type="band1Horz">
      <w:tblPr/>
      <w:tcPr>
        <w:tcBorders>
          <w:left w:val="nil"/>
          <w:right w:val="nil"/>
          <w:insideH w:val="nil"/>
          <w:insideV w:val="nil"/>
        </w:tcBorders>
        <w:shd w:val="clear" w:color="auto" w:fill="DAF0CC" w:themeFill="accent2" w:themeFillTint="3F"/>
      </w:tcPr>
    </w:tblStylePr>
  </w:style>
  <w:style w:type="table" w:styleId="LightList-Accent2">
    <w:name w:val="Light List Accent 2"/>
    <w:basedOn w:val="TableNormal"/>
    <w:uiPriority w:val="61"/>
    <w:rsid w:val="00FE0707"/>
    <w:tblPr>
      <w:tblStyleRowBandSize w:val="1"/>
      <w:tblStyleColBandSize w:val="1"/>
      <w:tblInd w:w="0" w:type="dxa"/>
      <w:tblBorders>
        <w:top w:val="single" w:sz="8" w:space="0" w:color="6EC038" w:themeColor="accent2"/>
        <w:left w:val="single" w:sz="8" w:space="0" w:color="6EC038" w:themeColor="accent2"/>
        <w:bottom w:val="single" w:sz="8" w:space="0" w:color="6EC038" w:themeColor="accent2"/>
        <w:right w:val="single" w:sz="8" w:space="0" w:color="6EC038"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6EC038" w:themeFill="accent2"/>
      </w:tcPr>
    </w:tblStylePr>
    <w:tblStylePr w:type="lastRow">
      <w:pPr>
        <w:spacing w:before="0" w:after="0" w:line="240" w:lineRule="auto"/>
      </w:pPr>
      <w:rPr>
        <w:b/>
        <w:bCs/>
      </w:rPr>
      <w:tblPr/>
      <w:tcPr>
        <w:tcBorders>
          <w:top w:val="double" w:sz="6" w:space="0" w:color="6EC038" w:themeColor="accent2"/>
          <w:left w:val="single" w:sz="8" w:space="0" w:color="6EC038" w:themeColor="accent2"/>
          <w:bottom w:val="single" w:sz="8" w:space="0" w:color="6EC038" w:themeColor="accent2"/>
          <w:right w:val="single" w:sz="8" w:space="0" w:color="6EC038" w:themeColor="accent2"/>
        </w:tcBorders>
      </w:tcPr>
    </w:tblStylePr>
    <w:tblStylePr w:type="firstCol">
      <w:rPr>
        <w:b/>
        <w:bCs/>
      </w:rPr>
    </w:tblStylePr>
    <w:tblStylePr w:type="lastCol">
      <w:rPr>
        <w:b/>
        <w:bCs/>
      </w:rPr>
    </w:tblStylePr>
    <w:tblStylePr w:type="band1Vert">
      <w:tblPr/>
      <w:tcPr>
        <w:tcBorders>
          <w:top w:val="single" w:sz="8" w:space="0" w:color="6EC038" w:themeColor="accent2"/>
          <w:left w:val="single" w:sz="8" w:space="0" w:color="6EC038" w:themeColor="accent2"/>
          <w:bottom w:val="single" w:sz="8" w:space="0" w:color="6EC038" w:themeColor="accent2"/>
          <w:right w:val="single" w:sz="8" w:space="0" w:color="6EC038" w:themeColor="accent2"/>
        </w:tcBorders>
      </w:tcPr>
    </w:tblStylePr>
    <w:tblStylePr w:type="band1Horz">
      <w:tblPr/>
      <w:tcPr>
        <w:tcBorders>
          <w:top w:val="single" w:sz="8" w:space="0" w:color="6EC038" w:themeColor="accent2"/>
          <w:left w:val="single" w:sz="8" w:space="0" w:color="6EC038" w:themeColor="accent2"/>
          <w:bottom w:val="single" w:sz="8" w:space="0" w:color="6EC038" w:themeColor="accent2"/>
          <w:right w:val="single" w:sz="8" w:space="0" w:color="6EC038" w:themeColor="accent2"/>
        </w:tcBorders>
      </w:tcPr>
    </w:tblStylePr>
  </w:style>
  <w:style w:type="table" w:styleId="LightGrid-Accent2">
    <w:name w:val="Light Grid Accent 2"/>
    <w:basedOn w:val="TableNormal"/>
    <w:uiPriority w:val="62"/>
    <w:rsid w:val="00FE0707"/>
    <w:tblPr>
      <w:tblStyleRowBandSize w:val="1"/>
      <w:tblStyleColBandSize w:val="1"/>
      <w:tblInd w:w="0" w:type="dxa"/>
      <w:tblBorders>
        <w:top w:val="single" w:sz="8" w:space="0" w:color="6EC038" w:themeColor="accent2"/>
        <w:left w:val="single" w:sz="8" w:space="0" w:color="6EC038" w:themeColor="accent2"/>
        <w:bottom w:val="single" w:sz="8" w:space="0" w:color="6EC038" w:themeColor="accent2"/>
        <w:right w:val="single" w:sz="8" w:space="0" w:color="6EC038" w:themeColor="accent2"/>
        <w:insideH w:val="single" w:sz="8" w:space="0" w:color="6EC038" w:themeColor="accent2"/>
        <w:insideV w:val="single" w:sz="8" w:space="0" w:color="6EC038"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6EC038" w:themeColor="accent2"/>
          <w:left w:val="single" w:sz="8" w:space="0" w:color="6EC038" w:themeColor="accent2"/>
          <w:bottom w:val="single" w:sz="18" w:space="0" w:color="6EC038" w:themeColor="accent2"/>
          <w:right w:val="single" w:sz="8" w:space="0" w:color="6EC038" w:themeColor="accent2"/>
          <w:insideH w:val="nil"/>
          <w:insideV w:val="single" w:sz="8" w:space="0" w:color="6EC03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EC038" w:themeColor="accent2"/>
          <w:left w:val="single" w:sz="8" w:space="0" w:color="6EC038" w:themeColor="accent2"/>
          <w:bottom w:val="single" w:sz="8" w:space="0" w:color="6EC038" w:themeColor="accent2"/>
          <w:right w:val="single" w:sz="8" w:space="0" w:color="6EC038" w:themeColor="accent2"/>
          <w:insideH w:val="nil"/>
          <w:insideV w:val="single" w:sz="8" w:space="0" w:color="6EC03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EC038" w:themeColor="accent2"/>
          <w:left w:val="single" w:sz="8" w:space="0" w:color="6EC038" w:themeColor="accent2"/>
          <w:bottom w:val="single" w:sz="8" w:space="0" w:color="6EC038" w:themeColor="accent2"/>
          <w:right w:val="single" w:sz="8" w:space="0" w:color="6EC038" w:themeColor="accent2"/>
        </w:tcBorders>
      </w:tcPr>
    </w:tblStylePr>
    <w:tblStylePr w:type="band1Vert">
      <w:tblPr/>
      <w:tcPr>
        <w:tcBorders>
          <w:top w:val="single" w:sz="8" w:space="0" w:color="6EC038" w:themeColor="accent2"/>
          <w:left w:val="single" w:sz="8" w:space="0" w:color="6EC038" w:themeColor="accent2"/>
          <w:bottom w:val="single" w:sz="8" w:space="0" w:color="6EC038" w:themeColor="accent2"/>
          <w:right w:val="single" w:sz="8" w:space="0" w:color="6EC038" w:themeColor="accent2"/>
        </w:tcBorders>
        <w:shd w:val="clear" w:color="auto" w:fill="DAF0CC" w:themeFill="accent2" w:themeFillTint="3F"/>
      </w:tcPr>
    </w:tblStylePr>
    <w:tblStylePr w:type="band1Horz">
      <w:tblPr/>
      <w:tcPr>
        <w:tcBorders>
          <w:top w:val="single" w:sz="8" w:space="0" w:color="6EC038" w:themeColor="accent2"/>
          <w:left w:val="single" w:sz="8" w:space="0" w:color="6EC038" w:themeColor="accent2"/>
          <w:bottom w:val="single" w:sz="8" w:space="0" w:color="6EC038" w:themeColor="accent2"/>
          <w:right w:val="single" w:sz="8" w:space="0" w:color="6EC038" w:themeColor="accent2"/>
          <w:insideV w:val="single" w:sz="8" w:space="0" w:color="6EC038" w:themeColor="accent2"/>
        </w:tcBorders>
        <w:shd w:val="clear" w:color="auto" w:fill="DAF0CC" w:themeFill="accent2" w:themeFillTint="3F"/>
      </w:tcPr>
    </w:tblStylePr>
    <w:tblStylePr w:type="band2Horz">
      <w:tblPr/>
      <w:tcPr>
        <w:tcBorders>
          <w:top w:val="single" w:sz="8" w:space="0" w:color="6EC038" w:themeColor="accent2"/>
          <w:left w:val="single" w:sz="8" w:space="0" w:color="6EC038" w:themeColor="accent2"/>
          <w:bottom w:val="single" w:sz="8" w:space="0" w:color="6EC038" w:themeColor="accent2"/>
          <w:right w:val="single" w:sz="8" w:space="0" w:color="6EC038" w:themeColor="accent2"/>
          <w:insideV w:val="single" w:sz="8" w:space="0" w:color="6EC038" w:themeColor="accent2"/>
        </w:tcBorders>
      </w:tcPr>
    </w:tblStylePr>
  </w:style>
  <w:style w:type="table" w:styleId="MediumShading2-Accent2">
    <w:name w:val="Medium Shading 2 Accent 2"/>
    <w:basedOn w:val="TableNormal"/>
    <w:uiPriority w:val="64"/>
    <w:rsid w:val="00FE070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EC03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EC038" w:themeFill="accent2"/>
      </w:tcPr>
    </w:tblStylePr>
    <w:tblStylePr w:type="lastCol">
      <w:rPr>
        <w:b/>
        <w:bCs/>
        <w:color w:val="FFFFFF" w:themeColor="background1"/>
      </w:rPr>
      <w:tblPr/>
      <w:tcPr>
        <w:tcBorders>
          <w:left w:val="nil"/>
          <w:right w:val="nil"/>
          <w:insideH w:val="nil"/>
          <w:insideV w:val="nil"/>
        </w:tcBorders>
        <w:shd w:val="clear" w:color="auto" w:fill="6EC03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2">
    <w:name w:val="Medium Grid 3 Accent 2"/>
    <w:basedOn w:val="TableNormal"/>
    <w:uiPriority w:val="69"/>
    <w:rsid w:val="00FE0707"/>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AF0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EC03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EC03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EC03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EC03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E1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E199" w:themeFill="accent2" w:themeFillTint="7F"/>
      </w:tcPr>
    </w:tblStylePr>
  </w:style>
  <w:style w:type="paragraph" w:styleId="IntenseQuote">
    <w:name w:val="Intense Quote"/>
    <w:basedOn w:val="Normal"/>
    <w:next w:val="Normal"/>
    <w:link w:val="IntenseQuoteChar"/>
    <w:uiPriority w:val="30"/>
    <w:qFormat/>
    <w:rsid w:val="00E417C7"/>
    <w:pPr>
      <w:pBdr>
        <w:top w:val="none" w:sz="0" w:space="0" w:color="auto"/>
        <w:left w:val="none" w:sz="0" w:space="0" w:color="auto"/>
        <w:bottom w:val="single" w:sz="4" w:space="4" w:color="499BC9" w:themeColor="accent1"/>
        <w:right w:val="none" w:sz="0" w:space="0" w:color="auto"/>
        <w:between w:val="none" w:sz="0" w:space="0" w:color="auto"/>
        <w:bar w:val="none" w:sz="0" w:color="auto"/>
      </w:pBdr>
      <w:spacing w:before="200" w:after="280" w:line="276" w:lineRule="auto"/>
      <w:ind w:left="936" w:right="936"/>
    </w:pPr>
    <w:rPr>
      <w:rFonts w:asciiTheme="minorHAnsi" w:eastAsiaTheme="minorEastAsia" w:hAnsiTheme="minorHAnsi" w:cstheme="minorBidi"/>
      <w:b/>
      <w:bCs/>
      <w:i/>
      <w:iCs/>
      <w:color w:val="499BC9" w:themeColor="accent1"/>
      <w:sz w:val="22"/>
      <w:szCs w:val="22"/>
      <w:bdr w:val="none" w:sz="0" w:space="0" w:color="auto"/>
      <w:lang w:eastAsia="ja-JP"/>
    </w:rPr>
  </w:style>
  <w:style w:type="character" w:customStyle="1" w:styleId="IntenseQuoteChar">
    <w:name w:val="Intense Quote Char"/>
    <w:basedOn w:val="DefaultParagraphFont"/>
    <w:link w:val="IntenseQuote"/>
    <w:uiPriority w:val="30"/>
    <w:rsid w:val="00E417C7"/>
    <w:rPr>
      <w:rFonts w:asciiTheme="minorHAnsi" w:eastAsiaTheme="minorEastAsia" w:hAnsiTheme="minorHAnsi" w:cstheme="minorBidi"/>
      <w:b/>
      <w:bCs/>
      <w:i/>
      <w:iCs/>
      <w:color w:val="499BC9" w:themeColor="accent1"/>
      <w:sz w:val="22"/>
      <w:szCs w:val="22"/>
      <w:bdr w:val="none" w:sz="0" w:space="0" w:color="auto"/>
      <w:lang w:eastAsia="ja-JP"/>
    </w:rPr>
  </w:style>
  <w:style w:type="table" w:styleId="MediumGrid3-Accent3">
    <w:name w:val="Medium Grid 3 Accent 3"/>
    <w:basedOn w:val="TableNormal"/>
    <w:uiPriority w:val="69"/>
    <w:rsid w:val="0077371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BF3C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D13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D13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D13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D13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E79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E797" w:themeFill="accent3" w:themeFillTint="7F"/>
      </w:tcPr>
    </w:tblStylePr>
  </w:style>
  <w:style w:type="character" w:customStyle="1" w:styleId="Heading2Char">
    <w:name w:val="Heading 2 Char"/>
    <w:basedOn w:val="DefaultParagraphFont"/>
    <w:link w:val="Heading2"/>
    <w:rsid w:val="0018262A"/>
    <w:rPr>
      <w:rFonts w:hAnsi="Arial Unicode MS" w:cs="Arial Unicode MS"/>
      <w:b/>
      <w:bCs/>
      <w:color w:val="000000"/>
      <w:sz w:val="24"/>
      <w:szCs w:val="24"/>
    </w:rPr>
  </w:style>
  <w:style w:type="character" w:customStyle="1" w:styleId="SubtitleChar">
    <w:name w:val="Subtitle Char"/>
    <w:basedOn w:val="DefaultParagraphFont"/>
    <w:link w:val="Subtitle"/>
    <w:rsid w:val="0018262A"/>
    <w:rPr>
      <w:rFonts w:hAnsi="Arial Unicode MS" w:cs="Arial Unicode MS"/>
      <w:color w:val="000000"/>
      <w:sz w:val="24"/>
      <w:szCs w:val="24"/>
      <w:u w:val="single"/>
      <w:lang w:val="de-DE"/>
    </w:rPr>
  </w:style>
  <w:style w:type="character" w:customStyle="1" w:styleId="HeaderChar">
    <w:name w:val="Header Char"/>
    <w:basedOn w:val="DefaultParagraphFont"/>
    <w:link w:val="Header"/>
    <w:rsid w:val="00AD6C0C"/>
    <w:rPr>
      <w:rFonts w:hAnsi="Arial Unicode MS" w:cs="Arial Unicode MS"/>
      <w:b/>
      <w:bCs/>
      <w:color w:val="000000"/>
      <w:sz w:val="24"/>
      <w:szCs w:val="24"/>
      <w:u w:color="000000"/>
    </w:rPr>
  </w:style>
  <w:style w:type="character" w:styleId="FollowedHyperlink">
    <w:name w:val="FollowedHyperlink"/>
    <w:basedOn w:val="DefaultParagraphFont"/>
    <w:uiPriority w:val="99"/>
    <w:semiHidden/>
    <w:unhideWhenUsed/>
    <w:rsid w:val="009B72A5"/>
    <w:rPr>
      <w:color w:val="FF00FF"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1">
    <w:name w:val="heading 1"/>
    <w:basedOn w:val="Normal"/>
    <w:next w:val="Normal"/>
    <w:link w:val="Heading1Char"/>
    <w:uiPriority w:val="9"/>
    <w:qFormat/>
    <w:rsid w:val="00F53D2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0"/>
    </w:pPr>
    <w:rPr>
      <w:rFonts w:asciiTheme="majorHAnsi" w:eastAsiaTheme="majorEastAsia" w:hAnsiTheme="majorHAnsi" w:cstheme="majorBidi"/>
      <w:b/>
      <w:bCs/>
      <w:color w:val="2F759E" w:themeColor="accent1" w:themeShade="BF"/>
      <w:sz w:val="28"/>
      <w:szCs w:val="28"/>
      <w:bdr w:val="none" w:sz="0" w:space="0" w:color="auto"/>
      <w:lang w:eastAsia="ja-JP"/>
    </w:rPr>
  </w:style>
  <w:style w:type="paragraph" w:styleId="Heading2">
    <w:name w:val="heading 2"/>
    <w:next w:val="Body"/>
    <w:link w:val="Heading2Char"/>
    <w:pPr>
      <w:keepNext/>
      <w:spacing w:before="400"/>
      <w:outlineLvl w:val="1"/>
    </w:pPr>
    <w:rPr>
      <w:rFonts w:hAnsi="Arial Unicode MS" w:cs="Arial Unicode MS"/>
      <w:b/>
      <w:bCs/>
      <w:color w:val="000000"/>
      <w:sz w:val="24"/>
      <w:szCs w:val="24"/>
    </w:rPr>
  </w:style>
  <w:style w:type="paragraph" w:styleId="Heading3">
    <w:name w:val="heading 3"/>
    <w:basedOn w:val="Normal"/>
    <w:next w:val="Normal"/>
    <w:link w:val="Heading3Char"/>
    <w:uiPriority w:val="9"/>
    <w:semiHidden/>
    <w:unhideWhenUsed/>
    <w:qFormat/>
    <w:rsid w:val="002A352D"/>
    <w:pPr>
      <w:keepNext/>
      <w:keepLines/>
      <w:spacing w:before="200"/>
      <w:outlineLvl w:val="2"/>
    </w:pPr>
    <w:rPr>
      <w:rFonts w:asciiTheme="majorHAnsi" w:eastAsiaTheme="majorEastAsia" w:hAnsiTheme="majorHAnsi" w:cstheme="majorBidi"/>
      <w:b/>
      <w:bCs/>
      <w:color w:val="499BC9"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pPr>
      <w:jc w:val="center"/>
    </w:pPr>
    <w:rPr>
      <w:rFonts w:hAnsi="Arial Unicode MS" w:cs="Arial Unicode MS"/>
      <w:b/>
      <w:bCs/>
      <w:color w:val="000000"/>
      <w:sz w:val="24"/>
      <w:szCs w:val="24"/>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Heading">
    <w:name w:val="Heading"/>
    <w:next w:val="Body"/>
    <w:pPr>
      <w:keepNext/>
      <w:spacing w:before="400"/>
      <w:outlineLvl w:val="0"/>
    </w:pPr>
    <w:rPr>
      <w:rFonts w:hAnsi="Arial Unicode MS" w:cs="Arial Unicode MS"/>
      <w:b/>
      <w:bCs/>
      <w:color w:val="000000"/>
      <w:sz w:val="24"/>
      <w:szCs w:val="24"/>
      <w:lang w:val="sv-SE"/>
    </w:rPr>
  </w:style>
  <w:style w:type="paragraph" w:customStyle="1" w:styleId="Body">
    <w:name w:val="Body"/>
    <w:pPr>
      <w:spacing w:before="200"/>
    </w:pPr>
    <w:rPr>
      <w:rFonts w:hAnsi="Arial Unicode MS" w:cs="Arial Unicode MS"/>
      <w:color w:val="000000"/>
      <w:sz w:val="24"/>
      <w:szCs w:val="24"/>
      <w:u w:color="000000"/>
      <w:lang w:val="sv-SE"/>
    </w:rPr>
  </w:style>
  <w:style w:type="numbering" w:customStyle="1" w:styleId="List0">
    <w:name w:val="List 0"/>
    <w:basedOn w:val="ImportedStyle1"/>
    <w:pPr>
      <w:numPr>
        <w:numId w:val="2"/>
      </w:numPr>
    </w:pPr>
  </w:style>
  <w:style w:type="numbering" w:customStyle="1" w:styleId="ImportedStyle1">
    <w:name w:val="Imported Style 1"/>
  </w:style>
  <w:style w:type="numbering" w:customStyle="1" w:styleId="List1">
    <w:name w:val="List 1"/>
    <w:basedOn w:val="ImportedStyle1"/>
    <w:pPr>
      <w:numPr>
        <w:numId w:val="9"/>
      </w:numPr>
    </w:pPr>
  </w:style>
  <w:style w:type="paragraph" w:styleId="Subtitle">
    <w:name w:val="Subtitle"/>
    <w:next w:val="Body"/>
    <w:link w:val="SubtitleChar"/>
    <w:pPr>
      <w:keepNext/>
      <w:spacing w:before="400"/>
    </w:pPr>
    <w:rPr>
      <w:rFonts w:hAnsi="Arial Unicode MS" w:cs="Arial Unicode MS"/>
      <w:color w:val="000000"/>
      <w:sz w:val="24"/>
      <w:szCs w:val="24"/>
      <w:u w:val="single"/>
      <w:lang w:val="de-DE"/>
    </w:rPr>
  </w:style>
  <w:style w:type="paragraph" w:styleId="FootnoteText">
    <w:name w:val="footnote text"/>
    <w:link w:val="FootnoteTextChar"/>
    <w:rPr>
      <w:rFonts w:eastAsia="Times New Roman"/>
      <w:color w:val="000000"/>
      <w:u w:color="000000"/>
    </w:rPr>
  </w:style>
  <w:style w:type="character" w:customStyle="1" w:styleId="Link">
    <w:name w:val="Link"/>
    <w:rPr>
      <w:color w:val="0000FF"/>
      <w:u w:val="single" w:color="0000FF"/>
    </w:rPr>
  </w:style>
  <w:style w:type="character" w:customStyle="1" w:styleId="Hyperlink0">
    <w:name w:val="Hyperlink.0"/>
    <w:basedOn w:val="Link"/>
    <w:rPr>
      <w:color w:val="0000FF"/>
      <w:sz w:val="24"/>
      <w:szCs w:val="24"/>
      <w:u w:val="single" w:color="0000FF"/>
    </w:rPr>
  </w:style>
  <w:style w:type="numbering" w:customStyle="1" w:styleId="List21">
    <w:name w:val="List 21"/>
    <w:basedOn w:val="ImportedStyle2"/>
    <w:pPr>
      <w:numPr>
        <w:numId w:val="7"/>
      </w:numPr>
    </w:pPr>
  </w:style>
  <w:style w:type="numbering" w:customStyle="1" w:styleId="ImportedStyle2">
    <w:name w:val="Imported Style 2"/>
  </w:style>
  <w:style w:type="numbering" w:customStyle="1" w:styleId="List31">
    <w:name w:val="List 31"/>
    <w:basedOn w:val="ImportedStyle5"/>
    <w:pPr>
      <w:numPr>
        <w:numId w:val="3"/>
      </w:numPr>
    </w:pPr>
  </w:style>
  <w:style w:type="numbering" w:customStyle="1" w:styleId="ImportedStyle5">
    <w:name w:val="Imported Style 5"/>
  </w:style>
  <w:style w:type="numbering" w:customStyle="1" w:styleId="List41">
    <w:name w:val="List 41"/>
    <w:basedOn w:val="ImportedStyle7"/>
    <w:pPr>
      <w:numPr>
        <w:numId w:val="4"/>
      </w:numPr>
    </w:pPr>
  </w:style>
  <w:style w:type="numbering" w:customStyle="1" w:styleId="ImportedStyle7">
    <w:name w:val="Imported Style 7"/>
  </w:style>
  <w:style w:type="numbering" w:customStyle="1" w:styleId="List51">
    <w:name w:val="List 51"/>
    <w:basedOn w:val="ImportedStyle7"/>
    <w:pPr>
      <w:numPr>
        <w:numId w:val="5"/>
      </w:numPr>
    </w:pPr>
  </w:style>
  <w:style w:type="numbering" w:customStyle="1" w:styleId="List6">
    <w:name w:val="List 6"/>
    <w:basedOn w:val="ImportedStyle8"/>
    <w:pPr>
      <w:numPr>
        <w:numId w:val="6"/>
      </w:numPr>
    </w:pPr>
  </w:style>
  <w:style w:type="numbering" w:customStyle="1" w:styleId="ImportedStyle8">
    <w:name w:val="Imported Style 8"/>
  </w:style>
  <w:style w:type="character" w:customStyle="1" w:styleId="Heading3Char">
    <w:name w:val="Heading 3 Char"/>
    <w:basedOn w:val="DefaultParagraphFont"/>
    <w:link w:val="Heading3"/>
    <w:uiPriority w:val="9"/>
    <w:semiHidden/>
    <w:rsid w:val="002A352D"/>
    <w:rPr>
      <w:rFonts w:asciiTheme="majorHAnsi" w:eastAsiaTheme="majorEastAsia" w:hAnsiTheme="majorHAnsi" w:cstheme="majorBidi"/>
      <w:b/>
      <w:bCs/>
      <w:color w:val="499BC9" w:themeColor="accent1"/>
      <w:sz w:val="24"/>
      <w:szCs w:val="24"/>
    </w:rPr>
  </w:style>
  <w:style w:type="character" w:styleId="FootnoteReference">
    <w:name w:val="footnote reference"/>
    <w:basedOn w:val="DefaultParagraphFont"/>
    <w:uiPriority w:val="99"/>
    <w:semiHidden/>
    <w:unhideWhenUsed/>
    <w:rsid w:val="00125673"/>
    <w:rPr>
      <w:vertAlign w:val="superscript"/>
    </w:rPr>
  </w:style>
  <w:style w:type="paragraph" w:styleId="BalloonText">
    <w:name w:val="Balloon Text"/>
    <w:basedOn w:val="Normal"/>
    <w:link w:val="BalloonTextChar"/>
    <w:uiPriority w:val="99"/>
    <w:semiHidden/>
    <w:unhideWhenUsed/>
    <w:rsid w:val="00922701"/>
    <w:rPr>
      <w:rFonts w:ascii="Tahoma" w:hAnsi="Tahoma" w:cs="Tahoma"/>
      <w:sz w:val="16"/>
      <w:szCs w:val="16"/>
    </w:rPr>
  </w:style>
  <w:style w:type="character" w:customStyle="1" w:styleId="BalloonTextChar">
    <w:name w:val="Balloon Text Char"/>
    <w:basedOn w:val="DefaultParagraphFont"/>
    <w:link w:val="BalloonText"/>
    <w:uiPriority w:val="99"/>
    <w:semiHidden/>
    <w:rsid w:val="00922701"/>
    <w:rPr>
      <w:rFonts w:ascii="Tahoma" w:hAnsi="Tahoma" w:cs="Tahoma"/>
      <w:sz w:val="16"/>
      <w:szCs w:val="16"/>
    </w:rPr>
  </w:style>
  <w:style w:type="character" w:customStyle="1" w:styleId="FootnoteTextChar">
    <w:name w:val="Footnote Text Char"/>
    <w:basedOn w:val="DefaultParagraphFont"/>
    <w:link w:val="FootnoteText"/>
    <w:rsid w:val="00922701"/>
    <w:rPr>
      <w:rFonts w:eastAsia="Times New Roman"/>
      <w:color w:val="000000"/>
      <w:u w:color="000000"/>
    </w:rPr>
  </w:style>
  <w:style w:type="character" w:styleId="CommentReference">
    <w:name w:val="annotation reference"/>
    <w:basedOn w:val="DefaultParagraphFont"/>
    <w:uiPriority w:val="99"/>
    <w:semiHidden/>
    <w:unhideWhenUsed/>
    <w:rsid w:val="00527519"/>
    <w:rPr>
      <w:sz w:val="16"/>
      <w:szCs w:val="16"/>
    </w:rPr>
  </w:style>
  <w:style w:type="paragraph" w:styleId="CommentText">
    <w:name w:val="annotation text"/>
    <w:basedOn w:val="Normal"/>
    <w:link w:val="CommentTextChar"/>
    <w:uiPriority w:val="99"/>
    <w:unhideWhenUsed/>
    <w:rsid w:val="00527519"/>
    <w:rPr>
      <w:sz w:val="20"/>
      <w:szCs w:val="20"/>
    </w:rPr>
  </w:style>
  <w:style w:type="character" w:customStyle="1" w:styleId="CommentTextChar">
    <w:name w:val="Comment Text Char"/>
    <w:basedOn w:val="DefaultParagraphFont"/>
    <w:link w:val="CommentText"/>
    <w:uiPriority w:val="99"/>
    <w:rsid w:val="00527519"/>
  </w:style>
  <w:style w:type="paragraph" w:styleId="CommentSubject">
    <w:name w:val="annotation subject"/>
    <w:basedOn w:val="CommentText"/>
    <w:next w:val="CommentText"/>
    <w:link w:val="CommentSubjectChar"/>
    <w:uiPriority w:val="99"/>
    <w:semiHidden/>
    <w:unhideWhenUsed/>
    <w:rsid w:val="00527519"/>
    <w:rPr>
      <w:b/>
      <w:bCs/>
    </w:rPr>
  </w:style>
  <w:style w:type="character" w:customStyle="1" w:styleId="CommentSubjectChar">
    <w:name w:val="Comment Subject Char"/>
    <w:basedOn w:val="CommentTextChar"/>
    <w:link w:val="CommentSubject"/>
    <w:uiPriority w:val="99"/>
    <w:semiHidden/>
    <w:rsid w:val="00527519"/>
    <w:rPr>
      <w:b/>
      <w:bCs/>
    </w:rPr>
  </w:style>
  <w:style w:type="paragraph" w:styleId="Revision">
    <w:name w:val="Revision"/>
    <w:hidden/>
    <w:uiPriority w:val="99"/>
    <w:semiHidden/>
    <w:rsid w:val="0052751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customStyle="1" w:styleId="FreeForm">
    <w:name w:val="Free Form"/>
    <w:uiPriority w:val="99"/>
    <w:rsid w:val="00631A5F"/>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Times New Roman" w:hAnsi="Helvetica"/>
      <w:color w:val="000000"/>
      <w:sz w:val="24"/>
      <w:bdr w:val="none" w:sz="0" w:space="0" w:color="auto"/>
    </w:rPr>
  </w:style>
  <w:style w:type="paragraph" w:customStyle="1" w:styleId="Default">
    <w:name w:val="Default"/>
    <w:rsid w:val="00601E9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rPr>
  </w:style>
  <w:style w:type="paragraph" w:customStyle="1" w:styleId="CM9">
    <w:name w:val="CM9"/>
    <w:basedOn w:val="Default"/>
    <w:next w:val="Default"/>
    <w:uiPriority w:val="99"/>
    <w:rsid w:val="00601E90"/>
    <w:pPr>
      <w:spacing w:line="278" w:lineRule="atLeast"/>
    </w:pPr>
    <w:rPr>
      <w:color w:val="auto"/>
    </w:rPr>
  </w:style>
  <w:style w:type="paragraph" w:styleId="ListParagraph">
    <w:name w:val="List Paragraph"/>
    <w:basedOn w:val="Normal"/>
    <w:uiPriority w:val="34"/>
    <w:qFormat/>
    <w:rsid w:val="00AD35F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rPr>
  </w:style>
  <w:style w:type="paragraph" w:styleId="Footer">
    <w:name w:val="footer"/>
    <w:basedOn w:val="Normal"/>
    <w:link w:val="FooterChar"/>
    <w:uiPriority w:val="99"/>
    <w:unhideWhenUsed/>
    <w:rsid w:val="009223FE"/>
    <w:pPr>
      <w:tabs>
        <w:tab w:val="center" w:pos="4680"/>
        <w:tab w:val="right" w:pos="9360"/>
      </w:tabs>
    </w:pPr>
  </w:style>
  <w:style w:type="character" w:customStyle="1" w:styleId="FooterChar">
    <w:name w:val="Footer Char"/>
    <w:basedOn w:val="DefaultParagraphFont"/>
    <w:link w:val="Footer"/>
    <w:uiPriority w:val="99"/>
    <w:rsid w:val="009223FE"/>
    <w:rPr>
      <w:sz w:val="24"/>
      <w:szCs w:val="24"/>
    </w:rPr>
  </w:style>
  <w:style w:type="character" w:customStyle="1" w:styleId="Heading1Char">
    <w:name w:val="Heading 1 Char"/>
    <w:basedOn w:val="DefaultParagraphFont"/>
    <w:link w:val="Heading1"/>
    <w:uiPriority w:val="9"/>
    <w:rsid w:val="00F53D27"/>
    <w:rPr>
      <w:rFonts w:asciiTheme="majorHAnsi" w:eastAsiaTheme="majorEastAsia" w:hAnsiTheme="majorHAnsi" w:cstheme="majorBidi"/>
      <w:b/>
      <w:bCs/>
      <w:color w:val="2F759E" w:themeColor="accent1" w:themeShade="BF"/>
      <w:sz w:val="28"/>
      <w:szCs w:val="28"/>
      <w:bdr w:val="none" w:sz="0" w:space="0" w:color="auto"/>
      <w:lang w:eastAsia="ja-JP"/>
    </w:rPr>
  </w:style>
  <w:style w:type="paragraph" w:styleId="Quote">
    <w:name w:val="Quote"/>
    <w:basedOn w:val="Normal"/>
    <w:next w:val="Normal"/>
    <w:link w:val="QuoteChar"/>
    <w:uiPriority w:val="29"/>
    <w:qFormat/>
    <w:rsid w:val="00735E76"/>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heme="minorHAnsi" w:eastAsiaTheme="minorEastAsia" w:hAnsiTheme="minorHAnsi" w:cstheme="minorBidi"/>
      <w:i/>
      <w:iCs/>
      <w:color w:val="000000" w:themeColor="text1"/>
      <w:sz w:val="22"/>
      <w:szCs w:val="22"/>
      <w:bdr w:val="none" w:sz="0" w:space="0" w:color="auto"/>
      <w:lang w:eastAsia="ja-JP"/>
    </w:rPr>
  </w:style>
  <w:style w:type="character" w:customStyle="1" w:styleId="QuoteChar">
    <w:name w:val="Quote Char"/>
    <w:basedOn w:val="DefaultParagraphFont"/>
    <w:link w:val="Quote"/>
    <w:uiPriority w:val="29"/>
    <w:rsid w:val="00735E76"/>
    <w:rPr>
      <w:rFonts w:asciiTheme="minorHAnsi" w:eastAsiaTheme="minorEastAsia" w:hAnsiTheme="minorHAnsi" w:cstheme="minorBidi"/>
      <w:i/>
      <w:iCs/>
      <w:color w:val="000000" w:themeColor="text1"/>
      <w:sz w:val="22"/>
      <w:szCs w:val="22"/>
      <w:bdr w:val="none" w:sz="0" w:space="0" w:color="auto"/>
      <w:lang w:eastAsia="ja-JP"/>
    </w:rPr>
  </w:style>
  <w:style w:type="table" w:styleId="TableGrid">
    <w:name w:val="Table Grid"/>
    <w:basedOn w:val="TableNormal"/>
    <w:uiPriority w:val="59"/>
    <w:rsid w:val="00FE07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2">
    <w:name w:val="Light Shading Accent 2"/>
    <w:basedOn w:val="TableNormal"/>
    <w:uiPriority w:val="60"/>
    <w:rsid w:val="00FE0707"/>
    <w:rPr>
      <w:color w:val="528F2A" w:themeColor="accent2" w:themeShade="BF"/>
    </w:rPr>
    <w:tblPr>
      <w:tblStyleRowBandSize w:val="1"/>
      <w:tblStyleColBandSize w:val="1"/>
      <w:tblInd w:w="0" w:type="dxa"/>
      <w:tblBorders>
        <w:top w:val="single" w:sz="8" w:space="0" w:color="6EC038" w:themeColor="accent2"/>
        <w:bottom w:val="single" w:sz="8" w:space="0" w:color="6EC038"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EC038" w:themeColor="accent2"/>
          <w:left w:val="nil"/>
          <w:bottom w:val="single" w:sz="8" w:space="0" w:color="6EC038" w:themeColor="accent2"/>
          <w:right w:val="nil"/>
          <w:insideH w:val="nil"/>
          <w:insideV w:val="nil"/>
        </w:tcBorders>
      </w:tcPr>
    </w:tblStylePr>
    <w:tblStylePr w:type="lastRow">
      <w:pPr>
        <w:spacing w:before="0" w:after="0" w:line="240" w:lineRule="auto"/>
      </w:pPr>
      <w:rPr>
        <w:b/>
        <w:bCs/>
      </w:rPr>
      <w:tblPr/>
      <w:tcPr>
        <w:tcBorders>
          <w:top w:val="single" w:sz="8" w:space="0" w:color="6EC038" w:themeColor="accent2"/>
          <w:left w:val="nil"/>
          <w:bottom w:val="single" w:sz="8" w:space="0" w:color="6EC03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F0CC" w:themeFill="accent2" w:themeFillTint="3F"/>
      </w:tcPr>
    </w:tblStylePr>
    <w:tblStylePr w:type="band1Horz">
      <w:tblPr/>
      <w:tcPr>
        <w:tcBorders>
          <w:left w:val="nil"/>
          <w:right w:val="nil"/>
          <w:insideH w:val="nil"/>
          <w:insideV w:val="nil"/>
        </w:tcBorders>
        <w:shd w:val="clear" w:color="auto" w:fill="DAF0CC" w:themeFill="accent2" w:themeFillTint="3F"/>
      </w:tcPr>
    </w:tblStylePr>
  </w:style>
  <w:style w:type="table" w:styleId="LightList-Accent2">
    <w:name w:val="Light List Accent 2"/>
    <w:basedOn w:val="TableNormal"/>
    <w:uiPriority w:val="61"/>
    <w:rsid w:val="00FE0707"/>
    <w:tblPr>
      <w:tblStyleRowBandSize w:val="1"/>
      <w:tblStyleColBandSize w:val="1"/>
      <w:tblInd w:w="0" w:type="dxa"/>
      <w:tblBorders>
        <w:top w:val="single" w:sz="8" w:space="0" w:color="6EC038" w:themeColor="accent2"/>
        <w:left w:val="single" w:sz="8" w:space="0" w:color="6EC038" w:themeColor="accent2"/>
        <w:bottom w:val="single" w:sz="8" w:space="0" w:color="6EC038" w:themeColor="accent2"/>
        <w:right w:val="single" w:sz="8" w:space="0" w:color="6EC038"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6EC038" w:themeFill="accent2"/>
      </w:tcPr>
    </w:tblStylePr>
    <w:tblStylePr w:type="lastRow">
      <w:pPr>
        <w:spacing w:before="0" w:after="0" w:line="240" w:lineRule="auto"/>
      </w:pPr>
      <w:rPr>
        <w:b/>
        <w:bCs/>
      </w:rPr>
      <w:tblPr/>
      <w:tcPr>
        <w:tcBorders>
          <w:top w:val="double" w:sz="6" w:space="0" w:color="6EC038" w:themeColor="accent2"/>
          <w:left w:val="single" w:sz="8" w:space="0" w:color="6EC038" w:themeColor="accent2"/>
          <w:bottom w:val="single" w:sz="8" w:space="0" w:color="6EC038" w:themeColor="accent2"/>
          <w:right w:val="single" w:sz="8" w:space="0" w:color="6EC038" w:themeColor="accent2"/>
        </w:tcBorders>
      </w:tcPr>
    </w:tblStylePr>
    <w:tblStylePr w:type="firstCol">
      <w:rPr>
        <w:b/>
        <w:bCs/>
      </w:rPr>
    </w:tblStylePr>
    <w:tblStylePr w:type="lastCol">
      <w:rPr>
        <w:b/>
        <w:bCs/>
      </w:rPr>
    </w:tblStylePr>
    <w:tblStylePr w:type="band1Vert">
      <w:tblPr/>
      <w:tcPr>
        <w:tcBorders>
          <w:top w:val="single" w:sz="8" w:space="0" w:color="6EC038" w:themeColor="accent2"/>
          <w:left w:val="single" w:sz="8" w:space="0" w:color="6EC038" w:themeColor="accent2"/>
          <w:bottom w:val="single" w:sz="8" w:space="0" w:color="6EC038" w:themeColor="accent2"/>
          <w:right w:val="single" w:sz="8" w:space="0" w:color="6EC038" w:themeColor="accent2"/>
        </w:tcBorders>
      </w:tcPr>
    </w:tblStylePr>
    <w:tblStylePr w:type="band1Horz">
      <w:tblPr/>
      <w:tcPr>
        <w:tcBorders>
          <w:top w:val="single" w:sz="8" w:space="0" w:color="6EC038" w:themeColor="accent2"/>
          <w:left w:val="single" w:sz="8" w:space="0" w:color="6EC038" w:themeColor="accent2"/>
          <w:bottom w:val="single" w:sz="8" w:space="0" w:color="6EC038" w:themeColor="accent2"/>
          <w:right w:val="single" w:sz="8" w:space="0" w:color="6EC038" w:themeColor="accent2"/>
        </w:tcBorders>
      </w:tcPr>
    </w:tblStylePr>
  </w:style>
  <w:style w:type="table" w:styleId="LightGrid-Accent2">
    <w:name w:val="Light Grid Accent 2"/>
    <w:basedOn w:val="TableNormal"/>
    <w:uiPriority w:val="62"/>
    <w:rsid w:val="00FE0707"/>
    <w:tblPr>
      <w:tblStyleRowBandSize w:val="1"/>
      <w:tblStyleColBandSize w:val="1"/>
      <w:tblInd w:w="0" w:type="dxa"/>
      <w:tblBorders>
        <w:top w:val="single" w:sz="8" w:space="0" w:color="6EC038" w:themeColor="accent2"/>
        <w:left w:val="single" w:sz="8" w:space="0" w:color="6EC038" w:themeColor="accent2"/>
        <w:bottom w:val="single" w:sz="8" w:space="0" w:color="6EC038" w:themeColor="accent2"/>
        <w:right w:val="single" w:sz="8" w:space="0" w:color="6EC038" w:themeColor="accent2"/>
        <w:insideH w:val="single" w:sz="8" w:space="0" w:color="6EC038" w:themeColor="accent2"/>
        <w:insideV w:val="single" w:sz="8" w:space="0" w:color="6EC038"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6EC038" w:themeColor="accent2"/>
          <w:left w:val="single" w:sz="8" w:space="0" w:color="6EC038" w:themeColor="accent2"/>
          <w:bottom w:val="single" w:sz="18" w:space="0" w:color="6EC038" w:themeColor="accent2"/>
          <w:right w:val="single" w:sz="8" w:space="0" w:color="6EC038" w:themeColor="accent2"/>
          <w:insideH w:val="nil"/>
          <w:insideV w:val="single" w:sz="8" w:space="0" w:color="6EC03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EC038" w:themeColor="accent2"/>
          <w:left w:val="single" w:sz="8" w:space="0" w:color="6EC038" w:themeColor="accent2"/>
          <w:bottom w:val="single" w:sz="8" w:space="0" w:color="6EC038" w:themeColor="accent2"/>
          <w:right w:val="single" w:sz="8" w:space="0" w:color="6EC038" w:themeColor="accent2"/>
          <w:insideH w:val="nil"/>
          <w:insideV w:val="single" w:sz="8" w:space="0" w:color="6EC03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EC038" w:themeColor="accent2"/>
          <w:left w:val="single" w:sz="8" w:space="0" w:color="6EC038" w:themeColor="accent2"/>
          <w:bottom w:val="single" w:sz="8" w:space="0" w:color="6EC038" w:themeColor="accent2"/>
          <w:right w:val="single" w:sz="8" w:space="0" w:color="6EC038" w:themeColor="accent2"/>
        </w:tcBorders>
      </w:tcPr>
    </w:tblStylePr>
    <w:tblStylePr w:type="band1Vert">
      <w:tblPr/>
      <w:tcPr>
        <w:tcBorders>
          <w:top w:val="single" w:sz="8" w:space="0" w:color="6EC038" w:themeColor="accent2"/>
          <w:left w:val="single" w:sz="8" w:space="0" w:color="6EC038" w:themeColor="accent2"/>
          <w:bottom w:val="single" w:sz="8" w:space="0" w:color="6EC038" w:themeColor="accent2"/>
          <w:right w:val="single" w:sz="8" w:space="0" w:color="6EC038" w:themeColor="accent2"/>
        </w:tcBorders>
        <w:shd w:val="clear" w:color="auto" w:fill="DAF0CC" w:themeFill="accent2" w:themeFillTint="3F"/>
      </w:tcPr>
    </w:tblStylePr>
    <w:tblStylePr w:type="band1Horz">
      <w:tblPr/>
      <w:tcPr>
        <w:tcBorders>
          <w:top w:val="single" w:sz="8" w:space="0" w:color="6EC038" w:themeColor="accent2"/>
          <w:left w:val="single" w:sz="8" w:space="0" w:color="6EC038" w:themeColor="accent2"/>
          <w:bottom w:val="single" w:sz="8" w:space="0" w:color="6EC038" w:themeColor="accent2"/>
          <w:right w:val="single" w:sz="8" w:space="0" w:color="6EC038" w:themeColor="accent2"/>
          <w:insideV w:val="single" w:sz="8" w:space="0" w:color="6EC038" w:themeColor="accent2"/>
        </w:tcBorders>
        <w:shd w:val="clear" w:color="auto" w:fill="DAF0CC" w:themeFill="accent2" w:themeFillTint="3F"/>
      </w:tcPr>
    </w:tblStylePr>
    <w:tblStylePr w:type="band2Horz">
      <w:tblPr/>
      <w:tcPr>
        <w:tcBorders>
          <w:top w:val="single" w:sz="8" w:space="0" w:color="6EC038" w:themeColor="accent2"/>
          <w:left w:val="single" w:sz="8" w:space="0" w:color="6EC038" w:themeColor="accent2"/>
          <w:bottom w:val="single" w:sz="8" w:space="0" w:color="6EC038" w:themeColor="accent2"/>
          <w:right w:val="single" w:sz="8" w:space="0" w:color="6EC038" w:themeColor="accent2"/>
          <w:insideV w:val="single" w:sz="8" w:space="0" w:color="6EC038" w:themeColor="accent2"/>
        </w:tcBorders>
      </w:tcPr>
    </w:tblStylePr>
  </w:style>
  <w:style w:type="table" w:styleId="MediumShading2-Accent2">
    <w:name w:val="Medium Shading 2 Accent 2"/>
    <w:basedOn w:val="TableNormal"/>
    <w:uiPriority w:val="64"/>
    <w:rsid w:val="00FE070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EC03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EC038" w:themeFill="accent2"/>
      </w:tcPr>
    </w:tblStylePr>
    <w:tblStylePr w:type="lastCol">
      <w:rPr>
        <w:b/>
        <w:bCs/>
        <w:color w:val="FFFFFF" w:themeColor="background1"/>
      </w:rPr>
      <w:tblPr/>
      <w:tcPr>
        <w:tcBorders>
          <w:left w:val="nil"/>
          <w:right w:val="nil"/>
          <w:insideH w:val="nil"/>
          <w:insideV w:val="nil"/>
        </w:tcBorders>
        <w:shd w:val="clear" w:color="auto" w:fill="6EC03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2">
    <w:name w:val="Medium Grid 3 Accent 2"/>
    <w:basedOn w:val="TableNormal"/>
    <w:uiPriority w:val="69"/>
    <w:rsid w:val="00FE0707"/>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AF0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EC03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EC03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EC03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EC03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E1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E199" w:themeFill="accent2" w:themeFillTint="7F"/>
      </w:tcPr>
    </w:tblStylePr>
  </w:style>
  <w:style w:type="paragraph" w:styleId="IntenseQuote">
    <w:name w:val="Intense Quote"/>
    <w:basedOn w:val="Normal"/>
    <w:next w:val="Normal"/>
    <w:link w:val="IntenseQuoteChar"/>
    <w:uiPriority w:val="30"/>
    <w:qFormat/>
    <w:rsid w:val="00E417C7"/>
    <w:pPr>
      <w:pBdr>
        <w:top w:val="none" w:sz="0" w:space="0" w:color="auto"/>
        <w:left w:val="none" w:sz="0" w:space="0" w:color="auto"/>
        <w:bottom w:val="single" w:sz="4" w:space="4" w:color="499BC9" w:themeColor="accent1"/>
        <w:right w:val="none" w:sz="0" w:space="0" w:color="auto"/>
        <w:between w:val="none" w:sz="0" w:space="0" w:color="auto"/>
        <w:bar w:val="none" w:sz="0" w:color="auto"/>
      </w:pBdr>
      <w:spacing w:before="200" w:after="280" w:line="276" w:lineRule="auto"/>
      <w:ind w:left="936" w:right="936"/>
    </w:pPr>
    <w:rPr>
      <w:rFonts w:asciiTheme="minorHAnsi" w:eastAsiaTheme="minorEastAsia" w:hAnsiTheme="minorHAnsi" w:cstheme="minorBidi"/>
      <w:b/>
      <w:bCs/>
      <w:i/>
      <w:iCs/>
      <w:color w:val="499BC9" w:themeColor="accent1"/>
      <w:sz w:val="22"/>
      <w:szCs w:val="22"/>
      <w:bdr w:val="none" w:sz="0" w:space="0" w:color="auto"/>
      <w:lang w:eastAsia="ja-JP"/>
    </w:rPr>
  </w:style>
  <w:style w:type="character" w:customStyle="1" w:styleId="IntenseQuoteChar">
    <w:name w:val="Intense Quote Char"/>
    <w:basedOn w:val="DefaultParagraphFont"/>
    <w:link w:val="IntenseQuote"/>
    <w:uiPriority w:val="30"/>
    <w:rsid w:val="00E417C7"/>
    <w:rPr>
      <w:rFonts w:asciiTheme="minorHAnsi" w:eastAsiaTheme="minorEastAsia" w:hAnsiTheme="minorHAnsi" w:cstheme="minorBidi"/>
      <w:b/>
      <w:bCs/>
      <w:i/>
      <w:iCs/>
      <w:color w:val="499BC9" w:themeColor="accent1"/>
      <w:sz w:val="22"/>
      <w:szCs w:val="22"/>
      <w:bdr w:val="none" w:sz="0" w:space="0" w:color="auto"/>
      <w:lang w:eastAsia="ja-JP"/>
    </w:rPr>
  </w:style>
  <w:style w:type="table" w:styleId="MediumGrid3-Accent3">
    <w:name w:val="Medium Grid 3 Accent 3"/>
    <w:basedOn w:val="TableNormal"/>
    <w:uiPriority w:val="69"/>
    <w:rsid w:val="0077371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BF3C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D13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D13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D13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D13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E79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E797" w:themeFill="accent3" w:themeFillTint="7F"/>
      </w:tcPr>
    </w:tblStylePr>
  </w:style>
  <w:style w:type="character" w:customStyle="1" w:styleId="Heading2Char">
    <w:name w:val="Heading 2 Char"/>
    <w:basedOn w:val="DefaultParagraphFont"/>
    <w:link w:val="Heading2"/>
    <w:rsid w:val="0018262A"/>
    <w:rPr>
      <w:rFonts w:hAnsi="Arial Unicode MS" w:cs="Arial Unicode MS"/>
      <w:b/>
      <w:bCs/>
      <w:color w:val="000000"/>
      <w:sz w:val="24"/>
      <w:szCs w:val="24"/>
    </w:rPr>
  </w:style>
  <w:style w:type="character" w:customStyle="1" w:styleId="SubtitleChar">
    <w:name w:val="Subtitle Char"/>
    <w:basedOn w:val="DefaultParagraphFont"/>
    <w:link w:val="Subtitle"/>
    <w:rsid w:val="0018262A"/>
    <w:rPr>
      <w:rFonts w:hAnsi="Arial Unicode MS" w:cs="Arial Unicode MS"/>
      <w:color w:val="000000"/>
      <w:sz w:val="24"/>
      <w:szCs w:val="24"/>
      <w:u w:val="single"/>
      <w:lang w:val="de-DE"/>
    </w:rPr>
  </w:style>
  <w:style w:type="character" w:customStyle="1" w:styleId="HeaderChar">
    <w:name w:val="Header Char"/>
    <w:basedOn w:val="DefaultParagraphFont"/>
    <w:link w:val="Header"/>
    <w:rsid w:val="00AD6C0C"/>
    <w:rPr>
      <w:rFonts w:hAnsi="Arial Unicode MS" w:cs="Arial Unicode MS"/>
      <w:b/>
      <w:bCs/>
      <w:color w:val="000000"/>
      <w:sz w:val="24"/>
      <w:szCs w:val="24"/>
      <w:u w:color="000000"/>
    </w:rPr>
  </w:style>
  <w:style w:type="character" w:styleId="FollowedHyperlink">
    <w:name w:val="FollowedHyperlink"/>
    <w:basedOn w:val="DefaultParagraphFont"/>
    <w:uiPriority w:val="99"/>
    <w:semiHidden/>
    <w:unhideWhenUsed/>
    <w:rsid w:val="009B72A5"/>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4024">
      <w:bodyDiv w:val="1"/>
      <w:marLeft w:val="0"/>
      <w:marRight w:val="0"/>
      <w:marTop w:val="0"/>
      <w:marBottom w:val="0"/>
      <w:divBdr>
        <w:top w:val="none" w:sz="0" w:space="0" w:color="auto"/>
        <w:left w:val="none" w:sz="0" w:space="0" w:color="auto"/>
        <w:bottom w:val="none" w:sz="0" w:space="0" w:color="auto"/>
        <w:right w:val="none" w:sz="0" w:space="0" w:color="auto"/>
      </w:divBdr>
    </w:div>
    <w:div w:id="972909458">
      <w:bodyDiv w:val="1"/>
      <w:marLeft w:val="0"/>
      <w:marRight w:val="0"/>
      <w:marTop w:val="0"/>
      <w:marBottom w:val="0"/>
      <w:divBdr>
        <w:top w:val="none" w:sz="0" w:space="0" w:color="auto"/>
        <w:left w:val="none" w:sz="0" w:space="0" w:color="auto"/>
        <w:bottom w:val="none" w:sz="0" w:space="0" w:color="auto"/>
        <w:right w:val="none" w:sz="0" w:space="0" w:color="auto"/>
      </w:divBdr>
    </w:div>
    <w:div w:id="1082217314">
      <w:bodyDiv w:val="1"/>
      <w:marLeft w:val="0"/>
      <w:marRight w:val="0"/>
      <w:marTop w:val="0"/>
      <w:marBottom w:val="0"/>
      <w:divBdr>
        <w:top w:val="none" w:sz="0" w:space="0" w:color="auto"/>
        <w:left w:val="none" w:sz="0" w:space="0" w:color="auto"/>
        <w:bottom w:val="none" w:sz="0" w:space="0" w:color="auto"/>
        <w:right w:val="none" w:sz="0" w:space="0" w:color="auto"/>
      </w:divBdr>
    </w:div>
    <w:div w:id="1166557266">
      <w:bodyDiv w:val="1"/>
      <w:marLeft w:val="0"/>
      <w:marRight w:val="0"/>
      <w:marTop w:val="0"/>
      <w:marBottom w:val="0"/>
      <w:divBdr>
        <w:top w:val="none" w:sz="0" w:space="0" w:color="auto"/>
        <w:left w:val="none" w:sz="0" w:space="0" w:color="auto"/>
        <w:bottom w:val="none" w:sz="0" w:space="0" w:color="auto"/>
        <w:right w:val="none" w:sz="0" w:space="0" w:color="auto"/>
      </w:divBdr>
    </w:div>
    <w:div w:id="1357462013">
      <w:bodyDiv w:val="1"/>
      <w:marLeft w:val="0"/>
      <w:marRight w:val="0"/>
      <w:marTop w:val="0"/>
      <w:marBottom w:val="0"/>
      <w:divBdr>
        <w:top w:val="none" w:sz="0" w:space="0" w:color="auto"/>
        <w:left w:val="none" w:sz="0" w:space="0" w:color="auto"/>
        <w:bottom w:val="none" w:sz="0" w:space="0" w:color="auto"/>
        <w:right w:val="none" w:sz="0" w:space="0" w:color="auto"/>
      </w:divBdr>
    </w:div>
    <w:div w:id="1490367336">
      <w:bodyDiv w:val="1"/>
      <w:marLeft w:val="0"/>
      <w:marRight w:val="0"/>
      <w:marTop w:val="0"/>
      <w:marBottom w:val="0"/>
      <w:divBdr>
        <w:top w:val="none" w:sz="0" w:space="0" w:color="auto"/>
        <w:left w:val="none" w:sz="0" w:space="0" w:color="auto"/>
        <w:bottom w:val="none" w:sz="0" w:space="0" w:color="auto"/>
        <w:right w:val="none" w:sz="0" w:space="0" w:color="auto"/>
      </w:divBdr>
    </w:div>
    <w:div w:id="1763065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footnotes.xml.rels><?xml version="1.0" encoding="UTF-8"?>

<Relationships xmlns="http://schemas.openxmlformats.org/package/2006/relationships">
  <Relationship Id="rId1" Type="http://schemas.openxmlformats.org/officeDocument/2006/relationships/hyperlink" TargetMode="External" Target="http://www.southbridgeeveningnews.com/pdf/WEB.2009.04.10.pdf"/>
  <Relationship Id="rId10" Type="http://schemas.openxmlformats.org/officeDocument/2006/relationships/hyperlink" TargetMode="External" Target="http://www.berkshireeagle.com/news/ci_25441585/northern-berkshire-healthcare-trustees-open-letter-community"/>
  <Relationship Id="rId11" Type="http://schemas.openxmlformats.org/officeDocument/2006/relationships/hyperlink" TargetMode="External" Target="http://www.massnurses.org/news-and-events/p/openItem/8902"/>
  <Relationship Id="rId12" Type="http://schemas.openxmlformats.org/officeDocument/2006/relationships/hyperlink" TargetMode="External" Target="http://www.mass.gov/eohhs/docs/dph/northern-berkshire-county-assessment.pdf"/>
  <Relationship Id="rId13" Type="http://schemas.openxmlformats.org/officeDocument/2006/relationships/hyperlink" TargetMode="External" Target="http://www.bostonglobe.com/business/2014/09/23/radius-specialty-hospital-laying-off-workers/uSlAh6JFv6pFuCcSOs4seP/story.html"/>
  <Relationship Id="rId14" Type="http://schemas.openxmlformats.org/officeDocument/2006/relationships/hyperlink" TargetMode="External" Target="http://www.cms.gov/About-CMS/Legislative-Affairs/OfficeofLegislation/downloads/RTC-long-term-care-hospitals-final.pdf"/>
  <Relationship Id="rId15" Type="http://schemas.openxmlformats.org/officeDocument/2006/relationships/hyperlink" TargetMode="External" Target="http://news.vanderbilt.edu/2014/11/pneumonia-vaccine-reducing-pediatric-admissions%E2%80%88report/"/>
  <Relationship Id="rId2" Type="http://schemas.openxmlformats.org/officeDocument/2006/relationships/hyperlink" TargetMode="External" Target="http://www.bizjournals.com/boston/stories/2009/05/04/daily34.html"/>
  <Relationship Id="rId3" Type="http://schemas.openxmlformats.org/officeDocument/2006/relationships/hyperlink" TargetMode="External" Target="http://www.southbridgeeveningnews.com/pdf/WEB.2009.04.10.pdf"/>
  <Relationship Id="rId4" Type="http://schemas.openxmlformats.org/officeDocument/2006/relationships/hyperlink" TargetMode="External" Target="http://www.southbridgeeveningnews.com/pdf/WEB.2009.04.10.pdf"/>
  <Relationship Id="rId5" Type="http://schemas.openxmlformats.org/officeDocument/2006/relationships/hyperlink" TargetMode="External" Target="http://www.mass.gov/eohhs/docs/dph/northern-berkshire-county-assessment.pdf"/>
  <Relationship Id="rId6" Type="http://schemas.openxmlformats.org/officeDocument/2006/relationships/hyperlink" TargetMode="External" Target="http://www.berkshireeagle.com/ci_25420000/"/>
  <Relationship Id="rId7" Type="http://schemas.openxmlformats.org/officeDocument/2006/relationships/hyperlink" TargetMode="External" Target="http://www.berkshireeagle.com/news/ci_25425441/narh-complete-coverage-north-adams-regional-hospital-closing"/>
  <Relationship Id="rId8" Type="http://schemas.openxmlformats.org/officeDocument/2006/relationships/hyperlink" TargetMode="External" Target="http://cases.gcginc.com/NBHealth/"/>
  <Relationship Id="rId9" Type="http://schemas.openxmlformats.org/officeDocument/2006/relationships/hyperlink" TargetMode="External" Target="http://www.berkshireeagle.com/ci_25435020"/>
</Relationships>

</file>

<file path=word/theme/_rels/theme1.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182879" rtl="0" fontAlgn="auto" latinLnBrk="1" hangingPunct="0">
          <a:lnSpc>
            <a:spcPct val="100000"/>
          </a:lnSpc>
          <a:spcBef>
            <a:spcPts val="100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C318F-5216-4847-9CEB-BB83B2FE0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3202</Words>
  <Characters>18255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21415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2014-12-19T16:35:00Z</dcterms:created>
  <dc:creator>Mangan, Thomas (DPH)</dc:creator>
  <lastModifiedBy/>
  <lastPrinted>2014-12-10T21:18:00Z</lastPrinted>
  <dcterms:modified xsi:type="dcterms:W3CDTF">2014-12-19T16:35:00Z</dcterms:modified>
  <revision>2</revision>
</coreProperties>
</file>