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A18A" w14:textId="77777777" w:rsidR="00932748" w:rsidRDefault="00932748" w:rsidP="00932748">
      <w:pPr>
        <w:pStyle w:val="BodyText"/>
        <w:spacing w:before="221"/>
        <w:ind w:right="220"/>
        <w:jc w:val="center"/>
      </w:pPr>
      <w:r>
        <w:t>GANG</w:t>
      </w:r>
      <w:r>
        <w:rPr>
          <w:spacing w:val="-1"/>
        </w:rPr>
        <w:t xml:space="preserve"> </w:t>
      </w:r>
      <w:r>
        <w:rPr>
          <w:spacing w:val="-2"/>
        </w:rPr>
        <w:t>AFFILIATION</w:t>
      </w:r>
    </w:p>
    <w:p w14:paraId="154468BF" w14:textId="77777777" w:rsidR="007B0B87" w:rsidRDefault="007B0B87" w:rsidP="00932748">
      <w:pPr>
        <w:pStyle w:val="BodyText"/>
        <w:rPr>
          <w:sz w:val="30"/>
        </w:rPr>
      </w:pPr>
    </w:p>
    <w:p w14:paraId="0C14D9D7" w14:textId="04E52022" w:rsidR="00932748" w:rsidRDefault="00426B91" w:rsidP="00932748">
      <w:pPr>
        <w:pStyle w:val="BodyText"/>
        <w:spacing w:before="1" w:line="489" w:lineRule="auto"/>
        <w:ind w:left="100" w:right="38" w:firstLine="719"/>
      </w:pPr>
      <w:r>
        <w:t>You have heard testimony about a</w:t>
      </w:r>
      <w:r w:rsidR="00910A82">
        <w:t>n</w:t>
      </w:r>
      <w:r>
        <w:t xml:space="preserve"> </w:t>
      </w:r>
      <w:r w:rsidR="00910A82">
        <w:t xml:space="preserve">alleged gang </w:t>
      </w:r>
      <w:r w:rsidR="00FF2D23">
        <w:t xml:space="preserve">affiliation </w:t>
      </w:r>
      <w:r w:rsidR="00910A82">
        <w:t>in this case.</w:t>
      </w:r>
      <w:r w:rsidR="00CA2A46">
        <w:t xml:space="preserve"> </w:t>
      </w:r>
      <w:r>
        <w:t xml:space="preserve"> </w:t>
      </w:r>
      <w:r w:rsidR="00932748">
        <w:t xml:space="preserve">I instruct you that you cannot use any </w:t>
      </w:r>
      <w:r w:rsidR="00231B2E">
        <w:t xml:space="preserve">evidence </w:t>
      </w:r>
      <w:r w:rsidR="00932748">
        <w:t xml:space="preserve">that </w:t>
      </w:r>
      <w:r w:rsidR="000C783B">
        <w:t>the defendant</w:t>
      </w:r>
      <w:r w:rsidR="00932748">
        <w:t xml:space="preserve"> </w:t>
      </w:r>
      <w:r w:rsidR="008D59A3">
        <w:t xml:space="preserve">[was] [may have been] </w:t>
      </w:r>
      <w:r w:rsidR="00CB4973">
        <w:t>affiliat</w:t>
      </w:r>
      <w:r w:rsidR="004261A2">
        <w:t>ed</w:t>
      </w:r>
      <w:r w:rsidR="00CB4973">
        <w:t xml:space="preserve"> </w:t>
      </w:r>
      <w:r w:rsidR="00932748">
        <w:t>with</w:t>
      </w:r>
      <w:r w:rsidR="0014275C">
        <w:t xml:space="preserve"> </w:t>
      </w:r>
      <w:r w:rsidR="00FC591F">
        <w:t>[a gang]</w:t>
      </w:r>
      <w:r w:rsidR="00932748">
        <w:t xml:space="preserve"> </w:t>
      </w:r>
      <w:r w:rsidR="00FC591F">
        <w:t>[</w:t>
      </w:r>
      <w:r w:rsidR="00932748">
        <w:t>people who belong to a gang</w:t>
      </w:r>
      <w:r w:rsidR="00FC591F">
        <w:t>]</w:t>
      </w:r>
      <w:r w:rsidR="00932748">
        <w:t xml:space="preserve"> to infer anything about </w:t>
      </w:r>
      <w:r w:rsidR="00680427">
        <w:t>the defendant’s</w:t>
      </w:r>
      <w:r w:rsidR="00932748">
        <w:t xml:space="preserve"> character or </w:t>
      </w:r>
      <w:r w:rsidR="00557B19">
        <w:t xml:space="preserve">general </w:t>
      </w:r>
      <w:r w:rsidR="00932748">
        <w:t>propensity to commit a crime.</w:t>
      </w:r>
      <w:r w:rsidR="00932748">
        <w:rPr>
          <w:spacing w:val="40"/>
        </w:rPr>
        <w:t xml:space="preserve"> </w:t>
      </w:r>
      <w:r w:rsidR="00557103">
        <w:t>Such evidence</w:t>
      </w:r>
      <w:r w:rsidR="00557B19">
        <w:t>, standing alone,</w:t>
      </w:r>
      <w:r w:rsidR="00932748">
        <w:rPr>
          <w:spacing w:val="-6"/>
        </w:rPr>
        <w:t xml:space="preserve"> </w:t>
      </w:r>
      <w:r w:rsidR="00932748">
        <w:t>does</w:t>
      </w:r>
      <w:r w:rsidR="00932748">
        <w:rPr>
          <w:spacing w:val="-5"/>
        </w:rPr>
        <w:t xml:space="preserve"> </w:t>
      </w:r>
      <w:r w:rsidR="00932748">
        <w:t>not</w:t>
      </w:r>
      <w:r w:rsidR="0006082A">
        <w:t xml:space="preserve"> </w:t>
      </w:r>
      <w:r w:rsidR="00932748">
        <w:t xml:space="preserve">make </w:t>
      </w:r>
      <w:r w:rsidR="000C783B">
        <w:t xml:space="preserve">the </w:t>
      </w:r>
      <w:r w:rsidR="00932748">
        <w:t>defendant</w:t>
      </w:r>
      <w:r w:rsidR="000C783B">
        <w:t xml:space="preserve"> </w:t>
      </w:r>
      <w:r w:rsidR="00932748">
        <w:t xml:space="preserve">more likely to </w:t>
      </w:r>
      <w:r w:rsidR="008D59A3">
        <w:t>have (</w:t>
      </w:r>
      <w:r w:rsidR="00932748">
        <w:t>commit</w:t>
      </w:r>
      <w:r w:rsidR="008D59A3">
        <w:t>ted</w:t>
      </w:r>
      <w:r w:rsidR="00932748">
        <w:t xml:space="preserve"> a crime</w:t>
      </w:r>
      <w:r w:rsidR="008D59A3">
        <w:t>)</w:t>
      </w:r>
      <w:r w:rsidR="00932748">
        <w:t>,</w:t>
      </w:r>
      <w:r w:rsidR="007D1928">
        <w:t xml:space="preserve"> </w:t>
      </w:r>
      <w:r w:rsidR="008D59A3">
        <w:t xml:space="preserve">(or) (acted violently).  </w:t>
      </w:r>
    </w:p>
    <w:p w14:paraId="40ADEECC" w14:textId="7D1D7B82" w:rsidR="00932748" w:rsidRDefault="00932748" w:rsidP="00036451">
      <w:pPr>
        <w:pStyle w:val="BodyText"/>
        <w:spacing w:before="91" w:line="489" w:lineRule="auto"/>
        <w:ind w:right="144" w:firstLine="720"/>
      </w:pPr>
      <w:r>
        <w:t>Evidence</w:t>
      </w:r>
      <w:r>
        <w:rPr>
          <w:spacing w:val="-6"/>
        </w:rPr>
        <w:t xml:space="preserve"> </w:t>
      </w:r>
      <w:r>
        <w:t>of</w:t>
      </w:r>
      <w:r>
        <w:rPr>
          <w:spacing w:val="-5"/>
        </w:rPr>
        <w:t xml:space="preserve"> </w:t>
      </w:r>
      <w:r>
        <w:t>the</w:t>
      </w:r>
      <w:r>
        <w:rPr>
          <w:spacing w:val="-6"/>
        </w:rPr>
        <w:t xml:space="preserve"> </w:t>
      </w:r>
      <w:r>
        <w:t>defendant’s</w:t>
      </w:r>
      <w:r>
        <w:rPr>
          <w:spacing w:val="-3"/>
        </w:rPr>
        <w:t xml:space="preserve"> </w:t>
      </w:r>
      <w:r>
        <w:t>alleged</w:t>
      </w:r>
      <w:r>
        <w:rPr>
          <w:spacing w:val="-4"/>
        </w:rPr>
        <w:t xml:space="preserve"> </w:t>
      </w:r>
      <w:r>
        <w:t>gang</w:t>
      </w:r>
      <w:r>
        <w:rPr>
          <w:spacing w:val="-4"/>
        </w:rPr>
        <w:t xml:space="preserve"> </w:t>
      </w:r>
      <w:r w:rsidR="00E353DE">
        <w:t>affiliation</w:t>
      </w:r>
      <w:r>
        <w:t xml:space="preserve"> </w:t>
      </w:r>
      <w:r w:rsidR="009D08A9">
        <w:t>was</w:t>
      </w:r>
      <w:r w:rsidR="00F7403F">
        <w:t xml:space="preserve"> </w:t>
      </w:r>
      <w:r>
        <w:t>admitted only for</w:t>
      </w:r>
      <w:r>
        <w:rPr>
          <w:spacing w:val="40"/>
        </w:rPr>
        <w:t xml:space="preserve"> </w:t>
      </w:r>
      <w:r>
        <w:t>a limited purpose</w:t>
      </w:r>
      <w:r w:rsidR="00046D95">
        <w:t>(s)</w:t>
      </w:r>
      <w:r w:rsidR="00CD1450">
        <w:t xml:space="preserve">:  </w:t>
      </w:r>
      <w:r w:rsidR="00A65937">
        <w:t>to demonstrate</w:t>
      </w:r>
      <w:r>
        <w:t xml:space="preserve"> </w:t>
      </w:r>
      <w:r w:rsidR="00EA3402">
        <w:t>[</w:t>
      </w:r>
      <w:r w:rsidR="00D0782D">
        <w:t>their</w:t>
      </w:r>
      <w:r>
        <w:t xml:space="preserve"> motive for </w:t>
      </w:r>
      <w:r w:rsidR="00D0782D">
        <w:t xml:space="preserve">committing </w:t>
      </w:r>
      <w:r>
        <w:t>the offense(s) involved</w:t>
      </w:r>
      <w:r w:rsidR="00EA3402">
        <w:t>]</w:t>
      </w:r>
      <w:r w:rsidR="00A71019">
        <w:t xml:space="preserve"> (and/or)</w:t>
      </w:r>
      <w:r w:rsidR="00EA3402">
        <w:t xml:space="preserve"> [their </w:t>
      </w:r>
      <w:r>
        <w:t>participat</w:t>
      </w:r>
      <w:r w:rsidR="00EA3402">
        <w:t>ion</w:t>
      </w:r>
      <w:r>
        <w:t xml:space="preserve"> in a joint venture] and for no other purpose.</w:t>
      </w:r>
      <w:r>
        <w:rPr>
          <w:spacing w:val="80"/>
        </w:rPr>
        <w:t xml:space="preserve"> </w:t>
      </w:r>
      <w:r>
        <w:t>You may not take that evidence as a substitute for proof that the defendant committed the crime</w:t>
      </w:r>
      <w:r w:rsidR="002B45D3">
        <w:t>(s)</w:t>
      </w:r>
      <w:r>
        <w:rPr>
          <w:spacing w:val="-3"/>
        </w:rPr>
        <w:t xml:space="preserve"> </w:t>
      </w:r>
      <w:r>
        <w:t>charged,</w:t>
      </w:r>
      <w:r>
        <w:rPr>
          <w:spacing w:val="-5"/>
        </w:rPr>
        <w:t xml:space="preserve"> </w:t>
      </w:r>
      <w:r>
        <w:t>nor</w:t>
      </w:r>
      <w:r>
        <w:rPr>
          <w:spacing w:val="-3"/>
        </w:rPr>
        <w:t xml:space="preserve"> </w:t>
      </w:r>
      <w:r>
        <w:t>may</w:t>
      </w:r>
      <w:r>
        <w:rPr>
          <w:spacing w:val="-4"/>
        </w:rPr>
        <w:t xml:space="preserve"> </w:t>
      </w:r>
      <w:r>
        <w:t>you</w:t>
      </w:r>
      <w:r>
        <w:rPr>
          <w:spacing w:val="-3"/>
        </w:rPr>
        <w:t xml:space="preserve"> </w:t>
      </w:r>
      <w:r>
        <w:t>consider</w:t>
      </w:r>
      <w:r>
        <w:rPr>
          <w:spacing w:val="-3"/>
        </w:rPr>
        <w:t xml:space="preserve"> </w:t>
      </w:r>
      <w:r>
        <w:t>it</w:t>
      </w:r>
      <w:r>
        <w:rPr>
          <w:spacing w:val="-3"/>
        </w:rPr>
        <w:t xml:space="preserve"> </w:t>
      </w:r>
      <w:r>
        <w:t>as</w:t>
      </w:r>
      <w:r>
        <w:rPr>
          <w:spacing w:val="-4"/>
        </w:rPr>
        <w:t xml:space="preserve"> </w:t>
      </w:r>
      <w:r>
        <w:t>proof</w:t>
      </w:r>
      <w:r>
        <w:rPr>
          <w:spacing w:val="-2"/>
        </w:rPr>
        <w:t xml:space="preserve"> </w:t>
      </w:r>
      <w:r>
        <w:t>that</w:t>
      </w:r>
      <w:r>
        <w:rPr>
          <w:spacing w:val="-2"/>
        </w:rPr>
        <w:t xml:space="preserve"> </w:t>
      </w:r>
      <w:r>
        <w:t>the</w:t>
      </w:r>
      <w:r>
        <w:rPr>
          <w:spacing w:val="-4"/>
        </w:rPr>
        <w:t xml:space="preserve"> </w:t>
      </w:r>
      <w:r>
        <w:t>defendant</w:t>
      </w:r>
      <w:r>
        <w:rPr>
          <w:spacing w:val="-3"/>
        </w:rPr>
        <w:t xml:space="preserve"> </w:t>
      </w:r>
      <w:r>
        <w:t>has</w:t>
      </w:r>
      <w:r>
        <w:rPr>
          <w:spacing w:val="-2"/>
        </w:rPr>
        <w:t xml:space="preserve"> </w:t>
      </w:r>
      <w:r>
        <w:t>a bad character</w:t>
      </w:r>
      <w:r w:rsidR="00101901">
        <w:t xml:space="preserve"> or </w:t>
      </w:r>
      <w:r w:rsidR="00FF4D2B">
        <w:t xml:space="preserve">a </w:t>
      </w:r>
      <w:r w:rsidR="00101901">
        <w:t>propensity to commit</w:t>
      </w:r>
      <w:r w:rsidR="004D28FA">
        <w:t xml:space="preserve"> </w:t>
      </w:r>
      <w:r w:rsidR="00101901">
        <w:t>crime</w:t>
      </w:r>
      <w:r w:rsidR="00FF4D2B">
        <w:t>s</w:t>
      </w:r>
      <w:r>
        <w:t>.</w:t>
      </w:r>
    </w:p>
    <w:p w14:paraId="6F182016" w14:textId="401DC17A" w:rsidR="00750CA1" w:rsidRPr="00750CA1" w:rsidRDefault="00750CA1" w:rsidP="00445717">
      <w:pPr>
        <w:pStyle w:val="BodyText"/>
        <w:pBdr>
          <w:left w:val="single" w:sz="4" w:space="4" w:color="auto"/>
          <w:right w:val="single" w:sz="4" w:space="4" w:color="auto"/>
        </w:pBdr>
        <w:spacing w:before="91" w:line="489" w:lineRule="auto"/>
        <w:ind w:left="720" w:right="720"/>
        <w:jc w:val="center"/>
        <w:rPr>
          <w:b w:val="0"/>
          <w:bCs w:val="0"/>
        </w:rPr>
      </w:pPr>
      <w:r w:rsidRPr="00750CA1">
        <w:rPr>
          <w:b w:val="0"/>
          <w:bCs w:val="0"/>
        </w:rPr>
        <w:t>SUPPLEMENTAL INSTRUCTIONS</w:t>
      </w:r>
    </w:p>
    <w:p w14:paraId="41DFD465" w14:textId="10C3B52E" w:rsidR="00A11DA8" w:rsidRDefault="00750CA1" w:rsidP="006C4C16">
      <w:pPr>
        <w:pStyle w:val="BodyText"/>
        <w:pBdr>
          <w:left w:val="single" w:sz="4" w:space="4" w:color="auto"/>
          <w:right w:val="single" w:sz="4" w:space="4" w:color="auto"/>
        </w:pBdr>
        <w:ind w:left="720" w:right="720"/>
        <w:rPr>
          <w:b w:val="0"/>
          <w:bCs w:val="0"/>
        </w:rPr>
      </w:pPr>
      <w:r w:rsidRPr="00445717">
        <w:rPr>
          <w:b w:val="0"/>
          <w:bCs w:val="0"/>
          <w:i/>
          <w:iCs/>
          <w:sz w:val="22"/>
          <w:szCs w:val="22"/>
          <w:bdr w:val="single" w:sz="4" w:space="0" w:color="auto"/>
        </w:rPr>
        <w:t>In cases where</w:t>
      </w:r>
      <w:r w:rsidR="00C71F1A" w:rsidRPr="00445717">
        <w:rPr>
          <w:b w:val="0"/>
          <w:bCs w:val="0"/>
          <w:i/>
          <w:iCs/>
          <w:sz w:val="22"/>
          <w:szCs w:val="22"/>
          <w:bdr w:val="single" w:sz="4" w:space="0" w:color="auto"/>
        </w:rPr>
        <w:t xml:space="preserve"> there is evidence </w:t>
      </w:r>
      <w:r w:rsidRPr="00445717">
        <w:rPr>
          <w:b w:val="0"/>
          <w:bCs w:val="0"/>
          <w:i/>
          <w:iCs/>
          <w:sz w:val="22"/>
          <w:szCs w:val="22"/>
          <w:bdr w:val="single" w:sz="4" w:space="0" w:color="auto"/>
        </w:rPr>
        <w:t xml:space="preserve">that the </w:t>
      </w:r>
      <w:r w:rsidR="00C71F1A" w:rsidRPr="00445717">
        <w:rPr>
          <w:b w:val="0"/>
          <w:bCs w:val="0"/>
          <w:i/>
          <w:iCs/>
          <w:sz w:val="22"/>
          <w:szCs w:val="22"/>
          <w:bdr w:val="single" w:sz="4" w:space="0" w:color="auto"/>
        </w:rPr>
        <w:t xml:space="preserve">defendant believed someone else was </w:t>
      </w:r>
      <w:r w:rsidRPr="00445717">
        <w:rPr>
          <w:b w:val="0"/>
          <w:bCs w:val="0"/>
          <w:i/>
          <w:iCs/>
          <w:sz w:val="22"/>
          <w:szCs w:val="22"/>
          <w:bdr w:val="single" w:sz="4" w:space="0" w:color="auto"/>
        </w:rPr>
        <w:t>affiliated with</w:t>
      </w:r>
      <w:r w:rsidR="00C71F1A" w:rsidRPr="00445717">
        <w:rPr>
          <w:b w:val="0"/>
          <w:bCs w:val="0"/>
          <w:i/>
          <w:iCs/>
          <w:sz w:val="22"/>
          <w:szCs w:val="22"/>
          <w:bdr w:val="single" w:sz="4" w:space="0" w:color="auto"/>
        </w:rPr>
        <w:t xml:space="preserve"> a gang</w:t>
      </w:r>
      <w:r w:rsidR="00C71F1A">
        <w:rPr>
          <w:b w:val="0"/>
          <w:bCs w:val="0"/>
        </w:rPr>
        <w:t>:</w:t>
      </w:r>
      <w:r>
        <w:rPr>
          <w:b w:val="0"/>
          <w:bCs w:val="0"/>
        </w:rPr>
        <w:t xml:space="preserve"> </w:t>
      </w:r>
    </w:p>
    <w:p w14:paraId="3F0A62DA" w14:textId="77777777" w:rsidR="00A11DA8" w:rsidRDefault="00A11DA8" w:rsidP="00A11DA8">
      <w:pPr>
        <w:pStyle w:val="BodyText"/>
        <w:pBdr>
          <w:left w:val="single" w:sz="4" w:space="4" w:color="auto"/>
          <w:right w:val="single" w:sz="4" w:space="4" w:color="auto"/>
        </w:pBdr>
        <w:ind w:left="720" w:right="720" w:firstLine="719"/>
        <w:rPr>
          <w:b w:val="0"/>
          <w:bCs w:val="0"/>
        </w:rPr>
      </w:pPr>
    </w:p>
    <w:p w14:paraId="522133E1" w14:textId="33798660" w:rsidR="00C71F1A" w:rsidRDefault="002972DA" w:rsidP="00445717">
      <w:pPr>
        <w:pStyle w:val="BodyText"/>
        <w:pBdr>
          <w:left w:val="single" w:sz="4" w:space="4" w:color="auto"/>
          <w:right w:val="single" w:sz="4" w:space="4" w:color="auto"/>
        </w:pBdr>
        <w:spacing w:line="489" w:lineRule="auto"/>
        <w:ind w:left="720" w:right="720" w:firstLine="719"/>
      </w:pPr>
      <w:r>
        <w:t xml:space="preserve">If there was credible evidence </w:t>
      </w:r>
      <w:r w:rsidRPr="00680427">
        <w:t>that the defendant</w:t>
      </w:r>
      <w:r>
        <w:rPr>
          <w:spacing w:val="-4"/>
        </w:rPr>
        <w:t xml:space="preserve"> </w:t>
      </w:r>
      <w:r>
        <w:lastRenderedPageBreak/>
        <w:t>believed</w:t>
      </w:r>
      <w:r>
        <w:rPr>
          <w:spacing w:val="-3"/>
        </w:rPr>
        <w:t xml:space="preserve"> </w:t>
      </w:r>
      <w:r>
        <w:t xml:space="preserve">someone </w:t>
      </w:r>
      <w:r>
        <w:rPr>
          <w:spacing w:val="-4"/>
        </w:rPr>
        <w:t xml:space="preserve">was </w:t>
      </w:r>
      <w:r>
        <w:t>affiliated</w:t>
      </w:r>
      <w:r>
        <w:rPr>
          <w:spacing w:val="-3"/>
        </w:rPr>
        <w:t xml:space="preserve"> </w:t>
      </w:r>
      <w:r>
        <w:t>with</w:t>
      </w:r>
      <w:r>
        <w:rPr>
          <w:spacing w:val="-3"/>
        </w:rPr>
        <w:t xml:space="preserve"> </w:t>
      </w:r>
      <w:r>
        <w:t>a</w:t>
      </w:r>
      <w:r>
        <w:rPr>
          <w:spacing w:val="-4"/>
        </w:rPr>
        <w:t xml:space="preserve"> </w:t>
      </w:r>
      <w:r>
        <w:t>gang,</w:t>
      </w:r>
      <w:r>
        <w:rPr>
          <w:spacing w:val="-1"/>
        </w:rPr>
        <w:t xml:space="preserve"> </w:t>
      </w:r>
      <w:r>
        <w:t>that</w:t>
      </w:r>
      <w:r>
        <w:rPr>
          <w:spacing w:val="-6"/>
        </w:rPr>
        <w:t xml:space="preserve"> alone is not </w:t>
      </w:r>
      <w:r>
        <w:t>evidence that the person was, indeed, a gang member.  Therefore, you may not use that evidence to infer that the person was a gang member.</w:t>
      </w:r>
      <w:r w:rsidR="00215EC8">
        <w:t xml:space="preserve"> </w:t>
      </w:r>
      <w:r w:rsidR="00750CA1">
        <w:t xml:space="preserve"> </w:t>
      </w:r>
      <w:r w:rsidR="00C71F1A" w:rsidRPr="00C71F1A">
        <w:t xml:space="preserve">Such evidence was admitted solely on the issue of the defendant's state of mind for what </w:t>
      </w:r>
      <w:r w:rsidR="00A742B7">
        <w:t>the defendant</w:t>
      </w:r>
      <w:r w:rsidR="00C71F1A" w:rsidRPr="00C71F1A">
        <w:t xml:space="preserve"> believed, at a particular time, and for no other purpose.</w:t>
      </w:r>
      <w:r w:rsidR="00C71F1A">
        <w:t xml:space="preserve"> </w:t>
      </w:r>
    </w:p>
    <w:p w14:paraId="099024E2" w14:textId="622C2715" w:rsidR="002972DA" w:rsidRPr="00445717" w:rsidRDefault="00C71F1A" w:rsidP="006C4C16">
      <w:pPr>
        <w:pStyle w:val="BodyText"/>
        <w:pBdr>
          <w:left w:val="single" w:sz="4" w:space="4" w:color="auto"/>
          <w:right w:val="single" w:sz="4" w:space="4" w:color="auto"/>
        </w:pBdr>
        <w:spacing w:line="489" w:lineRule="auto"/>
        <w:ind w:left="720" w:right="720"/>
        <w:rPr>
          <w:b w:val="0"/>
          <w:bCs w:val="0"/>
          <w:sz w:val="20"/>
          <w:szCs w:val="20"/>
        </w:rPr>
      </w:pPr>
      <w:r w:rsidRPr="00445717">
        <w:rPr>
          <w:b w:val="0"/>
          <w:bCs w:val="0"/>
          <w:i/>
          <w:iCs/>
          <w:sz w:val="20"/>
          <w:szCs w:val="20"/>
        </w:rPr>
        <w:t>Commonwealth v. Maldonado</w:t>
      </w:r>
      <w:r w:rsidRPr="00445717">
        <w:rPr>
          <w:b w:val="0"/>
          <w:bCs w:val="0"/>
          <w:sz w:val="20"/>
          <w:szCs w:val="20"/>
        </w:rPr>
        <w:t>, 429 Mass. 502, 505 (1999).</w:t>
      </w:r>
      <w:r w:rsidR="002972DA" w:rsidRPr="00445717">
        <w:rPr>
          <w:b w:val="0"/>
          <w:bCs w:val="0"/>
          <w:sz w:val="20"/>
          <w:szCs w:val="20"/>
        </w:rPr>
        <w:t xml:space="preserve">  </w:t>
      </w:r>
    </w:p>
    <w:p w14:paraId="399AFAB1" w14:textId="77777777" w:rsidR="002972DA" w:rsidRDefault="002972DA" w:rsidP="00036451">
      <w:pPr>
        <w:pStyle w:val="BodyText"/>
        <w:pBdr>
          <w:left w:val="single" w:sz="4" w:space="4" w:color="auto"/>
          <w:right w:val="single" w:sz="4" w:space="4" w:color="auto"/>
        </w:pBdr>
        <w:ind w:left="720" w:right="720"/>
        <w:rPr>
          <w:b w:val="0"/>
          <w:bCs w:val="0"/>
          <w:sz w:val="20"/>
          <w:szCs w:val="20"/>
          <w:bdr w:val="single" w:sz="4" w:space="0" w:color="auto"/>
        </w:rPr>
      </w:pPr>
    </w:p>
    <w:p w14:paraId="381E5151" w14:textId="26D7A328" w:rsidR="007331AD" w:rsidRPr="00445717" w:rsidRDefault="007331AD" w:rsidP="00036451">
      <w:pPr>
        <w:pStyle w:val="BodyText"/>
        <w:pBdr>
          <w:left w:val="single" w:sz="4" w:space="4" w:color="auto"/>
          <w:right w:val="single" w:sz="4" w:space="4" w:color="auto"/>
        </w:pBdr>
        <w:ind w:left="720" w:right="720"/>
        <w:rPr>
          <w:b w:val="0"/>
          <w:bCs w:val="0"/>
          <w:i/>
          <w:iCs/>
          <w:sz w:val="20"/>
          <w:szCs w:val="20"/>
          <w:bdr w:val="single" w:sz="4" w:space="0" w:color="auto"/>
        </w:rPr>
      </w:pPr>
      <w:r w:rsidRPr="00445717">
        <w:rPr>
          <w:b w:val="0"/>
          <w:bCs w:val="0"/>
          <w:i/>
          <w:iCs/>
          <w:sz w:val="22"/>
          <w:szCs w:val="22"/>
          <w:bdr w:val="single" w:sz="4" w:space="0" w:color="auto"/>
        </w:rPr>
        <w:t>In cases where there is testimony from an “expert” about indicia of gang affiliation</w:t>
      </w:r>
      <w:r w:rsidRPr="00445717">
        <w:rPr>
          <w:b w:val="0"/>
          <w:bCs w:val="0"/>
          <w:i/>
          <w:iCs/>
          <w:sz w:val="20"/>
          <w:szCs w:val="20"/>
          <w:bdr w:val="single" w:sz="4" w:space="0" w:color="auto"/>
        </w:rPr>
        <w:t>:</w:t>
      </w:r>
    </w:p>
    <w:p w14:paraId="151DBD42" w14:textId="77777777" w:rsidR="00036451" w:rsidRPr="00036451" w:rsidRDefault="00036451" w:rsidP="00036451">
      <w:pPr>
        <w:pStyle w:val="BodyText"/>
        <w:pBdr>
          <w:left w:val="single" w:sz="4" w:space="4" w:color="auto"/>
          <w:right w:val="single" w:sz="4" w:space="4" w:color="auto"/>
        </w:pBdr>
        <w:ind w:left="720" w:right="720"/>
        <w:rPr>
          <w:b w:val="0"/>
          <w:bCs w:val="0"/>
          <w:sz w:val="20"/>
          <w:szCs w:val="20"/>
          <w:bdr w:val="single" w:sz="4" w:space="0" w:color="auto"/>
        </w:rPr>
      </w:pPr>
    </w:p>
    <w:p w14:paraId="7E22592D" w14:textId="4D3B3BA9" w:rsidR="007331AD" w:rsidRDefault="007331AD" w:rsidP="00036451">
      <w:pPr>
        <w:pStyle w:val="BodyText"/>
        <w:pBdr>
          <w:left w:val="single" w:sz="4" w:space="4" w:color="auto"/>
          <w:right w:val="single" w:sz="4" w:space="4" w:color="auto"/>
        </w:pBdr>
        <w:spacing w:line="489" w:lineRule="auto"/>
        <w:ind w:left="720" w:right="720" w:firstLine="719"/>
      </w:pPr>
      <w:r>
        <w:t>When</w:t>
      </w:r>
      <w:r>
        <w:rPr>
          <w:spacing w:val="-6"/>
        </w:rPr>
        <w:t xml:space="preserve"> </w:t>
      </w:r>
      <w:r>
        <w:t>a case involves a</w:t>
      </w:r>
      <w:r w:rsidR="00D31CB9">
        <w:t>llegations of gang affiliation</w:t>
      </w:r>
      <w:r>
        <w:t xml:space="preserve">, a person with special training or experience in that </w:t>
      </w:r>
      <w:r w:rsidR="004F399F">
        <w:t>subject matter</w:t>
      </w:r>
      <w:r>
        <w:t xml:space="preserve"> is permitted to give </w:t>
      </w:r>
      <w:r w:rsidR="00186F31">
        <w:t>thei</w:t>
      </w:r>
      <w:r>
        <w:t xml:space="preserve">r opinion about that </w:t>
      </w:r>
      <w:r w:rsidR="004F399F">
        <w:t>matter</w:t>
      </w:r>
      <w:r>
        <w:t>, in order to help you as the jury.</w:t>
      </w:r>
      <w:r w:rsidR="00857F95">
        <w:t xml:space="preserve">  </w:t>
      </w:r>
      <w:r w:rsidR="00A742B7">
        <w:t>However, an expert witness is like any other witness in that you alone make the judgement about how much credibility and weight you give the expert’s testimony and what conclusions you draw from that testimony.</w:t>
      </w:r>
    </w:p>
    <w:p w14:paraId="079F3FF1" w14:textId="5824D97B" w:rsidR="007331AD" w:rsidRDefault="00270BF9" w:rsidP="006C4C16">
      <w:pPr>
        <w:pStyle w:val="BodyText"/>
        <w:pBdr>
          <w:left w:val="single" w:sz="4" w:space="4" w:color="auto"/>
          <w:right w:val="single" w:sz="4" w:space="4" w:color="auto"/>
        </w:pBdr>
        <w:spacing w:before="91" w:line="489" w:lineRule="auto"/>
        <w:ind w:left="720" w:right="720"/>
        <w:rPr>
          <w:b w:val="0"/>
          <w:bCs w:val="0"/>
          <w:sz w:val="20"/>
          <w:szCs w:val="20"/>
        </w:rPr>
      </w:pPr>
      <w:r w:rsidRPr="00203877">
        <w:rPr>
          <w:b w:val="0"/>
          <w:bCs w:val="0"/>
          <w:sz w:val="20"/>
          <w:szCs w:val="20"/>
        </w:rPr>
        <w:t xml:space="preserve">See Instruction </w:t>
      </w:r>
      <w:r w:rsidR="00203877">
        <w:rPr>
          <w:b w:val="0"/>
          <w:bCs w:val="0"/>
          <w:sz w:val="20"/>
          <w:szCs w:val="20"/>
        </w:rPr>
        <w:t>3.640</w:t>
      </w:r>
      <w:r w:rsidRPr="00203877">
        <w:rPr>
          <w:b w:val="0"/>
          <w:bCs w:val="0"/>
          <w:sz w:val="20"/>
          <w:szCs w:val="20"/>
        </w:rPr>
        <w:t xml:space="preserve"> Expert Witness.</w:t>
      </w:r>
    </w:p>
    <w:p w14:paraId="18B81DE6" w14:textId="77777777" w:rsidR="00A742B7" w:rsidRDefault="00A742B7" w:rsidP="006C4C16">
      <w:pPr>
        <w:pStyle w:val="BodyText"/>
        <w:pBdr>
          <w:left w:val="single" w:sz="4" w:space="4" w:color="auto"/>
          <w:right w:val="single" w:sz="4" w:space="4" w:color="auto"/>
        </w:pBdr>
        <w:spacing w:before="91" w:line="489" w:lineRule="auto"/>
        <w:ind w:left="720" w:right="720"/>
        <w:rPr>
          <w:b w:val="0"/>
          <w:bCs w:val="0"/>
          <w:sz w:val="20"/>
          <w:szCs w:val="20"/>
        </w:rPr>
      </w:pPr>
    </w:p>
    <w:p w14:paraId="28DF0D8C" w14:textId="77777777" w:rsidR="006C4C16" w:rsidRDefault="00C37782" w:rsidP="006C4C16">
      <w:pPr>
        <w:pStyle w:val="BodyText"/>
        <w:pBdr>
          <w:left w:val="single" w:sz="4" w:space="4" w:color="auto"/>
          <w:right w:val="single" w:sz="4" w:space="4" w:color="auto"/>
        </w:pBdr>
        <w:spacing w:line="489" w:lineRule="auto"/>
        <w:ind w:left="720" w:right="720"/>
        <w:rPr>
          <w:i/>
          <w:iCs/>
        </w:rPr>
      </w:pPr>
      <w:r w:rsidRPr="00445717">
        <w:rPr>
          <w:b w:val="0"/>
          <w:bCs w:val="0"/>
          <w:i/>
          <w:iCs/>
          <w:sz w:val="22"/>
          <w:szCs w:val="22"/>
          <w:bdr w:val="single" w:sz="4" w:space="0" w:color="auto"/>
        </w:rPr>
        <w:lastRenderedPageBreak/>
        <w:t xml:space="preserve">If the court inquired of venire </w:t>
      </w:r>
      <w:r w:rsidR="00507B20" w:rsidRPr="00445717">
        <w:rPr>
          <w:b w:val="0"/>
          <w:bCs w:val="0"/>
          <w:i/>
          <w:iCs/>
          <w:sz w:val="22"/>
          <w:szCs w:val="22"/>
          <w:bdr w:val="single" w:sz="4" w:space="0" w:color="auto"/>
        </w:rPr>
        <w:t>about gang affiliation during empanelment</w:t>
      </w:r>
      <w:r w:rsidR="00507B20" w:rsidRPr="00507B20">
        <w:rPr>
          <w:b w:val="0"/>
          <w:bCs w:val="0"/>
          <w:i/>
          <w:iCs/>
          <w:bdr w:val="single" w:sz="4" w:space="0" w:color="auto"/>
        </w:rPr>
        <w:t>:</w:t>
      </w:r>
      <w:r w:rsidR="00507B20">
        <w:rPr>
          <w:i/>
          <w:iCs/>
        </w:rPr>
        <w:t xml:space="preserve"> </w:t>
      </w:r>
    </w:p>
    <w:p w14:paraId="2E02A60D" w14:textId="684E8F5F" w:rsidR="00BE6558" w:rsidRPr="006C4C16" w:rsidRDefault="00932748" w:rsidP="00A742B7">
      <w:pPr>
        <w:pStyle w:val="BodyText"/>
        <w:pBdr>
          <w:left w:val="single" w:sz="4" w:space="4" w:color="auto"/>
          <w:right w:val="single" w:sz="4" w:space="4" w:color="auto"/>
        </w:pBdr>
        <w:spacing w:line="489" w:lineRule="auto"/>
        <w:ind w:left="720" w:right="720" w:firstLine="720"/>
      </w:pPr>
      <w:r>
        <w:t>I caution you and remind you of the promise you made under oath when you were</w:t>
      </w:r>
      <w:r>
        <w:rPr>
          <w:spacing w:val="-2"/>
        </w:rPr>
        <w:t xml:space="preserve"> </w:t>
      </w:r>
      <w:r>
        <w:t>questioned</w:t>
      </w:r>
      <w:r w:rsidR="00857F95">
        <w:t xml:space="preserve"> before being sworn in as a juror</w:t>
      </w:r>
      <w:r>
        <w:t>.</w:t>
      </w:r>
      <w:r>
        <w:rPr>
          <w:spacing w:val="40"/>
        </w:rPr>
        <w:t xml:space="preserve"> </w:t>
      </w:r>
      <w:r w:rsidR="00857F95">
        <w:t xml:space="preserve"> You </w:t>
      </w:r>
      <w:r w:rsidR="00F33BEC">
        <w:t xml:space="preserve">promised </w:t>
      </w:r>
      <w:r w:rsidR="00B235EF">
        <w:t>that you would</w:t>
      </w:r>
      <w:r>
        <w:t xml:space="preserve"> not allow any suggestion of gang association to affect your ability to remain fair and impartial as a juror </w:t>
      </w:r>
      <w:r w:rsidR="00857F95">
        <w:t xml:space="preserve">in </w:t>
      </w:r>
      <w:r>
        <w:t>this</w:t>
      </w:r>
      <w:r>
        <w:rPr>
          <w:spacing w:val="-2"/>
        </w:rPr>
        <w:t xml:space="preserve"> </w:t>
      </w:r>
      <w:r>
        <w:t>case,</w:t>
      </w:r>
      <w:r>
        <w:rPr>
          <w:spacing w:val="-3"/>
        </w:rPr>
        <w:t xml:space="preserve"> </w:t>
      </w:r>
      <w:r>
        <w:t>and</w:t>
      </w:r>
      <w:r>
        <w:rPr>
          <w:spacing w:val="-3"/>
        </w:rPr>
        <w:t xml:space="preserve"> </w:t>
      </w:r>
      <w:r>
        <w:t>you</w:t>
      </w:r>
      <w:r>
        <w:rPr>
          <w:spacing w:val="-3"/>
        </w:rPr>
        <w:t xml:space="preserve"> </w:t>
      </w:r>
      <w:r>
        <w:t>must</w:t>
      </w:r>
      <w:r>
        <w:rPr>
          <w:spacing w:val="-4"/>
        </w:rPr>
        <w:t xml:space="preserve"> </w:t>
      </w:r>
      <w:r>
        <w:t>follow</w:t>
      </w:r>
      <w:r>
        <w:rPr>
          <w:spacing w:val="-4"/>
        </w:rPr>
        <w:t xml:space="preserve"> </w:t>
      </w:r>
      <w:r>
        <w:t>that</w:t>
      </w:r>
      <w:r>
        <w:rPr>
          <w:spacing w:val="-7"/>
        </w:rPr>
        <w:t xml:space="preserve"> </w:t>
      </w:r>
      <w:r>
        <w:t>promise</w:t>
      </w:r>
      <w:r>
        <w:rPr>
          <w:spacing w:val="-5"/>
        </w:rPr>
        <w:t xml:space="preserve"> </w:t>
      </w:r>
      <w:r>
        <w:t>in</w:t>
      </w:r>
      <w:r>
        <w:rPr>
          <w:spacing w:val="-3"/>
        </w:rPr>
        <w:t xml:space="preserve"> </w:t>
      </w:r>
      <w:r>
        <w:t>your</w:t>
      </w:r>
      <w:r>
        <w:rPr>
          <w:spacing w:val="-3"/>
        </w:rPr>
        <w:t xml:space="preserve"> </w:t>
      </w:r>
      <w:r>
        <w:t>deliberations.</w:t>
      </w:r>
      <w:r>
        <w:rPr>
          <w:spacing w:val="40"/>
        </w:rPr>
        <w:t xml:space="preserve"> </w:t>
      </w:r>
    </w:p>
    <w:p w14:paraId="430A3B4E" w14:textId="5C0F51DE" w:rsidR="00932748" w:rsidRPr="00932748" w:rsidRDefault="00932748" w:rsidP="006C4C16">
      <w:pPr>
        <w:pBdr>
          <w:left w:val="single" w:sz="4" w:space="4" w:color="auto"/>
          <w:right w:val="single" w:sz="4" w:space="4" w:color="auto"/>
        </w:pBdr>
        <w:spacing w:line="240" w:lineRule="auto"/>
        <w:ind w:left="720" w:right="720"/>
        <w:rPr>
          <w:rFonts w:ascii="Arial" w:hAnsi="Arial" w:cs="Arial"/>
          <w:sz w:val="20"/>
        </w:rPr>
      </w:pPr>
      <w:r w:rsidRPr="00932748">
        <w:rPr>
          <w:rFonts w:ascii="Arial" w:hAnsi="Arial" w:cs="Arial"/>
          <w:i/>
          <w:sz w:val="20"/>
        </w:rPr>
        <w:t xml:space="preserve">See </w:t>
      </w:r>
      <w:r w:rsidR="006958FC" w:rsidRPr="006958FC">
        <w:rPr>
          <w:rFonts w:ascii="Arial" w:hAnsi="Arial" w:cs="Arial"/>
          <w:i/>
          <w:iCs/>
          <w:sz w:val="20"/>
          <w:szCs w:val="20"/>
        </w:rPr>
        <w:t>Commonwealth v. Rosario</w:t>
      </w:r>
      <w:r w:rsidR="006958FC" w:rsidRPr="006958FC">
        <w:rPr>
          <w:rFonts w:ascii="Arial" w:hAnsi="Arial" w:cs="Arial"/>
          <w:sz w:val="20"/>
          <w:szCs w:val="20"/>
        </w:rPr>
        <w:t>, 460 Mass. 181, 192</w:t>
      </w:r>
      <w:r w:rsidR="006958FC" w:rsidRPr="00932748">
        <w:rPr>
          <w:rFonts w:ascii="Arial" w:hAnsi="Arial" w:cs="Arial"/>
          <w:sz w:val="20"/>
          <w:szCs w:val="20"/>
        </w:rPr>
        <w:t xml:space="preserve"> (2011)</w:t>
      </w:r>
      <w:r w:rsidR="006958FC">
        <w:rPr>
          <w:rFonts w:ascii="Arial" w:hAnsi="Arial" w:cs="Arial"/>
          <w:sz w:val="20"/>
          <w:szCs w:val="20"/>
        </w:rPr>
        <w:t xml:space="preserve"> </w:t>
      </w:r>
      <w:r w:rsidRPr="00932748">
        <w:rPr>
          <w:rFonts w:ascii="Arial" w:hAnsi="Arial" w:cs="Arial"/>
          <w:i/>
          <w:sz w:val="20"/>
        </w:rPr>
        <w:t>Commonwealth v. Maldonado</w:t>
      </w:r>
      <w:r w:rsidRPr="00932748">
        <w:rPr>
          <w:rFonts w:ascii="Arial" w:hAnsi="Arial" w:cs="Arial"/>
          <w:sz w:val="20"/>
        </w:rPr>
        <w:t xml:space="preserve">, 429 Mass. 502, 506 n. 1 (1999) for example of a comprehensive limiting instruction. See also </w:t>
      </w:r>
      <w:r w:rsidRPr="00932748">
        <w:rPr>
          <w:rFonts w:ascii="Arial" w:hAnsi="Arial" w:cs="Arial"/>
          <w:i/>
          <w:sz w:val="20"/>
        </w:rPr>
        <w:t xml:space="preserve">Massachusetts Jury Trial </w:t>
      </w:r>
      <w:proofErr w:type="spellStart"/>
      <w:r w:rsidRPr="00932748">
        <w:rPr>
          <w:rFonts w:ascii="Arial" w:hAnsi="Arial" w:cs="Arial"/>
          <w:i/>
          <w:sz w:val="20"/>
        </w:rPr>
        <w:t>Benchbook</w:t>
      </w:r>
      <w:proofErr w:type="spellEnd"/>
      <w:r w:rsidRPr="00932748">
        <w:rPr>
          <w:rFonts w:ascii="Arial" w:hAnsi="Arial" w:cs="Arial"/>
          <w:sz w:val="20"/>
        </w:rPr>
        <w:t>, (4th Edition, 2019), Appendix 4DD – Sample Jury Instruction on Gang Affiliation or Involvement.</w:t>
      </w:r>
    </w:p>
    <w:p w14:paraId="7A9202B0" w14:textId="1478415E" w:rsidR="00932748" w:rsidRDefault="00932748" w:rsidP="006958FC">
      <w:pPr>
        <w:spacing w:line="240" w:lineRule="auto"/>
        <w:ind w:right="835"/>
        <w:jc w:val="both"/>
        <w:rPr>
          <w:rFonts w:ascii="Arial" w:hAnsi="Arial" w:cs="Arial"/>
          <w:sz w:val="20"/>
        </w:rPr>
      </w:pPr>
    </w:p>
    <w:p w14:paraId="64706CFE" w14:textId="47EEA0FA" w:rsidR="006958FC" w:rsidRPr="00932748" w:rsidRDefault="006958FC" w:rsidP="006958FC">
      <w:pPr>
        <w:spacing w:line="240" w:lineRule="auto"/>
        <w:ind w:right="835"/>
        <w:jc w:val="both"/>
        <w:rPr>
          <w:rFonts w:ascii="Arial" w:hAnsi="Arial" w:cs="Arial"/>
          <w:sz w:val="20"/>
        </w:rPr>
      </w:pPr>
      <w:r>
        <w:rPr>
          <w:rFonts w:ascii="Arial" w:hAnsi="Arial" w:cs="Arial"/>
          <w:sz w:val="20"/>
        </w:rPr>
        <w:t>NOTES:</w:t>
      </w:r>
    </w:p>
    <w:p w14:paraId="073A9B51" w14:textId="32FDA3D1" w:rsidR="00742185" w:rsidRDefault="0022370C" w:rsidP="005A5037">
      <w:pPr>
        <w:pStyle w:val="NormalWeb"/>
        <w:numPr>
          <w:ilvl w:val="0"/>
          <w:numId w:val="1"/>
        </w:numPr>
        <w:shd w:val="clear" w:color="auto" w:fill="FFFFFF"/>
        <w:spacing w:before="0" w:beforeAutospacing="0" w:after="0" w:afterAutospacing="0"/>
        <w:ind w:left="0" w:firstLine="720"/>
        <w:textAlignment w:val="baseline"/>
        <w:rPr>
          <w:rFonts w:ascii="Arial" w:hAnsi="Arial" w:cs="Arial"/>
          <w:sz w:val="20"/>
          <w:szCs w:val="20"/>
        </w:rPr>
      </w:pPr>
      <w:r w:rsidRPr="00E709D5">
        <w:rPr>
          <w:rFonts w:ascii="Arial" w:hAnsi="Arial" w:cs="Arial"/>
          <w:b/>
          <w:bCs/>
          <w:sz w:val="20"/>
        </w:rPr>
        <w:t>Relevance and admissibility</w:t>
      </w:r>
      <w:r w:rsidRPr="006958FC">
        <w:rPr>
          <w:rFonts w:ascii="Arial" w:hAnsi="Arial" w:cs="Arial"/>
          <w:sz w:val="20"/>
          <w:szCs w:val="20"/>
        </w:rPr>
        <w:t xml:space="preserve">.  </w:t>
      </w:r>
      <w:r w:rsidR="008B75A3" w:rsidRPr="006958FC">
        <w:rPr>
          <w:rFonts w:ascii="Arial" w:hAnsi="Arial" w:cs="Arial"/>
          <w:sz w:val="20"/>
          <w:szCs w:val="20"/>
        </w:rPr>
        <w:t>“</w:t>
      </w:r>
      <w:r w:rsidR="008B75A3" w:rsidRPr="006958FC">
        <w:rPr>
          <w:rFonts w:ascii="Arial" w:hAnsi="Arial" w:cs="Arial"/>
          <w:color w:val="000000"/>
          <w:sz w:val="20"/>
          <w:szCs w:val="20"/>
        </w:rPr>
        <w:t>Gang evidence may be admissible to show motive or to establish joint venture.</w:t>
      </w:r>
      <w:r w:rsidR="00866A8B">
        <w:rPr>
          <w:rFonts w:ascii="Arial" w:hAnsi="Arial" w:cs="Arial"/>
          <w:color w:val="000000"/>
          <w:sz w:val="20"/>
          <w:szCs w:val="20"/>
        </w:rPr>
        <w:t>”</w:t>
      </w:r>
      <w:r w:rsidR="008B75A3" w:rsidRPr="006958FC">
        <w:rPr>
          <w:rFonts w:ascii="Arial" w:hAnsi="Arial" w:cs="Arial"/>
          <w:color w:val="000000"/>
          <w:sz w:val="20"/>
          <w:szCs w:val="20"/>
        </w:rPr>
        <w:t xml:space="preserve">  </w:t>
      </w:r>
      <w:r w:rsidR="008B75A3" w:rsidRPr="006958FC">
        <w:rPr>
          <w:rStyle w:val="ac"/>
          <w:rFonts w:ascii="Arial" w:hAnsi="Arial" w:cs="Arial"/>
          <w:i/>
          <w:iCs/>
          <w:sz w:val="20"/>
          <w:szCs w:val="20"/>
          <w:bdr w:val="none" w:sz="0" w:space="0" w:color="auto" w:frame="1"/>
          <w:shd w:val="clear" w:color="auto" w:fill="FFFFFF"/>
        </w:rPr>
        <w:t xml:space="preserve">Commonwealth v. </w:t>
      </w:r>
      <w:proofErr w:type="spellStart"/>
      <w:r w:rsidR="008B75A3" w:rsidRPr="006958FC">
        <w:rPr>
          <w:rStyle w:val="ac"/>
          <w:rFonts w:ascii="Arial" w:hAnsi="Arial" w:cs="Arial"/>
          <w:i/>
          <w:iCs/>
          <w:sz w:val="20"/>
          <w:szCs w:val="20"/>
          <w:bdr w:val="none" w:sz="0" w:space="0" w:color="auto" w:frame="1"/>
          <w:shd w:val="clear" w:color="auto" w:fill="FFFFFF"/>
        </w:rPr>
        <w:t>Akara</w:t>
      </w:r>
      <w:proofErr w:type="spellEnd"/>
      <w:r w:rsidR="008B75A3" w:rsidRPr="006958FC">
        <w:rPr>
          <w:rStyle w:val="ac"/>
          <w:rFonts w:ascii="Arial" w:hAnsi="Arial" w:cs="Arial"/>
          <w:sz w:val="20"/>
          <w:szCs w:val="20"/>
          <w:bdr w:val="none" w:sz="0" w:space="0" w:color="auto" w:frame="1"/>
          <w:shd w:val="clear" w:color="auto" w:fill="FFFFFF"/>
        </w:rPr>
        <w:t>, 465 Mass. 245, 267</w:t>
      </w:r>
      <w:r w:rsidR="008B75A3" w:rsidRPr="006958FC">
        <w:rPr>
          <w:rFonts w:ascii="Arial" w:hAnsi="Arial" w:cs="Arial"/>
          <w:sz w:val="20"/>
          <w:szCs w:val="20"/>
        </w:rPr>
        <w:t xml:space="preserve"> (</w:t>
      </w:r>
      <w:r w:rsidR="00EC7196" w:rsidRPr="006958FC">
        <w:rPr>
          <w:rFonts w:ascii="Arial" w:hAnsi="Arial" w:cs="Arial"/>
          <w:sz w:val="20"/>
          <w:szCs w:val="20"/>
        </w:rPr>
        <w:t xml:space="preserve">2013), citing </w:t>
      </w:r>
      <w:r w:rsidR="00EC7196" w:rsidRPr="00250732">
        <w:rPr>
          <w:rFonts w:ascii="Arial" w:hAnsi="Arial" w:cs="Arial"/>
          <w:i/>
          <w:iCs/>
          <w:sz w:val="20"/>
          <w:szCs w:val="20"/>
        </w:rPr>
        <w:t>Commonwealth</w:t>
      </w:r>
      <w:r w:rsidR="00EC7196" w:rsidRPr="00250732">
        <w:rPr>
          <w:rFonts w:ascii="Arial" w:hAnsi="Arial" w:cs="Arial"/>
          <w:sz w:val="20"/>
          <w:szCs w:val="20"/>
        </w:rPr>
        <w:t> v. </w:t>
      </w:r>
      <w:r w:rsidR="00EC7196" w:rsidRPr="00250732">
        <w:rPr>
          <w:rFonts w:ascii="Arial" w:hAnsi="Arial" w:cs="Arial"/>
          <w:i/>
          <w:iCs/>
          <w:sz w:val="20"/>
          <w:szCs w:val="20"/>
        </w:rPr>
        <w:t>Swafford</w:t>
      </w:r>
      <w:r w:rsidR="00EC7196" w:rsidRPr="00250732">
        <w:rPr>
          <w:rFonts w:ascii="Arial" w:hAnsi="Arial" w:cs="Arial"/>
          <w:sz w:val="20"/>
          <w:szCs w:val="20"/>
        </w:rPr>
        <w:t xml:space="preserve">, </w:t>
      </w:r>
      <w:r w:rsidR="007456F1">
        <w:rPr>
          <w:rFonts w:ascii="Arial" w:hAnsi="Arial" w:cs="Arial"/>
          <w:sz w:val="20"/>
          <w:szCs w:val="20"/>
        </w:rPr>
        <w:t>441 Mass. 329</w:t>
      </w:r>
      <w:r w:rsidR="00EC7196" w:rsidRPr="00250732">
        <w:rPr>
          <w:rFonts w:ascii="Arial" w:hAnsi="Arial" w:cs="Arial"/>
          <w:sz w:val="20"/>
          <w:szCs w:val="20"/>
        </w:rPr>
        <w:t>, 332-333</w:t>
      </w:r>
      <w:r w:rsidR="00BD19A1" w:rsidRPr="006958FC">
        <w:rPr>
          <w:rFonts w:ascii="Arial" w:hAnsi="Arial" w:cs="Arial"/>
          <w:sz w:val="20"/>
          <w:szCs w:val="20"/>
        </w:rPr>
        <w:t xml:space="preserve"> </w:t>
      </w:r>
      <w:r w:rsidR="00EC7196" w:rsidRPr="00250732">
        <w:rPr>
          <w:rFonts w:ascii="Arial" w:hAnsi="Arial" w:cs="Arial"/>
          <w:sz w:val="20"/>
          <w:szCs w:val="20"/>
        </w:rPr>
        <w:t>(2004)</w:t>
      </w:r>
      <w:r w:rsidR="00EC7196" w:rsidRPr="006958FC">
        <w:rPr>
          <w:rFonts w:ascii="Arial" w:hAnsi="Arial" w:cs="Arial"/>
          <w:sz w:val="20"/>
          <w:szCs w:val="20"/>
        </w:rPr>
        <w:t xml:space="preserve">.  </w:t>
      </w:r>
      <w:r w:rsidR="00C0580C" w:rsidRPr="006958FC">
        <w:rPr>
          <w:rFonts w:ascii="Arial" w:hAnsi="Arial" w:cs="Arial"/>
          <w:sz w:val="20"/>
          <w:szCs w:val="20"/>
        </w:rPr>
        <w:t>“</w:t>
      </w:r>
      <w:r w:rsidRPr="006958FC">
        <w:rPr>
          <w:rFonts w:ascii="Arial" w:hAnsi="Arial" w:cs="Arial"/>
          <w:sz w:val="20"/>
          <w:szCs w:val="20"/>
        </w:rPr>
        <w:t>I</w:t>
      </w:r>
      <w:r w:rsidR="00932748" w:rsidRPr="006958FC">
        <w:rPr>
          <w:rFonts w:ascii="Arial" w:hAnsi="Arial" w:cs="Arial"/>
          <w:sz w:val="20"/>
          <w:szCs w:val="20"/>
        </w:rPr>
        <w:t xml:space="preserve">f gang affiliation is the motive for a </w:t>
      </w:r>
      <w:r w:rsidR="00C0580C" w:rsidRPr="006958FC">
        <w:rPr>
          <w:rFonts w:ascii="Arial" w:hAnsi="Arial" w:cs="Arial"/>
          <w:sz w:val="20"/>
          <w:szCs w:val="20"/>
        </w:rPr>
        <w:t>[</w:t>
      </w:r>
      <w:r w:rsidRPr="006958FC">
        <w:rPr>
          <w:rFonts w:ascii="Arial" w:hAnsi="Arial" w:cs="Arial"/>
          <w:sz w:val="20"/>
          <w:szCs w:val="20"/>
        </w:rPr>
        <w:t>crime</w:t>
      </w:r>
      <w:r w:rsidR="00C0580C" w:rsidRPr="006958FC">
        <w:rPr>
          <w:rFonts w:ascii="Arial" w:hAnsi="Arial" w:cs="Arial"/>
          <w:sz w:val="20"/>
          <w:szCs w:val="20"/>
        </w:rPr>
        <w:t>]</w:t>
      </w:r>
      <w:r w:rsidR="00932748" w:rsidRPr="00250732">
        <w:rPr>
          <w:rFonts w:ascii="Arial" w:hAnsi="Arial" w:cs="Arial"/>
          <w:sz w:val="20"/>
          <w:szCs w:val="20"/>
        </w:rPr>
        <w:t xml:space="preserve">, then </w:t>
      </w:r>
      <w:r w:rsidR="00C0580C" w:rsidRPr="006958FC">
        <w:rPr>
          <w:rFonts w:ascii="Arial" w:hAnsi="Arial" w:cs="Arial"/>
          <w:sz w:val="20"/>
          <w:szCs w:val="20"/>
        </w:rPr>
        <w:t>‘</w:t>
      </w:r>
      <w:r w:rsidRPr="006958FC">
        <w:rPr>
          <w:rFonts w:ascii="Arial" w:hAnsi="Arial" w:cs="Arial"/>
          <w:sz w:val="20"/>
          <w:szCs w:val="20"/>
        </w:rPr>
        <w:t>e</w:t>
      </w:r>
      <w:r w:rsidR="00932748" w:rsidRPr="00250732">
        <w:rPr>
          <w:rFonts w:ascii="Arial" w:hAnsi="Arial" w:cs="Arial"/>
          <w:sz w:val="20"/>
          <w:szCs w:val="20"/>
        </w:rPr>
        <w:t xml:space="preserve">vidence of gang affiliation </w:t>
      </w:r>
      <w:r w:rsidRPr="006958FC">
        <w:rPr>
          <w:rFonts w:ascii="Arial" w:hAnsi="Arial" w:cs="Arial"/>
          <w:sz w:val="20"/>
          <w:szCs w:val="20"/>
        </w:rPr>
        <w:t>i</w:t>
      </w:r>
      <w:r w:rsidR="00932748" w:rsidRPr="00250732">
        <w:rPr>
          <w:rFonts w:ascii="Arial" w:hAnsi="Arial" w:cs="Arial"/>
          <w:sz w:val="20"/>
          <w:szCs w:val="20"/>
        </w:rPr>
        <w:t>s relevant to the defendant</w:t>
      </w:r>
      <w:r w:rsidR="008E39AD">
        <w:rPr>
          <w:rFonts w:ascii="Arial" w:hAnsi="Arial" w:cs="Arial"/>
          <w:sz w:val="20"/>
          <w:szCs w:val="20"/>
        </w:rPr>
        <w:t>’</w:t>
      </w:r>
      <w:r w:rsidR="00932748" w:rsidRPr="00250732">
        <w:rPr>
          <w:rFonts w:ascii="Arial" w:hAnsi="Arial" w:cs="Arial"/>
          <w:sz w:val="20"/>
          <w:szCs w:val="20"/>
        </w:rPr>
        <w:t>s motive and state of mind.</w:t>
      </w:r>
      <w:r w:rsidR="00C0580C" w:rsidRPr="006958FC">
        <w:rPr>
          <w:rFonts w:ascii="Arial" w:hAnsi="Arial" w:cs="Arial"/>
          <w:sz w:val="20"/>
          <w:szCs w:val="20"/>
        </w:rPr>
        <w:t>’</w:t>
      </w:r>
      <w:r w:rsidR="00932748" w:rsidRPr="00250732">
        <w:rPr>
          <w:rFonts w:ascii="Arial" w:hAnsi="Arial" w:cs="Arial"/>
          <w:sz w:val="20"/>
          <w:szCs w:val="20"/>
        </w:rPr>
        <w:t>” </w:t>
      </w:r>
      <w:r w:rsidR="00C0580C" w:rsidRPr="006958FC">
        <w:rPr>
          <w:rFonts w:ascii="Arial" w:hAnsi="Arial" w:cs="Arial"/>
          <w:i/>
          <w:iCs/>
          <w:sz w:val="20"/>
          <w:szCs w:val="20"/>
        </w:rPr>
        <w:t>Commonwealth v. Fernandes</w:t>
      </w:r>
      <w:r w:rsidR="00C0580C" w:rsidRPr="006958FC">
        <w:rPr>
          <w:rFonts w:ascii="Arial" w:hAnsi="Arial" w:cs="Arial"/>
          <w:sz w:val="20"/>
          <w:szCs w:val="20"/>
        </w:rPr>
        <w:t xml:space="preserve">, 492 Mass. 469, 486 (2023), quoting </w:t>
      </w:r>
      <w:r w:rsidR="00932748" w:rsidRPr="00250732">
        <w:rPr>
          <w:rFonts w:ascii="Arial" w:hAnsi="Arial" w:cs="Arial"/>
          <w:i/>
          <w:iCs/>
          <w:sz w:val="20"/>
          <w:szCs w:val="20"/>
        </w:rPr>
        <w:t>Commonwealth</w:t>
      </w:r>
      <w:r w:rsidR="00932748" w:rsidRPr="00250732">
        <w:rPr>
          <w:rFonts w:ascii="Arial" w:hAnsi="Arial" w:cs="Arial"/>
          <w:sz w:val="20"/>
          <w:szCs w:val="20"/>
        </w:rPr>
        <w:t> v. </w:t>
      </w:r>
      <w:r w:rsidR="00932748" w:rsidRPr="00250732">
        <w:rPr>
          <w:rFonts w:ascii="Arial" w:hAnsi="Arial" w:cs="Arial"/>
          <w:i/>
          <w:iCs/>
          <w:sz w:val="20"/>
          <w:szCs w:val="20"/>
        </w:rPr>
        <w:t>Maldonado</w:t>
      </w:r>
      <w:r w:rsidR="00932748" w:rsidRPr="00250732">
        <w:rPr>
          <w:rFonts w:ascii="Arial" w:hAnsi="Arial" w:cs="Arial"/>
          <w:sz w:val="20"/>
          <w:szCs w:val="20"/>
        </w:rPr>
        <w:t>, 429 Mass. 502, 504</w:t>
      </w:r>
      <w:r w:rsidRPr="006958FC">
        <w:rPr>
          <w:rFonts w:ascii="Arial" w:hAnsi="Arial" w:cs="Arial"/>
          <w:sz w:val="20"/>
          <w:szCs w:val="20"/>
        </w:rPr>
        <w:t xml:space="preserve"> </w:t>
      </w:r>
      <w:r w:rsidR="00932748" w:rsidRPr="00250732">
        <w:rPr>
          <w:rFonts w:ascii="Arial" w:hAnsi="Arial" w:cs="Arial"/>
          <w:sz w:val="20"/>
          <w:szCs w:val="20"/>
        </w:rPr>
        <w:t>(1999). </w:t>
      </w:r>
      <w:r w:rsidR="007B4461" w:rsidRPr="006958FC">
        <w:rPr>
          <w:rFonts w:ascii="Arial" w:hAnsi="Arial" w:cs="Arial"/>
          <w:sz w:val="20"/>
          <w:szCs w:val="20"/>
        </w:rPr>
        <w:t>Gang affiliation may also be admitted “</w:t>
      </w:r>
      <w:r w:rsidR="00932748" w:rsidRPr="00250732">
        <w:rPr>
          <w:rFonts w:ascii="Arial" w:hAnsi="Arial" w:cs="Arial"/>
          <w:sz w:val="20"/>
          <w:szCs w:val="20"/>
        </w:rPr>
        <w:t>for the purpose of establishing joint venture in cases where the evidence showed that the offense involved retaliation or conflict between rival gang members … and that the defendants therefore shared a common motiv</w:t>
      </w:r>
      <w:r w:rsidR="007B4461" w:rsidRPr="006958FC">
        <w:rPr>
          <w:rFonts w:ascii="Arial" w:hAnsi="Arial" w:cs="Arial"/>
          <w:sz w:val="20"/>
          <w:szCs w:val="20"/>
        </w:rPr>
        <w:t xml:space="preserve">e.” </w:t>
      </w:r>
      <w:proofErr w:type="spellStart"/>
      <w:r w:rsidR="00154B6D" w:rsidRPr="007456F1">
        <w:rPr>
          <w:rFonts w:ascii="Arial" w:hAnsi="Arial" w:cs="Arial"/>
          <w:i/>
          <w:iCs/>
          <w:sz w:val="20"/>
          <w:szCs w:val="20"/>
        </w:rPr>
        <w:t>Akara</w:t>
      </w:r>
      <w:proofErr w:type="spellEnd"/>
      <w:r w:rsidR="00932748" w:rsidRPr="00250732">
        <w:rPr>
          <w:rFonts w:ascii="Arial" w:hAnsi="Arial" w:cs="Arial"/>
          <w:sz w:val="20"/>
          <w:szCs w:val="20"/>
        </w:rPr>
        <w:t>.</w:t>
      </w:r>
      <w:r w:rsidR="00154B6D" w:rsidRPr="006958FC">
        <w:rPr>
          <w:rFonts w:ascii="Arial" w:hAnsi="Arial" w:cs="Arial"/>
          <w:sz w:val="20"/>
          <w:szCs w:val="20"/>
        </w:rPr>
        <w:t xml:space="preserve"> 465 Mass. at 268</w:t>
      </w:r>
      <w:r w:rsidR="006958FC" w:rsidRPr="006958FC">
        <w:rPr>
          <w:rFonts w:ascii="Arial" w:hAnsi="Arial" w:cs="Arial"/>
          <w:sz w:val="20"/>
          <w:szCs w:val="20"/>
        </w:rPr>
        <w:t xml:space="preserve"> (evidence</w:t>
      </w:r>
      <w:r w:rsidR="00136E31" w:rsidRPr="006958FC">
        <w:rPr>
          <w:rFonts w:ascii="Arial" w:hAnsi="Arial" w:cs="Arial"/>
          <w:sz w:val="20"/>
          <w:szCs w:val="20"/>
        </w:rPr>
        <w:t xml:space="preserve"> limited to common identifying symbols in graffiti and clothing </w:t>
      </w:r>
      <w:r w:rsidR="006958FC" w:rsidRPr="006958FC">
        <w:rPr>
          <w:rFonts w:ascii="Arial" w:hAnsi="Arial" w:cs="Arial"/>
          <w:sz w:val="20"/>
          <w:szCs w:val="20"/>
        </w:rPr>
        <w:t xml:space="preserve">was </w:t>
      </w:r>
      <w:r w:rsidR="00136E31" w:rsidRPr="006958FC">
        <w:rPr>
          <w:rFonts w:ascii="Arial" w:hAnsi="Arial" w:cs="Arial"/>
          <w:sz w:val="20"/>
          <w:szCs w:val="20"/>
        </w:rPr>
        <w:t xml:space="preserve">properly </w:t>
      </w:r>
      <w:r w:rsidR="006958FC" w:rsidRPr="006958FC">
        <w:rPr>
          <w:rFonts w:ascii="Arial" w:hAnsi="Arial" w:cs="Arial"/>
          <w:sz w:val="20"/>
          <w:szCs w:val="20"/>
        </w:rPr>
        <w:t xml:space="preserve">admitted where it </w:t>
      </w:r>
      <w:r w:rsidR="00136E31" w:rsidRPr="006958FC">
        <w:rPr>
          <w:rFonts w:ascii="Arial" w:hAnsi="Arial" w:cs="Arial"/>
          <w:sz w:val="20"/>
          <w:szCs w:val="20"/>
        </w:rPr>
        <w:t>went to the issue of the defendants</w:t>
      </w:r>
      <w:r w:rsidR="008E39AD">
        <w:rPr>
          <w:rFonts w:ascii="Arial" w:hAnsi="Arial" w:cs="Arial"/>
          <w:sz w:val="20"/>
          <w:szCs w:val="20"/>
        </w:rPr>
        <w:t>’</w:t>
      </w:r>
      <w:r w:rsidR="00136E31" w:rsidRPr="006958FC">
        <w:rPr>
          <w:rFonts w:ascii="Arial" w:hAnsi="Arial" w:cs="Arial"/>
          <w:sz w:val="20"/>
          <w:szCs w:val="20"/>
        </w:rPr>
        <w:t xml:space="preserve"> relationship to one another in joint venture case</w:t>
      </w:r>
      <w:r w:rsidR="006958FC" w:rsidRPr="006958FC">
        <w:rPr>
          <w:rFonts w:ascii="Arial" w:hAnsi="Arial" w:cs="Arial"/>
          <w:sz w:val="20"/>
          <w:szCs w:val="20"/>
        </w:rPr>
        <w:t>)</w:t>
      </w:r>
      <w:r w:rsidR="00136E31" w:rsidRPr="006958FC">
        <w:rPr>
          <w:rFonts w:ascii="Arial" w:hAnsi="Arial" w:cs="Arial"/>
          <w:sz w:val="20"/>
          <w:szCs w:val="20"/>
        </w:rPr>
        <w:t>.</w:t>
      </w:r>
    </w:p>
    <w:p w14:paraId="0272358D" w14:textId="77777777" w:rsidR="006958FC" w:rsidRPr="006958FC" w:rsidRDefault="006958FC" w:rsidP="006958FC">
      <w:pPr>
        <w:pStyle w:val="NormalWeb"/>
        <w:shd w:val="clear" w:color="auto" w:fill="FFFFFF"/>
        <w:spacing w:before="0" w:beforeAutospacing="0" w:after="0" w:afterAutospacing="0"/>
        <w:ind w:left="720"/>
        <w:textAlignment w:val="baseline"/>
        <w:rPr>
          <w:rFonts w:ascii="Arial" w:hAnsi="Arial" w:cs="Arial"/>
          <w:sz w:val="20"/>
          <w:szCs w:val="20"/>
        </w:rPr>
      </w:pPr>
    </w:p>
    <w:p w14:paraId="0DD50D72" w14:textId="173E72A2" w:rsidR="00932748" w:rsidRDefault="00742185" w:rsidP="003704C5">
      <w:pPr>
        <w:spacing w:line="240" w:lineRule="auto"/>
        <w:ind w:firstLine="720"/>
        <w:rPr>
          <w:rFonts w:ascii="Arial" w:hAnsi="Arial" w:cs="Arial"/>
          <w:sz w:val="20"/>
          <w:szCs w:val="20"/>
        </w:rPr>
      </w:pPr>
      <w:r>
        <w:rPr>
          <w:rFonts w:ascii="Arial" w:hAnsi="Arial" w:cs="Arial"/>
          <w:sz w:val="20"/>
          <w:szCs w:val="20"/>
        </w:rPr>
        <w:t xml:space="preserve">The </w:t>
      </w:r>
      <w:r w:rsidR="00E709D5">
        <w:rPr>
          <w:rFonts w:ascii="Arial" w:hAnsi="Arial" w:cs="Arial"/>
          <w:sz w:val="20"/>
          <w:szCs w:val="20"/>
        </w:rPr>
        <w:t>Supreme Judicial Court has</w:t>
      </w:r>
      <w:r>
        <w:rPr>
          <w:rFonts w:ascii="Arial" w:hAnsi="Arial" w:cs="Arial"/>
          <w:sz w:val="20"/>
          <w:szCs w:val="20"/>
        </w:rPr>
        <w:t xml:space="preserve"> “</w:t>
      </w:r>
      <w:r w:rsidR="00932748" w:rsidRPr="00932748">
        <w:rPr>
          <w:rFonts w:ascii="Arial" w:hAnsi="Arial" w:cs="Arial"/>
          <w:sz w:val="20"/>
          <w:szCs w:val="20"/>
        </w:rPr>
        <w:t xml:space="preserve">urged caution in admitting gang-related evidence because of the risk of suggesting that the defendant may have a propensity for criminality </w:t>
      </w:r>
      <w:r w:rsidR="007456F1">
        <w:rPr>
          <w:rFonts w:ascii="Arial" w:hAnsi="Arial" w:cs="Arial"/>
          <w:sz w:val="20"/>
          <w:szCs w:val="20"/>
        </w:rPr>
        <w:t>or violence</w:t>
      </w:r>
      <w:r w:rsidR="00932748" w:rsidRPr="00932748">
        <w:rPr>
          <w:rFonts w:ascii="Arial" w:hAnsi="Arial" w:cs="Arial"/>
          <w:sz w:val="20"/>
          <w:szCs w:val="20"/>
        </w:rPr>
        <w:t>.” </w:t>
      </w:r>
      <w:proofErr w:type="spellStart"/>
      <w:r w:rsidR="00210D27">
        <w:rPr>
          <w:rFonts w:ascii="Arial" w:hAnsi="Arial" w:cs="Arial"/>
          <w:i/>
          <w:iCs/>
          <w:sz w:val="20"/>
          <w:szCs w:val="20"/>
        </w:rPr>
        <w:t>Commonwelth</w:t>
      </w:r>
      <w:proofErr w:type="spellEnd"/>
      <w:r w:rsidR="00210D27">
        <w:rPr>
          <w:rFonts w:ascii="Arial" w:hAnsi="Arial" w:cs="Arial"/>
          <w:i/>
          <w:iCs/>
          <w:sz w:val="20"/>
          <w:szCs w:val="20"/>
        </w:rPr>
        <w:t xml:space="preserve"> v. Lopes,</w:t>
      </w:r>
      <w:r w:rsidR="00932748" w:rsidRPr="00932748">
        <w:rPr>
          <w:rFonts w:ascii="Arial" w:hAnsi="Arial" w:cs="Arial"/>
          <w:sz w:val="20"/>
          <w:szCs w:val="20"/>
        </w:rPr>
        <w:t xml:space="preserve"> 478 Mass. 593, 604</w:t>
      </w:r>
      <w:r>
        <w:rPr>
          <w:rFonts w:ascii="Arial" w:hAnsi="Arial" w:cs="Arial"/>
          <w:sz w:val="20"/>
          <w:szCs w:val="20"/>
        </w:rPr>
        <w:t xml:space="preserve"> </w:t>
      </w:r>
      <w:r w:rsidR="00932748" w:rsidRPr="00932748">
        <w:rPr>
          <w:rFonts w:ascii="Arial" w:hAnsi="Arial" w:cs="Arial"/>
          <w:sz w:val="20"/>
          <w:szCs w:val="20"/>
        </w:rPr>
        <w:t>(2018). </w:t>
      </w:r>
      <w:r w:rsidR="00741198">
        <w:rPr>
          <w:rFonts w:ascii="Arial" w:hAnsi="Arial" w:cs="Arial"/>
          <w:sz w:val="20"/>
          <w:szCs w:val="20"/>
        </w:rPr>
        <w:t>“[C]</w:t>
      </w:r>
      <w:proofErr w:type="spellStart"/>
      <w:r w:rsidR="00741198">
        <w:rPr>
          <w:rFonts w:ascii="Arial" w:hAnsi="Arial" w:cs="Arial"/>
          <w:sz w:val="20"/>
          <w:szCs w:val="20"/>
        </w:rPr>
        <w:t>ommunity</w:t>
      </w:r>
      <w:proofErr w:type="spellEnd"/>
      <w:r w:rsidR="00741198">
        <w:rPr>
          <w:rFonts w:ascii="Arial" w:hAnsi="Arial" w:cs="Arial"/>
          <w:sz w:val="20"/>
          <w:szCs w:val="20"/>
        </w:rPr>
        <w:t xml:space="preserve"> attitudes towards gang violence are </w:t>
      </w:r>
      <w:r w:rsidR="00932748" w:rsidRPr="00932748">
        <w:rPr>
          <w:rFonts w:ascii="Arial" w:hAnsi="Arial" w:cs="Arial"/>
          <w:sz w:val="20"/>
          <w:szCs w:val="20"/>
        </w:rPr>
        <w:t>likely to color</w:t>
      </w:r>
      <w:r w:rsidR="002F0EF9">
        <w:rPr>
          <w:rFonts w:ascii="Arial" w:hAnsi="Arial" w:cs="Arial"/>
          <w:sz w:val="20"/>
          <w:szCs w:val="20"/>
        </w:rPr>
        <w:t xml:space="preserve"> such</w:t>
      </w:r>
      <w:r w:rsidR="00932748" w:rsidRPr="00932748">
        <w:rPr>
          <w:rFonts w:ascii="Arial" w:hAnsi="Arial" w:cs="Arial"/>
          <w:sz w:val="20"/>
          <w:szCs w:val="20"/>
        </w:rPr>
        <w:t xml:space="preserve"> evidence</w:t>
      </w:r>
      <w:r w:rsidR="002F0EF9">
        <w:rPr>
          <w:rFonts w:ascii="Arial" w:hAnsi="Arial" w:cs="Arial"/>
          <w:sz w:val="20"/>
          <w:szCs w:val="20"/>
        </w:rPr>
        <w:t>.</w:t>
      </w:r>
      <w:r w:rsidR="00932748" w:rsidRPr="00932748">
        <w:rPr>
          <w:rFonts w:ascii="Arial" w:hAnsi="Arial" w:cs="Arial"/>
          <w:sz w:val="20"/>
          <w:szCs w:val="20"/>
        </w:rPr>
        <w:t>” </w:t>
      </w:r>
      <w:proofErr w:type="spellStart"/>
      <w:r w:rsidR="00932748" w:rsidRPr="00932748">
        <w:rPr>
          <w:rFonts w:ascii="Arial" w:hAnsi="Arial" w:cs="Arial"/>
          <w:i/>
          <w:iCs/>
          <w:sz w:val="20"/>
          <w:szCs w:val="20"/>
        </w:rPr>
        <w:t>Akara</w:t>
      </w:r>
      <w:proofErr w:type="spellEnd"/>
      <w:r w:rsidR="00932748" w:rsidRPr="00932748">
        <w:rPr>
          <w:rFonts w:ascii="Arial" w:hAnsi="Arial" w:cs="Arial"/>
          <w:sz w:val="20"/>
          <w:szCs w:val="20"/>
        </w:rPr>
        <w:t>,</w:t>
      </w:r>
      <w:r w:rsidR="00D84459">
        <w:rPr>
          <w:rFonts w:ascii="Arial" w:hAnsi="Arial" w:cs="Arial"/>
          <w:sz w:val="20"/>
          <w:szCs w:val="20"/>
        </w:rPr>
        <w:t xml:space="preserve"> </w:t>
      </w:r>
      <w:r w:rsidR="00D84459" w:rsidRPr="00D84459">
        <w:rPr>
          <w:rFonts w:ascii="Arial" w:hAnsi="Arial" w:cs="Arial"/>
          <w:sz w:val="20"/>
          <w:szCs w:val="20"/>
        </w:rPr>
        <w:t xml:space="preserve">465 Mass. </w:t>
      </w:r>
      <w:r w:rsidR="00932748" w:rsidRPr="00932748">
        <w:rPr>
          <w:rFonts w:ascii="Arial" w:hAnsi="Arial" w:cs="Arial"/>
          <w:sz w:val="20"/>
          <w:szCs w:val="20"/>
        </w:rPr>
        <w:t>at 267-268. </w:t>
      </w:r>
      <w:r w:rsidR="00D84459">
        <w:rPr>
          <w:rFonts w:ascii="Arial" w:hAnsi="Arial" w:cs="Arial"/>
          <w:sz w:val="20"/>
          <w:szCs w:val="20"/>
        </w:rPr>
        <w:t xml:space="preserve"> </w:t>
      </w:r>
      <w:r w:rsidR="00932748" w:rsidRPr="00932748">
        <w:rPr>
          <w:rFonts w:ascii="Arial" w:hAnsi="Arial" w:cs="Arial"/>
          <w:sz w:val="20"/>
          <w:szCs w:val="20"/>
        </w:rPr>
        <w:t xml:space="preserve">Thus, </w:t>
      </w:r>
      <w:r w:rsidR="004B12A0">
        <w:rPr>
          <w:rFonts w:ascii="Arial" w:hAnsi="Arial" w:cs="Arial"/>
          <w:sz w:val="20"/>
          <w:szCs w:val="20"/>
        </w:rPr>
        <w:t>it is imperative for the court to weigh the probative value of the evidence against its</w:t>
      </w:r>
      <w:r w:rsidR="00002EA5">
        <w:rPr>
          <w:rFonts w:ascii="Arial" w:hAnsi="Arial" w:cs="Arial"/>
          <w:sz w:val="20"/>
          <w:szCs w:val="20"/>
        </w:rPr>
        <w:t xml:space="preserve"> potentially prejudicial effect</w:t>
      </w:r>
      <w:r w:rsidR="006958FC">
        <w:rPr>
          <w:rFonts w:ascii="Arial" w:hAnsi="Arial" w:cs="Arial"/>
          <w:sz w:val="20"/>
          <w:szCs w:val="20"/>
        </w:rPr>
        <w:t xml:space="preserve"> in exercising its discretion to admit evidence of gang affiliation</w:t>
      </w:r>
      <w:r w:rsidR="00002EA5">
        <w:rPr>
          <w:rFonts w:ascii="Arial" w:hAnsi="Arial" w:cs="Arial"/>
          <w:sz w:val="20"/>
          <w:szCs w:val="20"/>
        </w:rPr>
        <w:t>.</w:t>
      </w:r>
      <w:r w:rsidR="00932748" w:rsidRPr="00932748">
        <w:rPr>
          <w:rFonts w:ascii="Arial" w:hAnsi="Arial" w:cs="Arial"/>
          <w:sz w:val="20"/>
          <w:szCs w:val="20"/>
        </w:rPr>
        <w:t xml:space="preserve"> See </w:t>
      </w:r>
      <w:r w:rsidR="003704C5" w:rsidRPr="003704C5">
        <w:rPr>
          <w:rFonts w:ascii="Arial" w:hAnsi="Arial" w:cs="Arial"/>
          <w:i/>
          <w:iCs/>
          <w:sz w:val="20"/>
          <w:szCs w:val="20"/>
        </w:rPr>
        <w:t>Commonwealth v. Carter</w:t>
      </w:r>
      <w:r w:rsidR="003704C5" w:rsidRPr="003704C5">
        <w:rPr>
          <w:rFonts w:ascii="Arial" w:hAnsi="Arial" w:cs="Arial"/>
          <w:sz w:val="20"/>
          <w:szCs w:val="20"/>
        </w:rPr>
        <w:t>, 488 Mass. 191, 206-207</w:t>
      </w:r>
      <w:r w:rsidR="00AF3993">
        <w:rPr>
          <w:rFonts w:ascii="Arial" w:hAnsi="Arial" w:cs="Arial"/>
          <w:sz w:val="20"/>
          <w:szCs w:val="20"/>
        </w:rPr>
        <w:t xml:space="preserve"> (2021)</w:t>
      </w:r>
      <w:r w:rsidR="003704C5">
        <w:rPr>
          <w:rFonts w:ascii="Arial" w:hAnsi="Arial" w:cs="Arial"/>
          <w:sz w:val="20"/>
          <w:szCs w:val="20"/>
        </w:rPr>
        <w:t xml:space="preserve">; </w:t>
      </w:r>
      <w:r w:rsidR="00932748" w:rsidRPr="00932748">
        <w:rPr>
          <w:rFonts w:ascii="Arial" w:hAnsi="Arial" w:cs="Arial"/>
          <w:i/>
          <w:iCs/>
          <w:sz w:val="20"/>
          <w:szCs w:val="20"/>
        </w:rPr>
        <w:t>Commonwealth</w:t>
      </w:r>
      <w:r w:rsidR="00932748" w:rsidRPr="00932748">
        <w:rPr>
          <w:rFonts w:ascii="Arial" w:hAnsi="Arial" w:cs="Arial"/>
          <w:sz w:val="20"/>
          <w:szCs w:val="20"/>
        </w:rPr>
        <w:t> v. </w:t>
      </w:r>
      <w:r w:rsidR="00932748" w:rsidRPr="00932748">
        <w:rPr>
          <w:rFonts w:ascii="Arial" w:hAnsi="Arial" w:cs="Arial"/>
          <w:i/>
          <w:iCs/>
          <w:sz w:val="20"/>
          <w:szCs w:val="20"/>
        </w:rPr>
        <w:t>Gray</w:t>
      </w:r>
      <w:r w:rsidR="00932748" w:rsidRPr="00932748">
        <w:rPr>
          <w:rFonts w:ascii="Arial" w:hAnsi="Arial" w:cs="Arial"/>
          <w:sz w:val="20"/>
          <w:szCs w:val="20"/>
        </w:rPr>
        <w:t>, 463 Mass. 731, 753</w:t>
      </w:r>
      <w:r w:rsidR="004458FA">
        <w:rPr>
          <w:rFonts w:ascii="Arial" w:hAnsi="Arial" w:cs="Arial"/>
          <w:sz w:val="20"/>
          <w:szCs w:val="20"/>
        </w:rPr>
        <w:t xml:space="preserve"> </w:t>
      </w:r>
      <w:r w:rsidR="00932748" w:rsidRPr="00932748">
        <w:rPr>
          <w:rFonts w:ascii="Arial" w:hAnsi="Arial" w:cs="Arial"/>
          <w:sz w:val="20"/>
          <w:szCs w:val="20"/>
        </w:rPr>
        <w:t>(2012); Mass. G. Evid. § 404(b) (2021).</w:t>
      </w:r>
      <w:r w:rsidR="005937B6">
        <w:rPr>
          <w:rFonts w:ascii="Arial" w:hAnsi="Arial" w:cs="Arial"/>
          <w:sz w:val="20"/>
          <w:szCs w:val="20"/>
        </w:rPr>
        <w:t xml:space="preserve">  </w:t>
      </w:r>
    </w:p>
    <w:p w14:paraId="1392AFAB" w14:textId="2A5CE533" w:rsidR="00EA388E" w:rsidRPr="00932748" w:rsidRDefault="005937B6" w:rsidP="00EA388E">
      <w:pPr>
        <w:spacing w:line="240" w:lineRule="auto"/>
        <w:ind w:firstLine="720"/>
        <w:rPr>
          <w:rFonts w:ascii="Arial" w:hAnsi="Arial" w:cs="Arial"/>
          <w:sz w:val="20"/>
          <w:szCs w:val="20"/>
        </w:rPr>
      </w:pPr>
      <w:r>
        <w:rPr>
          <w:rFonts w:ascii="Arial" w:hAnsi="Arial" w:cs="Arial"/>
          <w:sz w:val="20"/>
          <w:szCs w:val="20"/>
        </w:rPr>
        <w:t xml:space="preserve">In order to limit the potential prejudice of gang affiliation, </w:t>
      </w:r>
      <w:r w:rsidR="00EA388E">
        <w:rPr>
          <w:rFonts w:ascii="Arial" w:hAnsi="Arial" w:cs="Arial"/>
          <w:sz w:val="20"/>
          <w:szCs w:val="20"/>
        </w:rPr>
        <w:t>“</w:t>
      </w:r>
      <w:r w:rsidR="00EA388E" w:rsidRPr="00932748">
        <w:rPr>
          <w:rFonts w:ascii="Arial" w:hAnsi="Arial" w:cs="Arial"/>
          <w:sz w:val="20"/>
          <w:szCs w:val="20"/>
        </w:rPr>
        <w:t xml:space="preserve">the judge has a responsibility to minimize the potential prejudicial nature of the evidence through devices such as </w:t>
      </w:r>
      <w:proofErr w:type="spellStart"/>
      <w:r w:rsidR="00EA388E" w:rsidRPr="00932748">
        <w:rPr>
          <w:rFonts w:ascii="Arial" w:hAnsi="Arial" w:cs="Arial"/>
          <w:sz w:val="20"/>
          <w:szCs w:val="20"/>
        </w:rPr>
        <w:t>voir</w:t>
      </w:r>
      <w:proofErr w:type="spellEnd"/>
      <w:r w:rsidR="00EA388E" w:rsidRPr="00932748">
        <w:rPr>
          <w:rFonts w:ascii="Arial" w:hAnsi="Arial" w:cs="Arial"/>
          <w:sz w:val="20"/>
          <w:szCs w:val="20"/>
        </w:rPr>
        <w:t xml:space="preserve"> dire of prospective jurors and limiting instructions.</w:t>
      </w:r>
      <w:r w:rsidR="00EA388E">
        <w:rPr>
          <w:rFonts w:ascii="Arial" w:hAnsi="Arial" w:cs="Arial"/>
          <w:sz w:val="20"/>
          <w:szCs w:val="20"/>
        </w:rPr>
        <w:t xml:space="preserve">”  </w:t>
      </w:r>
      <w:r w:rsidR="00EA388E" w:rsidRPr="00EA388E">
        <w:rPr>
          <w:rFonts w:ascii="Arial" w:hAnsi="Arial" w:cs="Arial"/>
          <w:i/>
          <w:iCs/>
          <w:sz w:val="20"/>
          <w:szCs w:val="20"/>
        </w:rPr>
        <w:t xml:space="preserve">Commonwealth v. </w:t>
      </w:r>
      <w:proofErr w:type="spellStart"/>
      <w:r w:rsidR="00EA388E" w:rsidRPr="00EA388E">
        <w:rPr>
          <w:rFonts w:ascii="Arial" w:hAnsi="Arial" w:cs="Arial"/>
          <w:i/>
          <w:iCs/>
          <w:sz w:val="20"/>
          <w:szCs w:val="20"/>
        </w:rPr>
        <w:t>Leng</w:t>
      </w:r>
      <w:proofErr w:type="spellEnd"/>
      <w:r w:rsidR="00EA388E" w:rsidRPr="00EA388E">
        <w:rPr>
          <w:rFonts w:ascii="Arial" w:hAnsi="Arial" w:cs="Arial"/>
          <w:sz w:val="20"/>
          <w:szCs w:val="20"/>
        </w:rPr>
        <w:t>, 463 Mass. 779, 783</w:t>
      </w:r>
      <w:r w:rsidR="00EA388E" w:rsidRPr="00932748">
        <w:rPr>
          <w:rFonts w:ascii="Arial" w:hAnsi="Arial" w:cs="Arial"/>
          <w:sz w:val="20"/>
          <w:szCs w:val="20"/>
        </w:rPr>
        <w:t xml:space="preserve"> (2012)</w:t>
      </w:r>
      <w:r w:rsidR="00EA388E">
        <w:rPr>
          <w:rFonts w:ascii="Arial" w:hAnsi="Arial" w:cs="Arial"/>
          <w:sz w:val="20"/>
          <w:szCs w:val="20"/>
        </w:rPr>
        <w:t xml:space="preserve">.  </w:t>
      </w:r>
    </w:p>
    <w:p w14:paraId="689B96B9" w14:textId="588DF80C" w:rsidR="00932748" w:rsidRPr="00A11DA8" w:rsidRDefault="00F250EA" w:rsidP="00D56FB5">
      <w:pPr>
        <w:pStyle w:val="NormalWeb"/>
        <w:numPr>
          <w:ilvl w:val="0"/>
          <w:numId w:val="1"/>
        </w:numPr>
        <w:shd w:val="clear" w:color="auto" w:fill="FFFFFF"/>
        <w:spacing w:before="0" w:beforeAutospacing="0" w:after="0" w:afterAutospacing="0"/>
        <w:ind w:left="0" w:firstLine="720"/>
        <w:textAlignment w:val="baseline"/>
        <w:rPr>
          <w:rFonts w:ascii="Arial" w:hAnsi="Arial" w:cs="Arial"/>
          <w:sz w:val="20"/>
          <w:szCs w:val="20"/>
        </w:rPr>
      </w:pPr>
      <w:r w:rsidRPr="00A11DA8">
        <w:rPr>
          <w:rFonts w:ascii="Arial" w:hAnsi="Arial" w:cs="Arial"/>
          <w:b/>
          <w:bCs/>
          <w:color w:val="000000"/>
          <w:sz w:val="20"/>
          <w:szCs w:val="20"/>
        </w:rPr>
        <w:t>Jury empanelment</w:t>
      </w:r>
      <w:r w:rsidRPr="00A11DA8">
        <w:rPr>
          <w:rFonts w:ascii="Arial" w:hAnsi="Arial" w:cs="Arial"/>
          <w:color w:val="000000"/>
          <w:sz w:val="20"/>
          <w:szCs w:val="20"/>
        </w:rPr>
        <w:t>.  In a case where evidence</w:t>
      </w:r>
      <w:r w:rsidR="004A299C" w:rsidRPr="00A11DA8">
        <w:rPr>
          <w:rFonts w:ascii="Arial" w:hAnsi="Arial" w:cs="Arial"/>
          <w:color w:val="000000"/>
          <w:sz w:val="20"/>
          <w:szCs w:val="20"/>
        </w:rPr>
        <w:t xml:space="preserve"> may be admitted</w:t>
      </w:r>
      <w:r w:rsidRPr="00A11DA8">
        <w:rPr>
          <w:rFonts w:ascii="Arial" w:hAnsi="Arial" w:cs="Arial"/>
          <w:color w:val="000000"/>
          <w:sz w:val="20"/>
          <w:szCs w:val="20"/>
        </w:rPr>
        <w:t xml:space="preserve"> </w:t>
      </w:r>
      <w:r w:rsidR="004A299C" w:rsidRPr="00A11DA8">
        <w:rPr>
          <w:rFonts w:ascii="Arial" w:hAnsi="Arial" w:cs="Arial"/>
          <w:color w:val="000000"/>
          <w:sz w:val="20"/>
          <w:szCs w:val="20"/>
        </w:rPr>
        <w:t>that one or more defendants or witnesses were involved or affiliated with a gang</w:t>
      </w:r>
      <w:r w:rsidRPr="00A11DA8">
        <w:rPr>
          <w:rFonts w:ascii="Arial" w:hAnsi="Arial" w:cs="Arial"/>
          <w:color w:val="000000"/>
          <w:sz w:val="20"/>
          <w:szCs w:val="20"/>
        </w:rPr>
        <w:t xml:space="preserve">, it is proper for the court to </w:t>
      </w:r>
      <w:r w:rsidR="00932748" w:rsidRPr="00A11DA8">
        <w:rPr>
          <w:rFonts w:ascii="Arial" w:hAnsi="Arial" w:cs="Arial"/>
          <w:color w:val="000000"/>
          <w:sz w:val="20"/>
          <w:szCs w:val="20"/>
        </w:rPr>
        <w:t>questio</w:t>
      </w:r>
      <w:r w:rsidR="00440B8C" w:rsidRPr="00A11DA8">
        <w:rPr>
          <w:rFonts w:ascii="Arial" w:hAnsi="Arial" w:cs="Arial"/>
          <w:color w:val="000000"/>
          <w:sz w:val="20"/>
          <w:szCs w:val="20"/>
        </w:rPr>
        <w:t xml:space="preserve">n </w:t>
      </w:r>
      <w:r w:rsidR="00932748" w:rsidRPr="00A11DA8">
        <w:rPr>
          <w:rFonts w:ascii="Arial" w:hAnsi="Arial" w:cs="Arial"/>
          <w:color w:val="000000"/>
          <w:sz w:val="20"/>
          <w:szCs w:val="20"/>
        </w:rPr>
        <w:t xml:space="preserve">potential jurors individually </w:t>
      </w:r>
      <w:r w:rsidR="00440B8C" w:rsidRPr="00A11DA8">
        <w:rPr>
          <w:rFonts w:ascii="Arial" w:hAnsi="Arial" w:cs="Arial"/>
          <w:color w:val="000000"/>
          <w:sz w:val="20"/>
          <w:szCs w:val="20"/>
        </w:rPr>
        <w:t>about their ability to remain fair and impartial</w:t>
      </w:r>
      <w:r w:rsidR="004A299C" w:rsidRPr="00A11DA8">
        <w:rPr>
          <w:rFonts w:ascii="Arial" w:hAnsi="Arial" w:cs="Arial"/>
          <w:color w:val="000000"/>
          <w:sz w:val="20"/>
          <w:szCs w:val="20"/>
        </w:rPr>
        <w:t xml:space="preserve">.  See </w:t>
      </w:r>
      <w:r w:rsidR="004A299C" w:rsidRPr="00A11DA8">
        <w:rPr>
          <w:rFonts w:ascii="Arial" w:hAnsi="Arial" w:cs="Arial"/>
          <w:i/>
          <w:iCs/>
          <w:color w:val="000000"/>
          <w:sz w:val="20"/>
          <w:szCs w:val="20"/>
        </w:rPr>
        <w:t xml:space="preserve">Commonwealth v. </w:t>
      </w:r>
      <w:r w:rsidR="004A299C" w:rsidRPr="00A11DA8">
        <w:rPr>
          <w:rFonts w:ascii="Arial" w:hAnsi="Arial" w:cs="Arial"/>
          <w:i/>
          <w:iCs/>
          <w:color w:val="000000"/>
          <w:sz w:val="20"/>
          <w:szCs w:val="20"/>
        </w:rPr>
        <w:lastRenderedPageBreak/>
        <w:t>Swafford</w:t>
      </w:r>
      <w:r w:rsidR="004A299C" w:rsidRPr="00A11DA8">
        <w:rPr>
          <w:rFonts w:ascii="Arial" w:hAnsi="Arial" w:cs="Arial"/>
          <w:color w:val="000000"/>
          <w:sz w:val="20"/>
          <w:szCs w:val="20"/>
        </w:rPr>
        <w:t>, 441 Mass. 329, 333 (2004)</w:t>
      </w:r>
      <w:r w:rsidR="008E39AD" w:rsidRPr="00A11DA8">
        <w:rPr>
          <w:rFonts w:ascii="Arial" w:hAnsi="Arial" w:cs="Arial"/>
          <w:color w:val="000000"/>
          <w:sz w:val="20"/>
          <w:szCs w:val="20"/>
        </w:rPr>
        <w:t xml:space="preserve"> (judge asked potential jurors whether evidence </w:t>
      </w:r>
      <w:r w:rsidR="00866A8B">
        <w:rPr>
          <w:rFonts w:ascii="Arial" w:hAnsi="Arial" w:cs="Arial"/>
          <w:color w:val="000000"/>
          <w:sz w:val="20"/>
          <w:szCs w:val="20"/>
        </w:rPr>
        <w:t>“</w:t>
      </w:r>
      <w:r w:rsidR="008E39AD" w:rsidRPr="00A11DA8">
        <w:rPr>
          <w:rFonts w:ascii="Arial" w:hAnsi="Arial" w:cs="Arial"/>
          <w:color w:val="000000"/>
          <w:sz w:val="20"/>
          <w:szCs w:val="20"/>
        </w:rPr>
        <w:t>that the defendants may have been associated with an alleged gang at the time of the crimes alleged</w:t>
      </w:r>
      <w:r w:rsidR="00866A8B">
        <w:rPr>
          <w:rFonts w:ascii="Arial" w:hAnsi="Arial" w:cs="Arial"/>
          <w:color w:val="000000"/>
          <w:sz w:val="20"/>
          <w:szCs w:val="20"/>
        </w:rPr>
        <w:t>”</w:t>
      </w:r>
      <w:r w:rsidR="008E39AD" w:rsidRPr="00A11DA8">
        <w:rPr>
          <w:rFonts w:ascii="Arial" w:hAnsi="Arial" w:cs="Arial"/>
          <w:color w:val="000000"/>
          <w:sz w:val="20"/>
          <w:szCs w:val="20"/>
        </w:rPr>
        <w:t xml:space="preserve"> would </w:t>
      </w:r>
      <w:r w:rsidR="00866A8B">
        <w:rPr>
          <w:rFonts w:ascii="Arial" w:hAnsi="Arial" w:cs="Arial"/>
          <w:color w:val="000000"/>
          <w:sz w:val="20"/>
          <w:szCs w:val="20"/>
        </w:rPr>
        <w:t>“</w:t>
      </w:r>
      <w:r w:rsidR="008E39AD" w:rsidRPr="00A11DA8">
        <w:rPr>
          <w:rFonts w:ascii="Arial" w:hAnsi="Arial" w:cs="Arial"/>
          <w:color w:val="000000"/>
          <w:sz w:val="20"/>
          <w:szCs w:val="20"/>
        </w:rPr>
        <w:t>affect their ability to be fair and impartial</w:t>
      </w:r>
      <w:r w:rsidR="00866A8B">
        <w:rPr>
          <w:rFonts w:ascii="Arial" w:hAnsi="Arial" w:cs="Arial"/>
          <w:color w:val="000000"/>
          <w:sz w:val="20"/>
          <w:szCs w:val="20"/>
        </w:rPr>
        <w:t>”</w:t>
      </w:r>
      <w:r w:rsidR="008E39AD" w:rsidRPr="00A11DA8">
        <w:rPr>
          <w:rFonts w:ascii="Arial" w:hAnsi="Arial" w:cs="Arial"/>
          <w:color w:val="000000"/>
          <w:sz w:val="20"/>
          <w:szCs w:val="20"/>
        </w:rPr>
        <w:t>)</w:t>
      </w:r>
      <w:r w:rsidR="001407A0" w:rsidRPr="00A11DA8">
        <w:rPr>
          <w:rFonts w:ascii="Arial" w:hAnsi="Arial" w:cs="Arial"/>
          <w:color w:val="000000"/>
          <w:sz w:val="20"/>
          <w:szCs w:val="20"/>
        </w:rPr>
        <w:t xml:space="preserve">; </w:t>
      </w:r>
      <w:r w:rsidR="001407A0" w:rsidRPr="00A11DA8">
        <w:rPr>
          <w:rFonts w:ascii="Arial" w:hAnsi="Arial" w:cs="Arial"/>
          <w:i/>
          <w:iCs/>
          <w:color w:val="000000"/>
          <w:sz w:val="20"/>
          <w:szCs w:val="20"/>
        </w:rPr>
        <w:t>Commonwealth v. Correa</w:t>
      </w:r>
      <w:r w:rsidR="001407A0" w:rsidRPr="00A11DA8">
        <w:rPr>
          <w:rFonts w:ascii="Arial" w:hAnsi="Arial" w:cs="Arial"/>
          <w:color w:val="000000"/>
          <w:sz w:val="20"/>
          <w:szCs w:val="20"/>
        </w:rPr>
        <w:t xml:space="preserve">, </w:t>
      </w:r>
      <w:r w:rsidR="003C2040" w:rsidRPr="00A11DA8">
        <w:rPr>
          <w:rFonts w:ascii="Arial" w:hAnsi="Arial" w:cs="Arial"/>
          <w:color w:val="000000"/>
          <w:sz w:val="20"/>
          <w:szCs w:val="20"/>
        </w:rPr>
        <w:t>437 Mass. 197, 201 (2002)</w:t>
      </w:r>
      <w:r w:rsidR="00AF3993" w:rsidRPr="00A11DA8">
        <w:rPr>
          <w:rFonts w:ascii="Arial" w:hAnsi="Arial" w:cs="Arial"/>
          <w:color w:val="000000"/>
          <w:sz w:val="20"/>
          <w:szCs w:val="20"/>
        </w:rPr>
        <w:t xml:space="preserve">.  </w:t>
      </w:r>
    </w:p>
    <w:sectPr w:rsidR="00932748" w:rsidRPr="00A11DA8" w:rsidSect="0082190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EEDC" w14:textId="77777777" w:rsidR="004D0752" w:rsidRDefault="004D0752" w:rsidP="00932748">
      <w:pPr>
        <w:spacing w:after="0" w:line="240" w:lineRule="auto"/>
      </w:pPr>
      <w:r>
        <w:separator/>
      </w:r>
    </w:p>
  </w:endnote>
  <w:endnote w:type="continuationSeparator" w:id="0">
    <w:p w14:paraId="7F1DBC91" w14:textId="77777777" w:rsidR="004D0752" w:rsidRDefault="004D0752" w:rsidP="0093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DD23" w14:textId="77777777" w:rsidR="004D0752" w:rsidRDefault="004D0752" w:rsidP="00932748">
      <w:pPr>
        <w:spacing w:after="0" w:line="240" w:lineRule="auto"/>
      </w:pPr>
      <w:r>
        <w:separator/>
      </w:r>
    </w:p>
  </w:footnote>
  <w:footnote w:type="continuationSeparator" w:id="0">
    <w:p w14:paraId="16D4D7C2" w14:textId="77777777" w:rsidR="004D0752" w:rsidRDefault="004D0752" w:rsidP="0093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40B7" w14:textId="77777777" w:rsidR="0082190B" w:rsidRDefault="0082190B" w:rsidP="0082190B">
    <w:pPr>
      <w:pStyle w:val="Header"/>
      <w:pBdr>
        <w:bottom w:val="single" w:sz="12" w:space="0" w:color="auto"/>
      </w:pBdr>
      <w:tabs>
        <w:tab w:val="clear" w:pos="4680"/>
        <w:tab w:val="clear" w:pos="9360"/>
        <w:tab w:val="right" w:pos="10260"/>
      </w:tabs>
      <w:rPr>
        <w:rFonts w:ascii="Arial" w:hAnsi="Arial" w:cs="Arial"/>
        <w:bCs/>
        <w:sz w:val="20"/>
        <w:szCs w:val="20"/>
      </w:rPr>
    </w:pPr>
  </w:p>
  <w:p w14:paraId="7BD9947A" w14:textId="5C8C8D4F" w:rsidR="0082190B" w:rsidRPr="00932748" w:rsidRDefault="0082190B" w:rsidP="0082190B">
    <w:pPr>
      <w:pStyle w:val="Header"/>
      <w:pBdr>
        <w:bottom w:val="single" w:sz="12" w:space="0" w:color="auto"/>
      </w:pBdr>
      <w:tabs>
        <w:tab w:val="clear" w:pos="4680"/>
        <w:tab w:val="clear" w:pos="9360"/>
        <w:tab w:val="right" w:pos="10260"/>
      </w:tabs>
      <w:rPr>
        <w:rFonts w:ascii="Arial" w:hAnsi="Arial" w:cs="Arial"/>
        <w:bCs/>
        <w:sz w:val="20"/>
        <w:szCs w:val="20"/>
      </w:rPr>
    </w:pPr>
    <w:r w:rsidRPr="00932748">
      <w:rPr>
        <w:rFonts w:ascii="Arial" w:hAnsi="Arial" w:cs="Arial"/>
        <w:bCs/>
        <w:sz w:val="20"/>
        <w:szCs w:val="20"/>
      </w:rPr>
      <w:t xml:space="preserve">Instruction </w:t>
    </w:r>
    <w:r>
      <w:rPr>
        <w:rFonts w:ascii="Arial" w:hAnsi="Arial" w:cs="Arial"/>
        <w:bCs/>
        <w:sz w:val="20"/>
        <w:szCs w:val="20"/>
      </w:rPr>
      <w:t>3.940</w:t>
    </w:r>
    <w:r>
      <w:rPr>
        <w:rFonts w:ascii="Arial" w:hAnsi="Arial" w:cs="Arial"/>
        <w:bCs/>
        <w:sz w:val="20"/>
        <w:szCs w:val="20"/>
      </w:rPr>
      <w:tab/>
      <w:t xml:space="preserve">Page </w:t>
    </w:r>
    <w:r w:rsidRPr="0082190B">
      <w:rPr>
        <w:rFonts w:ascii="Arial" w:hAnsi="Arial" w:cs="Arial"/>
        <w:bCs/>
        <w:sz w:val="20"/>
        <w:szCs w:val="20"/>
      </w:rPr>
      <w:fldChar w:fldCharType="begin"/>
    </w:r>
    <w:r w:rsidRPr="0082190B">
      <w:rPr>
        <w:rFonts w:ascii="Arial" w:hAnsi="Arial" w:cs="Arial"/>
        <w:bCs/>
        <w:sz w:val="20"/>
        <w:szCs w:val="20"/>
      </w:rPr>
      <w:instrText xml:space="preserve"> PAGE   \* MERGEFORMAT </w:instrText>
    </w:r>
    <w:r w:rsidRPr="0082190B">
      <w:rPr>
        <w:rFonts w:ascii="Arial" w:hAnsi="Arial" w:cs="Arial"/>
        <w:bCs/>
        <w:sz w:val="20"/>
        <w:szCs w:val="20"/>
      </w:rPr>
      <w:fldChar w:fldCharType="separate"/>
    </w:r>
    <w:r w:rsidRPr="0082190B">
      <w:rPr>
        <w:rFonts w:ascii="Arial" w:hAnsi="Arial" w:cs="Arial"/>
        <w:bCs/>
        <w:noProof/>
        <w:sz w:val="20"/>
        <w:szCs w:val="20"/>
      </w:rPr>
      <w:t>1</w:t>
    </w:r>
    <w:r w:rsidRPr="0082190B">
      <w:rPr>
        <w:rFonts w:ascii="Arial" w:hAnsi="Arial" w:cs="Arial"/>
        <w:bCs/>
        <w:noProof/>
        <w:sz w:val="20"/>
        <w:szCs w:val="20"/>
      </w:rPr>
      <w:fldChar w:fldCharType="end"/>
    </w:r>
  </w:p>
  <w:p w14:paraId="65221104" w14:textId="56138543" w:rsidR="0082190B" w:rsidRDefault="0082190B" w:rsidP="0082190B">
    <w:pPr>
      <w:pStyle w:val="Header"/>
      <w:tabs>
        <w:tab w:val="clear" w:pos="4680"/>
        <w:tab w:val="clear" w:pos="9360"/>
        <w:tab w:val="left" w:pos="2370"/>
        <w:tab w:val="right" w:pos="10260"/>
      </w:tabs>
      <w:rPr>
        <w:rFonts w:ascii="Arial" w:hAnsi="Arial" w:cs="Arial"/>
        <w:bCs/>
        <w:sz w:val="20"/>
        <w:szCs w:val="20"/>
      </w:rPr>
    </w:pPr>
    <w:r w:rsidRPr="00932748">
      <w:rPr>
        <w:rFonts w:ascii="Arial" w:hAnsi="Arial" w:cs="Arial"/>
        <w:bCs/>
        <w:sz w:val="20"/>
        <w:szCs w:val="20"/>
      </w:rPr>
      <w:t>GANG AFFILIATION</w:t>
    </w:r>
    <w:r w:rsidR="00A11DA8">
      <w:rPr>
        <w:rFonts w:ascii="Arial" w:hAnsi="Arial" w:cs="Arial"/>
        <w:bCs/>
        <w:sz w:val="20"/>
        <w:szCs w:val="20"/>
      </w:rPr>
      <w:tab/>
    </w:r>
    <w:r w:rsidR="00A11DA8">
      <w:rPr>
        <w:rFonts w:ascii="Arial" w:hAnsi="Arial" w:cs="Arial"/>
        <w:bCs/>
        <w:sz w:val="20"/>
        <w:szCs w:val="20"/>
      </w:rPr>
      <w:tab/>
    </w:r>
    <w:r w:rsidR="00866A8B">
      <w:rPr>
        <w:rFonts w:ascii="Arial" w:hAnsi="Arial" w:cs="Arial"/>
        <w:bCs/>
        <w:sz w:val="20"/>
        <w:szCs w:val="20"/>
      </w:rPr>
      <w:t>February 2024</w:t>
    </w:r>
  </w:p>
  <w:p w14:paraId="68D44B32" w14:textId="637186AE" w:rsidR="007B0B87" w:rsidRDefault="007B0B87">
    <w:pPr>
      <w:pStyle w:val="Header"/>
    </w:pPr>
  </w:p>
  <w:p w14:paraId="1548AFBC" w14:textId="77777777" w:rsidR="00A11DA8" w:rsidRDefault="00A1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8CA" w14:textId="77777777" w:rsidR="00932748" w:rsidRDefault="00932748" w:rsidP="00932748">
    <w:pPr>
      <w:pStyle w:val="Header"/>
      <w:pBdr>
        <w:bottom w:val="single" w:sz="12" w:space="0" w:color="auto"/>
      </w:pBdr>
      <w:tabs>
        <w:tab w:val="clear" w:pos="4680"/>
        <w:tab w:val="clear" w:pos="9360"/>
        <w:tab w:val="right" w:pos="10260"/>
      </w:tabs>
      <w:rPr>
        <w:rFonts w:ascii="Arial" w:hAnsi="Arial" w:cs="Arial"/>
        <w:bCs/>
        <w:sz w:val="20"/>
        <w:szCs w:val="20"/>
      </w:rPr>
    </w:pPr>
  </w:p>
  <w:p w14:paraId="119A04E9" w14:textId="0DE4B318" w:rsidR="00932748" w:rsidRPr="00932748" w:rsidRDefault="00932748" w:rsidP="00932748">
    <w:pPr>
      <w:pStyle w:val="Header"/>
      <w:pBdr>
        <w:bottom w:val="single" w:sz="12" w:space="0" w:color="auto"/>
      </w:pBdr>
      <w:tabs>
        <w:tab w:val="clear" w:pos="4680"/>
        <w:tab w:val="clear" w:pos="9360"/>
        <w:tab w:val="right" w:pos="10260"/>
      </w:tabs>
      <w:rPr>
        <w:rFonts w:ascii="Arial" w:hAnsi="Arial" w:cs="Arial"/>
        <w:bCs/>
        <w:sz w:val="20"/>
        <w:szCs w:val="20"/>
      </w:rPr>
    </w:pPr>
    <w:r>
      <w:rPr>
        <w:rFonts w:ascii="Arial" w:hAnsi="Arial" w:cs="Arial"/>
        <w:bCs/>
        <w:sz w:val="20"/>
        <w:szCs w:val="20"/>
      </w:rPr>
      <w:t xml:space="preserve">Page </w:t>
    </w:r>
    <w:r w:rsidRPr="00326597">
      <w:rPr>
        <w:rFonts w:ascii="Arial" w:hAnsi="Arial" w:cs="Arial"/>
        <w:bCs/>
        <w:sz w:val="20"/>
        <w:szCs w:val="20"/>
      </w:rPr>
      <w:fldChar w:fldCharType="begin"/>
    </w:r>
    <w:r w:rsidRPr="00326597">
      <w:rPr>
        <w:rFonts w:ascii="Arial" w:hAnsi="Arial" w:cs="Arial"/>
        <w:bCs/>
        <w:sz w:val="20"/>
        <w:szCs w:val="20"/>
      </w:rPr>
      <w:instrText xml:space="preserve"> PAGE   \* MERGEFORMAT </w:instrText>
    </w:r>
    <w:r w:rsidRPr="00326597">
      <w:rPr>
        <w:rFonts w:ascii="Arial" w:hAnsi="Arial" w:cs="Arial"/>
        <w:bCs/>
        <w:sz w:val="20"/>
        <w:szCs w:val="20"/>
      </w:rPr>
      <w:fldChar w:fldCharType="separate"/>
    </w:r>
    <w:r>
      <w:rPr>
        <w:rFonts w:ascii="Arial" w:hAnsi="Arial" w:cs="Arial"/>
        <w:bCs/>
        <w:sz w:val="20"/>
        <w:szCs w:val="20"/>
      </w:rPr>
      <w:t>1</w:t>
    </w:r>
    <w:r w:rsidRPr="00326597">
      <w:rPr>
        <w:rFonts w:ascii="Arial" w:hAnsi="Arial" w:cs="Arial"/>
        <w:bCs/>
        <w:noProof/>
        <w:sz w:val="20"/>
        <w:szCs w:val="20"/>
      </w:rPr>
      <w:fldChar w:fldCharType="end"/>
    </w:r>
    <w:r>
      <w:rPr>
        <w:bCs/>
        <w:sz w:val="20"/>
        <w:szCs w:val="20"/>
      </w:rPr>
      <w:tab/>
    </w:r>
    <w:r w:rsidRPr="00932748">
      <w:rPr>
        <w:rFonts w:ascii="Arial" w:hAnsi="Arial" w:cs="Arial"/>
        <w:bCs/>
        <w:sz w:val="20"/>
        <w:szCs w:val="20"/>
      </w:rPr>
      <w:t xml:space="preserve">Instruction </w:t>
    </w:r>
    <w:r w:rsidR="0082190B">
      <w:rPr>
        <w:rFonts w:ascii="Arial" w:hAnsi="Arial" w:cs="Arial"/>
        <w:bCs/>
        <w:sz w:val="20"/>
        <w:szCs w:val="20"/>
      </w:rPr>
      <w:t>3.940</w:t>
    </w:r>
  </w:p>
  <w:p w14:paraId="5CBB0ADA" w14:textId="60D10317" w:rsidR="00932748" w:rsidRDefault="00866A8B" w:rsidP="00932748">
    <w:pPr>
      <w:pStyle w:val="Header"/>
      <w:tabs>
        <w:tab w:val="clear" w:pos="4680"/>
        <w:tab w:val="clear" w:pos="9360"/>
        <w:tab w:val="left" w:pos="2370"/>
        <w:tab w:val="right" w:pos="10260"/>
      </w:tabs>
      <w:rPr>
        <w:rFonts w:ascii="Arial" w:hAnsi="Arial" w:cs="Arial"/>
        <w:bCs/>
        <w:sz w:val="20"/>
        <w:szCs w:val="20"/>
      </w:rPr>
    </w:pPr>
    <w:r>
      <w:rPr>
        <w:rFonts w:ascii="Arial" w:hAnsi="Arial" w:cs="Arial"/>
        <w:bCs/>
        <w:sz w:val="20"/>
        <w:szCs w:val="20"/>
      </w:rPr>
      <w:t>February 2024</w:t>
    </w:r>
    <w:r w:rsidR="00932748" w:rsidRPr="00932748">
      <w:rPr>
        <w:rFonts w:ascii="Arial" w:hAnsi="Arial" w:cs="Arial"/>
        <w:bCs/>
        <w:sz w:val="20"/>
        <w:szCs w:val="20"/>
      </w:rPr>
      <w:tab/>
    </w:r>
    <w:r w:rsidR="00932748" w:rsidRPr="00932748">
      <w:rPr>
        <w:rFonts w:ascii="Arial" w:hAnsi="Arial" w:cs="Arial"/>
        <w:bCs/>
        <w:sz w:val="20"/>
        <w:szCs w:val="20"/>
      </w:rPr>
      <w:tab/>
      <w:t>GANG AFFILIATION</w:t>
    </w:r>
  </w:p>
  <w:p w14:paraId="78114870" w14:textId="77777777" w:rsidR="007B0B87" w:rsidRDefault="007B0B87" w:rsidP="00932748">
    <w:pPr>
      <w:pStyle w:val="Header"/>
      <w:tabs>
        <w:tab w:val="clear" w:pos="4680"/>
        <w:tab w:val="clear" w:pos="9360"/>
        <w:tab w:val="left" w:pos="2370"/>
        <w:tab w:val="right" w:pos="10260"/>
      </w:tabs>
      <w:rPr>
        <w:rFonts w:ascii="Arial" w:hAnsi="Arial" w:cs="Arial"/>
        <w:bCs/>
        <w:sz w:val="20"/>
        <w:szCs w:val="20"/>
      </w:rPr>
    </w:pPr>
  </w:p>
  <w:p w14:paraId="3ED7B9CD" w14:textId="77777777" w:rsidR="00932748" w:rsidRPr="00932748" w:rsidRDefault="00932748" w:rsidP="00932748">
    <w:pPr>
      <w:pStyle w:val="Header"/>
      <w:tabs>
        <w:tab w:val="clear" w:pos="4680"/>
        <w:tab w:val="clear" w:pos="9360"/>
        <w:tab w:val="left" w:pos="2370"/>
        <w:tab w:val="right" w:pos="102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8E6"/>
    <w:multiLevelType w:val="hybridMultilevel"/>
    <w:tmpl w:val="43DE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2601D"/>
    <w:multiLevelType w:val="hybridMultilevel"/>
    <w:tmpl w:val="43DE0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FD5EAC"/>
    <w:multiLevelType w:val="hybridMultilevel"/>
    <w:tmpl w:val="43DE0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786817">
    <w:abstractNumId w:val="0"/>
  </w:num>
  <w:num w:numId="2" w16cid:durableId="65732644">
    <w:abstractNumId w:val="1"/>
  </w:num>
  <w:num w:numId="3" w16cid:durableId="122286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48"/>
    <w:rsid w:val="000021CF"/>
    <w:rsid w:val="00002EA5"/>
    <w:rsid w:val="000059B8"/>
    <w:rsid w:val="00014B5F"/>
    <w:rsid w:val="00017900"/>
    <w:rsid w:val="00036451"/>
    <w:rsid w:val="00046D95"/>
    <w:rsid w:val="0006082A"/>
    <w:rsid w:val="000C3DB8"/>
    <w:rsid w:val="000C783B"/>
    <w:rsid w:val="000D5F7A"/>
    <w:rsid w:val="00101901"/>
    <w:rsid w:val="00120653"/>
    <w:rsid w:val="00136E31"/>
    <w:rsid w:val="00136F3D"/>
    <w:rsid w:val="001407A0"/>
    <w:rsid w:val="0014275C"/>
    <w:rsid w:val="00154B6D"/>
    <w:rsid w:val="00171948"/>
    <w:rsid w:val="00186F31"/>
    <w:rsid w:val="00187538"/>
    <w:rsid w:val="0019665D"/>
    <w:rsid w:val="001A15B4"/>
    <w:rsid w:val="001B7C15"/>
    <w:rsid w:val="001D0CC2"/>
    <w:rsid w:val="00201798"/>
    <w:rsid w:val="00203877"/>
    <w:rsid w:val="00210D27"/>
    <w:rsid w:val="002143C3"/>
    <w:rsid w:val="00215EC8"/>
    <w:rsid w:val="0022370C"/>
    <w:rsid w:val="00231B2E"/>
    <w:rsid w:val="00250732"/>
    <w:rsid w:val="00254F34"/>
    <w:rsid w:val="00270BF9"/>
    <w:rsid w:val="002742B6"/>
    <w:rsid w:val="002972DA"/>
    <w:rsid w:val="002B45D3"/>
    <w:rsid w:val="002F0EF9"/>
    <w:rsid w:val="003704C5"/>
    <w:rsid w:val="00372D50"/>
    <w:rsid w:val="003C2040"/>
    <w:rsid w:val="004261A2"/>
    <w:rsid w:val="00426B91"/>
    <w:rsid w:val="00437300"/>
    <w:rsid w:val="00440B8C"/>
    <w:rsid w:val="00445717"/>
    <w:rsid w:val="004458FA"/>
    <w:rsid w:val="004A299C"/>
    <w:rsid w:val="004B12A0"/>
    <w:rsid w:val="004C47A0"/>
    <w:rsid w:val="004D0752"/>
    <w:rsid w:val="004D28FA"/>
    <w:rsid w:val="004F399F"/>
    <w:rsid w:val="00503C38"/>
    <w:rsid w:val="00507B20"/>
    <w:rsid w:val="00527B36"/>
    <w:rsid w:val="00557103"/>
    <w:rsid w:val="00557B19"/>
    <w:rsid w:val="005819D0"/>
    <w:rsid w:val="005937B6"/>
    <w:rsid w:val="00597D35"/>
    <w:rsid w:val="005A221C"/>
    <w:rsid w:val="0062313D"/>
    <w:rsid w:val="00631A4D"/>
    <w:rsid w:val="00680427"/>
    <w:rsid w:val="00687D98"/>
    <w:rsid w:val="006958FC"/>
    <w:rsid w:val="006C4C16"/>
    <w:rsid w:val="00726989"/>
    <w:rsid w:val="007331AD"/>
    <w:rsid w:val="00737CAC"/>
    <w:rsid w:val="00741198"/>
    <w:rsid w:val="00742185"/>
    <w:rsid w:val="007456F1"/>
    <w:rsid w:val="00750CA1"/>
    <w:rsid w:val="007839FB"/>
    <w:rsid w:val="007B0B87"/>
    <w:rsid w:val="007B4461"/>
    <w:rsid w:val="007D1928"/>
    <w:rsid w:val="00815356"/>
    <w:rsid w:val="0082190B"/>
    <w:rsid w:val="00856211"/>
    <w:rsid w:val="00857F95"/>
    <w:rsid w:val="00866A8B"/>
    <w:rsid w:val="00873F41"/>
    <w:rsid w:val="008B75A3"/>
    <w:rsid w:val="008C5964"/>
    <w:rsid w:val="008D59A3"/>
    <w:rsid w:val="008E39AD"/>
    <w:rsid w:val="00910A82"/>
    <w:rsid w:val="00932748"/>
    <w:rsid w:val="0099776C"/>
    <w:rsid w:val="009D08A9"/>
    <w:rsid w:val="009D4E59"/>
    <w:rsid w:val="00A10EC8"/>
    <w:rsid w:val="00A11DA8"/>
    <w:rsid w:val="00A47888"/>
    <w:rsid w:val="00A53A07"/>
    <w:rsid w:val="00A65937"/>
    <w:rsid w:val="00A71019"/>
    <w:rsid w:val="00A742B7"/>
    <w:rsid w:val="00AB11C7"/>
    <w:rsid w:val="00AE7BFB"/>
    <w:rsid w:val="00AF3993"/>
    <w:rsid w:val="00B146BD"/>
    <w:rsid w:val="00B235EF"/>
    <w:rsid w:val="00BA6F3A"/>
    <w:rsid w:val="00BD0EE2"/>
    <w:rsid w:val="00BD19A1"/>
    <w:rsid w:val="00BE6558"/>
    <w:rsid w:val="00C0580C"/>
    <w:rsid w:val="00C34038"/>
    <w:rsid w:val="00C35CC4"/>
    <w:rsid w:val="00C37782"/>
    <w:rsid w:val="00C50769"/>
    <w:rsid w:val="00C71F1A"/>
    <w:rsid w:val="00C77079"/>
    <w:rsid w:val="00C81D4F"/>
    <w:rsid w:val="00CA2A46"/>
    <w:rsid w:val="00CB4973"/>
    <w:rsid w:val="00CD1450"/>
    <w:rsid w:val="00D0782D"/>
    <w:rsid w:val="00D31CB9"/>
    <w:rsid w:val="00D84459"/>
    <w:rsid w:val="00D924C9"/>
    <w:rsid w:val="00D94468"/>
    <w:rsid w:val="00DF3CA1"/>
    <w:rsid w:val="00E1176C"/>
    <w:rsid w:val="00E20A54"/>
    <w:rsid w:val="00E353DE"/>
    <w:rsid w:val="00E709D5"/>
    <w:rsid w:val="00EA3402"/>
    <w:rsid w:val="00EA388E"/>
    <w:rsid w:val="00EA6BAD"/>
    <w:rsid w:val="00EC7196"/>
    <w:rsid w:val="00ED251B"/>
    <w:rsid w:val="00F07E66"/>
    <w:rsid w:val="00F250EA"/>
    <w:rsid w:val="00F25E30"/>
    <w:rsid w:val="00F26FDF"/>
    <w:rsid w:val="00F33BEC"/>
    <w:rsid w:val="00F7403F"/>
    <w:rsid w:val="00F91328"/>
    <w:rsid w:val="00FC2283"/>
    <w:rsid w:val="00FC591F"/>
    <w:rsid w:val="00FF2D23"/>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0B510"/>
  <w15:chartTrackingRefBased/>
  <w15:docId w15:val="{30253040-07FC-44EF-9E4A-8CC7879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748"/>
  </w:style>
  <w:style w:type="paragraph" w:styleId="Footer">
    <w:name w:val="footer"/>
    <w:basedOn w:val="Normal"/>
    <w:link w:val="FooterChar"/>
    <w:uiPriority w:val="99"/>
    <w:unhideWhenUsed/>
    <w:rsid w:val="0093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748"/>
  </w:style>
  <w:style w:type="paragraph" w:styleId="BodyText">
    <w:name w:val="Body Text"/>
    <w:basedOn w:val="Normal"/>
    <w:link w:val="BodyTextChar"/>
    <w:uiPriority w:val="1"/>
    <w:qFormat/>
    <w:rsid w:val="00932748"/>
    <w:pPr>
      <w:widowControl w:val="0"/>
      <w:autoSpaceDE w:val="0"/>
      <w:autoSpaceDN w:val="0"/>
      <w:spacing w:after="0" w:line="240" w:lineRule="auto"/>
    </w:pPr>
    <w:rPr>
      <w:rFonts w:ascii="Arial" w:eastAsia="Arial" w:hAnsi="Arial" w:cs="Arial"/>
      <w:b/>
      <w:bCs/>
      <w:sz w:val="28"/>
      <w:szCs w:val="28"/>
    </w:rPr>
  </w:style>
  <w:style w:type="character" w:customStyle="1" w:styleId="BodyTextChar">
    <w:name w:val="Body Text Char"/>
    <w:basedOn w:val="DefaultParagraphFont"/>
    <w:link w:val="BodyText"/>
    <w:uiPriority w:val="1"/>
    <w:rsid w:val="00932748"/>
    <w:rPr>
      <w:rFonts w:ascii="Arial" w:eastAsia="Arial" w:hAnsi="Arial" w:cs="Arial"/>
      <w:b/>
      <w:bCs/>
      <w:sz w:val="28"/>
      <w:szCs w:val="28"/>
    </w:rPr>
  </w:style>
  <w:style w:type="character" w:styleId="Hyperlink">
    <w:name w:val="Hyperlink"/>
    <w:basedOn w:val="DefaultParagraphFont"/>
    <w:uiPriority w:val="99"/>
    <w:unhideWhenUsed/>
    <w:rsid w:val="00932748"/>
    <w:rPr>
      <w:color w:val="0563C1" w:themeColor="hyperlink"/>
      <w:u w:val="single"/>
    </w:rPr>
  </w:style>
  <w:style w:type="character" w:styleId="UnresolvedMention">
    <w:name w:val="Unresolved Mention"/>
    <w:basedOn w:val="DefaultParagraphFont"/>
    <w:uiPriority w:val="99"/>
    <w:semiHidden/>
    <w:unhideWhenUsed/>
    <w:rsid w:val="00932748"/>
    <w:rPr>
      <w:color w:val="605E5C"/>
      <w:shd w:val="clear" w:color="auto" w:fill="E1DFDD"/>
    </w:rPr>
  </w:style>
  <w:style w:type="paragraph" w:styleId="NormalWeb">
    <w:name w:val="Normal (Web)"/>
    <w:basedOn w:val="Normal"/>
    <w:uiPriority w:val="99"/>
    <w:unhideWhenUsed/>
    <w:rsid w:val="00932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it">
    <w:name w:val="ss_it"/>
    <w:basedOn w:val="DefaultParagraphFont"/>
    <w:rsid w:val="00932748"/>
  </w:style>
  <w:style w:type="character" w:customStyle="1" w:styleId="ac">
    <w:name w:val="ac"/>
    <w:basedOn w:val="DefaultParagraphFont"/>
    <w:rsid w:val="00932748"/>
  </w:style>
  <w:style w:type="paragraph" w:styleId="Revision">
    <w:name w:val="Revision"/>
    <w:hidden/>
    <w:uiPriority w:val="99"/>
    <w:semiHidden/>
    <w:rsid w:val="00372D50"/>
    <w:pPr>
      <w:spacing w:after="0" w:line="240" w:lineRule="auto"/>
    </w:pPr>
  </w:style>
  <w:style w:type="paragraph" w:styleId="ListParagraph">
    <w:name w:val="List Paragraph"/>
    <w:basedOn w:val="Normal"/>
    <w:uiPriority w:val="34"/>
    <w:qFormat/>
    <w:rsid w:val="00136F3D"/>
    <w:pPr>
      <w:ind w:left="720"/>
      <w:contextualSpacing/>
    </w:pPr>
  </w:style>
  <w:style w:type="character" w:styleId="CommentReference">
    <w:name w:val="annotation reference"/>
    <w:basedOn w:val="DefaultParagraphFont"/>
    <w:uiPriority w:val="99"/>
    <w:semiHidden/>
    <w:unhideWhenUsed/>
    <w:rsid w:val="008D59A3"/>
    <w:rPr>
      <w:sz w:val="16"/>
      <w:szCs w:val="16"/>
    </w:rPr>
  </w:style>
  <w:style w:type="paragraph" w:styleId="CommentText">
    <w:name w:val="annotation text"/>
    <w:basedOn w:val="Normal"/>
    <w:link w:val="CommentTextChar"/>
    <w:uiPriority w:val="99"/>
    <w:unhideWhenUsed/>
    <w:rsid w:val="008D59A3"/>
    <w:pPr>
      <w:spacing w:line="240" w:lineRule="auto"/>
    </w:pPr>
    <w:rPr>
      <w:sz w:val="20"/>
      <w:szCs w:val="20"/>
    </w:rPr>
  </w:style>
  <w:style w:type="character" w:customStyle="1" w:styleId="CommentTextChar">
    <w:name w:val="Comment Text Char"/>
    <w:basedOn w:val="DefaultParagraphFont"/>
    <w:link w:val="CommentText"/>
    <w:uiPriority w:val="99"/>
    <w:rsid w:val="008D59A3"/>
    <w:rPr>
      <w:sz w:val="20"/>
      <w:szCs w:val="20"/>
    </w:rPr>
  </w:style>
  <w:style w:type="paragraph" w:styleId="CommentSubject">
    <w:name w:val="annotation subject"/>
    <w:basedOn w:val="CommentText"/>
    <w:next w:val="CommentText"/>
    <w:link w:val="CommentSubjectChar"/>
    <w:uiPriority w:val="99"/>
    <w:semiHidden/>
    <w:unhideWhenUsed/>
    <w:rsid w:val="008D59A3"/>
    <w:rPr>
      <w:b/>
      <w:bCs/>
    </w:rPr>
  </w:style>
  <w:style w:type="character" w:customStyle="1" w:styleId="CommentSubjectChar">
    <w:name w:val="Comment Subject Char"/>
    <w:basedOn w:val="CommentTextChar"/>
    <w:link w:val="CommentSubject"/>
    <w:uiPriority w:val="99"/>
    <w:semiHidden/>
    <w:rsid w:val="008D5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1791">
      <w:bodyDiv w:val="1"/>
      <w:marLeft w:val="0"/>
      <w:marRight w:val="0"/>
      <w:marTop w:val="0"/>
      <w:marBottom w:val="0"/>
      <w:divBdr>
        <w:top w:val="none" w:sz="0" w:space="0" w:color="auto"/>
        <w:left w:val="none" w:sz="0" w:space="0" w:color="auto"/>
        <w:bottom w:val="none" w:sz="0" w:space="0" w:color="auto"/>
        <w:right w:val="none" w:sz="0" w:space="0" w:color="auto"/>
      </w:divBdr>
    </w:div>
    <w:div w:id="473064712">
      <w:bodyDiv w:val="1"/>
      <w:marLeft w:val="0"/>
      <w:marRight w:val="0"/>
      <w:marTop w:val="0"/>
      <w:marBottom w:val="0"/>
      <w:divBdr>
        <w:top w:val="none" w:sz="0" w:space="0" w:color="auto"/>
        <w:left w:val="none" w:sz="0" w:space="0" w:color="auto"/>
        <w:bottom w:val="none" w:sz="0" w:space="0" w:color="auto"/>
        <w:right w:val="none" w:sz="0" w:space="0" w:color="auto"/>
      </w:divBdr>
    </w:div>
    <w:div w:id="579753245">
      <w:bodyDiv w:val="1"/>
      <w:marLeft w:val="0"/>
      <w:marRight w:val="0"/>
      <w:marTop w:val="0"/>
      <w:marBottom w:val="0"/>
      <w:divBdr>
        <w:top w:val="none" w:sz="0" w:space="0" w:color="auto"/>
        <w:left w:val="none" w:sz="0" w:space="0" w:color="auto"/>
        <w:bottom w:val="none" w:sz="0" w:space="0" w:color="auto"/>
        <w:right w:val="none" w:sz="0" w:space="0" w:color="auto"/>
      </w:divBdr>
    </w:div>
    <w:div w:id="772478610">
      <w:bodyDiv w:val="1"/>
      <w:marLeft w:val="0"/>
      <w:marRight w:val="0"/>
      <w:marTop w:val="0"/>
      <w:marBottom w:val="0"/>
      <w:divBdr>
        <w:top w:val="none" w:sz="0" w:space="0" w:color="auto"/>
        <w:left w:val="none" w:sz="0" w:space="0" w:color="auto"/>
        <w:bottom w:val="none" w:sz="0" w:space="0" w:color="auto"/>
        <w:right w:val="none" w:sz="0" w:space="0" w:color="auto"/>
      </w:divBdr>
    </w:div>
    <w:div w:id="20704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 McDonough</dc:creator>
  <cp:keywords/>
  <dc:description/>
  <cp:lastModifiedBy>Suzanne</cp:lastModifiedBy>
  <cp:revision>6</cp:revision>
  <cp:lastPrinted>2023-11-08T21:03:00Z</cp:lastPrinted>
  <dcterms:created xsi:type="dcterms:W3CDTF">2023-11-08T19:31:00Z</dcterms:created>
  <dcterms:modified xsi:type="dcterms:W3CDTF">2024-02-14T20:10:00Z</dcterms:modified>
</cp:coreProperties>
</file>