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0766" w14:textId="77777777" w:rsidR="00D86C5C" w:rsidRDefault="00D86C5C">
      <w:pPr>
        <w:pStyle w:val="BodyText"/>
        <w:kinsoku w:val="0"/>
        <w:overflowPunct w:val="0"/>
        <w:spacing w:before="10"/>
        <w:rPr>
          <w:b/>
          <w:bCs/>
          <w:sz w:val="16"/>
          <w:szCs w:val="16"/>
        </w:rPr>
      </w:pPr>
    </w:p>
    <w:p w14:paraId="4395BB28" w14:textId="77777777" w:rsidR="00D86C5C" w:rsidRDefault="00D86C5C" w:rsidP="00FD43D9">
      <w:pPr>
        <w:pStyle w:val="Heading1"/>
        <w:kinsoku w:val="0"/>
        <w:overflowPunct w:val="0"/>
        <w:spacing w:before="55"/>
        <w:ind w:left="0"/>
        <w:jc w:val="center"/>
      </w:pPr>
      <w:r>
        <w:t>OTHER BAD ACTS BY DEFENDANT</w:t>
      </w:r>
    </w:p>
    <w:p w14:paraId="6239C4F9" w14:textId="6B438D23" w:rsidR="00D86C5C" w:rsidRDefault="00D86C5C">
      <w:pPr>
        <w:pStyle w:val="BodyText"/>
        <w:kinsoku w:val="0"/>
        <w:overflowPunct w:val="0"/>
        <w:rPr>
          <w:b/>
          <w:bCs/>
          <w:sz w:val="20"/>
          <w:szCs w:val="20"/>
        </w:rPr>
      </w:pPr>
    </w:p>
    <w:p w14:paraId="198A62B7" w14:textId="6A47708E" w:rsidR="00467D93" w:rsidRDefault="00467D93" w:rsidP="00467D93">
      <w:pPr>
        <w:pStyle w:val="BodyText"/>
        <w:kinsoku w:val="0"/>
        <w:overflowPunct w:val="0"/>
        <w:ind w:left="720"/>
        <w:rPr>
          <w:sz w:val="20"/>
          <w:szCs w:val="20"/>
        </w:rPr>
      </w:pPr>
      <w:r w:rsidRPr="00793E26">
        <w:rPr>
          <w:sz w:val="20"/>
          <w:szCs w:val="20"/>
        </w:rPr>
        <w:t xml:space="preserve">This limiting instruction should be given at the time the evidence is </w:t>
      </w:r>
      <w:r w:rsidRPr="00C51916">
        <w:rPr>
          <w:sz w:val="20"/>
          <w:szCs w:val="20"/>
        </w:rPr>
        <w:t>admitted and in the final charge.</w:t>
      </w:r>
      <w:r w:rsidRPr="00C24F1F">
        <w:rPr>
          <w:sz w:val="20"/>
          <w:szCs w:val="20"/>
        </w:rPr>
        <w:t xml:space="preserve"> </w:t>
      </w:r>
      <w:r w:rsidRPr="00793E26">
        <w:rPr>
          <w:i/>
          <w:iCs/>
          <w:sz w:val="20"/>
          <w:szCs w:val="20"/>
        </w:rPr>
        <w:t xml:space="preserve">Commonwealth v. Linton, </w:t>
      </w:r>
      <w:r w:rsidRPr="00793E26">
        <w:rPr>
          <w:sz w:val="20"/>
          <w:szCs w:val="20"/>
        </w:rPr>
        <w:t>456 Mass. 534, 551</w:t>
      </w:r>
      <w:r>
        <w:rPr>
          <w:sz w:val="20"/>
          <w:szCs w:val="20"/>
        </w:rPr>
        <w:t xml:space="preserve"> &amp; n. 12</w:t>
      </w:r>
      <w:r w:rsidR="008A03B0">
        <w:rPr>
          <w:sz w:val="20"/>
          <w:szCs w:val="20"/>
        </w:rPr>
        <w:t xml:space="preserve"> </w:t>
      </w:r>
      <w:r w:rsidRPr="00793E26">
        <w:rPr>
          <w:sz w:val="20"/>
          <w:szCs w:val="20"/>
        </w:rPr>
        <w:t>(2010).</w:t>
      </w:r>
    </w:p>
    <w:p w14:paraId="6BFE7686" w14:textId="77777777" w:rsidR="00B4535E" w:rsidRDefault="00B4535E" w:rsidP="00467D93">
      <w:pPr>
        <w:pStyle w:val="BodyText"/>
        <w:kinsoku w:val="0"/>
        <w:overflowPunct w:val="0"/>
        <w:ind w:left="720"/>
        <w:rPr>
          <w:sz w:val="20"/>
          <w:szCs w:val="20"/>
        </w:rPr>
      </w:pPr>
    </w:p>
    <w:p w14:paraId="31908BCC" w14:textId="4891F00C" w:rsidR="00A82BDF" w:rsidRDefault="004666DB" w:rsidP="00467D93">
      <w:pPr>
        <w:pStyle w:val="BodyText"/>
        <w:kinsoku w:val="0"/>
        <w:overflowPunct w:val="0"/>
        <w:ind w:left="720"/>
        <w:rPr>
          <w:sz w:val="20"/>
          <w:szCs w:val="20"/>
        </w:rPr>
      </w:pPr>
      <w:r>
        <w:rPr>
          <w:sz w:val="20"/>
          <w:szCs w:val="20"/>
        </w:rPr>
        <w:t>Typically</w:t>
      </w:r>
      <w:r w:rsidR="00B4535E">
        <w:rPr>
          <w:sz w:val="20"/>
          <w:szCs w:val="20"/>
        </w:rPr>
        <w:t>,</w:t>
      </w:r>
      <w:r>
        <w:rPr>
          <w:sz w:val="20"/>
          <w:szCs w:val="20"/>
        </w:rPr>
        <w:t xml:space="preserve"> this issue should be address</w:t>
      </w:r>
      <w:r w:rsidR="00B4535E">
        <w:rPr>
          <w:sz w:val="20"/>
          <w:szCs w:val="20"/>
        </w:rPr>
        <w:t>ed</w:t>
      </w:r>
      <w:r>
        <w:rPr>
          <w:sz w:val="20"/>
          <w:szCs w:val="20"/>
        </w:rPr>
        <w:t xml:space="preserve"> prior to trial in a </w:t>
      </w:r>
      <w:r w:rsidR="00B4535E">
        <w:rPr>
          <w:sz w:val="20"/>
          <w:szCs w:val="20"/>
        </w:rPr>
        <w:t>motion</w:t>
      </w:r>
      <w:r>
        <w:rPr>
          <w:sz w:val="20"/>
          <w:szCs w:val="20"/>
        </w:rPr>
        <w:t xml:space="preserve"> in </w:t>
      </w:r>
      <w:proofErr w:type="spellStart"/>
      <w:r w:rsidRPr="001C48A2">
        <w:rPr>
          <w:i/>
          <w:iCs/>
          <w:sz w:val="20"/>
          <w:szCs w:val="20"/>
        </w:rPr>
        <w:t>limine</w:t>
      </w:r>
      <w:proofErr w:type="spellEnd"/>
      <w:r w:rsidR="00F168CB">
        <w:rPr>
          <w:sz w:val="20"/>
          <w:szCs w:val="20"/>
        </w:rPr>
        <w:t>.</w:t>
      </w:r>
      <w:r>
        <w:rPr>
          <w:sz w:val="20"/>
          <w:szCs w:val="20"/>
        </w:rPr>
        <w:t xml:space="preserve"> The judge should inquire of the Commonwealth the exact purpose for which the evidence is being offered</w:t>
      </w:r>
      <w:r w:rsidR="00B4535E">
        <w:rPr>
          <w:sz w:val="20"/>
          <w:szCs w:val="20"/>
        </w:rPr>
        <w:t>.</w:t>
      </w:r>
    </w:p>
    <w:p w14:paraId="51B5E4D5" w14:textId="769E4A2D" w:rsidR="004666DB" w:rsidRDefault="00B4535E" w:rsidP="00467D93">
      <w:pPr>
        <w:pStyle w:val="BodyText"/>
        <w:kinsoku w:val="0"/>
        <w:overflowPunct w:val="0"/>
        <w:ind w:left="720"/>
        <w:rPr>
          <w:b/>
          <w:bCs/>
          <w:sz w:val="20"/>
          <w:szCs w:val="20"/>
        </w:rPr>
      </w:pPr>
      <w:r>
        <w:rPr>
          <w:sz w:val="20"/>
          <w:szCs w:val="20"/>
        </w:rPr>
        <w:t xml:space="preserve"> </w:t>
      </w:r>
    </w:p>
    <w:p w14:paraId="42D351F8" w14:textId="77777777" w:rsidR="00D86C5C" w:rsidRDefault="00D86C5C">
      <w:pPr>
        <w:pStyle w:val="BodyText"/>
        <w:kinsoku w:val="0"/>
        <w:overflowPunct w:val="0"/>
        <w:rPr>
          <w:b/>
          <w:bCs/>
          <w:sz w:val="20"/>
          <w:szCs w:val="20"/>
        </w:rPr>
      </w:pPr>
    </w:p>
    <w:p w14:paraId="3FFC6073" w14:textId="408907DD" w:rsidR="00D86C5C" w:rsidRPr="00202F4B" w:rsidRDefault="00202F4B" w:rsidP="0029141D">
      <w:pPr>
        <w:pStyle w:val="BodyText"/>
        <w:numPr>
          <w:ilvl w:val="0"/>
          <w:numId w:val="1"/>
        </w:numPr>
        <w:kinsoku w:val="0"/>
        <w:overflowPunct w:val="0"/>
        <w:spacing w:before="10"/>
        <w:ind w:left="720"/>
        <w:rPr>
          <w:sz w:val="22"/>
          <w:szCs w:val="22"/>
          <w:bdr w:val="single" w:sz="4" w:space="0" w:color="auto"/>
        </w:rPr>
      </w:pPr>
      <w:r>
        <w:rPr>
          <w:sz w:val="22"/>
          <w:szCs w:val="22"/>
          <w:bdr w:val="single" w:sz="4" w:space="0" w:color="auto"/>
        </w:rPr>
        <w:t xml:space="preserve"> </w:t>
      </w:r>
      <w:r w:rsidRPr="00202F4B">
        <w:rPr>
          <w:sz w:val="22"/>
          <w:szCs w:val="22"/>
          <w:bdr w:val="single" w:sz="4" w:space="0" w:color="auto"/>
        </w:rPr>
        <w:t>WHEN INADMISSIBLE FOR ANY PURPOSE</w:t>
      </w:r>
      <w:r w:rsidR="00A82BDF">
        <w:rPr>
          <w:sz w:val="22"/>
          <w:szCs w:val="22"/>
          <w:bdr w:val="single" w:sz="4" w:space="0" w:color="auto"/>
        </w:rPr>
        <w:t xml:space="preserve">  </w:t>
      </w:r>
    </w:p>
    <w:p w14:paraId="500CEEF2" w14:textId="77777777" w:rsidR="00D86C5C" w:rsidRDefault="00D86C5C">
      <w:pPr>
        <w:pStyle w:val="BodyText"/>
        <w:kinsoku w:val="0"/>
        <w:overflowPunct w:val="0"/>
        <w:rPr>
          <w:b/>
          <w:bCs/>
          <w:sz w:val="20"/>
          <w:szCs w:val="20"/>
        </w:rPr>
      </w:pPr>
    </w:p>
    <w:p w14:paraId="1B37AB95" w14:textId="0E7B8A4A" w:rsidR="00D86C5C" w:rsidRDefault="00D86C5C" w:rsidP="00202F4B">
      <w:pPr>
        <w:pStyle w:val="Heading1"/>
        <w:kinsoku w:val="0"/>
        <w:overflowPunct w:val="0"/>
        <w:spacing w:before="178" w:line="480" w:lineRule="auto"/>
        <w:ind w:left="0" w:right="202" w:firstLine="720"/>
      </w:pPr>
      <w:r>
        <w:t>The defendant is not charged with committing any crime other tha</w:t>
      </w:r>
      <w:r w:rsidR="0079299D">
        <w:t>n</w:t>
      </w:r>
      <w:r>
        <w:t xml:space="preserve"> the charge(s) contained in the complaint. You heard </w:t>
      </w:r>
      <w:r w:rsidR="004E0BFC" w:rsidRPr="00FD4014">
        <w:t>testimony</w:t>
      </w:r>
      <w:r w:rsidR="00FD4014">
        <w:t xml:space="preserve"> </w:t>
      </w:r>
      <w:r w:rsidR="00FD4014" w:rsidRPr="00FD4014">
        <w:t xml:space="preserve">about </w:t>
      </w:r>
      <w:r>
        <w:t>other acts allegedly done by the defendant.</w:t>
      </w:r>
      <w:r w:rsidRPr="00F86E54">
        <w:rPr>
          <w:b w:val="0"/>
          <w:bCs w:val="0"/>
        </w:rPr>
        <w:t xml:space="preserve"> </w:t>
      </w:r>
      <w:r w:rsidR="007E2256">
        <w:rPr>
          <w:b w:val="0"/>
          <w:bCs w:val="0"/>
        </w:rPr>
        <w:t xml:space="preserve"> </w:t>
      </w:r>
      <w:r>
        <w:t xml:space="preserve">I have struck that </w:t>
      </w:r>
      <w:r w:rsidR="00202F4B">
        <w:t>testimony</w:t>
      </w:r>
      <w:r w:rsidR="00690844">
        <w:t xml:space="preserve"> </w:t>
      </w:r>
      <w:r>
        <w:t xml:space="preserve">from the record, and you </w:t>
      </w:r>
      <w:r w:rsidR="007C1926" w:rsidRPr="006B5B11">
        <w:t>must</w:t>
      </w:r>
      <w:r>
        <w:t xml:space="preserve"> disregard it entirely.</w:t>
      </w:r>
    </w:p>
    <w:p w14:paraId="3D8696EE" w14:textId="30BA920D" w:rsidR="00D86C5C" w:rsidRPr="00C113CD" w:rsidRDefault="006B5B11" w:rsidP="00222BA0">
      <w:pPr>
        <w:pStyle w:val="BodyTextFirstIndent"/>
        <w:spacing w:line="480" w:lineRule="auto"/>
        <w:ind w:firstLine="720"/>
        <w:rPr>
          <w:b/>
          <w:sz w:val="28"/>
          <w:szCs w:val="28"/>
        </w:rPr>
      </w:pPr>
      <w:r>
        <w:rPr>
          <w:b/>
          <w:sz w:val="28"/>
          <w:szCs w:val="28"/>
        </w:rPr>
        <w:t xml:space="preserve">You </w:t>
      </w:r>
      <w:r w:rsidR="007C1926">
        <w:rPr>
          <w:b/>
          <w:sz w:val="28"/>
          <w:szCs w:val="28"/>
        </w:rPr>
        <w:t>may</w:t>
      </w:r>
      <w:r w:rsidR="007C1926" w:rsidRPr="00C113CD">
        <w:rPr>
          <w:b/>
          <w:sz w:val="28"/>
          <w:szCs w:val="28"/>
        </w:rPr>
        <w:t xml:space="preserve"> </w:t>
      </w:r>
      <w:r w:rsidR="00D86C5C" w:rsidRPr="00C113CD">
        <w:rPr>
          <w:b/>
          <w:sz w:val="28"/>
          <w:szCs w:val="28"/>
        </w:rPr>
        <w:t>not consider</w:t>
      </w:r>
      <w:r w:rsidR="003F63EC">
        <w:rPr>
          <w:b/>
          <w:sz w:val="28"/>
          <w:szCs w:val="28"/>
        </w:rPr>
        <w:t xml:space="preserve"> that</w:t>
      </w:r>
      <w:r w:rsidR="00D86C5C" w:rsidRPr="00C113CD">
        <w:rPr>
          <w:b/>
          <w:sz w:val="28"/>
          <w:szCs w:val="28"/>
        </w:rPr>
        <w:t xml:space="preserve"> </w:t>
      </w:r>
      <w:r w:rsidR="00C113CD" w:rsidRPr="006B5B11">
        <w:rPr>
          <w:b/>
          <w:sz w:val="28"/>
          <w:szCs w:val="28"/>
        </w:rPr>
        <w:t xml:space="preserve">testimony </w:t>
      </w:r>
      <w:r w:rsidR="00D86C5C" w:rsidRPr="00C113CD">
        <w:rPr>
          <w:b/>
          <w:sz w:val="28"/>
          <w:szCs w:val="28"/>
        </w:rPr>
        <w:t xml:space="preserve">at all. Your verdict </w:t>
      </w:r>
      <w:r w:rsidR="007C1926">
        <w:rPr>
          <w:b/>
          <w:sz w:val="28"/>
          <w:szCs w:val="28"/>
        </w:rPr>
        <w:t xml:space="preserve">must rest upon evidence related </w:t>
      </w:r>
      <w:r w:rsidR="00D86C5C" w:rsidRPr="00C113CD">
        <w:rPr>
          <w:b/>
          <w:sz w:val="28"/>
          <w:szCs w:val="28"/>
        </w:rPr>
        <w:t>to the</w:t>
      </w:r>
      <w:r w:rsidR="00202F4B">
        <w:rPr>
          <w:b/>
          <w:sz w:val="28"/>
          <w:szCs w:val="28"/>
        </w:rPr>
        <w:t xml:space="preserve"> </w:t>
      </w:r>
      <w:r w:rsidR="00D86C5C" w:rsidRPr="00C113CD">
        <w:rPr>
          <w:b/>
          <w:sz w:val="28"/>
          <w:szCs w:val="28"/>
        </w:rPr>
        <w:t>charge(s) contained in the complaint</w:t>
      </w:r>
      <w:r w:rsidR="007C1926">
        <w:rPr>
          <w:b/>
          <w:sz w:val="28"/>
          <w:szCs w:val="28"/>
        </w:rPr>
        <w:t xml:space="preserve"> and not upon the testimony I struck from the record</w:t>
      </w:r>
      <w:r w:rsidR="00D86C5C" w:rsidRPr="00C113CD">
        <w:rPr>
          <w:b/>
          <w:sz w:val="28"/>
          <w:szCs w:val="28"/>
        </w:rPr>
        <w:t>.</w:t>
      </w:r>
    </w:p>
    <w:p w14:paraId="6F58F735" w14:textId="7A402E07" w:rsidR="00D86C5C" w:rsidRPr="00202F4B" w:rsidRDefault="00D86C5C" w:rsidP="00202F4B">
      <w:pPr>
        <w:pStyle w:val="BodyText"/>
        <w:kinsoku w:val="0"/>
        <w:overflowPunct w:val="0"/>
        <w:spacing w:before="4"/>
        <w:jc w:val="center"/>
        <w:rPr>
          <w:sz w:val="22"/>
          <w:szCs w:val="22"/>
          <w:bdr w:val="single" w:sz="4" w:space="0" w:color="auto"/>
        </w:rPr>
      </w:pPr>
    </w:p>
    <w:p w14:paraId="4310A8C9" w14:textId="7FC06AB0" w:rsidR="00D86C5C" w:rsidRPr="00202F4B" w:rsidRDefault="00202F4B" w:rsidP="0029141D">
      <w:pPr>
        <w:pStyle w:val="BodyText"/>
        <w:kinsoku w:val="0"/>
        <w:overflowPunct w:val="0"/>
        <w:rPr>
          <w:sz w:val="22"/>
          <w:szCs w:val="22"/>
          <w:bdr w:val="single" w:sz="4" w:space="0" w:color="auto"/>
        </w:rPr>
      </w:pPr>
      <w:r w:rsidRPr="00202F4B">
        <w:rPr>
          <w:sz w:val="22"/>
          <w:szCs w:val="22"/>
          <w:bdr w:val="single" w:sz="4" w:space="0" w:color="auto"/>
        </w:rPr>
        <w:t xml:space="preserve">II.  WHEN </w:t>
      </w:r>
      <w:r w:rsidRPr="00202F4B">
        <w:rPr>
          <w:rFonts w:eastAsia="Times New Roman"/>
          <w:color w:val="000000"/>
          <w:sz w:val="22"/>
          <w:szCs w:val="22"/>
          <w:bdr w:val="single" w:sz="4" w:space="0" w:color="auto"/>
        </w:rPr>
        <w:t xml:space="preserve">ADMISSIBLE ONLY FOR </w:t>
      </w:r>
      <w:r>
        <w:rPr>
          <w:rFonts w:eastAsia="Times New Roman"/>
          <w:color w:val="000000"/>
          <w:sz w:val="22"/>
          <w:szCs w:val="22"/>
          <w:bdr w:val="single" w:sz="4" w:space="0" w:color="auto"/>
        </w:rPr>
        <w:t xml:space="preserve">A </w:t>
      </w:r>
      <w:r w:rsidRPr="00202F4B">
        <w:rPr>
          <w:rFonts w:eastAsia="Times New Roman"/>
          <w:color w:val="000000"/>
          <w:sz w:val="22"/>
          <w:szCs w:val="22"/>
          <w:bdr w:val="single" w:sz="4" w:space="0" w:color="auto"/>
        </w:rPr>
        <w:t>LIMITED PURPOSE</w:t>
      </w:r>
    </w:p>
    <w:p w14:paraId="7127FCA9" w14:textId="75B924EF" w:rsidR="00D86C5C" w:rsidRPr="00EF445E" w:rsidRDefault="00D86C5C" w:rsidP="0036144E">
      <w:pPr>
        <w:pStyle w:val="Heading1"/>
        <w:kinsoku w:val="0"/>
        <w:overflowPunct w:val="0"/>
        <w:spacing w:before="178" w:line="494" w:lineRule="auto"/>
        <w:ind w:left="0" w:firstLine="720"/>
      </w:pPr>
      <w:r>
        <w:t xml:space="preserve">The defendant is not charged with committing any crime other than the charge(s) contained in the complaint. </w:t>
      </w:r>
      <w:r w:rsidR="0028239C">
        <w:t xml:space="preserve"> </w:t>
      </w:r>
      <w:r>
        <w:t xml:space="preserve">You have heard </w:t>
      </w:r>
      <w:r w:rsidR="00C113CD" w:rsidRPr="00BC1B24">
        <w:t>testimony about</w:t>
      </w:r>
      <w:r>
        <w:t xml:space="preserve"> other acts allegedly done by the defendant</w:t>
      </w:r>
      <w:r w:rsidR="002062A3">
        <w:t xml:space="preserve"> </w:t>
      </w:r>
      <w:r w:rsidR="00197EB9">
        <w:t xml:space="preserve">including </w:t>
      </w:r>
      <w:proofErr w:type="gramStart"/>
      <w:r w:rsidR="0028239C">
        <w:rPr>
          <w:u w:val="single"/>
        </w:rPr>
        <w:t xml:space="preserve">   </w:t>
      </w:r>
      <w:r w:rsidR="00F571D9" w:rsidRPr="0028239C">
        <w:rPr>
          <w:b w:val="0"/>
          <w:bCs w:val="0"/>
          <w:i/>
          <w:iCs/>
          <w:sz w:val="22"/>
          <w:szCs w:val="22"/>
          <w:u w:val="single"/>
        </w:rPr>
        <w:t>[</w:t>
      </w:r>
      <w:proofErr w:type="gramEnd"/>
      <w:r w:rsidR="00197EB9" w:rsidRPr="0028239C">
        <w:rPr>
          <w:b w:val="0"/>
          <w:bCs w:val="0"/>
          <w:i/>
          <w:iCs/>
          <w:sz w:val="22"/>
          <w:szCs w:val="22"/>
          <w:u w:val="single"/>
        </w:rPr>
        <w:t>describe other act(s) generally</w:t>
      </w:r>
      <w:r w:rsidR="00F571D9" w:rsidRPr="0028239C">
        <w:rPr>
          <w:b w:val="0"/>
          <w:bCs w:val="0"/>
          <w:i/>
          <w:iCs/>
          <w:sz w:val="22"/>
          <w:szCs w:val="22"/>
          <w:u w:val="single"/>
        </w:rPr>
        <w:t>]</w:t>
      </w:r>
      <w:r w:rsidR="0028239C">
        <w:rPr>
          <w:b w:val="0"/>
          <w:bCs w:val="0"/>
          <w:i/>
          <w:iCs/>
          <w:sz w:val="22"/>
          <w:szCs w:val="22"/>
          <w:u w:val="single"/>
        </w:rPr>
        <w:t xml:space="preserve">   </w:t>
      </w:r>
      <w:r>
        <w:t xml:space="preserve">. </w:t>
      </w:r>
      <w:r w:rsidR="0028239C">
        <w:t xml:space="preserve"> </w:t>
      </w:r>
      <w:r>
        <w:t xml:space="preserve">You may not take that </w:t>
      </w:r>
      <w:r w:rsidR="00B240C0">
        <w:t xml:space="preserve">testimony </w:t>
      </w:r>
      <w:r>
        <w:t xml:space="preserve">as proof that the defendant committed the crime(s) charged. </w:t>
      </w:r>
      <w:r w:rsidR="0028239C">
        <w:t xml:space="preserve"> </w:t>
      </w:r>
      <w:r w:rsidRPr="00EF445E">
        <w:t>Nor may you consider it as proof that the defendant has a bad character</w:t>
      </w:r>
      <w:r w:rsidR="00EF445E">
        <w:t xml:space="preserve"> or a propensity to commit crimes</w:t>
      </w:r>
      <w:r w:rsidRPr="00EF445E">
        <w:t>.</w:t>
      </w:r>
    </w:p>
    <w:p w14:paraId="7BC9A8C8" w14:textId="4C3E2034" w:rsidR="00A45D53" w:rsidRPr="00A22B42" w:rsidRDefault="00B240C0" w:rsidP="0036144E">
      <w:pPr>
        <w:pStyle w:val="Heading1"/>
        <w:tabs>
          <w:tab w:val="left" w:pos="10204"/>
        </w:tabs>
        <w:kinsoku w:val="0"/>
        <w:overflowPunct w:val="0"/>
        <w:spacing w:line="480" w:lineRule="auto"/>
        <w:ind w:left="0" w:firstLine="720"/>
        <w:rPr>
          <w:w w:val="99"/>
        </w:rPr>
      </w:pPr>
      <w:bookmarkStart w:id="0" w:name="Page_2"/>
      <w:bookmarkEnd w:id="0"/>
      <w:r w:rsidRPr="00A22B42">
        <w:lastRenderedPageBreak/>
        <w:t xml:space="preserve">You </w:t>
      </w:r>
      <w:r w:rsidR="00D86C5C" w:rsidRPr="00A22B42">
        <w:t xml:space="preserve">may consider </w:t>
      </w:r>
      <w:r w:rsidRPr="00A22B42">
        <w:t xml:space="preserve">that testimony </w:t>
      </w:r>
      <w:r w:rsidR="00D86C5C" w:rsidRPr="00A22B42">
        <w:t>solely on the issue</w:t>
      </w:r>
      <w:r w:rsidR="00D86C5C" w:rsidRPr="00A22B42">
        <w:rPr>
          <w:color w:val="FF0000"/>
          <w:spacing w:val="5"/>
        </w:rPr>
        <w:t xml:space="preserve"> </w:t>
      </w:r>
      <w:r w:rsidR="00D86C5C" w:rsidRPr="00A22B42">
        <w:t>of</w:t>
      </w:r>
      <w:r w:rsidR="00D86C5C" w:rsidRPr="00A22B42">
        <w:rPr>
          <w:spacing w:val="1"/>
        </w:rPr>
        <w:t xml:space="preserve"> </w:t>
      </w:r>
      <w:r w:rsidRPr="00A22B42">
        <w:rPr>
          <w:spacing w:val="1"/>
        </w:rPr>
        <w:t xml:space="preserve">[the defendant’s </w:t>
      </w:r>
      <w:r w:rsidR="00EE0218" w:rsidRPr="0028239C">
        <w:rPr>
          <w:b w:val="0"/>
          <w:bCs w:val="0"/>
          <w:i/>
          <w:iCs/>
          <w:spacing w:val="1"/>
          <w:sz w:val="24"/>
          <w:szCs w:val="24"/>
        </w:rPr>
        <w:t>[list</w:t>
      </w:r>
      <w:r w:rsidR="00A474A9" w:rsidRPr="0028239C">
        <w:rPr>
          <w:b w:val="0"/>
          <w:bCs w:val="0"/>
          <w:i/>
          <w:iCs/>
          <w:spacing w:val="1"/>
          <w:sz w:val="24"/>
          <w:szCs w:val="24"/>
        </w:rPr>
        <w:t xml:space="preserve"> only</w:t>
      </w:r>
      <w:r w:rsidR="00EE0218" w:rsidRPr="0028239C">
        <w:rPr>
          <w:b w:val="0"/>
          <w:bCs w:val="0"/>
          <w:i/>
          <w:iCs/>
          <w:spacing w:val="1"/>
          <w:sz w:val="24"/>
          <w:szCs w:val="24"/>
        </w:rPr>
        <w:t xml:space="preserve"> the purpose(s)</w:t>
      </w:r>
      <w:r w:rsidR="00C113CD" w:rsidRPr="0028239C">
        <w:rPr>
          <w:b w:val="0"/>
          <w:bCs w:val="0"/>
          <w:i/>
          <w:iCs/>
          <w:spacing w:val="1"/>
          <w:sz w:val="24"/>
          <w:szCs w:val="24"/>
        </w:rPr>
        <w:t xml:space="preserve"> applicable to </w:t>
      </w:r>
      <w:r w:rsidR="00F571D9" w:rsidRPr="0028239C">
        <w:rPr>
          <w:b w:val="0"/>
          <w:bCs w:val="0"/>
          <w:i/>
          <w:iCs/>
          <w:spacing w:val="1"/>
          <w:sz w:val="24"/>
          <w:szCs w:val="24"/>
        </w:rPr>
        <w:t xml:space="preserve">the </w:t>
      </w:r>
      <w:r w:rsidR="00C113CD" w:rsidRPr="0028239C">
        <w:rPr>
          <w:b w:val="0"/>
          <w:bCs w:val="0"/>
          <w:i/>
          <w:iCs/>
          <w:spacing w:val="1"/>
          <w:sz w:val="24"/>
          <w:szCs w:val="24"/>
        </w:rPr>
        <w:t>case</w:t>
      </w:r>
      <w:r w:rsidR="0022490D" w:rsidRPr="0028239C">
        <w:rPr>
          <w:b w:val="0"/>
          <w:bCs w:val="0"/>
          <w:i/>
          <w:iCs/>
          <w:spacing w:val="1"/>
          <w:sz w:val="24"/>
          <w:szCs w:val="24"/>
        </w:rPr>
        <w:t>]</w:t>
      </w:r>
      <w:r w:rsidR="00D86C5C" w:rsidRPr="00A22B42">
        <w:rPr>
          <w:w w:val="99"/>
        </w:rPr>
        <w:t xml:space="preserve"> </w:t>
      </w:r>
      <w:r w:rsidR="00315345" w:rsidRPr="0028239C">
        <w:t>(</w:t>
      </w:r>
      <w:r w:rsidR="00C113CD" w:rsidRPr="0028239C">
        <w:t>motive</w:t>
      </w:r>
      <w:r w:rsidR="00315345" w:rsidRPr="0028239C">
        <w:t>)</w:t>
      </w:r>
      <w:r w:rsidR="00C113CD" w:rsidRPr="0028239C">
        <w:t xml:space="preserve"> </w:t>
      </w:r>
      <w:r w:rsidR="00315345" w:rsidRPr="0028239C">
        <w:t>(</w:t>
      </w:r>
      <w:r w:rsidR="00C113CD" w:rsidRPr="0028239C">
        <w:t>opportunity</w:t>
      </w:r>
      <w:r w:rsidR="00315345" w:rsidRPr="0028239C">
        <w:t>)</w:t>
      </w:r>
      <w:r w:rsidR="00C113CD" w:rsidRPr="0028239C">
        <w:t xml:space="preserve"> </w:t>
      </w:r>
      <w:r w:rsidR="00315345" w:rsidRPr="0028239C">
        <w:t>(</w:t>
      </w:r>
      <w:r w:rsidR="00C113CD" w:rsidRPr="0028239C">
        <w:t>state of mind</w:t>
      </w:r>
      <w:r w:rsidR="00315345" w:rsidRPr="0028239C">
        <w:t>)</w:t>
      </w:r>
      <w:r w:rsidR="00C113CD" w:rsidRPr="0028239C">
        <w:t xml:space="preserve"> </w:t>
      </w:r>
      <w:r w:rsidR="00315345" w:rsidRPr="0028239C">
        <w:t>(</w:t>
      </w:r>
      <w:r w:rsidR="00C113CD" w:rsidRPr="0028239C">
        <w:t>intent</w:t>
      </w:r>
      <w:r w:rsidR="00315345" w:rsidRPr="0028239C">
        <w:t>)</w:t>
      </w:r>
      <w:r w:rsidR="00C113CD" w:rsidRPr="0028239C">
        <w:t xml:space="preserve"> </w:t>
      </w:r>
      <w:r w:rsidR="00315345" w:rsidRPr="0028239C">
        <w:t>(</w:t>
      </w:r>
      <w:r w:rsidR="00C113CD" w:rsidRPr="0028239C">
        <w:t>preparation</w:t>
      </w:r>
      <w:r w:rsidR="00315345" w:rsidRPr="0028239C">
        <w:t>)</w:t>
      </w:r>
      <w:r w:rsidR="00C113CD" w:rsidRPr="0028239C">
        <w:t xml:space="preserve"> </w:t>
      </w:r>
      <w:r w:rsidR="00315345" w:rsidRPr="0028239C">
        <w:t>(</w:t>
      </w:r>
      <w:r w:rsidR="00C113CD" w:rsidRPr="0028239C">
        <w:t>plan</w:t>
      </w:r>
      <w:r w:rsidR="00315345" w:rsidRPr="0028239C">
        <w:t>)</w:t>
      </w:r>
      <w:r w:rsidR="00C113CD" w:rsidRPr="0028239C">
        <w:t xml:space="preserve"> </w:t>
      </w:r>
      <w:r w:rsidR="00315345" w:rsidRPr="0028239C">
        <w:t>(</w:t>
      </w:r>
      <w:r w:rsidR="00C113CD" w:rsidRPr="0028239C">
        <w:t>pattern of operation</w:t>
      </w:r>
      <w:r w:rsidR="00315345" w:rsidRPr="0028239C">
        <w:t>)</w:t>
      </w:r>
      <w:r w:rsidR="00C113CD" w:rsidRPr="0028239C">
        <w:t xml:space="preserve"> </w:t>
      </w:r>
      <w:r w:rsidR="00315345" w:rsidRPr="0028239C">
        <w:t>(</w:t>
      </w:r>
      <w:r w:rsidR="00C113CD" w:rsidRPr="0028239C">
        <w:t xml:space="preserve">relationship </w:t>
      </w:r>
      <w:r w:rsidR="00D21310" w:rsidRPr="0028239C">
        <w:t>with</w:t>
      </w:r>
      <w:r w:rsidR="00C113CD" w:rsidRPr="0028239C">
        <w:t xml:space="preserve"> the victim</w:t>
      </w:r>
      <w:r w:rsidR="00315345" w:rsidRPr="0028239C">
        <w:t>)</w:t>
      </w:r>
      <w:r w:rsidR="00C113CD" w:rsidRPr="0028239C">
        <w:t xml:space="preserve"> </w:t>
      </w:r>
      <w:r w:rsidR="00315345" w:rsidRPr="0028239C">
        <w:t>(</w:t>
      </w:r>
      <w:r w:rsidR="00C113CD" w:rsidRPr="0028239C">
        <w:t>knowledge</w:t>
      </w:r>
      <w:r w:rsidR="00315345" w:rsidRPr="0028239C">
        <w:t>)</w:t>
      </w:r>
      <w:r w:rsidR="00FE1840" w:rsidRPr="0028239C">
        <w:t xml:space="preserve"> </w:t>
      </w:r>
      <w:r w:rsidR="00315345" w:rsidRPr="0028239C">
        <w:t>(</w:t>
      </w:r>
      <w:r w:rsidR="00C113CD" w:rsidRPr="0028239C">
        <w:t>identity</w:t>
      </w:r>
      <w:r w:rsidR="00315345" w:rsidRPr="0028239C">
        <w:t>)</w:t>
      </w:r>
      <w:r w:rsidR="00241576" w:rsidRPr="0028239C">
        <w:t>]</w:t>
      </w:r>
      <w:r w:rsidR="00FE1840" w:rsidRPr="0028239C">
        <w:t xml:space="preserve"> [the </w:t>
      </w:r>
      <w:r w:rsidR="00C113CD" w:rsidRPr="0028239C">
        <w:t xml:space="preserve">absence of </w:t>
      </w:r>
      <w:r w:rsidR="00FE1840" w:rsidRPr="0028239C">
        <w:t xml:space="preserve">a </w:t>
      </w:r>
      <w:r w:rsidR="00C113CD" w:rsidRPr="0028239C">
        <w:t>mistake</w:t>
      </w:r>
      <w:r w:rsidRPr="0028239C">
        <w:t>] [whether there was a common scheme]</w:t>
      </w:r>
      <w:r w:rsidR="00C113CD" w:rsidRPr="0028239C">
        <w:t>.</w:t>
      </w:r>
    </w:p>
    <w:p w14:paraId="0F0D0172" w14:textId="1739A2CD" w:rsidR="00A45D53" w:rsidRPr="006C75B1" w:rsidRDefault="005C76AF" w:rsidP="009251B9">
      <w:pPr>
        <w:pStyle w:val="BodyText"/>
        <w:ind w:left="720" w:right="720"/>
        <w:rPr>
          <w:bCs/>
          <w:sz w:val="20"/>
          <w:szCs w:val="20"/>
        </w:rPr>
      </w:pPr>
      <w:r w:rsidRPr="006C75B1">
        <w:rPr>
          <w:bCs/>
          <w:sz w:val="20"/>
          <w:szCs w:val="20"/>
        </w:rPr>
        <w:t>See Mass. G</w:t>
      </w:r>
      <w:r w:rsidR="00253DCD" w:rsidRPr="006C75B1">
        <w:rPr>
          <w:bCs/>
          <w:sz w:val="20"/>
          <w:szCs w:val="20"/>
        </w:rPr>
        <w:t>.</w:t>
      </w:r>
      <w:r w:rsidRPr="006C75B1">
        <w:rPr>
          <w:bCs/>
          <w:sz w:val="20"/>
          <w:szCs w:val="20"/>
        </w:rPr>
        <w:t xml:space="preserve"> Evid. </w:t>
      </w:r>
      <w:r w:rsidR="00253DCD" w:rsidRPr="006C75B1">
        <w:rPr>
          <w:bCs/>
          <w:sz w:val="20"/>
          <w:szCs w:val="20"/>
        </w:rPr>
        <w:t xml:space="preserve">§404.  </w:t>
      </w:r>
      <w:r w:rsidR="005B7732" w:rsidRPr="006C75B1">
        <w:rPr>
          <w:bCs/>
          <w:sz w:val="20"/>
          <w:szCs w:val="20"/>
        </w:rPr>
        <w:t xml:space="preserve">In </w:t>
      </w:r>
      <w:r w:rsidR="00A45D53" w:rsidRPr="006C75B1">
        <w:rPr>
          <w:bCs/>
          <w:i/>
          <w:iCs/>
          <w:sz w:val="20"/>
          <w:szCs w:val="20"/>
        </w:rPr>
        <w:t>Commonwealth v. Fernandes</w:t>
      </w:r>
      <w:r w:rsidR="00A45D53" w:rsidRPr="006C75B1">
        <w:rPr>
          <w:bCs/>
          <w:sz w:val="20"/>
          <w:szCs w:val="20"/>
        </w:rPr>
        <w:t xml:space="preserve">, </w:t>
      </w:r>
      <w:r w:rsidR="008F1109" w:rsidRPr="006C75B1">
        <w:rPr>
          <w:bCs/>
          <w:sz w:val="20"/>
          <w:szCs w:val="20"/>
        </w:rPr>
        <w:t xml:space="preserve">492 Mass. 469, </w:t>
      </w:r>
      <w:r w:rsidR="00870C47" w:rsidRPr="006C75B1">
        <w:rPr>
          <w:bCs/>
          <w:sz w:val="20"/>
          <w:szCs w:val="20"/>
        </w:rPr>
        <w:t>489</w:t>
      </w:r>
      <w:r w:rsidR="00A45D53" w:rsidRPr="006C75B1">
        <w:rPr>
          <w:bCs/>
          <w:sz w:val="20"/>
          <w:szCs w:val="20"/>
        </w:rPr>
        <w:t xml:space="preserve"> </w:t>
      </w:r>
      <w:r w:rsidR="00870C47" w:rsidRPr="006C75B1">
        <w:rPr>
          <w:bCs/>
          <w:sz w:val="20"/>
          <w:szCs w:val="20"/>
        </w:rPr>
        <w:t>(</w:t>
      </w:r>
      <w:r w:rsidR="00A45D53" w:rsidRPr="006C75B1">
        <w:rPr>
          <w:bCs/>
          <w:sz w:val="20"/>
          <w:szCs w:val="20"/>
        </w:rPr>
        <w:t xml:space="preserve">2023), </w:t>
      </w:r>
      <w:r w:rsidR="005B7732" w:rsidRPr="006C75B1">
        <w:rPr>
          <w:bCs/>
          <w:sz w:val="20"/>
          <w:szCs w:val="20"/>
        </w:rPr>
        <w:t>t</w:t>
      </w:r>
      <w:r w:rsidR="00A45D53" w:rsidRPr="006C75B1">
        <w:rPr>
          <w:bCs/>
          <w:sz w:val="20"/>
          <w:szCs w:val="20"/>
        </w:rPr>
        <w:t xml:space="preserve">he Supreme Judicial Court held that </w:t>
      </w:r>
      <w:r w:rsidR="00A5695B" w:rsidRPr="006C75B1">
        <w:rPr>
          <w:bCs/>
          <w:sz w:val="20"/>
          <w:szCs w:val="20"/>
        </w:rPr>
        <w:t>“</w:t>
      </w:r>
      <w:r w:rsidR="00A45D53" w:rsidRPr="006C75B1">
        <w:rPr>
          <w:bCs/>
          <w:sz w:val="20"/>
          <w:szCs w:val="20"/>
        </w:rPr>
        <w:t>it is generally insufficient guidance for a trial judge simply to provide a collective list of bad act evidence and then instruct on every permissible purpose</w:t>
      </w:r>
      <w:r w:rsidR="00A5695B" w:rsidRPr="006C75B1">
        <w:rPr>
          <w:bCs/>
          <w:sz w:val="20"/>
          <w:szCs w:val="20"/>
        </w:rPr>
        <w:t>”</w:t>
      </w:r>
      <w:r w:rsidR="00070082" w:rsidRPr="006C75B1">
        <w:rPr>
          <w:bCs/>
          <w:sz w:val="20"/>
          <w:szCs w:val="20"/>
        </w:rPr>
        <w:t>.</w:t>
      </w:r>
      <w:r w:rsidR="005343BB" w:rsidRPr="006C75B1">
        <w:rPr>
          <w:bCs/>
          <w:sz w:val="20"/>
          <w:szCs w:val="20"/>
        </w:rPr>
        <w:t xml:space="preserve"> </w:t>
      </w:r>
      <w:r w:rsidR="0028239C" w:rsidRPr="006C75B1">
        <w:rPr>
          <w:bCs/>
          <w:sz w:val="20"/>
          <w:szCs w:val="20"/>
        </w:rPr>
        <w:t xml:space="preserve"> </w:t>
      </w:r>
      <w:r w:rsidR="005343BB" w:rsidRPr="006C75B1">
        <w:rPr>
          <w:bCs/>
          <w:sz w:val="20"/>
          <w:szCs w:val="20"/>
        </w:rPr>
        <w:t>“[I]</w:t>
      </w:r>
      <w:r w:rsidR="00A45D53" w:rsidRPr="006C75B1">
        <w:rPr>
          <w:bCs/>
          <w:sz w:val="20"/>
          <w:szCs w:val="20"/>
        </w:rPr>
        <w:t xml:space="preserve">it is the responsibility of the trial judge to articulate the specific </w:t>
      </w:r>
      <w:proofErr w:type="spellStart"/>
      <w:r w:rsidR="00A45D53" w:rsidRPr="006C75B1">
        <w:rPr>
          <w:bCs/>
          <w:sz w:val="20"/>
          <w:szCs w:val="20"/>
        </w:rPr>
        <w:t>nonpropensity</w:t>
      </w:r>
      <w:proofErr w:type="spellEnd"/>
      <w:r w:rsidR="00A45D53" w:rsidRPr="006C75B1">
        <w:rPr>
          <w:bCs/>
          <w:sz w:val="20"/>
          <w:szCs w:val="20"/>
        </w:rPr>
        <w:t xml:space="preserve"> purpose(s) for which </w:t>
      </w:r>
      <w:r w:rsidR="005343BB" w:rsidRPr="006C75B1">
        <w:rPr>
          <w:bCs/>
          <w:sz w:val="20"/>
          <w:szCs w:val="20"/>
        </w:rPr>
        <w:t xml:space="preserve">[bad act evidence] </w:t>
      </w:r>
      <w:r w:rsidR="00A45D53" w:rsidRPr="006C75B1">
        <w:rPr>
          <w:bCs/>
          <w:sz w:val="20"/>
          <w:szCs w:val="20"/>
        </w:rPr>
        <w:t>is admitted.</w:t>
      </w:r>
      <w:r w:rsidR="006C75B1" w:rsidRPr="006C75B1">
        <w:rPr>
          <w:bCs/>
          <w:sz w:val="20"/>
          <w:szCs w:val="20"/>
        </w:rPr>
        <w:t>”</w:t>
      </w:r>
      <w:r w:rsidR="00A45D53" w:rsidRPr="006C75B1">
        <w:rPr>
          <w:bCs/>
          <w:sz w:val="20"/>
          <w:szCs w:val="20"/>
        </w:rPr>
        <w:t xml:space="preserve"> </w:t>
      </w:r>
      <w:r w:rsidR="00484376" w:rsidRPr="006C75B1">
        <w:rPr>
          <w:bCs/>
          <w:i/>
          <w:iCs/>
          <w:sz w:val="20"/>
          <w:szCs w:val="20"/>
        </w:rPr>
        <w:t>Fernandes, supra</w:t>
      </w:r>
      <w:r w:rsidR="00DE118C" w:rsidRPr="006C75B1">
        <w:rPr>
          <w:bCs/>
          <w:i/>
          <w:iCs/>
          <w:sz w:val="20"/>
          <w:szCs w:val="20"/>
        </w:rPr>
        <w:t xml:space="preserve"> </w:t>
      </w:r>
      <w:r w:rsidR="00DE118C" w:rsidRPr="006C75B1">
        <w:rPr>
          <w:bCs/>
          <w:sz w:val="20"/>
          <w:szCs w:val="20"/>
        </w:rPr>
        <w:t xml:space="preserve">at </w:t>
      </w:r>
      <w:r w:rsidR="00484376" w:rsidRPr="006C75B1">
        <w:rPr>
          <w:bCs/>
          <w:sz w:val="20"/>
          <w:szCs w:val="20"/>
        </w:rPr>
        <w:t xml:space="preserve">n. 19, citing </w:t>
      </w:r>
      <w:r w:rsidR="00484376" w:rsidRPr="006C75B1">
        <w:rPr>
          <w:bCs/>
          <w:i/>
          <w:iCs/>
          <w:sz w:val="20"/>
          <w:szCs w:val="20"/>
        </w:rPr>
        <w:t>Commonwealth v. Samia</w:t>
      </w:r>
      <w:r w:rsidR="00484376" w:rsidRPr="006C75B1">
        <w:rPr>
          <w:bCs/>
          <w:sz w:val="20"/>
          <w:szCs w:val="20"/>
        </w:rPr>
        <w:t xml:space="preserve">, 492 Mass. 135, 148 n. 8 (2023). </w:t>
      </w:r>
    </w:p>
    <w:p w14:paraId="6B402A69" w14:textId="1C34624C" w:rsidR="00D86C5C" w:rsidRPr="00B4535E" w:rsidRDefault="00D86C5C" w:rsidP="00137B89">
      <w:pPr>
        <w:pStyle w:val="Heading1"/>
        <w:tabs>
          <w:tab w:val="left" w:pos="10204"/>
        </w:tabs>
        <w:kinsoku w:val="0"/>
        <w:overflowPunct w:val="0"/>
        <w:spacing w:line="480" w:lineRule="auto"/>
        <w:ind w:left="0"/>
        <w:rPr>
          <w:color w:val="FF0000"/>
          <w:w w:val="99"/>
        </w:rPr>
      </w:pPr>
      <w:r w:rsidRPr="009D7AA3">
        <w:rPr>
          <w:color w:val="FF0000"/>
        </w:rPr>
        <w:tab/>
      </w:r>
    </w:p>
    <w:p w14:paraId="22FACC53" w14:textId="47E2A3FE" w:rsidR="00D86C5C" w:rsidRDefault="00D86C5C" w:rsidP="00A82BDF">
      <w:pPr>
        <w:pStyle w:val="Heading1"/>
        <w:kinsoku w:val="0"/>
        <w:overflowPunct w:val="0"/>
        <w:spacing w:line="480" w:lineRule="auto"/>
        <w:ind w:firstLine="600"/>
      </w:pPr>
      <w:r>
        <w:t>You may not consider this evidence for any other purpose.</w:t>
      </w:r>
      <w:r w:rsidR="00B4535E">
        <w:t xml:space="preserve"> </w:t>
      </w:r>
      <w:r w:rsidRPr="00C113CD">
        <w:t xml:space="preserve">Specifically, you may not use it to conclude that if the defendant committed the other act(s), </w:t>
      </w:r>
      <w:r w:rsidR="00D044F4" w:rsidRPr="00DF6A29">
        <w:t xml:space="preserve">they </w:t>
      </w:r>
      <w:r w:rsidRPr="00C113CD">
        <w:t>must also have committed th</w:t>
      </w:r>
      <w:r w:rsidR="00F168CB">
        <w:t>e offense(s</w:t>
      </w:r>
      <w:r w:rsidRPr="00C113CD">
        <w:t>)</w:t>
      </w:r>
      <w:r w:rsidR="000A6586">
        <w:t xml:space="preserve"> alleged in the complaint</w:t>
      </w:r>
      <w:r w:rsidRPr="00C113CD">
        <w:t>.</w:t>
      </w:r>
    </w:p>
    <w:p w14:paraId="495B2F2F" w14:textId="349A8C70" w:rsidR="00C113CD" w:rsidRDefault="00C113CD" w:rsidP="004E0BFC">
      <w:pPr>
        <w:pStyle w:val="BodyText"/>
        <w:rPr>
          <w:b/>
          <w:color w:val="FF0000"/>
          <w:sz w:val="28"/>
          <w:szCs w:val="28"/>
        </w:rPr>
      </w:pPr>
    </w:p>
    <w:p w14:paraId="280A7EAE" w14:textId="6C6F592B" w:rsidR="006575F9" w:rsidRPr="00420E84" w:rsidRDefault="006575F9" w:rsidP="001075BA">
      <w:pPr>
        <w:pStyle w:val="BodyText"/>
        <w:ind w:firstLine="720"/>
        <w:rPr>
          <w:b/>
          <w:sz w:val="20"/>
          <w:szCs w:val="20"/>
        </w:rPr>
      </w:pPr>
      <w:r w:rsidRPr="00420E84">
        <w:rPr>
          <w:b/>
          <w:sz w:val="20"/>
          <w:szCs w:val="20"/>
          <w:u w:val="single"/>
        </w:rPr>
        <w:t>NOTES:</w:t>
      </w:r>
      <w:r w:rsidRPr="00420E84">
        <w:rPr>
          <w:b/>
          <w:sz w:val="20"/>
          <w:szCs w:val="20"/>
        </w:rPr>
        <w:t xml:space="preserve">  </w:t>
      </w:r>
    </w:p>
    <w:p w14:paraId="5B0BE0C2" w14:textId="77777777" w:rsidR="00665F67" w:rsidRPr="00793E26" w:rsidRDefault="00665F67" w:rsidP="00420E84">
      <w:pPr>
        <w:pStyle w:val="BodyText"/>
        <w:rPr>
          <w:b/>
          <w:color w:val="FF0000"/>
          <w:sz w:val="20"/>
          <w:szCs w:val="20"/>
          <w:u w:val="single"/>
        </w:rPr>
      </w:pPr>
    </w:p>
    <w:p w14:paraId="71BA66C3" w14:textId="3C25CDA6" w:rsidR="00665F67" w:rsidRPr="007C5300" w:rsidRDefault="00665F67" w:rsidP="00665F67">
      <w:pPr>
        <w:pStyle w:val="BodyTextFirstIndent2"/>
        <w:numPr>
          <w:ilvl w:val="0"/>
          <w:numId w:val="3"/>
        </w:numPr>
        <w:ind w:left="0" w:firstLine="720"/>
        <w:rPr>
          <w:sz w:val="20"/>
          <w:szCs w:val="20"/>
        </w:rPr>
      </w:pPr>
      <w:r w:rsidRPr="00BA16EC">
        <w:rPr>
          <w:b/>
          <w:bCs/>
          <w:sz w:val="20"/>
          <w:szCs w:val="20"/>
        </w:rPr>
        <w:t xml:space="preserve">Admissibility.  </w:t>
      </w:r>
      <w:r w:rsidRPr="00793E26">
        <w:rPr>
          <w:sz w:val="20"/>
          <w:szCs w:val="20"/>
        </w:rPr>
        <w:t xml:space="preserve">Evidence of prior </w:t>
      </w:r>
      <w:r>
        <w:rPr>
          <w:sz w:val="20"/>
          <w:szCs w:val="20"/>
        </w:rPr>
        <w:t xml:space="preserve">or subsequent </w:t>
      </w:r>
      <w:r w:rsidRPr="00793E26">
        <w:rPr>
          <w:sz w:val="20"/>
          <w:szCs w:val="20"/>
        </w:rPr>
        <w:t xml:space="preserve">bad acts is not admissible to demonstrate the defendant’s bad character or propensity to commit the crime charged but, if not too remote in time, may be admissible to show motive, opportunity, state of mind, intent, preparation, plan, pattern of operation, common scheme, relationship between a defendant and a victim, knowledge, identity, or absence of mistake or accident. </w:t>
      </w:r>
      <w:r>
        <w:rPr>
          <w:sz w:val="20"/>
          <w:szCs w:val="20"/>
        </w:rPr>
        <w:t xml:space="preserve"> See Mass. G. Evid. 4.04.  See </w:t>
      </w:r>
      <w:r w:rsidRPr="00793E26">
        <w:rPr>
          <w:i/>
          <w:iCs/>
          <w:sz w:val="20"/>
          <w:szCs w:val="20"/>
        </w:rPr>
        <w:t xml:space="preserve">Commonwealth v. </w:t>
      </w:r>
      <w:proofErr w:type="spellStart"/>
      <w:r w:rsidRPr="00793E26">
        <w:rPr>
          <w:i/>
          <w:iCs/>
          <w:sz w:val="20"/>
          <w:szCs w:val="20"/>
        </w:rPr>
        <w:t>B</w:t>
      </w:r>
      <w:r w:rsidRPr="007C5300">
        <w:rPr>
          <w:i/>
          <w:iCs/>
          <w:sz w:val="20"/>
          <w:szCs w:val="20"/>
        </w:rPr>
        <w:t>rusgulis</w:t>
      </w:r>
      <w:proofErr w:type="spellEnd"/>
      <w:r w:rsidRPr="007C5300">
        <w:rPr>
          <w:i/>
          <w:iCs/>
          <w:sz w:val="20"/>
          <w:szCs w:val="20"/>
        </w:rPr>
        <w:t xml:space="preserve">, </w:t>
      </w:r>
      <w:r w:rsidRPr="007C5300">
        <w:rPr>
          <w:sz w:val="20"/>
          <w:szCs w:val="20"/>
        </w:rPr>
        <w:t xml:space="preserve">406 Mass. 501, 505 (1990) (admissible on modus operandi only if prior and current crime share “a special mark or distinctiveness”); </w:t>
      </w:r>
      <w:r w:rsidRPr="007C5300">
        <w:rPr>
          <w:i/>
          <w:iCs/>
          <w:sz w:val="20"/>
          <w:szCs w:val="20"/>
        </w:rPr>
        <w:t xml:space="preserve">Commonwealth v. </w:t>
      </w:r>
      <w:proofErr w:type="spellStart"/>
      <w:r w:rsidRPr="007C5300">
        <w:rPr>
          <w:i/>
          <w:iCs/>
          <w:sz w:val="20"/>
          <w:szCs w:val="20"/>
        </w:rPr>
        <w:t>Helfant</w:t>
      </w:r>
      <w:proofErr w:type="spellEnd"/>
      <w:r w:rsidRPr="007C5300">
        <w:rPr>
          <w:sz w:val="20"/>
          <w:szCs w:val="20"/>
        </w:rPr>
        <w:t xml:space="preserve">, 398 Mass. 214, 228 n.13 (1986) (there </w:t>
      </w:r>
      <w:r w:rsidRPr="007C5300">
        <w:rPr>
          <w:rStyle w:val="ssrfcpassagedeactivated"/>
          <w:color w:val="000000"/>
          <w:sz w:val="20"/>
          <w:szCs w:val="20"/>
          <w:bdr w:val="none" w:sz="0" w:space="0" w:color="auto" w:frame="1"/>
        </w:rPr>
        <w:t>is no bright-line test for determining temporal remoteness of evidence of prior misconduct and depends on the logical relationship between the act and the crime charged)</w:t>
      </w:r>
      <w:r w:rsidRPr="007C5300">
        <w:rPr>
          <w:sz w:val="20"/>
          <w:szCs w:val="20"/>
        </w:rPr>
        <w:t>.</w:t>
      </w:r>
      <w:r>
        <w:rPr>
          <w:sz w:val="20"/>
          <w:szCs w:val="20"/>
        </w:rPr>
        <w:t xml:space="preserve"> </w:t>
      </w:r>
      <w:r w:rsidRPr="007C5300">
        <w:rPr>
          <w:sz w:val="20"/>
          <w:szCs w:val="20"/>
        </w:rPr>
        <w:t xml:space="preserve">When evidence of other bad acts is admitted, the jury must be instructed with particular care on how to use it, in order to avoid diversionary misuse of such information. </w:t>
      </w:r>
      <w:r w:rsidRPr="007C5300">
        <w:rPr>
          <w:i/>
          <w:iCs/>
          <w:sz w:val="20"/>
          <w:szCs w:val="20"/>
        </w:rPr>
        <w:t>Id.</w:t>
      </w:r>
      <w:r w:rsidRPr="007C5300">
        <w:rPr>
          <w:sz w:val="20"/>
          <w:szCs w:val="20"/>
        </w:rPr>
        <w:t xml:space="preserve"> at 505-506. </w:t>
      </w:r>
    </w:p>
    <w:p w14:paraId="17054373" w14:textId="77777777" w:rsidR="00665F67" w:rsidRPr="009040E6" w:rsidRDefault="00665F67" w:rsidP="00665F67">
      <w:pPr>
        <w:pStyle w:val="BodyTextFirstIndent2"/>
        <w:ind w:left="0" w:firstLine="720"/>
        <w:rPr>
          <w:sz w:val="20"/>
          <w:szCs w:val="20"/>
        </w:rPr>
      </w:pPr>
      <w:r>
        <w:rPr>
          <w:rStyle w:val="ssrfcpassagedeactivated"/>
          <w:color w:val="000000"/>
          <w:sz w:val="20"/>
          <w:szCs w:val="20"/>
          <w:bdr w:val="none" w:sz="0" w:space="0" w:color="auto" w:frame="1"/>
        </w:rPr>
        <w:t xml:space="preserve">To be admissible, the judge must be </w:t>
      </w:r>
      <w:r w:rsidRPr="00313E9B">
        <w:rPr>
          <w:rStyle w:val="ssrfcpassagedeactivated"/>
          <w:color w:val="000000"/>
          <w:sz w:val="20"/>
          <w:szCs w:val="20"/>
          <w:bdr w:val="none" w:sz="0" w:space="0" w:color="auto" w:frame="1"/>
        </w:rPr>
        <w:t>satisfied that a reasonable jury could find that the event took place</w:t>
      </w:r>
      <w:r>
        <w:rPr>
          <w:rStyle w:val="ssrfcpassagedeactivated"/>
          <w:color w:val="000000"/>
          <w:sz w:val="20"/>
          <w:szCs w:val="20"/>
          <w:bdr w:val="none" w:sz="0" w:space="0" w:color="auto" w:frame="1"/>
        </w:rPr>
        <w:t xml:space="preserve">, the </w:t>
      </w:r>
      <w:r w:rsidRPr="00313E9B">
        <w:rPr>
          <w:rStyle w:val="ssrfcpassagedeactivated"/>
          <w:color w:val="000000"/>
          <w:sz w:val="20"/>
          <w:szCs w:val="20"/>
          <w:bdr w:val="none" w:sz="0" w:space="0" w:color="auto" w:frame="1"/>
        </w:rPr>
        <w:t>evidence must be probative of a fact at issue and not be too remote in time</w:t>
      </w:r>
      <w:r>
        <w:rPr>
          <w:rStyle w:val="ssrfcpassagedeactivated"/>
          <w:color w:val="000000"/>
          <w:sz w:val="20"/>
          <w:szCs w:val="20"/>
          <w:bdr w:val="none" w:sz="0" w:space="0" w:color="auto" w:frame="1"/>
        </w:rPr>
        <w:t xml:space="preserve">, and the probative value outweighs any undue prejudice.  See Mass. G. Evid. 4.04.  See </w:t>
      </w:r>
      <w:r w:rsidRPr="00016CB7">
        <w:rPr>
          <w:rStyle w:val="ac"/>
          <w:i/>
          <w:iCs/>
          <w:sz w:val="20"/>
          <w:szCs w:val="20"/>
          <w:bdr w:val="none" w:sz="0" w:space="0" w:color="auto" w:frame="1"/>
          <w:shd w:val="clear" w:color="auto" w:fill="FFFFFF"/>
        </w:rPr>
        <w:t>Commonwealth v. West</w:t>
      </w:r>
      <w:r w:rsidRPr="00016CB7">
        <w:rPr>
          <w:rStyle w:val="ac"/>
          <w:sz w:val="20"/>
          <w:szCs w:val="20"/>
          <w:bdr w:val="none" w:sz="0" w:space="0" w:color="auto" w:frame="1"/>
          <w:shd w:val="clear" w:color="auto" w:fill="FFFFFF"/>
        </w:rPr>
        <w:t>, 487 Mass. 794, 805</w:t>
      </w:r>
      <w:r w:rsidRPr="00244982">
        <w:rPr>
          <w:sz w:val="20"/>
          <w:szCs w:val="20"/>
        </w:rPr>
        <w:t xml:space="preserve"> (2021).  </w:t>
      </w:r>
      <w:r w:rsidRPr="00244982">
        <w:rPr>
          <w:rStyle w:val="ssrfcpassagedeactivated"/>
          <w:color w:val="000000"/>
          <w:sz w:val="20"/>
          <w:szCs w:val="20"/>
          <w:bdr w:val="none" w:sz="0" w:space="0" w:color="auto" w:frame="1"/>
        </w:rPr>
        <w:t>In order for evidence to be sufficiently probative, there must be a “logical relationship” between the </w:t>
      </w:r>
      <w:r w:rsidRPr="00244982">
        <w:rPr>
          <w:rStyle w:val="sssh"/>
          <w:color w:val="000000"/>
          <w:sz w:val="20"/>
          <w:szCs w:val="20"/>
          <w:bdr w:val="none" w:sz="0" w:space="0" w:color="auto" w:frame="1"/>
        </w:rPr>
        <w:t>prior bad act</w:t>
      </w:r>
      <w:r w:rsidRPr="009040E6">
        <w:rPr>
          <w:rStyle w:val="ssrfcpassagedeactivated"/>
          <w:color w:val="000000"/>
          <w:sz w:val="20"/>
          <w:szCs w:val="20"/>
          <w:bdr w:val="none" w:sz="0" w:space="0" w:color="auto" w:frame="1"/>
        </w:rPr>
        <w:t> and the crime charged. See </w:t>
      </w:r>
      <w:r w:rsidRPr="009040E6">
        <w:rPr>
          <w:rStyle w:val="ssit"/>
          <w:i/>
          <w:iCs/>
          <w:color w:val="000000"/>
          <w:sz w:val="20"/>
          <w:szCs w:val="20"/>
          <w:bdr w:val="none" w:sz="0" w:space="0" w:color="auto" w:frame="1"/>
        </w:rPr>
        <w:t>Commonwealth</w:t>
      </w:r>
      <w:r w:rsidRPr="009040E6">
        <w:rPr>
          <w:rStyle w:val="ssrfcpassagedeactivated"/>
          <w:color w:val="000000"/>
          <w:sz w:val="20"/>
          <w:szCs w:val="20"/>
          <w:bdr w:val="none" w:sz="0" w:space="0" w:color="auto" w:frame="1"/>
        </w:rPr>
        <w:t> v. </w:t>
      </w:r>
      <w:proofErr w:type="spellStart"/>
      <w:r w:rsidRPr="009040E6">
        <w:rPr>
          <w:rStyle w:val="ssit"/>
          <w:i/>
          <w:iCs/>
          <w:color w:val="000000"/>
          <w:sz w:val="20"/>
          <w:szCs w:val="20"/>
          <w:bdr w:val="none" w:sz="0" w:space="0" w:color="auto" w:frame="1"/>
        </w:rPr>
        <w:t>Facella</w:t>
      </w:r>
      <w:proofErr w:type="spellEnd"/>
      <w:r w:rsidRPr="009040E6">
        <w:rPr>
          <w:rStyle w:val="ssrfcpassagedeactivated"/>
          <w:color w:val="000000"/>
          <w:sz w:val="20"/>
          <w:szCs w:val="20"/>
          <w:bdr w:val="none" w:sz="0" w:space="0" w:color="auto" w:frame="1"/>
        </w:rPr>
        <w:t>, 478 Mass. 393, 405</w:t>
      </w:r>
      <w:r>
        <w:rPr>
          <w:rStyle w:val="ssrfcpassagedeactivated"/>
          <w:color w:val="000000"/>
          <w:sz w:val="20"/>
          <w:szCs w:val="20"/>
          <w:bdr w:val="none" w:sz="0" w:space="0" w:color="auto" w:frame="1"/>
        </w:rPr>
        <w:t xml:space="preserve"> </w:t>
      </w:r>
      <w:r w:rsidRPr="009040E6">
        <w:rPr>
          <w:rStyle w:val="ssrfcpassagedeactivated"/>
          <w:color w:val="000000"/>
          <w:sz w:val="20"/>
          <w:szCs w:val="20"/>
          <w:bdr w:val="none" w:sz="0" w:space="0" w:color="auto" w:frame="1"/>
        </w:rPr>
        <w:t>(2017).</w:t>
      </w:r>
    </w:p>
    <w:p w14:paraId="663B6333" w14:textId="77777777" w:rsidR="00F30665" w:rsidRDefault="00665F67" w:rsidP="00CE3F21">
      <w:pPr>
        <w:pStyle w:val="BodyTextFirstIndent2"/>
        <w:ind w:left="0" w:firstLine="720"/>
        <w:rPr>
          <w:rStyle w:val="ssrfcsection"/>
          <w:color w:val="000000"/>
          <w:sz w:val="20"/>
          <w:szCs w:val="20"/>
          <w:bdr w:val="none" w:sz="0" w:space="0" w:color="auto" w:frame="1"/>
        </w:rPr>
      </w:pPr>
      <w:r w:rsidRPr="0082204B">
        <w:rPr>
          <w:rStyle w:val="ssrfcsection"/>
          <w:sz w:val="20"/>
          <w:szCs w:val="20"/>
          <w:bdr w:val="none" w:sz="0" w:space="0" w:color="auto" w:frame="1"/>
        </w:rPr>
        <w:lastRenderedPageBreak/>
        <w:t>The judge must articulate on the record “</w:t>
      </w:r>
      <w:r>
        <w:rPr>
          <w:rStyle w:val="ssrfcsection"/>
          <w:sz w:val="20"/>
          <w:szCs w:val="20"/>
          <w:bdr w:val="none" w:sz="0" w:space="0" w:color="auto" w:frame="1"/>
        </w:rPr>
        <w:t>’</w:t>
      </w:r>
      <w:r w:rsidRPr="0082204B">
        <w:rPr>
          <w:rStyle w:val="ssrfcsection"/>
          <w:sz w:val="20"/>
          <w:szCs w:val="20"/>
          <w:bdr w:val="none" w:sz="0" w:space="0" w:color="auto" w:frame="1"/>
        </w:rPr>
        <w:t>the precise manner in which the [</w:t>
      </w:r>
      <w:r w:rsidRPr="0082204B">
        <w:rPr>
          <w:rStyle w:val="sssh"/>
          <w:sz w:val="20"/>
          <w:szCs w:val="20"/>
          <w:bdr w:val="none" w:sz="0" w:space="0" w:color="auto" w:frame="1"/>
        </w:rPr>
        <w:t>bad</w:t>
      </w:r>
      <w:r w:rsidRPr="0082204B">
        <w:rPr>
          <w:rStyle w:val="ssrfcsection"/>
          <w:sz w:val="20"/>
          <w:szCs w:val="20"/>
          <w:bdr w:val="none" w:sz="0" w:space="0" w:color="auto" w:frame="1"/>
        </w:rPr>
        <w:t> </w:t>
      </w:r>
      <w:r w:rsidRPr="0082204B">
        <w:rPr>
          <w:rStyle w:val="sssh"/>
          <w:sz w:val="20"/>
          <w:szCs w:val="20"/>
          <w:bdr w:val="none" w:sz="0" w:space="0" w:color="auto" w:frame="1"/>
        </w:rPr>
        <w:t>act</w:t>
      </w:r>
      <w:r w:rsidRPr="0082204B">
        <w:rPr>
          <w:rStyle w:val="ssrfcsection"/>
          <w:sz w:val="20"/>
          <w:szCs w:val="20"/>
          <w:bdr w:val="none" w:sz="0" w:space="0" w:color="auto" w:frame="1"/>
        </w:rPr>
        <w:t> evidence] is relevant and material to the facts of the particular case.</w:t>
      </w:r>
      <w:r>
        <w:rPr>
          <w:rStyle w:val="ssrfcsection"/>
          <w:sz w:val="20"/>
          <w:szCs w:val="20"/>
          <w:bdr w:val="none" w:sz="0" w:space="0" w:color="auto" w:frame="1"/>
        </w:rPr>
        <w:t>’</w:t>
      </w:r>
      <w:r w:rsidRPr="004D589B">
        <w:rPr>
          <w:rStyle w:val="ssrfcsection"/>
          <w:sz w:val="20"/>
          <w:szCs w:val="20"/>
          <w:bdr w:val="none" w:sz="0" w:space="0" w:color="auto" w:frame="1"/>
        </w:rPr>
        <w:t xml:space="preserve">”  </w:t>
      </w:r>
      <w:r w:rsidRPr="004D589B">
        <w:rPr>
          <w:rStyle w:val="ac"/>
          <w:i/>
          <w:iCs/>
          <w:sz w:val="20"/>
          <w:szCs w:val="20"/>
          <w:bdr w:val="none" w:sz="0" w:space="0" w:color="auto" w:frame="1"/>
          <w:shd w:val="clear" w:color="auto" w:fill="FFFFFF"/>
        </w:rPr>
        <w:t>Commonwealth v. Samia,</w:t>
      </w:r>
      <w:r w:rsidRPr="004D589B">
        <w:rPr>
          <w:rStyle w:val="ac"/>
          <w:sz w:val="20"/>
          <w:szCs w:val="20"/>
          <w:bdr w:val="none" w:sz="0" w:space="0" w:color="auto" w:frame="1"/>
          <w:shd w:val="clear" w:color="auto" w:fill="FFFFFF"/>
        </w:rPr>
        <w:t xml:space="preserve"> 492 Mass. 135, 148</w:t>
      </w:r>
      <w:r w:rsidRPr="004D589B">
        <w:rPr>
          <w:sz w:val="20"/>
          <w:szCs w:val="20"/>
        </w:rPr>
        <w:t xml:space="preserve"> </w:t>
      </w:r>
      <w:r w:rsidRPr="0082204B">
        <w:rPr>
          <w:sz w:val="20"/>
          <w:szCs w:val="20"/>
        </w:rPr>
        <w:t>n. 8 (2023), quoting</w:t>
      </w:r>
      <w:r w:rsidRPr="0082204B">
        <w:rPr>
          <w:rStyle w:val="ssrfcsection"/>
          <w:sz w:val="20"/>
          <w:szCs w:val="20"/>
          <w:bdr w:val="none" w:sz="0" w:space="0" w:color="auto" w:frame="1"/>
        </w:rPr>
        <w:t> </w:t>
      </w:r>
      <w:r w:rsidRPr="0082204B">
        <w:rPr>
          <w:rStyle w:val="ssit"/>
          <w:i/>
          <w:iCs/>
          <w:sz w:val="20"/>
          <w:szCs w:val="20"/>
          <w:bdr w:val="none" w:sz="0" w:space="0" w:color="auto" w:frame="1"/>
        </w:rPr>
        <w:t>Commonwealth</w:t>
      </w:r>
      <w:r w:rsidRPr="0082204B">
        <w:rPr>
          <w:rStyle w:val="ssrfcsection"/>
          <w:sz w:val="20"/>
          <w:szCs w:val="20"/>
          <w:bdr w:val="none" w:sz="0" w:space="0" w:color="auto" w:frame="1"/>
        </w:rPr>
        <w:t> v. </w:t>
      </w:r>
      <w:r w:rsidRPr="0082204B">
        <w:rPr>
          <w:rStyle w:val="ssit"/>
          <w:i/>
          <w:iCs/>
          <w:sz w:val="20"/>
          <w:szCs w:val="20"/>
          <w:bdr w:val="none" w:sz="0" w:space="0" w:color="auto" w:frame="1"/>
        </w:rPr>
        <w:t>Andre</w:t>
      </w:r>
      <w:r w:rsidRPr="0082204B">
        <w:rPr>
          <w:rStyle w:val="ssrfcsection"/>
          <w:sz w:val="20"/>
          <w:szCs w:val="20"/>
          <w:bdr w:val="none" w:sz="0" w:space="0" w:color="auto" w:frame="1"/>
        </w:rPr>
        <w:t>, 484 Mass. 403, 415 (2020).  “[T]</w:t>
      </w:r>
      <w:r w:rsidRPr="0082204B">
        <w:rPr>
          <w:rStyle w:val="ssrfcsection"/>
          <w:color w:val="000000"/>
          <w:sz w:val="20"/>
          <w:szCs w:val="20"/>
          <w:bdr w:val="none" w:sz="0" w:space="0" w:color="auto" w:frame="1"/>
        </w:rPr>
        <w:t>he best practice is for the judge to consider and articulate on the record the risk that the jury will ignore the limiting instruction and make the prohibited character inference and use the evidence for an inadmissible purpose, such as propensity.” </w:t>
      </w:r>
      <w:r>
        <w:rPr>
          <w:rStyle w:val="ssrfcsection"/>
          <w:color w:val="000000"/>
          <w:sz w:val="20"/>
          <w:szCs w:val="20"/>
          <w:bdr w:val="none" w:sz="0" w:space="0" w:color="auto" w:frame="1"/>
        </w:rPr>
        <w:t xml:space="preserve"> </w:t>
      </w:r>
      <w:r>
        <w:rPr>
          <w:rStyle w:val="ssit"/>
          <w:i/>
          <w:iCs/>
          <w:color w:val="000000"/>
          <w:sz w:val="20"/>
          <w:szCs w:val="20"/>
          <w:bdr w:val="none" w:sz="0" w:space="0" w:color="auto" w:frame="1"/>
        </w:rPr>
        <w:t>Id</w:t>
      </w:r>
      <w:r w:rsidRPr="0082204B">
        <w:rPr>
          <w:rStyle w:val="ssrfcsection"/>
          <w:color w:val="000000"/>
          <w:sz w:val="20"/>
          <w:szCs w:val="20"/>
          <w:bdr w:val="none" w:sz="0" w:space="0" w:color="auto" w:frame="1"/>
        </w:rPr>
        <w:t>. </w:t>
      </w:r>
      <w:r>
        <w:rPr>
          <w:rStyle w:val="ssrfcsection"/>
          <w:color w:val="000000"/>
          <w:sz w:val="20"/>
          <w:szCs w:val="20"/>
          <w:bdr w:val="none" w:sz="0" w:space="0" w:color="auto" w:frame="1"/>
        </w:rPr>
        <w:t xml:space="preserve"> </w:t>
      </w:r>
      <w:r w:rsidRPr="0082204B">
        <w:rPr>
          <w:rStyle w:val="ssrfcsection"/>
          <w:color w:val="000000"/>
          <w:sz w:val="20"/>
          <w:szCs w:val="20"/>
          <w:bdr w:val="none" w:sz="0" w:space="0" w:color="auto" w:frame="1"/>
        </w:rPr>
        <w:t>“’Once the judge articulates these considerations </w:t>
      </w:r>
      <w:r w:rsidRPr="0082204B">
        <w:rPr>
          <w:rStyle w:val="ssit"/>
          <w:i/>
          <w:iCs/>
          <w:color w:val="000000"/>
          <w:sz w:val="20"/>
          <w:szCs w:val="20"/>
          <w:bdr w:val="none" w:sz="0" w:space="0" w:color="auto" w:frame="1"/>
        </w:rPr>
        <w:t>on the record</w:t>
      </w:r>
      <w:r w:rsidRPr="0082204B">
        <w:rPr>
          <w:rStyle w:val="ssrfcsection"/>
          <w:color w:val="000000"/>
          <w:sz w:val="20"/>
          <w:szCs w:val="20"/>
          <w:bdr w:val="none" w:sz="0" w:space="0" w:color="auto" w:frame="1"/>
        </w:rPr>
        <w:t>, it is then within the judge's discretion to determine whether the probative value of the [</w:t>
      </w:r>
      <w:r w:rsidRPr="0082204B">
        <w:rPr>
          <w:rStyle w:val="sssh"/>
          <w:color w:val="000000"/>
          <w:sz w:val="20"/>
          <w:szCs w:val="20"/>
          <w:bdr w:val="none" w:sz="0" w:space="0" w:color="auto" w:frame="1"/>
        </w:rPr>
        <w:t>bad</w:t>
      </w:r>
      <w:r w:rsidRPr="0082204B">
        <w:rPr>
          <w:rStyle w:val="ssrfcsection"/>
          <w:color w:val="000000"/>
          <w:sz w:val="20"/>
          <w:szCs w:val="20"/>
          <w:bdr w:val="none" w:sz="0" w:space="0" w:color="auto" w:frame="1"/>
        </w:rPr>
        <w:t> </w:t>
      </w:r>
      <w:r w:rsidRPr="0082204B">
        <w:rPr>
          <w:rStyle w:val="sssh"/>
          <w:color w:val="000000"/>
          <w:sz w:val="20"/>
          <w:szCs w:val="20"/>
          <w:bdr w:val="none" w:sz="0" w:space="0" w:color="auto" w:frame="1"/>
        </w:rPr>
        <w:t>act</w:t>
      </w:r>
      <w:r w:rsidRPr="0082204B">
        <w:rPr>
          <w:rStyle w:val="ssrfcsection"/>
          <w:color w:val="000000"/>
          <w:sz w:val="20"/>
          <w:szCs w:val="20"/>
          <w:bdr w:val="none" w:sz="0" w:space="0" w:color="auto" w:frame="1"/>
        </w:rPr>
        <w:t xml:space="preserve"> evidence] is outweighed by the risk of prejudicial effect on the defendant,’ taking into account the effectiveness of a proper limiting instruction.”  </w:t>
      </w:r>
      <w:r w:rsidRPr="0082204B">
        <w:rPr>
          <w:rStyle w:val="ssrfcsection"/>
          <w:i/>
          <w:iCs/>
          <w:color w:val="000000"/>
          <w:sz w:val="20"/>
          <w:szCs w:val="20"/>
          <w:bdr w:val="none" w:sz="0" w:space="0" w:color="auto" w:frame="1"/>
        </w:rPr>
        <w:t>Id.</w:t>
      </w:r>
      <w:r w:rsidRPr="0082204B">
        <w:rPr>
          <w:rStyle w:val="ssrfcsection"/>
          <w:color w:val="000000"/>
          <w:sz w:val="20"/>
          <w:szCs w:val="20"/>
          <w:bdr w:val="none" w:sz="0" w:space="0" w:color="auto" w:frame="1"/>
        </w:rPr>
        <w:t xml:space="preserve">, quoting </w:t>
      </w:r>
      <w:r w:rsidRPr="0082204B">
        <w:rPr>
          <w:rStyle w:val="ssrfcsection"/>
          <w:i/>
          <w:iCs/>
          <w:color w:val="000000"/>
          <w:sz w:val="20"/>
          <w:szCs w:val="20"/>
          <w:bdr w:val="none" w:sz="0" w:space="0" w:color="auto" w:frame="1"/>
        </w:rPr>
        <w:t>Andre, supra</w:t>
      </w:r>
      <w:r w:rsidRPr="0082204B">
        <w:rPr>
          <w:rStyle w:val="ssrfcsection"/>
          <w:color w:val="000000"/>
          <w:sz w:val="20"/>
          <w:szCs w:val="20"/>
          <w:bdr w:val="none" w:sz="0" w:space="0" w:color="auto" w:frame="1"/>
        </w:rPr>
        <w:t>.</w:t>
      </w:r>
    </w:p>
    <w:p w14:paraId="20C8112A" w14:textId="2CA955E9" w:rsidR="00BC7ED8" w:rsidRPr="0036726D" w:rsidRDefault="00F30665" w:rsidP="00CE3F21">
      <w:pPr>
        <w:pStyle w:val="BodyTextFirstIndent2"/>
        <w:ind w:left="0" w:firstLine="720"/>
        <w:rPr>
          <w:sz w:val="20"/>
          <w:szCs w:val="20"/>
        </w:rPr>
      </w:pPr>
      <w:r w:rsidRPr="00F30665">
        <w:rPr>
          <w:rStyle w:val="ssrfcsection"/>
          <w:b/>
          <w:bCs/>
          <w:color w:val="000000"/>
          <w:sz w:val="20"/>
          <w:szCs w:val="20"/>
          <w:bdr w:val="none" w:sz="0" w:space="0" w:color="auto" w:frame="1"/>
        </w:rPr>
        <w:t>2</w:t>
      </w:r>
      <w:r>
        <w:rPr>
          <w:rStyle w:val="ssrfcsection"/>
          <w:color w:val="000000"/>
          <w:sz w:val="20"/>
          <w:szCs w:val="20"/>
          <w:bdr w:val="none" w:sz="0" w:space="0" w:color="auto" w:frame="1"/>
        </w:rPr>
        <w:t>.</w:t>
      </w:r>
      <w:r>
        <w:rPr>
          <w:rStyle w:val="ssrfcsection"/>
          <w:color w:val="000000"/>
          <w:sz w:val="20"/>
          <w:szCs w:val="20"/>
          <w:bdr w:val="none" w:sz="0" w:space="0" w:color="auto" w:frame="1"/>
        </w:rPr>
        <w:tab/>
      </w:r>
      <w:r w:rsidR="00665F67" w:rsidRPr="0082204B">
        <w:rPr>
          <w:sz w:val="20"/>
          <w:szCs w:val="20"/>
        </w:rPr>
        <w:t xml:space="preserve"> </w:t>
      </w:r>
      <w:r w:rsidR="00665F67" w:rsidRPr="00896707">
        <w:rPr>
          <w:b/>
          <w:bCs/>
          <w:sz w:val="20"/>
          <w:szCs w:val="20"/>
        </w:rPr>
        <w:t>Identification</w:t>
      </w:r>
      <w:r w:rsidR="0085574A">
        <w:rPr>
          <w:b/>
          <w:bCs/>
          <w:sz w:val="20"/>
          <w:szCs w:val="20"/>
        </w:rPr>
        <w:t xml:space="preserve"> of perpetrator of </w:t>
      </w:r>
      <w:proofErr w:type="gramStart"/>
      <w:r w:rsidR="0085574A">
        <w:rPr>
          <w:b/>
          <w:bCs/>
          <w:sz w:val="20"/>
          <w:szCs w:val="20"/>
        </w:rPr>
        <w:t>other</w:t>
      </w:r>
      <w:proofErr w:type="gramEnd"/>
      <w:r w:rsidR="0085574A">
        <w:rPr>
          <w:b/>
          <w:bCs/>
          <w:sz w:val="20"/>
          <w:szCs w:val="20"/>
        </w:rPr>
        <w:t xml:space="preserve"> act</w:t>
      </w:r>
      <w:r w:rsidR="00665F67">
        <w:rPr>
          <w:sz w:val="20"/>
          <w:szCs w:val="20"/>
        </w:rPr>
        <w:t xml:space="preserve">. </w:t>
      </w:r>
      <w:r w:rsidR="00D86C5C" w:rsidRPr="00793E26">
        <w:rPr>
          <w:sz w:val="20"/>
          <w:szCs w:val="20"/>
        </w:rPr>
        <w:t xml:space="preserve">Instruction 9.160 (Identification) is required on request if the defendant denies being the perpetrator of the asserted prior bad act, even if there is no identity issue about the charge being tried. </w:t>
      </w:r>
      <w:r w:rsidR="00D86C5C" w:rsidRPr="00793E26">
        <w:rPr>
          <w:i/>
          <w:iCs/>
          <w:sz w:val="20"/>
          <w:szCs w:val="20"/>
        </w:rPr>
        <w:t xml:space="preserve">Commonwealth v. </w:t>
      </w:r>
      <w:proofErr w:type="spellStart"/>
      <w:r w:rsidR="00D86C5C" w:rsidRPr="00793E26">
        <w:rPr>
          <w:i/>
          <w:iCs/>
          <w:sz w:val="20"/>
          <w:szCs w:val="20"/>
        </w:rPr>
        <w:t>Delrio</w:t>
      </w:r>
      <w:proofErr w:type="spellEnd"/>
      <w:r w:rsidR="00D86C5C" w:rsidRPr="00793E26">
        <w:rPr>
          <w:sz w:val="20"/>
          <w:szCs w:val="20"/>
        </w:rPr>
        <w:t>, 22 Mass. App. Ct. 712, 721</w:t>
      </w:r>
      <w:r w:rsidR="00B30F74">
        <w:rPr>
          <w:sz w:val="20"/>
          <w:szCs w:val="20"/>
        </w:rPr>
        <w:t xml:space="preserve"> </w:t>
      </w:r>
      <w:r w:rsidR="00D86C5C" w:rsidRPr="00793E26">
        <w:rPr>
          <w:sz w:val="20"/>
          <w:szCs w:val="20"/>
        </w:rPr>
        <w:t>(1986).</w:t>
      </w:r>
    </w:p>
    <w:p w14:paraId="41070FAE" w14:textId="107A6C6A" w:rsidR="003F36BD" w:rsidRDefault="00F30665" w:rsidP="003F36BD">
      <w:pPr>
        <w:pStyle w:val="BodyTextFirstIndent2"/>
        <w:ind w:left="0" w:firstLine="720"/>
        <w:rPr>
          <w:color w:val="000000"/>
        </w:rPr>
      </w:pPr>
      <w:r>
        <w:rPr>
          <w:b/>
          <w:bCs/>
          <w:sz w:val="20"/>
          <w:szCs w:val="20"/>
        </w:rPr>
        <w:t>3</w:t>
      </w:r>
      <w:r w:rsidR="00665F67">
        <w:rPr>
          <w:b/>
          <w:bCs/>
          <w:sz w:val="20"/>
          <w:szCs w:val="20"/>
        </w:rPr>
        <w:t xml:space="preserve">. </w:t>
      </w:r>
      <w:r w:rsidR="00665F67">
        <w:rPr>
          <w:b/>
          <w:bCs/>
          <w:sz w:val="20"/>
          <w:szCs w:val="20"/>
        </w:rPr>
        <w:tab/>
      </w:r>
      <w:r w:rsidR="0036726D">
        <w:rPr>
          <w:b/>
          <w:bCs/>
          <w:sz w:val="20"/>
          <w:szCs w:val="20"/>
        </w:rPr>
        <w:t>Other and acts to prove identity</w:t>
      </w:r>
      <w:r w:rsidR="0036726D">
        <w:rPr>
          <w:rStyle w:val="CommentReference"/>
        </w:rPr>
        <w:t>.</w:t>
      </w:r>
      <w:r w:rsidR="00BD381C">
        <w:rPr>
          <w:sz w:val="20"/>
          <w:szCs w:val="20"/>
        </w:rPr>
        <w:t xml:space="preserve"> </w:t>
      </w:r>
      <w:r w:rsidR="00BD381C" w:rsidRPr="00516D41">
        <w:rPr>
          <w:sz w:val="20"/>
          <w:szCs w:val="20"/>
        </w:rPr>
        <w:t>When other act evidence is offered to prove identity, its admission is “</w:t>
      </w:r>
      <w:r w:rsidR="00BD381C" w:rsidRPr="00516D41">
        <w:rPr>
          <w:rStyle w:val="ssrfcsection"/>
          <w:sz w:val="20"/>
          <w:szCs w:val="20"/>
          <w:bdr w:val="none" w:sz="0" w:space="0" w:color="auto" w:frame="1"/>
        </w:rPr>
        <w:t>likely to have an improper influence on the jury</w:t>
      </w:r>
      <w:r w:rsidR="00BD381C" w:rsidRPr="00516D41">
        <w:rPr>
          <w:sz w:val="20"/>
          <w:szCs w:val="20"/>
        </w:rPr>
        <w:t xml:space="preserve">” and thus it is only allowed where </w:t>
      </w:r>
      <w:r w:rsidR="00BD381C" w:rsidRPr="00516D41">
        <w:rPr>
          <w:rStyle w:val="ssrfcpassagedeactivated"/>
          <w:sz w:val="20"/>
          <w:szCs w:val="20"/>
          <w:bdr w:val="none" w:sz="0" w:space="0" w:color="auto" w:frame="1"/>
        </w:rPr>
        <w:t>"the prior events and the circumstances of the crime charged have such similarities as to be meaningfully distinctive</w:t>
      </w:r>
      <w:proofErr w:type="gramStart"/>
      <w:r w:rsidR="00BD381C" w:rsidRPr="00516D41">
        <w:rPr>
          <w:rStyle w:val="ssrfcpassagedeactivated"/>
          <w:sz w:val="20"/>
          <w:szCs w:val="20"/>
          <w:bdr w:val="none" w:sz="0" w:space="0" w:color="auto" w:frame="1"/>
        </w:rPr>
        <w:t>… .</w:t>
      </w:r>
      <w:proofErr w:type="gramEnd"/>
      <w:r w:rsidR="00BD381C" w:rsidRPr="00516D41">
        <w:rPr>
          <w:rStyle w:val="ssrfcpassagedeactivated"/>
          <w:sz w:val="20"/>
          <w:szCs w:val="20"/>
          <w:bdr w:val="none" w:sz="0" w:space="0" w:color="auto" w:frame="1"/>
        </w:rPr>
        <w:t> </w:t>
      </w:r>
      <w:r w:rsidR="00BD381C" w:rsidRPr="00516D41">
        <w:rPr>
          <w:rStyle w:val="ssrfcsection"/>
          <w:sz w:val="20"/>
          <w:szCs w:val="20"/>
          <w:bdr w:val="none" w:sz="0" w:space="0" w:color="auto" w:frame="1"/>
        </w:rPr>
        <w:t>There must be a uniqueness of technique, a distinctiveness, or a particularly distinguishing pattern of conduct common to the current and former incidents</w:t>
      </w:r>
      <w:proofErr w:type="gramStart"/>
      <w:r w:rsidR="00BD381C" w:rsidRPr="00516D41">
        <w:rPr>
          <w:rStyle w:val="ssrfcsection"/>
          <w:sz w:val="20"/>
          <w:szCs w:val="20"/>
          <w:bdr w:val="none" w:sz="0" w:space="0" w:color="auto" w:frame="1"/>
        </w:rPr>
        <w:t>… .</w:t>
      </w:r>
      <w:proofErr w:type="gramEnd"/>
      <w:r w:rsidR="00BD381C" w:rsidRPr="00516D41">
        <w:rPr>
          <w:rStyle w:val="ssrfcsection"/>
          <w:sz w:val="20"/>
          <w:szCs w:val="20"/>
          <w:bdr w:val="none" w:sz="0" w:space="0" w:color="auto" w:frame="1"/>
        </w:rPr>
        <w:t xml:space="preserve">”  </w:t>
      </w:r>
      <w:r w:rsidR="00BD381C" w:rsidRPr="00272CA2">
        <w:rPr>
          <w:rStyle w:val="ac"/>
          <w:i/>
          <w:iCs/>
          <w:sz w:val="20"/>
          <w:szCs w:val="20"/>
          <w:bdr w:val="none" w:sz="0" w:space="0" w:color="auto" w:frame="1"/>
          <w:shd w:val="clear" w:color="auto" w:fill="FFFFFF"/>
        </w:rPr>
        <w:t>Commonwealth v. Jackson</w:t>
      </w:r>
      <w:r w:rsidR="00BD381C" w:rsidRPr="00272CA2">
        <w:rPr>
          <w:rStyle w:val="ac"/>
          <w:sz w:val="20"/>
          <w:szCs w:val="20"/>
          <w:bdr w:val="none" w:sz="0" w:space="0" w:color="auto" w:frame="1"/>
          <w:shd w:val="clear" w:color="auto" w:fill="FFFFFF"/>
        </w:rPr>
        <w:t>, 417 Mass. 830, 836</w:t>
      </w:r>
      <w:r w:rsidR="00BD381C" w:rsidRPr="00272CA2">
        <w:rPr>
          <w:sz w:val="20"/>
          <w:szCs w:val="20"/>
        </w:rPr>
        <w:t xml:space="preserve"> </w:t>
      </w:r>
      <w:r w:rsidR="00BD381C" w:rsidRPr="00516D41">
        <w:rPr>
          <w:sz w:val="20"/>
          <w:szCs w:val="20"/>
        </w:rPr>
        <w:t xml:space="preserve">(1994), quoting </w:t>
      </w:r>
      <w:proofErr w:type="spellStart"/>
      <w:r w:rsidR="00BD381C" w:rsidRPr="00516D41">
        <w:rPr>
          <w:rStyle w:val="ssit"/>
          <w:i/>
          <w:iCs/>
          <w:sz w:val="20"/>
          <w:szCs w:val="20"/>
          <w:bdr w:val="none" w:sz="0" w:space="0" w:color="auto" w:frame="1"/>
        </w:rPr>
        <w:t>Brusgulis</w:t>
      </w:r>
      <w:proofErr w:type="spellEnd"/>
      <w:r w:rsidR="00BD381C" w:rsidRPr="00516D41">
        <w:rPr>
          <w:rStyle w:val="ssit"/>
          <w:i/>
          <w:iCs/>
          <w:sz w:val="20"/>
          <w:szCs w:val="20"/>
          <w:bdr w:val="none" w:sz="0" w:space="0" w:color="auto" w:frame="1"/>
        </w:rPr>
        <w:t xml:space="preserve">, </w:t>
      </w:r>
      <w:r w:rsidR="00BD381C" w:rsidRPr="00516D41">
        <w:rPr>
          <w:rStyle w:val="ssit"/>
          <w:sz w:val="20"/>
          <w:szCs w:val="20"/>
          <w:bdr w:val="none" w:sz="0" w:space="0" w:color="auto" w:frame="1"/>
        </w:rPr>
        <w:t>406 Mass. at</w:t>
      </w:r>
      <w:r w:rsidR="00BD381C" w:rsidRPr="00516D41">
        <w:rPr>
          <w:rStyle w:val="ssit"/>
          <w:i/>
          <w:iCs/>
          <w:sz w:val="20"/>
          <w:szCs w:val="20"/>
          <w:bdr w:val="none" w:sz="0" w:space="0" w:color="auto" w:frame="1"/>
        </w:rPr>
        <w:t xml:space="preserve"> </w:t>
      </w:r>
      <w:r w:rsidR="00BD381C" w:rsidRPr="00516D41">
        <w:rPr>
          <w:rStyle w:val="ssrfcsection"/>
          <w:sz w:val="20"/>
          <w:szCs w:val="20"/>
          <w:bdr w:val="none" w:sz="0" w:space="0" w:color="auto" w:frame="1"/>
        </w:rPr>
        <w:t>505-506.  “</w:t>
      </w:r>
      <w:r w:rsidR="00BD381C" w:rsidRPr="00516D41">
        <w:rPr>
          <w:sz w:val="20"/>
          <w:szCs w:val="20"/>
          <w:bdr w:val="none" w:sz="0" w:space="0" w:color="auto" w:frame="1"/>
        </w:rPr>
        <w:t xml:space="preserve">The commonalities among the crimes, therefore, need to be so distinctive that their probative value in identifying the defendant as the perpetrator of the crime charged outweighs the substantial risk of unfair prejudice.”  </w:t>
      </w:r>
      <w:r w:rsidR="00BD381C" w:rsidRPr="00272CA2">
        <w:rPr>
          <w:i/>
          <w:iCs/>
          <w:sz w:val="20"/>
          <w:szCs w:val="20"/>
          <w:bdr w:val="none" w:sz="0" w:space="0" w:color="auto" w:frame="1"/>
        </w:rPr>
        <w:t>Commonwealth v. Veiovis</w:t>
      </w:r>
      <w:r w:rsidR="00BD381C" w:rsidRPr="00272CA2">
        <w:rPr>
          <w:sz w:val="20"/>
          <w:szCs w:val="20"/>
          <w:bdr w:val="none" w:sz="0" w:space="0" w:color="auto" w:frame="1"/>
        </w:rPr>
        <w:t>, 477 Mass. 472, 483</w:t>
      </w:r>
      <w:r w:rsidR="00BD381C" w:rsidRPr="00516D41">
        <w:rPr>
          <w:sz w:val="20"/>
          <w:szCs w:val="20"/>
          <w:bdr w:val="none" w:sz="0" w:space="0" w:color="auto" w:frame="1"/>
        </w:rPr>
        <w:t xml:space="preserve"> (2017).</w:t>
      </w:r>
    </w:p>
    <w:p w14:paraId="412D7700" w14:textId="77777777" w:rsidR="00F30665" w:rsidRDefault="00F30665" w:rsidP="00F30665">
      <w:pPr>
        <w:pStyle w:val="BodyTextFirstIndent2"/>
        <w:ind w:left="0" w:firstLine="720"/>
        <w:rPr>
          <w:sz w:val="20"/>
          <w:szCs w:val="20"/>
        </w:rPr>
      </w:pPr>
      <w:r>
        <w:rPr>
          <w:rStyle w:val="cf01"/>
          <w:rFonts w:ascii="Arial" w:hAnsi="Arial" w:cs="Arial"/>
          <w:b/>
          <w:bCs/>
          <w:sz w:val="20"/>
          <w:szCs w:val="20"/>
        </w:rPr>
        <w:t>4</w:t>
      </w:r>
      <w:r w:rsidR="003F36BD">
        <w:rPr>
          <w:rStyle w:val="cf01"/>
          <w:rFonts w:ascii="Arial" w:hAnsi="Arial" w:cs="Arial"/>
          <w:b/>
          <w:bCs/>
          <w:sz w:val="20"/>
          <w:szCs w:val="20"/>
        </w:rPr>
        <w:t xml:space="preserve">. </w:t>
      </w:r>
      <w:r w:rsidR="003F36BD">
        <w:rPr>
          <w:rStyle w:val="cf01"/>
          <w:rFonts w:ascii="Arial" w:hAnsi="Arial" w:cs="Arial"/>
          <w:b/>
          <w:bCs/>
          <w:sz w:val="20"/>
          <w:szCs w:val="20"/>
        </w:rPr>
        <w:tab/>
      </w:r>
      <w:r w:rsidR="00BD381C" w:rsidRPr="004D589B">
        <w:rPr>
          <w:rStyle w:val="cf01"/>
          <w:rFonts w:ascii="Arial" w:hAnsi="Arial" w:cs="Arial"/>
          <w:b/>
          <w:bCs/>
          <w:sz w:val="20"/>
          <w:szCs w:val="20"/>
        </w:rPr>
        <w:t xml:space="preserve">Act for which defendant acquitted barred by collateral estoppel.  </w:t>
      </w:r>
      <w:r w:rsidR="00BD381C" w:rsidRPr="00896707">
        <w:rPr>
          <w:rStyle w:val="cf01"/>
          <w:rFonts w:ascii="Arial" w:hAnsi="Arial" w:cs="Arial"/>
          <w:sz w:val="20"/>
          <w:szCs w:val="20"/>
        </w:rPr>
        <w:t>Evidence of a prior bad act for which the defendant was prosecuted and acquitted is</w:t>
      </w:r>
      <w:r w:rsidR="0036144E">
        <w:rPr>
          <w:rStyle w:val="cf01"/>
          <w:rFonts w:ascii="Arial" w:hAnsi="Arial" w:cs="Arial"/>
          <w:sz w:val="20"/>
          <w:szCs w:val="20"/>
        </w:rPr>
        <w:t xml:space="preserve"> inadmissible, as it is</w:t>
      </w:r>
      <w:r w:rsidR="00BD381C" w:rsidRPr="00896707">
        <w:rPr>
          <w:rStyle w:val="cf01"/>
          <w:rFonts w:ascii="Arial" w:hAnsi="Arial" w:cs="Arial"/>
          <w:sz w:val="20"/>
          <w:szCs w:val="20"/>
        </w:rPr>
        <w:t xml:space="preserve"> barred by the collateral estoppel principles of Article 12 of the Massachusetts Declaration of Rights. </w:t>
      </w:r>
      <w:r w:rsidR="00BD381C" w:rsidRPr="008B4AEA">
        <w:rPr>
          <w:rStyle w:val="cf01"/>
          <w:rFonts w:ascii="Arial" w:hAnsi="Arial" w:cs="Arial"/>
          <w:sz w:val="20"/>
          <w:szCs w:val="20"/>
        </w:rPr>
        <w:t>See </w:t>
      </w:r>
      <w:hyperlink r:id="rId8" w:anchor="co_pp_sp_521_547" w:history="1">
        <w:r w:rsidR="00BD381C" w:rsidRPr="008B4AEA">
          <w:rPr>
            <w:rStyle w:val="cf11"/>
            <w:rFonts w:ascii="Arial" w:hAnsi="Arial" w:cs="Arial"/>
            <w:i/>
            <w:iCs/>
            <w:color w:val="3D3D3D"/>
            <w:sz w:val="20"/>
            <w:szCs w:val="20"/>
            <w:shd w:val="clear" w:color="auto" w:fill="FFFFFF"/>
          </w:rPr>
          <w:t xml:space="preserve">Commonwealth v. </w:t>
        </w:r>
        <w:proofErr w:type="spellStart"/>
        <w:r w:rsidR="00BD381C" w:rsidRPr="008B4AEA">
          <w:rPr>
            <w:rStyle w:val="cf11"/>
            <w:rFonts w:ascii="Arial" w:hAnsi="Arial" w:cs="Arial"/>
            <w:i/>
            <w:iCs/>
            <w:color w:val="3D3D3D"/>
            <w:sz w:val="20"/>
            <w:szCs w:val="20"/>
            <w:shd w:val="clear" w:color="auto" w:fill="FFFFFF"/>
          </w:rPr>
          <w:t>Dorazio</w:t>
        </w:r>
        <w:proofErr w:type="spellEnd"/>
        <w:r w:rsidR="00BD381C" w:rsidRPr="008B4AEA">
          <w:rPr>
            <w:rStyle w:val="cf11"/>
            <w:rFonts w:ascii="Arial" w:hAnsi="Arial" w:cs="Arial"/>
            <w:color w:val="3D3D3D"/>
            <w:sz w:val="20"/>
            <w:szCs w:val="20"/>
            <w:shd w:val="clear" w:color="auto" w:fill="FFFFFF"/>
          </w:rPr>
          <w:t>, 472 Mass. 535, 547-548 (2015)</w:t>
        </w:r>
      </w:hyperlink>
      <w:r w:rsidR="00BD381C" w:rsidRPr="008B4AEA">
        <w:rPr>
          <w:rStyle w:val="cf01"/>
          <w:rFonts w:ascii="Arial" w:hAnsi="Arial" w:cs="Arial"/>
          <w:sz w:val="20"/>
          <w:szCs w:val="20"/>
        </w:rPr>
        <w:t xml:space="preserve">. </w:t>
      </w:r>
    </w:p>
    <w:p w14:paraId="06685505" w14:textId="633C695A" w:rsidR="00BD381C" w:rsidRPr="003B30D5" w:rsidRDefault="00F30665" w:rsidP="00F30665">
      <w:pPr>
        <w:pStyle w:val="BodyTextFirstIndent2"/>
        <w:ind w:left="0" w:firstLine="720"/>
        <w:rPr>
          <w:sz w:val="20"/>
          <w:szCs w:val="20"/>
        </w:rPr>
      </w:pPr>
      <w:r w:rsidRPr="00F30665">
        <w:rPr>
          <w:b/>
          <w:bCs/>
          <w:sz w:val="20"/>
          <w:szCs w:val="20"/>
        </w:rPr>
        <w:t>5</w:t>
      </w:r>
      <w:r>
        <w:rPr>
          <w:sz w:val="20"/>
          <w:szCs w:val="20"/>
        </w:rPr>
        <w:t>.</w:t>
      </w:r>
      <w:r>
        <w:rPr>
          <w:sz w:val="20"/>
          <w:szCs w:val="20"/>
        </w:rPr>
        <w:tab/>
      </w:r>
      <w:r>
        <w:rPr>
          <w:b/>
          <w:bCs/>
          <w:sz w:val="20"/>
          <w:szCs w:val="20"/>
        </w:rPr>
        <w:t>T</w:t>
      </w:r>
      <w:r w:rsidR="00BD381C" w:rsidRPr="003B30D5">
        <w:rPr>
          <w:b/>
          <w:bCs/>
          <w:sz w:val="20"/>
          <w:szCs w:val="20"/>
        </w:rPr>
        <w:t>est for admissibility same for defendant as for Commonwealth</w:t>
      </w:r>
      <w:r w:rsidR="00BD381C" w:rsidRPr="003B30D5">
        <w:rPr>
          <w:sz w:val="20"/>
          <w:szCs w:val="20"/>
        </w:rPr>
        <w:t xml:space="preserve">.  Where the defendant seeks to </w:t>
      </w:r>
      <w:r w:rsidR="00BD381C">
        <w:rPr>
          <w:sz w:val="20"/>
          <w:szCs w:val="20"/>
        </w:rPr>
        <w:t xml:space="preserve">introduce </w:t>
      </w:r>
      <w:r w:rsidR="0036144E">
        <w:rPr>
          <w:sz w:val="20"/>
          <w:szCs w:val="20"/>
        </w:rPr>
        <w:t>other</w:t>
      </w:r>
      <w:r w:rsidR="00BD381C">
        <w:rPr>
          <w:sz w:val="20"/>
          <w:szCs w:val="20"/>
        </w:rPr>
        <w:t xml:space="preserve"> bad acts of the victim, the defendant’s burden as the</w:t>
      </w:r>
      <w:r w:rsidR="00BD381C" w:rsidRPr="003B30D5">
        <w:rPr>
          <w:sz w:val="20"/>
          <w:szCs w:val="20"/>
        </w:rPr>
        <w:t xml:space="preserve"> proponent o</w:t>
      </w:r>
      <w:r w:rsidR="00BD381C">
        <w:rPr>
          <w:sz w:val="20"/>
          <w:szCs w:val="20"/>
        </w:rPr>
        <w:t>f the evidence is the same.</w:t>
      </w:r>
      <w:r w:rsidR="00BD381C" w:rsidRPr="003B30D5">
        <w:rPr>
          <w:color w:val="000000"/>
          <w:sz w:val="20"/>
          <w:szCs w:val="20"/>
        </w:rPr>
        <w:t xml:space="preserve">  See </w:t>
      </w:r>
      <w:r w:rsidR="00BD381C" w:rsidRPr="0085003E">
        <w:rPr>
          <w:rStyle w:val="ac"/>
          <w:i/>
          <w:iCs/>
          <w:sz w:val="20"/>
          <w:szCs w:val="20"/>
          <w:bdr w:val="none" w:sz="0" w:space="0" w:color="auto" w:frame="1"/>
          <w:shd w:val="clear" w:color="auto" w:fill="FFFFFF"/>
        </w:rPr>
        <w:t>Commonwealth v. Ronchi</w:t>
      </w:r>
      <w:r w:rsidR="00BD381C" w:rsidRPr="0085003E">
        <w:rPr>
          <w:rStyle w:val="ac"/>
          <w:sz w:val="20"/>
          <w:szCs w:val="20"/>
          <w:bdr w:val="none" w:sz="0" w:space="0" w:color="auto" w:frame="1"/>
          <w:shd w:val="clear" w:color="auto" w:fill="FFFFFF"/>
        </w:rPr>
        <w:t xml:space="preserve">, 491 </w:t>
      </w:r>
      <w:r w:rsidR="00CA4B09" w:rsidRPr="0085003E">
        <w:rPr>
          <w:rStyle w:val="ac"/>
          <w:sz w:val="20"/>
          <w:szCs w:val="20"/>
          <w:bdr w:val="none" w:sz="0" w:space="0" w:color="auto" w:frame="1"/>
          <w:shd w:val="clear" w:color="auto" w:fill="FFFFFF"/>
        </w:rPr>
        <w:t>Mass.</w:t>
      </w:r>
      <w:r w:rsidR="00BD381C" w:rsidRPr="0085003E">
        <w:rPr>
          <w:rStyle w:val="ac"/>
          <w:sz w:val="20"/>
          <w:szCs w:val="20"/>
          <w:bdr w:val="none" w:sz="0" w:space="0" w:color="auto" w:frame="1"/>
          <w:shd w:val="clear" w:color="auto" w:fill="FFFFFF"/>
        </w:rPr>
        <w:t xml:space="preserve"> 284, 299</w:t>
      </w:r>
      <w:r w:rsidR="00BD381C" w:rsidRPr="0085003E">
        <w:rPr>
          <w:sz w:val="20"/>
          <w:szCs w:val="20"/>
        </w:rPr>
        <w:t xml:space="preserve"> (</w:t>
      </w:r>
      <w:r w:rsidR="00BD381C" w:rsidRPr="003B30D5">
        <w:rPr>
          <w:sz w:val="20"/>
          <w:szCs w:val="20"/>
        </w:rPr>
        <w:t>2023)</w:t>
      </w:r>
      <w:r w:rsidR="00BD381C">
        <w:rPr>
          <w:sz w:val="20"/>
          <w:szCs w:val="20"/>
        </w:rPr>
        <w:t>.</w:t>
      </w:r>
    </w:p>
    <w:p w14:paraId="0B9912D5" w14:textId="77777777" w:rsidR="00023A7C" w:rsidRPr="00EC404F" w:rsidRDefault="00023A7C" w:rsidP="00CE3F21">
      <w:pPr>
        <w:pStyle w:val="BodyTextFirstIndent2"/>
        <w:ind w:left="0" w:firstLine="720"/>
      </w:pPr>
    </w:p>
    <w:sectPr w:rsidR="00023A7C" w:rsidRPr="00EC404F" w:rsidSect="00626F9B">
      <w:headerReference w:type="even" r:id="rId9"/>
      <w:headerReference w:type="default" r:id="rId10"/>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D0FD" w14:textId="77777777" w:rsidR="009C3C2E" w:rsidRDefault="009C3C2E" w:rsidP="00202F4B">
      <w:r>
        <w:separator/>
      </w:r>
    </w:p>
  </w:endnote>
  <w:endnote w:type="continuationSeparator" w:id="0">
    <w:p w14:paraId="65CBE4B3" w14:textId="77777777" w:rsidR="009C3C2E" w:rsidRDefault="009C3C2E" w:rsidP="0020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FB9E" w14:textId="77777777" w:rsidR="009C3C2E" w:rsidRDefault="009C3C2E" w:rsidP="00202F4B">
      <w:r>
        <w:separator/>
      </w:r>
    </w:p>
  </w:footnote>
  <w:footnote w:type="continuationSeparator" w:id="0">
    <w:p w14:paraId="169F7620" w14:textId="77777777" w:rsidR="009C3C2E" w:rsidRDefault="009C3C2E" w:rsidP="0020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71EF" w14:textId="394CE83A" w:rsidR="00626F9B" w:rsidRPr="00A44C0A" w:rsidRDefault="00626F9B" w:rsidP="00626F9B">
    <w:pPr>
      <w:pStyle w:val="Header"/>
      <w:pBdr>
        <w:bottom w:val="single" w:sz="12" w:space="1" w:color="auto"/>
      </w:pBdr>
      <w:tabs>
        <w:tab w:val="clear" w:pos="4680"/>
        <w:tab w:val="clear" w:pos="9360"/>
        <w:tab w:val="left" w:pos="5120"/>
        <w:tab w:val="right" w:pos="10320"/>
      </w:tabs>
      <w:rPr>
        <w:noProof/>
        <w:sz w:val="20"/>
        <w:szCs w:val="20"/>
      </w:rPr>
    </w:pPr>
    <w:r>
      <w:rPr>
        <w:noProof/>
        <w:sz w:val="20"/>
        <w:szCs w:val="20"/>
      </w:rPr>
      <w:t>Instruction 3.760</w:t>
    </w:r>
    <w:r w:rsidR="00CE3F21">
      <w:rPr>
        <w:noProof/>
        <w:sz w:val="20"/>
        <w:szCs w:val="20"/>
      </w:rPr>
      <w:tab/>
    </w:r>
    <w:r w:rsidR="00CE3F21">
      <w:rPr>
        <w:noProof/>
        <w:sz w:val="20"/>
        <w:szCs w:val="20"/>
      </w:rPr>
      <w:tab/>
      <w:t xml:space="preserve">Page </w:t>
    </w:r>
    <w:r w:rsidR="00CE3F21" w:rsidRPr="00CE3F21">
      <w:rPr>
        <w:noProof/>
        <w:sz w:val="20"/>
        <w:szCs w:val="20"/>
      </w:rPr>
      <w:fldChar w:fldCharType="begin"/>
    </w:r>
    <w:r w:rsidR="00CE3F21" w:rsidRPr="00CE3F21">
      <w:rPr>
        <w:noProof/>
        <w:sz w:val="20"/>
        <w:szCs w:val="20"/>
      </w:rPr>
      <w:instrText xml:space="preserve"> PAGE   \* MERGEFORMAT </w:instrText>
    </w:r>
    <w:r w:rsidR="00CE3F21" w:rsidRPr="00CE3F21">
      <w:rPr>
        <w:noProof/>
        <w:sz w:val="20"/>
        <w:szCs w:val="20"/>
      </w:rPr>
      <w:fldChar w:fldCharType="separate"/>
    </w:r>
    <w:r w:rsidR="00CE3F21" w:rsidRPr="00CE3F21">
      <w:rPr>
        <w:noProof/>
        <w:sz w:val="20"/>
        <w:szCs w:val="20"/>
      </w:rPr>
      <w:t>1</w:t>
    </w:r>
    <w:r w:rsidR="00CE3F21" w:rsidRPr="00CE3F21">
      <w:rPr>
        <w:noProof/>
        <w:sz w:val="20"/>
        <w:szCs w:val="20"/>
      </w:rPr>
      <w:fldChar w:fldCharType="end"/>
    </w:r>
  </w:p>
  <w:p w14:paraId="1DE8AEFD" w14:textId="0D1EFD52" w:rsidR="00626F9B" w:rsidRDefault="00626F9B" w:rsidP="00626F9B">
    <w:pPr>
      <w:pStyle w:val="Header"/>
    </w:pPr>
    <w:r>
      <w:rPr>
        <w:sz w:val="20"/>
        <w:szCs w:val="20"/>
      </w:rPr>
      <w:t>OTHER BAD ACTS BY DEFENDANT</w:t>
    </w:r>
    <w:r w:rsidR="00CE3F21">
      <w:rPr>
        <w:sz w:val="20"/>
        <w:szCs w:val="20"/>
      </w:rPr>
      <w:tab/>
    </w:r>
    <w:r w:rsidR="00CE3F21">
      <w:rPr>
        <w:sz w:val="20"/>
        <w:szCs w:val="20"/>
      </w:rPr>
      <w:tab/>
      <w:t xml:space="preserve">Revised </w:t>
    </w:r>
    <w:r w:rsidR="008807C3">
      <w:rPr>
        <w:sz w:val="20"/>
        <w:szCs w:val="20"/>
      </w:rPr>
      <w:t>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EBD4" w14:textId="230E0F7E" w:rsidR="00202F4B" w:rsidRPr="00A44C0A" w:rsidRDefault="00626F9B" w:rsidP="00202F4B">
    <w:pPr>
      <w:pStyle w:val="Header"/>
      <w:pBdr>
        <w:bottom w:val="single" w:sz="12" w:space="1" w:color="auto"/>
      </w:pBdr>
      <w:tabs>
        <w:tab w:val="clear" w:pos="4680"/>
        <w:tab w:val="clear" w:pos="9360"/>
        <w:tab w:val="left" w:pos="5120"/>
        <w:tab w:val="right" w:pos="10320"/>
      </w:tabs>
      <w:rPr>
        <w:noProof/>
        <w:sz w:val="20"/>
        <w:szCs w:val="20"/>
      </w:rPr>
    </w:pPr>
    <w:r>
      <w:rPr>
        <w:noProof/>
        <w:sz w:val="20"/>
        <w:szCs w:val="20"/>
      </w:rPr>
      <w:t xml:space="preserve">Page </w:t>
    </w:r>
    <w:r w:rsidRPr="00626F9B">
      <w:rPr>
        <w:noProof/>
        <w:sz w:val="20"/>
        <w:szCs w:val="20"/>
      </w:rPr>
      <w:fldChar w:fldCharType="begin"/>
    </w:r>
    <w:r w:rsidRPr="00626F9B">
      <w:rPr>
        <w:noProof/>
        <w:sz w:val="20"/>
        <w:szCs w:val="20"/>
      </w:rPr>
      <w:instrText xml:space="preserve"> PAGE   \* MERGEFORMAT </w:instrText>
    </w:r>
    <w:r w:rsidRPr="00626F9B">
      <w:rPr>
        <w:noProof/>
        <w:sz w:val="20"/>
        <w:szCs w:val="20"/>
      </w:rPr>
      <w:fldChar w:fldCharType="separate"/>
    </w:r>
    <w:r w:rsidRPr="00626F9B">
      <w:rPr>
        <w:noProof/>
        <w:sz w:val="20"/>
        <w:szCs w:val="20"/>
      </w:rPr>
      <w:t>1</w:t>
    </w:r>
    <w:r w:rsidRPr="00626F9B">
      <w:rPr>
        <w:noProof/>
        <w:sz w:val="20"/>
        <w:szCs w:val="20"/>
      </w:rPr>
      <w:fldChar w:fldCharType="end"/>
    </w:r>
    <w:r>
      <w:rPr>
        <w:noProof/>
        <w:sz w:val="20"/>
        <w:szCs w:val="20"/>
      </w:rPr>
      <w:tab/>
    </w:r>
    <w:r>
      <w:rPr>
        <w:noProof/>
        <w:sz w:val="20"/>
        <w:szCs w:val="20"/>
      </w:rPr>
      <w:tab/>
    </w:r>
    <w:r w:rsidR="00202F4B">
      <w:rPr>
        <w:noProof/>
        <w:sz w:val="20"/>
        <w:szCs w:val="20"/>
      </w:rPr>
      <w:t>Instruction 3.760</w:t>
    </w:r>
  </w:p>
  <w:p w14:paraId="529CE8E0" w14:textId="120FB62A" w:rsidR="00202F4B" w:rsidRPr="00A44C0A" w:rsidRDefault="00626F9B" w:rsidP="00202F4B">
    <w:pPr>
      <w:pStyle w:val="Header"/>
      <w:tabs>
        <w:tab w:val="clear" w:pos="4680"/>
        <w:tab w:val="clear" w:pos="9360"/>
        <w:tab w:val="right" w:pos="10320"/>
      </w:tabs>
      <w:rPr>
        <w:b/>
        <w:sz w:val="20"/>
        <w:szCs w:val="20"/>
      </w:rPr>
    </w:pPr>
    <w:r>
      <w:rPr>
        <w:sz w:val="20"/>
        <w:szCs w:val="20"/>
      </w:rPr>
      <w:t xml:space="preserve">Revised </w:t>
    </w:r>
    <w:r w:rsidR="008807C3">
      <w:rPr>
        <w:sz w:val="20"/>
        <w:szCs w:val="20"/>
      </w:rPr>
      <w:t>February 2024</w:t>
    </w:r>
    <w:r w:rsidR="00202F4B">
      <w:rPr>
        <w:sz w:val="20"/>
        <w:szCs w:val="20"/>
      </w:rPr>
      <w:tab/>
    </w:r>
    <w:bookmarkStart w:id="1" w:name="_Hlk127339429"/>
    <w:r w:rsidR="00202F4B">
      <w:rPr>
        <w:sz w:val="20"/>
        <w:szCs w:val="20"/>
      </w:rPr>
      <w:t>OTHER BAD ACTS BY DEFENDANT</w:t>
    </w:r>
  </w:p>
  <w:bookmarkEnd w:id="1"/>
  <w:p w14:paraId="23E5DAD7" w14:textId="77777777" w:rsidR="00202F4B" w:rsidRDefault="00202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51E"/>
    <w:multiLevelType w:val="hybridMultilevel"/>
    <w:tmpl w:val="6FEC27A4"/>
    <w:lvl w:ilvl="0" w:tplc="C8B41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3E14A5"/>
    <w:multiLevelType w:val="hybridMultilevel"/>
    <w:tmpl w:val="0A5014CA"/>
    <w:lvl w:ilvl="0" w:tplc="40B268B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051F6"/>
    <w:multiLevelType w:val="hybridMultilevel"/>
    <w:tmpl w:val="E1F86474"/>
    <w:lvl w:ilvl="0" w:tplc="21645E8C">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3156840"/>
    <w:multiLevelType w:val="hybridMultilevel"/>
    <w:tmpl w:val="6DF0FD6E"/>
    <w:lvl w:ilvl="0" w:tplc="8DB25F1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534D9"/>
    <w:multiLevelType w:val="hybridMultilevel"/>
    <w:tmpl w:val="EC6EF6A6"/>
    <w:lvl w:ilvl="0" w:tplc="977E4F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014816">
    <w:abstractNumId w:val="4"/>
  </w:num>
  <w:num w:numId="2" w16cid:durableId="216554858">
    <w:abstractNumId w:val="0"/>
  </w:num>
  <w:num w:numId="3" w16cid:durableId="575942628">
    <w:abstractNumId w:val="2"/>
  </w:num>
  <w:num w:numId="4" w16cid:durableId="2052221059">
    <w:abstractNumId w:val="3"/>
  </w:num>
  <w:num w:numId="5" w16cid:durableId="90865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FA"/>
    <w:rsid w:val="00023A7C"/>
    <w:rsid w:val="00024490"/>
    <w:rsid w:val="00024C30"/>
    <w:rsid w:val="00040035"/>
    <w:rsid w:val="00042646"/>
    <w:rsid w:val="00064777"/>
    <w:rsid w:val="00070082"/>
    <w:rsid w:val="00077C31"/>
    <w:rsid w:val="000877EE"/>
    <w:rsid w:val="000A4990"/>
    <w:rsid w:val="000A6586"/>
    <w:rsid w:val="000D31A0"/>
    <w:rsid w:val="000D7A93"/>
    <w:rsid w:val="000E645B"/>
    <w:rsid w:val="0010083B"/>
    <w:rsid w:val="00103E31"/>
    <w:rsid w:val="00105E2C"/>
    <w:rsid w:val="001075BA"/>
    <w:rsid w:val="0012565A"/>
    <w:rsid w:val="00137B89"/>
    <w:rsid w:val="00167825"/>
    <w:rsid w:val="00197EB9"/>
    <w:rsid w:val="001C1DB1"/>
    <w:rsid w:val="001C48A2"/>
    <w:rsid w:val="001E5B4B"/>
    <w:rsid w:val="00202F4B"/>
    <w:rsid w:val="002062A3"/>
    <w:rsid w:val="00222BA0"/>
    <w:rsid w:val="0022490D"/>
    <w:rsid w:val="00241576"/>
    <w:rsid w:val="00244982"/>
    <w:rsid w:val="00253DCD"/>
    <w:rsid w:val="002616E3"/>
    <w:rsid w:val="00272CA2"/>
    <w:rsid w:val="0028239C"/>
    <w:rsid w:val="0029141D"/>
    <w:rsid w:val="002C3CDF"/>
    <w:rsid w:val="002D57A7"/>
    <w:rsid w:val="00315345"/>
    <w:rsid w:val="00350650"/>
    <w:rsid w:val="0035540B"/>
    <w:rsid w:val="0036144E"/>
    <w:rsid w:val="00362B00"/>
    <w:rsid w:val="0036726D"/>
    <w:rsid w:val="003911D1"/>
    <w:rsid w:val="003C7088"/>
    <w:rsid w:val="003F36BD"/>
    <w:rsid w:val="003F63EC"/>
    <w:rsid w:val="00403E37"/>
    <w:rsid w:val="00420E84"/>
    <w:rsid w:val="004650A7"/>
    <w:rsid w:val="004666DB"/>
    <w:rsid w:val="00467D93"/>
    <w:rsid w:val="00477B44"/>
    <w:rsid w:val="00484376"/>
    <w:rsid w:val="0049418B"/>
    <w:rsid w:val="004C136E"/>
    <w:rsid w:val="004C7EC2"/>
    <w:rsid w:val="004E0BFC"/>
    <w:rsid w:val="005021DA"/>
    <w:rsid w:val="005343BB"/>
    <w:rsid w:val="00534496"/>
    <w:rsid w:val="00564373"/>
    <w:rsid w:val="005B16C1"/>
    <w:rsid w:val="005B2C36"/>
    <w:rsid w:val="005B7732"/>
    <w:rsid w:val="005C76AF"/>
    <w:rsid w:val="005D2C0E"/>
    <w:rsid w:val="005D6F8B"/>
    <w:rsid w:val="005F05BF"/>
    <w:rsid w:val="006004B2"/>
    <w:rsid w:val="00626F9B"/>
    <w:rsid w:val="00627641"/>
    <w:rsid w:val="006575F9"/>
    <w:rsid w:val="00662519"/>
    <w:rsid w:val="006657D7"/>
    <w:rsid w:val="00665F67"/>
    <w:rsid w:val="00690844"/>
    <w:rsid w:val="006B5B11"/>
    <w:rsid w:val="006C75B1"/>
    <w:rsid w:val="00715B09"/>
    <w:rsid w:val="00731E70"/>
    <w:rsid w:val="00774DDC"/>
    <w:rsid w:val="0079299D"/>
    <w:rsid w:val="00793E26"/>
    <w:rsid w:val="007A3CE4"/>
    <w:rsid w:val="007C1926"/>
    <w:rsid w:val="007E2256"/>
    <w:rsid w:val="007F07CF"/>
    <w:rsid w:val="00813A12"/>
    <w:rsid w:val="00820D2E"/>
    <w:rsid w:val="0082204B"/>
    <w:rsid w:val="0085574A"/>
    <w:rsid w:val="008618A7"/>
    <w:rsid w:val="0086709D"/>
    <w:rsid w:val="00870C47"/>
    <w:rsid w:val="008736EE"/>
    <w:rsid w:val="008807C3"/>
    <w:rsid w:val="00893E09"/>
    <w:rsid w:val="008A03B0"/>
    <w:rsid w:val="008A408A"/>
    <w:rsid w:val="008A5A2F"/>
    <w:rsid w:val="008B4AEA"/>
    <w:rsid w:val="008C34B0"/>
    <w:rsid w:val="008F1109"/>
    <w:rsid w:val="008F12E9"/>
    <w:rsid w:val="009040E6"/>
    <w:rsid w:val="009251B9"/>
    <w:rsid w:val="00937781"/>
    <w:rsid w:val="00954D3B"/>
    <w:rsid w:val="009653F8"/>
    <w:rsid w:val="00970C95"/>
    <w:rsid w:val="009B40D0"/>
    <w:rsid w:val="009C3C2E"/>
    <w:rsid w:val="009D7AA3"/>
    <w:rsid w:val="00A22B42"/>
    <w:rsid w:val="00A408ED"/>
    <w:rsid w:val="00A42674"/>
    <w:rsid w:val="00A44A45"/>
    <w:rsid w:val="00A45AFA"/>
    <w:rsid w:val="00A45D53"/>
    <w:rsid w:val="00A474A9"/>
    <w:rsid w:val="00A5695B"/>
    <w:rsid w:val="00A82BDF"/>
    <w:rsid w:val="00AA6806"/>
    <w:rsid w:val="00B240C0"/>
    <w:rsid w:val="00B30F74"/>
    <w:rsid w:val="00B333C3"/>
    <w:rsid w:val="00B4535E"/>
    <w:rsid w:val="00BA16EC"/>
    <w:rsid w:val="00BA214D"/>
    <w:rsid w:val="00BB3BAE"/>
    <w:rsid w:val="00BC1B24"/>
    <w:rsid w:val="00BC7ED8"/>
    <w:rsid w:val="00BD381C"/>
    <w:rsid w:val="00BF48BF"/>
    <w:rsid w:val="00C113CD"/>
    <w:rsid w:val="00C24F1F"/>
    <w:rsid w:val="00C4748F"/>
    <w:rsid w:val="00C51916"/>
    <w:rsid w:val="00C6480C"/>
    <w:rsid w:val="00CA4B09"/>
    <w:rsid w:val="00CE3F21"/>
    <w:rsid w:val="00CF09D5"/>
    <w:rsid w:val="00CF1F12"/>
    <w:rsid w:val="00D044F4"/>
    <w:rsid w:val="00D21310"/>
    <w:rsid w:val="00D4636B"/>
    <w:rsid w:val="00D86C5C"/>
    <w:rsid w:val="00DA7C1A"/>
    <w:rsid w:val="00DB45F6"/>
    <w:rsid w:val="00DD5BBC"/>
    <w:rsid w:val="00DE118C"/>
    <w:rsid w:val="00DF6A29"/>
    <w:rsid w:val="00E004D3"/>
    <w:rsid w:val="00E2102E"/>
    <w:rsid w:val="00E608E9"/>
    <w:rsid w:val="00E70EA8"/>
    <w:rsid w:val="00E820F1"/>
    <w:rsid w:val="00EB23F0"/>
    <w:rsid w:val="00EC404F"/>
    <w:rsid w:val="00EE0218"/>
    <w:rsid w:val="00EF445E"/>
    <w:rsid w:val="00EF48F3"/>
    <w:rsid w:val="00F13EE9"/>
    <w:rsid w:val="00F168CB"/>
    <w:rsid w:val="00F30665"/>
    <w:rsid w:val="00F571D9"/>
    <w:rsid w:val="00F574F5"/>
    <w:rsid w:val="00F83B2A"/>
    <w:rsid w:val="00F86E54"/>
    <w:rsid w:val="00F961DB"/>
    <w:rsid w:val="00FB200F"/>
    <w:rsid w:val="00FC2DF9"/>
    <w:rsid w:val="00FD4014"/>
    <w:rsid w:val="00FD43D9"/>
    <w:rsid w:val="00FE1840"/>
    <w:rsid w:val="00FE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6DE563"/>
  <w14:defaultImageDpi w14:val="0"/>
  <w15:docId w15:val="{753AA169-561E-4DFF-9DF1-37131CDD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1"/>
    <w:locked/>
    <w:rPr>
      <w:rFonts w:ascii="Arial" w:hAnsi="Arial" w:cs="Arial"/>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paragraph" w:styleId="BodyTextFirstIndent">
    <w:name w:val="Body Text First Indent"/>
    <w:basedOn w:val="BodyText"/>
    <w:link w:val="BodyTextFirstIndentChar"/>
    <w:uiPriority w:val="99"/>
    <w:unhideWhenUsed/>
    <w:rsid w:val="004E0BFC"/>
    <w:pPr>
      <w:spacing w:after="120"/>
      <w:ind w:firstLine="210"/>
    </w:pPr>
    <w:rPr>
      <w:sz w:val="24"/>
      <w:szCs w:val="24"/>
    </w:rPr>
  </w:style>
  <w:style w:type="character" w:customStyle="1" w:styleId="BodyTextFirstIndentChar">
    <w:name w:val="Body Text First Indent Char"/>
    <w:basedOn w:val="BodyTextChar"/>
    <w:link w:val="BodyTextFirstIndent"/>
    <w:uiPriority w:val="99"/>
    <w:locked/>
    <w:rsid w:val="004E0BFC"/>
    <w:rPr>
      <w:rFonts w:ascii="Arial" w:hAnsi="Arial" w:cs="Arial"/>
      <w:sz w:val="24"/>
      <w:szCs w:val="24"/>
    </w:rPr>
  </w:style>
  <w:style w:type="paragraph" w:styleId="BodyTextIndent">
    <w:name w:val="Body Text Indent"/>
    <w:basedOn w:val="Normal"/>
    <w:link w:val="BodyTextIndentChar"/>
    <w:uiPriority w:val="99"/>
    <w:semiHidden/>
    <w:unhideWhenUsed/>
    <w:rsid w:val="004E0BFC"/>
    <w:pPr>
      <w:spacing w:after="120"/>
      <w:ind w:left="360"/>
    </w:pPr>
  </w:style>
  <w:style w:type="character" w:customStyle="1" w:styleId="BodyTextIndentChar">
    <w:name w:val="Body Text Indent Char"/>
    <w:basedOn w:val="DefaultParagraphFont"/>
    <w:link w:val="BodyTextIndent"/>
    <w:uiPriority w:val="99"/>
    <w:semiHidden/>
    <w:locked/>
    <w:rsid w:val="004E0BFC"/>
    <w:rPr>
      <w:rFonts w:ascii="Arial" w:hAnsi="Arial" w:cs="Arial"/>
      <w:sz w:val="24"/>
      <w:szCs w:val="24"/>
    </w:rPr>
  </w:style>
  <w:style w:type="paragraph" w:styleId="BodyTextFirstIndent2">
    <w:name w:val="Body Text First Indent 2"/>
    <w:basedOn w:val="BodyTextIndent"/>
    <w:link w:val="BodyTextFirstIndent2Char"/>
    <w:uiPriority w:val="99"/>
    <w:unhideWhenUsed/>
    <w:rsid w:val="004E0BFC"/>
    <w:pPr>
      <w:ind w:firstLine="210"/>
    </w:pPr>
  </w:style>
  <w:style w:type="character" w:customStyle="1" w:styleId="BodyTextFirstIndent2Char">
    <w:name w:val="Body Text First Indent 2 Char"/>
    <w:basedOn w:val="BodyTextIndentChar"/>
    <w:link w:val="BodyTextFirstIndent2"/>
    <w:uiPriority w:val="99"/>
    <w:locked/>
    <w:rsid w:val="004E0BFC"/>
    <w:rPr>
      <w:rFonts w:ascii="Arial" w:hAnsi="Arial" w:cs="Arial"/>
      <w:sz w:val="24"/>
      <w:szCs w:val="24"/>
    </w:rPr>
  </w:style>
  <w:style w:type="paragraph" w:styleId="Header">
    <w:name w:val="header"/>
    <w:basedOn w:val="Normal"/>
    <w:link w:val="HeaderChar"/>
    <w:uiPriority w:val="99"/>
    <w:unhideWhenUsed/>
    <w:rsid w:val="00202F4B"/>
    <w:pPr>
      <w:tabs>
        <w:tab w:val="center" w:pos="4680"/>
        <w:tab w:val="right" w:pos="9360"/>
      </w:tabs>
    </w:pPr>
  </w:style>
  <w:style w:type="character" w:customStyle="1" w:styleId="HeaderChar">
    <w:name w:val="Header Char"/>
    <w:basedOn w:val="DefaultParagraphFont"/>
    <w:link w:val="Header"/>
    <w:uiPriority w:val="99"/>
    <w:rsid w:val="00202F4B"/>
    <w:rPr>
      <w:rFonts w:ascii="Arial" w:hAnsi="Arial" w:cs="Arial"/>
      <w:sz w:val="24"/>
      <w:szCs w:val="24"/>
    </w:rPr>
  </w:style>
  <w:style w:type="paragraph" w:styleId="Footer">
    <w:name w:val="footer"/>
    <w:basedOn w:val="Normal"/>
    <w:link w:val="FooterChar"/>
    <w:uiPriority w:val="99"/>
    <w:unhideWhenUsed/>
    <w:rsid w:val="00202F4B"/>
    <w:pPr>
      <w:tabs>
        <w:tab w:val="center" w:pos="4680"/>
        <w:tab w:val="right" w:pos="9360"/>
      </w:tabs>
    </w:pPr>
  </w:style>
  <w:style w:type="character" w:customStyle="1" w:styleId="FooterChar">
    <w:name w:val="Footer Char"/>
    <w:basedOn w:val="DefaultParagraphFont"/>
    <w:link w:val="Footer"/>
    <w:uiPriority w:val="99"/>
    <w:rsid w:val="00202F4B"/>
    <w:rPr>
      <w:rFonts w:ascii="Arial" w:hAnsi="Arial" w:cs="Arial"/>
      <w:sz w:val="24"/>
      <w:szCs w:val="24"/>
    </w:rPr>
  </w:style>
  <w:style w:type="paragraph" w:styleId="Revision">
    <w:name w:val="Revision"/>
    <w:hidden/>
    <w:uiPriority w:val="99"/>
    <w:semiHidden/>
    <w:rsid w:val="00202F4B"/>
    <w:pPr>
      <w:spacing w:after="0" w:line="240" w:lineRule="auto"/>
    </w:pPr>
    <w:rPr>
      <w:rFonts w:ascii="Arial" w:hAnsi="Arial" w:cs="Arial"/>
      <w:sz w:val="24"/>
      <w:szCs w:val="24"/>
    </w:rPr>
  </w:style>
  <w:style w:type="paragraph" w:styleId="NormalWeb">
    <w:name w:val="Normal (Web)"/>
    <w:basedOn w:val="Normal"/>
    <w:uiPriority w:val="99"/>
    <w:unhideWhenUsed/>
    <w:rsid w:val="000D31A0"/>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srfcsection">
    <w:name w:val="ss_rfcsection"/>
    <w:basedOn w:val="DefaultParagraphFont"/>
    <w:rsid w:val="000D31A0"/>
  </w:style>
  <w:style w:type="character" w:customStyle="1" w:styleId="sssh">
    <w:name w:val="ss_sh"/>
    <w:basedOn w:val="DefaultParagraphFont"/>
    <w:rsid w:val="000D31A0"/>
  </w:style>
  <w:style w:type="character" w:customStyle="1" w:styleId="ssit">
    <w:name w:val="ss_it"/>
    <w:basedOn w:val="DefaultParagraphFont"/>
    <w:rsid w:val="000D31A0"/>
  </w:style>
  <w:style w:type="character" w:customStyle="1" w:styleId="ac">
    <w:name w:val="ac"/>
    <w:basedOn w:val="DefaultParagraphFont"/>
    <w:rsid w:val="000D31A0"/>
  </w:style>
  <w:style w:type="character" w:styleId="CommentReference">
    <w:name w:val="annotation reference"/>
    <w:basedOn w:val="DefaultParagraphFont"/>
    <w:uiPriority w:val="99"/>
    <w:semiHidden/>
    <w:unhideWhenUsed/>
    <w:rsid w:val="00403E37"/>
    <w:rPr>
      <w:sz w:val="16"/>
      <w:szCs w:val="16"/>
    </w:rPr>
  </w:style>
  <w:style w:type="paragraph" w:styleId="CommentText">
    <w:name w:val="annotation text"/>
    <w:basedOn w:val="Normal"/>
    <w:link w:val="CommentTextChar"/>
    <w:uiPriority w:val="99"/>
    <w:unhideWhenUsed/>
    <w:rsid w:val="00403E37"/>
    <w:rPr>
      <w:sz w:val="20"/>
      <w:szCs w:val="20"/>
    </w:rPr>
  </w:style>
  <w:style w:type="character" w:customStyle="1" w:styleId="CommentTextChar">
    <w:name w:val="Comment Text Char"/>
    <w:basedOn w:val="DefaultParagraphFont"/>
    <w:link w:val="CommentText"/>
    <w:uiPriority w:val="99"/>
    <w:rsid w:val="00403E3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03E37"/>
    <w:rPr>
      <w:b/>
      <w:bCs/>
    </w:rPr>
  </w:style>
  <w:style w:type="character" w:customStyle="1" w:styleId="CommentSubjectChar">
    <w:name w:val="Comment Subject Char"/>
    <w:basedOn w:val="CommentTextChar"/>
    <w:link w:val="CommentSubject"/>
    <w:uiPriority w:val="99"/>
    <w:semiHidden/>
    <w:rsid w:val="00403E37"/>
    <w:rPr>
      <w:rFonts w:ascii="Arial" w:hAnsi="Arial" w:cs="Arial"/>
      <w:b/>
      <w:bCs/>
      <w:sz w:val="20"/>
      <w:szCs w:val="20"/>
    </w:rPr>
  </w:style>
  <w:style w:type="character" w:customStyle="1" w:styleId="ssrfcpassagedeactivated">
    <w:name w:val="ss_rfcpassage_deactivated"/>
    <w:basedOn w:val="DefaultParagraphFont"/>
    <w:rsid w:val="00C4748F"/>
  </w:style>
  <w:style w:type="character" w:styleId="Hyperlink">
    <w:name w:val="Hyperlink"/>
    <w:basedOn w:val="DefaultParagraphFont"/>
    <w:uiPriority w:val="99"/>
    <w:unhideWhenUsed/>
    <w:rsid w:val="008C34B0"/>
    <w:rPr>
      <w:color w:val="0563C1" w:themeColor="hyperlink"/>
      <w:u w:val="single"/>
    </w:rPr>
  </w:style>
  <w:style w:type="character" w:styleId="UnresolvedMention">
    <w:name w:val="Unresolved Mention"/>
    <w:basedOn w:val="DefaultParagraphFont"/>
    <w:uiPriority w:val="99"/>
    <w:semiHidden/>
    <w:unhideWhenUsed/>
    <w:rsid w:val="008C34B0"/>
    <w:rPr>
      <w:color w:val="605E5C"/>
      <w:shd w:val="clear" w:color="auto" w:fill="E1DFDD"/>
    </w:rPr>
  </w:style>
  <w:style w:type="character" w:customStyle="1" w:styleId="cf01">
    <w:name w:val="cf01"/>
    <w:basedOn w:val="DefaultParagraphFont"/>
    <w:rsid w:val="00BD381C"/>
    <w:rPr>
      <w:rFonts w:ascii="Segoe UI" w:hAnsi="Segoe UI" w:cs="Segoe UI" w:hint="default"/>
      <w:color w:val="3D3D3D"/>
      <w:sz w:val="18"/>
      <w:szCs w:val="18"/>
      <w:shd w:val="clear" w:color="auto" w:fill="FFFFFF"/>
    </w:rPr>
  </w:style>
  <w:style w:type="character" w:customStyle="1" w:styleId="cf11">
    <w:name w:val="cf11"/>
    <w:basedOn w:val="DefaultParagraphFont"/>
    <w:rsid w:val="00BD38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7624">
      <w:bodyDiv w:val="1"/>
      <w:marLeft w:val="0"/>
      <w:marRight w:val="0"/>
      <w:marTop w:val="0"/>
      <w:marBottom w:val="0"/>
      <w:divBdr>
        <w:top w:val="none" w:sz="0" w:space="0" w:color="auto"/>
        <w:left w:val="none" w:sz="0" w:space="0" w:color="auto"/>
        <w:bottom w:val="none" w:sz="0" w:space="0" w:color="auto"/>
        <w:right w:val="none" w:sz="0" w:space="0" w:color="auto"/>
      </w:divBdr>
    </w:div>
    <w:div w:id="241380445">
      <w:bodyDiv w:val="1"/>
      <w:marLeft w:val="0"/>
      <w:marRight w:val="0"/>
      <w:marTop w:val="0"/>
      <w:marBottom w:val="0"/>
      <w:divBdr>
        <w:top w:val="none" w:sz="0" w:space="0" w:color="auto"/>
        <w:left w:val="none" w:sz="0" w:space="0" w:color="auto"/>
        <w:bottom w:val="none" w:sz="0" w:space="0" w:color="auto"/>
        <w:right w:val="none" w:sz="0" w:space="0" w:color="auto"/>
      </w:divBdr>
    </w:div>
    <w:div w:id="595285569">
      <w:bodyDiv w:val="1"/>
      <w:marLeft w:val="0"/>
      <w:marRight w:val="0"/>
      <w:marTop w:val="0"/>
      <w:marBottom w:val="0"/>
      <w:divBdr>
        <w:top w:val="none" w:sz="0" w:space="0" w:color="auto"/>
        <w:left w:val="none" w:sz="0" w:space="0" w:color="auto"/>
        <w:bottom w:val="none" w:sz="0" w:space="0" w:color="auto"/>
        <w:right w:val="none" w:sz="0" w:space="0" w:color="auto"/>
      </w:divBdr>
    </w:div>
    <w:div w:id="883326618">
      <w:bodyDiv w:val="1"/>
      <w:marLeft w:val="0"/>
      <w:marRight w:val="0"/>
      <w:marTop w:val="0"/>
      <w:marBottom w:val="0"/>
      <w:divBdr>
        <w:top w:val="none" w:sz="0" w:space="0" w:color="auto"/>
        <w:left w:val="none" w:sz="0" w:space="0" w:color="auto"/>
        <w:bottom w:val="none" w:sz="0" w:space="0" w:color="auto"/>
        <w:right w:val="none" w:sz="0" w:space="0" w:color="auto"/>
      </w:divBdr>
    </w:div>
    <w:div w:id="1384597817">
      <w:bodyDiv w:val="1"/>
      <w:marLeft w:val="0"/>
      <w:marRight w:val="0"/>
      <w:marTop w:val="0"/>
      <w:marBottom w:val="0"/>
      <w:divBdr>
        <w:top w:val="none" w:sz="0" w:space="0" w:color="auto"/>
        <w:left w:val="none" w:sz="0" w:space="0" w:color="auto"/>
        <w:bottom w:val="none" w:sz="0" w:space="0" w:color="auto"/>
        <w:right w:val="none" w:sz="0" w:space="0" w:color="auto"/>
      </w:divBdr>
    </w:div>
    <w:div w:id="19591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2036998713&amp;pubNum=0000521&amp;originatingDoc=N70CAA3A0157911E18D3C9CC7D08FC554&amp;refType=RP&amp;fi=co_pp_sp_521_547&amp;originationContext=document&amp;transitionType=DocumentItem&amp;ppcid=4b44690484bd420986fc436019a706af&amp;contextData=(sc.Doc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248D-8A65-4C8A-AFB1-ECCF7668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1064</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F Lamarre</dc:creator>
  <cp:keywords/>
  <dc:description/>
  <cp:lastModifiedBy>Suzanne</cp:lastModifiedBy>
  <cp:revision>4</cp:revision>
  <dcterms:created xsi:type="dcterms:W3CDTF">2023-11-06T15:59:00Z</dcterms:created>
  <dcterms:modified xsi:type="dcterms:W3CDTF">2024-02-14T20:06:00Z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Print Server 110</vt:lpwstr>
  </property>
</Properties>
</file>