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DA5A8" w14:textId="77777777" w:rsidR="00BA254E" w:rsidRDefault="00BA254E" w:rsidP="00BA254E">
      <w:pPr>
        <w:jc w:val="center"/>
        <w:rPr>
          <w:b/>
          <w:bCs/>
          <w:sz w:val="28"/>
          <w:szCs w:val="28"/>
        </w:rPr>
      </w:pPr>
    </w:p>
    <w:p w14:paraId="7BD8F0F9" w14:textId="77777777" w:rsidR="00BA254E" w:rsidRPr="00657663" w:rsidRDefault="00BA254E" w:rsidP="00BA254E">
      <w:pPr>
        <w:jc w:val="center"/>
        <w:rPr>
          <w:b/>
          <w:bCs/>
          <w:sz w:val="28"/>
          <w:szCs w:val="28"/>
        </w:rPr>
      </w:pPr>
      <w:r>
        <w:rPr>
          <w:b/>
          <w:bCs/>
          <w:sz w:val="28"/>
          <w:szCs w:val="28"/>
        </w:rPr>
        <w:t>WIRETAPPING</w:t>
      </w:r>
    </w:p>
    <w:p w14:paraId="4CA18395" w14:textId="77777777" w:rsidR="00BA254E" w:rsidRPr="00657663" w:rsidRDefault="00BA254E" w:rsidP="00BA254E">
      <w:pPr>
        <w:jc w:val="center"/>
        <w:rPr>
          <w:b/>
          <w:bCs/>
        </w:rPr>
      </w:pPr>
    </w:p>
    <w:p w14:paraId="6B41C02C" w14:textId="082B8B9A" w:rsidR="00BA254E" w:rsidRDefault="00BA254E" w:rsidP="00BA254E">
      <w:pPr>
        <w:jc w:val="center"/>
      </w:pPr>
      <w:r w:rsidRPr="00657663">
        <w:t xml:space="preserve">G.L. c. </w:t>
      </w:r>
      <w:r>
        <w:t>272</w:t>
      </w:r>
      <w:r w:rsidRPr="00657663">
        <w:t xml:space="preserve">, § </w:t>
      </w:r>
      <w:r>
        <w:t>99C.1</w:t>
      </w:r>
    </w:p>
    <w:p w14:paraId="099747B3" w14:textId="77777777" w:rsidR="00540E9D" w:rsidRPr="00657663" w:rsidRDefault="00540E9D" w:rsidP="00BA254E">
      <w:pPr>
        <w:jc w:val="center"/>
      </w:pPr>
    </w:p>
    <w:p w14:paraId="5476380B" w14:textId="77777777" w:rsidR="00BA254E" w:rsidRDefault="00BA254E" w:rsidP="00BA254E"/>
    <w:p w14:paraId="5650D2BD" w14:textId="77777777" w:rsidR="00BA254E" w:rsidRDefault="00BA254E" w:rsidP="00BA254E">
      <w:pPr>
        <w:pStyle w:val="BodyText"/>
        <w:kinsoku w:val="0"/>
        <w:overflowPunct w:val="0"/>
        <w:spacing w:line="480" w:lineRule="auto"/>
        <w:ind w:firstLine="720"/>
      </w:pPr>
      <w:r>
        <w:t>The defendant is charged with unlawful wiretapping.  To prove the defendant guilty of this offense, the Commonwealth must prove three things beyond a reasonable doubt:</w:t>
      </w:r>
    </w:p>
    <w:p w14:paraId="75B18735" w14:textId="77777777" w:rsidR="00BA254E" w:rsidRDefault="00BA254E" w:rsidP="00BA254E">
      <w:pPr>
        <w:pStyle w:val="BodyText"/>
        <w:kinsoku w:val="0"/>
        <w:overflowPunct w:val="0"/>
        <w:spacing w:before="8" w:line="480" w:lineRule="auto"/>
        <w:ind w:firstLine="720"/>
      </w:pPr>
      <w:r>
        <w:rPr>
          <w:i/>
          <w:iCs/>
        </w:rPr>
        <w:t xml:space="preserve">First:  </w:t>
      </w:r>
      <w:r>
        <w:t xml:space="preserve">That the defendant </w:t>
      </w:r>
      <w:bookmarkStart w:id="0" w:name="_Hlk151115538"/>
      <w:r>
        <w:t xml:space="preserve">used a device to hear, record or aid another person in hearing or recording an oral or wire </w:t>
      </w:r>
      <w:proofErr w:type="gramStart"/>
      <w:r>
        <w:t>communication</w:t>
      </w:r>
      <w:bookmarkEnd w:id="0"/>
      <w:r>
        <w:t>;</w:t>
      </w:r>
      <w:proofErr w:type="gramEnd"/>
      <w:r>
        <w:t xml:space="preserve"> </w:t>
      </w:r>
    </w:p>
    <w:p w14:paraId="369CE155" w14:textId="58314A3F" w:rsidR="00BA254E" w:rsidRDefault="00BA254E" w:rsidP="00BA254E">
      <w:pPr>
        <w:pStyle w:val="BodyText"/>
        <w:kinsoku w:val="0"/>
        <w:overflowPunct w:val="0"/>
        <w:spacing w:before="1" w:line="480" w:lineRule="auto"/>
        <w:ind w:firstLine="720"/>
      </w:pPr>
      <w:r>
        <w:rPr>
          <w:i/>
          <w:iCs/>
        </w:rPr>
        <w:t xml:space="preserve">Second:  </w:t>
      </w:r>
      <w:bookmarkStart w:id="1" w:name="_Hlk151115693"/>
      <w:r w:rsidRPr="00986333">
        <w:t xml:space="preserve">That the defendant </w:t>
      </w:r>
      <w:r>
        <w:t>did so secretly;</w:t>
      </w:r>
      <w:r w:rsidRPr="00986333">
        <w:t xml:space="preserve"> </w:t>
      </w:r>
      <w:bookmarkEnd w:id="1"/>
      <w:r w:rsidR="00786893">
        <w:t>and</w:t>
      </w:r>
    </w:p>
    <w:p w14:paraId="3B7D5511" w14:textId="77777777" w:rsidR="00BA254E" w:rsidRPr="00657663" w:rsidRDefault="00BA254E" w:rsidP="00BA254E">
      <w:pPr>
        <w:pStyle w:val="BodyText"/>
        <w:kinsoku w:val="0"/>
        <w:overflowPunct w:val="0"/>
        <w:spacing w:before="1" w:line="480" w:lineRule="auto"/>
        <w:ind w:firstLine="720"/>
        <w:rPr>
          <w:b w:val="0"/>
          <w:bCs w:val="0"/>
        </w:rPr>
      </w:pPr>
      <w:r w:rsidRPr="00986333">
        <w:rPr>
          <w:i/>
          <w:iCs/>
        </w:rPr>
        <w:t>Third:</w:t>
      </w:r>
      <w:r>
        <w:rPr>
          <w:i/>
          <w:iCs/>
        </w:rPr>
        <w:t xml:space="preserve">  </w:t>
      </w:r>
      <w:r w:rsidRPr="00657663">
        <w:t xml:space="preserve">That the defendant </w:t>
      </w:r>
      <w:r>
        <w:t>did so willfully.</w:t>
      </w:r>
    </w:p>
    <w:p w14:paraId="52354930" w14:textId="77777777" w:rsidR="00BA254E" w:rsidRDefault="00BA254E" w:rsidP="00BA254E">
      <w:pPr>
        <w:spacing w:line="480" w:lineRule="auto"/>
        <w:ind w:firstLine="720"/>
        <w:rPr>
          <w:b/>
          <w:bCs/>
          <w:sz w:val="28"/>
          <w:szCs w:val="28"/>
        </w:rPr>
      </w:pPr>
    </w:p>
    <w:p w14:paraId="6145925F" w14:textId="0980B4C3" w:rsidR="00BA254E" w:rsidRDefault="00BA254E" w:rsidP="00BA254E">
      <w:pPr>
        <w:spacing w:line="480" w:lineRule="auto"/>
        <w:ind w:firstLine="720"/>
        <w:rPr>
          <w:b/>
          <w:bCs/>
          <w:sz w:val="28"/>
          <w:szCs w:val="28"/>
        </w:rPr>
      </w:pPr>
      <w:r>
        <w:rPr>
          <w:b/>
          <w:bCs/>
          <w:sz w:val="28"/>
          <w:szCs w:val="28"/>
        </w:rPr>
        <w:t xml:space="preserve">To prove the first element, the Commonwealth must prove beyond a reasonable doubt that the defendant </w:t>
      </w:r>
      <w:r w:rsidRPr="00973766">
        <w:rPr>
          <w:b/>
          <w:bCs/>
          <w:sz w:val="28"/>
          <w:szCs w:val="28"/>
        </w:rPr>
        <w:t xml:space="preserve">used a device to hear, record or aid another person in hearing or recording </w:t>
      </w:r>
      <w:r>
        <w:rPr>
          <w:b/>
          <w:bCs/>
          <w:sz w:val="28"/>
          <w:szCs w:val="28"/>
        </w:rPr>
        <w:t xml:space="preserve">the contents of </w:t>
      </w:r>
      <w:r w:rsidRPr="00973766">
        <w:rPr>
          <w:b/>
          <w:bCs/>
          <w:sz w:val="28"/>
          <w:szCs w:val="28"/>
        </w:rPr>
        <w:t>a</w:t>
      </w:r>
      <w:r>
        <w:rPr>
          <w:b/>
          <w:bCs/>
          <w:sz w:val="28"/>
          <w:szCs w:val="28"/>
        </w:rPr>
        <w:t>n oral or wire</w:t>
      </w:r>
      <w:r w:rsidRPr="00973766">
        <w:rPr>
          <w:b/>
          <w:bCs/>
          <w:sz w:val="28"/>
          <w:szCs w:val="28"/>
        </w:rPr>
        <w:t xml:space="preserve"> communication</w:t>
      </w:r>
      <w:r>
        <w:rPr>
          <w:b/>
          <w:bCs/>
          <w:sz w:val="28"/>
          <w:szCs w:val="28"/>
        </w:rPr>
        <w:t xml:space="preserve">.  The contents of a communication </w:t>
      </w:r>
      <w:r w:rsidRPr="00EF1454">
        <w:rPr>
          <w:b/>
          <w:bCs/>
          <w:sz w:val="28"/>
          <w:szCs w:val="28"/>
        </w:rPr>
        <w:t>means any information concerning the identity of the parties to such communication or the existence, contents, substance, or meaning of that communication.</w:t>
      </w:r>
      <w:r>
        <w:rPr>
          <w:b/>
          <w:bCs/>
          <w:sz w:val="28"/>
          <w:szCs w:val="28"/>
        </w:rPr>
        <w:t xml:space="preserve">  A device is </w:t>
      </w:r>
      <w:r w:rsidRPr="00973766">
        <w:rPr>
          <w:b/>
          <w:bCs/>
          <w:sz w:val="28"/>
          <w:szCs w:val="28"/>
        </w:rPr>
        <w:t xml:space="preserve">any device or apparatus which is capable of transmitting, receiving, amplifying, or recording a wire or </w:t>
      </w:r>
      <w:r w:rsidRPr="00973766">
        <w:rPr>
          <w:b/>
          <w:bCs/>
          <w:sz w:val="28"/>
          <w:szCs w:val="28"/>
        </w:rPr>
        <w:lastRenderedPageBreak/>
        <w:t>oral communication</w:t>
      </w:r>
      <w:r>
        <w:rPr>
          <w:b/>
          <w:bCs/>
          <w:sz w:val="28"/>
          <w:szCs w:val="28"/>
        </w:rPr>
        <w:t xml:space="preserve">.  [Oral communications are defined as human </w:t>
      </w:r>
      <w:r w:rsidRPr="00397961">
        <w:rPr>
          <w:b/>
          <w:bCs/>
          <w:sz w:val="28"/>
          <w:szCs w:val="28"/>
        </w:rPr>
        <w:t>speech</w:t>
      </w:r>
      <w:r>
        <w:rPr>
          <w:b/>
          <w:bCs/>
          <w:sz w:val="28"/>
          <w:szCs w:val="28"/>
        </w:rPr>
        <w:t xml:space="preserve"> and any words spoken by a human</w:t>
      </w:r>
      <w:r w:rsidRPr="00397961">
        <w:rPr>
          <w:b/>
          <w:bCs/>
          <w:sz w:val="28"/>
          <w:szCs w:val="28"/>
        </w:rPr>
        <w:t>.</w:t>
      </w:r>
      <w:r>
        <w:rPr>
          <w:b/>
          <w:bCs/>
          <w:sz w:val="28"/>
          <w:szCs w:val="28"/>
        </w:rPr>
        <w:t>]</w:t>
      </w:r>
      <w:r w:rsidRPr="00397961">
        <w:rPr>
          <w:b/>
          <w:bCs/>
          <w:sz w:val="28"/>
          <w:szCs w:val="28"/>
        </w:rPr>
        <w:t xml:space="preserve">  </w:t>
      </w:r>
      <w:r>
        <w:rPr>
          <w:b/>
          <w:bCs/>
          <w:sz w:val="28"/>
          <w:szCs w:val="28"/>
        </w:rPr>
        <w:t>[W</w:t>
      </w:r>
      <w:r w:rsidRPr="00397961">
        <w:rPr>
          <w:b/>
          <w:bCs/>
          <w:sz w:val="28"/>
          <w:szCs w:val="28"/>
        </w:rPr>
        <w:t>ire communication</w:t>
      </w:r>
      <w:r>
        <w:rPr>
          <w:b/>
          <w:bCs/>
          <w:sz w:val="28"/>
          <w:szCs w:val="28"/>
        </w:rPr>
        <w:t xml:space="preserve">s are </w:t>
      </w:r>
      <w:r w:rsidRPr="00397961">
        <w:rPr>
          <w:b/>
          <w:bCs/>
          <w:sz w:val="28"/>
          <w:szCs w:val="28"/>
        </w:rPr>
        <w:t>defined as any communication made in whole or in part by the aid of wire, cable, or other like connection between the point of origin and the point of reception.</w:t>
      </w:r>
      <w:r>
        <w:rPr>
          <w:b/>
          <w:bCs/>
          <w:sz w:val="28"/>
          <w:szCs w:val="28"/>
        </w:rPr>
        <w:t>]</w:t>
      </w:r>
    </w:p>
    <w:p w14:paraId="29A352F1" w14:textId="77777777" w:rsidR="00786893" w:rsidRDefault="00786893" w:rsidP="00BA254E">
      <w:pPr>
        <w:spacing w:line="480" w:lineRule="auto"/>
        <w:ind w:firstLine="720"/>
        <w:rPr>
          <w:b/>
          <w:bCs/>
          <w:sz w:val="28"/>
          <w:szCs w:val="28"/>
        </w:rPr>
      </w:pPr>
    </w:p>
    <w:p w14:paraId="450D41D8" w14:textId="77777777" w:rsidR="00BA254E" w:rsidRPr="004E566E" w:rsidRDefault="00BA254E" w:rsidP="00BA254E">
      <w:pPr>
        <w:pBdr>
          <w:left w:val="single" w:sz="4" w:space="4" w:color="auto"/>
          <w:right w:val="single" w:sz="4" w:space="4" w:color="auto"/>
        </w:pBdr>
        <w:spacing w:line="480" w:lineRule="auto"/>
        <w:ind w:left="720" w:right="720"/>
        <w:jc w:val="center"/>
      </w:pPr>
      <w:r w:rsidRPr="004E566E">
        <w:t>SUPPLEMENTAL INSTRUCTIONS</w:t>
      </w:r>
    </w:p>
    <w:p w14:paraId="28A3D48F" w14:textId="77777777" w:rsidR="00BA254E" w:rsidRDefault="00BA254E" w:rsidP="00BA254E">
      <w:pPr>
        <w:pStyle w:val="ListParagraph"/>
        <w:pBdr>
          <w:left w:val="single" w:sz="4" w:space="4" w:color="auto"/>
          <w:right w:val="single" w:sz="4" w:space="4" w:color="auto"/>
        </w:pBdr>
        <w:ind w:right="720"/>
        <w:rPr>
          <w:sz w:val="20"/>
          <w:szCs w:val="20"/>
        </w:rPr>
      </w:pPr>
    </w:p>
    <w:p w14:paraId="301E4AAA" w14:textId="77777777" w:rsidR="00BA254E" w:rsidRDefault="00BA254E" w:rsidP="00BA254E">
      <w:pPr>
        <w:pStyle w:val="ListParagraph"/>
        <w:numPr>
          <w:ilvl w:val="0"/>
          <w:numId w:val="1"/>
        </w:numPr>
        <w:pBdr>
          <w:left w:val="single" w:sz="4" w:space="4" w:color="auto"/>
          <w:right w:val="single" w:sz="4" w:space="4" w:color="auto"/>
        </w:pBdr>
        <w:ind w:right="720"/>
        <w:rPr>
          <w:sz w:val="20"/>
          <w:szCs w:val="20"/>
        </w:rPr>
      </w:pPr>
      <w:r>
        <w:rPr>
          <w:i/>
          <w:iCs/>
          <w:bdr w:val="single" w:sz="4" w:space="0" w:color="auto"/>
        </w:rPr>
        <w:t>Device exception</w:t>
      </w:r>
      <w:r w:rsidRPr="005C52BF">
        <w:rPr>
          <w:i/>
          <w:iCs/>
          <w:bdr w:val="single" w:sz="4" w:space="0" w:color="auto"/>
        </w:rPr>
        <w:t>.</w:t>
      </w:r>
      <w:r>
        <w:rPr>
          <w:sz w:val="20"/>
          <w:szCs w:val="20"/>
        </w:rPr>
        <w:t xml:space="preserve">  </w:t>
      </w:r>
    </w:p>
    <w:p w14:paraId="152337FF" w14:textId="77777777" w:rsidR="00BA254E" w:rsidRDefault="00BA254E" w:rsidP="00BA254E">
      <w:pPr>
        <w:pStyle w:val="ListParagraph"/>
        <w:pBdr>
          <w:left w:val="single" w:sz="4" w:space="4" w:color="auto"/>
          <w:right w:val="single" w:sz="4" w:space="4" w:color="auto"/>
        </w:pBdr>
        <w:ind w:right="720"/>
        <w:rPr>
          <w:sz w:val="20"/>
          <w:szCs w:val="20"/>
        </w:rPr>
      </w:pPr>
    </w:p>
    <w:p w14:paraId="0327FC1F" w14:textId="2F4F0C48" w:rsidR="00BA254E" w:rsidRDefault="00786893" w:rsidP="00BA254E">
      <w:pPr>
        <w:pBdr>
          <w:left w:val="single" w:sz="4" w:space="4" w:color="auto"/>
          <w:right w:val="single" w:sz="4" w:space="4" w:color="auto"/>
        </w:pBdr>
        <w:spacing w:line="480" w:lineRule="auto"/>
        <w:ind w:left="720" w:right="720"/>
        <w:rPr>
          <w:b/>
          <w:bCs/>
          <w:sz w:val="28"/>
          <w:szCs w:val="28"/>
        </w:rPr>
      </w:pPr>
      <w:r>
        <w:rPr>
          <w:b/>
          <w:bCs/>
          <w:sz w:val="28"/>
          <w:szCs w:val="28"/>
        </w:rPr>
        <w:tab/>
      </w:r>
      <w:r w:rsidR="00BA254E">
        <w:rPr>
          <w:b/>
          <w:bCs/>
          <w:sz w:val="28"/>
          <w:szCs w:val="28"/>
        </w:rPr>
        <w:t xml:space="preserve">A device does not include </w:t>
      </w:r>
      <w:r w:rsidR="00BA254E" w:rsidRPr="00973766">
        <w:rPr>
          <w:b/>
          <w:bCs/>
          <w:sz w:val="28"/>
          <w:szCs w:val="28"/>
        </w:rPr>
        <w:t>a hearing aid or similar device which is being used to correct subnormal hearing to normal</w:t>
      </w:r>
      <w:r w:rsidR="00BA254E">
        <w:rPr>
          <w:b/>
          <w:bCs/>
          <w:sz w:val="28"/>
          <w:szCs w:val="28"/>
        </w:rPr>
        <w:t>.  A device also does not include</w:t>
      </w:r>
      <w:r w:rsidR="00BA254E" w:rsidRPr="00973766">
        <w:rPr>
          <w:b/>
          <w:bCs/>
          <w:sz w:val="28"/>
          <w:szCs w:val="28"/>
        </w:rPr>
        <w:t xml:space="preserve"> any telephone or telegraph instrument, equipment, facility, or a component thereof, being used by the subscriber</w:t>
      </w:r>
      <w:r w:rsidR="00BA254E">
        <w:rPr>
          <w:b/>
          <w:bCs/>
          <w:sz w:val="28"/>
          <w:szCs w:val="28"/>
        </w:rPr>
        <w:t>,</w:t>
      </w:r>
      <w:r w:rsidR="00BA254E" w:rsidRPr="00973766">
        <w:rPr>
          <w:b/>
          <w:bCs/>
          <w:sz w:val="28"/>
          <w:szCs w:val="28"/>
        </w:rPr>
        <w:t xml:space="preserve"> </w:t>
      </w:r>
      <w:proofErr w:type="gramStart"/>
      <w:r w:rsidR="00BA254E" w:rsidRPr="00973766">
        <w:rPr>
          <w:b/>
          <w:bCs/>
          <w:sz w:val="28"/>
          <w:szCs w:val="28"/>
        </w:rPr>
        <w:t>user</w:t>
      </w:r>
      <w:proofErr w:type="gramEnd"/>
      <w:r w:rsidR="00BA254E">
        <w:rPr>
          <w:b/>
          <w:bCs/>
          <w:sz w:val="28"/>
          <w:szCs w:val="28"/>
        </w:rPr>
        <w:t xml:space="preserve"> or </w:t>
      </w:r>
      <w:r w:rsidR="00BA254E" w:rsidRPr="00973766">
        <w:rPr>
          <w:b/>
          <w:bCs/>
          <w:sz w:val="28"/>
          <w:szCs w:val="28"/>
        </w:rPr>
        <w:t>communications common carrier in the ordinary course of its business</w:t>
      </w:r>
      <w:r w:rsidR="00BA254E">
        <w:rPr>
          <w:b/>
          <w:bCs/>
          <w:sz w:val="28"/>
          <w:szCs w:val="28"/>
        </w:rPr>
        <w:t>.</w:t>
      </w:r>
      <w:r w:rsidR="00BA254E" w:rsidRPr="00973766" w:rsidDel="0052349C">
        <w:rPr>
          <w:b/>
          <w:bCs/>
          <w:sz w:val="28"/>
          <w:szCs w:val="28"/>
        </w:rPr>
        <w:t xml:space="preserve"> </w:t>
      </w:r>
    </w:p>
    <w:p w14:paraId="2FFFD381" w14:textId="77777777" w:rsidR="00BA254E" w:rsidRDefault="00BA254E" w:rsidP="00BA254E">
      <w:pPr>
        <w:pStyle w:val="NormalWeb"/>
        <w:pBdr>
          <w:left w:val="single" w:sz="4" w:space="4" w:color="auto"/>
          <w:right w:val="single" w:sz="4" w:space="4" w:color="auto"/>
        </w:pBdr>
        <w:shd w:val="clear" w:color="auto" w:fill="FFFFFF"/>
        <w:spacing w:before="0" w:beforeAutospacing="0" w:after="0" w:afterAutospacing="0"/>
        <w:ind w:left="720" w:right="720"/>
        <w:textAlignment w:val="baseline"/>
        <w:rPr>
          <w:rFonts w:ascii="Arial" w:hAnsi="Arial" w:cs="Arial"/>
          <w:color w:val="000000"/>
          <w:sz w:val="20"/>
          <w:szCs w:val="20"/>
        </w:rPr>
      </w:pPr>
      <w:r w:rsidRPr="008D0F0C">
        <w:rPr>
          <w:rFonts w:ascii="Arial" w:hAnsi="Arial" w:cs="Arial"/>
          <w:sz w:val="20"/>
          <w:szCs w:val="20"/>
        </w:rPr>
        <w:t xml:space="preserve">See </w:t>
      </w:r>
      <w:r w:rsidRPr="008D0F0C">
        <w:rPr>
          <w:rFonts w:ascii="Arial" w:hAnsi="Arial" w:cs="Arial"/>
          <w:i/>
          <w:iCs/>
          <w:sz w:val="20"/>
          <w:szCs w:val="20"/>
        </w:rPr>
        <w:t>Commonwealth v. Todisco</w:t>
      </w:r>
      <w:r w:rsidRPr="008D0F0C">
        <w:rPr>
          <w:rFonts w:ascii="Arial" w:hAnsi="Arial" w:cs="Arial"/>
          <w:sz w:val="20"/>
          <w:szCs w:val="20"/>
        </w:rPr>
        <w:t>, 363 Mass. 445, 4</w:t>
      </w:r>
      <w:r>
        <w:rPr>
          <w:rFonts w:ascii="Arial" w:hAnsi="Arial" w:cs="Arial"/>
          <w:sz w:val="20"/>
          <w:szCs w:val="20"/>
        </w:rPr>
        <w:t>52</w:t>
      </w:r>
      <w:r w:rsidRPr="008D0F0C">
        <w:rPr>
          <w:rFonts w:ascii="Arial" w:hAnsi="Arial" w:cs="Arial"/>
          <w:sz w:val="20"/>
          <w:szCs w:val="20"/>
        </w:rPr>
        <w:t xml:space="preserve"> (</w:t>
      </w:r>
      <w:r>
        <w:rPr>
          <w:rFonts w:ascii="Arial" w:hAnsi="Arial" w:cs="Arial"/>
          <w:sz w:val="20"/>
          <w:szCs w:val="20"/>
        </w:rPr>
        <w:t>1973) (“</w:t>
      </w:r>
      <w:r w:rsidRPr="008D0F0C">
        <w:rPr>
          <w:rFonts w:ascii="Arial" w:hAnsi="Arial" w:cs="Arial"/>
          <w:color w:val="000000"/>
          <w:sz w:val="20"/>
          <w:szCs w:val="20"/>
        </w:rPr>
        <w:t>The clear and obvious legislative intent was to prevent the illegal use of devices external and extraneous to the regular telephone equipment</w:t>
      </w:r>
      <w:r>
        <w:rPr>
          <w:rFonts w:ascii="Arial" w:hAnsi="Arial" w:cs="Arial"/>
          <w:color w:val="000000"/>
          <w:sz w:val="20"/>
          <w:szCs w:val="20"/>
        </w:rPr>
        <w:t>” and “</w:t>
      </w:r>
      <w:r w:rsidRPr="008D0F0C">
        <w:rPr>
          <w:rFonts w:ascii="Arial" w:hAnsi="Arial" w:cs="Arial"/>
          <w:color w:val="000000"/>
          <w:sz w:val="20"/>
          <w:szCs w:val="20"/>
        </w:rPr>
        <w:t>not to prevent the repair of a telephone or the replacement of a missing component part of the telephone in order to make it operable.</w:t>
      </w:r>
      <w:r>
        <w:rPr>
          <w:rFonts w:ascii="Arial" w:hAnsi="Arial" w:cs="Arial"/>
          <w:color w:val="000000"/>
          <w:sz w:val="20"/>
          <w:szCs w:val="20"/>
        </w:rPr>
        <w:t>”)</w:t>
      </w:r>
    </w:p>
    <w:p w14:paraId="0461D615" w14:textId="77777777" w:rsidR="00BA254E" w:rsidRDefault="00BA254E" w:rsidP="00BA254E">
      <w:pPr>
        <w:pBdr>
          <w:left w:val="single" w:sz="4" w:space="4" w:color="auto"/>
          <w:right w:val="single" w:sz="4" w:space="4" w:color="auto"/>
        </w:pBdr>
        <w:spacing w:line="480" w:lineRule="auto"/>
        <w:ind w:left="720" w:right="720"/>
        <w:rPr>
          <w:sz w:val="20"/>
          <w:szCs w:val="20"/>
        </w:rPr>
      </w:pPr>
    </w:p>
    <w:p w14:paraId="385EA26B" w14:textId="12142351" w:rsidR="00BA254E" w:rsidRPr="00E73075" w:rsidRDefault="00786893" w:rsidP="00BA254E">
      <w:pPr>
        <w:pStyle w:val="ListParagraph"/>
        <w:numPr>
          <w:ilvl w:val="0"/>
          <w:numId w:val="1"/>
        </w:numPr>
        <w:pBdr>
          <w:left w:val="single" w:sz="4" w:space="4" w:color="auto"/>
          <w:right w:val="single" w:sz="4" w:space="4" w:color="auto"/>
        </w:pBdr>
        <w:spacing w:line="480" w:lineRule="auto"/>
        <w:ind w:left="720" w:right="720" w:firstLine="0"/>
        <w:rPr>
          <w:b/>
          <w:bCs/>
          <w:sz w:val="28"/>
          <w:szCs w:val="28"/>
        </w:rPr>
      </w:pPr>
      <w:r>
        <w:rPr>
          <w:i/>
          <w:iCs/>
          <w:bdr w:val="single" w:sz="4" w:space="0" w:color="auto"/>
        </w:rPr>
        <w:t>“R</w:t>
      </w:r>
      <w:r w:rsidR="00BA254E" w:rsidRPr="00F36C67">
        <w:rPr>
          <w:i/>
          <w:iCs/>
          <w:bdr w:val="single" w:sz="4" w:space="0" w:color="auto"/>
        </w:rPr>
        <w:t>ecord</w:t>
      </w:r>
      <w:r>
        <w:rPr>
          <w:i/>
          <w:iCs/>
          <w:bdr w:val="single" w:sz="4" w:space="0" w:color="auto"/>
        </w:rPr>
        <w:t>” definition</w:t>
      </w:r>
      <w:r w:rsidR="00BA254E" w:rsidRPr="00F36C67">
        <w:rPr>
          <w:i/>
          <w:iCs/>
          <w:bdr w:val="single" w:sz="4" w:space="0" w:color="auto"/>
        </w:rPr>
        <w:t>.</w:t>
      </w:r>
      <w:r w:rsidR="00BA254E">
        <w:rPr>
          <w:i/>
          <w:iCs/>
          <w:sz w:val="20"/>
          <w:szCs w:val="20"/>
        </w:rPr>
        <w:t xml:space="preserve">  </w:t>
      </w:r>
      <w:r w:rsidR="00BA254E">
        <w:rPr>
          <w:b/>
          <w:bCs/>
          <w:sz w:val="28"/>
          <w:szCs w:val="28"/>
        </w:rPr>
        <w:t xml:space="preserve">To “record” something </w:t>
      </w:r>
      <w:r w:rsidR="00BA254E" w:rsidRPr="00E73075">
        <w:rPr>
          <w:b/>
          <w:bCs/>
          <w:sz w:val="28"/>
          <w:szCs w:val="28"/>
        </w:rPr>
        <w:t>means to</w:t>
      </w:r>
      <w:r w:rsidR="00BA254E">
        <w:rPr>
          <w:b/>
          <w:bCs/>
          <w:sz w:val="28"/>
          <w:szCs w:val="28"/>
        </w:rPr>
        <w:t xml:space="preserve"> set words down in writing or to</w:t>
      </w:r>
      <w:r w:rsidR="00BA254E" w:rsidRPr="00E73075">
        <w:rPr>
          <w:b/>
          <w:bCs/>
          <w:sz w:val="28"/>
          <w:szCs w:val="28"/>
        </w:rPr>
        <w:t xml:space="preserve"> cause sound</w:t>
      </w:r>
      <w:r w:rsidR="00BA254E">
        <w:rPr>
          <w:b/>
          <w:bCs/>
          <w:sz w:val="28"/>
          <w:szCs w:val="28"/>
        </w:rPr>
        <w:t xml:space="preserve">s or </w:t>
      </w:r>
      <w:r w:rsidR="00BA254E" w:rsidRPr="00E73075">
        <w:rPr>
          <w:b/>
          <w:bCs/>
          <w:sz w:val="28"/>
          <w:szCs w:val="28"/>
        </w:rPr>
        <w:t xml:space="preserve">visual images to be transferred to and registered on something </w:t>
      </w:r>
      <w:r w:rsidR="00BA254E">
        <w:rPr>
          <w:b/>
          <w:bCs/>
          <w:sz w:val="28"/>
          <w:szCs w:val="28"/>
        </w:rPr>
        <w:t xml:space="preserve">by </w:t>
      </w:r>
      <w:r w:rsidR="00BA254E" w:rsidRPr="00E73075">
        <w:rPr>
          <w:b/>
          <w:bCs/>
          <w:sz w:val="28"/>
          <w:szCs w:val="28"/>
        </w:rPr>
        <w:lastRenderedPageBreak/>
        <w:t xml:space="preserve">electronic means in such a way that the </w:t>
      </w:r>
      <w:r w:rsidR="00BA254E">
        <w:rPr>
          <w:b/>
          <w:bCs/>
          <w:sz w:val="28"/>
          <w:szCs w:val="28"/>
        </w:rPr>
        <w:t xml:space="preserve">words, sounds or visual images </w:t>
      </w:r>
      <w:r w:rsidR="00BA254E" w:rsidRPr="00E73075">
        <w:rPr>
          <w:b/>
          <w:bCs/>
          <w:sz w:val="28"/>
          <w:szCs w:val="28"/>
        </w:rPr>
        <w:t>can</w:t>
      </w:r>
      <w:r w:rsidR="00BA254E">
        <w:rPr>
          <w:b/>
          <w:bCs/>
          <w:sz w:val="28"/>
          <w:szCs w:val="28"/>
        </w:rPr>
        <w:t xml:space="preserve"> </w:t>
      </w:r>
      <w:r w:rsidR="00BA254E" w:rsidRPr="00E73075">
        <w:rPr>
          <w:b/>
          <w:bCs/>
          <w:sz w:val="28"/>
          <w:szCs w:val="28"/>
        </w:rPr>
        <w:t>be subsequently reproduced.</w:t>
      </w:r>
    </w:p>
    <w:p w14:paraId="2189C4F4" w14:textId="77777777" w:rsidR="00BA254E" w:rsidRPr="00E73075" w:rsidRDefault="00BA254E" w:rsidP="00BA254E">
      <w:pPr>
        <w:pBdr>
          <w:left w:val="single" w:sz="4" w:space="4" w:color="auto"/>
          <w:right w:val="single" w:sz="4" w:space="4" w:color="auto"/>
        </w:pBdr>
        <w:ind w:left="720" w:right="720"/>
      </w:pPr>
      <w:r w:rsidRPr="00F36C67">
        <w:rPr>
          <w:i/>
          <w:iCs/>
          <w:sz w:val="20"/>
          <w:szCs w:val="20"/>
        </w:rPr>
        <w:t>Commonwealth v. Moody</w:t>
      </w:r>
      <w:r>
        <w:rPr>
          <w:i/>
          <w:iCs/>
          <w:sz w:val="20"/>
          <w:szCs w:val="20"/>
        </w:rPr>
        <w:t>,</w:t>
      </w:r>
      <w:r w:rsidRPr="00B90FEA">
        <w:rPr>
          <w:sz w:val="20"/>
          <w:szCs w:val="20"/>
        </w:rPr>
        <w:t xml:space="preserve"> 466 Mass. 196, 209 (2013) (defining the term “record”)</w:t>
      </w:r>
      <w:r>
        <w:rPr>
          <w:sz w:val="20"/>
          <w:szCs w:val="20"/>
        </w:rPr>
        <w:t>.</w:t>
      </w:r>
      <w:r w:rsidRPr="00E73075">
        <w:t xml:space="preserve"> </w:t>
      </w:r>
    </w:p>
    <w:p w14:paraId="3D559590" w14:textId="77777777" w:rsidR="00BA254E" w:rsidRPr="00B12FBA" w:rsidRDefault="00BA254E" w:rsidP="00BA254E">
      <w:pPr>
        <w:pBdr>
          <w:left w:val="single" w:sz="4" w:space="4" w:color="auto"/>
          <w:right w:val="single" w:sz="4" w:space="4" w:color="auto"/>
        </w:pBdr>
        <w:spacing w:line="480" w:lineRule="auto"/>
        <w:ind w:left="720" w:right="720"/>
        <w:rPr>
          <w:sz w:val="20"/>
          <w:szCs w:val="20"/>
        </w:rPr>
      </w:pPr>
    </w:p>
    <w:p w14:paraId="175795BF" w14:textId="77777777" w:rsidR="00BA254E" w:rsidRDefault="00BA254E" w:rsidP="00BA254E">
      <w:pPr>
        <w:spacing w:line="480" w:lineRule="auto"/>
        <w:rPr>
          <w:sz w:val="20"/>
          <w:szCs w:val="20"/>
        </w:rPr>
      </w:pPr>
    </w:p>
    <w:p w14:paraId="16189176" w14:textId="77777777" w:rsidR="00BA254E" w:rsidRDefault="00BA254E" w:rsidP="00BA254E">
      <w:pPr>
        <w:spacing w:line="480" w:lineRule="auto"/>
        <w:ind w:firstLine="720"/>
        <w:rPr>
          <w:b/>
          <w:bCs/>
          <w:sz w:val="28"/>
          <w:szCs w:val="28"/>
        </w:rPr>
      </w:pPr>
      <w:r>
        <w:rPr>
          <w:b/>
          <w:bCs/>
          <w:sz w:val="28"/>
          <w:szCs w:val="28"/>
        </w:rPr>
        <w:t>To prove the second element, the Commonwealth must prove beyond a reasonable doubt is t</w:t>
      </w:r>
      <w:r w:rsidRPr="00973766">
        <w:rPr>
          <w:b/>
          <w:bCs/>
          <w:sz w:val="28"/>
          <w:szCs w:val="28"/>
        </w:rPr>
        <w:t>hat the defendant did so secretly</w:t>
      </w:r>
      <w:r>
        <w:rPr>
          <w:b/>
          <w:bCs/>
          <w:sz w:val="28"/>
          <w:szCs w:val="28"/>
        </w:rPr>
        <w:t xml:space="preserve">.  A person hears or records secretly if the person(s) recorded or heard is (are) unaware or otherwise not on notice that the defendant is hearing or recording them.  </w:t>
      </w:r>
    </w:p>
    <w:p w14:paraId="479123E0" w14:textId="77777777" w:rsidR="00BA254E" w:rsidRPr="00B92EBB" w:rsidRDefault="00BA254E" w:rsidP="00BA254E">
      <w:pPr>
        <w:ind w:firstLine="720"/>
        <w:rPr>
          <w:b/>
          <w:bCs/>
          <w:sz w:val="28"/>
          <w:szCs w:val="28"/>
        </w:rPr>
      </w:pPr>
    </w:p>
    <w:p w14:paraId="261A1135" w14:textId="77777777" w:rsidR="00BA254E" w:rsidRPr="00A23222" w:rsidRDefault="00BA254E" w:rsidP="00BA254E">
      <w:pPr>
        <w:ind w:left="720" w:right="720"/>
        <w:rPr>
          <w:sz w:val="20"/>
          <w:szCs w:val="20"/>
        </w:rPr>
      </w:pPr>
      <w:r w:rsidRPr="00B92EBB">
        <w:rPr>
          <w:sz w:val="20"/>
          <w:szCs w:val="20"/>
        </w:rPr>
        <w:t>See</w:t>
      </w:r>
      <w:r>
        <w:rPr>
          <w:sz w:val="20"/>
          <w:szCs w:val="20"/>
        </w:rPr>
        <w:t xml:space="preserve"> </w:t>
      </w:r>
      <w:r>
        <w:rPr>
          <w:i/>
          <w:iCs/>
          <w:sz w:val="20"/>
          <w:szCs w:val="20"/>
        </w:rPr>
        <w:t>Commonwealth v. Morris</w:t>
      </w:r>
      <w:r>
        <w:rPr>
          <w:sz w:val="20"/>
          <w:szCs w:val="20"/>
        </w:rPr>
        <w:t>, 492 Mass. 498, 517-518 (2023) (the term secretly “</w:t>
      </w:r>
      <w:r w:rsidRPr="00414499">
        <w:rPr>
          <w:sz w:val="20"/>
          <w:szCs w:val="20"/>
        </w:rPr>
        <w:t>apparently contemplates circumstances in which one openly hears a conversation and secretly records it through the use of an intercepting device</w:t>
      </w:r>
      <w:r>
        <w:rPr>
          <w:sz w:val="20"/>
          <w:szCs w:val="20"/>
        </w:rPr>
        <w:t>”)</w:t>
      </w:r>
      <w:r w:rsidRPr="00414499" w:rsidDel="00414499">
        <w:rPr>
          <w:sz w:val="20"/>
          <w:szCs w:val="20"/>
        </w:rPr>
        <w:t>;</w:t>
      </w:r>
      <w:r>
        <w:rPr>
          <w:sz w:val="20"/>
          <w:szCs w:val="20"/>
        </w:rPr>
        <w:t xml:space="preserve"> </w:t>
      </w:r>
      <w:r w:rsidRPr="00C77111">
        <w:rPr>
          <w:i/>
          <w:iCs/>
          <w:sz w:val="20"/>
          <w:szCs w:val="20"/>
        </w:rPr>
        <w:t>Commonwealth v. Du</w:t>
      </w:r>
      <w:r>
        <w:rPr>
          <w:sz w:val="20"/>
          <w:szCs w:val="20"/>
        </w:rPr>
        <w:t xml:space="preserve">, 103 Mass. App. Ct. 469, 478 (2023), quoting </w:t>
      </w:r>
      <w:r w:rsidRPr="00AD31E8">
        <w:rPr>
          <w:i/>
          <w:iCs/>
          <w:sz w:val="20"/>
          <w:szCs w:val="20"/>
        </w:rPr>
        <w:t>Commonwealth v. Jackson</w:t>
      </w:r>
      <w:r w:rsidRPr="00B92EBB">
        <w:rPr>
          <w:sz w:val="20"/>
          <w:szCs w:val="20"/>
        </w:rPr>
        <w:t>, 370 Mass. 502, 507 (1976) (</w:t>
      </w:r>
      <w:r>
        <w:rPr>
          <w:sz w:val="20"/>
          <w:szCs w:val="20"/>
        </w:rPr>
        <w:t xml:space="preserve">the term “secretly” does not “encompass[] only those situations where an individual has a reasonable expectation of privacy; a </w:t>
      </w:r>
      <w:r w:rsidRPr="00BB115E">
        <w:rPr>
          <w:sz w:val="20"/>
          <w:szCs w:val="20"/>
        </w:rPr>
        <w:t xml:space="preserve">recording is made “secretly” when it is made without the actual </w:t>
      </w:r>
      <w:r w:rsidRPr="00C77111">
        <w:rPr>
          <w:sz w:val="20"/>
          <w:szCs w:val="20"/>
        </w:rPr>
        <w:t>knowledge of the person being recorded; the Commonwealth may prove actual knowledge</w:t>
      </w:r>
      <w:r w:rsidRPr="00C77111">
        <w:rPr>
          <w:rFonts w:eastAsia="Times New Roman"/>
          <w:color w:val="000000"/>
          <w:sz w:val="20"/>
          <w:szCs w:val="20"/>
        </w:rPr>
        <w:t xml:space="preserve"> “w</w:t>
      </w:r>
      <w:r w:rsidRPr="00C77111">
        <w:rPr>
          <w:sz w:val="20"/>
          <w:szCs w:val="20"/>
        </w:rPr>
        <w:t>here</w:t>
      </w:r>
      <w:r w:rsidRPr="00A61F43">
        <w:rPr>
          <w:sz w:val="20"/>
          <w:szCs w:val="20"/>
        </w:rPr>
        <w:t xml:space="preserve"> there are clear and unequivocal objective manifestations of knowledge [on the part of the person being recorded</w:t>
      </w:r>
      <w:r>
        <w:rPr>
          <w:sz w:val="20"/>
          <w:szCs w:val="20"/>
        </w:rPr>
        <w:t>).</w:t>
      </w:r>
      <w:r w:rsidRPr="00A23222">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w:t>
      </w:r>
      <w:r w:rsidRPr="00A23222">
        <w:rPr>
          <w:sz w:val="20"/>
          <w:szCs w:val="20"/>
        </w:rPr>
        <w:t>A recording that is made with the actual knowledge of all parties is not an interception, even if they have not affirmatively authorized or consented to it</w:t>
      </w:r>
      <w:r>
        <w:rPr>
          <w:sz w:val="20"/>
          <w:szCs w:val="20"/>
        </w:rPr>
        <w:t xml:space="preserve">.”  </w:t>
      </w:r>
      <w:r w:rsidRPr="00AD115B">
        <w:rPr>
          <w:i/>
          <w:iCs/>
          <w:sz w:val="20"/>
          <w:szCs w:val="20"/>
        </w:rPr>
        <w:t>Jackson</w:t>
      </w:r>
      <w:r>
        <w:rPr>
          <w:sz w:val="20"/>
          <w:szCs w:val="20"/>
        </w:rPr>
        <w:t xml:space="preserve">, </w:t>
      </w:r>
      <w:r w:rsidRPr="00AD115B">
        <w:rPr>
          <w:i/>
          <w:iCs/>
          <w:sz w:val="20"/>
          <w:szCs w:val="20"/>
        </w:rPr>
        <w:t>supra</w:t>
      </w:r>
      <w:r>
        <w:rPr>
          <w:sz w:val="20"/>
          <w:szCs w:val="20"/>
        </w:rPr>
        <w:t>.  See notes 1-3 for other exemptions)</w:t>
      </w:r>
    </w:p>
    <w:p w14:paraId="5112E702" w14:textId="77777777" w:rsidR="00BA254E" w:rsidRPr="00B92EBB" w:rsidRDefault="00BA254E" w:rsidP="00BA254E">
      <w:pPr>
        <w:ind w:firstLine="720"/>
        <w:rPr>
          <w:sz w:val="20"/>
          <w:szCs w:val="20"/>
        </w:rPr>
      </w:pPr>
    </w:p>
    <w:p w14:paraId="5D351FE0" w14:textId="77777777" w:rsidR="00BA254E" w:rsidRPr="00B92EBB" w:rsidRDefault="00BA254E" w:rsidP="00BA254E">
      <w:pPr>
        <w:ind w:firstLine="720"/>
        <w:rPr>
          <w:b/>
          <w:bCs/>
          <w:sz w:val="28"/>
          <w:szCs w:val="28"/>
        </w:rPr>
      </w:pPr>
    </w:p>
    <w:p w14:paraId="5A14C0A5" w14:textId="77777777" w:rsidR="00BA254E" w:rsidRDefault="00BA254E" w:rsidP="00BA254E">
      <w:pPr>
        <w:ind w:firstLine="720"/>
        <w:rPr>
          <w:b/>
          <w:bCs/>
          <w:sz w:val="28"/>
          <w:szCs w:val="28"/>
        </w:rPr>
      </w:pPr>
    </w:p>
    <w:p w14:paraId="692F65D6" w14:textId="77777777" w:rsidR="00BA254E" w:rsidRDefault="00BA254E" w:rsidP="00BA254E">
      <w:pPr>
        <w:spacing w:line="480" w:lineRule="auto"/>
        <w:ind w:firstLine="720"/>
        <w:rPr>
          <w:b/>
          <w:bCs/>
          <w:sz w:val="28"/>
          <w:szCs w:val="28"/>
        </w:rPr>
      </w:pPr>
      <w:r>
        <w:rPr>
          <w:b/>
          <w:bCs/>
          <w:sz w:val="28"/>
          <w:szCs w:val="28"/>
        </w:rPr>
        <w:t>To prove the third element, the Commonwealth must prove beyond a reasonable doubt that the defendant acted willfully.  A</w:t>
      </w:r>
      <w:r w:rsidRPr="00397961">
        <w:rPr>
          <w:b/>
          <w:bCs/>
          <w:sz w:val="28"/>
          <w:szCs w:val="28"/>
        </w:rPr>
        <w:t xml:space="preserve">n act is “willful” if it is done intentionally and by design, in contrast to an act which is done thoughtlessly or accidentally.  A person acts willfully if </w:t>
      </w:r>
      <w:r>
        <w:rPr>
          <w:b/>
          <w:bCs/>
          <w:sz w:val="28"/>
          <w:szCs w:val="28"/>
        </w:rPr>
        <w:t>they</w:t>
      </w:r>
      <w:r w:rsidRPr="00397961">
        <w:rPr>
          <w:b/>
          <w:bCs/>
          <w:sz w:val="28"/>
          <w:szCs w:val="28"/>
        </w:rPr>
        <w:t xml:space="preserve"> intend the conduct and its consequences.</w:t>
      </w:r>
    </w:p>
    <w:p w14:paraId="5A62B229" w14:textId="77777777" w:rsidR="00BA254E" w:rsidRDefault="00BA254E" w:rsidP="00BA254E">
      <w:pPr>
        <w:ind w:left="720"/>
        <w:rPr>
          <w:sz w:val="20"/>
          <w:szCs w:val="20"/>
        </w:rPr>
      </w:pPr>
      <w:r w:rsidRPr="00841D54">
        <w:rPr>
          <w:sz w:val="20"/>
          <w:szCs w:val="20"/>
        </w:rPr>
        <w:lastRenderedPageBreak/>
        <w:t xml:space="preserve">See, e.g., </w:t>
      </w:r>
      <w:r>
        <w:rPr>
          <w:sz w:val="20"/>
          <w:szCs w:val="20"/>
        </w:rPr>
        <w:t xml:space="preserve">Instruction </w:t>
      </w:r>
      <w:r w:rsidRPr="00841D54">
        <w:rPr>
          <w:sz w:val="20"/>
          <w:szCs w:val="20"/>
        </w:rPr>
        <w:t>8.280</w:t>
      </w:r>
      <w:r>
        <w:rPr>
          <w:sz w:val="20"/>
          <w:szCs w:val="20"/>
        </w:rPr>
        <w:t xml:space="preserve"> </w:t>
      </w:r>
      <w:proofErr w:type="gramStart"/>
      <w:r>
        <w:rPr>
          <w:sz w:val="20"/>
          <w:szCs w:val="20"/>
        </w:rPr>
        <w:t>Willful</w:t>
      </w:r>
      <w:proofErr w:type="gramEnd"/>
      <w:r>
        <w:rPr>
          <w:sz w:val="20"/>
          <w:szCs w:val="20"/>
        </w:rPr>
        <w:t xml:space="preserve"> and malicious destruction of property.</w:t>
      </w:r>
    </w:p>
    <w:p w14:paraId="1759AC8F" w14:textId="77777777" w:rsidR="00BA254E" w:rsidRPr="00841D54" w:rsidRDefault="00BA254E" w:rsidP="00BA254E">
      <w:pPr>
        <w:ind w:left="720"/>
        <w:rPr>
          <w:sz w:val="20"/>
          <w:szCs w:val="20"/>
        </w:rPr>
      </w:pPr>
    </w:p>
    <w:p w14:paraId="663D9F5F" w14:textId="77777777" w:rsidR="00BA254E" w:rsidRPr="00397961" w:rsidRDefault="00BA254E" w:rsidP="00BA254E">
      <w:pPr>
        <w:ind w:left="720"/>
      </w:pPr>
    </w:p>
    <w:p w14:paraId="6517ECE8" w14:textId="7706E450" w:rsidR="00BA254E" w:rsidRDefault="00BA254E" w:rsidP="00BA254E">
      <w:pPr>
        <w:spacing w:line="480" w:lineRule="auto"/>
        <w:ind w:left="86" w:firstLine="634"/>
        <w:rPr>
          <w:b/>
          <w:bCs/>
          <w:sz w:val="28"/>
          <w:szCs w:val="28"/>
        </w:rPr>
      </w:pPr>
      <w:r w:rsidRPr="005F450E">
        <w:rPr>
          <w:b/>
          <w:bCs/>
          <w:sz w:val="28"/>
          <w:szCs w:val="28"/>
        </w:rPr>
        <w:t xml:space="preserve">If the Commonwealth has proven all </w:t>
      </w:r>
      <w:r>
        <w:rPr>
          <w:b/>
          <w:bCs/>
          <w:iCs/>
          <w:sz w:val="28"/>
          <w:szCs w:val="28"/>
        </w:rPr>
        <w:t xml:space="preserve">three </w:t>
      </w:r>
      <w:r w:rsidRPr="005F450E">
        <w:rPr>
          <w:b/>
          <w:bCs/>
          <w:sz w:val="28"/>
          <w:szCs w:val="28"/>
        </w:rPr>
        <w:t xml:space="preserve">of </w:t>
      </w:r>
      <w:r>
        <w:rPr>
          <w:b/>
          <w:bCs/>
          <w:sz w:val="28"/>
          <w:szCs w:val="28"/>
        </w:rPr>
        <w:t xml:space="preserve">the </w:t>
      </w:r>
      <w:r w:rsidRPr="005F450E">
        <w:rPr>
          <w:b/>
          <w:bCs/>
          <w:sz w:val="28"/>
          <w:szCs w:val="28"/>
        </w:rPr>
        <w:t>elements beyond a reasonable doubt, you should return a verdict of guilty.  If the Commonwealth has failed to prove</w:t>
      </w:r>
      <w:r>
        <w:rPr>
          <w:b/>
          <w:bCs/>
          <w:sz w:val="28"/>
          <w:szCs w:val="28"/>
        </w:rPr>
        <w:t xml:space="preserve"> one or more </w:t>
      </w:r>
      <w:r w:rsidRPr="005F450E">
        <w:rPr>
          <w:b/>
          <w:bCs/>
          <w:sz w:val="28"/>
          <w:szCs w:val="28"/>
        </w:rPr>
        <w:t>of the elements</w:t>
      </w:r>
      <w:r>
        <w:rPr>
          <w:b/>
          <w:bCs/>
          <w:sz w:val="28"/>
          <w:szCs w:val="28"/>
        </w:rPr>
        <w:t xml:space="preserve"> beyond a reasonable doubt</w:t>
      </w:r>
      <w:r w:rsidRPr="005F450E">
        <w:rPr>
          <w:b/>
          <w:bCs/>
          <w:sz w:val="28"/>
          <w:szCs w:val="28"/>
        </w:rPr>
        <w:t xml:space="preserve">, you must </w:t>
      </w:r>
      <w:r>
        <w:rPr>
          <w:b/>
          <w:bCs/>
          <w:sz w:val="28"/>
          <w:szCs w:val="28"/>
        </w:rPr>
        <w:t>find the defendant not guilty.</w:t>
      </w:r>
    </w:p>
    <w:p w14:paraId="5E71BCCF" w14:textId="77777777" w:rsidR="00382380" w:rsidRDefault="00382380" w:rsidP="00BA254E">
      <w:pPr>
        <w:spacing w:line="480" w:lineRule="auto"/>
        <w:ind w:left="86" w:firstLine="634"/>
        <w:rPr>
          <w:b/>
          <w:bCs/>
          <w:sz w:val="28"/>
          <w:szCs w:val="28"/>
        </w:rPr>
      </w:pPr>
    </w:p>
    <w:p w14:paraId="61E8619D" w14:textId="77777777" w:rsidR="00BA254E" w:rsidRDefault="00BA254E" w:rsidP="00BA254E">
      <w:pPr>
        <w:spacing w:line="480" w:lineRule="auto"/>
        <w:rPr>
          <w:sz w:val="20"/>
          <w:szCs w:val="20"/>
        </w:rPr>
      </w:pPr>
      <w:r>
        <w:rPr>
          <w:sz w:val="20"/>
          <w:szCs w:val="20"/>
        </w:rPr>
        <w:t>NOTES:</w:t>
      </w:r>
    </w:p>
    <w:p w14:paraId="4B7B8A7B" w14:textId="40AA4B89" w:rsidR="00BA254E" w:rsidRDefault="00BA254E" w:rsidP="00382380">
      <w:pPr>
        <w:pStyle w:val="ListParagraph"/>
        <w:numPr>
          <w:ilvl w:val="0"/>
          <w:numId w:val="2"/>
        </w:numPr>
        <w:tabs>
          <w:tab w:val="left" w:pos="1440"/>
        </w:tabs>
        <w:kinsoku w:val="0"/>
        <w:overflowPunct w:val="0"/>
        <w:spacing w:line="264" w:lineRule="auto"/>
        <w:ind w:firstLine="690"/>
        <w:rPr>
          <w:sz w:val="20"/>
          <w:szCs w:val="20"/>
        </w:rPr>
      </w:pPr>
      <w:r w:rsidRPr="00C77111">
        <w:rPr>
          <w:b/>
          <w:bCs/>
          <w:sz w:val="20"/>
          <w:szCs w:val="20"/>
        </w:rPr>
        <w:t>Exemptions in § 99 D</w:t>
      </w:r>
      <w:r>
        <w:rPr>
          <w:sz w:val="20"/>
          <w:szCs w:val="20"/>
        </w:rPr>
        <w:t>.  “</w:t>
      </w:r>
      <w:r w:rsidRPr="00FC23A6">
        <w:rPr>
          <w:sz w:val="20"/>
          <w:szCs w:val="20"/>
        </w:rPr>
        <w:t>An interception</w:t>
      </w:r>
      <w:r>
        <w:rPr>
          <w:sz w:val="20"/>
          <w:szCs w:val="20"/>
        </w:rPr>
        <w:t xml:space="preserve">… </w:t>
      </w:r>
      <w:r w:rsidRPr="00FC23A6">
        <w:rPr>
          <w:sz w:val="20"/>
          <w:szCs w:val="20"/>
        </w:rPr>
        <w:t>is unlawful unless it comes within one of the exemptions set forth in § 99 D, such as the exemption for those authorized persons who are acting pursuant to a warrant issued in accordance with the statute</w:t>
      </w:r>
      <w:r>
        <w:rPr>
          <w:sz w:val="20"/>
          <w:szCs w:val="20"/>
        </w:rPr>
        <w:t xml:space="preserve">.”  </w:t>
      </w:r>
      <w:r w:rsidRPr="002A64E3">
        <w:rPr>
          <w:i/>
          <w:iCs/>
          <w:sz w:val="20"/>
          <w:szCs w:val="20"/>
        </w:rPr>
        <w:t>Commonwealth v. Jackson</w:t>
      </w:r>
      <w:r>
        <w:rPr>
          <w:sz w:val="20"/>
          <w:szCs w:val="20"/>
        </w:rPr>
        <w:t xml:space="preserve">, 370 Mass. 502, 503 n.1 (1976). </w:t>
      </w:r>
      <w:r w:rsidRPr="00FC23A6">
        <w:rPr>
          <w:sz w:val="20"/>
          <w:szCs w:val="20"/>
        </w:rPr>
        <w:t xml:space="preserve"> </w:t>
      </w:r>
      <w:r>
        <w:rPr>
          <w:sz w:val="20"/>
          <w:szCs w:val="20"/>
        </w:rPr>
        <w:t>Section 99 D 1 (a) – (f) list</w:t>
      </w:r>
      <w:r w:rsidR="002A64E3">
        <w:rPr>
          <w:sz w:val="20"/>
          <w:szCs w:val="20"/>
        </w:rPr>
        <w:t>s</w:t>
      </w:r>
      <w:r>
        <w:rPr>
          <w:sz w:val="20"/>
          <w:szCs w:val="20"/>
        </w:rPr>
        <w:t xml:space="preserve"> several other exemptions, including for “investigative and law enforcement officers of the United States of America… if acting pursuant to [and within the scope of the] authority of the laws of the United States” and for “i</w:t>
      </w:r>
      <w:r w:rsidRPr="00D60FF1">
        <w:rPr>
          <w:sz w:val="20"/>
          <w:szCs w:val="20"/>
        </w:rPr>
        <w:t xml:space="preserve">nvestigative or law enforcement officers </w:t>
      </w:r>
      <w:r>
        <w:rPr>
          <w:sz w:val="20"/>
          <w:szCs w:val="20"/>
        </w:rPr>
        <w:t>[when acting] for</w:t>
      </w:r>
      <w:r w:rsidRPr="00D60FF1">
        <w:rPr>
          <w:sz w:val="20"/>
          <w:szCs w:val="20"/>
        </w:rPr>
        <w:t xml:space="preserve"> the purposes of ensuring the safety of any law enforcement officer or agent thereof who is acting in an undercover capacity, or as a witness for the commonwealth</w:t>
      </w:r>
      <w:r>
        <w:rPr>
          <w:sz w:val="20"/>
          <w:szCs w:val="20"/>
        </w:rPr>
        <w:t>… .”  The statute also exempts recordings made by employees or agents of communications companies and of financial institutions in the ordinary course of business, with some caveats.  See D 1 (a) and (f).   Finally, the statute delineates permissible disclosure or use of intercepted wire or oral communications under certain circumstances.  See G.L. c. 272, § 99 D. 2. (a) - (e).</w:t>
      </w:r>
    </w:p>
    <w:p w14:paraId="5D7C7BE8" w14:textId="77777777" w:rsidR="00BA254E" w:rsidRDefault="00BA254E" w:rsidP="00382380">
      <w:pPr>
        <w:pStyle w:val="ListParagraph"/>
        <w:tabs>
          <w:tab w:val="left" w:pos="1440"/>
        </w:tabs>
        <w:kinsoku w:val="0"/>
        <w:overflowPunct w:val="0"/>
        <w:spacing w:line="264" w:lineRule="auto"/>
        <w:ind w:firstLine="690"/>
        <w:rPr>
          <w:sz w:val="20"/>
          <w:szCs w:val="20"/>
        </w:rPr>
      </w:pPr>
      <w:r>
        <w:rPr>
          <w:sz w:val="20"/>
          <w:szCs w:val="20"/>
        </w:rPr>
        <w:tab/>
      </w:r>
    </w:p>
    <w:p w14:paraId="0BAA4A5A" w14:textId="77777777" w:rsidR="00BA254E" w:rsidRDefault="00BA254E" w:rsidP="00382380">
      <w:pPr>
        <w:pStyle w:val="ListParagraph"/>
        <w:numPr>
          <w:ilvl w:val="0"/>
          <w:numId w:val="2"/>
        </w:numPr>
        <w:tabs>
          <w:tab w:val="left" w:pos="1440"/>
        </w:tabs>
        <w:kinsoku w:val="0"/>
        <w:overflowPunct w:val="0"/>
        <w:spacing w:line="264" w:lineRule="auto"/>
        <w:ind w:firstLine="690"/>
        <w:rPr>
          <w:sz w:val="20"/>
          <w:szCs w:val="20"/>
        </w:rPr>
      </w:pPr>
      <w:r w:rsidRPr="002166A6">
        <w:rPr>
          <w:b/>
          <w:bCs/>
          <w:sz w:val="20"/>
          <w:szCs w:val="20"/>
        </w:rPr>
        <w:t>One-party consent exception</w:t>
      </w:r>
      <w:r w:rsidRPr="002166A6">
        <w:rPr>
          <w:sz w:val="20"/>
          <w:szCs w:val="20"/>
        </w:rPr>
        <w:t xml:space="preserve">.  </w:t>
      </w:r>
      <w:r w:rsidRPr="002166A6">
        <w:rPr>
          <w:rFonts w:eastAsia="Times New Roman"/>
          <w:sz w:val="20"/>
          <w:szCs w:val="20"/>
          <w:bdr w:val="none" w:sz="0" w:space="0" w:color="auto" w:frame="1"/>
        </w:rPr>
        <w:t>The </w:t>
      </w:r>
      <w:r w:rsidRPr="002166A6">
        <w:rPr>
          <w:rFonts w:eastAsia="Times New Roman"/>
          <w:color w:val="212121"/>
          <w:sz w:val="20"/>
          <w:szCs w:val="20"/>
          <w:bdr w:val="none" w:sz="0" w:space="0" w:color="auto" w:frame="1"/>
        </w:rPr>
        <w:t>one-party</w:t>
      </w:r>
      <w:r w:rsidRPr="002166A6">
        <w:rPr>
          <w:rFonts w:eastAsia="Times New Roman"/>
          <w:sz w:val="20"/>
          <w:szCs w:val="20"/>
          <w:bdr w:val="none" w:sz="0" w:space="0" w:color="auto" w:frame="1"/>
        </w:rPr>
        <w:t> consent exception is "a narrow exception to the broad statutory prohibition against warrantless surveillance." </w:t>
      </w:r>
      <w:r>
        <w:rPr>
          <w:rFonts w:eastAsia="Times New Roman"/>
          <w:sz w:val="20"/>
          <w:szCs w:val="20"/>
          <w:bdr w:val="none" w:sz="0" w:space="0" w:color="auto" w:frame="1"/>
        </w:rPr>
        <w:t xml:space="preserve"> </w:t>
      </w:r>
      <w:r w:rsidRPr="00C77111">
        <w:rPr>
          <w:rFonts w:eastAsia="Times New Roman"/>
          <w:i/>
          <w:iCs/>
          <w:sz w:val="20"/>
          <w:szCs w:val="20"/>
          <w:bdr w:val="none" w:sz="0" w:space="0" w:color="auto" w:frame="1"/>
        </w:rPr>
        <w:t>Commonwealth v. Thorpe</w:t>
      </w:r>
      <w:r w:rsidRPr="00C77111">
        <w:rPr>
          <w:rFonts w:eastAsia="Times New Roman"/>
          <w:sz w:val="20"/>
          <w:szCs w:val="20"/>
          <w:bdr w:val="none" w:sz="0" w:space="0" w:color="auto" w:frame="1"/>
        </w:rPr>
        <w:t>, 384 Mass. 271, 279 (1981), cert. denied, 454 U.S. 1147 (1982</w:t>
      </w:r>
      <w:r>
        <w:rPr>
          <w:rFonts w:eastAsia="Times New Roman"/>
          <w:sz w:val="20"/>
          <w:szCs w:val="20"/>
          <w:bdr w:val="none" w:sz="0" w:space="0" w:color="auto" w:frame="1"/>
        </w:rPr>
        <w:t>)</w:t>
      </w:r>
      <w:r w:rsidRPr="002166A6">
        <w:rPr>
          <w:rFonts w:eastAsia="Times New Roman"/>
          <w:sz w:val="20"/>
          <w:szCs w:val="20"/>
          <w:bdr w:val="none" w:sz="0" w:space="0" w:color="auto" w:frame="1"/>
        </w:rPr>
        <w:t xml:space="preserve">.  It </w:t>
      </w:r>
      <w:r w:rsidRPr="002166A6">
        <w:rPr>
          <w:sz w:val="20"/>
          <w:szCs w:val="20"/>
        </w:rPr>
        <w:t>applies where a law enforcement officer is either 1) a party to a communication or 2) has been given prior authorization to record or transmit the communication by the other party.  See G.L. c. 272, § 99 B 4.  In addition, in either circumstance, the exemption only applies if the communication is recorded or transmitted in the course of an investigation of a “designated offense”</w:t>
      </w:r>
      <w:r w:rsidRPr="002166A6">
        <w:rPr>
          <w:rFonts w:eastAsia="Times New Roman"/>
          <w:color w:val="000000"/>
          <w:sz w:val="20"/>
          <w:szCs w:val="20"/>
        </w:rPr>
        <w:t xml:space="preserve"> committed in connection with organized crime.  See G. L. c. 272, § 99 B 4, 7.  See </w:t>
      </w:r>
      <w:r w:rsidRPr="002166A6">
        <w:rPr>
          <w:rFonts w:eastAsia="Times New Roman"/>
          <w:i/>
          <w:iCs/>
          <w:color w:val="000000"/>
          <w:sz w:val="20"/>
          <w:szCs w:val="20"/>
        </w:rPr>
        <w:t>Commonwealth v. Tavares</w:t>
      </w:r>
      <w:r w:rsidRPr="002166A6">
        <w:rPr>
          <w:rFonts w:eastAsia="Times New Roman"/>
          <w:color w:val="000000"/>
          <w:sz w:val="20"/>
          <w:szCs w:val="20"/>
        </w:rPr>
        <w:t xml:space="preserve">, 459 Mass. 289, 297-298 (2011); </w:t>
      </w:r>
      <w:r w:rsidRPr="00C77111">
        <w:rPr>
          <w:rFonts w:eastAsia="Times New Roman"/>
          <w:i/>
          <w:iCs/>
          <w:sz w:val="20"/>
          <w:szCs w:val="20"/>
          <w:bdr w:val="none" w:sz="0" w:space="0" w:color="auto" w:frame="1"/>
          <w:shd w:val="clear" w:color="auto" w:fill="FFFFFF"/>
        </w:rPr>
        <w:t>Commonwealth v. Du</w:t>
      </w:r>
      <w:r w:rsidRPr="00C77111">
        <w:rPr>
          <w:rFonts w:eastAsia="Times New Roman"/>
          <w:sz w:val="20"/>
          <w:szCs w:val="20"/>
          <w:bdr w:val="none" w:sz="0" w:space="0" w:color="auto" w:frame="1"/>
          <w:shd w:val="clear" w:color="auto" w:fill="FFFFFF"/>
        </w:rPr>
        <w:t>, 103 Mass. App. Ct. 469, 476</w:t>
      </w:r>
      <w:r w:rsidRPr="00C77111">
        <w:rPr>
          <w:rFonts w:eastAsia="Times New Roman"/>
          <w:sz w:val="20"/>
          <w:szCs w:val="20"/>
        </w:rPr>
        <w:t xml:space="preserve"> </w:t>
      </w:r>
      <w:r w:rsidRPr="002166A6">
        <w:rPr>
          <w:rFonts w:eastAsia="Times New Roman"/>
          <w:sz w:val="20"/>
          <w:szCs w:val="20"/>
        </w:rPr>
        <w:t xml:space="preserve">(2023).  The term “designated offense” is defined in § 99 B 7, which enumerates several specific offenses.  The preamble to the wiretap statute specifically defines "organized crime" to mean "a continuing conspiracy among highly organized and disciplined groups to engage in supplying illegal goods and services." G. L. c. 272, § 99 A, first par.  See </w:t>
      </w:r>
      <w:r w:rsidRPr="00C77111">
        <w:rPr>
          <w:rFonts w:eastAsia="Times New Roman"/>
          <w:i/>
          <w:iCs/>
          <w:sz w:val="20"/>
          <w:szCs w:val="20"/>
        </w:rPr>
        <w:t>Commonwealth v. Du</w:t>
      </w:r>
      <w:r w:rsidRPr="002166A6">
        <w:rPr>
          <w:rFonts w:eastAsia="Times New Roman"/>
          <w:sz w:val="20"/>
          <w:szCs w:val="20"/>
        </w:rPr>
        <w:t>, 103 Mass. App. Ct. at 476-477 and cases cited (</w:t>
      </w:r>
      <w:r w:rsidRPr="002166A6">
        <w:rPr>
          <w:sz w:val="20"/>
          <w:szCs w:val="20"/>
        </w:rPr>
        <w:t xml:space="preserve">“Our cases have found this standard to be met where there was evidence of an ongoing coordinated effort among multiple people to engage in one of the statute's designated offenses for the group’s financial gain or goals.)  </w:t>
      </w:r>
    </w:p>
    <w:p w14:paraId="1EF314B9" w14:textId="77777777" w:rsidR="00BA254E" w:rsidRDefault="00BA254E" w:rsidP="00382380">
      <w:pPr>
        <w:pStyle w:val="ListParagraph"/>
        <w:tabs>
          <w:tab w:val="left" w:pos="1440"/>
        </w:tabs>
        <w:kinsoku w:val="0"/>
        <w:overflowPunct w:val="0"/>
        <w:spacing w:line="264" w:lineRule="auto"/>
        <w:ind w:firstLine="690"/>
        <w:rPr>
          <w:sz w:val="20"/>
          <w:szCs w:val="20"/>
        </w:rPr>
      </w:pPr>
    </w:p>
    <w:p w14:paraId="6E6EAF42" w14:textId="77777777" w:rsidR="00BA254E" w:rsidRPr="00C77111" w:rsidRDefault="00BA254E" w:rsidP="00382380">
      <w:pPr>
        <w:pStyle w:val="ListParagraph"/>
        <w:numPr>
          <w:ilvl w:val="0"/>
          <w:numId w:val="2"/>
        </w:numPr>
        <w:tabs>
          <w:tab w:val="left" w:pos="1440"/>
        </w:tabs>
        <w:kinsoku w:val="0"/>
        <w:overflowPunct w:val="0"/>
        <w:spacing w:line="264" w:lineRule="auto"/>
        <w:ind w:firstLine="690"/>
        <w:rPr>
          <w:sz w:val="20"/>
          <w:szCs w:val="20"/>
        </w:rPr>
      </w:pPr>
      <w:r w:rsidRPr="00C77111">
        <w:rPr>
          <w:b/>
          <w:bCs/>
          <w:sz w:val="20"/>
          <w:szCs w:val="20"/>
        </w:rPr>
        <w:t>Other offenses prohibited by Section 99.</w:t>
      </w:r>
      <w:r w:rsidRPr="00C77111">
        <w:rPr>
          <w:sz w:val="20"/>
          <w:szCs w:val="20"/>
        </w:rPr>
        <w:t xml:space="preserve">  In addition to 1) the unlawful interception of wire or oral communications, section 99 also prohibits 2) the editing or altering of recordings with the intent to present those in any judicial proceeding or proceeding under oath without indicating the nature </w:t>
      </w:r>
      <w:r w:rsidRPr="00C77111">
        <w:rPr>
          <w:sz w:val="20"/>
          <w:szCs w:val="20"/>
        </w:rPr>
        <w:lastRenderedPageBreak/>
        <w:t>of the changes made; 3) the willful use or disclosure of wire or oral communications, knowing that the information was obtained through an “interception”, 4) the disclosure of information contained in a wiretap warrant and the contents of any recordings obtained pursuant to such a warrant and 5) possessing an interception device.  This instruction may be tailored to fit those fact patterns if alleged</w:t>
      </w:r>
      <w:r w:rsidRPr="00C77111">
        <w:rPr>
          <w:rFonts w:eastAsia="Times New Roman"/>
          <w:b/>
          <w:bCs/>
          <w:color w:val="000000"/>
          <w:sz w:val="20"/>
          <w:szCs w:val="20"/>
        </w:rPr>
        <w:t>.</w:t>
      </w:r>
    </w:p>
    <w:p w14:paraId="27465DB5" w14:textId="77777777" w:rsidR="00BA254E" w:rsidRPr="00C77111" w:rsidRDefault="00BA254E" w:rsidP="00382380">
      <w:pPr>
        <w:pStyle w:val="ListParagraph"/>
        <w:ind w:firstLine="690"/>
        <w:rPr>
          <w:rFonts w:eastAsia="Times New Roman"/>
          <w:b/>
          <w:bCs/>
          <w:color w:val="000000"/>
          <w:sz w:val="20"/>
          <w:szCs w:val="20"/>
        </w:rPr>
      </w:pPr>
    </w:p>
    <w:p w14:paraId="51859D6E" w14:textId="77777777" w:rsidR="00BA254E" w:rsidRPr="00C77111" w:rsidRDefault="00BA254E" w:rsidP="00382380">
      <w:pPr>
        <w:pStyle w:val="ListParagraph"/>
        <w:numPr>
          <w:ilvl w:val="0"/>
          <w:numId w:val="2"/>
        </w:numPr>
        <w:tabs>
          <w:tab w:val="left" w:pos="1440"/>
        </w:tabs>
        <w:kinsoku w:val="0"/>
        <w:overflowPunct w:val="0"/>
        <w:ind w:firstLine="690"/>
        <w:rPr>
          <w:sz w:val="20"/>
          <w:szCs w:val="20"/>
        </w:rPr>
      </w:pPr>
      <w:r w:rsidRPr="00A1640C">
        <w:rPr>
          <w:rFonts w:eastAsia="Times New Roman"/>
          <w:b/>
          <w:bCs/>
          <w:sz w:val="20"/>
          <w:szCs w:val="20"/>
        </w:rPr>
        <w:t xml:space="preserve">Other recognized exceptions.  </w:t>
      </w:r>
      <w:r w:rsidRPr="00C77111">
        <w:rPr>
          <w:rFonts w:eastAsia="Times New Roman"/>
          <w:sz w:val="20"/>
          <w:szCs w:val="20"/>
        </w:rPr>
        <w:t xml:space="preserve">An audio-visual recording “made openly, or for a non-investigative purpose untargeted to a particular suspect, or while knowing one is voluntarily speaking with police who are taking the statement down” is not an interception for purposes of the wiretap statute.  </w:t>
      </w:r>
      <w:r w:rsidRPr="00C77111">
        <w:rPr>
          <w:rFonts w:eastAsia="Times New Roman"/>
          <w:i/>
          <w:iCs/>
          <w:sz w:val="20"/>
          <w:szCs w:val="20"/>
        </w:rPr>
        <w:t>Commonwealth v. Du</w:t>
      </w:r>
      <w:r w:rsidRPr="00C77111">
        <w:rPr>
          <w:rFonts w:eastAsia="Times New Roman"/>
          <w:sz w:val="20"/>
          <w:szCs w:val="20"/>
        </w:rPr>
        <w:t>, 103 Mass. App. Ct. 469, 479 (2023)</w:t>
      </w:r>
      <w:r>
        <w:rPr>
          <w:rFonts w:eastAsia="Times New Roman"/>
          <w:sz w:val="20"/>
          <w:szCs w:val="20"/>
        </w:rPr>
        <w:t xml:space="preserve"> (interception means to secretly hear, </w:t>
      </w:r>
      <w:proofErr w:type="gramStart"/>
      <w:r>
        <w:rPr>
          <w:rFonts w:eastAsia="Times New Roman"/>
          <w:sz w:val="20"/>
          <w:szCs w:val="20"/>
        </w:rPr>
        <w:t>record</w:t>
      </w:r>
      <w:proofErr w:type="gramEnd"/>
      <w:r>
        <w:rPr>
          <w:rFonts w:eastAsia="Times New Roman"/>
          <w:sz w:val="20"/>
          <w:szCs w:val="20"/>
        </w:rPr>
        <w:t xml:space="preserve"> or aid another person in hearing or recording the contents of a communication through the use of an intercepting device without authority)</w:t>
      </w:r>
      <w:r w:rsidRPr="00C77111">
        <w:rPr>
          <w:rFonts w:eastAsia="Times New Roman"/>
          <w:sz w:val="20"/>
          <w:szCs w:val="20"/>
        </w:rPr>
        <w:t xml:space="preserve">.  See e.g., </w:t>
      </w:r>
      <w:r w:rsidRPr="00C77111">
        <w:rPr>
          <w:rFonts w:eastAsia="Times New Roman"/>
          <w:i/>
          <w:iCs/>
          <w:sz w:val="20"/>
          <w:szCs w:val="20"/>
        </w:rPr>
        <w:t xml:space="preserve">Commonwealth v. </w:t>
      </w:r>
      <w:r w:rsidRPr="00C77111">
        <w:rPr>
          <w:rFonts w:eastAsia="Times New Roman"/>
          <w:i/>
          <w:iCs/>
          <w:sz w:val="20"/>
          <w:szCs w:val="20"/>
          <w:bdr w:val="none" w:sz="0" w:space="0" w:color="auto" w:frame="1"/>
        </w:rPr>
        <w:t>Morris</w:t>
      </w:r>
      <w:r w:rsidRPr="00C77111">
        <w:rPr>
          <w:rFonts w:eastAsia="Times New Roman"/>
          <w:sz w:val="20"/>
          <w:szCs w:val="20"/>
        </w:rPr>
        <w:t xml:space="preserve">, 492 Mass. 498, 506 (2023) (police department recording of interrogation where defendant knew his voluntary statement was being preserved by police); </w:t>
      </w:r>
      <w:r w:rsidRPr="00C77111">
        <w:rPr>
          <w:rFonts w:eastAsia="Times New Roman"/>
          <w:i/>
          <w:iCs/>
          <w:sz w:val="20"/>
          <w:szCs w:val="20"/>
        </w:rPr>
        <w:t>Commonwealth v.</w:t>
      </w:r>
      <w:r w:rsidRPr="00C77111">
        <w:rPr>
          <w:rFonts w:eastAsia="Times New Roman"/>
          <w:sz w:val="20"/>
          <w:szCs w:val="20"/>
        </w:rPr>
        <w:t xml:space="preserve"> </w:t>
      </w:r>
      <w:r w:rsidRPr="00C77111">
        <w:rPr>
          <w:rFonts w:eastAsia="Times New Roman"/>
          <w:i/>
          <w:iCs/>
          <w:sz w:val="20"/>
          <w:szCs w:val="20"/>
          <w:bdr w:val="none" w:sz="0" w:space="0" w:color="auto" w:frame="1"/>
        </w:rPr>
        <w:t>Rainey</w:t>
      </w:r>
      <w:r w:rsidRPr="00C77111">
        <w:rPr>
          <w:rFonts w:eastAsia="Times New Roman"/>
          <w:sz w:val="20"/>
          <w:szCs w:val="20"/>
        </w:rPr>
        <w:t xml:space="preserve">, 491 Mass. 632, 643-644 (2023) (voluntary victim statement to police officer wearing body worn camera); </w:t>
      </w:r>
      <w:r w:rsidRPr="00C77111">
        <w:rPr>
          <w:rFonts w:eastAsia="Times New Roman"/>
          <w:i/>
          <w:iCs/>
          <w:sz w:val="20"/>
          <w:szCs w:val="20"/>
          <w:bdr w:val="none" w:sz="0" w:space="0" w:color="auto" w:frame="1"/>
        </w:rPr>
        <w:t>Commonwealth</w:t>
      </w:r>
      <w:r w:rsidRPr="00C77111">
        <w:rPr>
          <w:rFonts w:eastAsia="Times New Roman"/>
          <w:sz w:val="20"/>
          <w:szCs w:val="20"/>
        </w:rPr>
        <w:t> v. </w:t>
      </w:r>
      <w:r w:rsidRPr="00C77111">
        <w:rPr>
          <w:rFonts w:eastAsia="Times New Roman"/>
          <w:i/>
          <w:iCs/>
          <w:sz w:val="20"/>
          <w:szCs w:val="20"/>
          <w:bdr w:val="none" w:sz="0" w:space="0" w:color="auto" w:frame="1"/>
        </w:rPr>
        <w:t>Rivera</w:t>
      </w:r>
      <w:r w:rsidRPr="00C77111">
        <w:rPr>
          <w:rFonts w:eastAsia="Times New Roman"/>
          <w:sz w:val="20"/>
          <w:szCs w:val="20"/>
        </w:rPr>
        <w:t>, 445 Mass. 119, 123-125 (2005) (in-store surveillance camera); </w:t>
      </w:r>
      <w:r w:rsidRPr="00C77111">
        <w:rPr>
          <w:rFonts w:eastAsia="Times New Roman"/>
          <w:i/>
          <w:iCs/>
          <w:sz w:val="20"/>
          <w:szCs w:val="20"/>
        </w:rPr>
        <w:t xml:space="preserve">Commonwealth v. </w:t>
      </w:r>
      <w:r w:rsidRPr="00C77111">
        <w:rPr>
          <w:rFonts w:eastAsia="Times New Roman"/>
          <w:i/>
          <w:iCs/>
          <w:sz w:val="20"/>
          <w:szCs w:val="20"/>
          <w:bdr w:val="none" w:sz="0" w:space="0" w:color="auto" w:frame="1"/>
        </w:rPr>
        <w:t>Gordon</w:t>
      </w:r>
      <w:r w:rsidRPr="00C77111">
        <w:rPr>
          <w:rFonts w:eastAsia="Times New Roman"/>
          <w:sz w:val="20"/>
          <w:szCs w:val="20"/>
        </w:rPr>
        <w:t>, 422 Mass. 816, 833 (1996) (administrative booking video).</w:t>
      </w:r>
    </w:p>
    <w:p w14:paraId="0DF5530A" w14:textId="77777777" w:rsidR="00BA254E" w:rsidRDefault="00BA254E" w:rsidP="00BA254E"/>
    <w:p w14:paraId="177F6474" w14:textId="77777777" w:rsidR="00BA254E" w:rsidRDefault="00BA254E" w:rsidP="00BA254E">
      <w:pPr>
        <w:tabs>
          <w:tab w:val="left" w:pos="1440"/>
        </w:tabs>
        <w:kinsoku w:val="0"/>
        <w:overflowPunct w:val="0"/>
        <w:spacing w:line="264" w:lineRule="auto"/>
        <w:ind w:right="114"/>
        <w:rPr>
          <w:sz w:val="20"/>
          <w:szCs w:val="20"/>
        </w:rPr>
      </w:pPr>
    </w:p>
    <w:p w14:paraId="515ED8C9" w14:textId="77777777" w:rsidR="00437300" w:rsidRDefault="00437300"/>
    <w:sectPr w:rsidR="00437300" w:rsidSect="007F70EC">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3C9D1" w14:textId="77777777" w:rsidR="00BA254E" w:rsidRDefault="00BA254E" w:rsidP="00BA254E">
      <w:r>
        <w:separator/>
      </w:r>
    </w:p>
  </w:endnote>
  <w:endnote w:type="continuationSeparator" w:id="0">
    <w:p w14:paraId="4DFBB970" w14:textId="77777777" w:rsidR="00BA254E" w:rsidRDefault="00BA254E" w:rsidP="00BA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2DA17" w14:textId="77777777" w:rsidR="00BA254E" w:rsidRDefault="00BA254E" w:rsidP="00BA254E">
      <w:r>
        <w:separator/>
      </w:r>
    </w:p>
  </w:footnote>
  <w:footnote w:type="continuationSeparator" w:id="0">
    <w:p w14:paraId="1D73FF51" w14:textId="77777777" w:rsidR="00BA254E" w:rsidRDefault="00BA254E" w:rsidP="00BA2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0205" w14:textId="2014A950" w:rsidR="004D128F" w:rsidRPr="00A44C0A" w:rsidRDefault="00382380" w:rsidP="008003E0">
    <w:pPr>
      <w:pStyle w:val="Header"/>
      <w:pBdr>
        <w:bottom w:val="single" w:sz="12" w:space="1" w:color="auto"/>
      </w:pBdr>
      <w:tabs>
        <w:tab w:val="clear" w:pos="4680"/>
        <w:tab w:val="clear" w:pos="9360"/>
        <w:tab w:val="left" w:pos="7830"/>
        <w:tab w:val="right" w:pos="10800"/>
      </w:tabs>
      <w:rPr>
        <w:noProof/>
        <w:sz w:val="20"/>
        <w:szCs w:val="20"/>
      </w:rPr>
    </w:pPr>
    <w:r>
      <w:rPr>
        <w:noProof/>
        <w:sz w:val="20"/>
        <w:szCs w:val="20"/>
      </w:rPr>
      <w:t xml:space="preserve">Instruction </w:t>
    </w:r>
    <w:r w:rsidR="00C858E2">
      <w:rPr>
        <w:noProof/>
        <w:sz w:val="20"/>
        <w:szCs w:val="20"/>
      </w:rPr>
      <w:t>7.560</w:t>
    </w:r>
    <w:r>
      <w:rPr>
        <w:noProof/>
        <w:sz w:val="20"/>
        <w:szCs w:val="20"/>
      </w:rPr>
      <w:tab/>
    </w:r>
    <w:r>
      <w:rPr>
        <w:noProof/>
        <w:sz w:val="20"/>
        <w:szCs w:val="20"/>
      </w:rPr>
      <w:tab/>
      <w:t xml:space="preserve">Page </w:t>
    </w:r>
    <w:r w:rsidRPr="00C6047A">
      <w:rPr>
        <w:noProof/>
        <w:sz w:val="20"/>
        <w:szCs w:val="20"/>
      </w:rPr>
      <w:fldChar w:fldCharType="begin"/>
    </w:r>
    <w:r w:rsidRPr="00C6047A">
      <w:rPr>
        <w:noProof/>
        <w:sz w:val="20"/>
        <w:szCs w:val="20"/>
      </w:rPr>
      <w:instrText xml:space="preserve"> PAGE   \* MERGEFORMAT </w:instrText>
    </w:r>
    <w:r w:rsidRPr="00C6047A">
      <w:rPr>
        <w:noProof/>
        <w:sz w:val="20"/>
        <w:szCs w:val="20"/>
      </w:rPr>
      <w:fldChar w:fldCharType="separate"/>
    </w:r>
    <w:r w:rsidRPr="00C6047A">
      <w:rPr>
        <w:noProof/>
        <w:sz w:val="20"/>
        <w:szCs w:val="20"/>
      </w:rPr>
      <w:t>1</w:t>
    </w:r>
    <w:r w:rsidRPr="00C6047A">
      <w:rPr>
        <w:noProof/>
        <w:sz w:val="20"/>
        <w:szCs w:val="20"/>
      </w:rPr>
      <w:fldChar w:fldCharType="end"/>
    </w:r>
    <w:r>
      <w:rPr>
        <w:noProof/>
        <w:sz w:val="20"/>
        <w:szCs w:val="20"/>
      </w:rPr>
      <w:t xml:space="preserve">  </w:t>
    </w:r>
  </w:p>
  <w:p w14:paraId="6A352A4B" w14:textId="6D4956CB" w:rsidR="004D128F" w:rsidRPr="00A44C0A" w:rsidRDefault="00382380" w:rsidP="008003E0">
    <w:pPr>
      <w:pStyle w:val="Header"/>
      <w:tabs>
        <w:tab w:val="clear" w:pos="4680"/>
        <w:tab w:val="clear" w:pos="9360"/>
        <w:tab w:val="left" w:pos="2790"/>
        <w:tab w:val="right" w:pos="10800"/>
      </w:tabs>
      <w:rPr>
        <w:b/>
        <w:sz w:val="20"/>
        <w:szCs w:val="20"/>
      </w:rPr>
    </w:pPr>
    <w:r w:rsidRPr="004D128F">
      <w:rPr>
        <w:b/>
        <w:bCs/>
        <w:sz w:val="20"/>
        <w:szCs w:val="20"/>
      </w:rPr>
      <w:t>WIRETAPPING</w:t>
    </w:r>
    <w:r>
      <w:rPr>
        <w:sz w:val="20"/>
        <w:szCs w:val="20"/>
      </w:rPr>
      <w:tab/>
    </w:r>
    <w:r>
      <w:rPr>
        <w:sz w:val="20"/>
        <w:szCs w:val="20"/>
      </w:rPr>
      <w:tab/>
    </w:r>
    <w:r w:rsidR="004D128F">
      <w:rPr>
        <w:sz w:val="20"/>
        <w:szCs w:val="20"/>
      </w:rPr>
      <w:t>February 2024</w:t>
    </w:r>
  </w:p>
  <w:p w14:paraId="14A46D18" w14:textId="77777777" w:rsidR="004D128F" w:rsidRPr="00A818EC" w:rsidRDefault="004D128F">
    <w:pPr>
      <w:pStyle w:val="Header"/>
      <w:rPr>
        <w:sz w:val="20"/>
        <w:szCs w:val="20"/>
      </w:rPr>
    </w:pPr>
  </w:p>
  <w:p w14:paraId="02F9F023" w14:textId="77777777" w:rsidR="004D128F" w:rsidRPr="00A818EC" w:rsidRDefault="004D128F">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CF2D" w14:textId="7BCF4BA0" w:rsidR="004D128F" w:rsidRPr="00A44C0A" w:rsidRDefault="00382380" w:rsidP="006C6760">
    <w:pPr>
      <w:pStyle w:val="Header"/>
      <w:pBdr>
        <w:bottom w:val="single" w:sz="12" w:space="1" w:color="auto"/>
      </w:pBdr>
      <w:tabs>
        <w:tab w:val="clear" w:pos="4680"/>
        <w:tab w:val="clear" w:pos="9360"/>
        <w:tab w:val="left" w:pos="7830"/>
        <w:tab w:val="left" w:pos="8460"/>
        <w:tab w:val="right" w:pos="10800"/>
      </w:tabs>
      <w:rPr>
        <w:noProof/>
        <w:sz w:val="20"/>
        <w:szCs w:val="20"/>
      </w:rPr>
    </w:pPr>
    <w:r>
      <w:rPr>
        <w:sz w:val="20"/>
        <w:szCs w:val="20"/>
      </w:rPr>
      <w:t xml:space="preserve">Page </w:t>
    </w:r>
    <w:r w:rsidRPr="006C6760">
      <w:rPr>
        <w:sz w:val="20"/>
        <w:szCs w:val="20"/>
      </w:rPr>
      <w:fldChar w:fldCharType="begin"/>
    </w:r>
    <w:r w:rsidRPr="006C6760">
      <w:rPr>
        <w:sz w:val="20"/>
        <w:szCs w:val="20"/>
      </w:rPr>
      <w:instrText xml:space="preserve"> PAGE   \* MERGEFORMAT </w:instrText>
    </w:r>
    <w:r w:rsidRPr="006C6760">
      <w:rPr>
        <w:sz w:val="20"/>
        <w:szCs w:val="20"/>
      </w:rPr>
      <w:fldChar w:fldCharType="separate"/>
    </w:r>
    <w:r w:rsidRPr="006C6760">
      <w:rPr>
        <w:noProof/>
        <w:sz w:val="20"/>
        <w:szCs w:val="20"/>
      </w:rPr>
      <w:t>1</w:t>
    </w:r>
    <w:r w:rsidRPr="006C6760">
      <w:rPr>
        <w:noProof/>
        <w:sz w:val="20"/>
        <w:szCs w:val="20"/>
      </w:rPr>
      <w:fldChar w:fldCharType="end"/>
    </w:r>
    <w:r>
      <w:rPr>
        <w:sz w:val="20"/>
        <w:szCs w:val="20"/>
      </w:rPr>
      <w:tab/>
      <w:t xml:space="preserve">Instruction </w:t>
    </w:r>
    <w:r w:rsidR="00AE2CD1">
      <w:rPr>
        <w:sz w:val="20"/>
        <w:szCs w:val="20"/>
      </w:rPr>
      <w:t>7.560</w:t>
    </w:r>
  </w:p>
  <w:p w14:paraId="41D99A2F" w14:textId="0710A069" w:rsidR="004D128F" w:rsidRPr="00A44C0A" w:rsidRDefault="004D128F" w:rsidP="008003E0">
    <w:pPr>
      <w:pStyle w:val="Header"/>
      <w:tabs>
        <w:tab w:val="clear" w:pos="4680"/>
        <w:tab w:val="clear" w:pos="9360"/>
        <w:tab w:val="left" w:pos="2790"/>
        <w:tab w:val="right" w:pos="10800"/>
      </w:tabs>
      <w:rPr>
        <w:b/>
        <w:sz w:val="20"/>
        <w:szCs w:val="20"/>
      </w:rPr>
    </w:pPr>
    <w:r>
      <w:rPr>
        <w:sz w:val="20"/>
        <w:szCs w:val="20"/>
      </w:rPr>
      <w:t>February 2024</w:t>
    </w:r>
    <w:r w:rsidR="00382380">
      <w:rPr>
        <w:sz w:val="20"/>
        <w:szCs w:val="20"/>
      </w:rPr>
      <w:tab/>
      <w:t xml:space="preserve">         </w:t>
    </w:r>
    <w:r w:rsidR="00382380">
      <w:rPr>
        <w:sz w:val="20"/>
        <w:szCs w:val="20"/>
      </w:rPr>
      <w:tab/>
    </w:r>
    <w:r w:rsidR="00382380" w:rsidRPr="004D128F">
      <w:rPr>
        <w:b/>
        <w:bCs/>
        <w:sz w:val="20"/>
        <w:szCs w:val="20"/>
      </w:rPr>
      <w:t>WIRETAPPING</w:t>
    </w:r>
  </w:p>
  <w:p w14:paraId="53FCD6B0" w14:textId="77777777" w:rsidR="004D128F" w:rsidRDefault="004D1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65781E7A"/>
    <w:lvl w:ilvl="0">
      <w:start w:val="1"/>
      <w:numFmt w:val="decimal"/>
      <w:lvlText w:val="%1."/>
      <w:lvlJc w:val="left"/>
      <w:pPr>
        <w:ind w:left="30" w:hanging="720"/>
      </w:pPr>
      <w:rPr>
        <w:rFonts w:ascii="Arial" w:hAnsi="Arial" w:cs="Arial"/>
        <w:b/>
        <w:bCs/>
        <w:spacing w:val="-25"/>
        <w:w w:val="99"/>
        <w:sz w:val="20"/>
        <w:szCs w:val="20"/>
      </w:rPr>
    </w:lvl>
    <w:lvl w:ilvl="1">
      <w:numFmt w:val="bullet"/>
      <w:lvlText w:val="•"/>
      <w:lvlJc w:val="left"/>
      <w:pPr>
        <w:ind w:left="1050" w:hanging="720"/>
      </w:pPr>
    </w:lvl>
    <w:lvl w:ilvl="2">
      <w:numFmt w:val="bullet"/>
      <w:lvlText w:val="•"/>
      <w:lvlJc w:val="left"/>
      <w:pPr>
        <w:ind w:left="2070" w:hanging="720"/>
      </w:pPr>
    </w:lvl>
    <w:lvl w:ilvl="3">
      <w:numFmt w:val="bullet"/>
      <w:lvlText w:val="•"/>
      <w:lvlJc w:val="left"/>
      <w:pPr>
        <w:ind w:left="3090" w:hanging="720"/>
      </w:pPr>
    </w:lvl>
    <w:lvl w:ilvl="4">
      <w:numFmt w:val="bullet"/>
      <w:lvlText w:val="•"/>
      <w:lvlJc w:val="left"/>
      <w:pPr>
        <w:ind w:left="4110" w:hanging="720"/>
      </w:pPr>
    </w:lvl>
    <w:lvl w:ilvl="5">
      <w:numFmt w:val="bullet"/>
      <w:lvlText w:val="•"/>
      <w:lvlJc w:val="left"/>
      <w:pPr>
        <w:ind w:left="5130" w:hanging="720"/>
      </w:pPr>
    </w:lvl>
    <w:lvl w:ilvl="6">
      <w:numFmt w:val="bullet"/>
      <w:lvlText w:val="•"/>
      <w:lvlJc w:val="left"/>
      <w:pPr>
        <w:ind w:left="6150" w:hanging="720"/>
      </w:pPr>
    </w:lvl>
    <w:lvl w:ilvl="7">
      <w:numFmt w:val="bullet"/>
      <w:lvlText w:val="•"/>
      <w:lvlJc w:val="left"/>
      <w:pPr>
        <w:ind w:left="7170" w:hanging="720"/>
      </w:pPr>
    </w:lvl>
    <w:lvl w:ilvl="8">
      <w:numFmt w:val="bullet"/>
      <w:lvlText w:val="•"/>
      <w:lvlJc w:val="left"/>
      <w:pPr>
        <w:ind w:left="8190" w:hanging="720"/>
      </w:pPr>
    </w:lvl>
  </w:abstractNum>
  <w:abstractNum w:abstractNumId="1" w15:restartNumberingAfterBreak="0">
    <w:nsid w:val="78F05251"/>
    <w:multiLevelType w:val="hybridMultilevel"/>
    <w:tmpl w:val="F5602B5C"/>
    <w:lvl w:ilvl="0" w:tplc="7D1051D0">
      <w:start w:val="1"/>
      <w:numFmt w:val="decimal"/>
      <w:lvlText w:val="%1."/>
      <w:lvlJc w:val="left"/>
      <w:pPr>
        <w:ind w:left="1080" w:hanging="360"/>
      </w:pPr>
      <w:rPr>
        <w:rFonts w:hint="default"/>
        <w:b w:val="0"/>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7720115">
    <w:abstractNumId w:val="1"/>
  </w:num>
  <w:num w:numId="2" w16cid:durableId="87284077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4E"/>
    <w:rsid w:val="002A64E3"/>
    <w:rsid w:val="00357012"/>
    <w:rsid w:val="00382380"/>
    <w:rsid w:val="00437300"/>
    <w:rsid w:val="004D128F"/>
    <w:rsid w:val="00540E9D"/>
    <w:rsid w:val="006F285A"/>
    <w:rsid w:val="00786893"/>
    <w:rsid w:val="007F70EC"/>
    <w:rsid w:val="00AE2CD1"/>
    <w:rsid w:val="00AF45A2"/>
    <w:rsid w:val="00BA123F"/>
    <w:rsid w:val="00BA254E"/>
    <w:rsid w:val="00C858E2"/>
    <w:rsid w:val="00F02C73"/>
    <w:rsid w:val="00F91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93320"/>
  <w15:chartTrackingRefBased/>
  <w15:docId w15:val="{8675EAED-1DEF-48BE-987D-7573E38A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A254E"/>
    <w:pPr>
      <w:widowControl w:val="0"/>
      <w:autoSpaceDE w:val="0"/>
      <w:autoSpaceDN w:val="0"/>
      <w:adjustRightInd w:val="0"/>
      <w:spacing w:after="0" w:line="240" w:lineRule="auto"/>
    </w:pPr>
    <w:rPr>
      <w:rFonts w:ascii="Arial" w:eastAsiaTheme="minorEastAsia"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A254E"/>
    <w:rPr>
      <w:b/>
      <w:bCs/>
      <w:sz w:val="28"/>
      <w:szCs w:val="28"/>
    </w:rPr>
  </w:style>
  <w:style w:type="character" w:customStyle="1" w:styleId="BodyTextChar">
    <w:name w:val="Body Text Char"/>
    <w:basedOn w:val="DefaultParagraphFont"/>
    <w:link w:val="BodyText"/>
    <w:uiPriority w:val="1"/>
    <w:rsid w:val="00BA254E"/>
    <w:rPr>
      <w:rFonts w:ascii="Arial" w:eastAsiaTheme="minorEastAsia" w:hAnsi="Arial" w:cs="Arial"/>
      <w:b/>
      <w:bCs/>
      <w:sz w:val="28"/>
      <w:szCs w:val="28"/>
    </w:rPr>
  </w:style>
  <w:style w:type="paragraph" w:styleId="ListParagraph">
    <w:name w:val="List Paragraph"/>
    <w:basedOn w:val="Normal"/>
    <w:uiPriority w:val="1"/>
    <w:qFormat/>
    <w:rsid w:val="00BA254E"/>
    <w:pPr>
      <w:ind w:left="720"/>
      <w:contextualSpacing/>
    </w:pPr>
  </w:style>
  <w:style w:type="character" w:styleId="CommentReference">
    <w:name w:val="annotation reference"/>
    <w:basedOn w:val="DefaultParagraphFont"/>
    <w:uiPriority w:val="99"/>
    <w:semiHidden/>
    <w:unhideWhenUsed/>
    <w:rsid w:val="00BA254E"/>
    <w:rPr>
      <w:sz w:val="16"/>
      <w:szCs w:val="16"/>
    </w:rPr>
  </w:style>
  <w:style w:type="paragraph" w:styleId="CommentText">
    <w:name w:val="annotation text"/>
    <w:basedOn w:val="Normal"/>
    <w:link w:val="CommentTextChar"/>
    <w:uiPriority w:val="99"/>
    <w:unhideWhenUsed/>
    <w:rsid w:val="00BA254E"/>
    <w:rPr>
      <w:sz w:val="20"/>
      <w:szCs w:val="20"/>
    </w:rPr>
  </w:style>
  <w:style w:type="character" w:customStyle="1" w:styleId="CommentTextChar">
    <w:name w:val="Comment Text Char"/>
    <w:basedOn w:val="DefaultParagraphFont"/>
    <w:link w:val="CommentText"/>
    <w:uiPriority w:val="99"/>
    <w:rsid w:val="00BA254E"/>
    <w:rPr>
      <w:rFonts w:ascii="Arial" w:eastAsiaTheme="minorEastAsia" w:hAnsi="Arial" w:cs="Arial"/>
      <w:sz w:val="20"/>
      <w:szCs w:val="20"/>
    </w:rPr>
  </w:style>
  <w:style w:type="paragraph" w:styleId="Header">
    <w:name w:val="header"/>
    <w:basedOn w:val="Normal"/>
    <w:link w:val="HeaderChar"/>
    <w:uiPriority w:val="99"/>
    <w:unhideWhenUsed/>
    <w:rsid w:val="00BA254E"/>
    <w:pPr>
      <w:tabs>
        <w:tab w:val="center" w:pos="4680"/>
        <w:tab w:val="right" w:pos="9360"/>
      </w:tabs>
    </w:pPr>
  </w:style>
  <w:style w:type="character" w:customStyle="1" w:styleId="HeaderChar">
    <w:name w:val="Header Char"/>
    <w:basedOn w:val="DefaultParagraphFont"/>
    <w:link w:val="Header"/>
    <w:uiPriority w:val="99"/>
    <w:rsid w:val="00BA254E"/>
    <w:rPr>
      <w:rFonts w:ascii="Arial" w:eastAsiaTheme="minorEastAsia" w:hAnsi="Arial" w:cs="Arial"/>
      <w:sz w:val="24"/>
      <w:szCs w:val="24"/>
    </w:rPr>
  </w:style>
  <w:style w:type="paragraph" w:styleId="NormalWeb">
    <w:name w:val="Normal (Web)"/>
    <w:basedOn w:val="Normal"/>
    <w:uiPriority w:val="99"/>
    <w:unhideWhenUsed/>
    <w:rsid w:val="00BA254E"/>
    <w:pPr>
      <w:widowControl/>
      <w:autoSpaceDE/>
      <w:autoSpaceDN/>
      <w:adjustRightInd/>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BA254E"/>
    <w:pPr>
      <w:tabs>
        <w:tab w:val="center" w:pos="4680"/>
        <w:tab w:val="right" w:pos="9360"/>
      </w:tabs>
    </w:pPr>
  </w:style>
  <w:style w:type="character" w:customStyle="1" w:styleId="FooterChar">
    <w:name w:val="Footer Char"/>
    <w:basedOn w:val="DefaultParagraphFont"/>
    <w:link w:val="Footer"/>
    <w:uiPriority w:val="99"/>
    <w:rsid w:val="00BA254E"/>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1283</Words>
  <Characters>7318</Characters>
  <Application>Microsoft Office Word</Application>
  <DocSecurity>0</DocSecurity>
  <Lines>60</Lines>
  <Paragraphs>17</Paragraphs>
  <ScaleCrop>false</ScaleCrop>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D McDonough</dc:creator>
  <cp:keywords/>
  <dc:description/>
  <cp:lastModifiedBy>Suzanne</cp:lastModifiedBy>
  <cp:revision>4</cp:revision>
  <cp:lastPrinted>2023-12-12T19:59:00Z</cp:lastPrinted>
  <dcterms:created xsi:type="dcterms:W3CDTF">2023-12-12T20:00:00Z</dcterms:created>
  <dcterms:modified xsi:type="dcterms:W3CDTF">2024-02-14T20:15:00Z</dcterms:modified>
</cp:coreProperties>
</file>