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4B907" w14:textId="77777777" w:rsidR="003475EE" w:rsidRDefault="0096068F" w:rsidP="00C10DCB">
      <w:pPr>
        <w:pStyle w:val="Heading1"/>
      </w:pPr>
      <w:r>
        <w:rPr>
          <w:noProof/>
        </w:rPr>
        <mc:AlternateContent>
          <mc:Choice Requires="wps">
            <w:drawing>
              <wp:anchor distT="0" distB="0" distL="114300" distR="114300" simplePos="0" relativeHeight="251657728" behindDoc="0" locked="0" layoutInCell="1" allowOverlap="1" wp14:anchorId="6767240B" wp14:editId="7ADEA5BD">
                <wp:simplePos x="0" y="0"/>
                <wp:positionH relativeFrom="page">
                  <wp:align>center</wp:align>
                </wp:positionH>
                <wp:positionV relativeFrom="page">
                  <wp:align>center</wp:align>
                </wp:positionV>
                <wp:extent cx="5943600" cy="82296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335FC9" w14:textId="77777777" w:rsidR="00444C98" w:rsidRDefault="00444C98" w:rsidP="00705149">
                            <w:pPr>
                              <w:jc w:val="center"/>
                              <w:rPr>
                                <w:b/>
                              </w:rPr>
                            </w:pPr>
                          </w:p>
                          <w:p w14:paraId="1FEEA0BA" w14:textId="77777777" w:rsidR="00444C98" w:rsidRDefault="00444C98" w:rsidP="00705149">
                            <w:pPr>
                              <w:jc w:val="center"/>
                              <w:rPr>
                                <w:b/>
                              </w:rPr>
                            </w:pPr>
                          </w:p>
                          <w:p w14:paraId="2098B90B" w14:textId="77777777" w:rsidR="00444C98" w:rsidRPr="00705149" w:rsidRDefault="00444C98" w:rsidP="00705149">
                            <w:pPr>
                              <w:jc w:val="center"/>
                              <w:rPr>
                                <w:b/>
                                <w:sz w:val="40"/>
                              </w:rPr>
                            </w:pPr>
                            <w:r w:rsidRPr="00705149">
                              <w:rPr>
                                <w:b/>
                                <w:sz w:val="40"/>
                              </w:rPr>
                              <w:t>INDOOR AIR QUALITY</w:t>
                            </w:r>
                          </w:p>
                          <w:p w14:paraId="1DFF9AB0" w14:textId="77777777" w:rsidR="00444C98" w:rsidRPr="00705149" w:rsidRDefault="0096068F" w:rsidP="0096068F">
                            <w:pPr>
                              <w:jc w:val="center"/>
                              <w:rPr>
                                <w:b/>
                                <w:sz w:val="40"/>
                              </w:rPr>
                            </w:pPr>
                            <w:r>
                              <w:rPr>
                                <w:b/>
                                <w:sz w:val="40"/>
                              </w:rPr>
                              <w:t>WATER DAMAGE A</w:t>
                            </w:r>
                            <w:r w:rsidR="00444C98" w:rsidRPr="00705149">
                              <w:rPr>
                                <w:b/>
                                <w:sz w:val="40"/>
                              </w:rPr>
                              <w:t>SSESSMENT</w:t>
                            </w:r>
                          </w:p>
                          <w:p w14:paraId="71DE148C" w14:textId="77777777" w:rsidR="00444C98" w:rsidRPr="00705149" w:rsidRDefault="00444C98" w:rsidP="00705149">
                            <w:pPr>
                              <w:jc w:val="center"/>
                              <w:rPr>
                                <w:b/>
                              </w:rPr>
                            </w:pPr>
                          </w:p>
                          <w:p w14:paraId="6FC72B0E" w14:textId="77777777" w:rsidR="00444C98" w:rsidRPr="00705149" w:rsidRDefault="00444C98" w:rsidP="00705149">
                            <w:pPr>
                              <w:jc w:val="center"/>
                              <w:rPr>
                                <w:b/>
                              </w:rPr>
                            </w:pPr>
                          </w:p>
                          <w:p w14:paraId="46CB9D04" w14:textId="77777777" w:rsidR="00ED79BC" w:rsidRPr="00DC5C07" w:rsidRDefault="0034345B" w:rsidP="00ED79BC">
                            <w:pPr>
                              <w:jc w:val="center"/>
                              <w:rPr>
                                <w:b/>
                                <w:bCs/>
                                <w:sz w:val="28"/>
                                <w:szCs w:val="28"/>
                              </w:rPr>
                            </w:pPr>
                            <w:r w:rsidRPr="00DC5C07">
                              <w:rPr>
                                <w:b/>
                                <w:bCs/>
                                <w:sz w:val="28"/>
                                <w:szCs w:val="28"/>
                              </w:rPr>
                              <w:t>Division of Administrative Law Appeals</w:t>
                            </w:r>
                          </w:p>
                          <w:p w14:paraId="0C536FB5" w14:textId="77777777" w:rsidR="00ED79BC" w:rsidRPr="00DC5C07" w:rsidRDefault="00ED79BC" w:rsidP="00ED79BC">
                            <w:pPr>
                              <w:jc w:val="center"/>
                              <w:rPr>
                                <w:b/>
                                <w:bCs/>
                                <w:sz w:val="28"/>
                                <w:szCs w:val="28"/>
                              </w:rPr>
                            </w:pPr>
                            <w:r w:rsidRPr="00DC5C07">
                              <w:rPr>
                                <w:b/>
                                <w:bCs/>
                                <w:sz w:val="28"/>
                                <w:szCs w:val="28"/>
                              </w:rPr>
                              <w:t>14 Summer Street</w:t>
                            </w:r>
                          </w:p>
                          <w:p w14:paraId="77F130A4" w14:textId="77777777" w:rsidR="00444C98" w:rsidRDefault="00ED79BC" w:rsidP="00ED79BC">
                            <w:pPr>
                              <w:jc w:val="center"/>
                              <w:rPr>
                                <w:b/>
                                <w:bCs/>
                              </w:rPr>
                            </w:pPr>
                            <w:r w:rsidRPr="00DC5C07">
                              <w:rPr>
                                <w:b/>
                                <w:bCs/>
                                <w:sz w:val="28"/>
                                <w:szCs w:val="28"/>
                              </w:rPr>
                              <w:t>Malden, MA</w:t>
                            </w:r>
                          </w:p>
                          <w:p w14:paraId="7AE40520" w14:textId="77777777" w:rsidR="00033029" w:rsidRDefault="00033029" w:rsidP="00705149">
                            <w:pPr>
                              <w:jc w:val="center"/>
                              <w:rPr>
                                <w:b/>
                                <w:bCs/>
                              </w:rPr>
                            </w:pPr>
                          </w:p>
                          <w:p w14:paraId="18A59F14" w14:textId="77777777" w:rsidR="00444C98" w:rsidRDefault="00444C98" w:rsidP="00705149">
                            <w:pPr>
                              <w:jc w:val="center"/>
                              <w:rPr>
                                <w:b/>
                              </w:rPr>
                            </w:pPr>
                          </w:p>
                          <w:p w14:paraId="24D47EE2" w14:textId="77777777" w:rsidR="00A15DF3" w:rsidRDefault="00A15DF3" w:rsidP="00705149">
                            <w:pPr>
                              <w:jc w:val="center"/>
                              <w:rPr>
                                <w:b/>
                              </w:rPr>
                            </w:pPr>
                          </w:p>
                          <w:p w14:paraId="07147BEC" w14:textId="77777777" w:rsidR="00A15DF3" w:rsidRDefault="00A15DF3" w:rsidP="00705149">
                            <w:pPr>
                              <w:jc w:val="center"/>
                              <w:rPr>
                                <w:b/>
                              </w:rPr>
                            </w:pPr>
                          </w:p>
                          <w:p w14:paraId="37E2BBB7" w14:textId="77777777" w:rsidR="00A15DF3" w:rsidRPr="00705149" w:rsidRDefault="00A15DF3" w:rsidP="00705149">
                            <w:pPr>
                              <w:jc w:val="center"/>
                              <w:rPr>
                                <w:b/>
                              </w:rPr>
                            </w:pPr>
                          </w:p>
                          <w:p w14:paraId="1048310D" w14:textId="77777777" w:rsidR="00A95A78" w:rsidRDefault="00A95A78" w:rsidP="00705149">
                            <w:pPr>
                              <w:jc w:val="center"/>
                            </w:pPr>
                          </w:p>
                          <w:p w14:paraId="3C8E83D5" w14:textId="77777777" w:rsidR="00EE526F" w:rsidRDefault="00A15DF3" w:rsidP="00705149">
                            <w:pPr>
                              <w:jc w:val="center"/>
                            </w:pPr>
                            <w:r>
                              <w:rPr>
                                <w:noProof/>
                              </w:rPr>
                              <w:drawing>
                                <wp:inline distT="0" distB="0" distL="0" distR="0" wp14:anchorId="2C7659A4" wp14:editId="44159DF2">
                                  <wp:extent cx="4389121" cy="2468880"/>
                                  <wp:effectExtent l="0" t="0" r="0" b="7620"/>
                                  <wp:docPr id="1" name="Picture 1" descr="Division of Administrative Law Appeals&#10;14 Summer Street&#10;Malde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way at Malden Center Apartments - Malden - 14 Summer Street |  EquityApartments.com"/>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9121" cy="2468880"/>
                                          </a:xfrm>
                                          <a:prstGeom prst="rect">
                                            <a:avLst/>
                                          </a:prstGeom>
                                          <a:noFill/>
                                          <a:ln>
                                            <a:noFill/>
                                          </a:ln>
                                        </pic:spPr>
                                      </pic:pic>
                                    </a:graphicData>
                                  </a:graphic>
                                </wp:inline>
                              </w:drawing>
                            </w:r>
                          </w:p>
                          <w:p w14:paraId="4264607D" w14:textId="77777777" w:rsidR="00EE526F" w:rsidRDefault="00EE526F" w:rsidP="00705149">
                            <w:pPr>
                              <w:jc w:val="center"/>
                            </w:pPr>
                          </w:p>
                          <w:p w14:paraId="1FD67AA5" w14:textId="77777777" w:rsidR="00EE526F" w:rsidRDefault="00EE526F" w:rsidP="00705149">
                            <w:pPr>
                              <w:jc w:val="center"/>
                            </w:pPr>
                          </w:p>
                          <w:p w14:paraId="022BE09D" w14:textId="77777777" w:rsidR="00EE526F" w:rsidRDefault="00EE526F" w:rsidP="00705149">
                            <w:pPr>
                              <w:jc w:val="center"/>
                            </w:pPr>
                          </w:p>
                          <w:p w14:paraId="6854A440" w14:textId="77777777" w:rsidR="00A15DF3" w:rsidRDefault="00A15DF3" w:rsidP="00705149">
                            <w:pPr>
                              <w:jc w:val="center"/>
                            </w:pPr>
                          </w:p>
                          <w:p w14:paraId="122E1474" w14:textId="77777777" w:rsidR="00EE526F" w:rsidRDefault="00EE526F" w:rsidP="00705149">
                            <w:pPr>
                              <w:jc w:val="center"/>
                            </w:pPr>
                          </w:p>
                          <w:p w14:paraId="0CD37186" w14:textId="77777777" w:rsidR="00E26730" w:rsidRDefault="00E26730" w:rsidP="00705149">
                            <w:pPr>
                              <w:jc w:val="center"/>
                            </w:pPr>
                          </w:p>
                          <w:p w14:paraId="26B6CAD1" w14:textId="77777777" w:rsidR="00E26730" w:rsidRDefault="00E26730" w:rsidP="00705149">
                            <w:pPr>
                              <w:jc w:val="center"/>
                            </w:pPr>
                          </w:p>
                          <w:p w14:paraId="4D8F830D" w14:textId="77777777" w:rsidR="00B449EB" w:rsidRPr="00705149" w:rsidRDefault="00B449EB" w:rsidP="00705149">
                            <w:pPr>
                              <w:jc w:val="center"/>
                            </w:pPr>
                          </w:p>
                          <w:p w14:paraId="15A35C5F" w14:textId="77777777" w:rsidR="00444C98" w:rsidRPr="00705149" w:rsidRDefault="00444C98" w:rsidP="00705149">
                            <w:pPr>
                              <w:jc w:val="center"/>
                            </w:pPr>
                            <w:r w:rsidRPr="00705149">
                              <w:t>Prepared by:</w:t>
                            </w:r>
                          </w:p>
                          <w:p w14:paraId="371B6967" w14:textId="77777777" w:rsidR="00444C98" w:rsidRPr="00705149" w:rsidRDefault="00444C98" w:rsidP="00705149">
                            <w:pPr>
                              <w:jc w:val="center"/>
                            </w:pPr>
                            <w:r w:rsidRPr="00705149">
                              <w:t>Massachusetts Department of Public Health</w:t>
                            </w:r>
                          </w:p>
                          <w:p w14:paraId="31A7536F" w14:textId="77777777" w:rsidR="00444C98" w:rsidRPr="00705149" w:rsidRDefault="00444C98" w:rsidP="00705149">
                            <w:pPr>
                              <w:jc w:val="center"/>
                            </w:pPr>
                            <w:r w:rsidRPr="00705149">
                              <w:t>Bureau of Environmental Health</w:t>
                            </w:r>
                          </w:p>
                          <w:p w14:paraId="7B3899F2" w14:textId="77777777" w:rsidR="00444C98" w:rsidRPr="00705149" w:rsidRDefault="00444C98" w:rsidP="00705149">
                            <w:pPr>
                              <w:jc w:val="center"/>
                            </w:pPr>
                            <w:r w:rsidRPr="00705149">
                              <w:t>Indoor Air Quality Program</w:t>
                            </w:r>
                          </w:p>
                          <w:p w14:paraId="4576C3D6" w14:textId="77777777" w:rsidR="00444C98" w:rsidRPr="00705149" w:rsidRDefault="0096068F" w:rsidP="00705149">
                            <w:pPr>
                              <w:jc w:val="center"/>
                            </w:pPr>
                            <w:r>
                              <w:t>October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7240B" id="_x0000_t202" coordsize="21600,21600" o:spt="202" path="m,l,21600r21600,l21600,xe">
                <v:stroke joinstyle="miter"/>
                <v:path gradientshapeok="t" o:connecttype="rect"/>
              </v:shapetype>
              <v:shape id="Text Box 2" o:spid="_x0000_s1026" type="#_x0000_t202" style="position:absolute;margin-left:0;margin-top:0;width:468pt;height:9in;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" filled="f">
                <v:textbox>
                  <w:txbxContent>
                    <w:p w14:paraId="7A335FC9" w14:textId="77777777" w:rsidR="00444C98" w:rsidRDefault="00444C98" w:rsidP="00705149">
                      <w:pPr>
                        <w:jc w:val="center"/>
                        <w:rPr>
                          <w:b/>
                        </w:rPr>
                      </w:pPr>
                    </w:p>
                    <w:p w14:paraId="1FEEA0BA" w14:textId="77777777" w:rsidR="00444C98" w:rsidRDefault="00444C98" w:rsidP="00705149">
                      <w:pPr>
                        <w:jc w:val="center"/>
                        <w:rPr>
                          <w:b/>
                        </w:rPr>
                      </w:pPr>
                    </w:p>
                    <w:p w14:paraId="2098B90B" w14:textId="77777777" w:rsidR="00444C98" w:rsidRPr="00705149" w:rsidRDefault="00444C98" w:rsidP="00705149">
                      <w:pPr>
                        <w:jc w:val="center"/>
                        <w:rPr>
                          <w:b/>
                          <w:sz w:val="40"/>
                        </w:rPr>
                      </w:pPr>
                      <w:r w:rsidRPr="00705149">
                        <w:rPr>
                          <w:b/>
                          <w:sz w:val="40"/>
                        </w:rPr>
                        <w:t>INDOOR AIR QUALITY</w:t>
                      </w:r>
                    </w:p>
                    <w:p w14:paraId="1DFF9AB0" w14:textId="77777777" w:rsidR="00444C98" w:rsidRPr="00705149" w:rsidRDefault="0096068F" w:rsidP="0096068F">
                      <w:pPr>
                        <w:jc w:val="center"/>
                        <w:rPr>
                          <w:b/>
                          <w:sz w:val="40"/>
                        </w:rPr>
                      </w:pPr>
                      <w:r>
                        <w:rPr>
                          <w:b/>
                          <w:sz w:val="40"/>
                        </w:rPr>
                        <w:t>WATER DAMAGE A</w:t>
                      </w:r>
                      <w:r w:rsidR="00444C98" w:rsidRPr="00705149">
                        <w:rPr>
                          <w:b/>
                          <w:sz w:val="40"/>
                        </w:rPr>
                        <w:t>SSESSMENT</w:t>
                      </w:r>
                    </w:p>
                    <w:p w14:paraId="71DE148C" w14:textId="77777777" w:rsidR="00444C98" w:rsidRPr="00705149" w:rsidRDefault="00444C98" w:rsidP="00705149">
                      <w:pPr>
                        <w:jc w:val="center"/>
                        <w:rPr>
                          <w:b/>
                        </w:rPr>
                      </w:pPr>
                    </w:p>
                    <w:p w14:paraId="6FC72B0E" w14:textId="77777777" w:rsidR="00444C98" w:rsidRPr="00705149" w:rsidRDefault="00444C98" w:rsidP="00705149">
                      <w:pPr>
                        <w:jc w:val="center"/>
                        <w:rPr>
                          <w:b/>
                        </w:rPr>
                      </w:pPr>
                    </w:p>
                    <w:p w14:paraId="46CB9D04" w14:textId="77777777" w:rsidR="00ED79BC" w:rsidRPr="00DC5C07" w:rsidRDefault="0034345B" w:rsidP="00ED79BC">
                      <w:pPr>
                        <w:jc w:val="center"/>
                        <w:rPr>
                          <w:b/>
                          <w:bCs/>
                          <w:sz w:val="28"/>
                          <w:szCs w:val="28"/>
                        </w:rPr>
                      </w:pPr>
                      <w:r w:rsidRPr="00DC5C07">
                        <w:rPr>
                          <w:b/>
                          <w:bCs/>
                          <w:sz w:val="28"/>
                          <w:szCs w:val="28"/>
                        </w:rPr>
                        <w:t>Division of Administrative Law Appeals</w:t>
                      </w:r>
                    </w:p>
                    <w:p w14:paraId="0C536FB5" w14:textId="77777777" w:rsidR="00ED79BC" w:rsidRPr="00DC5C07" w:rsidRDefault="00ED79BC" w:rsidP="00ED79BC">
                      <w:pPr>
                        <w:jc w:val="center"/>
                        <w:rPr>
                          <w:b/>
                          <w:bCs/>
                          <w:sz w:val="28"/>
                          <w:szCs w:val="28"/>
                        </w:rPr>
                      </w:pPr>
                      <w:r w:rsidRPr="00DC5C07">
                        <w:rPr>
                          <w:b/>
                          <w:bCs/>
                          <w:sz w:val="28"/>
                          <w:szCs w:val="28"/>
                        </w:rPr>
                        <w:t>14 Summer Street</w:t>
                      </w:r>
                    </w:p>
                    <w:p w14:paraId="77F130A4" w14:textId="77777777" w:rsidR="00444C98" w:rsidRDefault="00ED79BC" w:rsidP="00ED79BC">
                      <w:pPr>
                        <w:jc w:val="center"/>
                        <w:rPr>
                          <w:b/>
                          <w:bCs/>
                        </w:rPr>
                      </w:pPr>
                      <w:r w:rsidRPr="00DC5C07">
                        <w:rPr>
                          <w:b/>
                          <w:bCs/>
                          <w:sz w:val="28"/>
                          <w:szCs w:val="28"/>
                        </w:rPr>
                        <w:t>Malden, MA</w:t>
                      </w:r>
                    </w:p>
                    <w:p w14:paraId="7AE40520" w14:textId="77777777" w:rsidR="00033029" w:rsidRDefault="00033029" w:rsidP="00705149">
                      <w:pPr>
                        <w:jc w:val="center"/>
                        <w:rPr>
                          <w:b/>
                          <w:bCs/>
                        </w:rPr>
                      </w:pPr>
                    </w:p>
                    <w:p w14:paraId="18A59F14" w14:textId="77777777" w:rsidR="00444C98" w:rsidRDefault="00444C98" w:rsidP="00705149">
                      <w:pPr>
                        <w:jc w:val="center"/>
                        <w:rPr>
                          <w:b/>
                        </w:rPr>
                      </w:pPr>
                    </w:p>
                    <w:p w14:paraId="24D47EE2" w14:textId="77777777" w:rsidR="00A15DF3" w:rsidRDefault="00A15DF3" w:rsidP="00705149">
                      <w:pPr>
                        <w:jc w:val="center"/>
                        <w:rPr>
                          <w:b/>
                        </w:rPr>
                      </w:pPr>
                    </w:p>
                    <w:p w14:paraId="07147BEC" w14:textId="77777777" w:rsidR="00A15DF3" w:rsidRDefault="00A15DF3" w:rsidP="00705149">
                      <w:pPr>
                        <w:jc w:val="center"/>
                        <w:rPr>
                          <w:b/>
                        </w:rPr>
                      </w:pPr>
                    </w:p>
                    <w:p w14:paraId="37E2BBB7" w14:textId="77777777" w:rsidR="00A15DF3" w:rsidRPr="00705149" w:rsidRDefault="00A15DF3" w:rsidP="00705149">
                      <w:pPr>
                        <w:jc w:val="center"/>
                        <w:rPr>
                          <w:b/>
                        </w:rPr>
                      </w:pPr>
                    </w:p>
                    <w:p w14:paraId="1048310D" w14:textId="77777777" w:rsidR="00A95A78" w:rsidRDefault="00A95A78" w:rsidP="00705149">
                      <w:pPr>
                        <w:jc w:val="center"/>
                      </w:pPr>
                    </w:p>
                    <w:p w14:paraId="3C8E83D5" w14:textId="77777777" w:rsidR="00EE526F" w:rsidRDefault="00A15DF3" w:rsidP="00705149">
                      <w:pPr>
                        <w:jc w:val="center"/>
                      </w:pPr>
                      <w:r>
                        <w:rPr>
                          <w:noProof/>
                        </w:rPr>
                        <w:drawing>
                          <wp:inline distT="0" distB="0" distL="0" distR="0" wp14:anchorId="2C7659A4" wp14:editId="44159DF2">
                            <wp:extent cx="4389121" cy="2468880"/>
                            <wp:effectExtent l="0" t="0" r="0" b="7620"/>
                            <wp:docPr id="1" name="Picture 1" descr="Division of Administrative Law Appeals&#10;14 Summer Street&#10;Malde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way at Malden Center Apartments - Malden - 14 Summer Street |  EquityApartments.com"/>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9121" cy="2468880"/>
                                    </a:xfrm>
                                    <a:prstGeom prst="rect">
                                      <a:avLst/>
                                    </a:prstGeom>
                                    <a:noFill/>
                                    <a:ln>
                                      <a:noFill/>
                                    </a:ln>
                                  </pic:spPr>
                                </pic:pic>
                              </a:graphicData>
                            </a:graphic>
                          </wp:inline>
                        </w:drawing>
                      </w:r>
                    </w:p>
                    <w:p w14:paraId="4264607D" w14:textId="77777777" w:rsidR="00EE526F" w:rsidRDefault="00EE526F" w:rsidP="00705149">
                      <w:pPr>
                        <w:jc w:val="center"/>
                      </w:pPr>
                    </w:p>
                    <w:p w14:paraId="1FD67AA5" w14:textId="77777777" w:rsidR="00EE526F" w:rsidRDefault="00EE526F" w:rsidP="00705149">
                      <w:pPr>
                        <w:jc w:val="center"/>
                      </w:pPr>
                    </w:p>
                    <w:p w14:paraId="022BE09D" w14:textId="77777777" w:rsidR="00EE526F" w:rsidRDefault="00EE526F" w:rsidP="00705149">
                      <w:pPr>
                        <w:jc w:val="center"/>
                      </w:pPr>
                    </w:p>
                    <w:p w14:paraId="6854A440" w14:textId="77777777" w:rsidR="00A15DF3" w:rsidRDefault="00A15DF3" w:rsidP="00705149">
                      <w:pPr>
                        <w:jc w:val="center"/>
                      </w:pPr>
                    </w:p>
                    <w:p w14:paraId="122E1474" w14:textId="77777777" w:rsidR="00EE526F" w:rsidRDefault="00EE526F" w:rsidP="00705149">
                      <w:pPr>
                        <w:jc w:val="center"/>
                      </w:pPr>
                    </w:p>
                    <w:p w14:paraId="0CD37186" w14:textId="77777777" w:rsidR="00E26730" w:rsidRDefault="00E26730" w:rsidP="00705149">
                      <w:pPr>
                        <w:jc w:val="center"/>
                      </w:pPr>
                    </w:p>
                    <w:p w14:paraId="26B6CAD1" w14:textId="77777777" w:rsidR="00E26730" w:rsidRDefault="00E26730" w:rsidP="00705149">
                      <w:pPr>
                        <w:jc w:val="center"/>
                      </w:pPr>
                    </w:p>
                    <w:p w14:paraId="4D8F830D" w14:textId="77777777" w:rsidR="00B449EB" w:rsidRPr="00705149" w:rsidRDefault="00B449EB" w:rsidP="00705149">
                      <w:pPr>
                        <w:jc w:val="center"/>
                      </w:pPr>
                    </w:p>
                    <w:p w14:paraId="15A35C5F" w14:textId="77777777" w:rsidR="00444C98" w:rsidRPr="00705149" w:rsidRDefault="00444C98" w:rsidP="00705149">
                      <w:pPr>
                        <w:jc w:val="center"/>
                      </w:pPr>
                      <w:r w:rsidRPr="00705149">
                        <w:t>Prepared by:</w:t>
                      </w:r>
                    </w:p>
                    <w:p w14:paraId="371B6967" w14:textId="77777777" w:rsidR="00444C98" w:rsidRPr="00705149" w:rsidRDefault="00444C98" w:rsidP="00705149">
                      <w:pPr>
                        <w:jc w:val="center"/>
                      </w:pPr>
                      <w:r w:rsidRPr="00705149">
                        <w:t>Massachusetts Department of Public Health</w:t>
                      </w:r>
                    </w:p>
                    <w:p w14:paraId="31A7536F" w14:textId="77777777" w:rsidR="00444C98" w:rsidRPr="00705149" w:rsidRDefault="00444C98" w:rsidP="00705149">
                      <w:pPr>
                        <w:jc w:val="center"/>
                      </w:pPr>
                      <w:r w:rsidRPr="00705149">
                        <w:t>Bureau of Environmental Health</w:t>
                      </w:r>
                    </w:p>
                    <w:p w14:paraId="7B3899F2" w14:textId="77777777" w:rsidR="00444C98" w:rsidRPr="00705149" w:rsidRDefault="00444C98" w:rsidP="00705149">
                      <w:pPr>
                        <w:jc w:val="center"/>
                      </w:pPr>
                      <w:r w:rsidRPr="00705149">
                        <w:t>Indoor Air Quality Program</w:t>
                      </w:r>
                    </w:p>
                    <w:p w14:paraId="4576C3D6" w14:textId="77777777" w:rsidR="00444C98" w:rsidRPr="00705149" w:rsidRDefault="0096068F" w:rsidP="00705149">
                      <w:pPr>
                        <w:jc w:val="center"/>
                      </w:pPr>
                      <w:r>
                        <w:t>October 2021</w:t>
                      </w:r>
                    </w:p>
                  </w:txbxContent>
                </v:textbox>
                <w10:wrap type="topAndBottom" anchorx="page" anchory="page"/>
              </v:shape>
            </w:pict>
          </mc:Fallback>
        </mc:AlternateContent>
      </w:r>
      <w:r w:rsidR="003475EE" w:rsidRPr="009B41B1">
        <w:br w:type="page"/>
      </w:r>
      <w:r w:rsidR="003475EE" w:rsidRPr="009B41B1">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D302D3" w:rsidRPr="000730C4" w14:paraId="08E09103" w14:textId="77777777" w:rsidTr="000730C4">
        <w:tc>
          <w:tcPr>
            <w:tcW w:w="4680" w:type="dxa"/>
            <w:shd w:val="clear" w:color="auto" w:fill="auto"/>
            <w:vAlign w:val="center"/>
          </w:tcPr>
          <w:p w14:paraId="742AEE1F" w14:textId="77777777" w:rsidR="00D302D3" w:rsidRPr="0004785C" w:rsidRDefault="00D302D3" w:rsidP="00333D48">
            <w:pPr>
              <w:pStyle w:val="BackgroundTable"/>
            </w:pPr>
            <w:r w:rsidRPr="0004785C">
              <w:t>Building:</w:t>
            </w:r>
          </w:p>
        </w:tc>
        <w:tc>
          <w:tcPr>
            <w:tcW w:w="5058" w:type="dxa"/>
            <w:shd w:val="clear" w:color="auto" w:fill="auto"/>
            <w:vAlign w:val="center"/>
          </w:tcPr>
          <w:p w14:paraId="2DFE1E63" w14:textId="77777777" w:rsidR="00D302D3" w:rsidRPr="000730C4" w:rsidRDefault="0034345B" w:rsidP="00BE122E">
            <w:pPr>
              <w:pStyle w:val="BackgroundInfo"/>
              <w:rPr>
                <w:bCs/>
                <w:szCs w:val="24"/>
              </w:rPr>
            </w:pPr>
            <w:r>
              <w:rPr>
                <w:bCs/>
                <w:szCs w:val="24"/>
              </w:rPr>
              <w:t xml:space="preserve">Division of </w:t>
            </w:r>
            <w:r w:rsidR="002E5AE1" w:rsidRPr="002E5AE1">
              <w:rPr>
                <w:bCs/>
                <w:szCs w:val="24"/>
              </w:rPr>
              <w:t>Administrative Law Appeals</w:t>
            </w:r>
            <w:r w:rsidR="002E5AE1">
              <w:rPr>
                <w:bCs/>
                <w:szCs w:val="24"/>
              </w:rPr>
              <w:t xml:space="preserve"> (ALA)</w:t>
            </w:r>
          </w:p>
        </w:tc>
      </w:tr>
      <w:tr w:rsidR="00D302D3" w:rsidRPr="000730C4" w14:paraId="454F0BA6" w14:textId="77777777" w:rsidTr="000730C4">
        <w:tc>
          <w:tcPr>
            <w:tcW w:w="4680" w:type="dxa"/>
            <w:shd w:val="clear" w:color="auto" w:fill="auto"/>
            <w:vAlign w:val="center"/>
          </w:tcPr>
          <w:p w14:paraId="2A27D9C9" w14:textId="77777777" w:rsidR="00D302D3" w:rsidRPr="0004785C" w:rsidRDefault="00D302D3" w:rsidP="00333D48">
            <w:pPr>
              <w:pStyle w:val="BackgroundTable"/>
            </w:pPr>
            <w:r w:rsidRPr="0004785C">
              <w:t>Address:</w:t>
            </w:r>
          </w:p>
        </w:tc>
        <w:tc>
          <w:tcPr>
            <w:tcW w:w="5058" w:type="dxa"/>
            <w:shd w:val="clear" w:color="auto" w:fill="auto"/>
            <w:vAlign w:val="center"/>
          </w:tcPr>
          <w:p w14:paraId="55DAC89D" w14:textId="77777777" w:rsidR="00D302D3" w:rsidRPr="00BA4F4F" w:rsidRDefault="002E5AE1" w:rsidP="002E5AE1">
            <w:pPr>
              <w:pStyle w:val="BackgroundInfo"/>
              <w:rPr>
                <w:bCs/>
                <w:szCs w:val="24"/>
              </w:rPr>
            </w:pPr>
            <w:r>
              <w:rPr>
                <w:bCs/>
                <w:szCs w:val="24"/>
              </w:rPr>
              <w:t>14 Summer Street,</w:t>
            </w:r>
            <w:r w:rsidR="00ED79BC">
              <w:rPr>
                <w:bCs/>
                <w:szCs w:val="24"/>
              </w:rPr>
              <w:t xml:space="preserve"> floors 2 and 4,</w:t>
            </w:r>
            <w:r>
              <w:rPr>
                <w:bCs/>
                <w:szCs w:val="24"/>
              </w:rPr>
              <w:t xml:space="preserve"> Malden, MA</w:t>
            </w:r>
          </w:p>
        </w:tc>
      </w:tr>
      <w:tr w:rsidR="00D302D3" w:rsidRPr="000730C4" w14:paraId="0E20ABD7" w14:textId="77777777" w:rsidTr="000730C4">
        <w:tc>
          <w:tcPr>
            <w:tcW w:w="4680" w:type="dxa"/>
            <w:shd w:val="clear" w:color="auto" w:fill="auto"/>
            <w:vAlign w:val="center"/>
          </w:tcPr>
          <w:p w14:paraId="047EA644" w14:textId="77777777" w:rsidR="00D302D3" w:rsidRPr="0004785C" w:rsidRDefault="002E0997" w:rsidP="00333D48">
            <w:pPr>
              <w:pStyle w:val="BackgroundTable"/>
            </w:pPr>
            <w:r w:rsidRPr="002E0997">
              <w:t>Assessment Requested by:</w:t>
            </w:r>
            <w:r w:rsidR="00D302D3" w:rsidRPr="0004785C">
              <w:t>:</w:t>
            </w:r>
          </w:p>
        </w:tc>
        <w:tc>
          <w:tcPr>
            <w:tcW w:w="5058" w:type="dxa"/>
            <w:shd w:val="clear" w:color="auto" w:fill="auto"/>
            <w:vAlign w:val="center"/>
          </w:tcPr>
          <w:p w14:paraId="09BD32B5" w14:textId="77777777" w:rsidR="002E0997" w:rsidRPr="002E0997" w:rsidRDefault="002E0997" w:rsidP="002E0997">
            <w:pPr>
              <w:pStyle w:val="xmsonormal"/>
              <w:shd w:val="clear" w:color="auto" w:fill="FFFFFF"/>
              <w:spacing w:before="0" w:beforeAutospacing="0" w:after="0" w:afterAutospacing="0"/>
            </w:pPr>
            <w:r w:rsidRPr="002E0997">
              <w:rPr>
                <w:bdr w:val="none" w:sz="0" w:space="0" w:color="auto" w:frame="1"/>
              </w:rPr>
              <w:t>Edward B. McGrath</w:t>
            </w:r>
          </w:p>
          <w:p w14:paraId="3A4EFF7A" w14:textId="77777777" w:rsidR="002E0997" w:rsidRPr="002E0997" w:rsidRDefault="002E0997" w:rsidP="002E0997">
            <w:pPr>
              <w:pStyle w:val="xmsonormal"/>
              <w:shd w:val="clear" w:color="auto" w:fill="FFFFFF"/>
              <w:spacing w:before="0" w:beforeAutospacing="0" w:after="0" w:afterAutospacing="0"/>
            </w:pPr>
            <w:r w:rsidRPr="002E0997">
              <w:rPr>
                <w:bdr w:val="none" w:sz="0" w:space="0" w:color="auto" w:frame="1"/>
              </w:rPr>
              <w:t>Chief Administrative Magistrate</w:t>
            </w:r>
          </w:p>
          <w:p w14:paraId="03ABCE3B" w14:textId="77777777" w:rsidR="002E0997" w:rsidRPr="002E0997" w:rsidRDefault="002E0997" w:rsidP="002E0997">
            <w:pPr>
              <w:pStyle w:val="xmsonormal"/>
              <w:shd w:val="clear" w:color="auto" w:fill="FFFFFF"/>
              <w:spacing w:before="0" w:beforeAutospacing="0" w:after="0" w:afterAutospacing="0"/>
            </w:pPr>
            <w:r w:rsidRPr="002E0997">
              <w:rPr>
                <w:bdr w:val="none" w:sz="0" w:space="0" w:color="auto" w:frame="1"/>
              </w:rPr>
              <w:t>Division of Administrative Law Appeal</w:t>
            </w:r>
            <w:r w:rsidR="0093622E">
              <w:rPr>
                <w:bdr w:val="none" w:sz="0" w:space="0" w:color="auto" w:frame="1"/>
              </w:rPr>
              <w:t>s</w:t>
            </w:r>
          </w:p>
          <w:p w14:paraId="711357EA" w14:textId="77777777" w:rsidR="00D302D3" w:rsidRPr="00CB2C25" w:rsidRDefault="00D302D3" w:rsidP="002E5AE1">
            <w:pPr>
              <w:pStyle w:val="BackgroundInfo"/>
            </w:pPr>
          </w:p>
        </w:tc>
      </w:tr>
      <w:tr w:rsidR="002E0997" w:rsidRPr="000730C4" w14:paraId="67EC0B6C" w14:textId="77777777" w:rsidTr="00E56E74">
        <w:tc>
          <w:tcPr>
            <w:tcW w:w="4680" w:type="dxa"/>
            <w:shd w:val="clear" w:color="auto" w:fill="auto"/>
          </w:tcPr>
          <w:p w14:paraId="166D0617" w14:textId="77777777" w:rsidR="002E0997" w:rsidRDefault="002E0997">
            <w:r w:rsidRPr="000A6C60">
              <w:rPr>
                <w:rStyle w:val="BackgroundBoldedDescriptors"/>
              </w:rPr>
              <w:t>Reason for Request:</w:t>
            </w:r>
          </w:p>
        </w:tc>
        <w:tc>
          <w:tcPr>
            <w:tcW w:w="5058" w:type="dxa"/>
            <w:shd w:val="clear" w:color="auto" w:fill="auto"/>
          </w:tcPr>
          <w:p w14:paraId="6F8F4F8F" w14:textId="77777777" w:rsidR="002E0997" w:rsidRDefault="002E0997">
            <w:r>
              <w:t xml:space="preserve">Water </w:t>
            </w:r>
            <w:r w:rsidR="0096068F">
              <w:t>damage</w:t>
            </w:r>
            <w:r>
              <w:t xml:space="preserve"> and possible condensation impact</w:t>
            </w:r>
          </w:p>
        </w:tc>
      </w:tr>
      <w:tr w:rsidR="00D302D3" w:rsidRPr="000730C4" w14:paraId="30A8E874" w14:textId="77777777" w:rsidTr="000730C4">
        <w:tc>
          <w:tcPr>
            <w:tcW w:w="4680" w:type="dxa"/>
            <w:shd w:val="clear" w:color="auto" w:fill="auto"/>
            <w:vAlign w:val="center"/>
          </w:tcPr>
          <w:p w14:paraId="657F0C6B" w14:textId="77777777" w:rsidR="00D302D3" w:rsidRPr="0004785C" w:rsidRDefault="00D302D3" w:rsidP="002E0997">
            <w:pPr>
              <w:pStyle w:val="BackgroundTable"/>
            </w:pPr>
            <w:r w:rsidRPr="0004785C">
              <w:t xml:space="preserve">Date of </w:t>
            </w:r>
            <w:r w:rsidR="0096068F">
              <w:t>A</w:t>
            </w:r>
            <w:r w:rsidR="0096068F" w:rsidRPr="0004785C">
              <w:t>ssessment</w:t>
            </w:r>
            <w:r w:rsidRPr="0004785C">
              <w:t>:</w:t>
            </w:r>
          </w:p>
        </w:tc>
        <w:tc>
          <w:tcPr>
            <w:tcW w:w="5058" w:type="dxa"/>
            <w:shd w:val="clear" w:color="auto" w:fill="auto"/>
            <w:vAlign w:val="center"/>
          </w:tcPr>
          <w:p w14:paraId="560C4B12" w14:textId="77777777" w:rsidR="00D302D3" w:rsidRPr="0004785C" w:rsidRDefault="00AE4A75" w:rsidP="00AE4A75">
            <w:pPr>
              <w:pStyle w:val="BackgroundInfo"/>
            </w:pPr>
            <w:r>
              <w:t>September 3</w:t>
            </w:r>
            <w:r w:rsidR="00ED79BC">
              <w:t>, 20</w:t>
            </w:r>
            <w:r>
              <w:t>21</w:t>
            </w:r>
          </w:p>
        </w:tc>
      </w:tr>
      <w:tr w:rsidR="00540198" w:rsidRPr="000730C4" w14:paraId="54F98B2B" w14:textId="77777777" w:rsidTr="00E01FBA">
        <w:trPr>
          <w:trHeight w:val="1082"/>
        </w:trPr>
        <w:tc>
          <w:tcPr>
            <w:tcW w:w="4680" w:type="dxa"/>
            <w:shd w:val="clear" w:color="auto" w:fill="auto"/>
          </w:tcPr>
          <w:p w14:paraId="5AEA67BB" w14:textId="77777777" w:rsidR="00540198" w:rsidRPr="005E3E95" w:rsidRDefault="00540198" w:rsidP="0059051A">
            <w:pPr>
              <w:pStyle w:val="BackgroundTable"/>
              <w:rPr>
                <w:bCs w:val="0"/>
              </w:rPr>
            </w:pPr>
            <w:r w:rsidRPr="005E3E95">
              <w:rPr>
                <w:bCs w:val="0"/>
              </w:rPr>
              <w:t xml:space="preserve">Massachusetts Department of Public Health/Bureau of Environmental Health (MDPH/BEH) Staff Conducting </w:t>
            </w:r>
            <w:r w:rsidR="0059051A">
              <w:rPr>
                <w:bCs w:val="0"/>
              </w:rPr>
              <w:t>A</w:t>
            </w:r>
            <w:r w:rsidRPr="005E3E95">
              <w:rPr>
                <w:bCs w:val="0"/>
              </w:rPr>
              <w:t>ssessment:</w:t>
            </w:r>
          </w:p>
        </w:tc>
        <w:tc>
          <w:tcPr>
            <w:tcW w:w="5058" w:type="dxa"/>
            <w:shd w:val="clear" w:color="auto" w:fill="auto"/>
          </w:tcPr>
          <w:p w14:paraId="6D9A569C" w14:textId="77777777" w:rsidR="00540198" w:rsidRPr="005E3E95" w:rsidRDefault="00AE4A75" w:rsidP="00AE4A75">
            <w:pPr>
              <w:pStyle w:val="BackgroundTable"/>
              <w:rPr>
                <w:b w:val="0"/>
              </w:rPr>
            </w:pPr>
            <w:r>
              <w:rPr>
                <w:b w:val="0"/>
              </w:rPr>
              <w:t xml:space="preserve">Mike Feeney, Director, </w:t>
            </w:r>
            <w:r w:rsidR="008F628E" w:rsidRPr="005E3E95">
              <w:rPr>
                <w:b w:val="0"/>
              </w:rPr>
              <w:t>Indoor Air Quality (</w:t>
            </w:r>
            <w:r w:rsidR="00540198" w:rsidRPr="005E3E95">
              <w:rPr>
                <w:b w:val="0"/>
              </w:rPr>
              <w:t>IAQ</w:t>
            </w:r>
            <w:r w:rsidR="008F628E" w:rsidRPr="005E3E95">
              <w:rPr>
                <w:b w:val="0"/>
              </w:rPr>
              <w:t>)</w:t>
            </w:r>
            <w:r w:rsidR="00540198" w:rsidRPr="005E3E95">
              <w:rPr>
                <w:b w:val="0"/>
              </w:rPr>
              <w:t xml:space="preserve"> Program</w:t>
            </w:r>
          </w:p>
        </w:tc>
      </w:tr>
    </w:tbl>
    <w:p w14:paraId="045CCB10" w14:textId="1EA127E4" w:rsidR="00F5383F" w:rsidRPr="00F5383F" w:rsidRDefault="00F5383F" w:rsidP="008748E9">
      <w:pPr>
        <w:pStyle w:val="Heading1"/>
      </w:pPr>
      <w:r w:rsidRPr="00F5383F">
        <w:t>I</w:t>
      </w:r>
      <w:r w:rsidR="00E11000">
        <w:t>ntroduction</w:t>
      </w:r>
    </w:p>
    <w:p w14:paraId="76E6E180" w14:textId="06B1517D" w:rsidR="00F5383F" w:rsidRDefault="00F5383F" w:rsidP="00F5383F">
      <w:pPr>
        <w:spacing w:line="360" w:lineRule="auto"/>
        <w:ind w:firstLine="720"/>
      </w:pPr>
      <w:r w:rsidRPr="00F5383F">
        <w:t xml:space="preserve">The IAQ Program conducted an assessment of the ALA on September 3, </w:t>
      </w:r>
      <w:r w:rsidR="00532350" w:rsidRPr="00F5383F">
        <w:t>2021,</w:t>
      </w:r>
      <w:r w:rsidRPr="00F5383F">
        <w:t xml:space="preserve"> to assess reports of </w:t>
      </w:r>
      <w:r w:rsidR="0093622E">
        <w:t>IAQ</w:t>
      </w:r>
      <w:r w:rsidRPr="00F5383F">
        <w:t xml:space="preserve"> concerns, with a focus on whether the office was adversely impacted by the extended hot, humid weather experienced in New England during the </w:t>
      </w:r>
      <w:r w:rsidR="0096068F" w:rsidRPr="00F5383F">
        <w:t>summer</w:t>
      </w:r>
      <w:r w:rsidRPr="00F5383F">
        <w:t xml:space="preserve"> of 2021 as well as identify other conditions that may impact IAQ.</w:t>
      </w:r>
    </w:p>
    <w:p w14:paraId="1265F0A7" w14:textId="27B5F74A" w:rsidR="00F5383F" w:rsidRDefault="00F5383F" w:rsidP="00F5383F">
      <w:pPr>
        <w:spacing w:line="360" w:lineRule="auto"/>
        <w:ind w:firstLine="720"/>
      </w:pPr>
      <w:r w:rsidRPr="00F5383F">
        <w:t xml:space="preserve">The </w:t>
      </w:r>
      <w:r w:rsidR="0096068F" w:rsidRPr="00F5383F">
        <w:t>ALA</w:t>
      </w:r>
      <w:r w:rsidR="0096068F">
        <w:rPr>
          <w:b/>
        </w:rPr>
        <w:t xml:space="preserve"> </w:t>
      </w:r>
      <w:r w:rsidR="0096068F" w:rsidRPr="00F5383F">
        <w:t>occupies</w:t>
      </w:r>
      <w:r w:rsidR="0096068F">
        <w:rPr>
          <w:b/>
        </w:rPr>
        <w:t xml:space="preserve"> </w:t>
      </w:r>
      <w:r w:rsidR="0096068F" w:rsidRPr="00D00841">
        <w:t>portions</w:t>
      </w:r>
      <w:r w:rsidRPr="00F5383F">
        <w:t xml:space="preserve"> of the second and fourth floor of a multi-story mixed use commercial/residential building constructed in the 1980s. The building has a brick façade and a flat roof. It is located in downtown Malden near the Malden Center Orange Line </w:t>
      </w:r>
      <w:r w:rsidR="005A204F">
        <w:t>st</w:t>
      </w:r>
      <w:r w:rsidRPr="00F5383F">
        <w:t>ation. Other office tenants occupy space in th</w:t>
      </w:r>
      <w:r w:rsidR="0093622E">
        <w:t>e</w:t>
      </w:r>
      <w:r w:rsidRPr="00F5383F">
        <w:t xml:space="preserve"> building</w:t>
      </w:r>
      <w:r w:rsidR="0093622E">
        <w:t>,</w:t>
      </w:r>
      <w:r w:rsidRPr="00F5383F">
        <w:t xml:space="preserve"> which also contain residential apartments. There is a parking garage behind/below the building</w:t>
      </w:r>
      <w:r w:rsidR="00C453F6">
        <w:t xml:space="preserve">. Prior to occupancy, the IAQ Program conducted </w:t>
      </w:r>
      <w:r w:rsidR="0096068F">
        <w:t>an</w:t>
      </w:r>
      <w:r w:rsidR="00C453F6">
        <w:t xml:space="preserve"> assessment of the ALA, which is included as Appendix A of the report.</w:t>
      </w:r>
    </w:p>
    <w:p w14:paraId="6BCDE199" w14:textId="77777777" w:rsidR="003475EE" w:rsidRPr="00631CD4" w:rsidRDefault="003475EE" w:rsidP="00631CD4">
      <w:pPr>
        <w:pStyle w:val="Heading1"/>
      </w:pPr>
      <w:r w:rsidRPr="00631CD4">
        <w:t>Methods</w:t>
      </w:r>
    </w:p>
    <w:p w14:paraId="5454ADDB" w14:textId="77777777" w:rsidR="003032E3" w:rsidRDefault="0096068F" w:rsidP="00C3385E">
      <w:pPr>
        <w:pStyle w:val="BodyText"/>
        <w:spacing w:line="360" w:lineRule="auto"/>
      </w:pPr>
      <w:r w:rsidRPr="00AB02B6">
        <w:t>Air tests for t</w:t>
      </w:r>
      <w:r>
        <w:t xml:space="preserve">emperature, </w:t>
      </w:r>
      <w:r w:rsidRPr="00AB02B6">
        <w:t>relative humidity</w:t>
      </w:r>
      <w:r>
        <w:t xml:space="preserve"> and dew point </w:t>
      </w:r>
      <w:r w:rsidRPr="00AB02B6">
        <w:t>were taken with the TSI, Q-Trak, IAQ Monitor 7565.</w:t>
      </w:r>
      <w:r>
        <w:t xml:space="preserve"> </w:t>
      </w:r>
      <w:r w:rsidR="00F5383F">
        <w:t xml:space="preserve">Surface temperatures of </w:t>
      </w:r>
      <w:r>
        <w:t>floors</w:t>
      </w:r>
      <w:r w:rsidR="00F5383F">
        <w:t xml:space="preserve">, walls and </w:t>
      </w:r>
      <w:r>
        <w:t>fresh</w:t>
      </w:r>
      <w:r w:rsidR="00F5383F">
        <w:t xml:space="preserve"> air diffusers were </w:t>
      </w:r>
      <w:r w:rsidR="00F5383F">
        <w:lastRenderedPageBreak/>
        <w:t>measured using a laser thermometer.</w:t>
      </w:r>
      <w:r w:rsidR="003475EE" w:rsidRPr="00AB02B6">
        <w:t xml:space="preserve"> BEH/IAQ staff also performed </w:t>
      </w:r>
      <w:r w:rsidR="00786C99">
        <w:t xml:space="preserve">a </w:t>
      </w:r>
      <w:r w:rsidR="003475EE" w:rsidRPr="00AB02B6">
        <w:t>visual inspection of building materials for water damage and/or microbial growth and examined the space for the presence of odors or other environmental concerns.</w:t>
      </w:r>
      <w:r w:rsidR="005E00D4" w:rsidRPr="005E00D4">
        <w:t xml:space="preserve"> Please refer to the IAQ Manual for methods, sampling procedures, and interpretation of results (MDPH, 2015).</w:t>
      </w:r>
    </w:p>
    <w:p w14:paraId="4F9E8D63" w14:textId="6764EA0D" w:rsidR="008748E9" w:rsidRPr="008748E9" w:rsidRDefault="00E11000" w:rsidP="008748E9">
      <w:pPr>
        <w:keepNext/>
        <w:spacing w:before="360" w:line="480" w:lineRule="auto"/>
        <w:outlineLvl w:val="0"/>
        <w:rPr>
          <w:b/>
          <w:sz w:val="28"/>
        </w:rPr>
      </w:pPr>
      <w:r>
        <w:rPr>
          <w:b/>
          <w:sz w:val="28"/>
        </w:rPr>
        <w:t>Results and Discussion</w:t>
      </w:r>
    </w:p>
    <w:p w14:paraId="10A2FF36" w14:textId="77777777" w:rsidR="008748E9" w:rsidRPr="008748E9" w:rsidRDefault="008748E9" w:rsidP="008748E9">
      <w:pPr>
        <w:spacing w:line="360" w:lineRule="auto"/>
        <w:ind w:firstLine="720"/>
      </w:pPr>
      <w:r w:rsidRPr="008748E9">
        <w:t>The following is a summary of testing results (Table 1):</w:t>
      </w:r>
    </w:p>
    <w:p w14:paraId="582571D7" w14:textId="77777777" w:rsidR="008748E9" w:rsidRPr="008748E9" w:rsidRDefault="008748E9" w:rsidP="008748E9">
      <w:pPr>
        <w:numPr>
          <w:ilvl w:val="0"/>
          <w:numId w:val="36"/>
        </w:numPr>
        <w:spacing w:line="360" w:lineRule="auto"/>
      </w:pPr>
      <w:r w:rsidRPr="008748E9">
        <w:rPr>
          <w:b/>
          <w:i/>
        </w:rPr>
        <w:t>Temperature</w:t>
      </w:r>
      <w:r w:rsidRPr="008748E9">
        <w:t xml:space="preserve"> was within or very close to the MDPH recommended range of 70°F to 78°F in areas tested.</w:t>
      </w:r>
    </w:p>
    <w:p w14:paraId="2F8D19ED" w14:textId="4D9AF68D" w:rsidR="008748E9" w:rsidRPr="008748E9" w:rsidRDefault="008748E9" w:rsidP="008748E9">
      <w:pPr>
        <w:numPr>
          <w:ilvl w:val="0"/>
          <w:numId w:val="36"/>
        </w:numPr>
        <w:spacing w:line="360" w:lineRule="auto"/>
        <w:rPr>
          <w:b/>
        </w:rPr>
      </w:pPr>
      <w:r w:rsidRPr="008748E9">
        <w:rPr>
          <w:b/>
          <w:i/>
        </w:rPr>
        <w:t>Relative Humidity</w:t>
      </w:r>
      <w:r w:rsidRPr="008748E9">
        <w:t xml:space="preserve"> </w:t>
      </w:r>
      <w:r>
        <w:t xml:space="preserve">IAQ staff visited the ALA when outdoor relative humidity was measured at 50% (Table 1). Relative humidity indoors ranged from 50-55% which </w:t>
      </w:r>
      <w:r w:rsidR="00D00841">
        <w:t>was</w:t>
      </w:r>
      <w:r>
        <w:t xml:space="preserve"> within </w:t>
      </w:r>
      <w:r w:rsidR="00D00841">
        <w:t xml:space="preserve">the </w:t>
      </w:r>
      <w:r>
        <w:t>MDPH IAQ comfort level of 40 % to 60%. In general, with a function</w:t>
      </w:r>
      <w:r w:rsidR="00D00841">
        <w:t>ing</w:t>
      </w:r>
      <w:r>
        <w:t xml:space="preserve"> HVAC system operating in chiller mode, indoor relative humidity would be expect</w:t>
      </w:r>
      <w:r w:rsidR="00D00841">
        <w:t>ed</w:t>
      </w:r>
      <w:r>
        <w:t xml:space="preserve"> to be equal to or less tha</w:t>
      </w:r>
      <w:r w:rsidR="005A204F">
        <w:t>n</w:t>
      </w:r>
      <w:r>
        <w:t xml:space="preserve"> outdoor relative humidity.</w:t>
      </w:r>
    </w:p>
    <w:p w14:paraId="53286440" w14:textId="77777777" w:rsidR="008748E9" w:rsidRPr="008748E9" w:rsidRDefault="008748E9" w:rsidP="008748E9">
      <w:pPr>
        <w:pStyle w:val="Heading2"/>
      </w:pPr>
      <w:r w:rsidRPr="008748E9">
        <w:t>Ventilation</w:t>
      </w:r>
    </w:p>
    <w:p w14:paraId="4F9ACC35" w14:textId="77777777" w:rsidR="00612A91" w:rsidRDefault="000948B5" w:rsidP="00612A91">
      <w:pPr>
        <w:pStyle w:val="BodyText"/>
        <w:spacing w:line="360" w:lineRule="auto"/>
      </w:pPr>
      <w:r>
        <w:t xml:space="preserve">Fresh air is supplied by an air handling unit (AHU) located on the roof. The building uses ducted supply vents and a plenum return system. The </w:t>
      </w:r>
      <w:r w:rsidR="00A15DF3">
        <w:t>heating, ventilation and air conditioning (</w:t>
      </w:r>
      <w:r>
        <w:t>HVAC</w:t>
      </w:r>
      <w:r w:rsidR="00A15DF3">
        <w:t>)</w:t>
      </w:r>
      <w:r>
        <w:t xml:space="preserve"> system was balanced prior to this IAQ assessment.</w:t>
      </w:r>
    </w:p>
    <w:p w14:paraId="0098E8BF" w14:textId="77777777" w:rsidR="00612A91" w:rsidRDefault="00F5383F" w:rsidP="00612A91">
      <w:pPr>
        <w:pStyle w:val="Heading2"/>
      </w:pPr>
      <w:r w:rsidRPr="00495A65">
        <w:t>Microbial/Moisture Concerns</w:t>
      </w:r>
    </w:p>
    <w:p w14:paraId="0525928D" w14:textId="079CD111" w:rsidR="007C23E3" w:rsidRDefault="00C453F6" w:rsidP="00612A91">
      <w:pPr>
        <w:pStyle w:val="BodyText"/>
        <w:spacing w:line="360" w:lineRule="auto"/>
      </w:pPr>
      <w:r w:rsidRPr="00C453F6">
        <w:t xml:space="preserve">It is important to note that Massachusetts has experienced extended periods of relative humidity during the summer of 2021. This July was the wettest ever recorded in Massachusetts, and the three-month period from June through August, known as the meteorological summer, was tied for the warmest on record across the United States </w:t>
      </w:r>
      <w:r w:rsidR="0096068F" w:rsidRPr="00C453F6">
        <w:t>(HG, 2021</w:t>
      </w:r>
      <w:r w:rsidR="0096068F">
        <w:t>)</w:t>
      </w:r>
      <w:r w:rsidR="00612A91">
        <w:t>,</w:t>
      </w:r>
      <w:r w:rsidR="0096068F">
        <w:t xml:space="preserve"> and is </w:t>
      </w:r>
      <w:r w:rsidR="0096068F" w:rsidRPr="00C453F6">
        <w:t xml:space="preserve">the fourth-wettest on record, according to the National Oceanic and Atmospheric Administration’s Centers for Environmental Information. </w:t>
      </w:r>
      <w:r w:rsidRPr="00C453F6">
        <w:t xml:space="preserve">The three-month period was </w:t>
      </w:r>
      <w:r w:rsidR="00612A91" w:rsidRPr="00C453F6">
        <w:t xml:space="preserve">also </w:t>
      </w:r>
      <w:r w:rsidRPr="00C453F6">
        <w:t xml:space="preserve">the </w:t>
      </w:r>
      <w:r w:rsidR="005A204F" w:rsidRPr="00C453F6">
        <w:t>third warmest</w:t>
      </w:r>
      <w:r w:rsidRPr="00C453F6">
        <w:t xml:space="preserve"> </w:t>
      </w:r>
      <w:r>
        <w:t>(</w:t>
      </w:r>
      <w:r w:rsidRPr="00C453F6">
        <w:t>NOAA, 2021)</w:t>
      </w:r>
      <w:r>
        <w:t xml:space="preserve"> </w:t>
      </w:r>
      <w:r w:rsidR="005A204F">
        <w:t xml:space="preserve">and </w:t>
      </w:r>
      <w:r>
        <w:t xml:space="preserve">New England experienced repeated heavy rainstorms during this time. </w:t>
      </w:r>
      <w:r w:rsidR="00F5383F" w:rsidRPr="00EB63E4">
        <w:t>Water</w:t>
      </w:r>
      <w:r w:rsidR="00452257">
        <w:t>-</w:t>
      </w:r>
      <w:r w:rsidR="00F5383F" w:rsidRPr="00EB63E4">
        <w:t xml:space="preserve">damaged ceiling tiles were noted </w:t>
      </w:r>
      <w:r w:rsidR="005A204F">
        <w:t xml:space="preserve">in </w:t>
      </w:r>
      <w:r w:rsidR="007C23E3">
        <w:t>the hallway near the hearing rooms. This water damage is attributed to a roof leak during a heavy rainstorm.</w:t>
      </w:r>
    </w:p>
    <w:p w14:paraId="0D73D051" w14:textId="77777777" w:rsidR="00F5383F" w:rsidRPr="00495A65" w:rsidRDefault="00F5383F" w:rsidP="00F5383F">
      <w:pPr>
        <w:keepNext/>
        <w:spacing w:before="600" w:after="60" w:line="480" w:lineRule="auto"/>
        <w:ind w:firstLine="720"/>
        <w:outlineLvl w:val="2"/>
        <w:rPr>
          <w:i/>
        </w:rPr>
      </w:pPr>
      <w:r w:rsidRPr="00495A65">
        <w:rPr>
          <w:i/>
        </w:rPr>
        <w:lastRenderedPageBreak/>
        <w:t>Building Materials Prone to Condensation</w:t>
      </w:r>
    </w:p>
    <w:p w14:paraId="2F0B6F07" w14:textId="77777777" w:rsidR="00F5383F" w:rsidRPr="00495A65" w:rsidRDefault="00F5383F" w:rsidP="00F5383F">
      <w:pPr>
        <w:spacing w:line="360" w:lineRule="auto"/>
        <w:ind w:firstLine="720"/>
      </w:pPr>
      <w:r w:rsidRPr="00495A65">
        <w:t xml:space="preserve">The key to managing condensation in hot, humid weather indoors is understanding dew point. When warm, moist air passes over a cooler surface, condensation can form. Condensation is the collection of moisture on a surface at or below the dew point. The dew point is the temperature that air must reach for saturation to occur. If a building material/component has a temperature </w:t>
      </w:r>
      <w:r w:rsidRPr="00495A65">
        <w:rPr>
          <w:i/>
          <w:u w:val="single"/>
        </w:rPr>
        <w:t>below the dew point</w:t>
      </w:r>
      <w:r w:rsidRPr="00495A65">
        <w:t>, condensation will accumulate on that material. Over time, condensation can collect and form water droplets.</w:t>
      </w:r>
    </w:p>
    <w:p w14:paraId="64AF3192" w14:textId="04C72560" w:rsidR="00F5383F" w:rsidRDefault="00F5383F" w:rsidP="00F5383F">
      <w:pPr>
        <w:spacing w:line="360" w:lineRule="auto"/>
        <w:ind w:firstLine="720"/>
      </w:pPr>
      <w:r w:rsidRPr="00495A65">
        <w:t>A method to locate areas in a building prone to condensation (floors and walls in direct contact with soil on the ground floor</w:t>
      </w:r>
      <w:r>
        <w:t>)</w:t>
      </w:r>
      <w:r w:rsidRPr="00495A65">
        <w:t xml:space="preserve"> is to measure air and building material temperatures using a laser thermometer (Table </w:t>
      </w:r>
      <w:r>
        <w:t>1</w:t>
      </w:r>
      <w:r w:rsidRPr="00495A65">
        <w:t xml:space="preserve">). If a wide temperature range exists between measurements, the building materials at the colder end of the range may be prone to </w:t>
      </w:r>
      <w:r w:rsidR="005A204F">
        <w:t xml:space="preserve">moistening </w:t>
      </w:r>
      <w:r w:rsidRPr="00495A65">
        <w:t xml:space="preserve">with condensation if exposed to hot, humid weather for extended periods of time. According to the test results in Table </w:t>
      </w:r>
      <w:r>
        <w:t>1</w:t>
      </w:r>
      <w:r w:rsidRPr="00495A65">
        <w:t xml:space="preserve">, </w:t>
      </w:r>
      <w:r w:rsidR="0096068F">
        <w:t>all</w:t>
      </w:r>
      <w:r w:rsidR="0096068F" w:rsidRPr="00495A65">
        <w:t xml:space="preserve"> areas</w:t>
      </w:r>
      <w:r w:rsidRPr="00495A65">
        <w:t xml:space="preserve"> </w:t>
      </w:r>
      <w:r w:rsidR="007C23E3">
        <w:t>or building components (</w:t>
      </w:r>
      <w:r w:rsidR="0096068F">
        <w:t>floors</w:t>
      </w:r>
      <w:r w:rsidR="007C23E3">
        <w:t>, walls or HVAC system fresh air diffusers</w:t>
      </w:r>
      <w:r w:rsidR="00E709D5">
        <w:t>)</w:t>
      </w:r>
      <w:r w:rsidR="007C23E3">
        <w:t xml:space="preserve"> had </w:t>
      </w:r>
      <w:r w:rsidRPr="00495A65">
        <w:t xml:space="preserve">surface temperatures that were </w:t>
      </w:r>
      <w:r w:rsidR="007C23E3" w:rsidRPr="000206C5">
        <w:rPr>
          <w:i/>
          <w:u w:val="single"/>
        </w:rPr>
        <w:t>above the dew point</w:t>
      </w:r>
      <w:r w:rsidR="007C23E3">
        <w:t xml:space="preserve">. No section of the ALA has floors or walls in direct contact with soil, which is where buildings are most likely to have components moistened by condensation. It is important to note that </w:t>
      </w:r>
      <w:r>
        <w:t xml:space="preserve">if </w:t>
      </w:r>
      <w:r w:rsidRPr="0010559B">
        <w:t xml:space="preserve">fresh air supply vents </w:t>
      </w:r>
      <w:r w:rsidR="00E709D5">
        <w:t>are</w:t>
      </w:r>
      <w:r>
        <w:t xml:space="preserve"> equal to or below dew point temperatures, the vents will gather condensation.</w:t>
      </w:r>
      <w:r w:rsidR="007C23E3">
        <w:t xml:space="preserve"> No visible water stains or condensation was noted on any fresh air </w:t>
      </w:r>
      <w:r w:rsidR="0096068F">
        <w:t>diffusers</w:t>
      </w:r>
      <w:r w:rsidR="00E709D5">
        <w:t xml:space="preserve"> at the time of this assessment</w:t>
      </w:r>
      <w:r w:rsidR="007C23E3">
        <w:t>.</w:t>
      </w:r>
    </w:p>
    <w:p w14:paraId="300D8BC7" w14:textId="77777777" w:rsidR="00F5383F" w:rsidRPr="00495A65" w:rsidRDefault="00F5383F" w:rsidP="00F5383F">
      <w:pPr>
        <w:spacing w:line="360" w:lineRule="auto"/>
        <w:ind w:firstLine="720"/>
      </w:pPr>
      <w:r w:rsidRPr="00495A65">
        <w:t xml:space="preserve">According to American Society of Heating, Refrigerating and Air-Conditioning Engineers (ASHRAE), if relative humidity exceeds 70% for extended periods of time, mold growth may occur due to wetting of building materials even in the absence of liquid water droplets (ASHRAE, 1989). It is recommended that porous material be dried with fans and heating within </w:t>
      </w:r>
      <w:r w:rsidRPr="00495A65">
        <w:rPr>
          <w:bCs/>
          <w:i/>
          <w:iCs/>
          <w:u w:val="single"/>
        </w:rPr>
        <w:t>24 to 48 hours of becoming wet</w:t>
      </w:r>
      <w:r w:rsidRPr="00495A65">
        <w:t xml:space="preserve"> (US EPA, 2008, ACGIH, 1989). If porous materials are not dried within this time frame, mold growth may occur. Water-damaged porous materials cannot be adequately cleaned to remove mold growth.</w:t>
      </w:r>
    </w:p>
    <w:p w14:paraId="12B80DB0" w14:textId="77777777" w:rsidR="000477CD" w:rsidRPr="00AB02B6" w:rsidRDefault="00C453F6" w:rsidP="00C453F6">
      <w:pPr>
        <w:pStyle w:val="StyleBodyTextLeft025"/>
        <w:spacing w:line="360" w:lineRule="auto"/>
        <w:rPr>
          <w:szCs w:val="24"/>
        </w:rPr>
      </w:pPr>
      <w:r>
        <w:rPr>
          <w:szCs w:val="24"/>
        </w:rPr>
        <w:t xml:space="preserve">Aside from the water </w:t>
      </w:r>
      <w:r w:rsidR="0096068F">
        <w:rPr>
          <w:szCs w:val="24"/>
        </w:rPr>
        <w:t>damage</w:t>
      </w:r>
      <w:r>
        <w:rPr>
          <w:szCs w:val="24"/>
        </w:rPr>
        <w:t xml:space="preserve"> noted previously in the hallway near hearing rooms, n</w:t>
      </w:r>
      <w:r w:rsidR="00CE0987">
        <w:rPr>
          <w:szCs w:val="24"/>
        </w:rPr>
        <w:t>o water-damaged or moist materials were observed</w:t>
      </w:r>
      <w:r w:rsidR="00E54FBA">
        <w:rPr>
          <w:szCs w:val="24"/>
        </w:rPr>
        <w:t xml:space="preserve"> during the assessment</w:t>
      </w:r>
      <w:r w:rsidR="006A63D7">
        <w:rPr>
          <w:szCs w:val="24"/>
        </w:rPr>
        <w:t>,</w:t>
      </w:r>
      <w:r w:rsidR="00CE0987">
        <w:rPr>
          <w:szCs w:val="24"/>
        </w:rPr>
        <w:t xml:space="preserve"> including ceiling tiles</w:t>
      </w:r>
      <w:r w:rsidR="006A63D7">
        <w:rPr>
          <w:szCs w:val="24"/>
        </w:rPr>
        <w:t>.</w:t>
      </w:r>
    </w:p>
    <w:p w14:paraId="39F1DBD9" w14:textId="2D77C4F8" w:rsidR="003475EE" w:rsidRPr="00AB02B6" w:rsidRDefault="00B06B33" w:rsidP="00C3385E">
      <w:pPr>
        <w:pStyle w:val="Heading1"/>
        <w:spacing w:line="360" w:lineRule="auto"/>
      </w:pPr>
      <w:r>
        <w:lastRenderedPageBreak/>
        <w:t>Conclusions/</w:t>
      </w:r>
      <w:r w:rsidR="003475EE" w:rsidRPr="00AB02B6">
        <w:t>Recommendations</w:t>
      </w:r>
    </w:p>
    <w:p w14:paraId="2A578394" w14:textId="77777777" w:rsidR="00C453F6" w:rsidRPr="00C453F6" w:rsidRDefault="00C453F6" w:rsidP="00C453F6">
      <w:pPr>
        <w:spacing w:line="360" w:lineRule="auto"/>
        <w:ind w:firstLine="720"/>
      </w:pPr>
      <w:r w:rsidRPr="00C453F6">
        <w:t xml:space="preserve">It is important to note that </w:t>
      </w:r>
      <w:r w:rsidR="006240FB">
        <w:t xml:space="preserve">the </w:t>
      </w:r>
      <w:r w:rsidRPr="00C453F6">
        <w:t xml:space="preserve">extreme relative humidity and rain of this </w:t>
      </w:r>
      <w:r w:rsidR="00751F9F" w:rsidRPr="00C453F6">
        <w:t>summer</w:t>
      </w:r>
      <w:r w:rsidRPr="00C453F6">
        <w:t xml:space="preserve"> </w:t>
      </w:r>
      <w:r w:rsidR="006240FB">
        <w:t xml:space="preserve">can make </w:t>
      </w:r>
      <w:r w:rsidRPr="00C453F6">
        <w:t>management of building</w:t>
      </w:r>
      <w:r w:rsidR="006240FB">
        <w:t>s</w:t>
      </w:r>
      <w:r w:rsidRPr="00C453F6">
        <w:t xml:space="preserve"> in such weather challenging. The following documents can provide guidance that can be used to reduce the impact of hot, humid weather in buildings.</w:t>
      </w:r>
    </w:p>
    <w:p w14:paraId="7A5F9370" w14:textId="77777777" w:rsidR="00C453F6" w:rsidRPr="00C453F6" w:rsidRDefault="00C453F6" w:rsidP="00C453F6">
      <w:pPr>
        <w:numPr>
          <w:ilvl w:val="0"/>
          <w:numId w:val="33"/>
        </w:numPr>
        <w:spacing w:line="360" w:lineRule="auto"/>
      </w:pPr>
      <w:r w:rsidRPr="00C453F6">
        <w:t xml:space="preserve">Mold growth Prevention during Hot, Humid Weather </w:t>
      </w:r>
      <w:hyperlink r:id="rId9" w:history="1">
        <w:r w:rsidRPr="00C453F6">
          <w:rPr>
            <w:color w:val="0000FF"/>
            <w:u w:val="single"/>
          </w:rPr>
          <w:t>https://www.mass.gov/service-details/preventing-mold-growth-in-massachusetts-schools-during-hot-humid-weather</w:t>
        </w:r>
      </w:hyperlink>
    </w:p>
    <w:p w14:paraId="3FA82540" w14:textId="77777777" w:rsidR="00C453F6" w:rsidRPr="00C453F6" w:rsidRDefault="00C453F6" w:rsidP="00C453F6">
      <w:pPr>
        <w:numPr>
          <w:ilvl w:val="0"/>
          <w:numId w:val="33"/>
        </w:numPr>
        <w:spacing w:line="360" w:lineRule="auto"/>
      </w:pPr>
      <w:r w:rsidRPr="00C453F6">
        <w:t xml:space="preserve">Remediation and Prevention of Mold Growth and Water Damage in Public Schools </w:t>
      </w:r>
      <w:hyperlink r:id="rId10" w:history="1">
        <w:r w:rsidRPr="00C453F6">
          <w:rPr>
            <w:color w:val="0000FF"/>
            <w:u w:val="single"/>
          </w:rPr>
          <w:t>https://www.mass.gov/service-details/remediation-and-prevention-of-mold-growth-and-water-damage-in-public-schools-and</w:t>
        </w:r>
      </w:hyperlink>
    </w:p>
    <w:p w14:paraId="004D9E4A" w14:textId="378B6A24" w:rsidR="00452257" w:rsidRPr="00024BCD" w:rsidRDefault="00C453F6" w:rsidP="00452257">
      <w:pPr>
        <w:numPr>
          <w:ilvl w:val="0"/>
          <w:numId w:val="33"/>
        </w:numPr>
        <w:spacing w:line="360" w:lineRule="auto"/>
      </w:pPr>
      <w:r w:rsidRPr="00C453F6">
        <w:t xml:space="preserve">Methods for Increasing Comfort in Non-air-conditioned Schools </w:t>
      </w:r>
      <w:hyperlink r:id="rId11" w:history="1">
        <w:r w:rsidRPr="00C453F6">
          <w:rPr>
            <w:color w:val="0000FF"/>
            <w:u w:val="single"/>
          </w:rPr>
          <w:t>https://www.mass.gov/doc/methods-for-increasing-comfort-in-non-air-conditioned-schools/download</w:t>
        </w:r>
      </w:hyperlink>
    </w:p>
    <w:p w14:paraId="7A73B0BB" w14:textId="434FE4FA" w:rsidR="00024BCD" w:rsidRDefault="00024BCD" w:rsidP="00024BCD">
      <w:pPr>
        <w:spacing w:line="360" w:lineRule="auto"/>
        <w:ind w:left="660"/>
        <w:rPr>
          <w:color w:val="0000FF"/>
          <w:u w:val="single"/>
        </w:rPr>
      </w:pPr>
    </w:p>
    <w:p w14:paraId="0619379D" w14:textId="77777777" w:rsidR="00024BCD" w:rsidRPr="00AB02B6" w:rsidRDefault="00024BCD" w:rsidP="00024BCD">
      <w:pPr>
        <w:pStyle w:val="BodyText"/>
        <w:spacing w:line="360" w:lineRule="auto"/>
      </w:pPr>
      <w:r w:rsidRPr="00AB02B6">
        <w:t>In view of the findings at the time of assessment, the following recommendations are made:</w:t>
      </w:r>
    </w:p>
    <w:p w14:paraId="687CFDA5" w14:textId="77777777" w:rsidR="00C453F6" w:rsidRPr="00C453F6" w:rsidRDefault="00C453F6" w:rsidP="00C453F6">
      <w:pPr>
        <w:keepNext/>
        <w:spacing w:before="120" w:line="360" w:lineRule="auto"/>
        <w:ind w:firstLine="720"/>
        <w:outlineLvl w:val="1"/>
        <w:rPr>
          <w:b/>
        </w:rPr>
      </w:pPr>
      <w:r w:rsidRPr="00C453F6">
        <w:rPr>
          <w:b/>
        </w:rPr>
        <w:t xml:space="preserve">Ventilation </w:t>
      </w:r>
      <w:r w:rsidR="00452257">
        <w:rPr>
          <w:b/>
        </w:rPr>
        <w:t>R</w:t>
      </w:r>
      <w:r w:rsidRPr="00C453F6">
        <w:rPr>
          <w:b/>
        </w:rPr>
        <w:t>ecommendations</w:t>
      </w:r>
    </w:p>
    <w:p w14:paraId="1E1B8420" w14:textId="77777777" w:rsidR="00C453F6" w:rsidRPr="00C453F6" w:rsidRDefault="00C453F6" w:rsidP="00C453F6">
      <w:pPr>
        <w:numPr>
          <w:ilvl w:val="0"/>
          <w:numId w:val="32"/>
        </w:numPr>
        <w:spacing w:line="360" w:lineRule="auto"/>
        <w:ind w:left="1152" w:hanging="576"/>
      </w:pPr>
      <w:r w:rsidRPr="00C453F6">
        <w:t>Examine whether the set point for chilling should be raised in order to avoid condensation in concert with limiting the introduction of unconditioned air into the building.</w:t>
      </w:r>
    </w:p>
    <w:p w14:paraId="20A889A8" w14:textId="77777777" w:rsidR="00C453F6" w:rsidRPr="00C453F6" w:rsidRDefault="00C453F6" w:rsidP="00C453F6">
      <w:pPr>
        <w:numPr>
          <w:ilvl w:val="0"/>
          <w:numId w:val="32"/>
        </w:numPr>
        <w:spacing w:line="360" w:lineRule="auto"/>
        <w:ind w:left="1152" w:hanging="576"/>
      </w:pPr>
      <w:r w:rsidRPr="00C453F6">
        <w:t>Have the HVAC system balanced every 5 years in accordance with SMACNA recommendations (SMACNA, 1994).</w:t>
      </w:r>
    </w:p>
    <w:p w14:paraId="7CB5B730" w14:textId="77777777" w:rsidR="00C453F6" w:rsidRPr="00C453F6" w:rsidRDefault="00C453F6" w:rsidP="00C453F6">
      <w:pPr>
        <w:keepNext/>
        <w:spacing w:before="480" w:line="360" w:lineRule="auto"/>
        <w:ind w:firstLine="720"/>
        <w:outlineLvl w:val="1"/>
        <w:rPr>
          <w:b/>
        </w:rPr>
      </w:pPr>
      <w:r w:rsidRPr="00C453F6">
        <w:rPr>
          <w:b/>
        </w:rPr>
        <w:t>Water</w:t>
      </w:r>
      <w:r w:rsidR="00452257">
        <w:rPr>
          <w:b/>
        </w:rPr>
        <w:t xml:space="preserve"> D</w:t>
      </w:r>
      <w:r w:rsidRPr="00C453F6">
        <w:rPr>
          <w:b/>
        </w:rPr>
        <w:t xml:space="preserve">amage </w:t>
      </w:r>
      <w:r w:rsidR="00452257">
        <w:rPr>
          <w:b/>
        </w:rPr>
        <w:t>R</w:t>
      </w:r>
      <w:r w:rsidRPr="00C453F6">
        <w:rPr>
          <w:b/>
        </w:rPr>
        <w:t>ecommendations</w:t>
      </w:r>
    </w:p>
    <w:p w14:paraId="62419F60" w14:textId="77777777" w:rsidR="00C453F6" w:rsidRPr="00C453F6" w:rsidRDefault="00C453F6" w:rsidP="00C453F6">
      <w:pPr>
        <w:numPr>
          <w:ilvl w:val="0"/>
          <w:numId w:val="32"/>
        </w:numPr>
        <w:spacing w:line="360" w:lineRule="auto"/>
        <w:ind w:left="1152" w:hanging="576"/>
      </w:pPr>
      <w:r w:rsidRPr="00C453F6">
        <w:t>Work with an HVAC contractor to determine if the HVAC system can be operated or modified to provide additional dehumidification while in chilling mode.</w:t>
      </w:r>
    </w:p>
    <w:p w14:paraId="0A8C184B" w14:textId="77777777" w:rsidR="00C453F6" w:rsidRPr="00C453F6" w:rsidRDefault="00C453F6" w:rsidP="0096068F">
      <w:pPr>
        <w:numPr>
          <w:ilvl w:val="0"/>
          <w:numId w:val="32"/>
        </w:numPr>
        <w:spacing w:line="360" w:lineRule="auto"/>
        <w:ind w:left="1134" w:hanging="567"/>
      </w:pPr>
      <w:r w:rsidRPr="00C453F6">
        <w:t>Use dehumidifiers in the building until outdoor conditions are cooler and drier and building heating is being used.</w:t>
      </w:r>
      <w:r w:rsidR="0096068F">
        <w:t xml:space="preserve"> </w:t>
      </w:r>
      <w:r w:rsidRPr="00C453F6">
        <w:t>Maintain all dehumidifiers and regularly remove water and clean receptacles to avoid stagnant water, odors, and the potential for leaks.</w:t>
      </w:r>
    </w:p>
    <w:p w14:paraId="3B8CB6BC" w14:textId="2BDDD831" w:rsidR="00C453F6" w:rsidRPr="00C453F6" w:rsidRDefault="00C453F6" w:rsidP="00C453F6">
      <w:pPr>
        <w:numPr>
          <w:ilvl w:val="0"/>
          <w:numId w:val="32"/>
        </w:numPr>
        <w:spacing w:line="360" w:lineRule="auto"/>
        <w:ind w:left="1152" w:hanging="576"/>
      </w:pPr>
      <w:r w:rsidRPr="00C453F6">
        <w:t xml:space="preserve">Avoid storing porous materials </w:t>
      </w:r>
      <w:r w:rsidR="0096068F">
        <w:t>(such as cardboard) in direct airflow of fresh air supplies or on the floor</w:t>
      </w:r>
      <w:r w:rsidRPr="00C453F6">
        <w:t xml:space="preserve"> to avoid </w:t>
      </w:r>
      <w:r w:rsidR="0096068F">
        <w:t xml:space="preserve">potential </w:t>
      </w:r>
      <w:r w:rsidRPr="00C453F6">
        <w:t>moistening through condensation.</w:t>
      </w:r>
    </w:p>
    <w:p w14:paraId="204B1AB2" w14:textId="78BB9CC0" w:rsidR="00C453F6" w:rsidRDefault="00C453F6" w:rsidP="00C453F6">
      <w:pPr>
        <w:numPr>
          <w:ilvl w:val="0"/>
          <w:numId w:val="32"/>
        </w:numPr>
        <w:spacing w:line="360" w:lineRule="auto"/>
        <w:ind w:left="1152" w:hanging="576"/>
      </w:pPr>
      <w:r w:rsidRPr="00C453F6">
        <w:lastRenderedPageBreak/>
        <w:t>Identify the source of water damage to ceiling tiles and gypsum wallboard and repair as needed. Once repaired</w:t>
      </w:r>
      <w:r w:rsidR="0070175E">
        <w:t>,</w:t>
      </w:r>
      <w:r w:rsidRPr="00C453F6">
        <w:t xml:space="preserve"> replace ceiling tiles in accordance with the EPA guideline “Mold Remediation in Schools and Commercial Buildings” (US</w:t>
      </w:r>
      <w:r w:rsidR="00476E47">
        <w:t xml:space="preserve"> </w:t>
      </w:r>
      <w:r w:rsidRPr="00C453F6">
        <w:t>EPA, 2008).</w:t>
      </w:r>
    </w:p>
    <w:p w14:paraId="7C4BF4AE" w14:textId="77777777" w:rsidR="008748E9" w:rsidRDefault="008748E9">
      <w:r>
        <w:br w:type="page"/>
      </w:r>
    </w:p>
    <w:p w14:paraId="08F6A522" w14:textId="77777777" w:rsidR="00C453F6" w:rsidRPr="00C453F6" w:rsidRDefault="00C453F6" w:rsidP="00C453F6">
      <w:pPr>
        <w:keepNext/>
        <w:spacing w:before="360" w:line="360" w:lineRule="auto"/>
        <w:outlineLvl w:val="0"/>
        <w:rPr>
          <w:b/>
          <w:sz w:val="28"/>
        </w:rPr>
      </w:pPr>
      <w:r w:rsidRPr="00C453F6">
        <w:rPr>
          <w:b/>
          <w:sz w:val="28"/>
        </w:rPr>
        <w:lastRenderedPageBreak/>
        <w:t>REFERENCES</w:t>
      </w:r>
    </w:p>
    <w:p w14:paraId="7929CECF" w14:textId="77777777" w:rsidR="005E00D4" w:rsidRDefault="005E00D4" w:rsidP="005E00D4">
      <w:pPr>
        <w:spacing w:after="240"/>
      </w:pPr>
      <w:r w:rsidRPr="00520BB1">
        <w:t>ACGIH. 1989.</w:t>
      </w:r>
      <w:r>
        <w:t xml:space="preserve"> Guidelines for the Assessment of Bioaerosols in the Indoor Environment. American Conference of Governmental Industrial Hygienists, Cincinnati, OH.</w:t>
      </w:r>
    </w:p>
    <w:p w14:paraId="53EFC3A6" w14:textId="77777777" w:rsidR="005E00D4" w:rsidRDefault="005E00D4" w:rsidP="005E00D4">
      <w:pPr>
        <w:spacing w:after="240"/>
      </w:pPr>
      <w:r w:rsidRPr="00520BB1">
        <w:t>ASHRAE. 1989.</w:t>
      </w:r>
      <w:r>
        <w:t xml:space="preserve"> Ventilation for Acceptable Indoor Air Quality. American Society of Heating, Refrigeration and Air Conditioning Engineers. ANSI/ASHRAE 62-1989</w:t>
      </w:r>
    </w:p>
    <w:p w14:paraId="3031993D" w14:textId="77777777" w:rsidR="00C453F6" w:rsidRPr="00C453F6" w:rsidRDefault="00C453F6" w:rsidP="005E00D4">
      <w:pPr>
        <w:spacing w:after="240"/>
      </w:pPr>
      <w:r w:rsidRPr="00520BB1">
        <w:t>HG. 2021.</w:t>
      </w:r>
      <w:r w:rsidRPr="00C453F6">
        <w:t xml:space="preserve"> Mold keeps South Hadley High School shuttered. Hampshire Gazette. </w:t>
      </w:r>
      <w:hyperlink r:id="rId12" w:history="1">
        <w:r w:rsidRPr="00C453F6">
          <w:rPr>
            <w:color w:val="0000FF"/>
            <w:u w:val="single"/>
          </w:rPr>
          <w:t>https://www.gazettenet.com/South-Hadley-High-School-still-closed-amid-mold-remediation-42413519</w:t>
        </w:r>
      </w:hyperlink>
    </w:p>
    <w:p w14:paraId="79D07C25" w14:textId="77777777" w:rsidR="00C453F6" w:rsidRDefault="00C453F6" w:rsidP="00C453F6">
      <w:pPr>
        <w:spacing w:after="240"/>
      </w:pPr>
      <w:r w:rsidRPr="00520BB1">
        <w:t>MDPH. 2015.</w:t>
      </w:r>
      <w:r w:rsidRPr="00C453F6">
        <w:t xml:space="preserve"> Massachusetts Department of Public Health. Indoor Air Quality Manual: Chapters I-III. Available at: </w:t>
      </w:r>
      <w:hyperlink r:id="rId13" w:history="1">
        <w:r w:rsidR="001D6203" w:rsidRPr="00781574">
          <w:rPr>
            <w:rStyle w:val="Hyperlink"/>
          </w:rPr>
          <w:t>https://www.mass.gov/lists/indoor-air-quality-manual-and-appendices</w:t>
        </w:r>
      </w:hyperlink>
    </w:p>
    <w:p w14:paraId="4E37801E" w14:textId="77777777" w:rsidR="00C453F6" w:rsidRDefault="00C453F6" w:rsidP="00C453F6">
      <w:pPr>
        <w:spacing w:after="180"/>
        <w:rPr>
          <w:szCs w:val="24"/>
        </w:rPr>
      </w:pPr>
      <w:r w:rsidRPr="00520BB1">
        <w:rPr>
          <w:szCs w:val="24"/>
        </w:rPr>
        <w:t>NOAA. 2021.</w:t>
      </w:r>
      <w:r w:rsidRPr="00C453F6">
        <w:rPr>
          <w:szCs w:val="24"/>
        </w:rPr>
        <w:t xml:space="preserve"> Summer 2021 neck and neck with Dust Bowl summer for hottest on record. National Oceanic and Atmospheric Administration, 1401 Constitution Avenue NW, Room 5128, Washington, DC 20230 </w:t>
      </w:r>
      <w:hyperlink r:id="rId14" w:history="1">
        <w:r w:rsidR="008748E9" w:rsidRPr="00781574">
          <w:rPr>
            <w:rStyle w:val="Hyperlink"/>
            <w:szCs w:val="24"/>
          </w:rPr>
          <w:t>https://www.noaa.gov/news/summer-2021-neck-and-neck-with-dust-bowl-summer-for-hottest-on-record</w:t>
        </w:r>
      </w:hyperlink>
    </w:p>
    <w:p w14:paraId="423ACF4C" w14:textId="77777777" w:rsidR="00C453F6" w:rsidRPr="00C453F6" w:rsidRDefault="00C453F6" w:rsidP="00C453F6">
      <w:pPr>
        <w:spacing w:after="180"/>
        <w:rPr>
          <w:szCs w:val="24"/>
        </w:rPr>
      </w:pPr>
      <w:r w:rsidRPr="00520BB1">
        <w:rPr>
          <w:szCs w:val="24"/>
        </w:rPr>
        <w:t>SMACNA. 1994</w:t>
      </w:r>
      <w:r w:rsidRPr="00C453F6">
        <w:rPr>
          <w:szCs w:val="24"/>
        </w:rPr>
        <w:t>. HVAC Systems Commissioning Manual. 1</w:t>
      </w:r>
      <w:r w:rsidRPr="00C453F6">
        <w:rPr>
          <w:szCs w:val="24"/>
          <w:vertAlign w:val="superscript"/>
        </w:rPr>
        <w:t>st</w:t>
      </w:r>
      <w:r w:rsidRPr="00C453F6">
        <w:rPr>
          <w:szCs w:val="24"/>
        </w:rPr>
        <w:t xml:space="preserve"> ed. Sheet Metal and Air Conditioning Contractors’ National Association, Inc., Chantilly, VA.</w:t>
      </w:r>
    </w:p>
    <w:p w14:paraId="652F6CA0" w14:textId="5079607E" w:rsidR="00927E90" w:rsidRDefault="00C453F6" w:rsidP="008748E9">
      <w:pPr>
        <w:spacing w:after="240"/>
      </w:pPr>
      <w:r w:rsidRPr="00520BB1">
        <w:t>US EPA. 2008</w:t>
      </w:r>
      <w:r w:rsidRPr="00C453F6">
        <w:t xml:space="preserve">. “Mold Remediation in Schools and Commercial Buildings”. Office of Air and Radiation, Indoor Environments Division, Washington, DC. EPA 402-K-01-001. September 2008. Available at: </w:t>
      </w:r>
      <w:hyperlink r:id="rId15" w:history="1">
        <w:r w:rsidRPr="00C453F6">
          <w:rPr>
            <w:color w:val="0000FF"/>
            <w:u w:val="single"/>
          </w:rPr>
          <w:t>http://www.epa.gov/mold/mold-remediation-schools-and-commercial-buildings-guide</w:t>
        </w:r>
      </w:hyperlink>
      <w:r w:rsidRPr="00C453F6">
        <w:t>.</w:t>
      </w:r>
    </w:p>
    <w:p w14:paraId="62111D78" w14:textId="77777777" w:rsidR="0070175E" w:rsidRDefault="0070175E" w:rsidP="008748E9">
      <w:pPr>
        <w:spacing w:after="240"/>
        <w:rPr>
          <w:b/>
        </w:rPr>
        <w:sectPr w:rsidR="0070175E" w:rsidSect="000D48D8">
          <w:footerReference w:type="default" r:id="rId16"/>
          <w:footerReference w:type="first" r:id="rId17"/>
          <w:pgSz w:w="12240" w:h="15840"/>
          <w:pgMar w:top="1440" w:right="1440" w:bottom="1440" w:left="1440" w:header="720" w:footer="720" w:gutter="0"/>
          <w:cols w:space="720"/>
          <w:titlePg/>
        </w:sectPr>
      </w:pPr>
    </w:p>
    <w:p w14:paraId="2F764CEB" w14:textId="77777777" w:rsidR="00315A9E" w:rsidRDefault="00C45123" w:rsidP="00C10DCB">
      <w:pPr>
        <w:pStyle w:val="Heading1"/>
      </w:pPr>
      <w:r>
        <w:rPr>
          <w:noProof/>
        </w:rPr>
        <w:lastRenderedPageBreak/>
        <w:pict w14:anchorId="3AAEBD5C">
          <v:shape id="_x0000_s1026" type="#_x0000_t202" style="position:absolute;margin-left:0;margin-top:0;width:468pt;height:9in;z-index:251659776;mso-position-horizontal:center;mso-position-horizontal-relative:page;mso-position-vertical:center;mso-position-vertical-relative:page" filled="f">
            <v:textbox>
              <w:txbxContent>
                <w:p w14:paraId="5CA34B96" w14:textId="77777777" w:rsidR="00315A9E" w:rsidRDefault="00315A9E" w:rsidP="00705149">
                  <w:pPr>
                    <w:jc w:val="center"/>
                    <w:rPr>
                      <w:b/>
                    </w:rPr>
                  </w:pPr>
                </w:p>
                <w:p w14:paraId="7F97992C" w14:textId="77777777" w:rsidR="00315A9E" w:rsidRDefault="00315A9E" w:rsidP="00705149">
                  <w:pPr>
                    <w:jc w:val="center"/>
                    <w:rPr>
                      <w:b/>
                    </w:rPr>
                  </w:pPr>
                </w:p>
                <w:p w14:paraId="75DC2B76" w14:textId="77777777" w:rsidR="00315A9E" w:rsidRPr="00705149" w:rsidRDefault="00315A9E" w:rsidP="00705149">
                  <w:pPr>
                    <w:jc w:val="center"/>
                    <w:rPr>
                      <w:b/>
                      <w:sz w:val="40"/>
                    </w:rPr>
                  </w:pPr>
                  <w:r w:rsidRPr="00705149">
                    <w:rPr>
                      <w:b/>
                      <w:sz w:val="40"/>
                    </w:rPr>
                    <w:t>INDOOR AIR QUALITY</w:t>
                  </w:r>
                </w:p>
                <w:p w14:paraId="1A7C3F16" w14:textId="77777777" w:rsidR="00315A9E" w:rsidRPr="00705149" w:rsidRDefault="00315A9E" w:rsidP="00705149">
                  <w:pPr>
                    <w:jc w:val="center"/>
                    <w:rPr>
                      <w:b/>
                      <w:sz w:val="40"/>
                    </w:rPr>
                  </w:pPr>
                  <w:r w:rsidRPr="00705149">
                    <w:rPr>
                      <w:b/>
                      <w:sz w:val="40"/>
                    </w:rPr>
                    <w:t>PRE-</w:t>
                  </w:r>
                  <w:r>
                    <w:rPr>
                      <w:b/>
                      <w:sz w:val="40"/>
                    </w:rPr>
                    <w:t>OCCUPANCY</w:t>
                  </w:r>
                  <w:r w:rsidRPr="00705149">
                    <w:rPr>
                      <w:b/>
                      <w:sz w:val="40"/>
                    </w:rPr>
                    <w:t xml:space="preserve"> ASSESSMENT</w:t>
                  </w:r>
                </w:p>
                <w:p w14:paraId="2B8CF427" w14:textId="77777777" w:rsidR="00315A9E" w:rsidRPr="00705149" w:rsidRDefault="00315A9E" w:rsidP="00705149">
                  <w:pPr>
                    <w:jc w:val="center"/>
                    <w:rPr>
                      <w:b/>
                    </w:rPr>
                  </w:pPr>
                </w:p>
                <w:p w14:paraId="597F48BE" w14:textId="77777777" w:rsidR="00315A9E" w:rsidRPr="00705149" w:rsidRDefault="00315A9E" w:rsidP="00705149">
                  <w:pPr>
                    <w:jc w:val="center"/>
                    <w:rPr>
                      <w:b/>
                    </w:rPr>
                  </w:pPr>
                </w:p>
                <w:p w14:paraId="0316934B" w14:textId="77777777" w:rsidR="00315A9E" w:rsidRPr="00DC5C07" w:rsidRDefault="00315A9E" w:rsidP="00ED79BC">
                  <w:pPr>
                    <w:jc w:val="center"/>
                    <w:rPr>
                      <w:b/>
                      <w:bCs/>
                      <w:sz w:val="28"/>
                      <w:szCs w:val="28"/>
                    </w:rPr>
                  </w:pPr>
                  <w:r w:rsidRPr="00DC5C07">
                    <w:rPr>
                      <w:b/>
                      <w:bCs/>
                      <w:sz w:val="28"/>
                      <w:szCs w:val="28"/>
                    </w:rPr>
                    <w:t>Division of Administrative Law Appeals</w:t>
                  </w:r>
                </w:p>
                <w:p w14:paraId="141D57CD" w14:textId="77777777" w:rsidR="00315A9E" w:rsidRPr="00DC5C07" w:rsidRDefault="00315A9E" w:rsidP="00ED79BC">
                  <w:pPr>
                    <w:jc w:val="center"/>
                    <w:rPr>
                      <w:b/>
                      <w:bCs/>
                      <w:sz w:val="28"/>
                      <w:szCs w:val="28"/>
                    </w:rPr>
                  </w:pPr>
                  <w:r w:rsidRPr="00DC5C07">
                    <w:rPr>
                      <w:b/>
                      <w:bCs/>
                      <w:sz w:val="28"/>
                      <w:szCs w:val="28"/>
                    </w:rPr>
                    <w:t>14 Summer Street</w:t>
                  </w:r>
                </w:p>
                <w:p w14:paraId="44BE05C0" w14:textId="77777777" w:rsidR="00315A9E" w:rsidRDefault="00315A9E" w:rsidP="00ED79BC">
                  <w:pPr>
                    <w:jc w:val="center"/>
                    <w:rPr>
                      <w:b/>
                      <w:bCs/>
                    </w:rPr>
                  </w:pPr>
                  <w:r w:rsidRPr="00DC5C07">
                    <w:rPr>
                      <w:b/>
                      <w:bCs/>
                      <w:sz w:val="28"/>
                      <w:szCs w:val="28"/>
                    </w:rPr>
                    <w:t>Malden, MA</w:t>
                  </w:r>
                </w:p>
                <w:p w14:paraId="48EF8305" w14:textId="77777777" w:rsidR="00315A9E" w:rsidRDefault="00315A9E" w:rsidP="00705149">
                  <w:pPr>
                    <w:jc w:val="center"/>
                    <w:rPr>
                      <w:b/>
                      <w:bCs/>
                    </w:rPr>
                  </w:pPr>
                </w:p>
                <w:p w14:paraId="278242B7" w14:textId="77777777" w:rsidR="00315A9E" w:rsidRPr="00705149" w:rsidRDefault="00315A9E" w:rsidP="00705149">
                  <w:pPr>
                    <w:jc w:val="center"/>
                    <w:rPr>
                      <w:b/>
                    </w:rPr>
                  </w:pPr>
                </w:p>
                <w:p w14:paraId="4B462F89" w14:textId="77777777" w:rsidR="00315A9E" w:rsidRPr="00B057CE" w:rsidRDefault="00315A9E" w:rsidP="00705149">
                  <w:pPr>
                    <w:jc w:val="center"/>
                  </w:pPr>
                </w:p>
                <w:p w14:paraId="5E9A786E" w14:textId="77777777" w:rsidR="00315A9E" w:rsidRDefault="00315A9E" w:rsidP="00705149">
                  <w:pPr>
                    <w:jc w:val="center"/>
                    <w:rPr>
                      <w:b/>
                    </w:rPr>
                  </w:pPr>
                </w:p>
                <w:p w14:paraId="670AEFBF" w14:textId="77777777" w:rsidR="00315A9E" w:rsidRDefault="00C45123" w:rsidP="00705149">
                  <w:pPr>
                    <w:jc w:val="center"/>
                    <w:rPr>
                      <w:b/>
                    </w:rPr>
                  </w:pPr>
                  <w:r>
                    <w:pict w14:anchorId="609DD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xterior view of 14 Summer St. Malden,MA" style="width:345.5pt;height:259pt">
                        <v:imagedata r:id="rId18" o:title="IMG_8688"/>
                      </v:shape>
                    </w:pict>
                  </w:r>
                </w:p>
                <w:p w14:paraId="299C5FC9" w14:textId="77777777" w:rsidR="00315A9E" w:rsidRDefault="00315A9E" w:rsidP="00705149">
                  <w:pPr>
                    <w:jc w:val="center"/>
                  </w:pPr>
                </w:p>
                <w:p w14:paraId="6F135CFC" w14:textId="77777777" w:rsidR="00315A9E" w:rsidRDefault="00315A9E" w:rsidP="00705149">
                  <w:pPr>
                    <w:jc w:val="center"/>
                  </w:pPr>
                </w:p>
                <w:p w14:paraId="54E32DE0" w14:textId="77777777" w:rsidR="00315A9E" w:rsidRDefault="00315A9E" w:rsidP="00705149">
                  <w:pPr>
                    <w:jc w:val="center"/>
                  </w:pPr>
                </w:p>
                <w:p w14:paraId="2A63CDCE" w14:textId="77777777" w:rsidR="00315A9E" w:rsidRDefault="00315A9E" w:rsidP="00705149">
                  <w:pPr>
                    <w:jc w:val="center"/>
                  </w:pPr>
                </w:p>
                <w:p w14:paraId="51DB3319" w14:textId="77777777" w:rsidR="00315A9E" w:rsidRPr="00705149" w:rsidRDefault="00315A9E" w:rsidP="00705149">
                  <w:pPr>
                    <w:jc w:val="center"/>
                  </w:pPr>
                </w:p>
                <w:p w14:paraId="61442910" w14:textId="77777777" w:rsidR="00315A9E" w:rsidRPr="00705149" w:rsidRDefault="00315A9E" w:rsidP="00705149">
                  <w:pPr>
                    <w:jc w:val="center"/>
                  </w:pPr>
                  <w:r w:rsidRPr="00705149">
                    <w:t>Prepared by:</w:t>
                  </w:r>
                </w:p>
                <w:p w14:paraId="0EE822A2" w14:textId="77777777" w:rsidR="00315A9E" w:rsidRPr="00705149" w:rsidRDefault="00315A9E" w:rsidP="00705149">
                  <w:pPr>
                    <w:jc w:val="center"/>
                  </w:pPr>
                  <w:r w:rsidRPr="00705149">
                    <w:t>Massachusetts Department of Public Health</w:t>
                  </w:r>
                </w:p>
                <w:p w14:paraId="7A854FD4" w14:textId="77777777" w:rsidR="00315A9E" w:rsidRPr="00705149" w:rsidRDefault="00315A9E" w:rsidP="00705149">
                  <w:pPr>
                    <w:jc w:val="center"/>
                  </w:pPr>
                  <w:r w:rsidRPr="00705149">
                    <w:t>Bureau of Environmental Health</w:t>
                  </w:r>
                </w:p>
                <w:p w14:paraId="675473F2" w14:textId="77777777" w:rsidR="00315A9E" w:rsidRPr="00705149" w:rsidRDefault="00315A9E" w:rsidP="00705149">
                  <w:pPr>
                    <w:jc w:val="center"/>
                  </w:pPr>
                  <w:r w:rsidRPr="00705149">
                    <w:t>Indoor Air Quality Program</w:t>
                  </w:r>
                </w:p>
                <w:p w14:paraId="2DF0F58A" w14:textId="77777777" w:rsidR="00315A9E" w:rsidRPr="00705149" w:rsidRDefault="00315A9E" w:rsidP="00705149">
                  <w:pPr>
                    <w:jc w:val="center"/>
                  </w:pPr>
                  <w:r>
                    <w:t>January 2019</w:t>
                  </w:r>
                </w:p>
              </w:txbxContent>
            </v:textbox>
            <w10:wrap type="topAndBottom" anchorx="page" anchory="page"/>
          </v:shape>
        </w:pict>
      </w:r>
      <w:r w:rsidR="00315A9E" w:rsidRPr="009B41B1">
        <w:br w:type="page"/>
      </w:r>
      <w:r w:rsidR="00315A9E" w:rsidRPr="009B41B1">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315A9E" w:rsidRPr="000730C4" w14:paraId="230602BA" w14:textId="77777777" w:rsidTr="000730C4">
        <w:tc>
          <w:tcPr>
            <w:tcW w:w="4680" w:type="dxa"/>
            <w:shd w:val="clear" w:color="auto" w:fill="auto"/>
            <w:vAlign w:val="center"/>
          </w:tcPr>
          <w:p w14:paraId="6871A8CA" w14:textId="77777777" w:rsidR="00315A9E" w:rsidRPr="0004785C" w:rsidRDefault="00315A9E" w:rsidP="00333D48">
            <w:pPr>
              <w:pStyle w:val="BackgroundTable"/>
            </w:pPr>
            <w:r w:rsidRPr="0004785C">
              <w:t>Building:</w:t>
            </w:r>
          </w:p>
        </w:tc>
        <w:tc>
          <w:tcPr>
            <w:tcW w:w="5058" w:type="dxa"/>
            <w:shd w:val="clear" w:color="auto" w:fill="auto"/>
            <w:vAlign w:val="center"/>
          </w:tcPr>
          <w:p w14:paraId="6B6529EB" w14:textId="77777777" w:rsidR="00315A9E" w:rsidRPr="000730C4" w:rsidRDefault="00315A9E" w:rsidP="00BE122E">
            <w:pPr>
              <w:pStyle w:val="BackgroundInfo"/>
              <w:rPr>
                <w:bCs/>
                <w:szCs w:val="24"/>
              </w:rPr>
            </w:pPr>
            <w:r>
              <w:rPr>
                <w:bCs/>
                <w:szCs w:val="24"/>
              </w:rPr>
              <w:t xml:space="preserve">Division of </w:t>
            </w:r>
            <w:r w:rsidRPr="002E5AE1">
              <w:rPr>
                <w:bCs/>
                <w:szCs w:val="24"/>
              </w:rPr>
              <w:t>Administrative Law Appeals</w:t>
            </w:r>
            <w:r>
              <w:rPr>
                <w:bCs/>
                <w:szCs w:val="24"/>
              </w:rPr>
              <w:t xml:space="preserve"> (ALA)</w:t>
            </w:r>
          </w:p>
        </w:tc>
      </w:tr>
      <w:tr w:rsidR="00315A9E" w:rsidRPr="000730C4" w14:paraId="277C604D" w14:textId="77777777" w:rsidTr="000730C4">
        <w:tc>
          <w:tcPr>
            <w:tcW w:w="4680" w:type="dxa"/>
            <w:shd w:val="clear" w:color="auto" w:fill="auto"/>
            <w:vAlign w:val="center"/>
          </w:tcPr>
          <w:p w14:paraId="38A351D8" w14:textId="77777777" w:rsidR="00315A9E" w:rsidRPr="0004785C" w:rsidRDefault="00315A9E" w:rsidP="00333D48">
            <w:pPr>
              <w:pStyle w:val="BackgroundTable"/>
            </w:pPr>
            <w:r w:rsidRPr="0004785C">
              <w:t>Address:</w:t>
            </w:r>
          </w:p>
        </w:tc>
        <w:tc>
          <w:tcPr>
            <w:tcW w:w="5058" w:type="dxa"/>
            <w:shd w:val="clear" w:color="auto" w:fill="auto"/>
            <w:vAlign w:val="center"/>
          </w:tcPr>
          <w:p w14:paraId="6C878EC1" w14:textId="77777777" w:rsidR="00315A9E" w:rsidRPr="00BA4F4F" w:rsidRDefault="00315A9E" w:rsidP="002E5AE1">
            <w:pPr>
              <w:pStyle w:val="BackgroundInfo"/>
              <w:rPr>
                <w:bCs/>
                <w:szCs w:val="24"/>
              </w:rPr>
            </w:pPr>
            <w:r>
              <w:rPr>
                <w:bCs/>
                <w:szCs w:val="24"/>
              </w:rPr>
              <w:t>14 Summer Street, floors 2 and 4, Malden, MA</w:t>
            </w:r>
          </w:p>
        </w:tc>
      </w:tr>
      <w:tr w:rsidR="00315A9E" w:rsidRPr="000730C4" w14:paraId="4217A882" w14:textId="77777777" w:rsidTr="000730C4">
        <w:tc>
          <w:tcPr>
            <w:tcW w:w="4680" w:type="dxa"/>
            <w:shd w:val="clear" w:color="auto" w:fill="auto"/>
            <w:vAlign w:val="center"/>
          </w:tcPr>
          <w:p w14:paraId="698729E2" w14:textId="77777777" w:rsidR="00315A9E" w:rsidRPr="0004785C" w:rsidRDefault="00315A9E" w:rsidP="00333D48">
            <w:pPr>
              <w:pStyle w:val="BackgroundTable"/>
            </w:pPr>
            <w:r w:rsidRPr="0004785C">
              <w:t>D</w:t>
            </w:r>
            <w:r>
              <w:t xml:space="preserve">ivision of </w:t>
            </w:r>
            <w:r w:rsidRPr="0004785C">
              <w:t>C</w:t>
            </w:r>
            <w:r>
              <w:t xml:space="preserve">apital </w:t>
            </w:r>
            <w:r w:rsidRPr="0004785C">
              <w:t>A</w:t>
            </w:r>
            <w:r>
              <w:t xml:space="preserve">sset </w:t>
            </w:r>
            <w:r w:rsidRPr="0004785C">
              <w:t>M</w:t>
            </w:r>
            <w:r>
              <w:t>anagement and Maintenance (DCAMM)</w:t>
            </w:r>
            <w:r w:rsidRPr="0004785C">
              <w:t xml:space="preserve"> Project Manager:</w:t>
            </w:r>
          </w:p>
        </w:tc>
        <w:tc>
          <w:tcPr>
            <w:tcW w:w="5058" w:type="dxa"/>
            <w:shd w:val="clear" w:color="auto" w:fill="auto"/>
            <w:vAlign w:val="center"/>
          </w:tcPr>
          <w:p w14:paraId="015EC0FC" w14:textId="77777777" w:rsidR="00315A9E" w:rsidRDefault="00315A9E" w:rsidP="002E5AE1">
            <w:pPr>
              <w:pStyle w:val="BackgroundInfo"/>
            </w:pPr>
            <w:r>
              <w:t>Lorna J. Moritz, Project Manager,</w:t>
            </w:r>
          </w:p>
          <w:p w14:paraId="2B1E3D05" w14:textId="77777777" w:rsidR="00315A9E" w:rsidRPr="00CB2C25" w:rsidRDefault="00315A9E" w:rsidP="002E5AE1">
            <w:pPr>
              <w:pStyle w:val="BackgroundInfo"/>
            </w:pPr>
            <w:r>
              <w:t>Division of Capital Asset Management &amp; Maintenance</w:t>
            </w:r>
          </w:p>
        </w:tc>
      </w:tr>
      <w:tr w:rsidR="00315A9E" w:rsidRPr="000730C4" w14:paraId="215FE045" w14:textId="77777777" w:rsidTr="000730C4">
        <w:tc>
          <w:tcPr>
            <w:tcW w:w="4680" w:type="dxa"/>
            <w:shd w:val="clear" w:color="auto" w:fill="auto"/>
            <w:vAlign w:val="center"/>
          </w:tcPr>
          <w:p w14:paraId="20A85157" w14:textId="77777777" w:rsidR="00315A9E" w:rsidRPr="0004785C" w:rsidRDefault="00315A9E" w:rsidP="00333D48">
            <w:pPr>
              <w:pStyle w:val="BackgroundTable"/>
            </w:pPr>
            <w:r w:rsidRPr="0004785C">
              <w:t>Date of Pre-Occupancy Assessment:</w:t>
            </w:r>
          </w:p>
        </w:tc>
        <w:tc>
          <w:tcPr>
            <w:tcW w:w="5058" w:type="dxa"/>
            <w:shd w:val="clear" w:color="auto" w:fill="auto"/>
            <w:vAlign w:val="center"/>
          </w:tcPr>
          <w:p w14:paraId="74454B1F" w14:textId="77777777" w:rsidR="00315A9E" w:rsidRPr="0004785C" w:rsidRDefault="00315A9E" w:rsidP="00333D48">
            <w:pPr>
              <w:pStyle w:val="BackgroundInfo"/>
            </w:pPr>
            <w:r>
              <w:t>January 11, 2019</w:t>
            </w:r>
          </w:p>
        </w:tc>
      </w:tr>
      <w:tr w:rsidR="00315A9E" w:rsidRPr="000730C4" w14:paraId="7F33889B" w14:textId="77777777" w:rsidTr="00E01FBA">
        <w:trPr>
          <w:trHeight w:val="1082"/>
        </w:trPr>
        <w:tc>
          <w:tcPr>
            <w:tcW w:w="4680" w:type="dxa"/>
            <w:shd w:val="clear" w:color="auto" w:fill="auto"/>
          </w:tcPr>
          <w:p w14:paraId="762B8237" w14:textId="77777777" w:rsidR="00315A9E" w:rsidRPr="005E3E95" w:rsidRDefault="00315A9E" w:rsidP="0059051A">
            <w:pPr>
              <w:pStyle w:val="BackgroundTable"/>
              <w:rPr>
                <w:bCs w:val="0"/>
              </w:rPr>
            </w:pPr>
            <w:r w:rsidRPr="005E3E95">
              <w:rPr>
                <w:bCs w:val="0"/>
              </w:rPr>
              <w:t xml:space="preserve">Massachusetts Department of Public Health/Bureau of Environmental Health (MDPH/BEH) Staff Conducting </w:t>
            </w:r>
            <w:r>
              <w:rPr>
                <w:bCs w:val="0"/>
              </w:rPr>
              <w:t>A</w:t>
            </w:r>
            <w:r w:rsidRPr="005E3E95">
              <w:rPr>
                <w:bCs w:val="0"/>
              </w:rPr>
              <w:t>ssessment:</w:t>
            </w:r>
          </w:p>
        </w:tc>
        <w:tc>
          <w:tcPr>
            <w:tcW w:w="5058" w:type="dxa"/>
            <w:shd w:val="clear" w:color="auto" w:fill="auto"/>
          </w:tcPr>
          <w:p w14:paraId="7E2F7F4C" w14:textId="77777777" w:rsidR="00315A9E" w:rsidRPr="005E3E95" w:rsidRDefault="00315A9E" w:rsidP="00DC2546">
            <w:pPr>
              <w:pStyle w:val="BackgroundTable"/>
              <w:rPr>
                <w:b w:val="0"/>
              </w:rPr>
            </w:pPr>
            <w:r>
              <w:rPr>
                <w:b w:val="0"/>
              </w:rPr>
              <w:t>Ruth Alfasso</w:t>
            </w:r>
            <w:r w:rsidRPr="005E3E95">
              <w:rPr>
                <w:b w:val="0"/>
              </w:rPr>
              <w:t xml:space="preserve">, Environmental </w:t>
            </w:r>
            <w:r>
              <w:rPr>
                <w:b w:val="0"/>
              </w:rPr>
              <w:t>Engineer</w:t>
            </w:r>
            <w:r w:rsidRPr="005E3E95">
              <w:rPr>
                <w:b w:val="0"/>
              </w:rPr>
              <w:t>/Inspector, Indoor Air Quality (IAQ) Program</w:t>
            </w:r>
          </w:p>
        </w:tc>
      </w:tr>
      <w:tr w:rsidR="00315A9E" w:rsidRPr="00AB02B6" w14:paraId="4CC2485E" w14:textId="77777777" w:rsidTr="006A63D7">
        <w:trPr>
          <w:trHeight w:val="21"/>
        </w:trPr>
        <w:tc>
          <w:tcPr>
            <w:tcW w:w="9738" w:type="dxa"/>
            <w:gridSpan w:val="2"/>
            <w:shd w:val="clear" w:color="auto" w:fill="auto"/>
            <w:vAlign w:val="center"/>
          </w:tcPr>
          <w:p w14:paraId="770CA834" w14:textId="77777777" w:rsidR="00315A9E" w:rsidRDefault="00315A9E" w:rsidP="00C3385E">
            <w:pPr>
              <w:pStyle w:val="BackgroundTable"/>
              <w:spacing w:line="360" w:lineRule="auto"/>
            </w:pPr>
          </w:p>
          <w:p w14:paraId="3B9DC382" w14:textId="77777777" w:rsidR="00315A9E" w:rsidRPr="00AB02B6" w:rsidRDefault="00315A9E" w:rsidP="00C3385E">
            <w:pPr>
              <w:pStyle w:val="BackgroundTable"/>
              <w:spacing w:line="360" w:lineRule="auto"/>
            </w:pPr>
            <w:r w:rsidRPr="00AB02B6">
              <w:t>Building/Ventilation:</w:t>
            </w:r>
          </w:p>
          <w:p w14:paraId="2E622C5E" w14:textId="77777777" w:rsidR="00315A9E" w:rsidRDefault="00315A9E" w:rsidP="00C3385E">
            <w:pPr>
              <w:pStyle w:val="BodyText"/>
              <w:spacing w:line="360" w:lineRule="auto"/>
            </w:pPr>
            <w:r w:rsidRPr="00AB02B6">
              <w:t xml:space="preserve">This office </w:t>
            </w:r>
            <w:r>
              <w:t>will be occupying portions of</w:t>
            </w:r>
            <w:r w:rsidRPr="00AB02B6">
              <w:t xml:space="preserve"> </w:t>
            </w:r>
            <w:r w:rsidRPr="00ED79BC">
              <w:t xml:space="preserve">the second and fourth floor of </w:t>
            </w:r>
            <w:r>
              <w:t xml:space="preserve">a </w:t>
            </w:r>
            <w:r w:rsidRPr="00ED79BC">
              <w:t>multi-story mixed use commercial/residential building originally constructed in the 1980s. The building has a brick façade and a flat roof. It is located in downtown Malden near the Malden Center Orange Line station. Other office tenants occupy spaces in this</w:t>
            </w:r>
            <w:r>
              <w:t xml:space="preserve"> building which also contains residential apartments. There is</w:t>
            </w:r>
            <w:r w:rsidRPr="00ED79BC">
              <w:t xml:space="preserve"> a parking garage </w:t>
            </w:r>
            <w:r>
              <w:t>behind/</w:t>
            </w:r>
            <w:r w:rsidRPr="00ED79BC">
              <w:t>below</w:t>
            </w:r>
            <w:r>
              <w:t xml:space="preserve"> the building</w:t>
            </w:r>
            <w:r w:rsidRPr="00ED79BC">
              <w:t>.</w:t>
            </w:r>
            <w:r>
              <w:t xml:space="preserve"> </w:t>
            </w:r>
          </w:p>
          <w:p w14:paraId="074CD956" w14:textId="77777777" w:rsidR="00315A9E" w:rsidRDefault="00315A9E" w:rsidP="00C3385E">
            <w:pPr>
              <w:pStyle w:val="BodyText"/>
              <w:spacing w:line="360" w:lineRule="auto"/>
            </w:pPr>
            <w:r w:rsidRPr="00ED79BC">
              <w:t xml:space="preserve">The spaces were vacant for approximately two years prior to this tenancy. A full gut renovation was conducted prior to the ALA tenancy including heating, </w:t>
            </w:r>
            <w:proofErr w:type="gramStart"/>
            <w:r w:rsidRPr="00ED79BC">
              <w:t>ventilation</w:t>
            </w:r>
            <w:proofErr w:type="gramEnd"/>
            <w:r w:rsidRPr="00ED79BC">
              <w:t xml:space="preserve"> and air conditioning systems (HVAC). The space assessed is approximately 8,700 square feet on the two floors and approximately 50 employees will occupy the space.</w:t>
            </w:r>
          </w:p>
          <w:p w14:paraId="2A3A5AC9" w14:textId="77777777" w:rsidR="00315A9E" w:rsidRDefault="00315A9E" w:rsidP="00631CD4">
            <w:pPr>
              <w:pStyle w:val="BodyText"/>
              <w:spacing w:line="360" w:lineRule="auto"/>
            </w:pPr>
            <w:r w:rsidRPr="00ED79BC">
              <w:t>Fresh air is supplied by an air handling unit (AHU) located on the roof. The building uses ducted supply vents and a plenum return system. The HVAC system was balanced prior to this IAQ assessment.</w:t>
            </w:r>
          </w:p>
          <w:p w14:paraId="1BB9A0BF" w14:textId="77777777" w:rsidR="00315A9E" w:rsidRPr="00AB02B6" w:rsidRDefault="00315A9E" w:rsidP="006C2181">
            <w:pPr>
              <w:pStyle w:val="Heading2"/>
              <w:spacing w:line="360" w:lineRule="auto"/>
              <w:ind w:left="0"/>
            </w:pPr>
            <w:r w:rsidRPr="00AB02B6">
              <w:t>Previous Relevant Environmental History:</w:t>
            </w:r>
          </w:p>
          <w:p w14:paraId="3B587D0E" w14:textId="77777777" w:rsidR="00315A9E" w:rsidRPr="00AB02B6" w:rsidRDefault="00315A9E" w:rsidP="00896017">
            <w:pPr>
              <w:pStyle w:val="BodyText"/>
              <w:spacing w:line="360" w:lineRule="auto"/>
            </w:pPr>
            <w:r w:rsidRPr="00AB02B6">
              <w:t>No current/active Massachusetts Contingency Plan projects for this building or property were found in the Massachusetts Department of Environmental Protection database.</w:t>
            </w:r>
          </w:p>
        </w:tc>
      </w:tr>
    </w:tbl>
    <w:p w14:paraId="545F2686" w14:textId="77777777" w:rsidR="00315A9E" w:rsidRPr="00631CD4" w:rsidRDefault="00315A9E" w:rsidP="00631CD4">
      <w:pPr>
        <w:pStyle w:val="Heading1"/>
      </w:pPr>
      <w:r w:rsidRPr="00631CD4">
        <w:lastRenderedPageBreak/>
        <w:t>Methods</w:t>
      </w:r>
    </w:p>
    <w:p w14:paraId="6155BD7E" w14:textId="77777777" w:rsidR="00315A9E" w:rsidRPr="00AB02B6" w:rsidRDefault="00315A9E" w:rsidP="00C3385E">
      <w:pPr>
        <w:pStyle w:val="BodyText"/>
        <w:spacing w:line="360" w:lineRule="auto"/>
      </w:pPr>
      <w:r w:rsidRPr="00AB02B6">
        <w:t>Air tests for carbon monoxide, temperature and relative humidity were taken with the TSI, Q-Trak, IAQ Monitor 7565. Air tests for airborne particle matter with a diameter less than 2.5 micrometers were taken with the TSI, DUSTTRAK</w:t>
      </w:r>
      <w:r>
        <w:t xml:space="preserve"> II</w:t>
      </w:r>
      <w:r w:rsidRPr="00AB02B6">
        <w:t xml:space="preserve"> Aerosol Monitor Model </w:t>
      </w:r>
      <w:r>
        <w:t>8532</w:t>
      </w:r>
      <w:r w:rsidRPr="00AB02B6">
        <w:t xml:space="preserve">. Screening for volatile organic compounds (VOCs) was conducted using a </w:t>
      </w:r>
      <w:proofErr w:type="spellStart"/>
      <w:r w:rsidRPr="00AB02B6">
        <w:t>MiniRAE</w:t>
      </w:r>
      <w:proofErr w:type="spellEnd"/>
      <w:r w:rsidRPr="00AB02B6">
        <w:t xml:space="preserve"> </w:t>
      </w:r>
      <w:r>
        <w:t>Lite</w:t>
      </w:r>
      <w:r w:rsidRPr="00AB02B6">
        <w:t xml:space="preserve"> Photo Ionization Detector. BEH/IAQ staff also performed </w:t>
      </w:r>
      <w:r>
        <w:t xml:space="preserve">a </w:t>
      </w:r>
      <w:r w:rsidRPr="00AB02B6">
        <w:t>visual inspection of building materials for water damage and/or microbial growth and examined the space for the presence of odors or other environmental concerns.</w:t>
      </w:r>
    </w:p>
    <w:p w14:paraId="31536A4F" w14:textId="77777777" w:rsidR="00315A9E" w:rsidRPr="00AB02B6" w:rsidRDefault="00315A9E" w:rsidP="006C2181">
      <w:pPr>
        <w:pStyle w:val="Heading2"/>
        <w:spacing w:line="360" w:lineRule="auto"/>
        <w:ind w:left="0"/>
      </w:pPr>
      <w:r w:rsidRPr="00AB02B6">
        <w:t>Air Testing Results</w:t>
      </w:r>
    </w:p>
    <w:tbl>
      <w:tblPr>
        <w:tblW w:w="1071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1E0" w:firstRow="1" w:lastRow="1" w:firstColumn="1" w:lastColumn="1" w:noHBand="0" w:noVBand="0"/>
      </w:tblPr>
      <w:tblGrid>
        <w:gridCol w:w="1890"/>
        <w:gridCol w:w="990"/>
        <w:gridCol w:w="1620"/>
        <w:gridCol w:w="1170"/>
        <w:gridCol w:w="900"/>
        <w:gridCol w:w="450"/>
        <w:gridCol w:w="1440"/>
        <w:gridCol w:w="2160"/>
        <w:gridCol w:w="90"/>
      </w:tblGrid>
      <w:tr w:rsidR="00315A9E" w:rsidRPr="00AB02B6" w14:paraId="2C294388" w14:textId="77777777" w:rsidTr="006A13BA">
        <w:trPr>
          <w:cantSplit/>
          <w:trHeight w:val="118"/>
          <w:tblHeader/>
        </w:trPr>
        <w:tc>
          <w:tcPr>
            <w:tcW w:w="2880" w:type="dxa"/>
            <w:gridSpan w:val="2"/>
            <w:vMerge w:val="restart"/>
            <w:shd w:val="clear" w:color="auto" w:fill="CCCCCC"/>
            <w:vAlign w:val="center"/>
          </w:tcPr>
          <w:p w14:paraId="682222E0" w14:textId="77777777" w:rsidR="00315A9E" w:rsidRPr="00AB02B6" w:rsidRDefault="00315A9E" w:rsidP="00B101C8">
            <w:pPr>
              <w:jc w:val="center"/>
              <w:rPr>
                <w:b/>
                <w:sz w:val="20"/>
              </w:rPr>
            </w:pPr>
            <w:r w:rsidRPr="00AB02B6">
              <w:rPr>
                <w:b/>
                <w:sz w:val="20"/>
              </w:rPr>
              <w:t>Media sampled</w:t>
            </w:r>
          </w:p>
        </w:tc>
        <w:tc>
          <w:tcPr>
            <w:tcW w:w="2790" w:type="dxa"/>
            <w:gridSpan w:val="2"/>
            <w:vMerge w:val="restart"/>
            <w:shd w:val="clear" w:color="auto" w:fill="CCCCCC"/>
            <w:vAlign w:val="center"/>
          </w:tcPr>
          <w:p w14:paraId="00A0E4D7" w14:textId="77777777" w:rsidR="00315A9E" w:rsidRPr="00AB02B6" w:rsidRDefault="00315A9E" w:rsidP="00B101C8">
            <w:pPr>
              <w:jc w:val="center"/>
              <w:rPr>
                <w:b/>
                <w:sz w:val="20"/>
              </w:rPr>
            </w:pPr>
            <w:r w:rsidRPr="00AB02B6">
              <w:rPr>
                <w:b/>
                <w:sz w:val="20"/>
              </w:rPr>
              <w:t>MDPH Guideline/</w:t>
            </w:r>
          </w:p>
          <w:p w14:paraId="3777AA14" w14:textId="77777777" w:rsidR="00315A9E" w:rsidRPr="00AB02B6" w:rsidRDefault="00315A9E" w:rsidP="00B101C8">
            <w:pPr>
              <w:jc w:val="center"/>
              <w:rPr>
                <w:b/>
                <w:sz w:val="20"/>
              </w:rPr>
            </w:pPr>
            <w:r w:rsidRPr="00AB02B6">
              <w:rPr>
                <w:b/>
                <w:sz w:val="20"/>
              </w:rPr>
              <w:t>Comparison Value</w:t>
            </w:r>
          </w:p>
        </w:tc>
        <w:tc>
          <w:tcPr>
            <w:tcW w:w="2790" w:type="dxa"/>
            <w:gridSpan w:val="3"/>
            <w:shd w:val="clear" w:color="auto" w:fill="CCCCCC"/>
            <w:vAlign w:val="center"/>
          </w:tcPr>
          <w:p w14:paraId="04C48DEC" w14:textId="77777777" w:rsidR="00315A9E" w:rsidRPr="00AB02B6" w:rsidRDefault="00315A9E" w:rsidP="00B101C8">
            <w:pPr>
              <w:jc w:val="center"/>
              <w:rPr>
                <w:b/>
                <w:bCs/>
                <w:sz w:val="20"/>
              </w:rPr>
            </w:pPr>
            <w:r w:rsidRPr="00AB02B6">
              <w:rPr>
                <w:b/>
                <w:bCs/>
                <w:sz w:val="20"/>
              </w:rPr>
              <w:t>Measured Range</w:t>
            </w:r>
          </w:p>
        </w:tc>
        <w:tc>
          <w:tcPr>
            <w:tcW w:w="2250" w:type="dxa"/>
            <w:gridSpan w:val="2"/>
            <w:vMerge w:val="restart"/>
            <w:shd w:val="clear" w:color="auto" w:fill="CCCCCC"/>
            <w:vAlign w:val="center"/>
          </w:tcPr>
          <w:p w14:paraId="03854EB6" w14:textId="77777777" w:rsidR="00315A9E" w:rsidRPr="00AB02B6" w:rsidRDefault="00315A9E" w:rsidP="00B101C8">
            <w:pPr>
              <w:jc w:val="center"/>
              <w:rPr>
                <w:b/>
                <w:bCs/>
                <w:sz w:val="20"/>
              </w:rPr>
            </w:pPr>
            <w:r w:rsidRPr="00AB02B6">
              <w:rPr>
                <w:b/>
                <w:bCs/>
                <w:sz w:val="20"/>
              </w:rPr>
              <w:t>Comments</w:t>
            </w:r>
          </w:p>
        </w:tc>
      </w:tr>
      <w:tr w:rsidR="00315A9E" w:rsidRPr="00AB02B6" w14:paraId="6678D8B0" w14:textId="77777777" w:rsidTr="006A13BA">
        <w:trPr>
          <w:cantSplit/>
          <w:trHeight w:val="577"/>
          <w:tblHeader/>
        </w:trPr>
        <w:tc>
          <w:tcPr>
            <w:tcW w:w="2880" w:type="dxa"/>
            <w:gridSpan w:val="2"/>
            <w:vMerge/>
            <w:shd w:val="clear" w:color="auto" w:fill="CCCCCC"/>
            <w:vAlign w:val="center"/>
          </w:tcPr>
          <w:p w14:paraId="461080B6" w14:textId="77777777" w:rsidR="00315A9E" w:rsidRPr="00AB02B6" w:rsidRDefault="00315A9E" w:rsidP="00B101C8">
            <w:pPr>
              <w:jc w:val="center"/>
              <w:rPr>
                <w:b/>
                <w:sz w:val="20"/>
              </w:rPr>
            </w:pPr>
          </w:p>
        </w:tc>
        <w:tc>
          <w:tcPr>
            <w:tcW w:w="2790" w:type="dxa"/>
            <w:gridSpan w:val="2"/>
            <w:vMerge/>
            <w:shd w:val="clear" w:color="auto" w:fill="CCCCCC"/>
            <w:vAlign w:val="center"/>
          </w:tcPr>
          <w:p w14:paraId="0226AAD3" w14:textId="77777777" w:rsidR="00315A9E" w:rsidRPr="00AB02B6" w:rsidRDefault="00315A9E" w:rsidP="00B101C8">
            <w:pPr>
              <w:jc w:val="center"/>
              <w:rPr>
                <w:b/>
                <w:sz w:val="20"/>
              </w:rPr>
            </w:pPr>
          </w:p>
        </w:tc>
        <w:tc>
          <w:tcPr>
            <w:tcW w:w="1350" w:type="dxa"/>
            <w:gridSpan w:val="2"/>
            <w:shd w:val="clear" w:color="auto" w:fill="CCCCCC"/>
            <w:vAlign w:val="center"/>
          </w:tcPr>
          <w:p w14:paraId="207418ED" w14:textId="77777777" w:rsidR="00315A9E" w:rsidRPr="00AB02B6" w:rsidRDefault="00315A9E" w:rsidP="00B101C8">
            <w:pPr>
              <w:jc w:val="center"/>
              <w:rPr>
                <w:b/>
                <w:bCs/>
                <w:sz w:val="20"/>
              </w:rPr>
            </w:pPr>
            <w:r w:rsidRPr="00AB02B6">
              <w:rPr>
                <w:b/>
                <w:bCs/>
                <w:sz w:val="20"/>
              </w:rPr>
              <w:t>Outdoors/</w:t>
            </w:r>
          </w:p>
          <w:p w14:paraId="20ECFF63" w14:textId="77777777" w:rsidR="00315A9E" w:rsidRPr="00AB02B6" w:rsidRDefault="00315A9E" w:rsidP="00B101C8">
            <w:pPr>
              <w:jc w:val="center"/>
              <w:rPr>
                <w:b/>
                <w:bCs/>
                <w:sz w:val="20"/>
              </w:rPr>
            </w:pPr>
            <w:r w:rsidRPr="00AB02B6">
              <w:rPr>
                <w:b/>
                <w:bCs/>
                <w:sz w:val="20"/>
              </w:rPr>
              <w:t>Background</w:t>
            </w:r>
          </w:p>
        </w:tc>
        <w:tc>
          <w:tcPr>
            <w:tcW w:w="1440" w:type="dxa"/>
            <w:shd w:val="clear" w:color="auto" w:fill="CCCCCC"/>
            <w:vAlign w:val="center"/>
          </w:tcPr>
          <w:p w14:paraId="3F0E47CA" w14:textId="77777777" w:rsidR="00315A9E" w:rsidRPr="00AB02B6" w:rsidRDefault="00315A9E" w:rsidP="00B101C8">
            <w:pPr>
              <w:jc w:val="center"/>
              <w:rPr>
                <w:b/>
                <w:bCs/>
                <w:sz w:val="20"/>
              </w:rPr>
            </w:pPr>
            <w:r w:rsidRPr="00AB02B6">
              <w:rPr>
                <w:b/>
                <w:bCs/>
                <w:sz w:val="20"/>
              </w:rPr>
              <w:t>Indoors</w:t>
            </w:r>
          </w:p>
        </w:tc>
        <w:tc>
          <w:tcPr>
            <w:tcW w:w="2250" w:type="dxa"/>
            <w:gridSpan w:val="2"/>
            <w:vMerge/>
            <w:shd w:val="clear" w:color="auto" w:fill="CCCCCC"/>
            <w:vAlign w:val="center"/>
          </w:tcPr>
          <w:p w14:paraId="21E4ED85" w14:textId="77777777" w:rsidR="00315A9E" w:rsidRPr="00AB02B6" w:rsidRDefault="00315A9E" w:rsidP="00B101C8">
            <w:pPr>
              <w:jc w:val="center"/>
              <w:rPr>
                <w:b/>
                <w:bCs/>
                <w:sz w:val="20"/>
              </w:rPr>
            </w:pPr>
          </w:p>
        </w:tc>
      </w:tr>
      <w:tr w:rsidR="00315A9E" w:rsidRPr="00AB02B6" w14:paraId="6A30B3C5" w14:textId="77777777" w:rsidTr="005F068D">
        <w:trPr>
          <w:cantSplit/>
        </w:trPr>
        <w:tc>
          <w:tcPr>
            <w:tcW w:w="2880" w:type="dxa"/>
            <w:gridSpan w:val="2"/>
            <w:shd w:val="clear" w:color="auto" w:fill="auto"/>
            <w:vAlign w:val="center"/>
          </w:tcPr>
          <w:p w14:paraId="451DBBD1" w14:textId="77777777" w:rsidR="00315A9E" w:rsidRPr="00AB02B6" w:rsidRDefault="00315A9E" w:rsidP="00C10DCB">
            <w:pPr>
              <w:pStyle w:val="TableTextCentered"/>
            </w:pPr>
            <w:r w:rsidRPr="00AB02B6">
              <w:t>Carbon Dioxide (CO</w:t>
            </w:r>
            <w:r w:rsidRPr="00AB02B6">
              <w:rPr>
                <w:vertAlign w:val="subscript"/>
              </w:rPr>
              <w:t>2</w:t>
            </w:r>
            <w:r w:rsidRPr="00AB02B6">
              <w:t>)</w:t>
            </w:r>
          </w:p>
        </w:tc>
        <w:tc>
          <w:tcPr>
            <w:tcW w:w="2790" w:type="dxa"/>
            <w:gridSpan w:val="2"/>
            <w:shd w:val="clear" w:color="auto" w:fill="auto"/>
            <w:vAlign w:val="center"/>
          </w:tcPr>
          <w:p w14:paraId="20BB1FA3" w14:textId="77777777" w:rsidR="00315A9E" w:rsidRPr="00AB02B6" w:rsidRDefault="00315A9E" w:rsidP="008F628E">
            <w:pPr>
              <w:pStyle w:val="TableTextCentered"/>
            </w:pPr>
            <w:r w:rsidRPr="00AB02B6">
              <w:t>&lt; 800 parts per million (ppm) is preferred</w:t>
            </w:r>
          </w:p>
        </w:tc>
        <w:tc>
          <w:tcPr>
            <w:tcW w:w="1350" w:type="dxa"/>
            <w:gridSpan w:val="2"/>
            <w:shd w:val="clear" w:color="auto" w:fill="auto"/>
            <w:vAlign w:val="center"/>
          </w:tcPr>
          <w:p w14:paraId="45B97A78" w14:textId="77777777" w:rsidR="00315A9E" w:rsidRPr="00AB02B6" w:rsidRDefault="00315A9E" w:rsidP="005F068D">
            <w:pPr>
              <w:pStyle w:val="TableTextCentered"/>
            </w:pPr>
            <w:r>
              <w:t>404</w:t>
            </w:r>
          </w:p>
        </w:tc>
        <w:tc>
          <w:tcPr>
            <w:tcW w:w="1440" w:type="dxa"/>
            <w:shd w:val="clear" w:color="auto" w:fill="auto"/>
            <w:vAlign w:val="center"/>
          </w:tcPr>
          <w:p w14:paraId="779C27A8" w14:textId="77777777" w:rsidR="00315A9E" w:rsidRPr="00AB02B6" w:rsidRDefault="00315A9E" w:rsidP="005F068D">
            <w:pPr>
              <w:pStyle w:val="TableTextCentered"/>
            </w:pPr>
            <w:r>
              <w:t>446 – 785</w:t>
            </w:r>
          </w:p>
        </w:tc>
        <w:tc>
          <w:tcPr>
            <w:tcW w:w="2250" w:type="dxa"/>
            <w:gridSpan w:val="2"/>
            <w:shd w:val="clear" w:color="auto" w:fill="auto"/>
            <w:vAlign w:val="center"/>
          </w:tcPr>
          <w:p w14:paraId="3CAA3E9C" w14:textId="77777777" w:rsidR="00315A9E" w:rsidRPr="00AB02B6" w:rsidRDefault="00315A9E" w:rsidP="00BA01D0">
            <w:pPr>
              <w:pStyle w:val="TableTextCentered"/>
              <w:jc w:val="left"/>
            </w:pPr>
            <w:r>
              <w:t>HVAC system operating in occupied mode</w:t>
            </w:r>
          </w:p>
        </w:tc>
      </w:tr>
      <w:tr w:rsidR="00315A9E" w:rsidRPr="00AB02B6" w14:paraId="5347AAC8" w14:textId="77777777" w:rsidTr="005F068D">
        <w:trPr>
          <w:cantSplit/>
        </w:trPr>
        <w:tc>
          <w:tcPr>
            <w:tcW w:w="2880" w:type="dxa"/>
            <w:gridSpan w:val="2"/>
            <w:shd w:val="clear" w:color="auto" w:fill="auto"/>
            <w:vAlign w:val="center"/>
          </w:tcPr>
          <w:p w14:paraId="696D893F" w14:textId="77777777" w:rsidR="00315A9E" w:rsidRPr="00AB02B6" w:rsidRDefault="00315A9E" w:rsidP="00C10DCB">
            <w:pPr>
              <w:pStyle w:val="TableTextCentered"/>
            </w:pPr>
            <w:r w:rsidRPr="00AB02B6">
              <w:t>Total Volatile Organic Compounds (TVOCs)</w:t>
            </w:r>
          </w:p>
        </w:tc>
        <w:tc>
          <w:tcPr>
            <w:tcW w:w="2790" w:type="dxa"/>
            <w:gridSpan w:val="2"/>
            <w:shd w:val="clear" w:color="auto" w:fill="auto"/>
            <w:vAlign w:val="center"/>
          </w:tcPr>
          <w:p w14:paraId="2A371951" w14:textId="77777777" w:rsidR="00315A9E" w:rsidRPr="00AB02B6" w:rsidRDefault="00315A9E" w:rsidP="008F628E">
            <w:pPr>
              <w:pStyle w:val="TableTextCentered"/>
            </w:pPr>
            <w:r w:rsidRPr="00AB02B6">
              <w:t>Equal to or below background level measured</w:t>
            </w:r>
          </w:p>
        </w:tc>
        <w:tc>
          <w:tcPr>
            <w:tcW w:w="1350" w:type="dxa"/>
            <w:gridSpan w:val="2"/>
            <w:shd w:val="clear" w:color="auto" w:fill="auto"/>
            <w:vAlign w:val="center"/>
          </w:tcPr>
          <w:p w14:paraId="1ED313B1" w14:textId="77777777" w:rsidR="00315A9E" w:rsidRPr="00AB02B6" w:rsidRDefault="00315A9E" w:rsidP="005F068D">
            <w:pPr>
              <w:pStyle w:val="TableTextCentered"/>
            </w:pPr>
            <w:r>
              <w:t>ND</w:t>
            </w:r>
          </w:p>
        </w:tc>
        <w:tc>
          <w:tcPr>
            <w:tcW w:w="1440" w:type="dxa"/>
            <w:shd w:val="clear" w:color="auto" w:fill="auto"/>
            <w:vAlign w:val="center"/>
          </w:tcPr>
          <w:p w14:paraId="22A729EB" w14:textId="77777777" w:rsidR="00315A9E" w:rsidRPr="00AB02B6" w:rsidRDefault="00315A9E" w:rsidP="005F068D">
            <w:pPr>
              <w:pStyle w:val="TableTextCentered"/>
            </w:pPr>
            <w:r>
              <w:t>ND – 1.0</w:t>
            </w:r>
          </w:p>
        </w:tc>
        <w:tc>
          <w:tcPr>
            <w:tcW w:w="2250" w:type="dxa"/>
            <w:gridSpan w:val="2"/>
            <w:shd w:val="clear" w:color="auto" w:fill="auto"/>
            <w:vAlign w:val="center"/>
          </w:tcPr>
          <w:p w14:paraId="01FFF431" w14:textId="77777777" w:rsidR="00315A9E" w:rsidRPr="00AB02B6" w:rsidRDefault="00315A9E" w:rsidP="005F068D">
            <w:pPr>
              <w:pStyle w:val="TableTextCentered"/>
              <w:jc w:val="left"/>
            </w:pPr>
            <w:r>
              <w:t>Cleaning and other activities (e.g., carpet square installation) were occurring</w:t>
            </w:r>
          </w:p>
        </w:tc>
      </w:tr>
      <w:tr w:rsidR="00315A9E" w:rsidRPr="00AB02B6" w14:paraId="386B888D" w14:textId="77777777" w:rsidTr="005F068D">
        <w:trPr>
          <w:cantSplit/>
          <w:trHeight w:val="478"/>
        </w:trPr>
        <w:tc>
          <w:tcPr>
            <w:tcW w:w="2880" w:type="dxa"/>
            <w:gridSpan w:val="2"/>
            <w:shd w:val="clear" w:color="auto" w:fill="auto"/>
            <w:vAlign w:val="center"/>
          </w:tcPr>
          <w:p w14:paraId="7F6F9039" w14:textId="77777777" w:rsidR="00315A9E" w:rsidRPr="00AB02B6" w:rsidRDefault="00315A9E" w:rsidP="00C10DCB">
            <w:pPr>
              <w:pStyle w:val="TableTextCentered"/>
            </w:pPr>
            <w:r w:rsidRPr="00AB02B6">
              <w:t>Carbon Monoxide (CO)</w:t>
            </w:r>
          </w:p>
        </w:tc>
        <w:tc>
          <w:tcPr>
            <w:tcW w:w="2790" w:type="dxa"/>
            <w:gridSpan w:val="2"/>
            <w:shd w:val="clear" w:color="auto" w:fill="auto"/>
            <w:vAlign w:val="center"/>
          </w:tcPr>
          <w:p w14:paraId="75FCDC2E" w14:textId="77777777" w:rsidR="00315A9E" w:rsidRPr="00AB02B6" w:rsidRDefault="00315A9E" w:rsidP="00D67D58">
            <w:pPr>
              <w:pStyle w:val="TableTextCentered"/>
            </w:pPr>
            <w:r w:rsidRPr="00AB02B6">
              <w:t>Non-detectable (ND) or equal to or below background level measured</w:t>
            </w:r>
          </w:p>
        </w:tc>
        <w:tc>
          <w:tcPr>
            <w:tcW w:w="1350" w:type="dxa"/>
            <w:gridSpan w:val="2"/>
            <w:shd w:val="clear" w:color="auto" w:fill="auto"/>
            <w:vAlign w:val="center"/>
          </w:tcPr>
          <w:p w14:paraId="0097CC1F" w14:textId="77777777" w:rsidR="00315A9E" w:rsidRPr="00AB02B6" w:rsidRDefault="00315A9E" w:rsidP="005F068D">
            <w:pPr>
              <w:pStyle w:val="TableTextCentered"/>
            </w:pPr>
            <w:r>
              <w:t>ND</w:t>
            </w:r>
          </w:p>
        </w:tc>
        <w:tc>
          <w:tcPr>
            <w:tcW w:w="1440" w:type="dxa"/>
            <w:shd w:val="clear" w:color="auto" w:fill="auto"/>
            <w:vAlign w:val="center"/>
          </w:tcPr>
          <w:p w14:paraId="5A7E7B08" w14:textId="77777777" w:rsidR="00315A9E" w:rsidRPr="00AB02B6" w:rsidRDefault="00315A9E" w:rsidP="005F068D">
            <w:pPr>
              <w:pStyle w:val="TableTextCentered"/>
            </w:pPr>
            <w:r>
              <w:t>ND</w:t>
            </w:r>
          </w:p>
        </w:tc>
        <w:tc>
          <w:tcPr>
            <w:tcW w:w="2250" w:type="dxa"/>
            <w:gridSpan w:val="2"/>
            <w:shd w:val="clear" w:color="auto" w:fill="auto"/>
            <w:vAlign w:val="center"/>
          </w:tcPr>
          <w:p w14:paraId="4142BD78" w14:textId="77777777" w:rsidR="00315A9E" w:rsidRPr="00AB02B6" w:rsidRDefault="00315A9E" w:rsidP="00D64A60">
            <w:pPr>
              <w:pStyle w:val="TableTextCentered"/>
              <w:jc w:val="left"/>
            </w:pPr>
          </w:p>
        </w:tc>
      </w:tr>
      <w:tr w:rsidR="00315A9E" w:rsidRPr="00AB02B6" w14:paraId="10A8E5F1" w14:textId="77777777" w:rsidTr="005F068D">
        <w:trPr>
          <w:cantSplit/>
          <w:trHeight w:val="937"/>
        </w:trPr>
        <w:tc>
          <w:tcPr>
            <w:tcW w:w="2880" w:type="dxa"/>
            <w:gridSpan w:val="2"/>
            <w:shd w:val="clear" w:color="auto" w:fill="auto"/>
            <w:vAlign w:val="center"/>
          </w:tcPr>
          <w:p w14:paraId="1062488A" w14:textId="77777777" w:rsidR="00315A9E" w:rsidRPr="00AB02B6" w:rsidRDefault="00315A9E" w:rsidP="00C10DCB">
            <w:pPr>
              <w:pStyle w:val="TableTextCentered"/>
            </w:pPr>
            <w:r w:rsidRPr="00AB02B6">
              <w:t>Particulate Matter 2.5 (PM2.5)</w:t>
            </w:r>
          </w:p>
        </w:tc>
        <w:tc>
          <w:tcPr>
            <w:tcW w:w="2790" w:type="dxa"/>
            <w:gridSpan w:val="2"/>
            <w:shd w:val="clear" w:color="auto" w:fill="auto"/>
            <w:vAlign w:val="center"/>
          </w:tcPr>
          <w:p w14:paraId="25859C45" w14:textId="77777777" w:rsidR="00315A9E" w:rsidRPr="00AB02B6" w:rsidRDefault="00315A9E" w:rsidP="00C10DCB">
            <w:pPr>
              <w:pStyle w:val="TableTextCentered"/>
            </w:pPr>
            <w:r w:rsidRPr="00AB02B6">
              <w:t>US EPA National Ambient Air Quality Standards (NAAQS) 35 μg/m</w:t>
            </w:r>
            <w:r w:rsidRPr="00AB02B6">
              <w:rPr>
                <w:vertAlign w:val="superscript"/>
              </w:rPr>
              <w:t>3</w:t>
            </w:r>
            <w:r w:rsidRPr="00AB02B6">
              <w:t xml:space="preserve"> or less</w:t>
            </w:r>
          </w:p>
        </w:tc>
        <w:tc>
          <w:tcPr>
            <w:tcW w:w="1350" w:type="dxa"/>
            <w:gridSpan w:val="2"/>
            <w:shd w:val="clear" w:color="auto" w:fill="auto"/>
            <w:vAlign w:val="center"/>
          </w:tcPr>
          <w:p w14:paraId="11C8B725" w14:textId="77777777" w:rsidR="00315A9E" w:rsidRPr="00AB02B6" w:rsidRDefault="00315A9E" w:rsidP="005F068D">
            <w:pPr>
              <w:pStyle w:val="TableTextCentered"/>
            </w:pPr>
            <w:r>
              <w:t>9</w:t>
            </w:r>
          </w:p>
        </w:tc>
        <w:tc>
          <w:tcPr>
            <w:tcW w:w="1440" w:type="dxa"/>
            <w:shd w:val="clear" w:color="auto" w:fill="auto"/>
            <w:vAlign w:val="center"/>
          </w:tcPr>
          <w:p w14:paraId="5C26C322" w14:textId="77777777" w:rsidR="00315A9E" w:rsidRPr="00AB02B6" w:rsidRDefault="00315A9E" w:rsidP="005F068D">
            <w:pPr>
              <w:pStyle w:val="TableTextCentered"/>
            </w:pPr>
            <w:r>
              <w:t>8-14</w:t>
            </w:r>
          </w:p>
        </w:tc>
        <w:tc>
          <w:tcPr>
            <w:tcW w:w="2250" w:type="dxa"/>
            <w:gridSpan w:val="2"/>
            <w:shd w:val="clear" w:color="auto" w:fill="auto"/>
            <w:vAlign w:val="center"/>
          </w:tcPr>
          <w:p w14:paraId="5618CE23" w14:textId="77777777" w:rsidR="00315A9E" w:rsidRPr="00AB02B6" w:rsidRDefault="00315A9E" w:rsidP="008E2E22">
            <w:pPr>
              <w:pStyle w:val="TableTextCentered"/>
              <w:jc w:val="left"/>
            </w:pPr>
            <w:r>
              <w:t>Cleaning and minor construction activities were occurring</w:t>
            </w:r>
          </w:p>
        </w:tc>
      </w:tr>
      <w:tr w:rsidR="00315A9E" w:rsidRPr="00AB02B6" w14:paraId="5B996259" w14:textId="77777777" w:rsidTr="005F068D">
        <w:trPr>
          <w:cantSplit/>
        </w:trPr>
        <w:tc>
          <w:tcPr>
            <w:tcW w:w="2880" w:type="dxa"/>
            <w:gridSpan w:val="2"/>
            <w:shd w:val="clear" w:color="auto" w:fill="auto"/>
            <w:vAlign w:val="center"/>
          </w:tcPr>
          <w:p w14:paraId="3A89FE22" w14:textId="77777777" w:rsidR="00315A9E" w:rsidRPr="00AB02B6" w:rsidRDefault="00315A9E" w:rsidP="00C10DCB">
            <w:pPr>
              <w:pStyle w:val="TableTextCentered"/>
            </w:pPr>
            <w:r w:rsidRPr="00AB02B6">
              <w:t>Temperature</w:t>
            </w:r>
          </w:p>
        </w:tc>
        <w:tc>
          <w:tcPr>
            <w:tcW w:w="2790" w:type="dxa"/>
            <w:gridSpan w:val="2"/>
            <w:shd w:val="clear" w:color="auto" w:fill="auto"/>
            <w:vAlign w:val="center"/>
          </w:tcPr>
          <w:p w14:paraId="5AE71EF0" w14:textId="77777777" w:rsidR="00315A9E" w:rsidRPr="00AB02B6" w:rsidRDefault="00315A9E" w:rsidP="006A63D7">
            <w:pPr>
              <w:pStyle w:val="TableTextCentered"/>
            </w:pPr>
            <w:r w:rsidRPr="00AB02B6">
              <w:t>70 to 78ºF</w:t>
            </w:r>
          </w:p>
        </w:tc>
        <w:tc>
          <w:tcPr>
            <w:tcW w:w="1350" w:type="dxa"/>
            <w:gridSpan w:val="2"/>
            <w:shd w:val="clear" w:color="auto" w:fill="auto"/>
            <w:vAlign w:val="center"/>
          </w:tcPr>
          <w:p w14:paraId="6F9ACD0E" w14:textId="77777777" w:rsidR="00315A9E" w:rsidRPr="00AB02B6" w:rsidRDefault="00315A9E" w:rsidP="005F068D">
            <w:pPr>
              <w:pStyle w:val="TableTextCentered"/>
            </w:pPr>
            <w:r>
              <w:t xml:space="preserve">&lt;32 </w:t>
            </w:r>
            <w:r w:rsidRPr="00975796">
              <w:t>ºF</w:t>
            </w:r>
          </w:p>
        </w:tc>
        <w:tc>
          <w:tcPr>
            <w:tcW w:w="1440" w:type="dxa"/>
            <w:shd w:val="clear" w:color="auto" w:fill="auto"/>
            <w:vAlign w:val="center"/>
          </w:tcPr>
          <w:p w14:paraId="20B97332" w14:textId="77777777" w:rsidR="00315A9E" w:rsidRPr="00AB02B6" w:rsidRDefault="00315A9E" w:rsidP="005F068D">
            <w:pPr>
              <w:pStyle w:val="TableTextCentered"/>
            </w:pPr>
            <w:r>
              <w:t>64-71</w:t>
            </w:r>
          </w:p>
        </w:tc>
        <w:tc>
          <w:tcPr>
            <w:tcW w:w="2250" w:type="dxa"/>
            <w:gridSpan w:val="2"/>
            <w:shd w:val="clear" w:color="auto" w:fill="auto"/>
            <w:vAlign w:val="center"/>
          </w:tcPr>
          <w:p w14:paraId="0585083B" w14:textId="77777777" w:rsidR="00315A9E" w:rsidRPr="00AB02B6" w:rsidRDefault="00315A9E" w:rsidP="006A63D7">
            <w:pPr>
              <w:pStyle w:val="TableTextCentered"/>
              <w:jc w:val="left"/>
            </w:pPr>
            <w:r>
              <w:t xml:space="preserve">HVAC set to 68 </w:t>
            </w:r>
            <w:r w:rsidRPr="00975796">
              <w:t>ºF</w:t>
            </w:r>
            <w:r>
              <w:t xml:space="preserve"> at most thermostats</w:t>
            </w:r>
          </w:p>
        </w:tc>
      </w:tr>
      <w:tr w:rsidR="00315A9E" w:rsidRPr="00AB02B6" w14:paraId="694FAEDD" w14:textId="77777777" w:rsidTr="005F068D">
        <w:trPr>
          <w:cantSplit/>
          <w:trHeight w:val="550"/>
        </w:trPr>
        <w:tc>
          <w:tcPr>
            <w:tcW w:w="2880" w:type="dxa"/>
            <w:gridSpan w:val="2"/>
            <w:shd w:val="clear" w:color="auto" w:fill="auto"/>
            <w:vAlign w:val="center"/>
          </w:tcPr>
          <w:p w14:paraId="265EE2E6" w14:textId="77777777" w:rsidR="00315A9E" w:rsidRPr="00AB02B6" w:rsidRDefault="00315A9E" w:rsidP="00C10DCB">
            <w:pPr>
              <w:pStyle w:val="TableTextCentered"/>
            </w:pPr>
            <w:r w:rsidRPr="00AB02B6">
              <w:t>Relative Humidity (RH)</w:t>
            </w:r>
          </w:p>
        </w:tc>
        <w:tc>
          <w:tcPr>
            <w:tcW w:w="2790" w:type="dxa"/>
            <w:gridSpan w:val="2"/>
            <w:shd w:val="clear" w:color="auto" w:fill="auto"/>
            <w:vAlign w:val="center"/>
          </w:tcPr>
          <w:p w14:paraId="213360FB" w14:textId="77777777" w:rsidR="00315A9E" w:rsidRPr="00AB02B6" w:rsidRDefault="00315A9E" w:rsidP="00C10DCB">
            <w:pPr>
              <w:pStyle w:val="TableTextCentered"/>
            </w:pPr>
            <w:r w:rsidRPr="00AB02B6">
              <w:t>40% to 60%</w:t>
            </w:r>
          </w:p>
        </w:tc>
        <w:tc>
          <w:tcPr>
            <w:tcW w:w="1350" w:type="dxa"/>
            <w:gridSpan w:val="2"/>
            <w:shd w:val="clear" w:color="auto" w:fill="auto"/>
            <w:vAlign w:val="center"/>
          </w:tcPr>
          <w:p w14:paraId="4B1C4557" w14:textId="77777777" w:rsidR="00315A9E" w:rsidRPr="00AB02B6" w:rsidRDefault="00315A9E" w:rsidP="005F068D">
            <w:pPr>
              <w:pStyle w:val="TableTextCentered"/>
            </w:pPr>
            <w:r>
              <w:t>15</w:t>
            </w:r>
          </w:p>
        </w:tc>
        <w:tc>
          <w:tcPr>
            <w:tcW w:w="1440" w:type="dxa"/>
            <w:shd w:val="clear" w:color="auto" w:fill="auto"/>
            <w:vAlign w:val="center"/>
          </w:tcPr>
          <w:p w14:paraId="169CF160" w14:textId="77777777" w:rsidR="00315A9E" w:rsidRPr="00AB02B6" w:rsidRDefault="00315A9E" w:rsidP="005F068D">
            <w:pPr>
              <w:pStyle w:val="TableTextCentered"/>
            </w:pPr>
            <w:r>
              <w:t>11-22</w:t>
            </w:r>
          </w:p>
        </w:tc>
        <w:tc>
          <w:tcPr>
            <w:tcW w:w="2250" w:type="dxa"/>
            <w:gridSpan w:val="2"/>
            <w:shd w:val="clear" w:color="auto" w:fill="auto"/>
            <w:vAlign w:val="center"/>
          </w:tcPr>
          <w:p w14:paraId="1DE4B064" w14:textId="77777777" w:rsidR="00315A9E" w:rsidRPr="00AB02B6" w:rsidRDefault="00315A9E" w:rsidP="00DF48DF">
            <w:pPr>
              <w:pStyle w:val="TableTextCentered"/>
              <w:jc w:val="left"/>
            </w:pPr>
          </w:p>
        </w:tc>
      </w:tr>
      <w:tr w:rsidR="00315A9E" w:rsidRPr="00AB02B6" w14:paraId="1ED217B1" w14:textId="77777777" w:rsidTr="005E3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90" w:type="dxa"/>
          <w:cantSplit/>
        </w:trPr>
        <w:tc>
          <w:tcPr>
            <w:tcW w:w="1890" w:type="dxa"/>
            <w:shd w:val="clear" w:color="auto" w:fill="auto"/>
          </w:tcPr>
          <w:p w14:paraId="30F43984" w14:textId="77777777" w:rsidR="00315A9E" w:rsidRPr="00AB02B6" w:rsidRDefault="00315A9E" w:rsidP="00C10DCB">
            <w:pPr>
              <w:pStyle w:val="FootnoteText"/>
              <w:rPr>
                <w:sz w:val="16"/>
                <w:szCs w:val="16"/>
              </w:rPr>
            </w:pPr>
          </w:p>
          <w:p w14:paraId="244F3FA4" w14:textId="77777777" w:rsidR="00315A9E" w:rsidRPr="00AB02B6" w:rsidRDefault="00315A9E" w:rsidP="00C10DCB">
            <w:pPr>
              <w:pStyle w:val="FootnoteText"/>
              <w:rPr>
                <w:sz w:val="16"/>
                <w:szCs w:val="16"/>
              </w:rPr>
            </w:pPr>
            <w:r w:rsidRPr="00AB02B6">
              <w:rPr>
                <w:sz w:val="16"/>
                <w:szCs w:val="16"/>
              </w:rPr>
              <w:t>ppm = parts per million</w:t>
            </w:r>
          </w:p>
        </w:tc>
        <w:tc>
          <w:tcPr>
            <w:tcW w:w="2610" w:type="dxa"/>
            <w:gridSpan w:val="2"/>
            <w:shd w:val="clear" w:color="auto" w:fill="auto"/>
          </w:tcPr>
          <w:p w14:paraId="0F494362" w14:textId="77777777" w:rsidR="00315A9E" w:rsidRPr="00AB02B6" w:rsidRDefault="00315A9E" w:rsidP="00C10DCB">
            <w:pPr>
              <w:pStyle w:val="FootnoteText"/>
              <w:rPr>
                <w:sz w:val="16"/>
                <w:szCs w:val="16"/>
              </w:rPr>
            </w:pPr>
          </w:p>
          <w:p w14:paraId="08AAC10D" w14:textId="77777777" w:rsidR="00315A9E" w:rsidRPr="00AB02B6" w:rsidRDefault="00315A9E" w:rsidP="00C10DCB">
            <w:pPr>
              <w:pStyle w:val="FootnoteText"/>
              <w:rPr>
                <w:sz w:val="16"/>
                <w:szCs w:val="16"/>
              </w:rPr>
            </w:pPr>
            <w:r w:rsidRPr="00AB02B6">
              <w:rPr>
                <w:sz w:val="16"/>
                <w:szCs w:val="16"/>
              </w:rPr>
              <w:t>µg/m</w:t>
            </w:r>
            <w:r w:rsidRPr="00AB02B6">
              <w:rPr>
                <w:sz w:val="16"/>
                <w:szCs w:val="16"/>
                <w:vertAlign w:val="superscript"/>
              </w:rPr>
              <w:t xml:space="preserve">3 </w:t>
            </w:r>
            <w:r w:rsidRPr="00AB02B6">
              <w:rPr>
                <w:sz w:val="16"/>
                <w:szCs w:val="16"/>
              </w:rPr>
              <w:t>= microgram per cubic meter</w:t>
            </w:r>
          </w:p>
        </w:tc>
        <w:tc>
          <w:tcPr>
            <w:tcW w:w="2070" w:type="dxa"/>
            <w:gridSpan w:val="2"/>
            <w:shd w:val="clear" w:color="auto" w:fill="auto"/>
          </w:tcPr>
          <w:p w14:paraId="19BCB6EA" w14:textId="77777777" w:rsidR="00315A9E" w:rsidRPr="00AB02B6" w:rsidRDefault="00315A9E" w:rsidP="00C10DCB">
            <w:pPr>
              <w:pStyle w:val="FootnoteText"/>
              <w:rPr>
                <w:sz w:val="16"/>
                <w:szCs w:val="16"/>
              </w:rPr>
            </w:pPr>
          </w:p>
          <w:p w14:paraId="77C1E268" w14:textId="77777777" w:rsidR="00315A9E" w:rsidRPr="00AB02B6" w:rsidRDefault="00315A9E" w:rsidP="00C10DCB">
            <w:pPr>
              <w:pStyle w:val="FootnoteText"/>
              <w:rPr>
                <w:sz w:val="16"/>
                <w:szCs w:val="16"/>
              </w:rPr>
            </w:pPr>
            <w:r w:rsidRPr="00AB02B6">
              <w:rPr>
                <w:sz w:val="16"/>
                <w:szCs w:val="16"/>
              </w:rPr>
              <w:t>ND = non-detectable</w:t>
            </w:r>
          </w:p>
        </w:tc>
        <w:tc>
          <w:tcPr>
            <w:tcW w:w="4050" w:type="dxa"/>
            <w:gridSpan w:val="3"/>
            <w:shd w:val="clear" w:color="auto" w:fill="auto"/>
          </w:tcPr>
          <w:p w14:paraId="6417A0D9" w14:textId="77777777" w:rsidR="00315A9E" w:rsidRPr="00AB02B6" w:rsidRDefault="00315A9E" w:rsidP="00C10DCB">
            <w:pPr>
              <w:pStyle w:val="FootnoteText"/>
              <w:rPr>
                <w:sz w:val="16"/>
                <w:szCs w:val="16"/>
              </w:rPr>
            </w:pPr>
          </w:p>
          <w:p w14:paraId="7982826A" w14:textId="77777777" w:rsidR="00315A9E" w:rsidRPr="00AB02B6" w:rsidRDefault="00315A9E" w:rsidP="005E3E95">
            <w:pPr>
              <w:pStyle w:val="FootnoteText"/>
              <w:rPr>
                <w:sz w:val="16"/>
                <w:szCs w:val="16"/>
              </w:rPr>
            </w:pPr>
          </w:p>
        </w:tc>
      </w:tr>
    </w:tbl>
    <w:p w14:paraId="7CE3AC73" w14:textId="77777777" w:rsidR="00315A9E" w:rsidRPr="00AB02B6" w:rsidRDefault="00315A9E" w:rsidP="00C3385E">
      <w:pPr>
        <w:pStyle w:val="Heading1"/>
        <w:spacing w:line="360" w:lineRule="auto"/>
      </w:pPr>
      <w:r w:rsidRPr="00AB02B6">
        <w:lastRenderedPageBreak/>
        <w:t>Discussion/Visual Observations</w:t>
      </w:r>
    </w:p>
    <w:p w14:paraId="455BBF19" w14:textId="77777777" w:rsidR="00315A9E" w:rsidRPr="00CE0987" w:rsidRDefault="00315A9E" w:rsidP="00C3385E">
      <w:pPr>
        <w:pStyle w:val="StyleBodyTextLeft025"/>
        <w:spacing w:line="360" w:lineRule="auto"/>
      </w:pPr>
      <w:r w:rsidRPr="00CE0987">
        <w:t>At the time of the assessment, the space wa</w:t>
      </w:r>
      <w:r>
        <w:t xml:space="preserve">s </w:t>
      </w:r>
      <w:r w:rsidRPr="00CE0987">
        <w:t xml:space="preserve">built out with some finishing activity taking place. New lighting, ceiling tiles, carpet squares, and vinyl flooring had been installed during the remodel. </w:t>
      </w:r>
      <w:r>
        <w:t>New cubicle furniture had been installed.</w:t>
      </w:r>
    </w:p>
    <w:p w14:paraId="6BBEFDB8" w14:textId="77777777" w:rsidR="00315A9E" w:rsidRDefault="00315A9E" w:rsidP="00C3385E">
      <w:pPr>
        <w:pStyle w:val="StyleBodyTextLeft025"/>
        <w:spacing w:line="360" w:lineRule="auto"/>
        <w:rPr>
          <w:szCs w:val="24"/>
        </w:rPr>
      </w:pPr>
      <w:r>
        <w:rPr>
          <w:szCs w:val="24"/>
        </w:rPr>
        <w:t xml:space="preserve">Some construction-related dust and debris was present on floors and other surfaces. </w:t>
      </w:r>
      <w:r w:rsidRPr="00CE0987">
        <w:rPr>
          <w:szCs w:val="24"/>
        </w:rPr>
        <w:t xml:space="preserve">The MDPH typically recommends wet-wiping surfaces and </w:t>
      </w:r>
      <w:r w:rsidRPr="00CE0987">
        <w:t>high-efficiency particulate arrestance (</w:t>
      </w:r>
      <w:r w:rsidRPr="00CE0987">
        <w:rPr>
          <w:szCs w:val="24"/>
        </w:rPr>
        <w:t xml:space="preserve">HEPA) vacuuming multiple times prior to occupancy. </w:t>
      </w:r>
      <w:r>
        <w:rPr>
          <w:szCs w:val="24"/>
        </w:rPr>
        <w:t>Additional cleaning once files, materials and furniture have been transported into the building will help remove any dust, debris and moisture brought in from outside during the move.</w:t>
      </w:r>
    </w:p>
    <w:p w14:paraId="19185B4E" w14:textId="77777777" w:rsidR="00315A9E" w:rsidRDefault="00315A9E" w:rsidP="00C3385E">
      <w:pPr>
        <w:pStyle w:val="StyleBodyTextLeft025"/>
        <w:spacing w:line="360" w:lineRule="auto"/>
        <w:rPr>
          <w:szCs w:val="24"/>
        </w:rPr>
      </w:pPr>
      <w:r>
        <w:rPr>
          <w:szCs w:val="24"/>
        </w:rPr>
        <w:t>No water-damaged or moist materials were observed during the assessment, including ceiling tiles. There were two rooms with sinks on the 4</w:t>
      </w:r>
      <w:r w:rsidRPr="00975796">
        <w:rPr>
          <w:szCs w:val="24"/>
          <w:vertAlign w:val="superscript"/>
        </w:rPr>
        <w:t>th</w:t>
      </w:r>
      <w:r>
        <w:rPr>
          <w:szCs w:val="24"/>
        </w:rPr>
        <w:t xml:space="preserve"> floor. One of these rooms was carpeted. There was also a water cooler in a carpeted area. Leaks/spills from sinks, refrigerators, and water dispensers can moisten carpeting and lead to microbial growth. It is recommended that these items be located in areas without carpeting or outfitted with a waterproof mat.</w:t>
      </w:r>
    </w:p>
    <w:p w14:paraId="567382B2" w14:textId="77777777" w:rsidR="00315A9E" w:rsidRDefault="00315A9E" w:rsidP="00C3385E">
      <w:pPr>
        <w:pStyle w:val="StyleBodyTextLeft025"/>
        <w:spacing w:line="360" w:lineRule="auto"/>
        <w:rPr>
          <w:szCs w:val="24"/>
        </w:rPr>
      </w:pPr>
      <w:r>
        <w:rPr>
          <w:szCs w:val="24"/>
        </w:rPr>
        <w:t xml:space="preserve">In a few offices, sunlight was seen streaming in the windows and solar </w:t>
      </w:r>
      <w:proofErr w:type="gramStart"/>
      <w:r>
        <w:rPr>
          <w:szCs w:val="24"/>
        </w:rPr>
        <w:t>heating</w:t>
      </w:r>
      <w:proofErr w:type="gramEnd"/>
      <w:r>
        <w:rPr>
          <w:szCs w:val="24"/>
        </w:rPr>
        <w:t xml:space="preserve"> or glare may be an issue during certain times of the year. Adjustable blinds had not yet been installed – these should be used as needed.</w:t>
      </w:r>
    </w:p>
    <w:p w14:paraId="2869CBD2" w14:textId="77777777" w:rsidR="00315A9E" w:rsidRDefault="00315A9E" w:rsidP="00C3385E">
      <w:pPr>
        <w:pStyle w:val="StyleBodyTextLeft025"/>
        <w:spacing w:line="360" w:lineRule="auto"/>
        <w:rPr>
          <w:szCs w:val="24"/>
        </w:rPr>
      </w:pPr>
      <w:r>
        <w:rPr>
          <w:szCs w:val="24"/>
        </w:rPr>
        <w:t>In some of the conference and hearing rooms, there were carbon dioxide sensors installed next to the thermostats, presumably to increase fresh air flow when levels rise. These items need to be calibrated or replaced periodically in accordance with manufacturer’s instructions.</w:t>
      </w:r>
    </w:p>
    <w:p w14:paraId="7DBCF301" w14:textId="77777777" w:rsidR="00315A9E" w:rsidRPr="00AB02B6" w:rsidRDefault="00315A9E" w:rsidP="00C3385E">
      <w:pPr>
        <w:pStyle w:val="StyleBodyTextLeft025"/>
        <w:spacing w:line="360" w:lineRule="auto"/>
        <w:rPr>
          <w:szCs w:val="24"/>
        </w:rPr>
      </w:pPr>
      <w:r>
        <w:rPr>
          <w:szCs w:val="24"/>
        </w:rPr>
        <w:t xml:space="preserve">The </w:t>
      </w:r>
      <w:proofErr w:type="gramStart"/>
      <w:r>
        <w:rPr>
          <w:szCs w:val="24"/>
        </w:rPr>
        <w:t>second floor</w:t>
      </w:r>
      <w:proofErr w:type="gramEnd"/>
      <w:r>
        <w:rPr>
          <w:szCs w:val="24"/>
        </w:rPr>
        <w:t xml:space="preserve"> elevator lobby opens directly to the top (outside) floor of the parking garage. This door should be kept closed with tight weather-stripping to ensure that automobile exhaust is not brought into the building.</w:t>
      </w:r>
    </w:p>
    <w:p w14:paraId="54C364A6" w14:textId="77777777" w:rsidR="00315A9E" w:rsidRPr="00AB02B6" w:rsidRDefault="00315A9E" w:rsidP="00C3385E">
      <w:pPr>
        <w:pStyle w:val="Heading1"/>
        <w:spacing w:line="360" w:lineRule="auto"/>
      </w:pPr>
      <w:r w:rsidRPr="00AB02B6">
        <w:t>Recommendations</w:t>
      </w:r>
    </w:p>
    <w:p w14:paraId="66F914BC" w14:textId="77777777" w:rsidR="00315A9E" w:rsidRPr="00AB02B6" w:rsidRDefault="00315A9E" w:rsidP="00C3385E">
      <w:pPr>
        <w:pStyle w:val="BodyText"/>
        <w:spacing w:line="360" w:lineRule="auto"/>
      </w:pPr>
      <w:r w:rsidRPr="00AB02B6">
        <w:t>In view of the findings at the time of assessment, the following recommendations are made:</w:t>
      </w:r>
    </w:p>
    <w:p w14:paraId="7C9D67BB" w14:textId="77777777" w:rsidR="00315A9E" w:rsidRPr="00AB02B6" w:rsidRDefault="00315A9E" w:rsidP="00C3385E">
      <w:pPr>
        <w:pStyle w:val="BodyText"/>
        <w:numPr>
          <w:ilvl w:val="0"/>
          <w:numId w:val="28"/>
        </w:numPr>
        <w:tabs>
          <w:tab w:val="clear" w:pos="360"/>
          <w:tab w:val="num" w:pos="720"/>
        </w:tabs>
        <w:spacing w:line="360" w:lineRule="auto"/>
        <w:ind w:left="720" w:hanging="720"/>
      </w:pPr>
      <w:r>
        <w:t xml:space="preserve">Set thermostats to </w:t>
      </w:r>
      <w:r w:rsidRPr="00AB02B6">
        <w:t>the fan “on” setting (not “auto”), throughout the space to provide continuous filtration and ventilation during occupied hours.</w:t>
      </w:r>
    </w:p>
    <w:p w14:paraId="3DA15F4E" w14:textId="77777777" w:rsidR="00315A9E" w:rsidRDefault="00315A9E" w:rsidP="00C3385E">
      <w:pPr>
        <w:pStyle w:val="BodyText"/>
        <w:numPr>
          <w:ilvl w:val="0"/>
          <w:numId w:val="28"/>
        </w:numPr>
        <w:tabs>
          <w:tab w:val="clear" w:pos="360"/>
          <w:tab w:val="num" w:pos="720"/>
        </w:tabs>
        <w:spacing w:line="360" w:lineRule="auto"/>
        <w:ind w:left="720" w:hanging="720"/>
      </w:pPr>
      <w:r w:rsidRPr="00AB02B6">
        <w:lastRenderedPageBreak/>
        <w:t xml:space="preserve">Use filters with a </w:t>
      </w:r>
      <w:r w:rsidRPr="00AB02B6">
        <w:rPr>
          <w:szCs w:val="24"/>
        </w:rPr>
        <w:t xml:space="preserve">Minimum Efficiency Reporting Value (MERV) 8 </w:t>
      </w:r>
      <w:r w:rsidRPr="00AB02B6">
        <w:t>or better in the AHU and ensure they are changed a minimum of twice per year.</w:t>
      </w:r>
    </w:p>
    <w:p w14:paraId="72D1FC3D" w14:textId="77777777" w:rsidR="00315A9E" w:rsidRDefault="00315A9E" w:rsidP="00C3385E">
      <w:pPr>
        <w:pStyle w:val="BodyText"/>
        <w:numPr>
          <w:ilvl w:val="0"/>
          <w:numId w:val="28"/>
        </w:numPr>
        <w:tabs>
          <w:tab w:val="clear" w:pos="360"/>
          <w:tab w:val="num" w:pos="720"/>
        </w:tabs>
        <w:spacing w:line="360" w:lineRule="auto"/>
        <w:ind w:left="720" w:hanging="720"/>
      </w:pPr>
      <w:r>
        <w:t xml:space="preserve">Consider balancing the HVAC system every five years (SMACNA, </w:t>
      </w:r>
      <w:r w:rsidRPr="008460AB">
        <w:t>1994).</w:t>
      </w:r>
    </w:p>
    <w:p w14:paraId="7CC6A63E" w14:textId="77777777" w:rsidR="00315A9E" w:rsidRDefault="00315A9E" w:rsidP="00C3385E">
      <w:pPr>
        <w:pStyle w:val="BodyText"/>
        <w:numPr>
          <w:ilvl w:val="0"/>
          <w:numId w:val="28"/>
        </w:numPr>
        <w:tabs>
          <w:tab w:val="clear" w:pos="360"/>
          <w:tab w:val="num" w:pos="720"/>
        </w:tabs>
        <w:spacing w:line="360" w:lineRule="auto"/>
        <w:ind w:left="720" w:hanging="720"/>
      </w:pPr>
      <w:r>
        <w:t xml:space="preserve">Have the carbon dioxide sensors calibrated or replaced in accordance with manufacturer’s instructions. </w:t>
      </w:r>
    </w:p>
    <w:p w14:paraId="6BE4A2EA" w14:textId="77777777" w:rsidR="00315A9E" w:rsidRPr="00AB02B6" w:rsidRDefault="00315A9E" w:rsidP="00C3385E">
      <w:pPr>
        <w:pStyle w:val="BodyText"/>
        <w:numPr>
          <w:ilvl w:val="0"/>
          <w:numId w:val="28"/>
        </w:numPr>
        <w:tabs>
          <w:tab w:val="clear" w:pos="360"/>
          <w:tab w:val="num" w:pos="720"/>
        </w:tabs>
        <w:spacing w:line="360" w:lineRule="auto"/>
        <w:ind w:left="720" w:hanging="720"/>
      </w:pPr>
      <w:r>
        <w:t>Ensure that adjustable blinds and the location/setpoints of thermostats are able to provide comfortable temperatures throughout the year. Adjust as needed.</w:t>
      </w:r>
    </w:p>
    <w:p w14:paraId="3D4AD7BB" w14:textId="77777777" w:rsidR="00315A9E" w:rsidRDefault="00315A9E" w:rsidP="000477CD">
      <w:pPr>
        <w:pStyle w:val="BodyText"/>
        <w:numPr>
          <w:ilvl w:val="0"/>
          <w:numId w:val="28"/>
        </w:numPr>
        <w:tabs>
          <w:tab w:val="clear" w:pos="360"/>
          <w:tab w:val="num" w:pos="720"/>
        </w:tabs>
        <w:spacing w:line="360" w:lineRule="auto"/>
        <w:ind w:left="720" w:hanging="720"/>
      </w:pPr>
      <w:r w:rsidRPr="00AB02B6">
        <w:t>Upon completion of renovations</w:t>
      </w:r>
      <w:r>
        <w:t xml:space="preserve"> and moving</w:t>
      </w:r>
      <w:r w:rsidRPr="00AB02B6">
        <w:t xml:space="preserve">, perform a final, thorough cleaning of the office space including </w:t>
      </w:r>
      <w:proofErr w:type="gramStart"/>
      <w:r w:rsidRPr="00AB02B6">
        <w:t>wet-wiping</w:t>
      </w:r>
      <w:proofErr w:type="gramEnd"/>
      <w:r w:rsidRPr="00AB02B6">
        <w:t xml:space="preserve"> of all surfaces and use of a HEPA vacuum of all carpeting prior to staff moving into the space.</w:t>
      </w:r>
    </w:p>
    <w:p w14:paraId="7B42E9FC" w14:textId="77777777" w:rsidR="00315A9E" w:rsidRDefault="00315A9E" w:rsidP="000477CD">
      <w:pPr>
        <w:pStyle w:val="BodyText"/>
        <w:numPr>
          <w:ilvl w:val="0"/>
          <w:numId w:val="28"/>
        </w:numPr>
        <w:tabs>
          <w:tab w:val="clear" w:pos="360"/>
          <w:tab w:val="num" w:pos="720"/>
        </w:tabs>
        <w:spacing w:line="360" w:lineRule="auto"/>
        <w:ind w:left="720" w:hanging="720"/>
      </w:pPr>
      <w:r>
        <w:t xml:space="preserve">Consider placing refrigerators and water dispensers in areas without </w:t>
      </w:r>
      <w:proofErr w:type="gramStart"/>
      <w:r>
        <w:t>carpeting, or</w:t>
      </w:r>
      <w:proofErr w:type="gramEnd"/>
      <w:r>
        <w:t xml:space="preserve"> use a waterproof mat beneath them.</w:t>
      </w:r>
    </w:p>
    <w:p w14:paraId="51176C92" w14:textId="77777777" w:rsidR="00315A9E" w:rsidRPr="00AB02B6" w:rsidRDefault="00315A9E" w:rsidP="000477CD">
      <w:pPr>
        <w:pStyle w:val="BodyText"/>
        <w:numPr>
          <w:ilvl w:val="0"/>
          <w:numId w:val="28"/>
        </w:numPr>
        <w:tabs>
          <w:tab w:val="clear" w:pos="360"/>
          <w:tab w:val="num" w:pos="720"/>
        </w:tabs>
        <w:spacing w:line="360" w:lineRule="auto"/>
        <w:ind w:left="720" w:hanging="720"/>
      </w:pPr>
      <w:r>
        <w:t xml:space="preserve">Ensure that the door to the parking lot on the </w:t>
      </w:r>
      <w:proofErr w:type="gramStart"/>
      <w:r>
        <w:t>second floor</w:t>
      </w:r>
      <w:proofErr w:type="gramEnd"/>
      <w:r>
        <w:t xml:space="preserve"> elevator lobby is kept closed and has adequate weather-stripping to prevent vehicle exhaust from entering.</w:t>
      </w:r>
    </w:p>
    <w:p w14:paraId="0AACF8FB" w14:textId="77777777" w:rsidR="00315A9E" w:rsidRDefault="00315A9E" w:rsidP="004C55B6">
      <w:pPr>
        <w:pStyle w:val="BodyText"/>
        <w:numPr>
          <w:ilvl w:val="0"/>
          <w:numId w:val="28"/>
        </w:numPr>
        <w:tabs>
          <w:tab w:val="clear" w:pos="360"/>
          <w:tab w:val="num" w:pos="720"/>
        </w:tabs>
        <w:spacing w:line="360" w:lineRule="auto"/>
        <w:ind w:left="720" w:hanging="720"/>
      </w:pPr>
      <w:r w:rsidRPr="00AB02B6">
        <w:t>Consistent with previously established protocol, once the space has been occupied for a minimum of three weeks, contact the BEH/IAQ Program to conduct a follow-up assessment of the space.</w:t>
      </w:r>
    </w:p>
    <w:p w14:paraId="28D863CA" w14:textId="77777777" w:rsidR="00315A9E" w:rsidRDefault="00315A9E" w:rsidP="001F30DD">
      <w:pPr>
        <w:pStyle w:val="BodyText"/>
        <w:spacing w:line="360" w:lineRule="auto"/>
        <w:ind w:firstLine="0"/>
      </w:pPr>
    </w:p>
    <w:p w14:paraId="1079157A" w14:textId="77777777" w:rsidR="00315A9E" w:rsidRDefault="00315A9E" w:rsidP="001F30DD">
      <w:pPr>
        <w:pStyle w:val="BodyText"/>
        <w:spacing w:line="360" w:lineRule="auto"/>
        <w:ind w:firstLine="0"/>
        <w:sectPr w:rsidR="00315A9E" w:rsidSect="00315A9E">
          <w:headerReference w:type="default"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26"/>
        </w:sectPr>
      </w:pPr>
    </w:p>
    <w:p w14:paraId="10399BAD" w14:textId="77777777" w:rsidR="00315A9E" w:rsidRDefault="00315A9E" w:rsidP="001F30DD">
      <w:pPr>
        <w:pStyle w:val="Heading1"/>
      </w:pPr>
      <w:r>
        <w:lastRenderedPageBreak/>
        <w:t>References</w:t>
      </w:r>
    </w:p>
    <w:p w14:paraId="0D15F1B9" w14:textId="77777777" w:rsidR="00315A9E" w:rsidRPr="00AB02B6" w:rsidRDefault="00315A9E" w:rsidP="00DC2546">
      <w:pPr>
        <w:pStyle w:val="References"/>
      </w:pPr>
      <w:r w:rsidRPr="00CD1447">
        <w:rPr>
          <w:szCs w:val="24"/>
        </w:rPr>
        <w:t>SMACNA. 1994. HVAC Systems Commissioning Manual. 1</w:t>
      </w:r>
      <w:r w:rsidRPr="00CD1447">
        <w:rPr>
          <w:szCs w:val="24"/>
          <w:vertAlign w:val="superscript"/>
        </w:rPr>
        <w:t>st</w:t>
      </w:r>
      <w:r w:rsidRPr="00CD1447">
        <w:rPr>
          <w:szCs w:val="24"/>
        </w:rPr>
        <w:t xml:space="preserve"> ed. Sheet Metal and Air Conditioning Contractors’ National Association, Inc., Chantilly, VA.</w:t>
      </w:r>
    </w:p>
    <w:p w14:paraId="1DE710B0" w14:textId="77777777" w:rsidR="00315A9E" w:rsidRDefault="00315A9E" w:rsidP="00927E90">
      <w:pPr>
        <w:pStyle w:val="BodyText"/>
        <w:spacing w:line="360" w:lineRule="auto"/>
        <w:ind w:firstLine="0"/>
        <w:jc w:val="center"/>
        <w:rPr>
          <w:b/>
        </w:rPr>
      </w:pPr>
    </w:p>
    <w:p w14:paraId="5B77AD98" w14:textId="3F32845C" w:rsidR="0070175E" w:rsidRDefault="0070175E" w:rsidP="0070175E">
      <w:pPr>
        <w:tabs>
          <w:tab w:val="left" w:pos="1302"/>
        </w:tabs>
        <w:spacing w:after="240"/>
        <w:rPr>
          <w:b/>
        </w:rPr>
      </w:pPr>
    </w:p>
    <w:p w14:paraId="100C99E3" w14:textId="4E78527C" w:rsidR="00897169" w:rsidRDefault="00897169" w:rsidP="00897169">
      <w:pPr>
        <w:rPr>
          <w:b/>
        </w:rPr>
      </w:pPr>
    </w:p>
    <w:p w14:paraId="790141A6" w14:textId="77777777" w:rsidR="00897169" w:rsidRPr="00897169" w:rsidRDefault="00897169" w:rsidP="00897169">
      <w:pPr>
        <w:jc w:val="center"/>
      </w:pPr>
    </w:p>
    <w:sectPr w:rsidR="00897169" w:rsidRPr="00897169" w:rsidSect="000D48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88B60" w14:textId="77777777" w:rsidR="00C45123" w:rsidRDefault="00C45123">
      <w:r>
        <w:separator/>
      </w:r>
    </w:p>
  </w:endnote>
  <w:endnote w:type="continuationSeparator" w:id="0">
    <w:p w14:paraId="46D5CAD4" w14:textId="77777777" w:rsidR="00C45123" w:rsidRDefault="00C4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F909A" w14:textId="77777777" w:rsidR="00444C98" w:rsidRDefault="00444C98">
    <w:pPr>
      <w:pStyle w:val="Footer"/>
      <w:jc w:val="center"/>
    </w:pPr>
    <w:r>
      <w:fldChar w:fldCharType="begin"/>
    </w:r>
    <w:r>
      <w:instrText xml:space="preserve"> PAGE   \* MERGEFORMAT </w:instrText>
    </w:r>
    <w:r>
      <w:fldChar w:fldCharType="separate"/>
    </w:r>
    <w:r w:rsidR="00751F9F">
      <w:rPr>
        <w:noProof/>
      </w:rPr>
      <w:t>5</w:t>
    </w:r>
    <w:r>
      <w:rPr>
        <w:noProof/>
      </w:rPr>
      <w:fldChar w:fldCharType="end"/>
    </w:r>
  </w:p>
  <w:p w14:paraId="7DEB5E13" w14:textId="77777777" w:rsidR="00444C98" w:rsidRDefault="00444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03DD5" w14:textId="70B9B69A" w:rsidR="00315A9E" w:rsidRDefault="00315A9E">
    <w:pPr>
      <w:pStyle w:val="Footer"/>
      <w:jc w:val="center"/>
    </w:pPr>
  </w:p>
  <w:p w14:paraId="75031F7C" w14:textId="77777777" w:rsidR="00315A9E" w:rsidRPr="00315A9E" w:rsidRDefault="00315A9E" w:rsidP="00315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7F88B" w14:textId="0BBAEC82" w:rsidR="00315A9E" w:rsidRDefault="00634D73">
    <w:pPr>
      <w:pStyle w:val="Footer"/>
      <w:jc w:val="center"/>
    </w:pPr>
    <w:r>
      <w:t>A-</w:t>
    </w:r>
    <w:r w:rsidR="00315A9E">
      <w:fldChar w:fldCharType="begin"/>
    </w:r>
    <w:r w:rsidR="00315A9E">
      <w:instrText xml:space="preserve"> PAGE   \* MERGEFORMAT </w:instrText>
    </w:r>
    <w:r w:rsidR="00315A9E">
      <w:fldChar w:fldCharType="separate"/>
    </w:r>
    <w:r w:rsidR="00315A9E">
      <w:rPr>
        <w:noProof/>
      </w:rPr>
      <w:t>3</w:t>
    </w:r>
    <w:r w:rsidR="00315A9E">
      <w:rPr>
        <w:noProof/>
      </w:rPr>
      <w:fldChar w:fldCharType="end"/>
    </w:r>
  </w:p>
  <w:p w14:paraId="4986C6B6" w14:textId="77777777" w:rsidR="00315A9E" w:rsidRDefault="00315A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F9679" w14:textId="6707FAC1" w:rsidR="00634D73" w:rsidRDefault="00634D73">
    <w:pPr>
      <w:pStyle w:val="Footer"/>
      <w:jc w:val="center"/>
    </w:pPr>
    <w:r>
      <w:t>A-</w:t>
    </w:r>
    <w:sdt>
      <w:sdtPr>
        <w:id w:val="5057920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A60E2B1" w14:textId="77777777" w:rsidR="00315A9E" w:rsidRPr="00315A9E" w:rsidRDefault="00315A9E" w:rsidP="00315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A38AB" w14:textId="77777777" w:rsidR="00C45123" w:rsidRDefault="00C45123">
      <w:r>
        <w:separator/>
      </w:r>
    </w:p>
  </w:footnote>
  <w:footnote w:type="continuationSeparator" w:id="0">
    <w:p w14:paraId="1B78EDF2" w14:textId="77777777" w:rsidR="00C45123" w:rsidRDefault="00C45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B70E4" w14:textId="02D7912C" w:rsidR="00481D77" w:rsidRPr="00481D77" w:rsidRDefault="00481D77" w:rsidP="00481D77">
    <w:pPr>
      <w:pStyle w:val="Header"/>
      <w:jc w:val="center"/>
    </w:pPr>
    <w:r>
      <w:t>APPENDIX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72084" w14:textId="3027077A" w:rsidR="00315A9E" w:rsidRPr="00315A9E" w:rsidRDefault="00315A9E" w:rsidP="00315A9E">
    <w:pPr>
      <w:pStyle w:val="Header"/>
      <w:jc w:val="center"/>
      <w:rPr>
        <w:szCs w:val="24"/>
      </w:rPr>
    </w:pPr>
    <w:r w:rsidRPr="00315A9E">
      <w:rPr>
        <w:szCs w:val="24"/>
      </w:rPr>
      <w:t>APPENDIX A</w:t>
    </w:r>
  </w:p>
  <w:p w14:paraId="0C32D20B" w14:textId="77777777" w:rsidR="00315A9E" w:rsidRDefault="00315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15:restartNumberingAfterBreak="0">
    <w:nsid w:val="08E15F83"/>
    <w:multiLevelType w:val="hybridMultilevel"/>
    <w:tmpl w:val="F9C8116C"/>
    <w:lvl w:ilvl="0" w:tplc="C4601EC0">
      <w:start w:val="1"/>
      <w:numFmt w:val="decimal"/>
      <w:pStyle w:val="TOC6"/>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2266DE"/>
    <w:multiLevelType w:val="hybridMultilevel"/>
    <w:tmpl w:val="CF14E606"/>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4" w15:restartNumberingAfterBreak="0">
    <w:nsid w:val="16C126B6"/>
    <w:multiLevelType w:val="hybridMultilevel"/>
    <w:tmpl w:val="2C72888C"/>
    <w:lvl w:ilvl="0" w:tplc="4E965D2A">
      <w:start w:val="1"/>
      <w:numFmt w:val="decimal"/>
      <w:lvlText w:val="%1."/>
      <w:lvlJc w:val="righ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8BA3E37"/>
    <w:multiLevelType w:val="hybridMultilevel"/>
    <w:tmpl w:val="1050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A8F"/>
    <w:multiLevelType w:val="multilevel"/>
    <w:tmpl w:val="10E2FA8C"/>
    <w:lvl w:ilvl="0">
      <w:start w:val="1"/>
      <w:numFmt w:val="decimal"/>
      <w:lvlText w:val="%1."/>
      <w:lvlJc w:val="right"/>
      <w:pPr>
        <w:tabs>
          <w:tab w:val="num" w:pos="360"/>
        </w:tabs>
        <w:ind w:left="360" w:hanging="72"/>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001068B"/>
    <w:multiLevelType w:val="hybridMultilevel"/>
    <w:tmpl w:val="6082D91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2210CB7"/>
    <w:multiLevelType w:val="hybridMultilevel"/>
    <w:tmpl w:val="150A610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7313E01"/>
    <w:multiLevelType w:val="hybridMultilevel"/>
    <w:tmpl w:val="DBF035F0"/>
    <w:lvl w:ilvl="0" w:tplc="6AE2BF84">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EEC5BE2"/>
    <w:multiLevelType w:val="hybridMultilevel"/>
    <w:tmpl w:val="0AA23F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D542E3"/>
    <w:multiLevelType w:val="hybridMultilevel"/>
    <w:tmpl w:val="880217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10306A6"/>
    <w:multiLevelType w:val="singleLevel"/>
    <w:tmpl w:val="6ED8F27A"/>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34542612"/>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6" w15:restartNumberingAfterBreak="0">
    <w:nsid w:val="35582CD0"/>
    <w:multiLevelType w:val="hybridMultilevel"/>
    <w:tmpl w:val="D1BE11F2"/>
    <w:lvl w:ilvl="0" w:tplc="79FE6EB0">
      <w:numFmt w:val="bullet"/>
      <w:lvlText w:val="•"/>
      <w:lvlJc w:val="left"/>
      <w:pPr>
        <w:ind w:left="660" w:hanging="660"/>
      </w:pPr>
      <w:rPr>
        <w:rFonts w:ascii="Times New Roman" w:eastAsia="Times New Roman" w:hAnsi="Times New Roman" w:cs="Times New Roman"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17" w15:restartNumberingAfterBreak="0">
    <w:nsid w:val="356D545D"/>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8" w15:restartNumberingAfterBreak="0">
    <w:nsid w:val="40C74C09"/>
    <w:multiLevelType w:val="hybridMultilevel"/>
    <w:tmpl w:val="2EE0AA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48797C8F"/>
    <w:multiLevelType w:val="multilevel"/>
    <w:tmpl w:val="6322693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8B20B3D"/>
    <w:multiLevelType w:val="hybridMultilevel"/>
    <w:tmpl w:val="C7F8222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76746A"/>
    <w:multiLevelType w:val="hybridMultilevel"/>
    <w:tmpl w:val="93768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D5B7174"/>
    <w:multiLevelType w:val="hybridMultilevel"/>
    <w:tmpl w:val="3A10E0A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C6B0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15:restartNumberingAfterBreak="0">
    <w:nsid w:val="56C04F4F"/>
    <w:multiLevelType w:val="multilevel"/>
    <w:tmpl w:val="2460C25C"/>
    <w:numStyleLink w:val="StyleNumbered"/>
  </w:abstractNum>
  <w:abstractNum w:abstractNumId="25" w15:restartNumberingAfterBreak="0">
    <w:nsid w:val="57757E9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A194CAA"/>
    <w:multiLevelType w:val="hybridMultilevel"/>
    <w:tmpl w:val="A8F420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AAC311A"/>
    <w:multiLevelType w:val="singleLevel"/>
    <w:tmpl w:val="4B0683B0"/>
    <w:lvl w:ilvl="0">
      <w:start w:val="1"/>
      <w:numFmt w:val="decimal"/>
      <w:lvlText w:val="%1."/>
      <w:lvlJc w:val="right"/>
      <w:pPr>
        <w:tabs>
          <w:tab w:val="num" w:pos="360"/>
        </w:tabs>
        <w:ind w:left="360" w:hanging="216"/>
      </w:pPr>
      <w:rPr>
        <w:rFonts w:ascii="Times New Roman" w:hAnsi="Times New Roman" w:cs="Times New Roman" w:hint="default"/>
        <w:b w:val="0"/>
        <w:i w:val="0"/>
        <w:sz w:val="24"/>
        <w:szCs w:val="24"/>
      </w:rPr>
    </w:lvl>
  </w:abstractNum>
  <w:abstractNum w:abstractNumId="28" w15:restartNumberingAfterBreak="0">
    <w:nsid w:val="63B14089"/>
    <w:multiLevelType w:val="hybridMultilevel"/>
    <w:tmpl w:val="F1CCDFBA"/>
    <w:lvl w:ilvl="0" w:tplc="13E0FA9E">
      <w:start w:val="1"/>
      <w:numFmt w:val="decimal"/>
      <w:lvlText w:val="%1."/>
      <w:lvlJc w:val="right"/>
      <w:pPr>
        <w:tabs>
          <w:tab w:val="num" w:pos="1080"/>
        </w:tabs>
        <w:ind w:left="108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3F16A58"/>
    <w:multiLevelType w:val="hybridMultilevel"/>
    <w:tmpl w:val="360CF43E"/>
    <w:lvl w:ilvl="0" w:tplc="7D720DF6">
      <w:start w:val="1"/>
      <w:numFmt w:val="decimal"/>
      <w:lvlText w:val="%1."/>
      <w:lvlJc w:val="righ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30" w15:restartNumberingAfterBreak="0">
    <w:nsid w:val="69BD3284"/>
    <w:multiLevelType w:val="hybridMultilevel"/>
    <w:tmpl w:val="4A2A9B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C414E9A"/>
    <w:multiLevelType w:val="hybridMultilevel"/>
    <w:tmpl w:val="3D901730"/>
    <w:lvl w:ilvl="0" w:tplc="463828AC">
      <w:start w:val="1"/>
      <w:numFmt w:val="decimal"/>
      <w:lvlText w:val="%1."/>
      <w:lvlJc w:val="right"/>
      <w:pPr>
        <w:tabs>
          <w:tab w:val="num" w:pos="1080"/>
        </w:tabs>
        <w:ind w:left="108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15:restartNumberingAfterBreak="0">
    <w:nsid w:val="6D3D14CC"/>
    <w:multiLevelType w:val="hybridMultilevel"/>
    <w:tmpl w:val="00646BEA"/>
    <w:lvl w:ilvl="0" w:tplc="E37A4E80">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15:restartNumberingAfterBreak="0">
    <w:nsid w:val="72CE220D"/>
    <w:multiLevelType w:val="hybridMultilevel"/>
    <w:tmpl w:val="1F0ED23E"/>
    <w:lvl w:ilvl="0" w:tplc="6AE2BF84">
      <w:start w:val="1"/>
      <w:numFmt w:val="bullet"/>
      <w:lvlText w:val=""/>
      <w:lvlJc w:val="left"/>
      <w:pPr>
        <w:tabs>
          <w:tab w:val="num" w:pos="3600"/>
        </w:tabs>
        <w:ind w:left="36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9FA4AAC"/>
    <w:multiLevelType w:val="hybridMultilevel"/>
    <w:tmpl w:val="D94481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B7F09E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29"/>
  </w:num>
  <w:num w:numId="3">
    <w:abstractNumId w:val="14"/>
  </w:num>
  <w:num w:numId="4">
    <w:abstractNumId w:val="6"/>
  </w:num>
  <w:num w:numId="5">
    <w:abstractNumId w:val="27"/>
  </w:num>
  <w:num w:numId="6">
    <w:abstractNumId w:val="3"/>
  </w:num>
  <w:num w:numId="7">
    <w:abstractNumId w:val="24"/>
  </w:num>
  <w:num w:numId="8">
    <w:abstractNumId w:val="35"/>
  </w:num>
  <w:num w:numId="9">
    <w:abstractNumId w:val="17"/>
  </w:num>
  <w:num w:numId="10">
    <w:abstractNumId w:val="18"/>
  </w:num>
  <w:num w:numId="11">
    <w:abstractNumId w:val="8"/>
  </w:num>
  <w:num w:numId="12">
    <w:abstractNumId w:val="32"/>
  </w:num>
  <w:num w:numId="13">
    <w:abstractNumId w:val="25"/>
  </w:num>
  <w:num w:numId="14">
    <w:abstractNumId w:val="15"/>
  </w:num>
  <w:num w:numId="15">
    <w:abstractNumId w:val="1"/>
  </w:num>
  <w:num w:numId="16">
    <w:abstractNumId w:val="31"/>
  </w:num>
  <w:num w:numId="17">
    <w:abstractNumId w:val="4"/>
  </w:num>
  <w:num w:numId="18">
    <w:abstractNumId w:val="19"/>
  </w:num>
  <w:num w:numId="19">
    <w:abstractNumId w:val="34"/>
  </w:num>
  <w:num w:numId="20">
    <w:abstractNumId w:val="23"/>
  </w:num>
  <w:num w:numId="21">
    <w:abstractNumId w:val="12"/>
  </w:num>
  <w:num w:numId="22">
    <w:abstractNumId w:val="33"/>
  </w:num>
  <w:num w:numId="23">
    <w:abstractNumId w:val="9"/>
  </w:num>
  <w:num w:numId="24">
    <w:abstractNumId w:val="26"/>
  </w:num>
  <w:num w:numId="25">
    <w:abstractNumId w:val="13"/>
  </w:num>
  <w:num w:numId="26">
    <w:abstractNumId w:val="7"/>
  </w:num>
  <w:num w:numId="27">
    <w:abstractNumId w:val="28"/>
  </w:num>
  <w:num w:numId="28">
    <w:abstractNumId w:val="11"/>
  </w:num>
  <w:num w:numId="29">
    <w:abstractNumId w:val="21"/>
  </w:num>
  <w:num w:numId="30">
    <w:abstractNumId w:val="30"/>
  </w:num>
  <w:num w:numId="31">
    <w:abstractNumId w:val="5"/>
  </w:num>
  <w:num w:numId="32">
    <w:abstractNumId w:val="22"/>
  </w:num>
  <w:num w:numId="33">
    <w:abstractNumId w:val="16"/>
  </w:num>
  <w:num w:numId="34">
    <w:abstractNumId w:val="20"/>
  </w:num>
  <w:num w:numId="35">
    <w:abstractNumId w:val="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A18"/>
    <w:rsid w:val="00002752"/>
    <w:rsid w:val="00005A84"/>
    <w:rsid w:val="0001296A"/>
    <w:rsid w:val="000144B1"/>
    <w:rsid w:val="000206C5"/>
    <w:rsid w:val="00022251"/>
    <w:rsid w:val="0002461B"/>
    <w:rsid w:val="00024BCD"/>
    <w:rsid w:val="00032478"/>
    <w:rsid w:val="00033029"/>
    <w:rsid w:val="00033928"/>
    <w:rsid w:val="0003756D"/>
    <w:rsid w:val="000378A6"/>
    <w:rsid w:val="000403EA"/>
    <w:rsid w:val="000409A9"/>
    <w:rsid w:val="000410AB"/>
    <w:rsid w:val="00042B94"/>
    <w:rsid w:val="00044168"/>
    <w:rsid w:val="00046621"/>
    <w:rsid w:val="000477CD"/>
    <w:rsid w:val="0004785C"/>
    <w:rsid w:val="00051744"/>
    <w:rsid w:val="000518CD"/>
    <w:rsid w:val="0005335A"/>
    <w:rsid w:val="000534EE"/>
    <w:rsid w:val="00053C23"/>
    <w:rsid w:val="00056442"/>
    <w:rsid w:val="00060700"/>
    <w:rsid w:val="0006325F"/>
    <w:rsid w:val="00064796"/>
    <w:rsid w:val="000730C4"/>
    <w:rsid w:val="00074796"/>
    <w:rsid w:val="00076244"/>
    <w:rsid w:val="00077232"/>
    <w:rsid w:val="000822A5"/>
    <w:rsid w:val="0008406E"/>
    <w:rsid w:val="000853D7"/>
    <w:rsid w:val="00087AC5"/>
    <w:rsid w:val="00087FFE"/>
    <w:rsid w:val="000948B5"/>
    <w:rsid w:val="000954F2"/>
    <w:rsid w:val="00096D99"/>
    <w:rsid w:val="00096EFF"/>
    <w:rsid w:val="000A0FC1"/>
    <w:rsid w:val="000A2BC3"/>
    <w:rsid w:val="000A5846"/>
    <w:rsid w:val="000A6ABA"/>
    <w:rsid w:val="000A7B7E"/>
    <w:rsid w:val="000B1E14"/>
    <w:rsid w:val="000B70F0"/>
    <w:rsid w:val="000C00D1"/>
    <w:rsid w:val="000C069B"/>
    <w:rsid w:val="000C27E5"/>
    <w:rsid w:val="000C453B"/>
    <w:rsid w:val="000C51EA"/>
    <w:rsid w:val="000C6C7E"/>
    <w:rsid w:val="000D1120"/>
    <w:rsid w:val="000D29AD"/>
    <w:rsid w:val="000D48D8"/>
    <w:rsid w:val="000D6F4A"/>
    <w:rsid w:val="000D71C7"/>
    <w:rsid w:val="000D7FA9"/>
    <w:rsid w:val="000E3087"/>
    <w:rsid w:val="000E3155"/>
    <w:rsid w:val="000E3C85"/>
    <w:rsid w:val="000E421C"/>
    <w:rsid w:val="000E4F48"/>
    <w:rsid w:val="000E631C"/>
    <w:rsid w:val="000E756D"/>
    <w:rsid w:val="000F083D"/>
    <w:rsid w:val="000F0A04"/>
    <w:rsid w:val="000F0D14"/>
    <w:rsid w:val="000F176E"/>
    <w:rsid w:val="000F2B18"/>
    <w:rsid w:val="000F625C"/>
    <w:rsid w:val="000F7780"/>
    <w:rsid w:val="00102A91"/>
    <w:rsid w:val="001059F0"/>
    <w:rsid w:val="001111A6"/>
    <w:rsid w:val="00113CD6"/>
    <w:rsid w:val="001219C4"/>
    <w:rsid w:val="001228FC"/>
    <w:rsid w:val="00122B0B"/>
    <w:rsid w:val="00125402"/>
    <w:rsid w:val="0012688E"/>
    <w:rsid w:val="001334D3"/>
    <w:rsid w:val="00135E78"/>
    <w:rsid w:val="001371F0"/>
    <w:rsid w:val="00137864"/>
    <w:rsid w:val="00143934"/>
    <w:rsid w:val="00152FA4"/>
    <w:rsid w:val="00153746"/>
    <w:rsid w:val="00154103"/>
    <w:rsid w:val="00154E72"/>
    <w:rsid w:val="001612C8"/>
    <w:rsid w:val="00164C73"/>
    <w:rsid w:val="001651AD"/>
    <w:rsid w:val="00170AA6"/>
    <w:rsid w:val="00170C10"/>
    <w:rsid w:val="00171DCE"/>
    <w:rsid w:val="001727F0"/>
    <w:rsid w:val="00173A7F"/>
    <w:rsid w:val="00173EF3"/>
    <w:rsid w:val="00173FF9"/>
    <w:rsid w:val="00176C1C"/>
    <w:rsid w:val="00180D67"/>
    <w:rsid w:val="001821EB"/>
    <w:rsid w:val="001830C6"/>
    <w:rsid w:val="00191727"/>
    <w:rsid w:val="00191EF9"/>
    <w:rsid w:val="001920E4"/>
    <w:rsid w:val="001966EF"/>
    <w:rsid w:val="001A0C85"/>
    <w:rsid w:val="001A4EE7"/>
    <w:rsid w:val="001A64CA"/>
    <w:rsid w:val="001B07EF"/>
    <w:rsid w:val="001B1527"/>
    <w:rsid w:val="001B3286"/>
    <w:rsid w:val="001B37C0"/>
    <w:rsid w:val="001B524D"/>
    <w:rsid w:val="001C50E5"/>
    <w:rsid w:val="001C7163"/>
    <w:rsid w:val="001D0208"/>
    <w:rsid w:val="001D392B"/>
    <w:rsid w:val="001D4C63"/>
    <w:rsid w:val="001D6203"/>
    <w:rsid w:val="001E11A0"/>
    <w:rsid w:val="001E1C34"/>
    <w:rsid w:val="001E3902"/>
    <w:rsid w:val="001E3D37"/>
    <w:rsid w:val="001E5DC1"/>
    <w:rsid w:val="001E6D4D"/>
    <w:rsid w:val="001F2F62"/>
    <w:rsid w:val="001F30DD"/>
    <w:rsid w:val="00203F39"/>
    <w:rsid w:val="0020567B"/>
    <w:rsid w:val="002069FF"/>
    <w:rsid w:val="0021003D"/>
    <w:rsid w:val="00211C0D"/>
    <w:rsid w:val="00217770"/>
    <w:rsid w:val="00221039"/>
    <w:rsid w:val="00221F85"/>
    <w:rsid w:val="0022389E"/>
    <w:rsid w:val="0022723C"/>
    <w:rsid w:val="00227326"/>
    <w:rsid w:val="0023308B"/>
    <w:rsid w:val="00233650"/>
    <w:rsid w:val="002408A5"/>
    <w:rsid w:val="0024364B"/>
    <w:rsid w:val="002446CF"/>
    <w:rsid w:val="00244B0F"/>
    <w:rsid w:val="00245DFB"/>
    <w:rsid w:val="00246DBE"/>
    <w:rsid w:val="0025016D"/>
    <w:rsid w:val="002560B7"/>
    <w:rsid w:val="00257B15"/>
    <w:rsid w:val="00260FF2"/>
    <w:rsid w:val="00261D64"/>
    <w:rsid w:val="00263220"/>
    <w:rsid w:val="0026386C"/>
    <w:rsid w:val="00265B8A"/>
    <w:rsid w:val="0026678D"/>
    <w:rsid w:val="002671A5"/>
    <w:rsid w:val="002703EC"/>
    <w:rsid w:val="00271B53"/>
    <w:rsid w:val="00275DE5"/>
    <w:rsid w:val="00275FAD"/>
    <w:rsid w:val="002762E7"/>
    <w:rsid w:val="002766B4"/>
    <w:rsid w:val="002800C0"/>
    <w:rsid w:val="00280A4E"/>
    <w:rsid w:val="002855F1"/>
    <w:rsid w:val="00286D43"/>
    <w:rsid w:val="00294605"/>
    <w:rsid w:val="002961D6"/>
    <w:rsid w:val="0029781E"/>
    <w:rsid w:val="002A03AD"/>
    <w:rsid w:val="002A0E45"/>
    <w:rsid w:val="002A1E54"/>
    <w:rsid w:val="002A3C58"/>
    <w:rsid w:val="002A4951"/>
    <w:rsid w:val="002A6A7E"/>
    <w:rsid w:val="002B1134"/>
    <w:rsid w:val="002B2342"/>
    <w:rsid w:val="002B4D68"/>
    <w:rsid w:val="002B52FA"/>
    <w:rsid w:val="002B6461"/>
    <w:rsid w:val="002B6B74"/>
    <w:rsid w:val="002B7962"/>
    <w:rsid w:val="002C0F06"/>
    <w:rsid w:val="002C3887"/>
    <w:rsid w:val="002C3B1F"/>
    <w:rsid w:val="002C52EF"/>
    <w:rsid w:val="002C796F"/>
    <w:rsid w:val="002D046F"/>
    <w:rsid w:val="002D054F"/>
    <w:rsid w:val="002D4CA8"/>
    <w:rsid w:val="002D5DA0"/>
    <w:rsid w:val="002D74E7"/>
    <w:rsid w:val="002D76A0"/>
    <w:rsid w:val="002E0997"/>
    <w:rsid w:val="002E4F56"/>
    <w:rsid w:val="002E5AE1"/>
    <w:rsid w:val="002E63CF"/>
    <w:rsid w:val="002F265E"/>
    <w:rsid w:val="002F3479"/>
    <w:rsid w:val="002F4148"/>
    <w:rsid w:val="00302394"/>
    <w:rsid w:val="003032E3"/>
    <w:rsid w:val="00306E16"/>
    <w:rsid w:val="00306FF9"/>
    <w:rsid w:val="003078F2"/>
    <w:rsid w:val="00311D6A"/>
    <w:rsid w:val="00312771"/>
    <w:rsid w:val="00315A9E"/>
    <w:rsid w:val="0031605C"/>
    <w:rsid w:val="00316D26"/>
    <w:rsid w:val="00320320"/>
    <w:rsid w:val="0032285D"/>
    <w:rsid w:val="003266A6"/>
    <w:rsid w:val="003304A8"/>
    <w:rsid w:val="00331884"/>
    <w:rsid w:val="003333F3"/>
    <w:rsid w:val="00333D48"/>
    <w:rsid w:val="00334BBB"/>
    <w:rsid w:val="0033716E"/>
    <w:rsid w:val="00340BB8"/>
    <w:rsid w:val="0034345B"/>
    <w:rsid w:val="003464C5"/>
    <w:rsid w:val="003474AA"/>
    <w:rsid w:val="003475EE"/>
    <w:rsid w:val="003476DB"/>
    <w:rsid w:val="00353CDC"/>
    <w:rsid w:val="003541A2"/>
    <w:rsid w:val="00356F7C"/>
    <w:rsid w:val="0036046C"/>
    <w:rsid w:val="00361D75"/>
    <w:rsid w:val="00363F43"/>
    <w:rsid w:val="003726F5"/>
    <w:rsid w:val="00373C27"/>
    <w:rsid w:val="003759CD"/>
    <w:rsid w:val="00376DF8"/>
    <w:rsid w:val="00376EDF"/>
    <w:rsid w:val="00381DC6"/>
    <w:rsid w:val="003837F3"/>
    <w:rsid w:val="0038391B"/>
    <w:rsid w:val="00385F2C"/>
    <w:rsid w:val="0038652B"/>
    <w:rsid w:val="00386B65"/>
    <w:rsid w:val="003901F4"/>
    <w:rsid w:val="00392614"/>
    <w:rsid w:val="0039406D"/>
    <w:rsid w:val="003A4E5B"/>
    <w:rsid w:val="003B366B"/>
    <w:rsid w:val="003B414B"/>
    <w:rsid w:val="003B652D"/>
    <w:rsid w:val="003B689F"/>
    <w:rsid w:val="003B6F9B"/>
    <w:rsid w:val="003C3835"/>
    <w:rsid w:val="003C5DDF"/>
    <w:rsid w:val="003D0423"/>
    <w:rsid w:val="003D1B1B"/>
    <w:rsid w:val="003D20C8"/>
    <w:rsid w:val="003D41C0"/>
    <w:rsid w:val="003E069B"/>
    <w:rsid w:val="003E16EC"/>
    <w:rsid w:val="003E1FE6"/>
    <w:rsid w:val="003E272E"/>
    <w:rsid w:val="003E6478"/>
    <w:rsid w:val="003F36AE"/>
    <w:rsid w:val="003F4AD5"/>
    <w:rsid w:val="003F6B89"/>
    <w:rsid w:val="003F706A"/>
    <w:rsid w:val="00400893"/>
    <w:rsid w:val="00401119"/>
    <w:rsid w:val="00403AB2"/>
    <w:rsid w:val="00406519"/>
    <w:rsid w:val="00411586"/>
    <w:rsid w:val="00411D56"/>
    <w:rsid w:val="0041591F"/>
    <w:rsid w:val="00415A7A"/>
    <w:rsid w:val="00416040"/>
    <w:rsid w:val="004238AC"/>
    <w:rsid w:val="00423C3D"/>
    <w:rsid w:val="00430418"/>
    <w:rsid w:val="00431D5C"/>
    <w:rsid w:val="0043207D"/>
    <w:rsid w:val="00432A9E"/>
    <w:rsid w:val="0043349A"/>
    <w:rsid w:val="00433BC8"/>
    <w:rsid w:val="00434514"/>
    <w:rsid w:val="00435AF3"/>
    <w:rsid w:val="00437707"/>
    <w:rsid w:val="00440823"/>
    <w:rsid w:val="004439BE"/>
    <w:rsid w:val="00443BF8"/>
    <w:rsid w:val="00444C98"/>
    <w:rsid w:val="004500E9"/>
    <w:rsid w:val="00450DB7"/>
    <w:rsid w:val="0045166F"/>
    <w:rsid w:val="00452257"/>
    <w:rsid w:val="00453052"/>
    <w:rsid w:val="00453C41"/>
    <w:rsid w:val="004544BF"/>
    <w:rsid w:val="00460E5E"/>
    <w:rsid w:val="00460FB6"/>
    <w:rsid w:val="00461C68"/>
    <w:rsid w:val="00462C31"/>
    <w:rsid w:val="004637AF"/>
    <w:rsid w:val="004675C8"/>
    <w:rsid w:val="00467FD9"/>
    <w:rsid w:val="0047021C"/>
    <w:rsid w:val="00471939"/>
    <w:rsid w:val="00473822"/>
    <w:rsid w:val="0047527A"/>
    <w:rsid w:val="00475457"/>
    <w:rsid w:val="00476E47"/>
    <w:rsid w:val="0047729E"/>
    <w:rsid w:val="00481D77"/>
    <w:rsid w:val="00486E62"/>
    <w:rsid w:val="00491323"/>
    <w:rsid w:val="004945BC"/>
    <w:rsid w:val="004A6A2F"/>
    <w:rsid w:val="004B14D6"/>
    <w:rsid w:val="004B3051"/>
    <w:rsid w:val="004B640A"/>
    <w:rsid w:val="004C2689"/>
    <w:rsid w:val="004C352E"/>
    <w:rsid w:val="004C42BC"/>
    <w:rsid w:val="004C55B6"/>
    <w:rsid w:val="004C591E"/>
    <w:rsid w:val="004C5C81"/>
    <w:rsid w:val="004C6317"/>
    <w:rsid w:val="004C79AB"/>
    <w:rsid w:val="004D1A09"/>
    <w:rsid w:val="004D238C"/>
    <w:rsid w:val="004D3388"/>
    <w:rsid w:val="004D3CAB"/>
    <w:rsid w:val="004D528F"/>
    <w:rsid w:val="004D60A0"/>
    <w:rsid w:val="004D651C"/>
    <w:rsid w:val="004D7550"/>
    <w:rsid w:val="004E25C6"/>
    <w:rsid w:val="004E4D21"/>
    <w:rsid w:val="004E626A"/>
    <w:rsid w:val="004E73B1"/>
    <w:rsid w:val="004F1493"/>
    <w:rsid w:val="004F2108"/>
    <w:rsid w:val="004F6582"/>
    <w:rsid w:val="004F6DFF"/>
    <w:rsid w:val="005007F4"/>
    <w:rsid w:val="00500E1A"/>
    <w:rsid w:val="00501442"/>
    <w:rsid w:val="00501D7A"/>
    <w:rsid w:val="00502966"/>
    <w:rsid w:val="005069DF"/>
    <w:rsid w:val="00510313"/>
    <w:rsid w:val="00512064"/>
    <w:rsid w:val="00513E15"/>
    <w:rsid w:val="00520BB1"/>
    <w:rsid w:val="0052148B"/>
    <w:rsid w:val="0052169B"/>
    <w:rsid w:val="005230FE"/>
    <w:rsid w:val="00523C12"/>
    <w:rsid w:val="00523D1D"/>
    <w:rsid w:val="00524009"/>
    <w:rsid w:val="005256CD"/>
    <w:rsid w:val="00525B4C"/>
    <w:rsid w:val="00526FE3"/>
    <w:rsid w:val="005279FA"/>
    <w:rsid w:val="00532350"/>
    <w:rsid w:val="00533486"/>
    <w:rsid w:val="0053492F"/>
    <w:rsid w:val="00540198"/>
    <w:rsid w:val="0054042C"/>
    <w:rsid w:val="00540809"/>
    <w:rsid w:val="00542013"/>
    <w:rsid w:val="0054276A"/>
    <w:rsid w:val="00545E7C"/>
    <w:rsid w:val="00550033"/>
    <w:rsid w:val="00550B49"/>
    <w:rsid w:val="00550BD1"/>
    <w:rsid w:val="00551AF2"/>
    <w:rsid w:val="00552B4C"/>
    <w:rsid w:val="00553CF7"/>
    <w:rsid w:val="00557457"/>
    <w:rsid w:val="0056010E"/>
    <w:rsid w:val="0056683A"/>
    <w:rsid w:val="00567088"/>
    <w:rsid w:val="00571F5C"/>
    <w:rsid w:val="005745DD"/>
    <w:rsid w:val="005756BC"/>
    <w:rsid w:val="00576F10"/>
    <w:rsid w:val="005813F7"/>
    <w:rsid w:val="0059051A"/>
    <w:rsid w:val="00592A63"/>
    <w:rsid w:val="00595254"/>
    <w:rsid w:val="00596E39"/>
    <w:rsid w:val="005979BB"/>
    <w:rsid w:val="005A083C"/>
    <w:rsid w:val="005A204F"/>
    <w:rsid w:val="005A3773"/>
    <w:rsid w:val="005A5AF9"/>
    <w:rsid w:val="005A60A0"/>
    <w:rsid w:val="005A7B58"/>
    <w:rsid w:val="005B368D"/>
    <w:rsid w:val="005B42C3"/>
    <w:rsid w:val="005B4E89"/>
    <w:rsid w:val="005B681E"/>
    <w:rsid w:val="005C0285"/>
    <w:rsid w:val="005C066F"/>
    <w:rsid w:val="005C679C"/>
    <w:rsid w:val="005D574A"/>
    <w:rsid w:val="005D5A44"/>
    <w:rsid w:val="005D75CD"/>
    <w:rsid w:val="005D78C7"/>
    <w:rsid w:val="005E00D4"/>
    <w:rsid w:val="005E3836"/>
    <w:rsid w:val="005E3E95"/>
    <w:rsid w:val="005E40FB"/>
    <w:rsid w:val="005E5C25"/>
    <w:rsid w:val="005E5ED3"/>
    <w:rsid w:val="005F068D"/>
    <w:rsid w:val="005F28D9"/>
    <w:rsid w:val="005F482F"/>
    <w:rsid w:val="005F5275"/>
    <w:rsid w:val="005F5E0A"/>
    <w:rsid w:val="005F72F3"/>
    <w:rsid w:val="005F739E"/>
    <w:rsid w:val="00601E95"/>
    <w:rsid w:val="006063C4"/>
    <w:rsid w:val="006072E1"/>
    <w:rsid w:val="00610DD3"/>
    <w:rsid w:val="00612A91"/>
    <w:rsid w:val="00613E96"/>
    <w:rsid w:val="00613FAC"/>
    <w:rsid w:val="00615CD6"/>
    <w:rsid w:val="006235C3"/>
    <w:rsid w:val="0062399F"/>
    <w:rsid w:val="006240FB"/>
    <w:rsid w:val="00624148"/>
    <w:rsid w:val="0062659A"/>
    <w:rsid w:val="006265A7"/>
    <w:rsid w:val="00631CD4"/>
    <w:rsid w:val="00632695"/>
    <w:rsid w:val="00632E0F"/>
    <w:rsid w:val="00634D73"/>
    <w:rsid w:val="00634E31"/>
    <w:rsid w:val="00635F5A"/>
    <w:rsid w:val="006376E4"/>
    <w:rsid w:val="00641052"/>
    <w:rsid w:val="00644629"/>
    <w:rsid w:val="006453C6"/>
    <w:rsid w:val="006468AC"/>
    <w:rsid w:val="00646D8F"/>
    <w:rsid w:val="006472EB"/>
    <w:rsid w:val="00650C45"/>
    <w:rsid w:val="006547C2"/>
    <w:rsid w:val="0065537D"/>
    <w:rsid w:val="00661333"/>
    <w:rsid w:val="006668B8"/>
    <w:rsid w:val="0068132D"/>
    <w:rsid w:val="0068185E"/>
    <w:rsid w:val="00681D27"/>
    <w:rsid w:val="00686DB1"/>
    <w:rsid w:val="0069012A"/>
    <w:rsid w:val="00693B5F"/>
    <w:rsid w:val="00693D0C"/>
    <w:rsid w:val="006948F0"/>
    <w:rsid w:val="006965A7"/>
    <w:rsid w:val="00696BB1"/>
    <w:rsid w:val="006A13BA"/>
    <w:rsid w:val="006A43CD"/>
    <w:rsid w:val="006A5781"/>
    <w:rsid w:val="006A63D7"/>
    <w:rsid w:val="006B0748"/>
    <w:rsid w:val="006B10A4"/>
    <w:rsid w:val="006B2362"/>
    <w:rsid w:val="006B2C98"/>
    <w:rsid w:val="006B63DF"/>
    <w:rsid w:val="006C088B"/>
    <w:rsid w:val="006C166F"/>
    <w:rsid w:val="006C2181"/>
    <w:rsid w:val="006C2F54"/>
    <w:rsid w:val="006C3609"/>
    <w:rsid w:val="006C4918"/>
    <w:rsid w:val="006C4EBB"/>
    <w:rsid w:val="006C58C4"/>
    <w:rsid w:val="006C5E26"/>
    <w:rsid w:val="006C7326"/>
    <w:rsid w:val="006D06BD"/>
    <w:rsid w:val="006D07C0"/>
    <w:rsid w:val="006D2037"/>
    <w:rsid w:val="006D3A7D"/>
    <w:rsid w:val="006D55BE"/>
    <w:rsid w:val="006D75F0"/>
    <w:rsid w:val="006D7DE9"/>
    <w:rsid w:val="006E339F"/>
    <w:rsid w:val="006E620F"/>
    <w:rsid w:val="006E62A8"/>
    <w:rsid w:val="006E79B8"/>
    <w:rsid w:val="006F4853"/>
    <w:rsid w:val="006F69A9"/>
    <w:rsid w:val="006F6CA3"/>
    <w:rsid w:val="007006CF"/>
    <w:rsid w:val="0070175E"/>
    <w:rsid w:val="00705149"/>
    <w:rsid w:val="007056E1"/>
    <w:rsid w:val="007144FC"/>
    <w:rsid w:val="00714514"/>
    <w:rsid w:val="0072302A"/>
    <w:rsid w:val="00723452"/>
    <w:rsid w:val="00731320"/>
    <w:rsid w:val="007318EC"/>
    <w:rsid w:val="0073302B"/>
    <w:rsid w:val="00734866"/>
    <w:rsid w:val="00736123"/>
    <w:rsid w:val="007366E3"/>
    <w:rsid w:val="007415D3"/>
    <w:rsid w:val="00743EB2"/>
    <w:rsid w:val="007454EC"/>
    <w:rsid w:val="007458BD"/>
    <w:rsid w:val="00745ADF"/>
    <w:rsid w:val="0074692F"/>
    <w:rsid w:val="007471FA"/>
    <w:rsid w:val="007472E8"/>
    <w:rsid w:val="00747B28"/>
    <w:rsid w:val="0075199E"/>
    <w:rsid w:val="00751F9F"/>
    <w:rsid w:val="00753870"/>
    <w:rsid w:val="007567B0"/>
    <w:rsid w:val="00763052"/>
    <w:rsid w:val="00763640"/>
    <w:rsid w:val="00764B1B"/>
    <w:rsid w:val="00764E4B"/>
    <w:rsid w:val="007658D4"/>
    <w:rsid w:val="00770CB5"/>
    <w:rsid w:val="00771183"/>
    <w:rsid w:val="0077466D"/>
    <w:rsid w:val="00776710"/>
    <w:rsid w:val="007777C5"/>
    <w:rsid w:val="00777E20"/>
    <w:rsid w:val="007830DC"/>
    <w:rsid w:val="00783257"/>
    <w:rsid w:val="00783660"/>
    <w:rsid w:val="00784009"/>
    <w:rsid w:val="00786C8F"/>
    <w:rsid w:val="00786C99"/>
    <w:rsid w:val="00790099"/>
    <w:rsid w:val="00790517"/>
    <w:rsid w:val="0079100D"/>
    <w:rsid w:val="007941B2"/>
    <w:rsid w:val="00796632"/>
    <w:rsid w:val="00796754"/>
    <w:rsid w:val="007A4A72"/>
    <w:rsid w:val="007A4F50"/>
    <w:rsid w:val="007A5C55"/>
    <w:rsid w:val="007A5DB3"/>
    <w:rsid w:val="007A6FB8"/>
    <w:rsid w:val="007B2493"/>
    <w:rsid w:val="007B703B"/>
    <w:rsid w:val="007B7868"/>
    <w:rsid w:val="007C0494"/>
    <w:rsid w:val="007C0B34"/>
    <w:rsid w:val="007C11C9"/>
    <w:rsid w:val="007C23E3"/>
    <w:rsid w:val="007C26D7"/>
    <w:rsid w:val="007C352A"/>
    <w:rsid w:val="007C3761"/>
    <w:rsid w:val="007C3BA0"/>
    <w:rsid w:val="007C4A18"/>
    <w:rsid w:val="007C59E9"/>
    <w:rsid w:val="007C5E18"/>
    <w:rsid w:val="007C6406"/>
    <w:rsid w:val="007C7429"/>
    <w:rsid w:val="007D0634"/>
    <w:rsid w:val="007D0C97"/>
    <w:rsid w:val="007D19D6"/>
    <w:rsid w:val="007D3555"/>
    <w:rsid w:val="007D3CC2"/>
    <w:rsid w:val="007D4C09"/>
    <w:rsid w:val="007E1DA9"/>
    <w:rsid w:val="007E4CD9"/>
    <w:rsid w:val="007E55BA"/>
    <w:rsid w:val="007E5E23"/>
    <w:rsid w:val="007E6F5D"/>
    <w:rsid w:val="007F0631"/>
    <w:rsid w:val="007F17FF"/>
    <w:rsid w:val="007F3364"/>
    <w:rsid w:val="00800501"/>
    <w:rsid w:val="008021ED"/>
    <w:rsid w:val="0080369E"/>
    <w:rsid w:val="00803C2C"/>
    <w:rsid w:val="00806585"/>
    <w:rsid w:val="0080754F"/>
    <w:rsid w:val="00816D01"/>
    <w:rsid w:val="00817909"/>
    <w:rsid w:val="00820C98"/>
    <w:rsid w:val="008315B3"/>
    <w:rsid w:val="008345DF"/>
    <w:rsid w:val="0083777E"/>
    <w:rsid w:val="008415E5"/>
    <w:rsid w:val="008436CD"/>
    <w:rsid w:val="008509CD"/>
    <w:rsid w:val="0085511F"/>
    <w:rsid w:val="0085587D"/>
    <w:rsid w:val="00857C69"/>
    <w:rsid w:val="00864568"/>
    <w:rsid w:val="008655E0"/>
    <w:rsid w:val="00865801"/>
    <w:rsid w:val="008679F5"/>
    <w:rsid w:val="00871A95"/>
    <w:rsid w:val="0087265D"/>
    <w:rsid w:val="008748E9"/>
    <w:rsid w:val="00874F64"/>
    <w:rsid w:val="0087768E"/>
    <w:rsid w:val="00877FA5"/>
    <w:rsid w:val="00880D57"/>
    <w:rsid w:val="00882CCA"/>
    <w:rsid w:val="00884392"/>
    <w:rsid w:val="00885412"/>
    <w:rsid w:val="0089005A"/>
    <w:rsid w:val="008952FD"/>
    <w:rsid w:val="00895E02"/>
    <w:rsid w:val="00896017"/>
    <w:rsid w:val="00897169"/>
    <w:rsid w:val="008A20E8"/>
    <w:rsid w:val="008A2F27"/>
    <w:rsid w:val="008B0DD7"/>
    <w:rsid w:val="008B20A9"/>
    <w:rsid w:val="008B5D42"/>
    <w:rsid w:val="008B6C01"/>
    <w:rsid w:val="008B719E"/>
    <w:rsid w:val="008B76AE"/>
    <w:rsid w:val="008C07B5"/>
    <w:rsid w:val="008C07DF"/>
    <w:rsid w:val="008C0B97"/>
    <w:rsid w:val="008C1B17"/>
    <w:rsid w:val="008C2BEA"/>
    <w:rsid w:val="008C32D3"/>
    <w:rsid w:val="008D3056"/>
    <w:rsid w:val="008D3362"/>
    <w:rsid w:val="008E0D1B"/>
    <w:rsid w:val="008E125C"/>
    <w:rsid w:val="008E2E22"/>
    <w:rsid w:val="008E2FF2"/>
    <w:rsid w:val="008F224E"/>
    <w:rsid w:val="008F2491"/>
    <w:rsid w:val="008F2856"/>
    <w:rsid w:val="008F2B60"/>
    <w:rsid w:val="008F490A"/>
    <w:rsid w:val="008F4D0A"/>
    <w:rsid w:val="008F628E"/>
    <w:rsid w:val="008F69E7"/>
    <w:rsid w:val="008F7F70"/>
    <w:rsid w:val="00902562"/>
    <w:rsid w:val="00902FC3"/>
    <w:rsid w:val="00906CB6"/>
    <w:rsid w:val="009140D0"/>
    <w:rsid w:val="00915B5D"/>
    <w:rsid w:val="00917D9E"/>
    <w:rsid w:val="009209F6"/>
    <w:rsid w:val="0092378F"/>
    <w:rsid w:val="0092660D"/>
    <w:rsid w:val="00927E90"/>
    <w:rsid w:val="00930151"/>
    <w:rsid w:val="00933ED8"/>
    <w:rsid w:val="00934600"/>
    <w:rsid w:val="0093622E"/>
    <w:rsid w:val="009371A3"/>
    <w:rsid w:val="00937B15"/>
    <w:rsid w:val="009404C5"/>
    <w:rsid w:val="009442FC"/>
    <w:rsid w:val="00945E40"/>
    <w:rsid w:val="009464A6"/>
    <w:rsid w:val="009467D9"/>
    <w:rsid w:val="009470EC"/>
    <w:rsid w:val="00950FB5"/>
    <w:rsid w:val="00951DC6"/>
    <w:rsid w:val="00952EE8"/>
    <w:rsid w:val="00953A47"/>
    <w:rsid w:val="00955322"/>
    <w:rsid w:val="0096068B"/>
    <w:rsid w:val="0096068F"/>
    <w:rsid w:val="0096167D"/>
    <w:rsid w:val="009616DB"/>
    <w:rsid w:val="00962CCB"/>
    <w:rsid w:val="00965358"/>
    <w:rsid w:val="00965483"/>
    <w:rsid w:val="00966F13"/>
    <w:rsid w:val="00973D29"/>
    <w:rsid w:val="00974EED"/>
    <w:rsid w:val="00975324"/>
    <w:rsid w:val="00975796"/>
    <w:rsid w:val="009829AB"/>
    <w:rsid w:val="0098448D"/>
    <w:rsid w:val="00984AD8"/>
    <w:rsid w:val="00990E61"/>
    <w:rsid w:val="00991B18"/>
    <w:rsid w:val="009925A5"/>
    <w:rsid w:val="00994B35"/>
    <w:rsid w:val="009961BB"/>
    <w:rsid w:val="009A3877"/>
    <w:rsid w:val="009A4EC5"/>
    <w:rsid w:val="009A59A5"/>
    <w:rsid w:val="009A75C1"/>
    <w:rsid w:val="009B41B1"/>
    <w:rsid w:val="009B4BCC"/>
    <w:rsid w:val="009B7478"/>
    <w:rsid w:val="009B77E4"/>
    <w:rsid w:val="009C0944"/>
    <w:rsid w:val="009C20A4"/>
    <w:rsid w:val="009C3FE5"/>
    <w:rsid w:val="009C4019"/>
    <w:rsid w:val="009C7352"/>
    <w:rsid w:val="009D187D"/>
    <w:rsid w:val="009D4684"/>
    <w:rsid w:val="009D67B7"/>
    <w:rsid w:val="009D73ED"/>
    <w:rsid w:val="009E0DF6"/>
    <w:rsid w:val="009E73C2"/>
    <w:rsid w:val="009E7900"/>
    <w:rsid w:val="009F044E"/>
    <w:rsid w:val="009F35FD"/>
    <w:rsid w:val="009F5331"/>
    <w:rsid w:val="009F5B84"/>
    <w:rsid w:val="009F6263"/>
    <w:rsid w:val="009F6AA7"/>
    <w:rsid w:val="009F7289"/>
    <w:rsid w:val="00A0221F"/>
    <w:rsid w:val="00A022B0"/>
    <w:rsid w:val="00A02981"/>
    <w:rsid w:val="00A034AF"/>
    <w:rsid w:val="00A03846"/>
    <w:rsid w:val="00A0442B"/>
    <w:rsid w:val="00A0563C"/>
    <w:rsid w:val="00A05AC3"/>
    <w:rsid w:val="00A06289"/>
    <w:rsid w:val="00A07296"/>
    <w:rsid w:val="00A134FB"/>
    <w:rsid w:val="00A15DF3"/>
    <w:rsid w:val="00A163D9"/>
    <w:rsid w:val="00A177AE"/>
    <w:rsid w:val="00A22855"/>
    <w:rsid w:val="00A2689D"/>
    <w:rsid w:val="00A34616"/>
    <w:rsid w:val="00A35A70"/>
    <w:rsid w:val="00A35C17"/>
    <w:rsid w:val="00A450F4"/>
    <w:rsid w:val="00A456C2"/>
    <w:rsid w:val="00A475E0"/>
    <w:rsid w:val="00A54FD2"/>
    <w:rsid w:val="00A572C7"/>
    <w:rsid w:val="00A62208"/>
    <w:rsid w:val="00A63318"/>
    <w:rsid w:val="00A65091"/>
    <w:rsid w:val="00A654CA"/>
    <w:rsid w:val="00A662C4"/>
    <w:rsid w:val="00A67137"/>
    <w:rsid w:val="00A6721D"/>
    <w:rsid w:val="00A7173C"/>
    <w:rsid w:val="00A73184"/>
    <w:rsid w:val="00A73492"/>
    <w:rsid w:val="00A8014D"/>
    <w:rsid w:val="00A805D1"/>
    <w:rsid w:val="00A84D34"/>
    <w:rsid w:val="00A8767A"/>
    <w:rsid w:val="00A91284"/>
    <w:rsid w:val="00A92F51"/>
    <w:rsid w:val="00A945BB"/>
    <w:rsid w:val="00A953A9"/>
    <w:rsid w:val="00A95A78"/>
    <w:rsid w:val="00A96163"/>
    <w:rsid w:val="00A9750F"/>
    <w:rsid w:val="00AA6CC0"/>
    <w:rsid w:val="00AB02B6"/>
    <w:rsid w:val="00AB2F0B"/>
    <w:rsid w:val="00AB4144"/>
    <w:rsid w:val="00AB4DE6"/>
    <w:rsid w:val="00AB52CC"/>
    <w:rsid w:val="00AB5D3D"/>
    <w:rsid w:val="00AB5F86"/>
    <w:rsid w:val="00AC029A"/>
    <w:rsid w:val="00AC1E01"/>
    <w:rsid w:val="00AC427F"/>
    <w:rsid w:val="00AC45E8"/>
    <w:rsid w:val="00AC5134"/>
    <w:rsid w:val="00AD054B"/>
    <w:rsid w:val="00AD083D"/>
    <w:rsid w:val="00AD24D6"/>
    <w:rsid w:val="00AD3BF2"/>
    <w:rsid w:val="00AD5B08"/>
    <w:rsid w:val="00AD7F9F"/>
    <w:rsid w:val="00AE4A75"/>
    <w:rsid w:val="00AE6215"/>
    <w:rsid w:val="00AF002E"/>
    <w:rsid w:val="00AF194A"/>
    <w:rsid w:val="00AF1CDF"/>
    <w:rsid w:val="00AF397E"/>
    <w:rsid w:val="00B0078D"/>
    <w:rsid w:val="00B01720"/>
    <w:rsid w:val="00B02028"/>
    <w:rsid w:val="00B057CE"/>
    <w:rsid w:val="00B06AFD"/>
    <w:rsid w:val="00B06B33"/>
    <w:rsid w:val="00B06D04"/>
    <w:rsid w:val="00B101C8"/>
    <w:rsid w:val="00B129AB"/>
    <w:rsid w:val="00B12F8E"/>
    <w:rsid w:val="00B1475E"/>
    <w:rsid w:val="00B14CCC"/>
    <w:rsid w:val="00B15FAC"/>
    <w:rsid w:val="00B16332"/>
    <w:rsid w:val="00B202BA"/>
    <w:rsid w:val="00B2308F"/>
    <w:rsid w:val="00B244DB"/>
    <w:rsid w:val="00B26D17"/>
    <w:rsid w:val="00B3224F"/>
    <w:rsid w:val="00B449EB"/>
    <w:rsid w:val="00B44BAF"/>
    <w:rsid w:val="00B45401"/>
    <w:rsid w:val="00B53C34"/>
    <w:rsid w:val="00B63689"/>
    <w:rsid w:val="00B63969"/>
    <w:rsid w:val="00B650BA"/>
    <w:rsid w:val="00B67F29"/>
    <w:rsid w:val="00B700F4"/>
    <w:rsid w:val="00B70BB7"/>
    <w:rsid w:val="00B71AB1"/>
    <w:rsid w:val="00B74606"/>
    <w:rsid w:val="00B77A61"/>
    <w:rsid w:val="00B808C3"/>
    <w:rsid w:val="00B83349"/>
    <w:rsid w:val="00B84EE9"/>
    <w:rsid w:val="00B86E27"/>
    <w:rsid w:val="00B87D9E"/>
    <w:rsid w:val="00B9609C"/>
    <w:rsid w:val="00BA01D0"/>
    <w:rsid w:val="00BA0723"/>
    <w:rsid w:val="00BA188E"/>
    <w:rsid w:val="00BA32C7"/>
    <w:rsid w:val="00BA3B7E"/>
    <w:rsid w:val="00BA428A"/>
    <w:rsid w:val="00BA4F4F"/>
    <w:rsid w:val="00BB0C7C"/>
    <w:rsid w:val="00BB4797"/>
    <w:rsid w:val="00BB4A9B"/>
    <w:rsid w:val="00BB7254"/>
    <w:rsid w:val="00BC0975"/>
    <w:rsid w:val="00BC5259"/>
    <w:rsid w:val="00BD183F"/>
    <w:rsid w:val="00BD3C0C"/>
    <w:rsid w:val="00BD418D"/>
    <w:rsid w:val="00BE122E"/>
    <w:rsid w:val="00BE20B8"/>
    <w:rsid w:val="00BE274B"/>
    <w:rsid w:val="00BE3603"/>
    <w:rsid w:val="00BF1AD1"/>
    <w:rsid w:val="00BF3F8E"/>
    <w:rsid w:val="00BF41F0"/>
    <w:rsid w:val="00BF516E"/>
    <w:rsid w:val="00BF53A6"/>
    <w:rsid w:val="00BF5D2D"/>
    <w:rsid w:val="00BF6DD5"/>
    <w:rsid w:val="00BF7144"/>
    <w:rsid w:val="00C01192"/>
    <w:rsid w:val="00C0275A"/>
    <w:rsid w:val="00C04923"/>
    <w:rsid w:val="00C04931"/>
    <w:rsid w:val="00C06DF2"/>
    <w:rsid w:val="00C10A6B"/>
    <w:rsid w:val="00C10DCB"/>
    <w:rsid w:val="00C159B5"/>
    <w:rsid w:val="00C16B65"/>
    <w:rsid w:val="00C171A7"/>
    <w:rsid w:val="00C17346"/>
    <w:rsid w:val="00C223D2"/>
    <w:rsid w:val="00C22987"/>
    <w:rsid w:val="00C27FE9"/>
    <w:rsid w:val="00C3000D"/>
    <w:rsid w:val="00C32A34"/>
    <w:rsid w:val="00C3385E"/>
    <w:rsid w:val="00C35CE9"/>
    <w:rsid w:val="00C41765"/>
    <w:rsid w:val="00C42936"/>
    <w:rsid w:val="00C44473"/>
    <w:rsid w:val="00C45123"/>
    <w:rsid w:val="00C453F6"/>
    <w:rsid w:val="00C47DF1"/>
    <w:rsid w:val="00C518F6"/>
    <w:rsid w:val="00C53617"/>
    <w:rsid w:val="00C55089"/>
    <w:rsid w:val="00C605DC"/>
    <w:rsid w:val="00C61ABF"/>
    <w:rsid w:val="00C61C6C"/>
    <w:rsid w:val="00C624C8"/>
    <w:rsid w:val="00C6458E"/>
    <w:rsid w:val="00C658F2"/>
    <w:rsid w:val="00C66ABA"/>
    <w:rsid w:val="00C66F64"/>
    <w:rsid w:val="00C74A58"/>
    <w:rsid w:val="00C74B95"/>
    <w:rsid w:val="00C75F58"/>
    <w:rsid w:val="00C842CB"/>
    <w:rsid w:val="00C86107"/>
    <w:rsid w:val="00C86ACE"/>
    <w:rsid w:val="00C874E3"/>
    <w:rsid w:val="00C87526"/>
    <w:rsid w:val="00C87593"/>
    <w:rsid w:val="00C87FDD"/>
    <w:rsid w:val="00C909C5"/>
    <w:rsid w:val="00C90F78"/>
    <w:rsid w:val="00C95EC2"/>
    <w:rsid w:val="00C97296"/>
    <w:rsid w:val="00CA4980"/>
    <w:rsid w:val="00CA50AE"/>
    <w:rsid w:val="00CA62B1"/>
    <w:rsid w:val="00CB2072"/>
    <w:rsid w:val="00CB2C25"/>
    <w:rsid w:val="00CB5650"/>
    <w:rsid w:val="00CB7FB1"/>
    <w:rsid w:val="00CC0689"/>
    <w:rsid w:val="00CC14E3"/>
    <w:rsid w:val="00CC23C4"/>
    <w:rsid w:val="00CC473E"/>
    <w:rsid w:val="00CC55A6"/>
    <w:rsid w:val="00CC7F88"/>
    <w:rsid w:val="00CD099C"/>
    <w:rsid w:val="00CD6CED"/>
    <w:rsid w:val="00CD77C4"/>
    <w:rsid w:val="00CE0987"/>
    <w:rsid w:val="00CE1289"/>
    <w:rsid w:val="00CE4745"/>
    <w:rsid w:val="00CE7265"/>
    <w:rsid w:val="00CE7DE3"/>
    <w:rsid w:val="00CF6D47"/>
    <w:rsid w:val="00CF7EF6"/>
    <w:rsid w:val="00D006D4"/>
    <w:rsid w:val="00D00841"/>
    <w:rsid w:val="00D01362"/>
    <w:rsid w:val="00D01F1C"/>
    <w:rsid w:val="00D039B5"/>
    <w:rsid w:val="00D05197"/>
    <w:rsid w:val="00D06395"/>
    <w:rsid w:val="00D104D1"/>
    <w:rsid w:val="00D108F8"/>
    <w:rsid w:val="00D118CF"/>
    <w:rsid w:val="00D11A7D"/>
    <w:rsid w:val="00D12B41"/>
    <w:rsid w:val="00D14785"/>
    <w:rsid w:val="00D1496F"/>
    <w:rsid w:val="00D14F3F"/>
    <w:rsid w:val="00D17ED2"/>
    <w:rsid w:val="00D21435"/>
    <w:rsid w:val="00D21AA8"/>
    <w:rsid w:val="00D22714"/>
    <w:rsid w:val="00D25AAA"/>
    <w:rsid w:val="00D2732E"/>
    <w:rsid w:val="00D302D3"/>
    <w:rsid w:val="00D31245"/>
    <w:rsid w:val="00D3316E"/>
    <w:rsid w:val="00D42EFC"/>
    <w:rsid w:val="00D431EB"/>
    <w:rsid w:val="00D4364F"/>
    <w:rsid w:val="00D5029B"/>
    <w:rsid w:val="00D506E1"/>
    <w:rsid w:val="00D53010"/>
    <w:rsid w:val="00D53A14"/>
    <w:rsid w:val="00D563AB"/>
    <w:rsid w:val="00D62995"/>
    <w:rsid w:val="00D64430"/>
    <w:rsid w:val="00D64A60"/>
    <w:rsid w:val="00D65E76"/>
    <w:rsid w:val="00D6606C"/>
    <w:rsid w:val="00D66435"/>
    <w:rsid w:val="00D6765D"/>
    <w:rsid w:val="00D67D58"/>
    <w:rsid w:val="00D71276"/>
    <w:rsid w:val="00D718D3"/>
    <w:rsid w:val="00D71FA7"/>
    <w:rsid w:val="00D74E1C"/>
    <w:rsid w:val="00D751BF"/>
    <w:rsid w:val="00D77E51"/>
    <w:rsid w:val="00D809B2"/>
    <w:rsid w:val="00D84804"/>
    <w:rsid w:val="00D85078"/>
    <w:rsid w:val="00D90E78"/>
    <w:rsid w:val="00D92E33"/>
    <w:rsid w:val="00D94356"/>
    <w:rsid w:val="00D949ED"/>
    <w:rsid w:val="00D96B83"/>
    <w:rsid w:val="00DA0663"/>
    <w:rsid w:val="00DA25E6"/>
    <w:rsid w:val="00DA2DDE"/>
    <w:rsid w:val="00DA657E"/>
    <w:rsid w:val="00DA6B0E"/>
    <w:rsid w:val="00DA71AF"/>
    <w:rsid w:val="00DB047D"/>
    <w:rsid w:val="00DB2807"/>
    <w:rsid w:val="00DC00CE"/>
    <w:rsid w:val="00DC093D"/>
    <w:rsid w:val="00DC2546"/>
    <w:rsid w:val="00DC2B70"/>
    <w:rsid w:val="00DC39EC"/>
    <w:rsid w:val="00DC4481"/>
    <w:rsid w:val="00DC5290"/>
    <w:rsid w:val="00DC59EE"/>
    <w:rsid w:val="00DC5C07"/>
    <w:rsid w:val="00DC6EAF"/>
    <w:rsid w:val="00DD1536"/>
    <w:rsid w:val="00DD67B3"/>
    <w:rsid w:val="00DD7001"/>
    <w:rsid w:val="00DE04DE"/>
    <w:rsid w:val="00DE2AFC"/>
    <w:rsid w:val="00DE3A85"/>
    <w:rsid w:val="00DE3EB3"/>
    <w:rsid w:val="00DE658C"/>
    <w:rsid w:val="00DE75C9"/>
    <w:rsid w:val="00DF48DF"/>
    <w:rsid w:val="00DF4B23"/>
    <w:rsid w:val="00DF7933"/>
    <w:rsid w:val="00E01FBA"/>
    <w:rsid w:val="00E02828"/>
    <w:rsid w:val="00E0429A"/>
    <w:rsid w:val="00E047D1"/>
    <w:rsid w:val="00E04D34"/>
    <w:rsid w:val="00E04DEA"/>
    <w:rsid w:val="00E066B7"/>
    <w:rsid w:val="00E10CE8"/>
    <w:rsid w:val="00E11000"/>
    <w:rsid w:val="00E1423B"/>
    <w:rsid w:val="00E214DE"/>
    <w:rsid w:val="00E226E8"/>
    <w:rsid w:val="00E247C1"/>
    <w:rsid w:val="00E24D05"/>
    <w:rsid w:val="00E24F5C"/>
    <w:rsid w:val="00E2577B"/>
    <w:rsid w:val="00E2617C"/>
    <w:rsid w:val="00E26730"/>
    <w:rsid w:val="00E27A5B"/>
    <w:rsid w:val="00E311E4"/>
    <w:rsid w:val="00E351C4"/>
    <w:rsid w:val="00E361A4"/>
    <w:rsid w:val="00E41122"/>
    <w:rsid w:val="00E41A21"/>
    <w:rsid w:val="00E41EEF"/>
    <w:rsid w:val="00E46D01"/>
    <w:rsid w:val="00E5150D"/>
    <w:rsid w:val="00E530E3"/>
    <w:rsid w:val="00E53995"/>
    <w:rsid w:val="00E53C3D"/>
    <w:rsid w:val="00E54D09"/>
    <w:rsid w:val="00E54FBA"/>
    <w:rsid w:val="00E56EA5"/>
    <w:rsid w:val="00E62D7F"/>
    <w:rsid w:val="00E63E2D"/>
    <w:rsid w:val="00E70084"/>
    <w:rsid w:val="00E700C3"/>
    <w:rsid w:val="00E70331"/>
    <w:rsid w:val="00E709D5"/>
    <w:rsid w:val="00E73B89"/>
    <w:rsid w:val="00E75858"/>
    <w:rsid w:val="00E8499B"/>
    <w:rsid w:val="00E862F7"/>
    <w:rsid w:val="00E924C3"/>
    <w:rsid w:val="00E94F07"/>
    <w:rsid w:val="00E950D0"/>
    <w:rsid w:val="00E96173"/>
    <w:rsid w:val="00E96CFA"/>
    <w:rsid w:val="00E97431"/>
    <w:rsid w:val="00EA12B7"/>
    <w:rsid w:val="00EA3DA2"/>
    <w:rsid w:val="00EA5166"/>
    <w:rsid w:val="00EA5D0E"/>
    <w:rsid w:val="00EB10EC"/>
    <w:rsid w:val="00EB10ED"/>
    <w:rsid w:val="00EB16BE"/>
    <w:rsid w:val="00EB2059"/>
    <w:rsid w:val="00EC007E"/>
    <w:rsid w:val="00EC1A7F"/>
    <w:rsid w:val="00EC21EC"/>
    <w:rsid w:val="00EC55E4"/>
    <w:rsid w:val="00ED0D0B"/>
    <w:rsid w:val="00ED14E2"/>
    <w:rsid w:val="00ED3599"/>
    <w:rsid w:val="00ED5495"/>
    <w:rsid w:val="00ED74B5"/>
    <w:rsid w:val="00ED79BC"/>
    <w:rsid w:val="00EE4D7C"/>
    <w:rsid w:val="00EE526F"/>
    <w:rsid w:val="00EE561D"/>
    <w:rsid w:val="00EF1C8F"/>
    <w:rsid w:val="00EF219D"/>
    <w:rsid w:val="00EF36F9"/>
    <w:rsid w:val="00EF37DB"/>
    <w:rsid w:val="00F0414E"/>
    <w:rsid w:val="00F06D8F"/>
    <w:rsid w:val="00F143D3"/>
    <w:rsid w:val="00F1483F"/>
    <w:rsid w:val="00F20007"/>
    <w:rsid w:val="00F2145B"/>
    <w:rsid w:val="00F21E0B"/>
    <w:rsid w:val="00F2774F"/>
    <w:rsid w:val="00F32C5F"/>
    <w:rsid w:val="00F349BE"/>
    <w:rsid w:val="00F35E7D"/>
    <w:rsid w:val="00F50219"/>
    <w:rsid w:val="00F5383F"/>
    <w:rsid w:val="00F6298F"/>
    <w:rsid w:val="00F6513C"/>
    <w:rsid w:val="00F65D9A"/>
    <w:rsid w:val="00F726D0"/>
    <w:rsid w:val="00F72C06"/>
    <w:rsid w:val="00F7308C"/>
    <w:rsid w:val="00F80A19"/>
    <w:rsid w:val="00F819C1"/>
    <w:rsid w:val="00F859A9"/>
    <w:rsid w:val="00F918A4"/>
    <w:rsid w:val="00F95742"/>
    <w:rsid w:val="00FA2528"/>
    <w:rsid w:val="00FA2CB5"/>
    <w:rsid w:val="00FA5821"/>
    <w:rsid w:val="00FA5F45"/>
    <w:rsid w:val="00FA6353"/>
    <w:rsid w:val="00FA660D"/>
    <w:rsid w:val="00FA72F3"/>
    <w:rsid w:val="00FA74D2"/>
    <w:rsid w:val="00FB0AEC"/>
    <w:rsid w:val="00FB2EB0"/>
    <w:rsid w:val="00FB40EA"/>
    <w:rsid w:val="00FB7C0E"/>
    <w:rsid w:val="00FC0A42"/>
    <w:rsid w:val="00FC107F"/>
    <w:rsid w:val="00FC1912"/>
    <w:rsid w:val="00FC2CC4"/>
    <w:rsid w:val="00FC426D"/>
    <w:rsid w:val="00FC4E68"/>
    <w:rsid w:val="00FC5871"/>
    <w:rsid w:val="00FC66D2"/>
    <w:rsid w:val="00FC78F2"/>
    <w:rsid w:val="00FD09A5"/>
    <w:rsid w:val="00FD10DF"/>
    <w:rsid w:val="00FD23CA"/>
    <w:rsid w:val="00FD3986"/>
    <w:rsid w:val="00FD5AF2"/>
    <w:rsid w:val="00FE10D1"/>
    <w:rsid w:val="00FE6287"/>
    <w:rsid w:val="00FE67BE"/>
    <w:rsid w:val="00FE693C"/>
    <w:rsid w:val="00FE78E7"/>
    <w:rsid w:val="00FE7FAF"/>
    <w:rsid w:val="00FF4581"/>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6539E"/>
  <w14:discardImageEditingData/>
  <w14:defaultImageDpi w14:val="150"/>
  <w15:docId w15:val="{0A2644CF-76A1-432E-8CBC-E54DE167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semiHidden/>
    <w:rsid w:val="001A1955"/>
    <w:rPr>
      <w:rFonts w:ascii="Calibri" w:eastAsia="Times New Roman" w:hAnsi="Calibri" w:cs="Times New Roman"/>
      <w:b/>
      <w:bCs/>
      <w:sz w:val="28"/>
      <w:szCs w:val="28"/>
    </w:rPr>
  </w:style>
  <w:style w:type="character" w:customStyle="1" w:styleId="Heading5Char">
    <w:name w:val="Heading 5 Char"/>
    <w:link w:val="Heading5"/>
    <w:uiPriority w:val="9"/>
    <w:semiHidden/>
    <w:rsid w:val="001A195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A1955"/>
    <w:rPr>
      <w:rFonts w:ascii="Calibri" w:eastAsia="Times New Roman" w:hAnsi="Calibri" w:cs="Times New Roman"/>
      <w:b/>
      <w:bCs/>
      <w:sz w:val="22"/>
      <w:szCs w:val="22"/>
    </w:rPr>
  </w:style>
  <w:style w:type="character" w:customStyle="1" w:styleId="Heading7Char">
    <w:name w:val="Heading 7 Char"/>
    <w:link w:val="Heading7"/>
    <w:uiPriority w:val="9"/>
    <w:semiHidden/>
    <w:rsid w:val="001A1955"/>
    <w:rPr>
      <w:rFonts w:ascii="Calibri" w:eastAsia="Times New Roman" w:hAnsi="Calibri" w:cs="Times New Roman"/>
      <w:sz w:val="24"/>
      <w:szCs w:val="24"/>
    </w:rPr>
  </w:style>
  <w:style w:type="character" w:customStyle="1" w:styleId="Heading8Char">
    <w:name w:val="Heading 8 Char"/>
    <w:link w:val="Heading8"/>
    <w:uiPriority w:val="9"/>
    <w:semiHidden/>
    <w:rsid w:val="001A1955"/>
    <w:rPr>
      <w:rFonts w:ascii="Calibri" w:eastAsia="Times New Roman" w:hAnsi="Calibri" w:cs="Times New Roman"/>
      <w:i/>
      <w:iCs/>
      <w:sz w:val="24"/>
      <w:szCs w:val="24"/>
    </w:rPr>
  </w:style>
  <w:style w:type="character" w:customStyle="1" w:styleId="Heading9Char">
    <w:name w:val="Heading 9 Char"/>
    <w:link w:val="Heading9"/>
    <w:uiPriority w:val="9"/>
    <w:semiHidden/>
    <w:rsid w:val="001A1955"/>
    <w:rPr>
      <w:rFonts w:ascii="Cambria" w:eastAsia="Times New Roman" w:hAnsi="Cambria" w:cs="Times New Roman"/>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uiPriority w:val="99"/>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15"/>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character" w:customStyle="1" w:styleId="HeaderChar">
    <w:name w:val="Header Char"/>
    <w:link w:val="Header"/>
    <w:uiPriority w:val="99"/>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6"/>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 w:type="paragraph" w:customStyle="1" w:styleId="References">
    <w:name w:val="References"/>
    <w:basedOn w:val="Normal"/>
    <w:qFormat/>
    <w:rsid w:val="001F30DD"/>
    <w:pPr>
      <w:spacing w:after="240"/>
    </w:pPr>
  </w:style>
  <w:style w:type="paragraph" w:customStyle="1" w:styleId="xmsonormal">
    <w:name w:val="x_msonormal"/>
    <w:basedOn w:val="Normal"/>
    <w:rsid w:val="002E0997"/>
    <w:pPr>
      <w:spacing w:before="100" w:beforeAutospacing="1" w:after="100" w:afterAutospacing="1"/>
    </w:pPr>
    <w:rPr>
      <w:szCs w:val="24"/>
    </w:rPr>
  </w:style>
  <w:style w:type="paragraph" w:styleId="ListParagraph">
    <w:name w:val="List Paragraph"/>
    <w:basedOn w:val="Normal"/>
    <w:uiPriority w:val="34"/>
    <w:qFormat/>
    <w:rsid w:val="00F53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139149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indoor-air-quality-manual-and-appendices"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azettenet.com/South-Hadley-High-School-still-closed-amid-mold-remediation-424135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thods-for-increasing-comfort-in-non-air-conditioned-schools/downloa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pa.gov/mold/mold-remediation-schools-and-commercial-buildings-guide" TargetMode="External"/><Relationship Id="rId23" Type="http://schemas.openxmlformats.org/officeDocument/2006/relationships/fontTable" Target="fontTable.xml"/><Relationship Id="rId10" Type="http://schemas.openxmlformats.org/officeDocument/2006/relationships/hyperlink" Target="https://www.mass.gov/service-details/remediation-and-prevention-of-mold-growth-and-water-damage-in-public-schools-an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service-details/preventing-mold-growth-in-massachusetts-schools-during-hot-humid-weather" TargetMode="External"/><Relationship Id="rId14" Type="http://schemas.openxmlformats.org/officeDocument/2006/relationships/hyperlink" Target="https://www.noaa.gov/news/summer-2021-neck-and-neck-with-dust-bowl-summer-for-hottest-on-record"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8416C-3AA3-443C-B248-65499241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2489</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Department of Public Health</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creator>Property of</dc:creator>
  <cp:lastModifiedBy>Woo, Karl (EHS)</cp:lastModifiedBy>
  <cp:revision>9</cp:revision>
  <cp:lastPrinted>2021-10-25T14:11:00Z</cp:lastPrinted>
  <dcterms:created xsi:type="dcterms:W3CDTF">2021-10-26T16:29:00Z</dcterms:created>
  <dcterms:modified xsi:type="dcterms:W3CDTF">2021-11-09T15:04:00Z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1524588269</vt:i4>
  </property>
</Properties>
</file>