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5827B0">
        <w:rPr>
          <w:b/>
          <w:sz w:val="22"/>
          <w:szCs w:val="20"/>
        </w:rPr>
        <w:t>March</w:t>
      </w:r>
      <w:r w:rsidR="00233274">
        <w:rPr>
          <w:b/>
          <w:sz w:val="22"/>
          <w:szCs w:val="20"/>
        </w:rPr>
        <w:t xml:space="preserve"> 13</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5827B0">
        <w:rPr>
          <w:sz w:val="22"/>
          <w:szCs w:val="20"/>
        </w:rPr>
        <w:t>February 13</w:t>
      </w:r>
      <w:r w:rsidR="00233274">
        <w:rPr>
          <w:sz w:val="22"/>
          <w:szCs w:val="20"/>
        </w:rPr>
        <w:t>, 2019</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A469CD" w:rsidRDefault="00A469CD" w:rsidP="00A469CD">
      <w:pPr>
        <w:tabs>
          <w:tab w:val="left" w:pos="900"/>
        </w:tabs>
        <w:rPr>
          <w:rFonts w:eastAsia="Calibri"/>
          <w:b/>
          <w:sz w:val="22"/>
          <w:szCs w:val="20"/>
          <w:lang w:eastAsia="en-US"/>
        </w:rPr>
      </w:pPr>
    </w:p>
    <w:p w:rsidR="00A469CD" w:rsidRPr="00800CE7" w:rsidRDefault="00A469CD" w:rsidP="00A469CD">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233274" w:rsidRPr="00233274" w:rsidRDefault="00F42EA1" w:rsidP="00233274">
      <w:pPr>
        <w:pStyle w:val="ListParagraph"/>
        <w:numPr>
          <w:ilvl w:val="0"/>
          <w:numId w:val="24"/>
        </w:numPr>
        <w:tabs>
          <w:tab w:val="left" w:pos="900"/>
        </w:tabs>
        <w:ind w:left="900"/>
        <w:rPr>
          <w:rFonts w:eastAsia="Calibri"/>
          <w:b/>
          <w:sz w:val="22"/>
          <w:szCs w:val="20"/>
          <w:lang w:eastAsia="en-US"/>
        </w:rPr>
      </w:pPr>
      <w:r>
        <w:rPr>
          <w:rFonts w:eastAsia="Calibri"/>
          <w:sz w:val="22"/>
          <w:szCs w:val="20"/>
          <w:lang w:eastAsia="en-US"/>
        </w:rPr>
        <w:t>Presentation on Maternity Leave in Massachusetts:  Select Results of the Massachusetts Pregnancy Risk Assessment Monitoring System Survey.</w:t>
      </w:r>
    </w:p>
    <w:p w:rsidR="00233274" w:rsidRPr="00233274" w:rsidRDefault="00233274" w:rsidP="00233274">
      <w:pPr>
        <w:pStyle w:val="ListParagraph"/>
        <w:tabs>
          <w:tab w:val="left" w:pos="900"/>
        </w:tabs>
        <w:ind w:left="900"/>
        <w:rPr>
          <w:rFonts w:eastAsia="Calibri"/>
          <w:b/>
          <w:sz w:val="22"/>
          <w:szCs w:val="20"/>
          <w:lang w:eastAsia="en-US"/>
        </w:rPr>
      </w:pPr>
    </w:p>
    <w:p w:rsidR="00233274" w:rsidRPr="00233274" w:rsidRDefault="00F417D8" w:rsidP="00233274">
      <w:pPr>
        <w:pStyle w:val="ListParagraph"/>
        <w:numPr>
          <w:ilvl w:val="0"/>
          <w:numId w:val="24"/>
        </w:numPr>
        <w:tabs>
          <w:tab w:val="left" w:pos="900"/>
        </w:tabs>
        <w:ind w:left="900"/>
        <w:rPr>
          <w:rFonts w:eastAsia="Calibri"/>
          <w:b/>
          <w:sz w:val="22"/>
          <w:szCs w:val="20"/>
          <w:lang w:eastAsia="en-US"/>
        </w:rPr>
      </w:pPr>
      <w:r>
        <w:rPr>
          <w:rFonts w:eastAsia="Calibri"/>
          <w:sz w:val="22"/>
          <w:szCs w:val="20"/>
          <w:lang w:eastAsia="en-US"/>
        </w:rPr>
        <w:t>Informational Presentation on the Social Determinants of Health and Impact on Health Equity.</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80" w:rsidRDefault="00562A80" w:rsidP="00686A54">
      <w:r>
        <w:separator/>
      </w:r>
    </w:p>
  </w:endnote>
  <w:endnote w:type="continuationSeparator" w:id="0">
    <w:p w:rsidR="00562A80" w:rsidRDefault="00562A80"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80" w:rsidRDefault="00562A80" w:rsidP="00686A54">
      <w:r>
        <w:separator/>
      </w:r>
    </w:p>
  </w:footnote>
  <w:footnote w:type="continuationSeparator" w:id="0">
    <w:p w:rsidR="00562A80" w:rsidRDefault="00562A80"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C7C51"/>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E3B6-8F66-4CA5-BF7A-EFEAE5CB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2017-07-03T16:20:00Z</cp:lastPrinted>
  <dcterms:created xsi:type="dcterms:W3CDTF">2019-03-08T16:44:00Z</dcterms:created>
  <dcterms:modified xsi:type="dcterms:W3CDTF">2019-03-08T16:44:00Z</dcterms:modified>
</cp:coreProperties>
</file>