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43098B5A"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Pr>
          <w:b/>
        </w:rPr>
        <w:t>Wednesday,</w:t>
      </w:r>
      <w:r w:rsidR="0014475A">
        <w:rPr>
          <w:b/>
        </w:rPr>
        <w:t xml:space="preserve"> </w:t>
      </w:r>
      <w:r w:rsidR="00DE5DD6">
        <w:rPr>
          <w:b/>
        </w:rPr>
        <w:t>March</w:t>
      </w:r>
      <w:r w:rsidR="00237701">
        <w:rPr>
          <w:b/>
        </w:rPr>
        <w:t xml:space="preserve"> 8</w:t>
      </w:r>
      <w:r w:rsidR="00810245">
        <w:rPr>
          <w:b/>
        </w:rPr>
        <w:t>, 2023</w:t>
      </w:r>
      <w:r>
        <w:rPr>
          <w:b/>
          <w:spacing w:val="-3"/>
        </w:rPr>
        <w:t xml:space="preserve"> </w:t>
      </w:r>
      <w:r>
        <w:rPr>
          <w:b/>
        </w:rPr>
        <w:t>–</w:t>
      </w:r>
      <w:r>
        <w:rPr>
          <w:b/>
          <w:spacing w:val="-2"/>
        </w:rPr>
        <w:t xml:space="preserve"> 9:00AM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02D7692A" w:rsidR="00316C06" w:rsidRDefault="002E39F5">
      <w:pPr>
        <w:spacing w:before="92" w:line="276" w:lineRule="auto"/>
        <w:ind w:left="140"/>
        <w:rPr>
          <w:b/>
          <w:i/>
        </w:rPr>
      </w:pPr>
      <w:r>
        <w:rPr>
          <w:b/>
          <w:i/>
        </w:rPr>
        <w:t>Note:</w:t>
      </w:r>
      <w:r>
        <w:rPr>
          <w:b/>
          <w:i/>
          <w:spacing w:val="40"/>
        </w:rPr>
        <w:t xml:space="preserve"> </w:t>
      </w:r>
      <w:r>
        <w:rPr>
          <w:b/>
          <w:i/>
        </w:rPr>
        <w:t xml:space="preserve">The </w:t>
      </w:r>
      <w:r w:rsidR="00F5369E">
        <w:rPr>
          <w:b/>
          <w:i/>
        </w:rPr>
        <w:t>March</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 due to COVID-19.</w:t>
      </w:r>
    </w:p>
    <w:p w14:paraId="29D22CB4" w14:textId="77777777" w:rsidR="00316C06" w:rsidRDefault="002E39F5">
      <w:pPr>
        <w:pStyle w:val="BodyText"/>
        <w:spacing w:before="200"/>
        <w:ind w:left="140"/>
      </w:pPr>
      <w:r>
        <w:t>Members</w:t>
      </w:r>
      <w:r>
        <w:rPr>
          <w:spacing w:val="-3"/>
        </w:rPr>
        <w:t xml:space="preserve"> </w:t>
      </w:r>
      <w:r>
        <w:t>of</w:t>
      </w:r>
      <w:r>
        <w:rPr>
          <w:spacing w:val="-4"/>
        </w:rPr>
        <w:t xml:space="preserve"> </w:t>
      </w:r>
      <w:r>
        <w:t>the</w:t>
      </w:r>
      <w:r>
        <w:rPr>
          <w:spacing w:val="-3"/>
        </w:rPr>
        <w:t xml:space="preserve"> </w:t>
      </w:r>
      <w:r>
        <w:t>public</w:t>
      </w:r>
      <w:r>
        <w:rPr>
          <w:spacing w:val="-3"/>
        </w:rPr>
        <w:t xml:space="preserve"> </w:t>
      </w:r>
      <w:r>
        <w:t>may</w:t>
      </w:r>
      <w:r>
        <w:rPr>
          <w:spacing w:val="-4"/>
        </w:rPr>
        <w:t xml:space="preserve"> </w:t>
      </w:r>
      <w:r>
        <w:t>listen</w:t>
      </w:r>
      <w:r>
        <w:rPr>
          <w:spacing w:val="-4"/>
        </w:rPr>
        <w:t xml:space="preserve"> </w:t>
      </w:r>
      <w:r>
        <w:t>to</w:t>
      </w:r>
      <w:r>
        <w:rPr>
          <w:spacing w:val="-6"/>
        </w:rPr>
        <w:t xml:space="preserve"> </w:t>
      </w:r>
      <w:r>
        <w:t>the</w:t>
      </w:r>
      <w:r>
        <w:rPr>
          <w:spacing w:val="-5"/>
        </w:rPr>
        <w:t xml:space="preserve"> </w:t>
      </w:r>
      <w:r>
        <w:t>meeting</w:t>
      </w:r>
      <w:r>
        <w:rPr>
          <w:spacing w:val="-2"/>
        </w:rPr>
        <w:t xml:space="preserve"> </w:t>
      </w:r>
      <w:r>
        <w:t>proceedings</w:t>
      </w:r>
      <w:r>
        <w:rPr>
          <w:spacing w:val="-3"/>
        </w:rPr>
        <w:t xml:space="preserve"> </w:t>
      </w:r>
      <w:r>
        <w:t>by</w:t>
      </w:r>
      <w:r>
        <w:rPr>
          <w:spacing w:val="-3"/>
        </w:rPr>
        <w:t xml:space="preserve"> </w:t>
      </w:r>
      <w:r>
        <w:t>using</w:t>
      </w:r>
      <w:r>
        <w:rPr>
          <w:spacing w:val="-6"/>
        </w:rPr>
        <w:t xml:space="preserve"> </w:t>
      </w:r>
      <w:r>
        <w:t>the</w:t>
      </w:r>
      <w:r>
        <w:rPr>
          <w:spacing w:val="-3"/>
        </w:rPr>
        <w:t xml:space="preserve"> </w:t>
      </w:r>
      <w:r>
        <w:t>information</w:t>
      </w:r>
      <w:r>
        <w:rPr>
          <w:spacing w:val="-2"/>
        </w:rPr>
        <w:t xml:space="preserve"> below:</w:t>
      </w:r>
    </w:p>
    <w:p w14:paraId="7F09B5AD" w14:textId="77777777" w:rsidR="00316C06" w:rsidRDefault="00316C06">
      <w:pPr>
        <w:pStyle w:val="BodyText"/>
        <w:spacing w:before="7"/>
        <w:rPr>
          <w:sz w:val="20"/>
        </w:rPr>
      </w:pPr>
    </w:p>
    <w:p w14:paraId="1FBE3377" w14:textId="77777777" w:rsidR="008E18AE" w:rsidRDefault="002E39F5" w:rsidP="008E18AE">
      <w:pPr>
        <w:ind w:left="140"/>
      </w:pPr>
      <w:r>
        <w:t xml:space="preserve">Join by Web: </w:t>
      </w:r>
    </w:p>
    <w:p w14:paraId="0D68CB47" w14:textId="741342C0" w:rsidR="00FB7290" w:rsidRDefault="008E18AE" w:rsidP="008E18AE">
      <w:pPr>
        <w:ind w:left="140"/>
      </w:pPr>
      <w:hyperlink r:id="rId5" w:history="1">
        <w:r w:rsidRPr="0058444D">
          <w:rPr>
            <w:rStyle w:val="Hyperlink"/>
          </w:rPr>
          <w:t>https://eohhs.webex.com/eohhs/onstage/g.php?MTID=e4d7bde6339abe4bcf0e64c0adf8ca841</w:t>
        </w:r>
      </w:hyperlink>
      <w:r>
        <w:t xml:space="preserve"> </w:t>
      </w:r>
    </w:p>
    <w:p w14:paraId="21F4A8E0" w14:textId="77777777" w:rsidR="008E18AE" w:rsidRDefault="008E18AE" w:rsidP="008E18AE">
      <w:pPr>
        <w:ind w:left="140"/>
      </w:pPr>
    </w:p>
    <w:p w14:paraId="28416A7B" w14:textId="67ADDA0A" w:rsidR="00316C06" w:rsidRDefault="002E39F5" w:rsidP="000A5A83">
      <w:pPr>
        <w:pStyle w:val="BodyText"/>
        <w:spacing w:line="360" w:lineRule="auto"/>
        <w:ind w:left="140" w:right="5207"/>
      </w:pPr>
      <w:r>
        <w:t>Dial</w:t>
      </w:r>
      <w:r>
        <w:rPr>
          <w:spacing w:val="-10"/>
        </w:rPr>
        <w:t xml:space="preserve"> </w:t>
      </w:r>
      <w:r>
        <w:t>in</w:t>
      </w:r>
      <w:r>
        <w:rPr>
          <w:spacing w:val="-9"/>
        </w:rPr>
        <w:t xml:space="preserve"> </w:t>
      </w:r>
      <w:r>
        <w:t>Telephone</w:t>
      </w:r>
      <w:r>
        <w:rPr>
          <w:spacing w:val="-9"/>
        </w:rPr>
        <w:t xml:space="preserve"> </w:t>
      </w:r>
      <w:r>
        <w:t>Number:</w:t>
      </w:r>
      <w:r>
        <w:rPr>
          <w:spacing w:val="-9"/>
        </w:rPr>
        <w:t xml:space="preserve"> </w:t>
      </w:r>
      <w:r>
        <w:t>844-621-3956 Access code:</w:t>
      </w:r>
      <w:r>
        <w:rPr>
          <w:spacing w:val="40"/>
        </w:rPr>
        <w:t xml:space="preserve"> </w:t>
      </w:r>
      <w:r w:rsidR="00854CD1" w:rsidRPr="00854CD1">
        <w:t>2539 316 6173</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07200229" w:rsidR="00316C06" w:rsidRPr="00941E0B"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t>Margret</w:t>
      </w:r>
      <w:r>
        <w:rPr>
          <w:spacing w:val="-4"/>
        </w:rPr>
        <w:t xml:space="preserve"> </w:t>
      </w:r>
      <w:r>
        <w:rPr>
          <w:spacing w:val="-2"/>
        </w:rPr>
        <w:t>Cooke.</w:t>
      </w:r>
    </w:p>
    <w:p w14:paraId="29BC0E1E" w14:textId="6082D91A" w:rsidR="00316C06"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DE5DD6">
        <w:t>February 8</w:t>
      </w:r>
      <w:r>
        <w:t>,</w:t>
      </w:r>
      <w:r>
        <w:rPr>
          <w:spacing w:val="-3"/>
        </w:rPr>
        <w:t xml:space="preserve"> </w:t>
      </w:r>
      <w:r>
        <w:t>202</w:t>
      </w:r>
      <w:r w:rsidR="00237701">
        <w:t>3</w:t>
      </w:r>
      <w:r>
        <w:rPr>
          <w:spacing w:val="-2"/>
        </w:rPr>
        <w:t xml:space="preserve"> </w:t>
      </w:r>
      <w:r>
        <w:rPr>
          <w:b/>
          <w:spacing w:val="-2"/>
        </w:rPr>
        <w:t>(Vote)</w:t>
      </w:r>
      <w:r w:rsidR="00C94CEC">
        <w:rPr>
          <w:bCs/>
          <w:spacing w:val="-2"/>
        </w:rPr>
        <w:t>.</w:t>
      </w:r>
    </w:p>
    <w:p w14:paraId="077CA983" w14:textId="77777777" w:rsidR="001C2822" w:rsidRPr="00A83AC6" w:rsidRDefault="001C2822" w:rsidP="00A83AC6">
      <w:pPr>
        <w:tabs>
          <w:tab w:val="left" w:pos="501"/>
        </w:tabs>
        <w:spacing w:line="252" w:lineRule="exact"/>
        <w:rPr>
          <w:b/>
        </w:rPr>
      </w:pPr>
    </w:p>
    <w:p w14:paraId="6C517B3B" w14:textId="221C141B" w:rsidR="00181C85" w:rsidRDefault="00181C85">
      <w:pPr>
        <w:pStyle w:val="ListParagraph"/>
        <w:numPr>
          <w:ilvl w:val="0"/>
          <w:numId w:val="1"/>
        </w:numPr>
        <w:tabs>
          <w:tab w:val="left" w:pos="501"/>
        </w:tabs>
        <w:spacing w:line="252" w:lineRule="exact"/>
        <w:ind w:hanging="361"/>
        <w:rPr>
          <w:b/>
        </w:rPr>
      </w:pPr>
      <w:r>
        <w:rPr>
          <w:b/>
        </w:rPr>
        <w:t>REGULATIONS</w:t>
      </w:r>
    </w:p>
    <w:p w14:paraId="7268ADA2" w14:textId="38F9F3A9" w:rsidR="0051258A" w:rsidRPr="00DE5DD6" w:rsidRDefault="00441D97" w:rsidP="00DE5DD6">
      <w:pPr>
        <w:pStyle w:val="ListParagraph"/>
        <w:numPr>
          <w:ilvl w:val="1"/>
          <w:numId w:val="1"/>
        </w:numPr>
        <w:tabs>
          <w:tab w:val="left" w:pos="680"/>
          <w:tab w:val="left" w:pos="681"/>
        </w:tabs>
        <w:spacing w:before="2" w:line="252" w:lineRule="exact"/>
        <w:ind w:hanging="361"/>
        <w:rPr>
          <w:spacing w:val="-2"/>
        </w:rPr>
      </w:pPr>
      <w:r w:rsidRPr="00441D97">
        <w:rPr>
          <w:spacing w:val="-2"/>
        </w:rPr>
        <w:t xml:space="preserve">Request to promulgate </w:t>
      </w:r>
      <w:r w:rsidR="00DE5DD6" w:rsidRPr="00017145">
        <w:t>105 CMR 800</w:t>
      </w:r>
      <w:r w:rsidR="00DE5DD6">
        <w:t xml:space="preserve">, </w:t>
      </w:r>
      <w:r w:rsidR="00DE5DD6" w:rsidRPr="00017145">
        <w:rPr>
          <w:i/>
          <w:iCs/>
        </w:rPr>
        <w:t>Registration of Sanitarians</w:t>
      </w:r>
      <w:r w:rsidR="00DE5DD6">
        <w:rPr>
          <w:i/>
          <w:iCs/>
        </w:rPr>
        <w:t xml:space="preserve"> </w:t>
      </w:r>
      <w:r w:rsidRPr="00441D97">
        <w:rPr>
          <w:b/>
          <w:bCs/>
          <w:spacing w:val="-2"/>
        </w:rPr>
        <w:t>(Vote).</w:t>
      </w:r>
    </w:p>
    <w:p w14:paraId="5C133CFC" w14:textId="680564B9" w:rsidR="00DE5DD6" w:rsidRPr="00441D97" w:rsidRDefault="00DE5DD6" w:rsidP="00DE5DD6">
      <w:pPr>
        <w:pStyle w:val="ListParagraph"/>
        <w:numPr>
          <w:ilvl w:val="1"/>
          <w:numId w:val="1"/>
        </w:numPr>
        <w:tabs>
          <w:tab w:val="left" w:pos="680"/>
          <w:tab w:val="left" w:pos="681"/>
        </w:tabs>
        <w:spacing w:before="2" w:line="252" w:lineRule="exact"/>
        <w:ind w:hanging="361"/>
        <w:rPr>
          <w:spacing w:val="-2"/>
        </w:rPr>
      </w:pPr>
      <w:r w:rsidRPr="00441D97">
        <w:rPr>
          <w:spacing w:val="-2"/>
        </w:rPr>
        <w:t xml:space="preserve">Request to promulgate </w:t>
      </w:r>
      <w:r w:rsidRPr="00017145">
        <w:t>105 CMR 80</w:t>
      </w:r>
      <w:r>
        <w:t xml:space="preserve">1, </w:t>
      </w:r>
      <w:r w:rsidRPr="00017145">
        <w:rPr>
          <w:i/>
          <w:iCs/>
        </w:rPr>
        <w:t>Certified Health Officer</w:t>
      </w:r>
      <w:r>
        <w:rPr>
          <w:i/>
          <w:iCs/>
        </w:rPr>
        <w:t xml:space="preserve">s </w:t>
      </w:r>
      <w:r w:rsidRPr="00441D97">
        <w:rPr>
          <w:b/>
          <w:bCs/>
          <w:spacing w:val="-2"/>
        </w:rPr>
        <w:t>(Vote).</w:t>
      </w:r>
    </w:p>
    <w:p w14:paraId="4334CFC3" w14:textId="77777777" w:rsidR="00DE5DD6" w:rsidRPr="0051258A" w:rsidRDefault="00DE5DD6" w:rsidP="00237701">
      <w:pPr>
        <w:tabs>
          <w:tab w:val="left" w:pos="681"/>
        </w:tabs>
        <w:ind w:right="1129"/>
      </w:pPr>
    </w:p>
    <w:p w14:paraId="7FDA9C25" w14:textId="119A463B" w:rsidR="0051258A" w:rsidRDefault="0051258A" w:rsidP="0051258A">
      <w:pPr>
        <w:pStyle w:val="ListParagraph"/>
        <w:numPr>
          <w:ilvl w:val="0"/>
          <w:numId w:val="1"/>
        </w:numPr>
        <w:tabs>
          <w:tab w:val="left" w:pos="681"/>
        </w:tabs>
        <w:ind w:right="1129"/>
        <w:rPr>
          <w:b/>
          <w:bCs/>
        </w:rPr>
      </w:pPr>
      <w:r w:rsidRPr="0051258A">
        <w:rPr>
          <w:b/>
          <w:bCs/>
        </w:rPr>
        <w:t>INFORMATIONAL PRESENTATIONS</w:t>
      </w:r>
    </w:p>
    <w:p w14:paraId="6C7C2BD6" w14:textId="77777777" w:rsidR="00DE5DD6" w:rsidRDefault="00DE5DD6" w:rsidP="00DE5DD6">
      <w:pPr>
        <w:pStyle w:val="ListParagraph"/>
        <w:widowControl/>
        <w:numPr>
          <w:ilvl w:val="1"/>
          <w:numId w:val="1"/>
        </w:numPr>
        <w:adjustRightInd w:val="0"/>
        <w:contextualSpacing/>
        <w:rPr>
          <w:rFonts w:cstheme="minorHAnsi"/>
        </w:rPr>
      </w:pPr>
      <w:r>
        <w:rPr>
          <w:rFonts w:cstheme="minorHAnsi"/>
        </w:rPr>
        <w:t>Update on the Office of Problem Gambling Services.</w:t>
      </w:r>
    </w:p>
    <w:p w14:paraId="52D9CBF7" w14:textId="42013A82"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6F3BA7"/>
    <w:multiLevelType w:val="hybridMultilevel"/>
    <w:tmpl w:val="67BADE10"/>
    <w:numStyleLink w:val="ImportedStyle1"/>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2"/>
    <w:lvlOverride w:ilvl="0">
      <w:lvl w:ilvl="0" w:tplc="7AEE918E">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752C8D3C">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667D7"/>
    <w:rsid w:val="000731E1"/>
    <w:rsid w:val="00093281"/>
    <w:rsid w:val="000A5A83"/>
    <w:rsid w:val="001012DC"/>
    <w:rsid w:val="0014475A"/>
    <w:rsid w:val="00181C85"/>
    <w:rsid w:val="00192F69"/>
    <w:rsid w:val="001C2822"/>
    <w:rsid w:val="002033DA"/>
    <w:rsid w:val="002226B5"/>
    <w:rsid w:val="00237701"/>
    <w:rsid w:val="00265E2F"/>
    <w:rsid w:val="00287FB0"/>
    <w:rsid w:val="002E39F5"/>
    <w:rsid w:val="00316C06"/>
    <w:rsid w:val="003A5722"/>
    <w:rsid w:val="00437874"/>
    <w:rsid w:val="00441D97"/>
    <w:rsid w:val="004A2DA3"/>
    <w:rsid w:val="004B03B1"/>
    <w:rsid w:val="0051258A"/>
    <w:rsid w:val="005604D3"/>
    <w:rsid w:val="005C2C86"/>
    <w:rsid w:val="005D56E7"/>
    <w:rsid w:val="005F1E30"/>
    <w:rsid w:val="0074546F"/>
    <w:rsid w:val="007B54B9"/>
    <w:rsid w:val="00810245"/>
    <w:rsid w:val="00854CD1"/>
    <w:rsid w:val="00870D4B"/>
    <w:rsid w:val="008800F7"/>
    <w:rsid w:val="00890D6B"/>
    <w:rsid w:val="008C2C66"/>
    <w:rsid w:val="008E18AE"/>
    <w:rsid w:val="009058CA"/>
    <w:rsid w:val="00941E0B"/>
    <w:rsid w:val="00946DE3"/>
    <w:rsid w:val="009648D4"/>
    <w:rsid w:val="00A823FF"/>
    <w:rsid w:val="00A83AC6"/>
    <w:rsid w:val="00B60873"/>
    <w:rsid w:val="00B83077"/>
    <w:rsid w:val="00BD2F5F"/>
    <w:rsid w:val="00C71F02"/>
    <w:rsid w:val="00C94CEC"/>
    <w:rsid w:val="00CB5163"/>
    <w:rsid w:val="00CF217C"/>
    <w:rsid w:val="00DA1FF9"/>
    <w:rsid w:val="00DE5DD6"/>
    <w:rsid w:val="00E60B67"/>
    <w:rsid w:val="00EB26DC"/>
    <w:rsid w:val="00EF1D5B"/>
    <w:rsid w:val="00F5369E"/>
    <w:rsid w:val="00FB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semiHidden/>
    <w:unhideWhenUsed/>
    <w:rsid w:val="00B83077"/>
    <w:rPr>
      <w:sz w:val="20"/>
      <w:szCs w:val="20"/>
    </w:rPr>
  </w:style>
  <w:style w:type="character" w:customStyle="1" w:styleId="CommentTextChar">
    <w:name w:val="Comment Text Char"/>
    <w:basedOn w:val="DefaultParagraphFont"/>
    <w:link w:val="CommentText"/>
    <w:uiPriority w:val="99"/>
    <w:semiHidden/>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ohhs.webex.com/eohhs/onstage/g.php?MTID=e4d7bde6339abe4bcf0e64c0adf8ca8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21</cp:revision>
  <dcterms:created xsi:type="dcterms:W3CDTF">2022-11-01T17:07:00Z</dcterms:created>
  <dcterms:modified xsi:type="dcterms:W3CDTF">2023-03-08T13:48:00Z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