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7015" w14:textId="3EFA2F74" w:rsidR="0074197A" w:rsidRPr="00763A4D" w:rsidRDefault="0074197A" w:rsidP="008A380E">
      <w:pPr>
        <w:rPr>
          <w:color w:val="2E3690"/>
          <w:sz w:val="28"/>
          <w:szCs w:val="28"/>
        </w:rPr>
      </w:pPr>
    </w:p>
    <w:p w14:paraId="24925DCD" w14:textId="64A5A879" w:rsidR="00DB5BFD" w:rsidRDefault="00A1754B" w:rsidP="003117F2">
      <w:pPr>
        <w:pStyle w:val="Heading1"/>
      </w:pPr>
      <w:r w:rsidRPr="003117F2">
        <w:t xml:space="preserve">Leading By Example: Decarbonizing </w:t>
      </w:r>
      <w:r w:rsidR="00BB256B">
        <w:t>a</w:t>
      </w:r>
      <w:r w:rsidRPr="00DB5BFD">
        <w:t>nd Minimizing Environmental Impacts of State Government</w:t>
      </w:r>
    </w:p>
    <w:p w14:paraId="7F93ECAB" w14:textId="77777777" w:rsidR="00DB5BFD" w:rsidRPr="00DB5BFD" w:rsidRDefault="00DB5BFD" w:rsidP="003117F2">
      <w:pPr>
        <w:pStyle w:val="Heading1"/>
      </w:pPr>
    </w:p>
    <w:p w14:paraId="590B3174" w14:textId="178147FD" w:rsidR="00916012" w:rsidRPr="00635C2F" w:rsidRDefault="009967F1" w:rsidP="003117F2">
      <w:pPr>
        <w:pStyle w:val="Heading1"/>
        <w:rPr>
          <w:sz w:val="56"/>
          <w:szCs w:val="56"/>
        </w:rPr>
      </w:pPr>
      <w:r w:rsidRPr="003117F2">
        <w:rPr>
          <w:b/>
          <w:sz w:val="56"/>
          <w:szCs w:val="56"/>
        </w:rPr>
        <w:t>Renewable Diesel</w:t>
      </w:r>
      <w:r w:rsidR="00635C2F" w:rsidRPr="00635C2F">
        <w:rPr>
          <w:b/>
          <w:bCs/>
          <w:sz w:val="56"/>
          <w:szCs w:val="56"/>
        </w:rPr>
        <w:t xml:space="preserve"> Guideline</w:t>
      </w:r>
    </w:p>
    <w:p w14:paraId="0E97877D" w14:textId="01710094" w:rsidR="007E0097" w:rsidRDefault="008A380E" w:rsidP="00317A90">
      <w:pPr>
        <w:jc w:val="center"/>
      </w:pPr>
      <w:r w:rsidRPr="00763A4D">
        <w:rPr>
          <w:noProof/>
        </w:rPr>
        <w:drawing>
          <wp:inline distT="0" distB="0" distL="0" distR="0" wp14:anchorId="3B421CC3" wp14:editId="0569D8C8">
            <wp:extent cx="2320125" cy="2320125"/>
            <wp:effectExtent l="0" t="0" r="0" b="0"/>
            <wp:docPr id="493286533" name="Picture 1" descr="DO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86533" name="Picture 1" descr="DOER Logo"/>
                    <pic:cNvPicPr/>
                  </pic:nvPicPr>
                  <pic:blipFill>
                    <a:blip r:embed="rId11">
                      <a:extLst>
                        <a:ext uri="{28A0092B-C50C-407E-A947-70E740481C1C}">
                          <a14:useLocalDpi xmlns:a14="http://schemas.microsoft.com/office/drawing/2010/main" val="0"/>
                        </a:ext>
                      </a:extLst>
                    </a:blip>
                    <a:stretch>
                      <a:fillRect/>
                    </a:stretch>
                  </pic:blipFill>
                  <pic:spPr>
                    <a:xfrm>
                      <a:off x="0" y="0"/>
                      <a:ext cx="2326098" cy="2326098"/>
                    </a:xfrm>
                    <a:prstGeom prst="rect">
                      <a:avLst/>
                    </a:prstGeom>
                  </pic:spPr>
                </pic:pic>
              </a:graphicData>
            </a:graphic>
          </wp:inline>
        </w:drawing>
      </w:r>
    </w:p>
    <w:p w14:paraId="05743973" w14:textId="77777777" w:rsidR="00752FAB" w:rsidRDefault="00752FAB" w:rsidP="00752FAB">
      <w:pPr>
        <w:jc w:val="center"/>
      </w:pPr>
    </w:p>
    <w:p w14:paraId="7413DC02" w14:textId="6FF0D6FA" w:rsidR="00DB5BFD" w:rsidRDefault="00DB5BFD" w:rsidP="00752FAB">
      <w:pPr>
        <w:jc w:val="center"/>
      </w:pPr>
      <w:r>
        <w:t>Commonwealth of Massachusetts</w:t>
      </w:r>
    </w:p>
    <w:p w14:paraId="35383B07" w14:textId="1802BF97" w:rsidR="00DB5BFD" w:rsidRDefault="00DB5BFD" w:rsidP="00A1754B">
      <w:pPr>
        <w:ind w:left="720" w:hanging="720"/>
        <w:jc w:val="center"/>
      </w:pPr>
      <w:r>
        <w:t>Executive Office of Energy and Environmental Affairs</w:t>
      </w:r>
    </w:p>
    <w:p w14:paraId="5144CB51" w14:textId="71DB7B42" w:rsidR="007E0097" w:rsidRDefault="007E0097" w:rsidP="00A1754B">
      <w:pPr>
        <w:ind w:left="720" w:hanging="720"/>
        <w:jc w:val="center"/>
      </w:pPr>
      <w:r>
        <w:t>Department of Energy Resources</w:t>
      </w:r>
    </w:p>
    <w:p w14:paraId="56BEEEAD" w14:textId="2410AE50" w:rsidR="0022393F" w:rsidRDefault="00AC026A" w:rsidP="00317A90">
      <w:pPr>
        <w:ind w:left="720" w:hanging="720"/>
        <w:jc w:val="center"/>
        <w:rPr>
          <w:b/>
          <w:bCs/>
        </w:rPr>
      </w:pPr>
      <w:r>
        <w:t xml:space="preserve">Guideline Effective Date: </w:t>
      </w:r>
      <w:r w:rsidR="00F87B1A" w:rsidRPr="001307D7">
        <w:rPr>
          <w:b/>
          <w:bCs/>
        </w:rPr>
        <w:t>Ju</w:t>
      </w:r>
      <w:r w:rsidR="00AB324F" w:rsidRPr="001307D7">
        <w:rPr>
          <w:b/>
          <w:bCs/>
        </w:rPr>
        <w:t xml:space="preserve">ly </w:t>
      </w:r>
      <w:r w:rsidR="004304C8">
        <w:rPr>
          <w:b/>
          <w:bCs/>
        </w:rPr>
        <w:t>31</w:t>
      </w:r>
      <w:r w:rsidR="004304C8" w:rsidRPr="004304C8">
        <w:rPr>
          <w:b/>
          <w:bCs/>
          <w:vertAlign w:val="superscript"/>
        </w:rPr>
        <w:t>st</w:t>
      </w:r>
      <w:r w:rsidR="00AB324F" w:rsidRPr="001307D7">
        <w:rPr>
          <w:b/>
          <w:bCs/>
        </w:rPr>
        <w:t>,</w:t>
      </w:r>
      <w:r w:rsidR="00F87B1A" w:rsidRPr="001307D7">
        <w:rPr>
          <w:b/>
          <w:bCs/>
        </w:rPr>
        <w:t xml:space="preserve"> 2026</w:t>
      </w:r>
    </w:p>
    <w:p w14:paraId="1B5341DA" w14:textId="2A688E48" w:rsidR="0022393F" w:rsidRPr="00763A4D" w:rsidRDefault="00752FAB" w:rsidP="00E657CD">
      <w:pPr>
        <w:ind w:left="720" w:hanging="720"/>
        <w:jc w:val="center"/>
        <w:sectPr w:rsidR="0022393F" w:rsidRPr="00763A4D" w:rsidSect="00EF3A50">
          <w:headerReference w:type="default" r:id="rId12"/>
          <w:footerReference w:type="default" r:id="rId13"/>
          <w:headerReference w:type="first" r:id="rId14"/>
          <w:pgSz w:w="12240" w:h="15840"/>
          <w:pgMar w:top="1440" w:right="1440" w:bottom="1440" w:left="1440" w:header="720" w:footer="720" w:gutter="0"/>
          <w:cols w:space="720"/>
          <w:titlePg/>
          <w:docGrid w:linePitch="360"/>
        </w:sectPr>
      </w:pPr>
      <w:r>
        <w:t xml:space="preserve">(Version </w:t>
      </w:r>
      <w:r w:rsidR="00F87B1A">
        <w:t>1</w:t>
      </w:r>
      <w:r>
        <w:t>.0)</w:t>
      </w:r>
    </w:p>
    <w:p w14:paraId="3BAD9C5F" w14:textId="77777777" w:rsidR="00BE4251" w:rsidRPr="00BE4251" w:rsidRDefault="00BE4251" w:rsidP="004F1875">
      <w:pPr>
        <w:pStyle w:val="Heading2"/>
      </w:pPr>
      <w:bookmarkStart w:id="0" w:name="_Toc224829978"/>
      <w:r w:rsidRPr="00BE4251">
        <w:lastRenderedPageBreak/>
        <w:t>Background and Purpose</w:t>
      </w:r>
      <w:bookmarkEnd w:id="0"/>
    </w:p>
    <w:p w14:paraId="32A6A985" w14:textId="2FA3F8CA" w:rsidR="00BB5D18" w:rsidRDefault="00BB5D18" w:rsidP="00BB5D18">
      <w:hyperlink r:id="rId15" w:history="1">
        <w:r w:rsidRPr="00AD1F0B">
          <w:rPr>
            <w:rStyle w:val="Hyperlink"/>
          </w:rPr>
          <w:t>Executive Order 594</w:t>
        </w:r>
      </w:hyperlink>
      <w:r>
        <w:t xml:space="preserve">, </w:t>
      </w:r>
      <w:r w:rsidRPr="007A035F">
        <w:rPr>
          <w:i/>
          <w:iCs/>
        </w:rPr>
        <w:t>Decarbonizing and Minimizing Environmental Impacts of State Government</w:t>
      </w:r>
      <w:r>
        <w:t>, establishes “policies, programs, and strategies to substantially reduce greenhouse gas emissions from state government operations,” and measures them against fiscal year targets through 2050. EO594 grants the Leading by Example Division (LBE) within the MA Department of Energy Resources (DOER) the authority to collect state agency operations information relevant to energy use, emissions reductions, and decarbonization on an annual basis</w:t>
      </w:r>
      <w:r w:rsidR="005471D9">
        <w:t xml:space="preserve">, and requires LBE to </w:t>
      </w:r>
      <w:r w:rsidR="00466E62">
        <w:t xml:space="preserve">track and </w:t>
      </w:r>
      <w:r w:rsidR="00317AE8">
        <w:t>periodically report on progress</w:t>
      </w:r>
      <w:r w:rsidR="00F92A42">
        <w:t xml:space="preserve"> toward EO594 goals</w:t>
      </w:r>
      <w:r w:rsidR="00317AE8">
        <w:t>.</w:t>
      </w:r>
      <w:r>
        <w:t xml:space="preserve"> </w:t>
      </w:r>
    </w:p>
    <w:p w14:paraId="3EC230E7" w14:textId="27E66048" w:rsidR="00BB5D18" w:rsidRDefault="00BB5D18" w:rsidP="00BB5D18">
      <w:r>
        <w:t xml:space="preserve">EO594 sets clear and specific on-site fossil fuel emission reduction targets from a Fiscal Year 2004 baseline: 20% by FY2025; 35% by FY2030; 60% by FY2040 and 95% by FY2050. In this guidance, LBE stipulates that state entities meeting the conditions laid out in the following sections will be able to consume eligible renewable diesel and receive corresponding onsite fossil </w:t>
      </w:r>
      <w:r w:rsidR="00E940A2">
        <w:t>fuel</w:t>
      </w:r>
      <w:r>
        <w:t xml:space="preserve"> emissions reduction credit in LBE’s state portfolio emissions accounting. In addition, transitioning diesel use to renewable diesel use for standard operational, non-vehicle use cases enables state entities to reduce their fuel oil use and meet the fuel oil reduction targets in EO594.</w:t>
      </w:r>
    </w:p>
    <w:p w14:paraId="3ADAE2BD" w14:textId="523D530D" w:rsidR="00BB5D18" w:rsidRDefault="00102D77" w:rsidP="00BB5D18">
      <w:r>
        <w:t>T</w:t>
      </w:r>
      <w:r w:rsidR="00BB5D18">
        <w:t xml:space="preserve">he Massachusetts Clean Energy and Climate Plan (CECP) for 2050 acknowledges the </w:t>
      </w:r>
      <w:r w:rsidR="007F65D1">
        <w:t>likelihood that</w:t>
      </w:r>
      <w:r w:rsidR="00BB5D18">
        <w:t xml:space="preserve"> alternative fuels </w:t>
      </w:r>
      <w:r w:rsidR="00E4172F">
        <w:t xml:space="preserve">may be necessary </w:t>
      </w:r>
      <w:r w:rsidR="00BB5D18">
        <w:t xml:space="preserve">to achieve statewide emissions reductions </w:t>
      </w:r>
      <w:r w:rsidR="00F82443">
        <w:t>in</w:t>
      </w:r>
      <w:r w:rsidR="00BB5D18">
        <w:t xml:space="preserve"> sectors that are </w:t>
      </w:r>
      <w:r w:rsidR="00A605C2">
        <w:t>difficult to</w:t>
      </w:r>
      <w:r w:rsidR="00BB5D18">
        <w:t xml:space="preserve"> electrify, </w:t>
      </w:r>
      <w:r w:rsidR="00E4172F">
        <w:t xml:space="preserve">recognizing that such fuels may come at </w:t>
      </w:r>
      <w:r w:rsidR="00BB5D18">
        <w:t xml:space="preserve">a </w:t>
      </w:r>
      <w:r w:rsidR="00FD7025">
        <w:t>higher</w:t>
      </w:r>
      <w:r w:rsidR="00BB5D18">
        <w:t xml:space="preserve"> cost: </w:t>
      </w:r>
    </w:p>
    <w:p w14:paraId="7A3937CF" w14:textId="77777777" w:rsidR="00BB5D18" w:rsidRDefault="00BB5D18" w:rsidP="00BB5D18">
      <w:pPr>
        <w:ind w:left="720"/>
      </w:pPr>
      <w:r>
        <w:t>…feedstock limitations for biofuels and significant potential demands from other sectors transitioning away from fossil fuels (such as light-duty vehicles and space heating, if not electrified fast enough) may serve to limit the extent of any such price reductions or even push prices up. Thus, alternative fuels will likely be best suited for hard-to-electrify sectors that will find it easier to justify the higher price of alternative fuels. Massachusetts’ policies must reflect this, encouraging the use of alternative fuels in the applications where they are most valuable. (</w:t>
      </w:r>
      <w:r w:rsidRPr="009F25F5">
        <w:rPr>
          <w:i/>
          <w:iCs/>
        </w:rPr>
        <w:t>Massachusetts CECP,</w:t>
      </w:r>
      <w:r>
        <w:t xml:space="preserve"> “Chapter 6: The Future of Fuels – Alternatives to Fossil,” pgs. 102-103)</w:t>
      </w:r>
    </w:p>
    <w:p w14:paraId="1C0685CC" w14:textId="402A6392" w:rsidR="00C46653" w:rsidRDefault="00BB5D18" w:rsidP="00BB5D18">
      <w:r>
        <w:t>This document (“policy”) provides</w:t>
      </w:r>
      <w:r w:rsidR="006A2265">
        <w:t xml:space="preserve"> state entities </w:t>
      </w:r>
      <w:r w:rsidR="008507BD">
        <w:t xml:space="preserve">– </w:t>
      </w:r>
      <w:r w:rsidR="006A2265">
        <w:t xml:space="preserve">wishing to utilize renewable diesel as part of their </w:t>
      </w:r>
      <w:r w:rsidR="009B7A87">
        <w:t>greenhouse gas (</w:t>
      </w:r>
      <w:r w:rsidR="006A2265">
        <w:t>GHG</w:t>
      </w:r>
      <w:r w:rsidR="009B7A87">
        <w:t>)</w:t>
      </w:r>
      <w:r w:rsidR="006A2265">
        <w:t xml:space="preserve"> emissions reduction strategies</w:t>
      </w:r>
      <w:r w:rsidR="008507BD">
        <w:t xml:space="preserve"> –</w:t>
      </w:r>
      <w:r w:rsidR="002B0074">
        <w:t xml:space="preserve"> </w:t>
      </w:r>
      <w:r w:rsidR="00BC0BA7">
        <w:t xml:space="preserve">the official LBE determination </w:t>
      </w:r>
      <w:r w:rsidR="00233055">
        <w:t>on</w:t>
      </w:r>
      <w:r w:rsidR="00C46653">
        <w:t>:</w:t>
      </w:r>
    </w:p>
    <w:p w14:paraId="1E6539D5" w14:textId="570AEA21" w:rsidR="00E04B48" w:rsidRDefault="00BB5D18" w:rsidP="00C46653">
      <w:pPr>
        <w:pStyle w:val="ListParagraph"/>
        <w:numPr>
          <w:ilvl w:val="0"/>
          <w:numId w:val="41"/>
        </w:numPr>
      </w:pPr>
      <w:r>
        <w:t xml:space="preserve">eligible use cases for renewable diesel in state operations </w:t>
      </w:r>
    </w:p>
    <w:p w14:paraId="61D81E2E" w14:textId="530D99C5" w:rsidR="00C46653" w:rsidRDefault="00BB5D18" w:rsidP="00C46653">
      <w:pPr>
        <w:pStyle w:val="ListParagraph"/>
        <w:numPr>
          <w:ilvl w:val="0"/>
          <w:numId w:val="41"/>
        </w:numPr>
      </w:pPr>
      <w:r>
        <w:t>eligible renewable diesel feedstocks</w:t>
      </w:r>
    </w:p>
    <w:p w14:paraId="001F0786" w14:textId="68E103D4" w:rsidR="00BB5D18" w:rsidRDefault="00B73503" w:rsidP="00C46653">
      <w:pPr>
        <w:pStyle w:val="ListParagraph"/>
        <w:numPr>
          <w:ilvl w:val="0"/>
          <w:numId w:val="41"/>
        </w:numPr>
      </w:pPr>
      <w:r>
        <w:t>when and how to calculate renewable diesel emissions</w:t>
      </w:r>
    </w:p>
    <w:p w14:paraId="417054F4" w14:textId="3E226F31" w:rsidR="00BB5D18" w:rsidRDefault="00BB5D18" w:rsidP="00BB5D18">
      <w:r>
        <w:t xml:space="preserve">In summary, to receive </w:t>
      </w:r>
      <w:r w:rsidR="00BF601C">
        <w:t xml:space="preserve">GHG </w:t>
      </w:r>
      <w:r>
        <w:t>emissions benefits, the renewable diesel must:</w:t>
      </w:r>
    </w:p>
    <w:p w14:paraId="0D77F41B" w14:textId="4D068FCD" w:rsidR="00BB5D18" w:rsidRDefault="00BB5D18" w:rsidP="00AD1F0B">
      <w:pPr>
        <w:pStyle w:val="ListParagraph"/>
        <w:numPr>
          <w:ilvl w:val="0"/>
          <w:numId w:val="38"/>
        </w:numPr>
      </w:pPr>
      <w:r>
        <w:t>Only serve as a transition fuel for hard-to-electrify use cases (with electrification as the main goal)</w:t>
      </w:r>
    </w:p>
    <w:p w14:paraId="4DDC5B0B" w14:textId="4FD53DDB" w:rsidR="00BB5D18" w:rsidRDefault="00BB5D18" w:rsidP="00AD1F0B">
      <w:pPr>
        <w:pStyle w:val="ListParagraph"/>
        <w:numPr>
          <w:ilvl w:val="0"/>
          <w:numId w:val="38"/>
        </w:numPr>
      </w:pPr>
      <w:proofErr w:type="gramStart"/>
      <w:r>
        <w:lastRenderedPageBreak/>
        <w:t>Be sourced</w:t>
      </w:r>
      <w:proofErr w:type="gramEnd"/>
      <w:r>
        <w:t xml:space="preserve"> domestically</w:t>
      </w:r>
    </w:p>
    <w:p w14:paraId="19BB0850" w14:textId="497E01D8" w:rsidR="00C24B07" w:rsidRDefault="00D60B86" w:rsidP="00AD1F0B">
      <w:pPr>
        <w:pStyle w:val="ListParagraph"/>
        <w:numPr>
          <w:ilvl w:val="0"/>
          <w:numId w:val="38"/>
        </w:numPr>
      </w:pPr>
      <w:proofErr w:type="gramStart"/>
      <w:r>
        <w:t>Be derived</w:t>
      </w:r>
      <w:proofErr w:type="gramEnd"/>
      <w:r w:rsidR="00BB5D18">
        <w:t xml:space="preserve"> from waste-based feedstocks only (i.e., used cooking oil, tallows, animal fats)</w:t>
      </w:r>
    </w:p>
    <w:p w14:paraId="3DDDE83B" w14:textId="1D14E53F" w:rsidR="00B728A7" w:rsidRDefault="00B728A7" w:rsidP="004F1875">
      <w:pPr>
        <w:pStyle w:val="Heading2"/>
      </w:pPr>
      <w:bookmarkStart w:id="1" w:name="_Toc224829979"/>
      <w:r>
        <w:t>Scope</w:t>
      </w:r>
      <w:bookmarkEnd w:id="1"/>
    </w:p>
    <w:p w14:paraId="5DD46179" w14:textId="723A0281" w:rsidR="00B728A7" w:rsidRPr="00B728A7" w:rsidRDefault="00E20387" w:rsidP="00F3068E">
      <w:r w:rsidRPr="00E20387">
        <w:t>This policy applies to all Massachusetts state entities, including Executive Branch agencies, institutions of public higher education, and quasi-public authorities that have elected to adhere to EO594 targets and requirements</w:t>
      </w:r>
      <w:r w:rsidR="00F3068E">
        <w:t>.</w:t>
      </w:r>
    </w:p>
    <w:p w14:paraId="064BE9B5" w14:textId="5A4FAE48" w:rsidR="00BE4251" w:rsidRPr="00BE4251" w:rsidRDefault="00BE4251" w:rsidP="004F1875">
      <w:pPr>
        <w:pStyle w:val="Heading2"/>
      </w:pPr>
      <w:bookmarkStart w:id="2" w:name="_Toc224829980"/>
      <w:r w:rsidRPr="00BE4251">
        <w:t>Definitions</w:t>
      </w:r>
      <w:bookmarkEnd w:id="2"/>
    </w:p>
    <w:p w14:paraId="4E818858" w14:textId="59FC206C" w:rsidR="00021FD3" w:rsidRPr="00021FD3" w:rsidRDefault="00021FD3" w:rsidP="00021FD3">
      <w:pPr>
        <w:rPr>
          <w:bCs/>
        </w:rPr>
      </w:pPr>
      <w:r w:rsidRPr="00021FD3">
        <w:rPr>
          <w:b/>
        </w:rPr>
        <w:t>ASTM</w:t>
      </w:r>
      <w:r w:rsidR="00A14A5A">
        <w:rPr>
          <w:b/>
        </w:rPr>
        <w:t>:</w:t>
      </w:r>
      <w:r w:rsidRPr="00021FD3">
        <w:rPr>
          <w:bCs/>
        </w:rPr>
        <w:t xml:space="preserve"> </w:t>
      </w:r>
      <w:r w:rsidR="00732739" w:rsidRPr="00732739">
        <w:rPr>
          <w:bCs/>
        </w:rPr>
        <w:t>Formerly known as American Society for Testing and Materials, an international standards organization that develops and publishes voluntary consensus technical standards for a wide range of materials, products, systems, and services</w:t>
      </w:r>
      <w:r w:rsidRPr="00021FD3">
        <w:rPr>
          <w:bCs/>
        </w:rPr>
        <w:t>.</w:t>
      </w:r>
    </w:p>
    <w:p w14:paraId="5A586E23" w14:textId="3B0FF41F" w:rsidR="00021FD3" w:rsidRPr="00021FD3" w:rsidRDefault="00A14A5A" w:rsidP="00021FD3">
      <w:pPr>
        <w:rPr>
          <w:bCs/>
        </w:rPr>
      </w:pPr>
      <w:r w:rsidRPr="00A14A5A">
        <w:rPr>
          <w:b/>
        </w:rPr>
        <w:t>Biogenic combustion emissions:</w:t>
      </w:r>
      <w:r w:rsidRPr="00A14A5A">
        <w:rPr>
          <w:bCs/>
        </w:rPr>
        <w:t xml:space="preserve"> CO2 emissions resulting from combustion of biologically derived materials (excluding material of ancient biological origin such as fossil fuels).</w:t>
      </w:r>
    </w:p>
    <w:p w14:paraId="0C9EDDC6" w14:textId="2F328817" w:rsidR="00DF42BD" w:rsidRPr="00DF42BD" w:rsidRDefault="00DF42BD" w:rsidP="00DF42BD">
      <w:pPr>
        <w:rPr>
          <w:bCs/>
        </w:rPr>
      </w:pPr>
      <w:r w:rsidRPr="00DF42BD">
        <w:rPr>
          <w:b/>
        </w:rPr>
        <w:t>Domestic fuels:</w:t>
      </w:r>
      <w:r w:rsidRPr="00DF42BD">
        <w:rPr>
          <w:bCs/>
        </w:rPr>
        <w:t xml:space="preserve"> Under this policy, for renewable diesel to </w:t>
      </w:r>
      <w:proofErr w:type="gramStart"/>
      <w:r w:rsidRPr="00DF42BD">
        <w:rPr>
          <w:bCs/>
        </w:rPr>
        <w:t>be considered</w:t>
      </w:r>
      <w:proofErr w:type="gramEnd"/>
      <w:r w:rsidRPr="00DF42BD">
        <w:rPr>
          <w:bCs/>
        </w:rPr>
        <w:t xml:space="preserve"> “domestic,” the waste feedstocks must </w:t>
      </w:r>
      <w:proofErr w:type="gramStart"/>
      <w:r w:rsidRPr="00DF42BD">
        <w:rPr>
          <w:bCs/>
        </w:rPr>
        <w:t>be sourced</w:t>
      </w:r>
      <w:proofErr w:type="gramEnd"/>
      <w:r w:rsidRPr="00DF42BD">
        <w:rPr>
          <w:bCs/>
        </w:rPr>
        <w:t xml:space="preserve"> in the United States. See ‘sourcing’ definition below.  </w:t>
      </w:r>
    </w:p>
    <w:p w14:paraId="45AE9A65" w14:textId="32E4B828" w:rsidR="00DF42BD" w:rsidRPr="00DF42BD" w:rsidRDefault="00DF42BD" w:rsidP="00DF42BD">
      <w:pPr>
        <w:rPr>
          <w:bCs/>
        </w:rPr>
      </w:pPr>
      <w:r w:rsidRPr="00DF42BD">
        <w:rPr>
          <w:b/>
        </w:rPr>
        <w:t>Eligible renewable diesel:</w:t>
      </w:r>
      <w:r w:rsidRPr="00DF42BD">
        <w:rPr>
          <w:bCs/>
        </w:rPr>
        <w:t xml:space="preserve"> Renewable diesel able to receive emissions reduction credit in the state portfolio emissions accounting. This renewable diesel must </w:t>
      </w:r>
      <w:proofErr w:type="gramStart"/>
      <w:r w:rsidRPr="00DF42BD">
        <w:rPr>
          <w:bCs/>
        </w:rPr>
        <w:t>be derived</w:t>
      </w:r>
      <w:proofErr w:type="gramEnd"/>
      <w:r w:rsidRPr="00DF42BD">
        <w:rPr>
          <w:bCs/>
        </w:rPr>
        <w:t xml:space="preserve"> from waste oil feedstocks (see definition below) and sourced domestically, as outlined in this policy.</w:t>
      </w:r>
    </w:p>
    <w:p w14:paraId="5665E7A3" w14:textId="3CC9A387" w:rsidR="00DF42BD" w:rsidRPr="00DF42BD" w:rsidRDefault="00DF42BD" w:rsidP="00DF42BD">
      <w:pPr>
        <w:rPr>
          <w:bCs/>
        </w:rPr>
      </w:pPr>
      <w:r w:rsidRPr="00DF42BD">
        <w:rPr>
          <w:b/>
        </w:rPr>
        <w:t>Feedstock:</w:t>
      </w:r>
      <w:r w:rsidRPr="00DF42BD">
        <w:rPr>
          <w:bCs/>
        </w:rPr>
        <w:t xml:space="preserve"> Raw material used to produce renewable diesel.</w:t>
      </w:r>
    </w:p>
    <w:p w14:paraId="1E7434FA" w14:textId="04AB1189" w:rsidR="00DF42BD" w:rsidRPr="00DF42BD" w:rsidRDefault="00DF42BD" w:rsidP="00DF42BD">
      <w:pPr>
        <w:rPr>
          <w:bCs/>
        </w:rPr>
      </w:pPr>
      <w:r w:rsidRPr="00DF42BD">
        <w:rPr>
          <w:b/>
        </w:rPr>
        <w:t>Gross (non-biogenic) emissions:</w:t>
      </w:r>
      <w:r w:rsidRPr="00DF42BD">
        <w:rPr>
          <w:bCs/>
        </w:rPr>
        <w:t xml:space="preserve"> Fossil fuel combustion and other non-biogenic GHG emissions in transportation, buildings, electricity generation, industry, and waste.</w:t>
      </w:r>
    </w:p>
    <w:p w14:paraId="6B212FB6" w14:textId="3B5CC197" w:rsidR="00DF42BD" w:rsidRPr="00DF42BD" w:rsidRDefault="00DF42BD" w:rsidP="00DF42BD">
      <w:pPr>
        <w:rPr>
          <w:bCs/>
        </w:rPr>
      </w:pPr>
      <w:r w:rsidRPr="00DF42BD">
        <w:rPr>
          <w:b/>
        </w:rPr>
        <w:t>Net</w:t>
      </w:r>
      <w:r w:rsidR="00AC7D30">
        <w:rPr>
          <w:b/>
        </w:rPr>
        <w:t xml:space="preserve"> </w:t>
      </w:r>
      <w:r w:rsidRPr="00DF42BD">
        <w:rPr>
          <w:b/>
        </w:rPr>
        <w:t xml:space="preserve">zero emissions: </w:t>
      </w:r>
      <w:r w:rsidRPr="00DF42BD">
        <w:rPr>
          <w:bCs/>
        </w:rPr>
        <w:t>Level of GHG emissions that is equal in quantity to the amount of carbon dioxide or its equivalent that is removed from the atmosphere and stored annually by, or attributable to, the Commonwealth, or alternatively, to the state portfolio and/or a particular state entity.</w:t>
      </w:r>
    </w:p>
    <w:p w14:paraId="1FB75DC9" w14:textId="77DC5820" w:rsidR="00DF42BD" w:rsidRPr="00DF42BD" w:rsidRDefault="00DF42BD" w:rsidP="00DF42BD">
      <w:pPr>
        <w:rPr>
          <w:bCs/>
        </w:rPr>
      </w:pPr>
      <w:r w:rsidRPr="00DF42BD">
        <w:rPr>
          <w:b/>
        </w:rPr>
        <w:t>Onsite fossil fuel emissions:</w:t>
      </w:r>
      <w:r w:rsidRPr="00DF42BD">
        <w:rPr>
          <w:bCs/>
        </w:rPr>
        <w:t xml:space="preserve"> Direct greenhouse gas (GHG) emissions from the combustion of fossil fuels that occur from sources that </w:t>
      </w:r>
      <w:proofErr w:type="gramStart"/>
      <w:r w:rsidRPr="00DF42BD">
        <w:rPr>
          <w:bCs/>
        </w:rPr>
        <w:t>are controlled</w:t>
      </w:r>
      <w:proofErr w:type="gramEnd"/>
      <w:r w:rsidRPr="00DF42BD">
        <w:rPr>
          <w:bCs/>
        </w:rPr>
        <w:t xml:space="preserve"> or owned by an organization (e.g., emissions associated with fuel combustion in boilers, furnaces, vehicles). See </w:t>
      </w:r>
      <w:hyperlink r:id="rId16" w:anchor="executive-order-guideline-documents" w:history="1">
        <w:r w:rsidRPr="00114AC0">
          <w:rPr>
            <w:rStyle w:val="Hyperlink"/>
            <w:bCs/>
          </w:rPr>
          <w:t>Executive Order 594 Section 2 Guideline</w:t>
        </w:r>
      </w:hyperlink>
      <w:r w:rsidRPr="00DF42BD">
        <w:rPr>
          <w:bCs/>
        </w:rPr>
        <w:t xml:space="preserve"> for additional information.</w:t>
      </w:r>
    </w:p>
    <w:p w14:paraId="58959D98" w14:textId="27322271" w:rsidR="00DF42BD" w:rsidRPr="00DF42BD" w:rsidRDefault="00DF42BD" w:rsidP="00DF42BD">
      <w:pPr>
        <w:rPr>
          <w:bCs/>
        </w:rPr>
      </w:pPr>
      <w:r w:rsidRPr="00DF42BD">
        <w:rPr>
          <w:b/>
        </w:rPr>
        <w:t>Renewable diesel:</w:t>
      </w:r>
      <w:r w:rsidRPr="00DF42BD">
        <w:rPr>
          <w:bCs/>
        </w:rPr>
        <w:t xml:space="preserve"> A fuel made from fats and oils – such as soybean oil, canola oil or waste products – </w:t>
      </w:r>
      <w:r w:rsidR="00114AC0">
        <w:rPr>
          <w:bCs/>
        </w:rPr>
        <w:t>and</w:t>
      </w:r>
      <w:r w:rsidRPr="00DF42BD">
        <w:rPr>
          <w:bCs/>
        </w:rPr>
        <w:t xml:space="preserve"> processed to be chemically the same as petroleum diesel. It meets the ASTM D975 specification for petroleum in the United States. Renewable diesel is </w:t>
      </w:r>
      <w:r w:rsidR="00114AC0" w:rsidRPr="00DF42BD">
        <w:rPr>
          <w:bCs/>
        </w:rPr>
        <w:t>different from</w:t>
      </w:r>
      <w:r w:rsidRPr="00DF42BD">
        <w:rPr>
          <w:bCs/>
        </w:rPr>
        <w:t xml:space="preserve"> biodiesel; renewable diesel production uses a hydrogenation process rather than the esterification process used to produce biodiesel.</w:t>
      </w:r>
    </w:p>
    <w:p w14:paraId="658CFB86" w14:textId="54399D42" w:rsidR="00DF42BD" w:rsidRPr="00DF42BD" w:rsidRDefault="00DF42BD" w:rsidP="00DF42BD">
      <w:pPr>
        <w:rPr>
          <w:bCs/>
        </w:rPr>
      </w:pPr>
      <w:r w:rsidRPr="00DF42BD">
        <w:rPr>
          <w:b/>
        </w:rPr>
        <w:lastRenderedPageBreak/>
        <w:t>Sourcing:</w:t>
      </w:r>
      <w:r w:rsidRPr="00DF42BD">
        <w:rPr>
          <w:bCs/>
        </w:rPr>
        <w:t xml:space="preserve"> In this policy, “sourced” refers to the raw material production (i.e., feedstock sourcing), refining, and distribution processes related to renewable diesel creation.</w:t>
      </w:r>
    </w:p>
    <w:p w14:paraId="7D37F90A" w14:textId="727A520B" w:rsidR="00BE4251" w:rsidRPr="00BE4251" w:rsidRDefault="00DF42BD" w:rsidP="00DF42BD">
      <w:pPr>
        <w:rPr>
          <w:bCs/>
        </w:rPr>
      </w:pPr>
      <w:r w:rsidRPr="00DF42BD">
        <w:rPr>
          <w:b/>
        </w:rPr>
        <w:t>Waste feedstocks:</w:t>
      </w:r>
      <w:r w:rsidRPr="00DF42BD">
        <w:rPr>
          <w:bCs/>
        </w:rPr>
        <w:t xml:space="preserve"> For the purposes of this policy, waste feedstocks refer to used cooking oil, tallow, and animal fats.</w:t>
      </w:r>
    </w:p>
    <w:p w14:paraId="4EF12032" w14:textId="689221F8" w:rsidR="00CB0C31" w:rsidRDefault="009549F3" w:rsidP="004F1875">
      <w:pPr>
        <w:pStyle w:val="Heading2"/>
      </w:pPr>
      <w:r w:rsidRPr="009549F3">
        <w:t>Renewable Diesel for State Operations: Guidance on Requirements</w:t>
      </w:r>
    </w:p>
    <w:p w14:paraId="0A72A29D" w14:textId="7E8E3491" w:rsidR="009549F3" w:rsidRPr="009549F3" w:rsidRDefault="00AE43D6" w:rsidP="009549F3">
      <w:r w:rsidRPr="00AE43D6">
        <w:t xml:space="preserve">Under this policy, renewable diesel can only </w:t>
      </w:r>
      <w:proofErr w:type="gramStart"/>
      <w:r w:rsidR="00F04E75">
        <w:t>be used</w:t>
      </w:r>
      <w:proofErr w:type="gramEnd"/>
      <w:r w:rsidR="00F04E75">
        <w:t xml:space="preserve"> to </w:t>
      </w:r>
      <w:r w:rsidR="00804312">
        <w:t xml:space="preserve">officially reduce emissions if it </w:t>
      </w:r>
      <w:proofErr w:type="gramStart"/>
      <w:r w:rsidR="00804312">
        <w:t>is identified</w:t>
      </w:r>
      <w:proofErr w:type="gramEnd"/>
      <w:r w:rsidRPr="00AE43D6">
        <w:t xml:space="preserve"> as a transition fuel </w:t>
      </w:r>
      <w:r w:rsidR="00804312">
        <w:t xml:space="preserve">toward ultimate electrification. </w:t>
      </w:r>
      <w:r w:rsidRPr="00AE43D6">
        <w:t xml:space="preserve"> Any entity using eligible renewable diesel (as outlined below) must </w:t>
      </w:r>
      <w:r w:rsidR="00820598">
        <w:t xml:space="preserve">demonstrate a </w:t>
      </w:r>
      <w:r w:rsidRPr="00AE43D6">
        <w:t>commit</w:t>
      </w:r>
      <w:r w:rsidR="00820598">
        <w:t>ment</w:t>
      </w:r>
      <w:r w:rsidRPr="00AE43D6">
        <w:t xml:space="preserve"> to electrification of their hard-to-electrify operations as the long-term solution toward emissions reductions.</w:t>
      </w:r>
      <w:r w:rsidR="00644ACA">
        <w:t xml:space="preserve"> </w:t>
      </w:r>
    </w:p>
    <w:p w14:paraId="7F7E7F7F" w14:textId="152F0877" w:rsidR="00BE4251" w:rsidRPr="00BE4251" w:rsidRDefault="00BE4251" w:rsidP="004F1875">
      <w:pPr>
        <w:pStyle w:val="Heading3"/>
      </w:pPr>
      <w:bookmarkStart w:id="3" w:name="_Toc224829982"/>
      <w:r w:rsidRPr="00BE4251">
        <w:t xml:space="preserve">Part I: </w:t>
      </w:r>
      <w:bookmarkEnd w:id="3"/>
      <w:r w:rsidR="00967F59">
        <w:t>Eligible Use Cases</w:t>
      </w:r>
    </w:p>
    <w:p w14:paraId="7E47FB98" w14:textId="1E657BC2" w:rsidR="00070434" w:rsidRPr="00070434" w:rsidRDefault="00070434" w:rsidP="00070434">
      <w:r w:rsidRPr="00070434">
        <w:t>To claim any emissions benefits from the use of renewable diesel, state entities may replace the use of petroleum diesel with renewable diesel</w:t>
      </w:r>
      <w:r w:rsidR="00895011">
        <w:t xml:space="preserve"> under certain use cases</w:t>
      </w:r>
      <w:r w:rsidR="00541EC8">
        <w:t xml:space="preserve">. </w:t>
      </w:r>
      <w:r w:rsidR="00FA35B2">
        <w:t xml:space="preserve">This replacement </w:t>
      </w:r>
      <w:proofErr w:type="gramStart"/>
      <w:r w:rsidR="00BB4B30">
        <w:t xml:space="preserve">is </w:t>
      </w:r>
      <w:r w:rsidR="008F764B">
        <w:t>allowed</w:t>
      </w:r>
      <w:proofErr w:type="gramEnd"/>
      <w:r w:rsidR="00BB4B30">
        <w:t xml:space="preserve"> </w:t>
      </w:r>
      <w:r w:rsidRPr="00070434">
        <w:t>in the following hard-to-electrify use cases</w:t>
      </w:r>
      <w:r w:rsidR="00FA35B2">
        <w:t xml:space="preserve"> </w:t>
      </w:r>
      <w:r w:rsidRPr="00070434">
        <w:t xml:space="preserve">as a </w:t>
      </w:r>
      <w:proofErr w:type="gramStart"/>
      <w:r w:rsidRPr="00070434">
        <w:t>transition</w:t>
      </w:r>
      <w:proofErr w:type="gramEnd"/>
      <w:r w:rsidRPr="00070434">
        <w:t xml:space="preserve"> fuel</w:t>
      </w:r>
      <w:r w:rsidR="00FA35B2">
        <w:t>,</w:t>
      </w:r>
      <w:r w:rsidRPr="00070434">
        <w:t xml:space="preserve"> with electrification as the long-term goal:</w:t>
      </w:r>
    </w:p>
    <w:p w14:paraId="2A8C039C" w14:textId="77777777" w:rsidR="00070434" w:rsidRPr="00070434" w:rsidRDefault="00070434" w:rsidP="008B353B">
      <w:pPr>
        <w:numPr>
          <w:ilvl w:val="0"/>
          <w:numId w:val="39"/>
        </w:numPr>
        <w:ind w:left="720" w:hanging="360"/>
      </w:pPr>
      <w:r w:rsidRPr="00070434">
        <w:t xml:space="preserve">Medium- and heavy-duty diesel vehicles for which there are currently no electric alternatives, or the incremental cost of the electric alternative is prohibitive </w:t>
      </w:r>
    </w:p>
    <w:p w14:paraId="58734838" w14:textId="77777777" w:rsidR="00070434" w:rsidRPr="00070434" w:rsidRDefault="00070434" w:rsidP="008B353B">
      <w:pPr>
        <w:numPr>
          <w:ilvl w:val="0"/>
          <w:numId w:val="39"/>
        </w:numPr>
        <w:ind w:left="720" w:hanging="360"/>
      </w:pPr>
      <w:r w:rsidRPr="00070434">
        <w:t>Certain off-road equipment that uses diesel fuel for which there are currently no electric alternatives, or the incremental cost of the electric alternative is prohibitive</w:t>
      </w:r>
    </w:p>
    <w:p w14:paraId="59A6704C" w14:textId="7DB8B908" w:rsidR="00070434" w:rsidRPr="00070434" w:rsidRDefault="00070434" w:rsidP="008B353B">
      <w:pPr>
        <w:numPr>
          <w:ilvl w:val="0"/>
          <w:numId w:val="39"/>
        </w:numPr>
        <w:ind w:left="720" w:hanging="360"/>
      </w:pPr>
      <w:r w:rsidRPr="00070434">
        <w:t>Central campus heating plants, co-generation plants, and building</w:t>
      </w:r>
      <w:r w:rsidR="00653783">
        <w:t>-</w:t>
      </w:r>
      <w:r w:rsidRPr="00070434">
        <w:t xml:space="preserve">level boilers that </w:t>
      </w:r>
      <w:r w:rsidR="006A3D9B">
        <w:t>must</w:t>
      </w:r>
      <w:r w:rsidRPr="00070434">
        <w:t xml:space="preserve"> use petroleum diesel fuel</w:t>
      </w:r>
      <w:r w:rsidRPr="00070434">
        <w:rPr>
          <w:vertAlign w:val="superscript"/>
        </w:rPr>
        <w:footnoteReference w:id="2"/>
      </w:r>
      <w:r w:rsidRPr="00070434">
        <w:t xml:space="preserve"> or heating oil where complete electrification </w:t>
      </w:r>
      <w:r w:rsidR="00653783">
        <w:t xml:space="preserve">of the </w:t>
      </w:r>
      <w:r w:rsidR="007D6F81">
        <w:t xml:space="preserve">heating </w:t>
      </w:r>
      <w:r w:rsidR="00A06D6F">
        <w:t>system</w:t>
      </w:r>
      <w:r w:rsidR="007D6F81">
        <w:t xml:space="preserve"> </w:t>
      </w:r>
      <w:r w:rsidRPr="00070434">
        <w:t>is not a viable option over the short term</w:t>
      </w:r>
    </w:p>
    <w:p w14:paraId="612EF949" w14:textId="77777777" w:rsidR="00070434" w:rsidRPr="00070434" w:rsidRDefault="00070434" w:rsidP="008B353B">
      <w:pPr>
        <w:numPr>
          <w:ilvl w:val="0"/>
          <w:numId w:val="39"/>
        </w:numPr>
        <w:ind w:left="720" w:hanging="360"/>
      </w:pPr>
      <w:r w:rsidRPr="00070434">
        <w:t>Emergency generators that use petroleum diesel</w:t>
      </w:r>
    </w:p>
    <w:p w14:paraId="5CB6CFF5" w14:textId="77777777" w:rsidR="00A65CA9" w:rsidRDefault="00513B53" w:rsidP="004B07A8">
      <w:r w:rsidRPr="00513B53">
        <w:t>Renewable diesel will not receive emissions reduction credit for uses where it replaces natural gas or liquefied natural gas (LNG) when such fuels are available. In other words, entities will not receive emissions reduction credit for renewable diesel used in lieu of natural gas or LNG systems when there is still supply of natural gas or LNG for those systems.</w:t>
      </w:r>
    </w:p>
    <w:p w14:paraId="5FA6364C" w14:textId="28E3A715" w:rsidR="00070434" w:rsidRDefault="00513B53" w:rsidP="004B07A8">
      <w:pPr>
        <w:rPr>
          <w:bCs/>
        </w:rPr>
      </w:pPr>
      <w:r w:rsidRPr="00513B53">
        <w:lastRenderedPageBreak/>
        <w:t xml:space="preserve">DOER in its sole discretion reserves the right to allow other use cases for renewable diesel </w:t>
      </w:r>
      <w:r w:rsidRPr="00513B53">
        <w:rPr>
          <w:bCs/>
        </w:rPr>
        <w:t>should entities demonstrate sufficient rationale for doing so.</w:t>
      </w:r>
      <w:r w:rsidR="00A65CA9">
        <w:rPr>
          <w:bCs/>
        </w:rPr>
        <w:t xml:space="preserve"> </w:t>
      </w:r>
      <w:r w:rsidR="00A65CA9" w:rsidRPr="00A65CA9">
        <w:rPr>
          <w:bCs/>
        </w:rPr>
        <w:t xml:space="preserve">On a case-by-case basis, LBE will review other drop-in fuels that </w:t>
      </w:r>
      <w:proofErr w:type="gramStart"/>
      <w:r w:rsidR="00A65CA9" w:rsidRPr="00A65CA9">
        <w:rPr>
          <w:bCs/>
        </w:rPr>
        <w:t>are not defined</w:t>
      </w:r>
      <w:proofErr w:type="gramEnd"/>
      <w:r w:rsidR="00A65CA9" w:rsidRPr="00A65CA9">
        <w:rPr>
          <w:bCs/>
        </w:rPr>
        <w:t xml:space="preserve"> as “renewable diesel” and will determine whether those fuels meet the core criteria of this policy and can </w:t>
      </w:r>
      <w:proofErr w:type="gramStart"/>
      <w:r w:rsidR="00A65CA9" w:rsidRPr="00A65CA9">
        <w:rPr>
          <w:bCs/>
        </w:rPr>
        <w:t>be utilized</w:t>
      </w:r>
      <w:proofErr w:type="gramEnd"/>
      <w:r w:rsidR="00A65CA9" w:rsidRPr="00A65CA9">
        <w:rPr>
          <w:bCs/>
        </w:rPr>
        <w:t xml:space="preserve"> for emissions reductions.</w:t>
      </w:r>
    </w:p>
    <w:p w14:paraId="091A90A6" w14:textId="0BF426E3" w:rsidR="00513B53" w:rsidRDefault="00513B53" w:rsidP="000E6526">
      <w:pPr>
        <w:pStyle w:val="Heading3"/>
      </w:pPr>
      <w:r>
        <w:t>Part II: Feedstock &amp; Sourcing Specifications for Renewable Diesel</w:t>
      </w:r>
    </w:p>
    <w:p w14:paraId="72247B65" w14:textId="77777777" w:rsidR="000C4AE8" w:rsidRPr="000C4AE8" w:rsidRDefault="000C4AE8" w:rsidP="000C4AE8">
      <w:r w:rsidRPr="000C4AE8">
        <w:t xml:space="preserve">The requirements in this section </w:t>
      </w:r>
      <w:proofErr w:type="gramStart"/>
      <w:r w:rsidRPr="000C4AE8">
        <w:t>are intended</w:t>
      </w:r>
      <w:proofErr w:type="gramEnd"/>
      <w:r w:rsidRPr="000C4AE8">
        <w:t xml:space="preserve"> to maximize any emissions benefits from use of renewable diesel and to facilitate verification that any fuel used meets the minimum criteria established herein. </w:t>
      </w:r>
    </w:p>
    <w:p w14:paraId="7C9EB724" w14:textId="3AD1715D" w:rsidR="000C4AE8" w:rsidRPr="000C4AE8" w:rsidRDefault="000C4AE8" w:rsidP="000C4AE8">
      <w:pPr>
        <w:rPr>
          <w:b/>
          <w:bCs/>
        </w:rPr>
      </w:pPr>
      <w:r w:rsidRPr="000C4AE8">
        <w:t>To claim any emissions benefits in the state portfolio emissions accounting from the use of renewable diesel, state entities must use renewable diesel derived from waste oil feedstocks</w:t>
      </w:r>
      <w:r w:rsidR="004E445A">
        <w:t>.</w:t>
      </w:r>
      <w:r w:rsidRPr="000C4AE8">
        <w:t xml:space="preserve"> The policy allows for a blend of these waste feedstocks or use of a singular waste feedstock.</w:t>
      </w:r>
    </w:p>
    <w:p w14:paraId="2718F656" w14:textId="5BF014F5" w:rsidR="00513B53" w:rsidRDefault="000C4AE8" w:rsidP="000C4AE8">
      <w:r w:rsidRPr="000C4AE8">
        <w:t>This policy also requires that renewable diesel is domestically sourced.</w:t>
      </w:r>
    </w:p>
    <w:p w14:paraId="7CF349BC" w14:textId="42F8DDD1" w:rsidR="000C4AE8" w:rsidRDefault="000C4AE8" w:rsidP="000E6526">
      <w:pPr>
        <w:pStyle w:val="Heading3"/>
      </w:pPr>
      <w:r>
        <w:t xml:space="preserve">Part III: </w:t>
      </w:r>
      <w:r w:rsidR="00B23261" w:rsidRPr="00B23261">
        <w:t>Application &amp; Reporting Process to Ensure Renewable Diesel Eligibility for Emissions Reduction Credit</w:t>
      </w:r>
    </w:p>
    <w:p w14:paraId="4ECF3F3C" w14:textId="0FC2EE9E" w:rsidR="00B23261" w:rsidRDefault="00B23261" w:rsidP="000E6526">
      <w:pPr>
        <w:pStyle w:val="Heading4"/>
      </w:pPr>
      <w:r>
        <w:t>Step 1: Application to LBE</w:t>
      </w:r>
    </w:p>
    <w:p w14:paraId="268F63D7" w14:textId="6632EA0A" w:rsidR="00BF37B8" w:rsidRPr="00BF37B8" w:rsidRDefault="00BF37B8" w:rsidP="00BF37B8">
      <w:r w:rsidRPr="00BF37B8">
        <w:t xml:space="preserve">At the earliest possible time, a state entity shall </w:t>
      </w:r>
      <w:proofErr w:type="gramStart"/>
      <w:r w:rsidRPr="00BF37B8">
        <w:t>submit an application</w:t>
      </w:r>
      <w:proofErr w:type="gramEnd"/>
      <w:r w:rsidRPr="00BF37B8">
        <w:t xml:space="preserve"> </w:t>
      </w:r>
      <w:r w:rsidR="005F6160">
        <w:t xml:space="preserve">through </w:t>
      </w:r>
      <w:hyperlink r:id="rId17" w:history="1">
        <w:r w:rsidR="005F6160" w:rsidRPr="00607EF1">
          <w:rPr>
            <w:rStyle w:val="Hyperlink"/>
          </w:rPr>
          <w:t xml:space="preserve">a </w:t>
        </w:r>
        <w:r w:rsidRPr="00607EF1">
          <w:rPr>
            <w:rStyle w:val="Hyperlink"/>
          </w:rPr>
          <w:t>form developed by LBE</w:t>
        </w:r>
      </w:hyperlink>
      <w:r w:rsidRPr="00BF37B8">
        <w:t xml:space="preserve"> that details the intended use cases for which </w:t>
      </w:r>
      <w:r w:rsidR="002D7FFB">
        <w:t>it</w:t>
      </w:r>
      <w:r w:rsidRPr="00BF37B8">
        <w:t xml:space="preserve"> plan</w:t>
      </w:r>
      <w:r w:rsidR="002D7FFB">
        <w:t>s</w:t>
      </w:r>
      <w:r w:rsidRPr="00BF37B8">
        <w:t xml:space="preserve"> to utilize renewable diesel (see Part I above). The form will also require the entity to explain their inability to electrify the identified use case</w:t>
      </w:r>
      <w:r w:rsidR="006C10AB">
        <w:t>(</w:t>
      </w:r>
      <w:r w:rsidRPr="00BF37B8">
        <w:t>s</w:t>
      </w:r>
      <w:r w:rsidR="006C10AB">
        <w:t>)</w:t>
      </w:r>
      <w:r w:rsidRPr="00BF37B8">
        <w:t xml:space="preserve"> in the short term. </w:t>
      </w:r>
    </w:p>
    <w:p w14:paraId="65F5F516" w14:textId="47BB55CA" w:rsidR="00BF37B8" w:rsidRPr="00BF37B8" w:rsidRDefault="00BF37B8" w:rsidP="00BF37B8">
      <w:r w:rsidRPr="00BF37B8">
        <w:t>Additionally, as part of the application, the entity will also confirm their understanding of the requirements of this policy, including sourcing and feedstock requirements to receive any emissions reduction benefits.</w:t>
      </w:r>
    </w:p>
    <w:p w14:paraId="27C83FDC" w14:textId="77EE5D71" w:rsidR="00BF37B8" w:rsidRPr="00BF37B8" w:rsidRDefault="00B5246B" w:rsidP="00BF37B8">
      <w:r>
        <w:t>W</w:t>
      </w:r>
      <w:r w:rsidRPr="00BF37B8">
        <w:t>ithin two (2) weeks of form submittal</w:t>
      </w:r>
      <w:r>
        <w:t>,</w:t>
      </w:r>
      <w:r w:rsidRPr="00BF37B8">
        <w:t xml:space="preserve"> </w:t>
      </w:r>
      <w:r w:rsidR="00BF37B8" w:rsidRPr="00BF37B8">
        <w:t xml:space="preserve">LBE will review the application form and </w:t>
      </w:r>
      <w:r w:rsidR="00AD783A">
        <w:t>notify the applicant</w:t>
      </w:r>
      <w:r w:rsidR="00BF37B8" w:rsidRPr="00BF37B8">
        <w:t xml:space="preserve"> on whether the renewable diesel </w:t>
      </w:r>
      <w:r w:rsidR="00007F43">
        <w:t>strategy</w:t>
      </w:r>
      <w:r w:rsidR="00BF37B8" w:rsidRPr="00BF37B8">
        <w:t xml:space="preserve"> as described </w:t>
      </w:r>
      <w:r w:rsidR="00C03845">
        <w:t xml:space="preserve">by the entity </w:t>
      </w:r>
      <w:r w:rsidR="00BF37B8" w:rsidRPr="00BF37B8">
        <w:t>adheres to this policy. During this time, LBE may request clarification to ensure that the intended use of renewable diesel aligns with this policy and is eligible to receive emissions reduction credit.</w:t>
      </w:r>
    </w:p>
    <w:p w14:paraId="3C0E8287" w14:textId="7ED1F09C" w:rsidR="00B23261" w:rsidRDefault="00BF37B8" w:rsidP="00BF37B8">
      <w:r w:rsidRPr="00BF37B8">
        <w:t xml:space="preserve">Regardless of whether any changes to an entity’s renewable diesel </w:t>
      </w:r>
      <w:r w:rsidR="00007F43">
        <w:t>strategy</w:t>
      </w:r>
      <w:r w:rsidRPr="00BF37B8">
        <w:t xml:space="preserve"> have occurred, entities must re-submit this form every two (2) years for LBE review.</w:t>
      </w:r>
    </w:p>
    <w:p w14:paraId="47F2C9AD" w14:textId="661BE981" w:rsidR="00BF37B8" w:rsidRDefault="00BF37B8" w:rsidP="000E6526">
      <w:pPr>
        <w:pStyle w:val="Heading4"/>
      </w:pPr>
      <w:r>
        <w:t>Step 2: Procurement</w:t>
      </w:r>
    </w:p>
    <w:p w14:paraId="0A68F5C1" w14:textId="77777777" w:rsidR="00D878BA" w:rsidRDefault="00D878BA" w:rsidP="00D878BA">
      <w:r>
        <w:t xml:space="preserve">While there is no requirement to connect with LBE during the procurement stage, state entities </w:t>
      </w:r>
      <w:proofErr w:type="gramStart"/>
      <w:r>
        <w:t>are encouraged</w:t>
      </w:r>
      <w:proofErr w:type="gramEnd"/>
      <w:r>
        <w:t xml:space="preserve"> to keep LBE informed of the procurement process status and connect with LBE to address any questions or concerns.</w:t>
      </w:r>
    </w:p>
    <w:p w14:paraId="77A8AA8D" w14:textId="364FC26D" w:rsidR="00D878BA" w:rsidRDefault="00D878BA" w:rsidP="00D878BA">
      <w:r>
        <w:lastRenderedPageBreak/>
        <w:t>With input from LBE, the Operational Services Division is</w:t>
      </w:r>
      <w:r w:rsidR="00F10B12">
        <w:t xml:space="preserve"> (at the time of </w:t>
      </w:r>
      <w:r w:rsidR="002D7853">
        <w:t>this policy’s publication)</w:t>
      </w:r>
      <w:r>
        <w:t xml:space="preserve"> in the process of expanding the existing appropriate statewide contract to include renewable diesel, which is open to all eligible public entities, to facilitate the purchase of this fuel.</w:t>
      </w:r>
    </w:p>
    <w:p w14:paraId="4D4B33CF" w14:textId="1CA3E154" w:rsidR="00BF37B8" w:rsidRDefault="00D878BA" w:rsidP="00D878BA">
      <w:r>
        <w:t>State entities must follow all applicable procurement laws and regulations to procure renewable diesel.</w:t>
      </w:r>
    </w:p>
    <w:p w14:paraId="765F0C78" w14:textId="18EFC699" w:rsidR="00D878BA" w:rsidRDefault="00D878BA" w:rsidP="000E6526">
      <w:pPr>
        <w:pStyle w:val="Heading4"/>
      </w:pPr>
      <w:r>
        <w:t>Step 3: Annual LBE Reporting</w:t>
      </w:r>
    </w:p>
    <w:p w14:paraId="562B58BA" w14:textId="536E2714" w:rsidR="008B353B" w:rsidRPr="008B353B" w:rsidRDefault="008B353B" w:rsidP="008B353B">
      <w:r w:rsidRPr="008B353B">
        <w:t>State entities that have deployed renewable diesel for eligible use cases under this policy must complete and submit renewable diesel information through the annual Leading by Example Tracking Form. This information must include details on the amount of renewable diesel consumed during the prior fiscal year, the feedstock type, the renewable diesel production location</w:t>
      </w:r>
      <w:r w:rsidR="00A83937">
        <w:t>(s)</w:t>
      </w:r>
      <w:r w:rsidRPr="008B353B">
        <w:t xml:space="preserve">, and other information requested in the Tracking Form. Backup documentation (vendor quotes, </w:t>
      </w:r>
      <w:r w:rsidR="001263DB">
        <w:t>sourcing</w:t>
      </w:r>
      <w:r w:rsidRPr="008B353B">
        <w:t xml:space="preserve"> information</w:t>
      </w:r>
      <w:r w:rsidR="001263DB">
        <w:t xml:space="preserve">, </w:t>
      </w:r>
      <w:r w:rsidRPr="008B353B">
        <w:t xml:space="preserve">etc.) </w:t>
      </w:r>
      <w:r w:rsidR="00D14B48">
        <w:t>may</w:t>
      </w:r>
      <w:r w:rsidRPr="008B353B">
        <w:t xml:space="preserve"> </w:t>
      </w:r>
      <w:proofErr w:type="gramStart"/>
      <w:r w:rsidRPr="008B353B">
        <w:t>be required</w:t>
      </w:r>
      <w:proofErr w:type="gramEnd"/>
      <w:r w:rsidRPr="008B353B">
        <w:t xml:space="preserve">. </w:t>
      </w:r>
    </w:p>
    <w:p w14:paraId="555A18C2" w14:textId="614563AF" w:rsidR="00D878BA" w:rsidRDefault="008B353B" w:rsidP="008B353B">
      <w:r w:rsidRPr="008B353B">
        <w:t>LBE will include the reported renewable diesel consumption</w:t>
      </w:r>
      <w:r w:rsidR="00A83937">
        <w:t xml:space="preserve"> and associated GHG emissions</w:t>
      </w:r>
      <w:r w:rsidRPr="008B353B">
        <w:t xml:space="preserve"> in the state portfolio fiscal year progress dashboard. LBE publishes this dashboard to the LBE website and other documents detailing </w:t>
      </w:r>
      <w:r w:rsidR="003D228C">
        <w:t xml:space="preserve">efforts and progress toward achieving </w:t>
      </w:r>
      <w:r w:rsidRPr="008B353B">
        <w:t xml:space="preserve">GHG emissions </w:t>
      </w:r>
      <w:r w:rsidR="003D228C">
        <w:t xml:space="preserve">reductions </w:t>
      </w:r>
      <w:r w:rsidRPr="008B353B">
        <w:t>at state facilities.</w:t>
      </w:r>
    </w:p>
    <w:p w14:paraId="273881C1" w14:textId="77777777" w:rsidR="00CB4320" w:rsidRPr="00CB4320" w:rsidRDefault="00CB4320" w:rsidP="00CB4320">
      <w:pPr>
        <w:pStyle w:val="Heading3"/>
      </w:pPr>
      <w:r w:rsidRPr="00CB4320">
        <w:t xml:space="preserve">Part IV: Calculating Emissions Impacts </w:t>
      </w:r>
    </w:p>
    <w:p w14:paraId="3DD68DD3" w14:textId="333E22D5" w:rsidR="00CB4320" w:rsidRPr="00CB4320" w:rsidRDefault="00CB4320" w:rsidP="00CB4320">
      <w:r w:rsidRPr="00CB4320">
        <w:t xml:space="preserve">This section outlines </w:t>
      </w:r>
      <w:r w:rsidR="00A72EEE">
        <w:t>the methodology by which L</w:t>
      </w:r>
      <w:r w:rsidRPr="00CB4320">
        <w:t>BE will calculate emissions for renewable diesel</w:t>
      </w:r>
      <w:r w:rsidR="008D4CBD">
        <w:t>. This methodology is</w:t>
      </w:r>
      <w:r w:rsidRPr="00CB4320">
        <w:t xml:space="preserve"> </w:t>
      </w:r>
      <w:r w:rsidR="005B220B">
        <w:t>consistent with the</w:t>
      </w:r>
      <w:r w:rsidRPr="00CB4320">
        <w:t xml:space="preserve"> Commonwealth</w:t>
      </w:r>
      <w:r w:rsidR="005B220B">
        <w:t>’s methodology to</w:t>
      </w:r>
      <w:r w:rsidRPr="00CB4320">
        <w:t xml:space="preserve"> track progress toward </w:t>
      </w:r>
      <w:r w:rsidR="008E51E5">
        <w:t xml:space="preserve">statewide </w:t>
      </w:r>
      <w:r w:rsidRPr="00CB4320">
        <w:t>GHG emissions limits set by the Secretary of Energy and Environmental Affairs pursuant to the Global Warming Solutions Act (Chapter 298 of the Acts of 2008) as amended and codified as M.G.L. c. 21N.</w:t>
      </w:r>
    </w:p>
    <w:p w14:paraId="6B0BA0C8" w14:textId="2B234A9A" w:rsidR="00CB4320" w:rsidRPr="00CB4320" w:rsidRDefault="00CB4320" w:rsidP="00CB4320">
      <w:r w:rsidRPr="00CB4320">
        <w:t xml:space="preserve">In the Commonwealth’s methodology, gross (non-biogenic) emissions and biogenic emissions </w:t>
      </w:r>
      <w:proofErr w:type="gramStart"/>
      <w:r w:rsidRPr="00CB4320">
        <w:t>are tracked</w:t>
      </w:r>
      <w:proofErr w:type="gramEnd"/>
      <w:r w:rsidRPr="00CB4320">
        <w:t xml:space="preserve"> separately, and </w:t>
      </w:r>
      <w:r w:rsidR="004339A9">
        <w:t>the Massachusetts Department of Environmental Protection (</w:t>
      </w:r>
      <w:r w:rsidRPr="00CB4320">
        <w:t>MassDEP</w:t>
      </w:r>
      <w:r w:rsidR="004339A9">
        <w:t>)</w:t>
      </w:r>
      <w:r w:rsidRPr="00CB4320">
        <w:t xml:space="preserve"> publishes a gross emissions value that includes GHG emissions derived from non-biogenic (fossil fuel) sources. MassDEP uses this emissions value to track progress toward established emissions targets. </w:t>
      </w:r>
    </w:p>
    <w:p w14:paraId="3823FD49" w14:textId="032690DB" w:rsidR="00CB4320" w:rsidRPr="00CB4320" w:rsidRDefault="00CB4320" w:rsidP="00CB4320">
      <w:r w:rsidRPr="00CB4320">
        <w:t>In 2050, MassDEP will use gross emissions to track progress towards the 85% emissions reduction target set in statute</w:t>
      </w:r>
      <w:r w:rsidR="004E0BA3">
        <w:t>. B</w:t>
      </w:r>
      <w:r w:rsidRPr="00CB4320">
        <w:t xml:space="preserve">iogenic </w:t>
      </w:r>
      <w:r w:rsidR="009F3D0E">
        <w:t xml:space="preserve">tailpipe </w:t>
      </w:r>
      <w:r w:rsidRPr="00CB4320">
        <w:t xml:space="preserve">emissions will </w:t>
      </w:r>
      <w:proofErr w:type="gramStart"/>
      <w:r w:rsidRPr="00CB4320">
        <w:t>be added</w:t>
      </w:r>
      <w:proofErr w:type="gramEnd"/>
      <w:r w:rsidRPr="00CB4320">
        <w:t xml:space="preserve"> separately at that time to arrive at a total emissions value, with total </w:t>
      </w:r>
      <w:r w:rsidR="00A76B80">
        <w:t xml:space="preserve">remaining </w:t>
      </w:r>
      <w:r w:rsidRPr="00CB4320">
        <w:t xml:space="preserve">emissions required to </w:t>
      </w:r>
      <w:proofErr w:type="gramStart"/>
      <w:r w:rsidRPr="00CB4320">
        <w:t>be offset</w:t>
      </w:r>
      <w:proofErr w:type="gramEnd"/>
      <w:r w:rsidRPr="00CB4320">
        <w:t xml:space="preserve"> to meet the 2050 net zero target (as outlined in the formula below):</w:t>
      </w:r>
    </w:p>
    <w:p w14:paraId="57B8B142" w14:textId="707B9D50" w:rsidR="00CB4320" w:rsidRPr="00CB4320" w:rsidRDefault="00CB4320" w:rsidP="00CB4320">
      <w:pPr>
        <w:jc w:val="center"/>
        <w:rPr>
          <w:i/>
          <w:iCs/>
        </w:rPr>
      </w:pPr>
      <w:r w:rsidRPr="00CB4320">
        <w:rPr>
          <w:i/>
          <w:iCs/>
        </w:rPr>
        <w:t>Net</w:t>
      </w:r>
      <w:r w:rsidR="00AC7D30">
        <w:rPr>
          <w:i/>
          <w:iCs/>
        </w:rPr>
        <w:t xml:space="preserve"> </w:t>
      </w:r>
      <w:r w:rsidRPr="00CB4320">
        <w:rPr>
          <w:i/>
          <w:iCs/>
        </w:rPr>
        <w:t xml:space="preserve">Zero Emissions = Gross Emissions </w:t>
      </w:r>
      <w:r w:rsidRPr="009004D7">
        <w:rPr>
          <w:i/>
          <w:iCs/>
        </w:rPr>
        <w:t>+</w:t>
      </w:r>
      <w:r w:rsidRPr="00CB4320">
        <w:rPr>
          <w:i/>
          <w:iCs/>
        </w:rPr>
        <w:t xml:space="preserve"> Biogenic Combustion Emissions – Offsets/Sequestration</w:t>
      </w:r>
    </w:p>
    <w:p w14:paraId="637525B7" w14:textId="0B6C37BA" w:rsidR="00CB4320" w:rsidRPr="00CB4320" w:rsidRDefault="00CB4320" w:rsidP="00CB4320">
      <w:r w:rsidRPr="00CB4320">
        <w:t xml:space="preserve">Since Executive Order 594 explicitly sets targets for the reduction of “emissions from the burning of onsite fossil fuels,” LBE will attribute emissions values for eligible renewable diesel in the same way the Commonwealth tracks fossil fuel (non-biogenic) and biogenic fuel </w:t>
      </w:r>
      <w:r w:rsidRPr="00CB4320">
        <w:lastRenderedPageBreak/>
        <w:t xml:space="preserve">emissions. Through this methodology, </w:t>
      </w:r>
      <w:r w:rsidR="0038613C">
        <w:t xml:space="preserve">over the near-term, </w:t>
      </w:r>
      <w:r w:rsidRPr="00CB4320">
        <w:t xml:space="preserve">LBE will calculate and report the biogenic emissions from renewable diesel use separately from fossil fuel and overall GHG emissions. LBE will track </w:t>
      </w:r>
      <w:r w:rsidR="00BF7166">
        <w:t xml:space="preserve">progress toward </w:t>
      </w:r>
      <w:r w:rsidRPr="00CB4320">
        <w:t>fossil fuel emission reduction</w:t>
      </w:r>
      <w:r w:rsidR="00D24C81">
        <w:t xml:space="preserve"> targets</w:t>
      </w:r>
      <w:r w:rsidRPr="00CB4320">
        <w:t xml:space="preserve"> based on emissions attributable to fossil fuel consumption</w:t>
      </w:r>
      <w:r w:rsidR="00271B83">
        <w:t xml:space="preserve">, while emissions from biogenic fuels will </w:t>
      </w:r>
      <w:proofErr w:type="gramStart"/>
      <w:r w:rsidR="00271B83">
        <w:t>be tabulated</w:t>
      </w:r>
      <w:proofErr w:type="gramEnd"/>
      <w:r w:rsidR="00271B83">
        <w:t xml:space="preserve"> separately but not</w:t>
      </w:r>
      <w:r w:rsidR="007C5D60">
        <w:t xml:space="preserve"> </w:t>
      </w:r>
      <w:r w:rsidR="004043D9">
        <w:t>included in total emissions</w:t>
      </w:r>
      <w:r w:rsidR="006F0523">
        <w:t xml:space="preserve"> (see #3 and #4 below for</w:t>
      </w:r>
      <w:r w:rsidR="006E05D7">
        <w:t xml:space="preserve"> </w:t>
      </w:r>
      <w:r w:rsidR="0038613C">
        <w:t>longer-term emissions calculations)</w:t>
      </w:r>
      <w:r w:rsidRPr="00CB4320">
        <w:t>. More specifically, LBE will adhere to the following emissions calculations factors (also see Table 1):</w:t>
      </w:r>
    </w:p>
    <w:p w14:paraId="2034B72C" w14:textId="77777777" w:rsidR="00CB4320" w:rsidRPr="00CB4320" w:rsidRDefault="00CB4320" w:rsidP="00CB4320">
      <w:pPr>
        <w:numPr>
          <w:ilvl w:val="0"/>
          <w:numId w:val="40"/>
        </w:numPr>
      </w:pPr>
      <w:r w:rsidRPr="00CB4320">
        <w:t>Onsite fossil fuel emissions calculations for</w:t>
      </w:r>
      <w:r w:rsidRPr="00CB4320">
        <w:rPr>
          <w:i/>
          <w:iCs/>
        </w:rPr>
        <w:t xml:space="preserve"> </w:t>
      </w:r>
      <w:r w:rsidRPr="00CB4320">
        <w:rPr>
          <w:b/>
          <w:bCs/>
        </w:rPr>
        <w:t>eligible renewable diesel</w:t>
      </w:r>
      <w:r w:rsidRPr="00CB4320">
        <w:t xml:space="preserve"> will use an emissions factor of zero, which aligns with the Commonwealth’s statewide emissions tracking and reporting methodology. </w:t>
      </w:r>
    </w:p>
    <w:p w14:paraId="2163D6B9" w14:textId="77777777" w:rsidR="00CB4320" w:rsidRPr="00CB4320" w:rsidRDefault="00CB4320" w:rsidP="00CB4320">
      <w:pPr>
        <w:numPr>
          <w:ilvl w:val="0"/>
          <w:numId w:val="40"/>
        </w:numPr>
      </w:pPr>
      <w:r w:rsidRPr="00CB4320">
        <w:t xml:space="preserve">Onsite fossil fuel emissions calculations for </w:t>
      </w:r>
      <w:r w:rsidRPr="00CB4320">
        <w:rPr>
          <w:b/>
          <w:bCs/>
          <w:iCs/>
        </w:rPr>
        <w:t>non-eligible renewable diesel</w:t>
      </w:r>
      <w:r w:rsidRPr="00CB4320">
        <w:t xml:space="preserve"> will use the standard ULSD emissions factor</w:t>
      </w:r>
      <w:r w:rsidRPr="00CB4320">
        <w:rPr>
          <w:vertAlign w:val="superscript"/>
        </w:rPr>
        <w:footnoteReference w:id="3"/>
      </w:r>
      <w:r w:rsidRPr="00CB4320">
        <w:t xml:space="preserve"> provided by the Environmental Protection Agency (EPA) and which </w:t>
      </w:r>
      <w:proofErr w:type="gramStart"/>
      <w:r w:rsidRPr="00CB4320">
        <w:t>is used</w:t>
      </w:r>
      <w:proofErr w:type="gramEnd"/>
      <w:r w:rsidRPr="00CB4320">
        <w:t xml:space="preserve"> by both MassDEP and LBE to calculate emissions from petroleum diesel. </w:t>
      </w:r>
    </w:p>
    <w:p w14:paraId="0E31327B" w14:textId="408B1B73" w:rsidR="00CB4320" w:rsidRPr="00CB4320" w:rsidRDefault="00F26D06" w:rsidP="00CB4320">
      <w:pPr>
        <w:numPr>
          <w:ilvl w:val="0"/>
          <w:numId w:val="40"/>
        </w:numPr>
      </w:pPr>
      <w:r>
        <w:t xml:space="preserve">In the year that an entity is </w:t>
      </w:r>
      <w:r w:rsidRPr="00C9507F">
        <w:rPr>
          <w:b/>
          <w:bCs/>
        </w:rPr>
        <w:t>required to achieve net zero emissions</w:t>
      </w:r>
      <w:r>
        <w:t>,</w:t>
      </w:r>
      <w:r w:rsidR="007F57D5">
        <w:t xml:space="preserve"> either through legislation, executive order, or some other </w:t>
      </w:r>
      <w:r w:rsidR="00A64376">
        <w:t xml:space="preserve">target </w:t>
      </w:r>
      <w:r w:rsidR="00207AFB">
        <w:t>set through</w:t>
      </w:r>
      <w:r w:rsidR="001802CC">
        <w:t xml:space="preserve"> an</w:t>
      </w:r>
      <w:r w:rsidR="00207AFB">
        <w:t xml:space="preserve"> </w:t>
      </w:r>
      <w:r w:rsidR="00A64376">
        <w:t xml:space="preserve">internal </w:t>
      </w:r>
      <w:r w:rsidR="00207AFB">
        <w:t xml:space="preserve">approval process, but no later than 2050, </w:t>
      </w:r>
      <w:r w:rsidR="00977CAB">
        <w:t xml:space="preserve">LBE will </w:t>
      </w:r>
      <w:r w:rsidR="00977CAB" w:rsidRPr="00CB4320">
        <w:t xml:space="preserve">use the standard ULSD emissions factor mentioned </w:t>
      </w:r>
      <w:r w:rsidR="007414EA" w:rsidRPr="00CB4320">
        <w:t>above</w:t>
      </w:r>
      <w:r w:rsidR="007414EA">
        <w:t xml:space="preserve"> to</w:t>
      </w:r>
      <w:r w:rsidR="00267FC6">
        <w:t xml:space="preserve"> calculate biogenic emissions from </w:t>
      </w:r>
      <w:r w:rsidR="00D93916">
        <w:t xml:space="preserve">any </w:t>
      </w:r>
      <w:r w:rsidR="00267FC6">
        <w:t>eligible renewable diesel consumed in that year</w:t>
      </w:r>
      <w:r w:rsidR="00347F39">
        <w:t xml:space="preserve">, with said emissions </w:t>
      </w:r>
      <w:r w:rsidR="000617CC">
        <w:t xml:space="preserve">included in </w:t>
      </w:r>
      <w:r w:rsidR="009252D7">
        <w:t xml:space="preserve">an entity’s fossil fuel and total emissions. </w:t>
      </w:r>
    </w:p>
    <w:p w14:paraId="0BEC8A69" w14:textId="2307DE57" w:rsidR="00953F43" w:rsidRDefault="00CB4320" w:rsidP="00953F43">
      <w:pPr>
        <w:numPr>
          <w:ilvl w:val="0"/>
          <w:numId w:val="40"/>
        </w:numPr>
      </w:pPr>
      <w:r w:rsidRPr="009004D7">
        <w:rPr>
          <w:b/>
          <w:bCs/>
        </w:rPr>
        <w:t>Total GHG emissions</w:t>
      </w:r>
      <w:r w:rsidRPr="00CB4320">
        <w:t xml:space="preserve"> calculations will not include biogenic emissions until such time as net zero requirements take effect, either in 2050 as per EO594, or when any state entity has reached its own net zero target sooner than that date. At that point, biogenic emissions will </w:t>
      </w:r>
      <w:proofErr w:type="gramStart"/>
      <w:r w:rsidRPr="00CB4320">
        <w:t>be added</w:t>
      </w:r>
      <w:proofErr w:type="gramEnd"/>
      <w:r w:rsidRPr="00CB4320">
        <w:t xml:space="preserve"> to any remaining fossil fuel emissions to calculate total emissions that need to </w:t>
      </w:r>
      <w:proofErr w:type="gramStart"/>
      <w:r w:rsidRPr="00CB4320">
        <w:t>be offset</w:t>
      </w:r>
      <w:proofErr w:type="gramEnd"/>
      <w:r w:rsidRPr="00CB4320">
        <w:t xml:space="preserve"> to achieve net zero.</w:t>
      </w:r>
    </w:p>
    <w:p w14:paraId="410BD1DE" w14:textId="77777777" w:rsidR="00D4584B" w:rsidRDefault="00D4584B">
      <w:pPr>
        <w:jc w:val="left"/>
        <w:rPr>
          <w:b/>
          <w:color w:val="0E2841" w:themeColor="text2"/>
          <w:szCs w:val="22"/>
        </w:rPr>
      </w:pPr>
      <w:r>
        <w:br w:type="page"/>
      </w:r>
    </w:p>
    <w:p w14:paraId="6C9455DD" w14:textId="0DD1B4A5" w:rsidR="003B1609" w:rsidRDefault="003B1609" w:rsidP="003B1609">
      <w:pPr>
        <w:pStyle w:val="Caption"/>
      </w:pPr>
      <w:r>
        <w:lastRenderedPageBreak/>
        <w:t xml:space="preserve">Table </w:t>
      </w:r>
      <w:fldSimple w:instr=" SEQ Table \* ARABIC ">
        <w:r>
          <w:rPr>
            <w:noProof/>
          </w:rPr>
          <w:t>1</w:t>
        </w:r>
      </w:fldSimple>
      <w:r>
        <w:t>. Sample Emissions Accounting for Eligible Renewable Diesel and Non-Eligible Renewable Diesel/Petroleum Diesel Blends</w:t>
      </w:r>
    </w:p>
    <w:tbl>
      <w:tblPr>
        <w:tblStyle w:val="GridTable4-Accent1"/>
        <w:tblW w:w="9350" w:type="dxa"/>
        <w:tblLook w:val="04A0" w:firstRow="1" w:lastRow="0" w:firstColumn="1" w:lastColumn="0" w:noHBand="0" w:noVBand="1"/>
      </w:tblPr>
      <w:tblGrid>
        <w:gridCol w:w="1885"/>
        <w:gridCol w:w="1620"/>
        <w:gridCol w:w="2160"/>
        <w:gridCol w:w="1530"/>
        <w:gridCol w:w="2155"/>
      </w:tblGrid>
      <w:tr w:rsidR="00B44CC6" w:rsidRPr="00B44CC6" w14:paraId="0F6082FA" w14:textId="77777777" w:rsidTr="001768BC">
        <w:trPr>
          <w:cnfStyle w:val="100000000000" w:firstRow="1" w:lastRow="0" w:firstColumn="0" w:lastColumn="0" w:oddVBand="0" w:evenVBand="0" w:oddHBand="0" w:evenHBand="0" w:firstRowFirstColumn="0" w:firstRowLastColumn="0" w:lastRowFirstColumn="0" w:lastRowLastColumn="0"/>
          <w:trHeight w:val="952"/>
        </w:trPr>
        <w:tc>
          <w:tcPr>
            <w:cnfStyle w:val="001000000000" w:firstRow="0" w:lastRow="0" w:firstColumn="1" w:lastColumn="0" w:oddVBand="0" w:evenVBand="0" w:oddHBand="0" w:evenHBand="0" w:firstRowFirstColumn="0" w:firstRowLastColumn="0" w:lastRowFirstColumn="0" w:lastRowLastColumn="0"/>
            <w:tcW w:w="1885" w:type="dxa"/>
            <w:vAlign w:val="center"/>
            <w:hideMark/>
          </w:tcPr>
          <w:p w14:paraId="6F2467DC" w14:textId="77777777" w:rsidR="00B44CC6" w:rsidRPr="00B44CC6" w:rsidRDefault="00B44CC6" w:rsidP="001768BC">
            <w:pPr>
              <w:spacing w:line="278" w:lineRule="auto"/>
              <w:jc w:val="center"/>
            </w:pPr>
            <w:r w:rsidRPr="00B44CC6">
              <w:t xml:space="preserve">Gallons of </w:t>
            </w:r>
            <w:r w:rsidRPr="00B44CC6">
              <w:br/>
              <w:t>Eligible RD Consumed</w:t>
            </w:r>
          </w:p>
        </w:tc>
        <w:tc>
          <w:tcPr>
            <w:tcW w:w="1620" w:type="dxa"/>
            <w:vAlign w:val="center"/>
            <w:hideMark/>
          </w:tcPr>
          <w:p w14:paraId="62B147B3" w14:textId="77777777" w:rsidR="00B44CC6" w:rsidRPr="00B44CC6" w:rsidRDefault="00B44CC6" w:rsidP="001768BC">
            <w:pPr>
              <w:spacing w:line="278" w:lineRule="auto"/>
              <w:jc w:val="center"/>
              <w:cnfStyle w:val="100000000000" w:firstRow="1" w:lastRow="0" w:firstColumn="0" w:lastColumn="0" w:oddVBand="0" w:evenVBand="0" w:oddHBand="0" w:evenHBand="0" w:firstRowFirstColumn="0" w:firstRowLastColumn="0" w:lastRowFirstColumn="0" w:lastRowLastColumn="0"/>
            </w:pPr>
            <w:r w:rsidRPr="00B44CC6">
              <w:t>Gallons of Petroleum Diesel / Non-eligible RD</w:t>
            </w:r>
          </w:p>
        </w:tc>
        <w:tc>
          <w:tcPr>
            <w:tcW w:w="2160" w:type="dxa"/>
            <w:vAlign w:val="center"/>
            <w:hideMark/>
          </w:tcPr>
          <w:p w14:paraId="461883B4" w14:textId="77777777" w:rsidR="00B44CC6" w:rsidRPr="00B44CC6" w:rsidRDefault="00B44CC6" w:rsidP="001768BC">
            <w:pPr>
              <w:spacing w:line="278" w:lineRule="auto"/>
              <w:jc w:val="center"/>
              <w:cnfStyle w:val="100000000000" w:firstRow="1" w:lastRow="0" w:firstColumn="0" w:lastColumn="0" w:oddVBand="0" w:evenVBand="0" w:oddHBand="0" w:evenHBand="0" w:firstRowFirstColumn="0" w:firstRowLastColumn="0" w:lastRowFirstColumn="0" w:lastRowLastColumn="0"/>
            </w:pPr>
            <w:r w:rsidRPr="00B44CC6">
              <w:t xml:space="preserve">Scope 1 Onsite Fossil Fuel Emissions </w:t>
            </w:r>
            <w:r w:rsidRPr="00B44CC6">
              <w:br/>
              <w:t xml:space="preserve">(non-biogenic) </w:t>
            </w:r>
            <w:r w:rsidRPr="001768BC">
              <w:rPr>
                <w:b w:val="0"/>
                <w:bCs w:val="0"/>
              </w:rPr>
              <w:t>(MTCO2e)</w:t>
            </w:r>
          </w:p>
        </w:tc>
        <w:tc>
          <w:tcPr>
            <w:tcW w:w="1530" w:type="dxa"/>
            <w:vAlign w:val="center"/>
          </w:tcPr>
          <w:p w14:paraId="35817CE3" w14:textId="77777777" w:rsidR="00B44CC6" w:rsidRPr="00B44CC6" w:rsidRDefault="00B44CC6" w:rsidP="001768BC">
            <w:pPr>
              <w:spacing w:line="278" w:lineRule="auto"/>
              <w:jc w:val="center"/>
              <w:cnfStyle w:val="100000000000" w:firstRow="1" w:lastRow="0" w:firstColumn="0" w:lastColumn="0" w:oddVBand="0" w:evenVBand="0" w:oddHBand="0" w:evenHBand="0" w:firstRowFirstColumn="0" w:firstRowLastColumn="0" w:lastRowFirstColumn="0" w:lastRowLastColumn="0"/>
            </w:pPr>
            <w:r w:rsidRPr="00B44CC6">
              <w:t xml:space="preserve">Biogenic Emissions </w:t>
            </w:r>
            <w:r w:rsidRPr="001768BC">
              <w:rPr>
                <w:b w:val="0"/>
                <w:bCs w:val="0"/>
              </w:rPr>
              <w:t>(MTCO2e)</w:t>
            </w:r>
          </w:p>
        </w:tc>
        <w:tc>
          <w:tcPr>
            <w:tcW w:w="2155" w:type="dxa"/>
            <w:vAlign w:val="center"/>
            <w:hideMark/>
          </w:tcPr>
          <w:p w14:paraId="43A0EAE7" w14:textId="77777777" w:rsidR="00B44CC6" w:rsidRPr="00B44CC6" w:rsidRDefault="00B44CC6" w:rsidP="001768BC">
            <w:pPr>
              <w:spacing w:line="278" w:lineRule="auto"/>
              <w:jc w:val="center"/>
              <w:cnfStyle w:val="100000000000" w:firstRow="1" w:lastRow="0" w:firstColumn="0" w:lastColumn="0" w:oddVBand="0" w:evenVBand="0" w:oddHBand="0" w:evenHBand="0" w:firstRowFirstColumn="0" w:firstRowLastColumn="0" w:lastRowFirstColumn="0" w:lastRowLastColumn="0"/>
            </w:pPr>
            <w:r w:rsidRPr="00B44CC6">
              <w:t>Total GHG Emissions</w:t>
            </w:r>
            <w:r w:rsidRPr="00B44CC6">
              <w:br/>
              <w:t xml:space="preserve">(non-biogenic) </w:t>
            </w:r>
            <w:r w:rsidRPr="001768BC">
              <w:rPr>
                <w:b w:val="0"/>
                <w:bCs w:val="0"/>
              </w:rPr>
              <w:t>(MTCO2e)</w:t>
            </w:r>
          </w:p>
        </w:tc>
      </w:tr>
      <w:tr w:rsidR="00B44CC6" w:rsidRPr="00B44CC6" w14:paraId="0BEEDF44" w14:textId="77777777" w:rsidTr="001768B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885" w:type="dxa"/>
            <w:noWrap/>
            <w:vAlign w:val="center"/>
            <w:hideMark/>
          </w:tcPr>
          <w:p w14:paraId="048D693F" w14:textId="77777777" w:rsidR="00B44CC6" w:rsidRPr="00B44CC6" w:rsidRDefault="00B44CC6" w:rsidP="001768BC">
            <w:pPr>
              <w:spacing w:line="278" w:lineRule="auto"/>
              <w:jc w:val="center"/>
            </w:pPr>
            <w:r w:rsidRPr="00B44CC6">
              <w:t>1,000</w:t>
            </w:r>
          </w:p>
        </w:tc>
        <w:tc>
          <w:tcPr>
            <w:tcW w:w="1620" w:type="dxa"/>
            <w:noWrap/>
            <w:vAlign w:val="center"/>
            <w:hideMark/>
          </w:tcPr>
          <w:p w14:paraId="400B40BF" w14:textId="77777777" w:rsidR="00B44CC6" w:rsidRPr="00D917A3" w:rsidRDefault="00B44CC6" w:rsidP="001768BC">
            <w:pPr>
              <w:spacing w:line="278" w:lineRule="auto"/>
              <w:jc w:val="center"/>
              <w:cnfStyle w:val="000000100000" w:firstRow="0" w:lastRow="0" w:firstColumn="0" w:lastColumn="0" w:oddVBand="0" w:evenVBand="0" w:oddHBand="1" w:evenHBand="0" w:firstRowFirstColumn="0" w:firstRowLastColumn="0" w:lastRowFirstColumn="0" w:lastRowLastColumn="0"/>
              <w:rPr>
                <w:b/>
                <w:bCs/>
              </w:rPr>
            </w:pPr>
            <w:r w:rsidRPr="00D917A3">
              <w:rPr>
                <w:b/>
                <w:bCs/>
              </w:rPr>
              <w:t>0</w:t>
            </w:r>
          </w:p>
        </w:tc>
        <w:tc>
          <w:tcPr>
            <w:tcW w:w="2160" w:type="dxa"/>
            <w:noWrap/>
            <w:vAlign w:val="center"/>
            <w:hideMark/>
          </w:tcPr>
          <w:p w14:paraId="0ABFB555" w14:textId="77777777" w:rsidR="00B44CC6" w:rsidRPr="00B44CC6" w:rsidRDefault="00B44CC6" w:rsidP="001768BC">
            <w:pPr>
              <w:spacing w:line="278" w:lineRule="auto"/>
              <w:jc w:val="center"/>
              <w:cnfStyle w:val="000000100000" w:firstRow="0" w:lastRow="0" w:firstColumn="0" w:lastColumn="0" w:oddVBand="0" w:evenVBand="0" w:oddHBand="1" w:evenHBand="0" w:firstRowFirstColumn="0" w:firstRowLastColumn="0" w:lastRowFirstColumn="0" w:lastRowLastColumn="0"/>
            </w:pPr>
            <w:r w:rsidRPr="00B44CC6">
              <w:t>0</w:t>
            </w:r>
          </w:p>
        </w:tc>
        <w:tc>
          <w:tcPr>
            <w:tcW w:w="1530" w:type="dxa"/>
            <w:vAlign w:val="center"/>
          </w:tcPr>
          <w:p w14:paraId="779C3E77" w14:textId="77777777" w:rsidR="00B44CC6" w:rsidRPr="00B44CC6" w:rsidRDefault="00B44CC6" w:rsidP="001768BC">
            <w:pPr>
              <w:spacing w:line="278" w:lineRule="auto"/>
              <w:jc w:val="center"/>
              <w:cnfStyle w:val="000000100000" w:firstRow="0" w:lastRow="0" w:firstColumn="0" w:lastColumn="0" w:oddVBand="0" w:evenVBand="0" w:oddHBand="1" w:evenHBand="0" w:firstRowFirstColumn="0" w:firstRowLastColumn="0" w:lastRowFirstColumn="0" w:lastRowLastColumn="0"/>
            </w:pPr>
            <w:r w:rsidRPr="00B44CC6">
              <w:t>10.2</w:t>
            </w:r>
          </w:p>
        </w:tc>
        <w:tc>
          <w:tcPr>
            <w:tcW w:w="2155" w:type="dxa"/>
            <w:noWrap/>
            <w:vAlign w:val="center"/>
            <w:hideMark/>
          </w:tcPr>
          <w:p w14:paraId="40154B19" w14:textId="77777777" w:rsidR="00B44CC6" w:rsidRPr="00B44CC6" w:rsidRDefault="00B44CC6" w:rsidP="001768BC">
            <w:pPr>
              <w:spacing w:line="278" w:lineRule="auto"/>
              <w:jc w:val="center"/>
              <w:cnfStyle w:val="000000100000" w:firstRow="0" w:lastRow="0" w:firstColumn="0" w:lastColumn="0" w:oddVBand="0" w:evenVBand="0" w:oddHBand="1" w:evenHBand="0" w:firstRowFirstColumn="0" w:firstRowLastColumn="0" w:lastRowFirstColumn="0" w:lastRowLastColumn="0"/>
            </w:pPr>
            <w:r w:rsidRPr="00B44CC6">
              <w:t>0</w:t>
            </w:r>
            <w:r w:rsidRPr="00B44CC6">
              <w:rPr>
                <w:vertAlign w:val="superscript"/>
              </w:rPr>
              <w:footnoteReference w:id="4"/>
            </w:r>
          </w:p>
        </w:tc>
      </w:tr>
      <w:tr w:rsidR="00B44CC6" w:rsidRPr="00B44CC6" w14:paraId="1DB32115" w14:textId="77777777" w:rsidTr="001768BC">
        <w:trPr>
          <w:trHeight w:val="317"/>
        </w:trPr>
        <w:tc>
          <w:tcPr>
            <w:cnfStyle w:val="001000000000" w:firstRow="0" w:lastRow="0" w:firstColumn="1" w:lastColumn="0" w:oddVBand="0" w:evenVBand="0" w:oddHBand="0" w:evenHBand="0" w:firstRowFirstColumn="0" w:firstRowLastColumn="0" w:lastRowFirstColumn="0" w:lastRowLastColumn="0"/>
            <w:tcW w:w="1885" w:type="dxa"/>
            <w:noWrap/>
            <w:vAlign w:val="center"/>
            <w:hideMark/>
          </w:tcPr>
          <w:p w14:paraId="65F7FDBB" w14:textId="77777777" w:rsidR="00B44CC6" w:rsidRPr="00B44CC6" w:rsidRDefault="00B44CC6" w:rsidP="001768BC">
            <w:pPr>
              <w:spacing w:line="278" w:lineRule="auto"/>
              <w:jc w:val="center"/>
            </w:pPr>
            <w:r w:rsidRPr="00B44CC6">
              <w:t>500</w:t>
            </w:r>
          </w:p>
        </w:tc>
        <w:tc>
          <w:tcPr>
            <w:tcW w:w="1620" w:type="dxa"/>
            <w:noWrap/>
            <w:vAlign w:val="center"/>
            <w:hideMark/>
          </w:tcPr>
          <w:p w14:paraId="75CDDA74" w14:textId="77777777" w:rsidR="00B44CC6" w:rsidRPr="00D917A3" w:rsidRDefault="00B44CC6" w:rsidP="001768BC">
            <w:pPr>
              <w:spacing w:line="278" w:lineRule="auto"/>
              <w:jc w:val="center"/>
              <w:cnfStyle w:val="000000000000" w:firstRow="0" w:lastRow="0" w:firstColumn="0" w:lastColumn="0" w:oddVBand="0" w:evenVBand="0" w:oddHBand="0" w:evenHBand="0" w:firstRowFirstColumn="0" w:firstRowLastColumn="0" w:lastRowFirstColumn="0" w:lastRowLastColumn="0"/>
              <w:rPr>
                <w:b/>
                <w:bCs/>
              </w:rPr>
            </w:pPr>
            <w:r w:rsidRPr="00D917A3">
              <w:rPr>
                <w:b/>
                <w:bCs/>
              </w:rPr>
              <w:t>500</w:t>
            </w:r>
          </w:p>
        </w:tc>
        <w:tc>
          <w:tcPr>
            <w:tcW w:w="2160" w:type="dxa"/>
            <w:noWrap/>
            <w:vAlign w:val="center"/>
            <w:hideMark/>
          </w:tcPr>
          <w:p w14:paraId="75428714" w14:textId="77777777" w:rsidR="00B44CC6" w:rsidRPr="00B44CC6" w:rsidRDefault="00B44CC6" w:rsidP="001768BC">
            <w:pPr>
              <w:spacing w:line="278" w:lineRule="auto"/>
              <w:jc w:val="center"/>
              <w:cnfStyle w:val="000000000000" w:firstRow="0" w:lastRow="0" w:firstColumn="0" w:lastColumn="0" w:oddVBand="0" w:evenVBand="0" w:oddHBand="0" w:evenHBand="0" w:firstRowFirstColumn="0" w:firstRowLastColumn="0" w:lastRowFirstColumn="0" w:lastRowLastColumn="0"/>
            </w:pPr>
            <w:r w:rsidRPr="00B44CC6">
              <w:t>5.1</w:t>
            </w:r>
          </w:p>
        </w:tc>
        <w:tc>
          <w:tcPr>
            <w:tcW w:w="1530" w:type="dxa"/>
            <w:vAlign w:val="center"/>
          </w:tcPr>
          <w:p w14:paraId="1444FCAF" w14:textId="77777777" w:rsidR="00B44CC6" w:rsidRPr="00B44CC6" w:rsidRDefault="00B44CC6" w:rsidP="001768BC">
            <w:pPr>
              <w:spacing w:line="278" w:lineRule="auto"/>
              <w:jc w:val="center"/>
              <w:cnfStyle w:val="000000000000" w:firstRow="0" w:lastRow="0" w:firstColumn="0" w:lastColumn="0" w:oddVBand="0" w:evenVBand="0" w:oddHBand="0" w:evenHBand="0" w:firstRowFirstColumn="0" w:firstRowLastColumn="0" w:lastRowFirstColumn="0" w:lastRowLastColumn="0"/>
            </w:pPr>
            <w:r w:rsidRPr="00B44CC6">
              <w:t>5.1</w:t>
            </w:r>
          </w:p>
        </w:tc>
        <w:tc>
          <w:tcPr>
            <w:tcW w:w="2155" w:type="dxa"/>
            <w:noWrap/>
            <w:vAlign w:val="center"/>
            <w:hideMark/>
          </w:tcPr>
          <w:p w14:paraId="359E8723" w14:textId="77777777" w:rsidR="00B44CC6" w:rsidRPr="00B44CC6" w:rsidRDefault="00B44CC6" w:rsidP="001768BC">
            <w:pPr>
              <w:spacing w:line="278" w:lineRule="auto"/>
              <w:jc w:val="center"/>
              <w:cnfStyle w:val="000000000000" w:firstRow="0" w:lastRow="0" w:firstColumn="0" w:lastColumn="0" w:oddVBand="0" w:evenVBand="0" w:oddHBand="0" w:evenHBand="0" w:firstRowFirstColumn="0" w:firstRowLastColumn="0" w:lastRowFirstColumn="0" w:lastRowLastColumn="0"/>
            </w:pPr>
            <w:r w:rsidRPr="00B44CC6">
              <w:t>5.1</w:t>
            </w:r>
            <w:r w:rsidRPr="00B44CC6">
              <w:rPr>
                <w:vertAlign w:val="superscript"/>
              </w:rPr>
              <w:footnoteReference w:id="5"/>
            </w:r>
          </w:p>
        </w:tc>
      </w:tr>
    </w:tbl>
    <w:p w14:paraId="485139D4" w14:textId="1C79E773" w:rsidR="00B44CC6" w:rsidRPr="00373D6D" w:rsidRDefault="00373D6D" w:rsidP="00953F43">
      <w:pPr>
        <w:rPr>
          <w:i/>
          <w:iCs/>
        </w:rPr>
      </w:pPr>
      <w:r>
        <w:rPr>
          <w:i/>
          <w:iCs/>
        </w:rPr>
        <w:t xml:space="preserve">MTCO2e </w:t>
      </w:r>
      <w:r w:rsidR="00575CAB">
        <w:rPr>
          <w:i/>
          <w:iCs/>
        </w:rPr>
        <w:t xml:space="preserve">= </w:t>
      </w:r>
      <w:r w:rsidR="00723636" w:rsidRPr="00723636">
        <w:rPr>
          <w:i/>
          <w:iCs/>
        </w:rPr>
        <w:t>Metric Tons of Carbon Dioxide Equivalent</w:t>
      </w:r>
    </w:p>
    <w:p w14:paraId="145CAA1B" w14:textId="73A1DB41" w:rsidR="008B353B" w:rsidRDefault="003B1609" w:rsidP="008B353B">
      <w:r w:rsidRPr="003B1609">
        <w:t xml:space="preserve">If the renewable diesel </w:t>
      </w:r>
      <w:r w:rsidR="00C2757C">
        <w:t xml:space="preserve">consumed by an entity </w:t>
      </w:r>
      <w:proofErr w:type="gramStart"/>
      <w:r w:rsidRPr="003B1609">
        <w:t>is not derived</w:t>
      </w:r>
      <w:proofErr w:type="gramEnd"/>
      <w:r w:rsidRPr="003B1609">
        <w:t xml:space="preserve"> </w:t>
      </w:r>
      <w:r w:rsidR="00C2757C">
        <w:t>in part</w:t>
      </w:r>
      <w:r w:rsidR="002115C7">
        <w:t>,</w:t>
      </w:r>
      <w:r w:rsidR="00C2757C">
        <w:t xml:space="preserve"> or in full</w:t>
      </w:r>
      <w:r w:rsidR="002115C7">
        <w:t>,</w:t>
      </w:r>
      <w:r w:rsidR="00C2757C">
        <w:t xml:space="preserve"> </w:t>
      </w:r>
      <w:r w:rsidRPr="003B1609">
        <w:t xml:space="preserve">from waste oil feedstocks, as required in this policy, then </w:t>
      </w:r>
      <w:r w:rsidR="007C4EBD">
        <w:t xml:space="preserve">any </w:t>
      </w:r>
      <w:proofErr w:type="gramStart"/>
      <w:r w:rsidRPr="003B1609">
        <w:t>fuel</w:t>
      </w:r>
      <w:r w:rsidR="00073B70">
        <w:t>s</w:t>
      </w:r>
      <w:proofErr w:type="gramEnd"/>
      <w:r w:rsidR="007C4EBD">
        <w:t xml:space="preserve"> sourced from non-waste products</w:t>
      </w:r>
      <w:r w:rsidRPr="003B1609">
        <w:t xml:space="preserve"> will not receive credit for any emissions reductions. Instead, LBE will calculate emissions using the fossil ULSD emissions factor.</w:t>
      </w:r>
    </w:p>
    <w:p w14:paraId="4336BDB6" w14:textId="1A1F1D75" w:rsidR="00D33513" w:rsidRDefault="00205C67" w:rsidP="004579B0">
      <w:pPr>
        <w:pStyle w:val="Heading3"/>
      </w:pPr>
      <w:r w:rsidRPr="00CB4320">
        <w:t xml:space="preserve">Part V: </w:t>
      </w:r>
      <w:r>
        <w:t xml:space="preserve">Ongoing Review </w:t>
      </w:r>
    </w:p>
    <w:p w14:paraId="1FCE1195" w14:textId="7A8F301A" w:rsidR="00D33513" w:rsidRDefault="001656FD" w:rsidP="008B353B">
      <w:r>
        <w:t>Given the rapidly increasing demand for alternative fuels in the U.S.</w:t>
      </w:r>
      <w:r w:rsidR="00D83C03">
        <w:t xml:space="preserve"> such as</w:t>
      </w:r>
      <w:r>
        <w:t xml:space="preserve"> renewable diesel, </w:t>
      </w:r>
      <w:r w:rsidR="00EE5459">
        <w:t xml:space="preserve">the </w:t>
      </w:r>
      <w:r w:rsidR="00691EC1">
        <w:t xml:space="preserve">resulting </w:t>
      </w:r>
      <w:r w:rsidR="00EE5459">
        <w:t>introduction of new fuels and new vendors</w:t>
      </w:r>
      <w:r w:rsidR="00604726">
        <w:t xml:space="preserve"> supplying such fuels</w:t>
      </w:r>
      <w:r w:rsidR="00EE5459">
        <w:t>,</w:t>
      </w:r>
      <w:r w:rsidR="00604726">
        <w:t xml:space="preserve"> the possibility of </w:t>
      </w:r>
      <w:r w:rsidR="00AD5FB6">
        <w:t xml:space="preserve">independent </w:t>
      </w:r>
      <w:r w:rsidR="001F4610">
        <w:t>third-party</w:t>
      </w:r>
      <w:r w:rsidR="00AD5FB6">
        <w:t xml:space="preserve"> certification </w:t>
      </w:r>
      <w:r w:rsidR="00253F3D">
        <w:t xml:space="preserve">options, </w:t>
      </w:r>
      <w:r w:rsidR="0032010D">
        <w:t>a</w:t>
      </w:r>
      <w:r w:rsidR="00253F3D">
        <w:t xml:space="preserve">s well as </w:t>
      </w:r>
      <w:r w:rsidR="0032010D">
        <w:t>the potential for policy changes</w:t>
      </w:r>
      <w:r w:rsidR="00B62FEF">
        <w:t xml:space="preserve"> in Massachusetts and elsewhere</w:t>
      </w:r>
      <w:r w:rsidR="0032010D">
        <w:t xml:space="preserve">, LBE commits to regularly reviewing this guidance to ensure that </w:t>
      </w:r>
      <w:r w:rsidR="004D735E">
        <w:t xml:space="preserve">environmental and emissions goals for this fuel </w:t>
      </w:r>
      <w:r w:rsidR="001E1DDA">
        <w:t xml:space="preserve">continue to be met. No </w:t>
      </w:r>
      <w:r w:rsidR="001F4610">
        <w:t>more</w:t>
      </w:r>
      <w:r w:rsidR="001E1DDA">
        <w:t xml:space="preserve"> than annually, LBE will either </w:t>
      </w:r>
      <w:r w:rsidR="00A47E69">
        <w:t xml:space="preserve">amend this guidance or certify that </w:t>
      </w:r>
      <w:r w:rsidR="007A1403">
        <w:t>LBE</w:t>
      </w:r>
      <w:r w:rsidR="00A47E69">
        <w:t xml:space="preserve"> has determined no changes </w:t>
      </w:r>
      <w:proofErr w:type="gramStart"/>
      <w:r w:rsidR="00A47E69">
        <w:t>are warranted</w:t>
      </w:r>
      <w:proofErr w:type="gramEnd"/>
      <w:r w:rsidR="00A47E69">
        <w:t xml:space="preserve">. </w:t>
      </w:r>
    </w:p>
    <w:p w14:paraId="0FA53501" w14:textId="6EAA06E3" w:rsidR="00E85323" w:rsidRDefault="00E85323" w:rsidP="008B353B">
      <w:r>
        <w:t>State entities that are consuming or wish to consume rene</w:t>
      </w:r>
      <w:r w:rsidR="00C947CE">
        <w:t xml:space="preserve">wable diesel may elect to submit </w:t>
      </w:r>
      <w:r w:rsidR="00316338">
        <w:t xml:space="preserve">new </w:t>
      </w:r>
      <w:r w:rsidR="00C947CE">
        <w:t xml:space="preserve">information to LBE </w:t>
      </w:r>
      <w:r w:rsidR="00316338">
        <w:t xml:space="preserve">and request that </w:t>
      </w:r>
      <w:r w:rsidR="00CB11DB">
        <w:t xml:space="preserve">this guidance </w:t>
      </w:r>
      <w:proofErr w:type="gramStart"/>
      <w:r w:rsidR="00CB11DB">
        <w:t>be reviewed</w:t>
      </w:r>
      <w:proofErr w:type="gramEnd"/>
      <w:r w:rsidR="00CB11DB">
        <w:t xml:space="preserve"> and/or amended. </w:t>
      </w:r>
    </w:p>
    <w:p w14:paraId="551B587E" w14:textId="77777777" w:rsidR="00810F13" w:rsidRPr="00D878BA" w:rsidRDefault="00810F13" w:rsidP="008B353B"/>
    <w:sectPr w:rsidR="00810F13" w:rsidRPr="00D878BA" w:rsidSect="00BD7524">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0E5A" w14:textId="77777777" w:rsidR="003212D5" w:rsidRDefault="003212D5" w:rsidP="008A380E">
      <w:pPr>
        <w:spacing w:after="0" w:line="240" w:lineRule="auto"/>
      </w:pPr>
      <w:r>
        <w:separator/>
      </w:r>
    </w:p>
    <w:p w14:paraId="3F506EDC" w14:textId="77777777" w:rsidR="003212D5" w:rsidRDefault="003212D5"/>
  </w:endnote>
  <w:endnote w:type="continuationSeparator" w:id="0">
    <w:p w14:paraId="6DD8BC0C" w14:textId="77777777" w:rsidR="003212D5" w:rsidRDefault="003212D5" w:rsidP="008A380E">
      <w:pPr>
        <w:spacing w:after="0" w:line="240" w:lineRule="auto"/>
      </w:pPr>
      <w:r>
        <w:continuationSeparator/>
      </w:r>
    </w:p>
    <w:p w14:paraId="2EB31890" w14:textId="77777777" w:rsidR="003212D5" w:rsidRDefault="003212D5"/>
  </w:endnote>
  <w:endnote w:type="continuationNotice" w:id="1">
    <w:p w14:paraId="5D0805CE" w14:textId="77777777" w:rsidR="003212D5" w:rsidRDefault="003212D5">
      <w:pPr>
        <w:spacing w:after="0" w:line="240" w:lineRule="auto"/>
      </w:pPr>
    </w:p>
    <w:p w14:paraId="17D3A04E" w14:textId="77777777" w:rsidR="003212D5" w:rsidRDefault="00321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E28E" w14:textId="08C86DAD" w:rsidR="008A380E" w:rsidRDefault="008A380E">
    <w:pPr>
      <w:pStyle w:val="Footer"/>
      <w:jc w:val="right"/>
    </w:pPr>
  </w:p>
  <w:p w14:paraId="57C36EA7" w14:textId="67A35533" w:rsidR="008A380E" w:rsidRDefault="008A3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23891"/>
      <w:docPartObj>
        <w:docPartGallery w:val="Page Numbers (Bottom of Page)"/>
        <w:docPartUnique/>
      </w:docPartObj>
    </w:sdtPr>
    <w:sdtEndPr>
      <w:rPr>
        <w:noProof/>
      </w:rPr>
    </w:sdtEndPr>
    <w:sdtContent>
      <w:p w14:paraId="0AAA8579" w14:textId="77777777" w:rsidR="00EE1785" w:rsidRDefault="00EE1785">
        <w:pPr>
          <w:pStyle w:val="Footer"/>
          <w:jc w:val="center"/>
        </w:pPr>
        <w:r>
          <w:rPr>
            <w:noProof/>
          </w:rPr>
          <w:drawing>
            <wp:anchor distT="0" distB="0" distL="114300" distR="114300" simplePos="0" relativeHeight="251658240" behindDoc="1" locked="0" layoutInCell="1" allowOverlap="1" wp14:anchorId="087DDC70" wp14:editId="5C0B31DB">
              <wp:simplePos x="0" y="0"/>
              <wp:positionH relativeFrom="column">
                <wp:posOffset>6201410</wp:posOffset>
              </wp:positionH>
              <wp:positionV relativeFrom="paragraph">
                <wp:posOffset>161290</wp:posOffset>
              </wp:positionV>
              <wp:extent cx="551180" cy="551180"/>
              <wp:effectExtent l="0" t="0" r="1270" b="1270"/>
              <wp:wrapTight wrapText="bothSides">
                <wp:wrapPolygon edited="0">
                  <wp:start x="0" y="0"/>
                  <wp:lineTo x="0" y="20903"/>
                  <wp:lineTo x="20903" y="20903"/>
                  <wp:lineTo x="20903" y="0"/>
                  <wp:lineTo x="0" y="0"/>
                </wp:wrapPolygon>
              </wp:wrapTight>
              <wp:docPr id="2248504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504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51180" cy="55118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ACF29A8" w14:textId="77777777" w:rsidR="00EE1785" w:rsidRDefault="00EE1785" w:rsidP="0030635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63FC" w14:textId="77777777" w:rsidR="003212D5" w:rsidRDefault="003212D5" w:rsidP="008A380E">
      <w:pPr>
        <w:spacing w:after="0" w:line="240" w:lineRule="auto"/>
      </w:pPr>
      <w:r>
        <w:separator/>
      </w:r>
    </w:p>
    <w:p w14:paraId="795A8F10" w14:textId="77777777" w:rsidR="003212D5" w:rsidRDefault="003212D5"/>
  </w:footnote>
  <w:footnote w:type="continuationSeparator" w:id="0">
    <w:p w14:paraId="0CD5C772" w14:textId="77777777" w:rsidR="003212D5" w:rsidRDefault="003212D5" w:rsidP="008A380E">
      <w:pPr>
        <w:spacing w:after="0" w:line="240" w:lineRule="auto"/>
      </w:pPr>
      <w:r>
        <w:continuationSeparator/>
      </w:r>
    </w:p>
    <w:p w14:paraId="00511B03" w14:textId="77777777" w:rsidR="003212D5" w:rsidRDefault="003212D5"/>
  </w:footnote>
  <w:footnote w:type="continuationNotice" w:id="1">
    <w:p w14:paraId="2869CA81" w14:textId="77777777" w:rsidR="003212D5" w:rsidRDefault="003212D5">
      <w:pPr>
        <w:spacing w:after="0" w:line="240" w:lineRule="auto"/>
      </w:pPr>
    </w:p>
    <w:p w14:paraId="7D8A90B3" w14:textId="77777777" w:rsidR="003212D5" w:rsidRDefault="003212D5"/>
  </w:footnote>
  <w:footnote w:id="2">
    <w:p w14:paraId="621E5204" w14:textId="77777777" w:rsidR="00070434" w:rsidRDefault="00070434" w:rsidP="00070434">
      <w:pPr>
        <w:pStyle w:val="FootnoteText"/>
      </w:pPr>
      <w:r>
        <w:rPr>
          <w:rStyle w:val="FootnoteReference"/>
        </w:rPr>
        <w:footnoteRef/>
      </w:r>
      <w:r>
        <w:t xml:space="preserve"> By “must use petroleum diesel fuel,” we mean systems that are only set up to use diesel/heating oil, or systems that may be constrained from using other fuels like natural gas, due to policies or regulations that limit access to other fuels and require them to utilize diesel/heating oil.</w:t>
      </w:r>
    </w:p>
  </w:footnote>
  <w:footnote w:id="3">
    <w:p w14:paraId="571E47E7" w14:textId="21C9A6D4" w:rsidR="00CB4320" w:rsidRDefault="00CB4320" w:rsidP="00CB4320">
      <w:pPr>
        <w:pStyle w:val="FootnoteText"/>
        <w:jc w:val="left"/>
      </w:pPr>
      <w:r w:rsidRPr="008274C5">
        <w:rPr>
          <w:rStyle w:val="FootnoteReference"/>
          <w:sz w:val="18"/>
          <w:szCs w:val="18"/>
        </w:rPr>
        <w:footnoteRef/>
      </w:r>
      <w:r w:rsidR="00B2279E">
        <w:rPr>
          <w:sz w:val="18"/>
          <w:szCs w:val="18"/>
        </w:rPr>
        <w:t xml:space="preserve"> </w:t>
      </w:r>
      <w:r w:rsidRPr="008274C5">
        <w:rPr>
          <w:sz w:val="18"/>
          <w:szCs w:val="18"/>
        </w:rPr>
        <w:t>Uses an emissions factor for diesel of 0.010201368</w:t>
      </w:r>
      <w:r>
        <w:rPr>
          <w:sz w:val="18"/>
          <w:szCs w:val="18"/>
        </w:rPr>
        <w:t xml:space="preserve">. Factor sourced from EPA. </w:t>
      </w:r>
      <w:hyperlink r:id="rId1" w:history="1">
        <w:r w:rsidRPr="000D2696">
          <w:rPr>
            <w:rStyle w:val="Hyperlink"/>
            <w:sz w:val="18"/>
            <w:szCs w:val="18"/>
          </w:rPr>
          <w:t>https://www.epa.gov/sites/default/files/2015-07/documents/emission-factors_2014.pdf</w:t>
        </w:r>
      </w:hyperlink>
      <w:r>
        <w:rPr>
          <w:sz w:val="18"/>
          <w:szCs w:val="18"/>
        </w:rPr>
        <w:t>.</w:t>
      </w:r>
    </w:p>
  </w:footnote>
  <w:footnote w:id="4">
    <w:p w14:paraId="7C08F486" w14:textId="77777777" w:rsidR="00B44CC6" w:rsidRDefault="00B44CC6" w:rsidP="00B44CC6">
      <w:pPr>
        <w:pStyle w:val="FootnoteText"/>
      </w:pPr>
      <w:r w:rsidRPr="00BE4C15">
        <w:rPr>
          <w:rStyle w:val="FootnoteReference"/>
          <w:sz w:val="18"/>
          <w:szCs w:val="18"/>
        </w:rPr>
        <w:footnoteRef/>
      </w:r>
      <w:r w:rsidRPr="00BE4C15">
        <w:rPr>
          <w:sz w:val="18"/>
          <w:szCs w:val="18"/>
        </w:rPr>
        <w:t xml:space="preserve"> The total GHG emissions value in 2050 would be 10.2 metric tons to align with the CECP and the determination of net zero.</w:t>
      </w:r>
    </w:p>
  </w:footnote>
  <w:footnote w:id="5">
    <w:p w14:paraId="7E99A6F8" w14:textId="29826F38" w:rsidR="00B44CC6" w:rsidRDefault="00B44CC6" w:rsidP="00B44CC6">
      <w:pPr>
        <w:pStyle w:val="FootnoteText"/>
      </w:pPr>
      <w:r>
        <w:rPr>
          <w:rStyle w:val="FootnoteReference"/>
        </w:rPr>
        <w:footnoteRef/>
      </w:r>
      <w:r w:rsidRPr="008E66BC">
        <w:rPr>
          <w:sz w:val="18"/>
          <w:szCs w:val="18"/>
        </w:rPr>
        <w:t xml:space="preserve"> See note </w:t>
      </w:r>
      <w:r w:rsidR="00D27CD7">
        <w:rPr>
          <w:sz w:val="18"/>
          <w:szCs w:val="18"/>
        </w:rPr>
        <w:t>3</w:t>
      </w:r>
      <w:r w:rsidRPr="008E66BC">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64D6" w14:textId="18E61B21" w:rsidR="00306357" w:rsidRDefault="008C3A97">
    <w:pPr>
      <w:pStyle w:val="Header"/>
    </w:pPr>
    <w:r>
      <w:rPr>
        <w:noProof/>
      </w:rPr>
      <w:drawing>
        <wp:anchor distT="0" distB="0" distL="114300" distR="114300" simplePos="0" relativeHeight="251658242" behindDoc="0" locked="0" layoutInCell="1" allowOverlap="1" wp14:anchorId="4EAB8027" wp14:editId="0FC70B08">
          <wp:simplePos x="0" y="0"/>
          <wp:positionH relativeFrom="page">
            <wp:align>left</wp:align>
          </wp:positionH>
          <wp:positionV relativeFrom="paragraph">
            <wp:posOffset>-457200</wp:posOffset>
          </wp:positionV>
          <wp:extent cx="7782560" cy="412750"/>
          <wp:effectExtent l="0" t="0" r="8890" b="6350"/>
          <wp:wrapSquare wrapText="bothSides"/>
          <wp:docPr id="63147877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115191"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90295" b="265"/>
                  <a:stretch/>
                </pic:blipFill>
                <pic:spPr bwMode="auto">
                  <a:xfrm>
                    <a:off x="0" y="0"/>
                    <a:ext cx="7782560" cy="412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F0C6" w14:textId="0B141516" w:rsidR="0049684B" w:rsidRDefault="00EF3A50">
    <w:pPr>
      <w:pStyle w:val="Header"/>
    </w:pPr>
    <w:r>
      <w:rPr>
        <w:noProof/>
      </w:rPr>
      <w:drawing>
        <wp:anchor distT="0" distB="0" distL="114300" distR="114300" simplePos="0" relativeHeight="251658241" behindDoc="0" locked="0" layoutInCell="1" allowOverlap="1" wp14:anchorId="1C79A9FC" wp14:editId="3C6FDE07">
          <wp:simplePos x="0" y="0"/>
          <wp:positionH relativeFrom="page">
            <wp:align>left</wp:align>
          </wp:positionH>
          <wp:positionV relativeFrom="paragraph">
            <wp:posOffset>-457200</wp:posOffset>
          </wp:positionV>
          <wp:extent cx="7788275" cy="1343660"/>
          <wp:effectExtent l="0" t="0" r="3175" b="8890"/>
          <wp:wrapSquare wrapText="bothSides"/>
          <wp:docPr id="97873177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2379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69320"/>
                  <a:stretch/>
                </pic:blipFill>
                <pic:spPr bwMode="auto">
                  <a:xfrm>
                    <a:off x="0" y="0"/>
                    <a:ext cx="7788275" cy="1343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4984"/>
    <w:multiLevelType w:val="hybridMultilevel"/>
    <w:tmpl w:val="FD0AF4A6"/>
    <w:lvl w:ilvl="0" w:tplc="30CA02E0">
      <w:start w:val="1"/>
      <w:numFmt w:val="bullet"/>
      <w:lvlText w:val="•"/>
      <w:lvlJc w:val="left"/>
      <w:pPr>
        <w:tabs>
          <w:tab w:val="num" w:pos="720"/>
        </w:tabs>
        <w:ind w:left="720" w:hanging="360"/>
      </w:pPr>
      <w:rPr>
        <w:rFonts w:ascii="Arial" w:hAnsi="Arial" w:hint="default"/>
      </w:rPr>
    </w:lvl>
    <w:lvl w:ilvl="1" w:tplc="879ABC3A" w:tentative="1">
      <w:start w:val="1"/>
      <w:numFmt w:val="bullet"/>
      <w:lvlText w:val="•"/>
      <w:lvlJc w:val="left"/>
      <w:pPr>
        <w:tabs>
          <w:tab w:val="num" w:pos="1440"/>
        </w:tabs>
        <w:ind w:left="1440" w:hanging="360"/>
      </w:pPr>
      <w:rPr>
        <w:rFonts w:ascii="Arial" w:hAnsi="Arial" w:hint="default"/>
      </w:rPr>
    </w:lvl>
    <w:lvl w:ilvl="2" w:tplc="920450C2" w:tentative="1">
      <w:start w:val="1"/>
      <w:numFmt w:val="bullet"/>
      <w:lvlText w:val="•"/>
      <w:lvlJc w:val="left"/>
      <w:pPr>
        <w:tabs>
          <w:tab w:val="num" w:pos="2160"/>
        </w:tabs>
        <w:ind w:left="2160" w:hanging="360"/>
      </w:pPr>
      <w:rPr>
        <w:rFonts w:ascii="Arial" w:hAnsi="Arial" w:hint="default"/>
      </w:rPr>
    </w:lvl>
    <w:lvl w:ilvl="3" w:tplc="ACD26C12" w:tentative="1">
      <w:start w:val="1"/>
      <w:numFmt w:val="bullet"/>
      <w:lvlText w:val="•"/>
      <w:lvlJc w:val="left"/>
      <w:pPr>
        <w:tabs>
          <w:tab w:val="num" w:pos="2880"/>
        </w:tabs>
        <w:ind w:left="2880" w:hanging="360"/>
      </w:pPr>
      <w:rPr>
        <w:rFonts w:ascii="Arial" w:hAnsi="Arial" w:hint="default"/>
      </w:rPr>
    </w:lvl>
    <w:lvl w:ilvl="4" w:tplc="82D48F5C" w:tentative="1">
      <w:start w:val="1"/>
      <w:numFmt w:val="bullet"/>
      <w:lvlText w:val="•"/>
      <w:lvlJc w:val="left"/>
      <w:pPr>
        <w:tabs>
          <w:tab w:val="num" w:pos="3600"/>
        </w:tabs>
        <w:ind w:left="3600" w:hanging="360"/>
      </w:pPr>
      <w:rPr>
        <w:rFonts w:ascii="Arial" w:hAnsi="Arial" w:hint="default"/>
      </w:rPr>
    </w:lvl>
    <w:lvl w:ilvl="5" w:tplc="5122D930" w:tentative="1">
      <w:start w:val="1"/>
      <w:numFmt w:val="bullet"/>
      <w:lvlText w:val="•"/>
      <w:lvlJc w:val="left"/>
      <w:pPr>
        <w:tabs>
          <w:tab w:val="num" w:pos="4320"/>
        </w:tabs>
        <w:ind w:left="4320" w:hanging="360"/>
      </w:pPr>
      <w:rPr>
        <w:rFonts w:ascii="Arial" w:hAnsi="Arial" w:hint="default"/>
      </w:rPr>
    </w:lvl>
    <w:lvl w:ilvl="6" w:tplc="940AD084" w:tentative="1">
      <w:start w:val="1"/>
      <w:numFmt w:val="bullet"/>
      <w:lvlText w:val="•"/>
      <w:lvlJc w:val="left"/>
      <w:pPr>
        <w:tabs>
          <w:tab w:val="num" w:pos="5040"/>
        </w:tabs>
        <w:ind w:left="5040" w:hanging="360"/>
      </w:pPr>
      <w:rPr>
        <w:rFonts w:ascii="Arial" w:hAnsi="Arial" w:hint="default"/>
      </w:rPr>
    </w:lvl>
    <w:lvl w:ilvl="7" w:tplc="EEF83BF8" w:tentative="1">
      <w:start w:val="1"/>
      <w:numFmt w:val="bullet"/>
      <w:lvlText w:val="•"/>
      <w:lvlJc w:val="left"/>
      <w:pPr>
        <w:tabs>
          <w:tab w:val="num" w:pos="5760"/>
        </w:tabs>
        <w:ind w:left="5760" w:hanging="360"/>
      </w:pPr>
      <w:rPr>
        <w:rFonts w:ascii="Arial" w:hAnsi="Arial" w:hint="default"/>
      </w:rPr>
    </w:lvl>
    <w:lvl w:ilvl="8" w:tplc="2D48A2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D65091"/>
    <w:multiLevelType w:val="hybridMultilevel"/>
    <w:tmpl w:val="0DD05C76"/>
    <w:lvl w:ilvl="0" w:tplc="A9744D02">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A798DF40">
      <w:numFmt w:val="bullet"/>
      <w:lvlText w:val="•"/>
      <w:lvlJc w:val="left"/>
      <w:pPr>
        <w:ind w:left="1672" w:hanging="360"/>
      </w:pPr>
      <w:rPr>
        <w:rFonts w:hint="default"/>
        <w:lang w:val="en-US" w:eastAsia="en-US" w:bidi="ar-SA"/>
      </w:rPr>
    </w:lvl>
    <w:lvl w:ilvl="2" w:tplc="419C745C">
      <w:numFmt w:val="bullet"/>
      <w:lvlText w:val="•"/>
      <w:lvlJc w:val="left"/>
      <w:pPr>
        <w:ind w:left="2524" w:hanging="360"/>
      </w:pPr>
      <w:rPr>
        <w:rFonts w:hint="default"/>
        <w:lang w:val="en-US" w:eastAsia="en-US" w:bidi="ar-SA"/>
      </w:rPr>
    </w:lvl>
    <w:lvl w:ilvl="3" w:tplc="85C8ADB8">
      <w:numFmt w:val="bullet"/>
      <w:lvlText w:val="•"/>
      <w:lvlJc w:val="left"/>
      <w:pPr>
        <w:ind w:left="3376" w:hanging="360"/>
      </w:pPr>
      <w:rPr>
        <w:rFonts w:hint="default"/>
        <w:lang w:val="en-US" w:eastAsia="en-US" w:bidi="ar-SA"/>
      </w:rPr>
    </w:lvl>
    <w:lvl w:ilvl="4" w:tplc="0A5606D6">
      <w:numFmt w:val="bullet"/>
      <w:lvlText w:val="•"/>
      <w:lvlJc w:val="left"/>
      <w:pPr>
        <w:ind w:left="4228" w:hanging="360"/>
      </w:pPr>
      <w:rPr>
        <w:rFonts w:hint="default"/>
        <w:lang w:val="en-US" w:eastAsia="en-US" w:bidi="ar-SA"/>
      </w:rPr>
    </w:lvl>
    <w:lvl w:ilvl="5" w:tplc="9F480760">
      <w:numFmt w:val="bullet"/>
      <w:lvlText w:val="•"/>
      <w:lvlJc w:val="left"/>
      <w:pPr>
        <w:ind w:left="5081" w:hanging="360"/>
      </w:pPr>
      <w:rPr>
        <w:rFonts w:hint="default"/>
        <w:lang w:val="en-US" w:eastAsia="en-US" w:bidi="ar-SA"/>
      </w:rPr>
    </w:lvl>
    <w:lvl w:ilvl="6" w:tplc="4C5A9B9E">
      <w:numFmt w:val="bullet"/>
      <w:lvlText w:val="•"/>
      <w:lvlJc w:val="left"/>
      <w:pPr>
        <w:ind w:left="5933" w:hanging="360"/>
      </w:pPr>
      <w:rPr>
        <w:rFonts w:hint="default"/>
        <w:lang w:val="en-US" w:eastAsia="en-US" w:bidi="ar-SA"/>
      </w:rPr>
    </w:lvl>
    <w:lvl w:ilvl="7" w:tplc="711801A0">
      <w:numFmt w:val="bullet"/>
      <w:lvlText w:val="•"/>
      <w:lvlJc w:val="left"/>
      <w:pPr>
        <w:ind w:left="6785" w:hanging="360"/>
      </w:pPr>
      <w:rPr>
        <w:rFonts w:hint="default"/>
        <w:lang w:val="en-US" w:eastAsia="en-US" w:bidi="ar-SA"/>
      </w:rPr>
    </w:lvl>
    <w:lvl w:ilvl="8" w:tplc="C3EA6DFC">
      <w:numFmt w:val="bullet"/>
      <w:lvlText w:val="•"/>
      <w:lvlJc w:val="left"/>
      <w:pPr>
        <w:ind w:left="7637" w:hanging="360"/>
      </w:pPr>
      <w:rPr>
        <w:rFonts w:hint="default"/>
        <w:lang w:val="en-US" w:eastAsia="en-US" w:bidi="ar-SA"/>
      </w:rPr>
    </w:lvl>
  </w:abstractNum>
  <w:abstractNum w:abstractNumId="2" w15:restartNumberingAfterBreak="0">
    <w:nsid w:val="086079B2"/>
    <w:multiLevelType w:val="hybridMultilevel"/>
    <w:tmpl w:val="F09A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304F6"/>
    <w:multiLevelType w:val="hybridMultilevel"/>
    <w:tmpl w:val="DDA6CB74"/>
    <w:lvl w:ilvl="0" w:tplc="D188D8A8">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252C9584">
      <w:numFmt w:val="bullet"/>
      <w:lvlText w:val="•"/>
      <w:lvlJc w:val="left"/>
      <w:pPr>
        <w:ind w:left="1672" w:hanging="360"/>
      </w:pPr>
      <w:rPr>
        <w:rFonts w:hint="default"/>
        <w:lang w:val="en-US" w:eastAsia="en-US" w:bidi="ar-SA"/>
      </w:rPr>
    </w:lvl>
    <w:lvl w:ilvl="2" w:tplc="8B50FE34">
      <w:numFmt w:val="bullet"/>
      <w:lvlText w:val="•"/>
      <w:lvlJc w:val="left"/>
      <w:pPr>
        <w:ind w:left="2524" w:hanging="360"/>
      </w:pPr>
      <w:rPr>
        <w:rFonts w:hint="default"/>
        <w:lang w:val="en-US" w:eastAsia="en-US" w:bidi="ar-SA"/>
      </w:rPr>
    </w:lvl>
    <w:lvl w:ilvl="3" w:tplc="D9868F54">
      <w:numFmt w:val="bullet"/>
      <w:lvlText w:val="•"/>
      <w:lvlJc w:val="left"/>
      <w:pPr>
        <w:ind w:left="3376" w:hanging="360"/>
      </w:pPr>
      <w:rPr>
        <w:rFonts w:hint="default"/>
        <w:lang w:val="en-US" w:eastAsia="en-US" w:bidi="ar-SA"/>
      </w:rPr>
    </w:lvl>
    <w:lvl w:ilvl="4" w:tplc="1C78983E">
      <w:numFmt w:val="bullet"/>
      <w:lvlText w:val="•"/>
      <w:lvlJc w:val="left"/>
      <w:pPr>
        <w:ind w:left="4228" w:hanging="360"/>
      </w:pPr>
      <w:rPr>
        <w:rFonts w:hint="default"/>
        <w:lang w:val="en-US" w:eastAsia="en-US" w:bidi="ar-SA"/>
      </w:rPr>
    </w:lvl>
    <w:lvl w:ilvl="5" w:tplc="1F8818F4">
      <w:numFmt w:val="bullet"/>
      <w:lvlText w:val="•"/>
      <w:lvlJc w:val="left"/>
      <w:pPr>
        <w:ind w:left="5081" w:hanging="360"/>
      </w:pPr>
      <w:rPr>
        <w:rFonts w:hint="default"/>
        <w:lang w:val="en-US" w:eastAsia="en-US" w:bidi="ar-SA"/>
      </w:rPr>
    </w:lvl>
    <w:lvl w:ilvl="6" w:tplc="B06E1454">
      <w:numFmt w:val="bullet"/>
      <w:lvlText w:val="•"/>
      <w:lvlJc w:val="left"/>
      <w:pPr>
        <w:ind w:left="5933" w:hanging="360"/>
      </w:pPr>
      <w:rPr>
        <w:rFonts w:hint="default"/>
        <w:lang w:val="en-US" w:eastAsia="en-US" w:bidi="ar-SA"/>
      </w:rPr>
    </w:lvl>
    <w:lvl w:ilvl="7" w:tplc="4740C67A">
      <w:numFmt w:val="bullet"/>
      <w:lvlText w:val="•"/>
      <w:lvlJc w:val="left"/>
      <w:pPr>
        <w:ind w:left="6785" w:hanging="360"/>
      </w:pPr>
      <w:rPr>
        <w:rFonts w:hint="default"/>
        <w:lang w:val="en-US" w:eastAsia="en-US" w:bidi="ar-SA"/>
      </w:rPr>
    </w:lvl>
    <w:lvl w:ilvl="8" w:tplc="DAE2A44C">
      <w:numFmt w:val="bullet"/>
      <w:lvlText w:val="•"/>
      <w:lvlJc w:val="left"/>
      <w:pPr>
        <w:ind w:left="7637" w:hanging="360"/>
      </w:pPr>
      <w:rPr>
        <w:rFonts w:hint="default"/>
        <w:lang w:val="en-US" w:eastAsia="en-US" w:bidi="ar-SA"/>
      </w:rPr>
    </w:lvl>
  </w:abstractNum>
  <w:abstractNum w:abstractNumId="4" w15:restartNumberingAfterBreak="0">
    <w:nsid w:val="10B36054"/>
    <w:multiLevelType w:val="hybridMultilevel"/>
    <w:tmpl w:val="7042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407E5"/>
    <w:multiLevelType w:val="hybridMultilevel"/>
    <w:tmpl w:val="1BC24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237BF"/>
    <w:multiLevelType w:val="hybridMultilevel"/>
    <w:tmpl w:val="8DCC2FAC"/>
    <w:lvl w:ilvl="0" w:tplc="3F0ADFC8">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96F23254">
      <w:start w:val="1"/>
      <w:numFmt w:val="lowerRoman"/>
      <w:lvlText w:val="%2."/>
      <w:lvlJc w:val="left"/>
      <w:pPr>
        <w:ind w:left="631" w:hanging="286"/>
        <w:jc w:val="right"/>
      </w:pPr>
      <w:rPr>
        <w:rFonts w:ascii="Times New Roman" w:eastAsia="Times New Roman" w:hAnsi="Times New Roman" w:cs="Times New Roman" w:hint="default"/>
        <w:b w:val="0"/>
        <w:bCs w:val="0"/>
        <w:i/>
        <w:iCs/>
        <w:spacing w:val="0"/>
        <w:w w:val="100"/>
        <w:sz w:val="24"/>
        <w:szCs w:val="24"/>
        <w:lang w:val="en-US" w:eastAsia="en-US" w:bidi="ar-SA"/>
      </w:rPr>
    </w:lvl>
    <w:lvl w:ilvl="2" w:tplc="4044C3BA">
      <w:numFmt w:val="bullet"/>
      <w:lvlText w:val="•"/>
      <w:lvlJc w:val="left"/>
      <w:pPr>
        <w:ind w:left="1720" w:hanging="286"/>
      </w:pPr>
      <w:rPr>
        <w:rFonts w:hint="default"/>
        <w:lang w:val="en-US" w:eastAsia="en-US" w:bidi="ar-SA"/>
      </w:rPr>
    </w:lvl>
    <w:lvl w:ilvl="3" w:tplc="3022E1C8">
      <w:numFmt w:val="bullet"/>
      <w:lvlText w:val="•"/>
      <w:lvlJc w:val="left"/>
      <w:pPr>
        <w:ind w:left="2720" w:hanging="286"/>
      </w:pPr>
      <w:rPr>
        <w:rFonts w:hint="default"/>
        <w:lang w:val="en-US" w:eastAsia="en-US" w:bidi="ar-SA"/>
      </w:rPr>
    </w:lvl>
    <w:lvl w:ilvl="4" w:tplc="5CCC76E2">
      <w:numFmt w:val="bullet"/>
      <w:lvlText w:val="•"/>
      <w:lvlJc w:val="left"/>
      <w:pPr>
        <w:ind w:left="3720" w:hanging="286"/>
      </w:pPr>
      <w:rPr>
        <w:rFonts w:hint="default"/>
        <w:lang w:val="en-US" w:eastAsia="en-US" w:bidi="ar-SA"/>
      </w:rPr>
    </w:lvl>
    <w:lvl w:ilvl="5" w:tplc="43A8EAF4">
      <w:numFmt w:val="bullet"/>
      <w:lvlText w:val="•"/>
      <w:lvlJc w:val="left"/>
      <w:pPr>
        <w:ind w:left="4720" w:hanging="286"/>
      </w:pPr>
      <w:rPr>
        <w:rFonts w:hint="default"/>
        <w:lang w:val="en-US" w:eastAsia="en-US" w:bidi="ar-SA"/>
      </w:rPr>
    </w:lvl>
    <w:lvl w:ilvl="6" w:tplc="3518440A">
      <w:numFmt w:val="bullet"/>
      <w:lvlText w:val="•"/>
      <w:lvlJc w:val="left"/>
      <w:pPr>
        <w:ind w:left="5720" w:hanging="286"/>
      </w:pPr>
      <w:rPr>
        <w:rFonts w:hint="default"/>
        <w:lang w:val="en-US" w:eastAsia="en-US" w:bidi="ar-SA"/>
      </w:rPr>
    </w:lvl>
    <w:lvl w:ilvl="7" w:tplc="8EDE6EB6">
      <w:numFmt w:val="bullet"/>
      <w:lvlText w:val="•"/>
      <w:lvlJc w:val="left"/>
      <w:pPr>
        <w:ind w:left="6720" w:hanging="286"/>
      </w:pPr>
      <w:rPr>
        <w:rFonts w:hint="default"/>
        <w:lang w:val="en-US" w:eastAsia="en-US" w:bidi="ar-SA"/>
      </w:rPr>
    </w:lvl>
    <w:lvl w:ilvl="8" w:tplc="9626B34C">
      <w:numFmt w:val="bullet"/>
      <w:lvlText w:val="•"/>
      <w:lvlJc w:val="left"/>
      <w:pPr>
        <w:ind w:left="7720" w:hanging="286"/>
      </w:pPr>
      <w:rPr>
        <w:rFonts w:hint="default"/>
        <w:lang w:val="en-US" w:eastAsia="en-US" w:bidi="ar-SA"/>
      </w:rPr>
    </w:lvl>
  </w:abstractNum>
  <w:abstractNum w:abstractNumId="7" w15:restartNumberingAfterBreak="0">
    <w:nsid w:val="14CE4F2D"/>
    <w:multiLevelType w:val="multilevel"/>
    <w:tmpl w:val="9416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15713"/>
    <w:multiLevelType w:val="hybridMultilevel"/>
    <w:tmpl w:val="1FCA0D70"/>
    <w:lvl w:ilvl="0" w:tplc="9178564E">
      <w:start w:val="1"/>
      <w:numFmt w:val="lowerLetter"/>
      <w:lvlText w:val="%1)"/>
      <w:lvlJc w:val="left"/>
      <w:pPr>
        <w:ind w:left="63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CFEB6EC">
      <w:start w:val="1"/>
      <w:numFmt w:val="decimal"/>
      <w:lvlText w:val="%2."/>
      <w:lvlJc w:val="left"/>
      <w:pPr>
        <w:ind w:left="720" w:hanging="360"/>
      </w:pPr>
      <w:rPr>
        <w:rFonts w:ascii="Avenir Next LT Pro" w:eastAsia="Times New Roman" w:hAnsi="Avenir Next LT Pro" w:cs="Times New Roman" w:hint="default"/>
        <w:b w:val="0"/>
        <w:bCs w:val="0"/>
        <w:i w:val="0"/>
        <w:iCs w:val="0"/>
        <w:spacing w:val="0"/>
        <w:w w:val="100"/>
        <w:sz w:val="24"/>
        <w:szCs w:val="24"/>
        <w:lang w:val="en-US" w:eastAsia="en-US" w:bidi="ar-SA"/>
      </w:rPr>
    </w:lvl>
    <w:lvl w:ilvl="2" w:tplc="D1928290">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3" w:tplc="2CEA9AFC">
      <w:numFmt w:val="bullet"/>
      <w:lvlText w:val="•"/>
      <w:lvlJc w:val="left"/>
      <w:pPr>
        <w:ind w:left="2475" w:hanging="360"/>
      </w:pPr>
      <w:rPr>
        <w:rFonts w:hint="default"/>
        <w:lang w:val="en-US" w:eastAsia="en-US" w:bidi="ar-SA"/>
      </w:rPr>
    </w:lvl>
    <w:lvl w:ilvl="4" w:tplc="47CE1CE2">
      <w:numFmt w:val="bullet"/>
      <w:lvlText w:val="•"/>
      <w:lvlJc w:val="left"/>
      <w:pPr>
        <w:ind w:left="3510" w:hanging="360"/>
      </w:pPr>
      <w:rPr>
        <w:rFonts w:hint="default"/>
        <w:lang w:val="en-US" w:eastAsia="en-US" w:bidi="ar-SA"/>
      </w:rPr>
    </w:lvl>
    <w:lvl w:ilvl="5" w:tplc="5562F852">
      <w:numFmt w:val="bullet"/>
      <w:lvlText w:val="•"/>
      <w:lvlJc w:val="left"/>
      <w:pPr>
        <w:ind w:left="4545" w:hanging="360"/>
      </w:pPr>
      <w:rPr>
        <w:rFonts w:hint="default"/>
        <w:lang w:val="en-US" w:eastAsia="en-US" w:bidi="ar-SA"/>
      </w:rPr>
    </w:lvl>
    <w:lvl w:ilvl="6" w:tplc="2D5C6830">
      <w:numFmt w:val="bullet"/>
      <w:lvlText w:val="•"/>
      <w:lvlJc w:val="left"/>
      <w:pPr>
        <w:ind w:left="5580" w:hanging="360"/>
      </w:pPr>
      <w:rPr>
        <w:rFonts w:hint="default"/>
        <w:lang w:val="en-US" w:eastAsia="en-US" w:bidi="ar-SA"/>
      </w:rPr>
    </w:lvl>
    <w:lvl w:ilvl="7" w:tplc="740C6F6C">
      <w:numFmt w:val="bullet"/>
      <w:lvlText w:val="•"/>
      <w:lvlJc w:val="left"/>
      <w:pPr>
        <w:ind w:left="6615" w:hanging="360"/>
      </w:pPr>
      <w:rPr>
        <w:rFonts w:hint="default"/>
        <w:lang w:val="en-US" w:eastAsia="en-US" w:bidi="ar-SA"/>
      </w:rPr>
    </w:lvl>
    <w:lvl w:ilvl="8" w:tplc="F90CDE02">
      <w:numFmt w:val="bullet"/>
      <w:lvlText w:val="•"/>
      <w:lvlJc w:val="left"/>
      <w:pPr>
        <w:ind w:left="7650" w:hanging="360"/>
      </w:pPr>
      <w:rPr>
        <w:rFonts w:hint="default"/>
        <w:lang w:val="en-US" w:eastAsia="en-US" w:bidi="ar-SA"/>
      </w:rPr>
    </w:lvl>
  </w:abstractNum>
  <w:abstractNum w:abstractNumId="9" w15:restartNumberingAfterBreak="0">
    <w:nsid w:val="19883DBF"/>
    <w:multiLevelType w:val="hybridMultilevel"/>
    <w:tmpl w:val="EEE2E0BA"/>
    <w:lvl w:ilvl="0" w:tplc="D336704A">
      <w:start w:val="1"/>
      <w:numFmt w:val="bullet"/>
      <w:lvlText w:val="•"/>
      <w:lvlJc w:val="left"/>
      <w:pPr>
        <w:tabs>
          <w:tab w:val="num" w:pos="720"/>
        </w:tabs>
        <w:ind w:left="720" w:hanging="360"/>
      </w:pPr>
      <w:rPr>
        <w:rFonts w:ascii="Arial" w:hAnsi="Arial" w:hint="default"/>
      </w:rPr>
    </w:lvl>
    <w:lvl w:ilvl="1" w:tplc="22B0FF20" w:tentative="1">
      <w:start w:val="1"/>
      <w:numFmt w:val="bullet"/>
      <w:lvlText w:val="•"/>
      <w:lvlJc w:val="left"/>
      <w:pPr>
        <w:tabs>
          <w:tab w:val="num" w:pos="1440"/>
        </w:tabs>
        <w:ind w:left="1440" w:hanging="360"/>
      </w:pPr>
      <w:rPr>
        <w:rFonts w:ascii="Arial" w:hAnsi="Arial" w:hint="default"/>
      </w:rPr>
    </w:lvl>
    <w:lvl w:ilvl="2" w:tplc="2A98888A" w:tentative="1">
      <w:start w:val="1"/>
      <w:numFmt w:val="bullet"/>
      <w:lvlText w:val="•"/>
      <w:lvlJc w:val="left"/>
      <w:pPr>
        <w:tabs>
          <w:tab w:val="num" w:pos="2160"/>
        </w:tabs>
        <w:ind w:left="2160" w:hanging="360"/>
      </w:pPr>
      <w:rPr>
        <w:rFonts w:ascii="Arial" w:hAnsi="Arial" w:hint="default"/>
      </w:rPr>
    </w:lvl>
    <w:lvl w:ilvl="3" w:tplc="921E0CB0" w:tentative="1">
      <w:start w:val="1"/>
      <w:numFmt w:val="bullet"/>
      <w:lvlText w:val="•"/>
      <w:lvlJc w:val="left"/>
      <w:pPr>
        <w:tabs>
          <w:tab w:val="num" w:pos="2880"/>
        </w:tabs>
        <w:ind w:left="2880" w:hanging="360"/>
      </w:pPr>
      <w:rPr>
        <w:rFonts w:ascii="Arial" w:hAnsi="Arial" w:hint="default"/>
      </w:rPr>
    </w:lvl>
    <w:lvl w:ilvl="4" w:tplc="157ECD6C" w:tentative="1">
      <w:start w:val="1"/>
      <w:numFmt w:val="bullet"/>
      <w:lvlText w:val="•"/>
      <w:lvlJc w:val="left"/>
      <w:pPr>
        <w:tabs>
          <w:tab w:val="num" w:pos="3600"/>
        </w:tabs>
        <w:ind w:left="3600" w:hanging="360"/>
      </w:pPr>
      <w:rPr>
        <w:rFonts w:ascii="Arial" w:hAnsi="Arial" w:hint="default"/>
      </w:rPr>
    </w:lvl>
    <w:lvl w:ilvl="5" w:tplc="27E4DF94" w:tentative="1">
      <w:start w:val="1"/>
      <w:numFmt w:val="bullet"/>
      <w:lvlText w:val="•"/>
      <w:lvlJc w:val="left"/>
      <w:pPr>
        <w:tabs>
          <w:tab w:val="num" w:pos="4320"/>
        </w:tabs>
        <w:ind w:left="4320" w:hanging="360"/>
      </w:pPr>
      <w:rPr>
        <w:rFonts w:ascii="Arial" w:hAnsi="Arial" w:hint="default"/>
      </w:rPr>
    </w:lvl>
    <w:lvl w:ilvl="6" w:tplc="E2628DCE" w:tentative="1">
      <w:start w:val="1"/>
      <w:numFmt w:val="bullet"/>
      <w:lvlText w:val="•"/>
      <w:lvlJc w:val="left"/>
      <w:pPr>
        <w:tabs>
          <w:tab w:val="num" w:pos="5040"/>
        </w:tabs>
        <w:ind w:left="5040" w:hanging="360"/>
      </w:pPr>
      <w:rPr>
        <w:rFonts w:ascii="Arial" w:hAnsi="Arial" w:hint="default"/>
      </w:rPr>
    </w:lvl>
    <w:lvl w:ilvl="7" w:tplc="B210A46A" w:tentative="1">
      <w:start w:val="1"/>
      <w:numFmt w:val="bullet"/>
      <w:lvlText w:val="•"/>
      <w:lvlJc w:val="left"/>
      <w:pPr>
        <w:tabs>
          <w:tab w:val="num" w:pos="5760"/>
        </w:tabs>
        <w:ind w:left="5760" w:hanging="360"/>
      </w:pPr>
      <w:rPr>
        <w:rFonts w:ascii="Arial" w:hAnsi="Arial" w:hint="default"/>
      </w:rPr>
    </w:lvl>
    <w:lvl w:ilvl="8" w:tplc="29BC5D2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A37A75"/>
    <w:multiLevelType w:val="hybridMultilevel"/>
    <w:tmpl w:val="530EA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F10FA"/>
    <w:multiLevelType w:val="hybridMultilevel"/>
    <w:tmpl w:val="159C5694"/>
    <w:lvl w:ilvl="0" w:tplc="455ADB92">
      <w:start w:val="1"/>
      <w:numFmt w:val="lowerRoman"/>
      <w:lvlText w:val="%1."/>
      <w:lvlJc w:val="left"/>
      <w:pPr>
        <w:ind w:left="1183" w:hanging="720"/>
      </w:pPr>
      <w:rPr>
        <w:rFonts w:hint="default"/>
      </w:rPr>
    </w:lvl>
    <w:lvl w:ilvl="1" w:tplc="04090019" w:tentative="1">
      <w:start w:val="1"/>
      <w:numFmt w:val="lowerLetter"/>
      <w:lvlText w:val="%2."/>
      <w:lvlJc w:val="left"/>
      <w:pPr>
        <w:ind w:left="1543" w:hanging="360"/>
      </w:p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12" w15:restartNumberingAfterBreak="0">
    <w:nsid w:val="2C2842FE"/>
    <w:multiLevelType w:val="hybridMultilevel"/>
    <w:tmpl w:val="D0A25206"/>
    <w:lvl w:ilvl="0" w:tplc="FFFFFFFF">
      <w:start w:val="1"/>
      <w:numFmt w:val="decimal"/>
      <w:lvlText w:val="%1."/>
      <w:lvlJc w:val="left"/>
      <w:pPr>
        <w:ind w:left="823" w:hanging="360"/>
      </w:pPr>
      <w:rPr>
        <w:rFonts w:ascii="Avenir Next LT Pro" w:eastAsiaTheme="minorHAnsi" w:hAnsi="Avenir Next LT Pro" w:cstheme="minorBidi"/>
        <w:b w:val="0"/>
        <w:bCs w:val="0"/>
        <w:i/>
        <w:iCs/>
        <w:spacing w:val="0"/>
        <w:w w:val="100"/>
        <w:sz w:val="24"/>
        <w:szCs w:val="24"/>
        <w:lang w:val="en-US" w:eastAsia="en-US" w:bidi="ar-SA"/>
      </w:rPr>
    </w:lvl>
    <w:lvl w:ilvl="1" w:tplc="FFFFFFFF">
      <w:numFmt w:val="bullet"/>
      <w:lvlText w:val="•"/>
      <w:lvlJc w:val="left"/>
      <w:pPr>
        <w:ind w:left="1672" w:hanging="360"/>
      </w:pPr>
      <w:rPr>
        <w:rFonts w:hint="default"/>
        <w:lang w:val="en-US" w:eastAsia="en-US" w:bidi="ar-SA"/>
      </w:rPr>
    </w:lvl>
    <w:lvl w:ilvl="2" w:tplc="FFFFFFFF">
      <w:numFmt w:val="bullet"/>
      <w:lvlText w:val="•"/>
      <w:lvlJc w:val="left"/>
      <w:pPr>
        <w:ind w:left="2524" w:hanging="360"/>
      </w:pPr>
      <w:rPr>
        <w:rFonts w:hint="default"/>
        <w:lang w:val="en-US" w:eastAsia="en-US" w:bidi="ar-SA"/>
      </w:rPr>
    </w:lvl>
    <w:lvl w:ilvl="3" w:tplc="FFFFFFFF">
      <w:numFmt w:val="bullet"/>
      <w:lvlText w:val="•"/>
      <w:lvlJc w:val="left"/>
      <w:pPr>
        <w:ind w:left="3376" w:hanging="360"/>
      </w:pPr>
      <w:rPr>
        <w:rFonts w:hint="default"/>
        <w:lang w:val="en-US" w:eastAsia="en-US" w:bidi="ar-SA"/>
      </w:rPr>
    </w:lvl>
    <w:lvl w:ilvl="4" w:tplc="FFFFFFFF">
      <w:numFmt w:val="bullet"/>
      <w:lvlText w:val="•"/>
      <w:lvlJc w:val="left"/>
      <w:pPr>
        <w:ind w:left="4228" w:hanging="360"/>
      </w:pPr>
      <w:rPr>
        <w:rFonts w:hint="default"/>
        <w:lang w:val="en-US" w:eastAsia="en-US" w:bidi="ar-SA"/>
      </w:rPr>
    </w:lvl>
    <w:lvl w:ilvl="5" w:tplc="FFFFFFFF">
      <w:numFmt w:val="bullet"/>
      <w:lvlText w:val="•"/>
      <w:lvlJc w:val="left"/>
      <w:pPr>
        <w:ind w:left="5081" w:hanging="360"/>
      </w:pPr>
      <w:rPr>
        <w:rFonts w:hint="default"/>
        <w:lang w:val="en-US" w:eastAsia="en-US" w:bidi="ar-SA"/>
      </w:rPr>
    </w:lvl>
    <w:lvl w:ilvl="6" w:tplc="FFFFFFFF">
      <w:numFmt w:val="bullet"/>
      <w:lvlText w:val="•"/>
      <w:lvlJc w:val="left"/>
      <w:pPr>
        <w:ind w:left="5933" w:hanging="360"/>
      </w:pPr>
      <w:rPr>
        <w:rFonts w:hint="default"/>
        <w:lang w:val="en-US" w:eastAsia="en-US" w:bidi="ar-SA"/>
      </w:rPr>
    </w:lvl>
    <w:lvl w:ilvl="7" w:tplc="FFFFFFFF">
      <w:numFmt w:val="bullet"/>
      <w:lvlText w:val="•"/>
      <w:lvlJc w:val="left"/>
      <w:pPr>
        <w:ind w:left="6785" w:hanging="360"/>
      </w:pPr>
      <w:rPr>
        <w:rFonts w:hint="default"/>
        <w:lang w:val="en-US" w:eastAsia="en-US" w:bidi="ar-SA"/>
      </w:rPr>
    </w:lvl>
    <w:lvl w:ilvl="8" w:tplc="FFFFFFFF">
      <w:numFmt w:val="bullet"/>
      <w:lvlText w:val="•"/>
      <w:lvlJc w:val="left"/>
      <w:pPr>
        <w:ind w:left="7637" w:hanging="360"/>
      </w:pPr>
      <w:rPr>
        <w:rFonts w:hint="default"/>
        <w:lang w:val="en-US" w:eastAsia="en-US" w:bidi="ar-SA"/>
      </w:rPr>
    </w:lvl>
  </w:abstractNum>
  <w:abstractNum w:abstractNumId="13" w15:restartNumberingAfterBreak="0">
    <w:nsid w:val="2F8B2A3B"/>
    <w:multiLevelType w:val="hybridMultilevel"/>
    <w:tmpl w:val="C6D2184C"/>
    <w:lvl w:ilvl="0" w:tplc="7D58FCC0">
      <w:start w:val="1"/>
      <w:numFmt w:val="decimal"/>
      <w:lvlText w:val="%1)"/>
      <w:lvlJc w:val="left"/>
      <w:pPr>
        <w:ind w:left="103" w:hanging="260"/>
      </w:pPr>
      <w:rPr>
        <w:rFonts w:ascii="Times New Roman" w:eastAsia="Times New Roman" w:hAnsi="Times New Roman" w:cs="Times New Roman" w:hint="default"/>
        <w:b w:val="0"/>
        <w:bCs w:val="0"/>
        <w:i/>
        <w:iCs/>
        <w:spacing w:val="0"/>
        <w:w w:val="89"/>
        <w:sz w:val="24"/>
        <w:szCs w:val="24"/>
        <w:u w:val="single" w:color="000000"/>
        <w:lang w:val="en-US" w:eastAsia="en-US" w:bidi="ar-SA"/>
      </w:rPr>
    </w:lvl>
    <w:lvl w:ilvl="1" w:tplc="102003CC">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2" w:tplc="0B62F534">
      <w:numFmt w:val="bullet"/>
      <w:lvlText w:val="•"/>
      <w:lvlJc w:val="left"/>
      <w:pPr>
        <w:ind w:left="1766" w:hanging="360"/>
      </w:pPr>
      <w:rPr>
        <w:rFonts w:hint="default"/>
        <w:lang w:val="en-US" w:eastAsia="en-US" w:bidi="ar-SA"/>
      </w:rPr>
    </w:lvl>
    <w:lvl w:ilvl="3" w:tplc="7BE6A254">
      <w:numFmt w:val="bullet"/>
      <w:lvlText w:val="•"/>
      <w:lvlJc w:val="left"/>
      <w:pPr>
        <w:ind w:left="2713" w:hanging="360"/>
      </w:pPr>
      <w:rPr>
        <w:rFonts w:hint="default"/>
        <w:lang w:val="en-US" w:eastAsia="en-US" w:bidi="ar-SA"/>
      </w:rPr>
    </w:lvl>
    <w:lvl w:ilvl="4" w:tplc="E0909484">
      <w:numFmt w:val="bullet"/>
      <w:lvlText w:val="•"/>
      <w:lvlJc w:val="left"/>
      <w:pPr>
        <w:ind w:left="3660" w:hanging="360"/>
      </w:pPr>
      <w:rPr>
        <w:rFonts w:hint="default"/>
        <w:lang w:val="en-US" w:eastAsia="en-US" w:bidi="ar-SA"/>
      </w:rPr>
    </w:lvl>
    <w:lvl w:ilvl="5" w:tplc="F3709342">
      <w:numFmt w:val="bullet"/>
      <w:lvlText w:val="•"/>
      <w:lvlJc w:val="left"/>
      <w:pPr>
        <w:ind w:left="4607" w:hanging="360"/>
      </w:pPr>
      <w:rPr>
        <w:rFonts w:hint="default"/>
        <w:lang w:val="en-US" w:eastAsia="en-US" w:bidi="ar-SA"/>
      </w:rPr>
    </w:lvl>
    <w:lvl w:ilvl="6" w:tplc="AF641056">
      <w:numFmt w:val="bullet"/>
      <w:lvlText w:val="•"/>
      <w:lvlJc w:val="left"/>
      <w:pPr>
        <w:ind w:left="5554" w:hanging="360"/>
      </w:pPr>
      <w:rPr>
        <w:rFonts w:hint="default"/>
        <w:lang w:val="en-US" w:eastAsia="en-US" w:bidi="ar-SA"/>
      </w:rPr>
    </w:lvl>
    <w:lvl w:ilvl="7" w:tplc="212862AA">
      <w:numFmt w:val="bullet"/>
      <w:lvlText w:val="•"/>
      <w:lvlJc w:val="left"/>
      <w:pPr>
        <w:ind w:left="6501" w:hanging="360"/>
      </w:pPr>
      <w:rPr>
        <w:rFonts w:hint="default"/>
        <w:lang w:val="en-US" w:eastAsia="en-US" w:bidi="ar-SA"/>
      </w:rPr>
    </w:lvl>
    <w:lvl w:ilvl="8" w:tplc="A9B2935A">
      <w:numFmt w:val="bullet"/>
      <w:lvlText w:val="•"/>
      <w:lvlJc w:val="left"/>
      <w:pPr>
        <w:ind w:left="7448" w:hanging="360"/>
      </w:pPr>
      <w:rPr>
        <w:rFonts w:hint="default"/>
        <w:lang w:val="en-US" w:eastAsia="en-US" w:bidi="ar-SA"/>
      </w:rPr>
    </w:lvl>
  </w:abstractNum>
  <w:abstractNum w:abstractNumId="14" w15:restartNumberingAfterBreak="0">
    <w:nsid w:val="33811489"/>
    <w:multiLevelType w:val="hybridMultilevel"/>
    <w:tmpl w:val="1FBE45C8"/>
    <w:lvl w:ilvl="0" w:tplc="5FF0DAF2">
      <w:start w:val="1"/>
      <w:numFmt w:val="decimal"/>
      <w:lvlText w:val="%1."/>
      <w:lvlJc w:val="left"/>
      <w:pPr>
        <w:ind w:left="720" w:hanging="360"/>
      </w:pPr>
      <w:rPr>
        <w:rFonts w:ascii="Avenir Next LT Pro" w:eastAsia="Times New Roman" w:hAnsi="Avenir Next LT Pro" w:cs="Times New Roman" w:hint="default"/>
        <w:b w:val="0"/>
        <w:bCs w:val="0"/>
        <w:i w:val="0"/>
        <w:iCs w:val="0"/>
        <w:spacing w:val="0"/>
        <w:w w:val="100"/>
        <w:sz w:val="24"/>
        <w:szCs w:val="24"/>
        <w:lang w:val="en-US" w:eastAsia="en-US" w:bidi="ar-SA"/>
      </w:rPr>
    </w:lvl>
    <w:lvl w:ilvl="1" w:tplc="19CE6DDE">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3ACAC396">
      <w:numFmt w:val="bullet"/>
      <w:lvlText w:val="•"/>
      <w:lvlJc w:val="left"/>
      <w:pPr>
        <w:ind w:left="2360" w:hanging="360"/>
      </w:pPr>
      <w:rPr>
        <w:rFonts w:hint="default"/>
        <w:lang w:val="en-US" w:eastAsia="en-US" w:bidi="ar-SA"/>
      </w:rPr>
    </w:lvl>
    <w:lvl w:ilvl="3" w:tplc="0BB697D8">
      <w:numFmt w:val="bullet"/>
      <w:lvlText w:val="•"/>
      <w:lvlJc w:val="left"/>
      <w:pPr>
        <w:ind w:left="3280" w:hanging="360"/>
      </w:pPr>
      <w:rPr>
        <w:rFonts w:hint="default"/>
        <w:lang w:val="en-US" w:eastAsia="en-US" w:bidi="ar-SA"/>
      </w:rPr>
    </w:lvl>
    <w:lvl w:ilvl="4" w:tplc="E57C4238">
      <w:numFmt w:val="bullet"/>
      <w:lvlText w:val="•"/>
      <w:lvlJc w:val="left"/>
      <w:pPr>
        <w:ind w:left="4200" w:hanging="360"/>
      </w:pPr>
      <w:rPr>
        <w:rFonts w:hint="default"/>
        <w:lang w:val="en-US" w:eastAsia="en-US" w:bidi="ar-SA"/>
      </w:rPr>
    </w:lvl>
    <w:lvl w:ilvl="5" w:tplc="F196C8E4">
      <w:numFmt w:val="bullet"/>
      <w:lvlText w:val="•"/>
      <w:lvlJc w:val="left"/>
      <w:pPr>
        <w:ind w:left="5120" w:hanging="360"/>
      </w:pPr>
      <w:rPr>
        <w:rFonts w:hint="default"/>
        <w:lang w:val="en-US" w:eastAsia="en-US" w:bidi="ar-SA"/>
      </w:rPr>
    </w:lvl>
    <w:lvl w:ilvl="6" w:tplc="7556C4BC">
      <w:numFmt w:val="bullet"/>
      <w:lvlText w:val="•"/>
      <w:lvlJc w:val="left"/>
      <w:pPr>
        <w:ind w:left="6040" w:hanging="360"/>
      </w:pPr>
      <w:rPr>
        <w:rFonts w:hint="default"/>
        <w:lang w:val="en-US" w:eastAsia="en-US" w:bidi="ar-SA"/>
      </w:rPr>
    </w:lvl>
    <w:lvl w:ilvl="7" w:tplc="1C8227C6">
      <w:numFmt w:val="bullet"/>
      <w:lvlText w:val="•"/>
      <w:lvlJc w:val="left"/>
      <w:pPr>
        <w:ind w:left="6960" w:hanging="360"/>
      </w:pPr>
      <w:rPr>
        <w:rFonts w:hint="default"/>
        <w:lang w:val="en-US" w:eastAsia="en-US" w:bidi="ar-SA"/>
      </w:rPr>
    </w:lvl>
    <w:lvl w:ilvl="8" w:tplc="20689582">
      <w:numFmt w:val="bullet"/>
      <w:lvlText w:val="•"/>
      <w:lvlJc w:val="left"/>
      <w:pPr>
        <w:ind w:left="7880" w:hanging="360"/>
      </w:pPr>
      <w:rPr>
        <w:rFonts w:hint="default"/>
        <w:lang w:val="en-US" w:eastAsia="en-US" w:bidi="ar-SA"/>
      </w:rPr>
    </w:lvl>
  </w:abstractNum>
  <w:abstractNum w:abstractNumId="15" w15:restartNumberingAfterBreak="0">
    <w:nsid w:val="34457AAA"/>
    <w:multiLevelType w:val="hybridMultilevel"/>
    <w:tmpl w:val="1BDABEEC"/>
    <w:lvl w:ilvl="0" w:tplc="101C561C">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04241C9E">
      <w:numFmt w:val="bullet"/>
      <w:lvlText w:val="•"/>
      <w:lvlJc w:val="left"/>
      <w:pPr>
        <w:ind w:left="1649" w:hanging="360"/>
      </w:pPr>
      <w:rPr>
        <w:rFonts w:hint="default"/>
        <w:lang w:val="en-US" w:eastAsia="en-US" w:bidi="ar-SA"/>
      </w:rPr>
    </w:lvl>
    <w:lvl w:ilvl="2" w:tplc="2A7E7068">
      <w:numFmt w:val="bullet"/>
      <w:lvlText w:val="•"/>
      <w:lvlJc w:val="left"/>
      <w:pPr>
        <w:ind w:left="2479" w:hanging="360"/>
      </w:pPr>
      <w:rPr>
        <w:rFonts w:hint="default"/>
        <w:lang w:val="en-US" w:eastAsia="en-US" w:bidi="ar-SA"/>
      </w:rPr>
    </w:lvl>
    <w:lvl w:ilvl="3" w:tplc="A2C62304">
      <w:numFmt w:val="bullet"/>
      <w:lvlText w:val="•"/>
      <w:lvlJc w:val="left"/>
      <w:pPr>
        <w:ind w:left="3309" w:hanging="360"/>
      </w:pPr>
      <w:rPr>
        <w:rFonts w:hint="default"/>
        <w:lang w:val="en-US" w:eastAsia="en-US" w:bidi="ar-SA"/>
      </w:rPr>
    </w:lvl>
    <w:lvl w:ilvl="4" w:tplc="C344A1AC">
      <w:numFmt w:val="bullet"/>
      <w:lvlText w:val="•"/>
      <w:lvlJc w:val="left"/>
      <w:pPr>
        <w:ind w:left="4138" w:hanging="360"/>
      </w:pPr>
      <w:rPr>
        <w:rFonts w:hint="default"/>
        <w:lang w:val="en-US" w:eastAsia="en-US" w:bidi="ar-SA"/>
      </w:rPr>
    </w:lvl>
    <w:lvl w:ilvl="5" w:tplc="BF222676">
      <w:numFmt w:val="bullet"/>
      <w:lvlText w:val="•"/>
      <w:lvlJc w:val="left"/>
      <w:pPr>
        <w:ind w:left="4968" w:hanging="360"/>
      </w:pPr>
      <w:rPr>
        <w:rFonts w:hint="default"/>
        <w:lang w:val="en-US" w:eastAsia="en-US" w:bidi="ar-SA"/>
      </w:rPr>
    </w:lvl>
    <w:lvl w:ilvl="6" w:tplc="C008AC58">
      <w:numFmt w:val="bullet"/>
      <w:lvlText w:val="•"/>
      <w:lvlJc w:val="left"/>
      <w:pPr>
        <w:ind w:left="5798" w:hanging="360"/>
      </w:pPr>
      <w:rPr>
        <w:rFonts w:hint="default"/>
        <w:lang w:val="en-US" w:eastAsia="en-US" w:bidi="ar-SA"/>
      </w:rPr>
    </w:lvl>
    <w:lvl w:ilvl="7" w:tplc="5888BEBE">
      <w:numFmt w:val="bullet"/>
      <w:lvlText w:val="•"/>
      <w:lvlJc w:val="left"/>
      <w:pPr>
        <w:ind w:left="6627" w:hanging="360"/>
      </w:pPr>
      <w:rPr>
        <w:rFonts w:hint="default"/>
        <w:lang w:val="en-US" w:eastAsia="en-US" w:bidi="ar-SA"/>
      </w:rPr>
    </w:lvl>
    <w:lvl w:ilvl="8" w:tplc="F13628DA">
      <w:numFmt w:val="bullet"/>
      <w:lvlText w:val="•"/>
      <w:lvlJc w:val="left"/>
      <w:pPr>
        <w:ind w:left="7457" w:hanging="360"/>
      </w:pPr>
      <w:rPr>
        <w:rFonts w:hint="default"/>
        <w:lang w:val="en-US" w:eastAsia="en-US" w:bidi="ar-SA"/>
      </w:rPr>
    </w:lvl>
  </w:abstractNum>
  <w:abstractNum w:abstractNumId="16" w15:restartNumberingAfterBreak="0">
    <w:nsid w:val="370321FA"/>
    <w:multiLevelType w:val="hybridMultilevel"/>
    <w:tmpl w:val="654C9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46609A"/>
    <w:multiLevelType w:val="hybridMultilevel"/>
    <w:tmpl w:val="C3D8BD8C"/>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BD51BDE"/>
    <w:multiLevelType w:val="hybridMultilevel"/>
    <w:tmpl w:val="796CA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1B0871"/>
    <w:multiLevelType w:val="hybridMultilevel"/>
    <w:tmpl w:val="2796F2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F064E9"/>
    <w:multiLevelType w:val="hybridMultilevel"/>
    <w:tmpl w:val="0AF8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126073"/>
    <w:multiLevelType w:val="hybridMultilevel"/>
    <w:tmpl w:val="C8DACF9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1353EE9"/>
    <w:multiLevelType w:val="hybridMultilevel"/>
    <w:tmpl w:val="818A1724"/>
    <w:lvl w:ilvl="0" w:tplc="492EDF30">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DAC2FC2C">
      <w:numFmt w:val="bullet"/>
      <w:lvlText w:val=""/>
      <w:lvlJc w:val="left"/>
      <w:pPr>
        <w:ind w:left="828" w:hanging="360"/>
      </w:pPr>
      <w:rPr>
        <w:rFonts w:ascii="Symbol" w:eastAsia="Symbol" w:hAnsi="Symbol" w:cs="Symbol" w:hint="default"/>
        <w:spacing w:val="0"/>
        <w:w w:val="99"/>
        <w:lang w:val="en-US" w:eastAsia="en-US" w:bidi="ar-SA"/>
      </w:rPr>
    </w:lvl>
    <w:lvl w:ilvl="2" w:tplc="CD3C3046">
      <w:numFmt w:val="bullet"/>
      <w:lvlText w:val="•"/>
      <w:lvlJc w:val="left"/>
      <w:pPr>
        <w:ind w:left="1808" w:hanging="360"/>
      </w:pPr>
      <w:rPr>
        <w:rFonts w:hint="default"/>
        <w:lang w:val="en-US" w:eastAsia="en-US" w:bidi="ar-SA"/>
      </w:rPr>
    </w:lvl>
    <w:lvl w:ilvl="3" w:tplc="33DCD456">
      <w:numFmt w:val="bullet"/>
      <w:lvlText w:val="•"/>
      <w:lvlJc w:val="left"/>
      <w:pPr>
        <w:ind w:left="2797" w:hanging="360"/>
      </w:pPr>
      <w:rPr>
        <w:rFonts w:hint="default"/>
        <w:lang w:val="en-US" w:eastAsia="en-US" w:bidi="ar-SA"/>
      </w:rPr>
    </w:lvl>
    <w:lvl w:ilvl="4" w:tplc="A000AD20">
      <w:numFmt w:val="bullet"/>
      <w:lvlText w:val="•"/>
      <w:lvlJc w:val="left"/>
      <w:pPr>
        <w:ind w:left="3786" w:hanging="360"/>
      </w:pPr>
      <w:rPr>
        <w:rFonts w:hint="default"/>
        <w:lang w:val="en-US" w:eastAsia="en-US" w:bidi="ar-SA"/>
      </w:rPr>
    </w:lvl>
    <w:lvl w:ilvl="5" w:tplc="2640EC0E">
      <w:numFmt w:val="bullet"/>
      <w:lvlText w:val="•"/>
      <w:lvlJc w:val="left"/>
      <w:pPr>
        <w:ind w:left="4775" w:hanging="360"/>
      </w:pPr>
      <w:rPr>
        <w:rFonts w:hint="default"/>
        <w:lang w:val="en-US" w:eastAsia="en-US" w:bidi="ar-SA"/>
      </w:rPr>
    </w:lvl>
    <w:lvl w:ilvl="6" w:tplc="6936A9A6">
      <w:numFmt w:val="bullet"/>
      <w:lvlText w:val="•"/>
      <w:lvlJc w:val="left"/>
      <w:pPr>
        <w:ind w:left="5764" w:hanging="360"/>
      </w:pPr>
      <w:rPr>
        <w:rFonts w:hint="default"/>
        <w:lang w:val="en-US" w:eastAsia="en-US" w:bidi="ar-SA"/>
      </w:rPr>
    </w:lvl>
    <w:lvl w:ilvl="7" w:tplc="E6B0821E">
      <w:numFmt w:val="bullet"/>
      <w:lvlText w:val="•"/>
      <w:lvlJc w:val="left"/>
      <w:pPr>
        <w:ind w:left="6753" w:hanging="360"/>
      </w:pPr>
      <w:rPr>
        <w:rFonts w:hint="default"/>
        <w:lang w:val="en-US" w:eastAsia="en-US" w:bidi="ar-SA"/>
      </w:rPr>
    </w:lvl>
    <w:lvl w:ilvl="8" w:tplc="4F2E2EC6">
      <w:numFmt w:val="bullet"/>
      <w:lvlText w:val="•"/>
      <w:lvlJc w:val="left"/>
      <w:pPr>
        <w:ind w:left="7742" w:hanging="360"/>
      </w:pPr>
      <w:rPr>
        <w:rFonts w:hint="default"/>
        <w:lang w:val="en-US" w:eastAsia="en-US" w:bidi="ar-SA"/>
      </w:rPr>
    </w:lvl>
  </w:abstractNum>
  <w:abstractNum w:abstractNumId="23" w15:restartNumberingAfterBreak="0">
    <w:nsid w:val="42212C8F"/>
    <w:multiLevelType w:val="hybridMultilevel"/>
    <w:tmpl w:val="37F0668E"/>
    <w:lvl w:ilvl="0" w:tplc="27042A6E">
      <w:start w:val="2"/>
      <w:numFmt w:val="bullet"/>
      <w:lvlText w:val="-"/>
      <w:lvlJc w:val="left"/>
      <w:pPr>
        <w:ind w:left="1080" w:hanging="360"/>
      </w:pPr>
      <w:rPr>
        <w:rFonts w:ascii="Avenir Next LT Pro" w:eastAsiaTheme="minorHAnsi" w:hAnsi="Avenir Next LT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FF163D"/>
    <w:multiLevelType w:val="hybridMultilevel"/>
    <w:tmpl w:val="20384B6A"/>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11300C"/>
    <w:multiLevelType w:val="hybridMultilevel"/>
    <w:tmpl w:val="D8F4B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1B35AA"/>
    <w:multiLevelType w:val="hybridMultilevel"/>
    <w:tmpl w:val="EE20C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91609A"/>
    <w:multiLevelType w:val="hybridMultilevel"/>
    <w:tmpl w:val="95FA0EB0"/>
    <w:lvl w:ilvl="0" w:tplc="ED3CDE44">
      <w:start w:val="1"/>
      <w:numFmt w:val="lowerLetter"/>
      <w:lvlText w:val="%1)"/>
      <w:lvlJc w:val="left"/>
      <w:pPr>
        <w:ind w:left="1080" w:hanging="360"/>
      </w:pPr>
      <w:rPr>
        <w:rFonts w:ascii="Avenir Next LT Pro" w:eastAsia="Times New Roman" w:hAnsi="Avenir Next LT Pro" w:cs="Times New Roman" w:hint="default"/>
        <w:b w:val="0"/>
        <w:bCs w:val="0"/>
        <w:i w:val="0"/>
        <w:iCs w:val="0"/>
        <w:spacing w:val="-1"/>
        <w:w w:val="100"/>
        <w:sz w:val="24"/>
        <w:szCs w:val="24"/>
        <w:lang w:val="en-US" w:eastAsia="en-US" w:bidi="ar-SA"/>
      </w:rPr>
    </w:lvl>
    <w:lvl w:ilvl="1" w:tplc="D5EA1AD0">
      <w:numFmt w:val="bullet"/>
      <w:lvlText w:val="•"/>
      <w:lvlJc w:val="left"/>
      <w:pPr>
        <w:ind w:left="1980" w:hanging="360"/>
      </w:pPr>
      <w:rPr>
        <w:rFonts w:hint="default"/>
        <w:lang w:val="en-US" w:eastAsia="en-US" w:bidi="ar-SA"/>
      </w:rPr>
    </w:lvl>
    <w:lvl w:ilvl="2" w:tplc="F296F8DE">
      <w:numFmt w:val="bullet"/>
      <w:lvlText w:val="•"/>
      <w:lvlJc w:val="left"/>
      <w:pPr>
        <w:ind w:left="2880" w:hanging="360"/>
      </w:pPr>
      <w:rPr>
        <w:rFonts w:hint="default"/>
        <w:lang w:val="en-US" w:eastAsia="en-US" w:bidi="ar-SA"/>
      </w:rPr>
    </w:lvl>
    <w:lvl w:ilvl="3" w:tplc="0606753A">
      <w:numFmt w:val="bullet"/>
      <w:lvlText w:val="•"/>
      <w:lvlJc w:val="left"/>
      <w:pPr>
        <w:ind w:left="3780" w:hanging="360"/>
      </w:pPr>
      <w:rPr>
        <w:rFonts w:hint="default"/>
        <w:lang w:val="en-US" w:eastAsia="en-US" w:bidi="ar-SA"/>
      </w:rPr>
    </w:lvl>
    <w:lvl w:ilvl="4" w:tplc="9522D392">
      <w:numFmt w:val="bullet"/>
      <w:lvlText w:val="•"/>
      <w:lvlJc w:val="left"/>
      <w:pPr>
        <w:ind w:left="4680" w:hanging="360"/>
      </w:pPr>
      <w:rPr>
        <w:rFonts w:hint="default"/>
        <w:lang w:val="en-US" w:eastAsia="en-US" w:bidi="ar-SA"/>
      </w:rPr>
    </w:lvl>
    <w:lvl w:ilvl="5" w:tplc="2F1A46D8">
      <w:numFmt w:val="bullet"/>
      <w:lvlText w:val="•"/>
      <w:lvlJc w:val="left"/>
      <w:pPr>
        <w:ind w:left="5580" w:hanging="360"/>
      </w:pPr>
      <w:rPr>
        <w:rFonts w:hint="default"/>
        <w:lang w:val="en-US" w:eastAsia="en-US" w:bidi="ar-SA"/>
      </w:rPr>
    </w:lvl>
    <w:lvl w:ilvl="6" w:tplc="479CA228">
      <w:numFmt w:val="bullet"/>
      <w:lvlText w:val="•"/>
      <w:lvlJc w:val="left"/>
      <w:pPr>
        <w:ind w:left="6480" w:hanging="360"/>
      </w:pPr>
      <w:rPr>
        <w:rFonts w:hint="default"/>
        <w:lang w:val="en-US" w:eastAsia="en-US" w:bidi="ar-SA"/>
      </w:rPr>
    </w:lvl>
    <w:lvl w:ilvl="7" w:tplc="71E4AD6A">
      <w:numFmt w:val="bullet"/>
      <w:lvlText w:val="•"/>
      <w:lvlJc w:val="left"/>
      <w:pPr>
        <w:ind w:left="7380" w:hanging="360"/>
      </w:pPr>
      <w:rPr>
        <w:rFonts w:hint="default"/>
        <w:lang w:val="en-US" w:eastAsia="en-US" w:bidi="ar-SA"/>
      </w:rPr>
    </w:lvl>
    <w:lvl w:ilvl="8" w:tplc="37BEE186">
      <w:numFmt w:val="bullet"/>
      <w:lvlText w:val="•"/>
      <w:lvlJc w:val="left"/>
      <w:pPr>
        <w:ind w:left="8280" w:hanging="360"/>
      </w:pPr>
      <w:rPr>
        <w:rFonts w:hint="default"/>
        <w:lang w:val="en-US" w:eastAsia="en-US" w:bidi="ar-SA"/>
      </w:rPr>
    </w:lvl>
  </w:abstractNum>
  <w:abstractNum w:abstractNumId="28" w15:restartNumberingAfterBreak="0">
    <w:nsid w:val="4A684B75"/>
    <w:multiLevelType w:val="hybridMultilevel"/>
    <w:tmpl w:val="21E6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E02AF9"/>
    <w:multiLevelType w:val="hybridMultilevel"/>
    <w:tmpl w:val="78FE0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A81C14"/>
    <w:multiLevelType w:val="hybridMultilevel"/>
    <w:tmpl w:val="9184E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F65419"/>
    <w:multiLevelType w:val="hybridMultilevel"/>
    <w:tmpl w:val="F170E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75536C"/>
    <w:multiLevelType w:val="hybridMultilevel"/>
    <w:tmpl w:val="3020846E"/>
    <w:lvl w:ilvl="0" w:tplc="7842F5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58780C"/>
    <w:multiLevelType w:val="hybridMultilevel"/>
    <w:tmpl w:val="7A8CADF4"/>
    <w:lvl w:ilvl="0" w:tplc="04090001">
      <w:start w:val="1"/>
      <w:numFmt w:val="bullet"/>
      <w:lvlText w:val=""/>
      <w:lvlJc w:val="left"/>
      <w:pPr>
        <w:ind w:left="1183" w:hanging="360"/>
      </w:pPr>
      <w:rPr>
        <w:rFonts w:ascii="Symbol" w:hAnsi="Symbol" w:hint="default"/>
      </w:rPr>
    </w:lvl>
    <w:lvl w:ilvl="1" w:tplc="04090003" w:tentative="1">
      <w:start w:val="1"/>
      <w:numFmt w:val="bullet"/>
      <w:lvlText w:val="o"/>
      <w:lvlJc w:val="left"/>
      <w:pPr>
        <w:ind w:left="1903" w:hanging="360"/>
      </w:pPr>
      <w:rPr>
        <w:rFonts w:ascii="Courier New" w:hAnsi="Courier New" w:cs="Courier New" w:hint="default"/>
      </w:rPr>
    </w:lvl>
    <w:lvl w:ilvl="2" w:tplc="04090005" w:tentative="1">
      <w:start w:val="1"/>
      <w:numFmt w:val="bullet"/>
      <w:lvlText w:val=""/>
      <w:lvlJc w:val="left"/>
      <w:pPr>
        <w:ind w:left="2623" w:hanging="360"/>
      </w:pPr>
      <w:rPr>
        <w:rFonts w:ascii="Wingdings" w:hAnsi="Wingdings" w:hint="default"/>
      </w:rPr>
    </w:lvl>
    <w:lvl w:ilvl="3" w:tplc="04090001" w:tentative="1">
      <w:start w:val="1"/>
      <w:numFmt w:val="bullet"/>
      <w:lvlText w:val=""/>
      <w:lvlJc w:val="left"/>
      <w:pPr>
        <w:ind w:left="3343" w:hanging="360"/>
      </w:pPr>
      <w:rPr>
        <w:rFonts w:ascii="Symbol" w:hAnsi="Symbol" w:hint="default"/>
      </w:rPr>
    </w:lvl>
    <w:lvl w:ilvl="4" w:tplc="04090003" w:tentative="1">
      <w:start w:val="1"/>
      <w:numFmt w:val="bullet"/>
      <w:lvlText w:val="o"/>
      <w:lvlJc w:val="left"/>
      <w:pPr>
        <w:ind w:left="4063" w:hanging="360"/>
      </w:pPr>
      <w:rPr>
        <w:rFonts w:ascii="Courier New" w:hAnsi="Courier New" w:cs="Courier New" w:hint="default"/>
      </w:rPr>
    </w:lvl>
    <w:lvl w:ilvl="5" w:tplc="04090005" w:tentative="1">
      <w:start w:val="1"/>
      <w:numFmt w:val="bullet"/>
      <w:lvlText w:val=""/>
      <w:lvlJc w:val="left"/>
      <w:pPr>
        <w:ind w:left="4783" w:hanging="360"/>
      </w:pPr>
      <w:rPr>
        <w:rFonts w:ascii="Wingdings" w:hAnsi="Wingdings" w:hint="default"/>
      </w:rPr>
    </w:lvl>
    <w:lvl w:ilvl="6" w:tplc="04090001" w:tentative="1">
      <w:start w:val="1"/>
      <w:numFmt w:val="bullet"/>
      <w:lvlText w:val=""/>
      <w:lvlJc w:val="left"/>
      <w:pPr>
        <w:ind w:left="5503" w:hanging="360"/>
      </w:pPr>
      <w:rPr>
        <w:rFonts w:ascii="Symbol" w:hAnsi="Symbol" w:hint="default"/>
      </w:rPr>
    </w:lvl>
    <w:lvl w:ilvl="7" w:tplc="04090003" w:tentative="1">
      <w:start w:val="1"/>
      <w:numFmt w:val="bullet"/>
      <w:lvlText w:val="o"/>
      <w:lvlJc w:val="left"/>
      <w:pPr>
        <w:ind w:left="6223" w:hanging="360"/>
      </w:pPr>
      <w:rPr>
        <w:rFonts w:ascii="Courier New" w:hAnsi="Courier New" w:cs="Courier New" w:hint="default"/>
      </w:rPr>
    </w:lvl>
    <w:lvl w:ilvl="8" w:tplc="04090005" w:tentative="1">
      <w:start w:val="1"/>
      <w:numFmt w:val="bullet"/>
      <w:lvlText w:val=""/>
      <w:lvlJc w:val="left"/>
      <w:pPr>
        <w:ind w:left="6943" w:hanging="360"/>
      </w:pPr>
      <w:rPr>
        <w:rFonts w:ascii="Wingdings" w:hAnsi="Wingdings" w:hint="default"/>
      </w:rPr>
    </w:lvl>
  </w:abstractNum>
  <w:abstractNum w:abstractNumId="34" w15:restartNumberingAfterBreak="0">
    <w:nsid w:val="612642D0"/>
    <w:multiLevelType w:val="hybridMultilevel"/>
    <w:tmpl w:val="CE984828"/>
    <w:lvl w:ilvl="0" w:tplc="46385A5C">
      <w:start w:val="1"/>
      <w:numFmt w:val="bullet"/>
      <w:lvlText w:val="-"/>
      <w:lvlJc w:val="left"/>
      <w:pPr>
        <w:ind w:left="823" w:hanging="360"/>
      </w:pPr>
      <w:rPr>
        <w:rFonts w:ascii="Avenir Next LT Pro" w:eastAsiaTheme="minorHAnsi" w:hAnsi="Avenir Next LT Pro" w:cstheme="minorBidi"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35" w15:restartNumberingAfterBreak="0">
    <w:nsid w:val="660A4CBD"/>
    <w:multiLevelType w:val="hybridMultilevel"/>
    <w:tmpl w:val="44225552"/>
    <w:lvl w:ilvl="0" w:tplc="27042A6E">
      <w:start w:val="2"/>
      <w:numFmt w:val="bullet"/>
      <w:lvlText w:val="-"/>
      <w:lvlJc w:val="left"/>
      <w:pPr>
        <w:ind w:left="1080" w:hanging="360"/>
      </w:pPr>
      <w:rPr>
        <w:rFonts w:ascii="Avenir Next LT Pro" w:eastAsiaTheme="minorHAnsi" w:hAnsi="Avenir Next LT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381B92"/>
    <w:multiLevelType w:val="hybridMultilevel"/>
    <w:tmpl w:val="71A0778A"/>
    <w:lvl w:ilvl="0" w:tplc="7C4E30F8">
      <w:start w:val="1"/>
      <w:numFmt w:val="decimal"/>
      <w:lvlText w:val="%1."/>
      <w:lvlJc w:val="left"/>
      <w:pPr>
        <w:ind w:left="823" w:hanging="360"/>
      </w:pPr>
      <w:rPr>
        <w:rFonts w:ascii="Avenir Next LT Pro" w:eastAsiaTheme="minorHAnsi" w:hAnsi="Avenir Next LT Pro" w:cstheme="minorBidi"/>
        <w:b w:val="0"/>
        <w:bCs w:val="0"/>
        <w:i/>
        <w:iCs/>
        <w:spacing w:val="0"/>
        <w:w w:val="100"/>
        <w:sz w:val="24"/>
        <w:szCs w:val="24"/>
        <w:lang w:val="en-US" w:eastAsia="en-US" w:bidi="ar-SA"/>
      </w:rPr>
    </w:lvl>
    <w:lvl w:ilvl="1" w:tplc="BD76CF24">
      <w:numFmt w:val="bullet"/>
      <w:lvlText w:val="•"/>
      <w:lvlJc w:val="left"/>
      <w:pPr>
        <w:ind w:left="1672" w:hanging="360"/>
      </w:pPr>
      <w:rPr>
        <w:rFonts w:hint="default"/>
        <w:lang w:val="en-US" w:eastAsia="en-US" w:bidi="ar-SA"/>
      </w:rPr>
    </w:lvl>
    <w:lvl w:ilvl="2" w:tplc="3E56DF8A">
      <w:numFmt w:val="bullet"/>
      <w:lvlText w:val="•"/>
      <w:lvlJc w:val="left"/>
      <w:pPr>
        <w:ind w:left="2524" w:hanging="360"/>
      </w:pPr>
      <w:rPr>
        <w:rFonts w:hint="default"/>
        <w:lang w:val="en-US" w:eastAsia="en-US" w:bidi="ar-SA"/>
      </w:rPr>
    </w:lvl>
    <w:lvl w:ilvl="3" w:tplc="530417E8">
      <w:numFmt w:val="bullet"/>
      <w:lvlText w:val="•"/>
      <w:lvlJc w:val="left"/>
      <w:pPr>
        <w:ind w:left="3376" w:hanging="360"/>
      </w:pPr>
      <w:rPr>
        <w:rFonts w:hint="default"/>
        <w:lang w:val="en-US" w:eastAsia="en-US" w:bidi="ar-SA"/>
      </w:rPr>
    </w:lvl>
    <w:lvl w:ilvl="4" w:tplc="748A5F88">
      <w:numFmt w:val="bullet"/>
      <w:lvlText w:val="•"/>
      <w:lvlJc w:val="left"/>
      <w:pPr>
        <w:ind w:left="4228" w:hanging="360"/>
      </w:pPr>
      <w:rPr>
        <w:rFonts w:hint="default"/>
        <w:lang w:val="en-US" w:eastAsia="en-US" w:bidi="ar-SA"/>
      </w:rPr>
    </w:lvl>
    <w:lvl w:ilvl="5" w:tplc="413ABB6A">
      <w:numFmt w:val="bullet"/>
      <w:lvlText w:val="•"/>
      <w:lvlJc w:val="left"/>
      <w:pPr>
        <w:ind w:left="5081" w:hanging="360"/>
      </w:pPr>
      <w:rPr>
        <w:rFonts w:hint="default"/>
        <w:lang w:val="en-US" w:eastAsia="en-US" w:bidi="ar-SA"/>
      </w:rPr>
    </w:lvl>
    <w:lvl w:ilvl="6" w:tplc="649C3818">
      <w:numFmt w:val="bullet"/>
      <w:lvlText w:val="•"/>
      <w:lvlJc w:val="left"/>
      <w:pPr>
        <w:ind w:left="5933" w:hanging="360"/>
      </w:pPr>
      <w:rPr>
        <w:rFonts w:hint="default"/>
        <w:lang w:val="en-US" w:eastAsia="en-US" w:bidi="ar-SA"/>
      </w:rPr>
    </w:lvl>
    <w:lvl w:ilvl="7" w:tplc="3A041B80">
      <w:numFmt w:val="bullet"/>
      <w:lvlText w:val="•"/>
      <w:lvlJc w:val="left"/>
      <w:pPr>
        <w:ind w:left="6785" w:hanging="360"/>
      </w:pPr>
      <w:rPr>
        <w:rFonts w:hint="default"/>
        <w:lang w:val="en-US" w:eastAsia="en-US" w:bidi="ar-SA"/>
      </w:rPr>
    </w:lvl>
    <w:lvl w:ilvl="8" w:tplc="79B4640E">
      <w:numFmt w:val="bullet"/>
      <w:lvlText w:val="•"/>
      <w:lvlJc w:val="left"/>
      <w:pPr>
        <w:ind w:left="7637" w:hanging="360"/>
      </w:pPr>
      <w:rPr>
        <w:rFonts w:hint="default"/>
        <w:lang w:val="en-US" w:eastAsia="en-US" w:bidi="ar-SA"/>
      </w:rPr>
    </w:lvl>
  </w:abstractNum>
  <w:abstractNum w:abstractNumId="37" w15:restartNumberingAfterBreak="0">
    <w:nsid w:val="6BAB41EA"/>
    <w:multiLevelType w:val="hybridMultilevel"/>
    <w:tmpl w:val="E2E645D6"/>
    <w:lvl w:ilvl="0" w:tplc="A43C1402">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F0B4B7AA">
      <w:numFmt w:val="bullet"/>
      <w:lvlText w:val="•"/>
      <w:lvlJc w:val="left"/>
      <w:pPr>
        <w:ind w:left="1672" w:hanging="360"/>
      </w:pPr>
      <w:rPr>
        <w:rFonts w:hint="default"/>
        <w:lang w:val="en-US" w:eastAsia="en-US" w:bidi="ar-SA"/>
      </w:rPr>
    </w:lvl>
    <w:lvl w:ilvl="2" w:tplc="A156F56C">
      <w:numFmt w:val="bullet"/>
      <w:lvlText w:val="•"/>
      <w:lvlJc w:val="left"/>
      <w:pPr>
        <w:ind w:left="2524" w:hanging="360"/>
      </w:pPr>
      <w:rPr>
        <w:rFonts w:hint="default"/>
        <w:lang w:val="en-US" w:eastAsia="en-US" w:bidi="ar-SA"/>
      </w:rPr>
    </w:lvl>
    <w:lvl w:ilvl="3" w:tplc="ECF65D1C">
      <w:numFmt w:val="bullet"/>
      <w:lvlText w:val="•"/>
      <w:lvlJc w:val="left"/>
      <w:pPr>
        <w:ind w:left="3376" w:hanging="360"/>
      </w:pPr>
      <w:rPr>
        <w:rFonts w:hint="default"/>
        <w:lang w:val="en-US" w:eastAsia="en-US" w:bidi="ar-SA"/>
      </w:rPr>
    </w:lvl>
    <w:lvl w:ilvl="4" w:tplc="709A51C4">
      <w:numFmt w:val="bullet"/>
      <w:lvlText w:val="•"/>
      <w:lvlJc w:val="left"/>
      <w:pPr>
        <w:ind w:left="4228" w:hanging="360"/>
      </w:pPr>
      <w:rPr>
        <w:rFonts w:hint="default"/>
        <w:lang w:val="en-US" w:eastAsia="en-US" w:bidi="ar-SA"/>
      </w:rPr>
    </w:lvl>
    <w:lvl w:ilvl="5" w:tplc="267A8206">
      <w:numFmt w:val="bullet"/>
      <w:lvlText w:val="•"/>
      <w:lvlJc w:val="left"/>
      <w:pPr>
        <w:ind w:left="5081" w:hanging="360"/>
      </w:pPr>
      <w:rPr>
        <w:rFonts w:hint="default"/>
        <w:lang w:val="en-US" w:eastAsia="en-US" w:bidi="ar-SA"/>
      </w:rPr>
    </w:lvl>
    <w:lvl w:ilvl="6" w:tplc="80605184">
      <w:numFmt w:val="bullet"/>
      <w:lvlText w:val="•"/>
      <w:lvlJc w:val="left"/>
      <w:pPr>
        <w:ind w:left="5933" w:hanging="360"/>
      </w:pPr>
      <w:rPr>
        <w:rFonts w:hint="default"/>
        <w:lang w:val="en-US" w:eastAsia="en-US" w:bidi="ar-SA"/>
      </w:rPr>
    </w:lvl>
    <w:lvl w:ilvl="7" w:tplc="B24205E6">
      <w:numFmt w:val="bullet"/>
      <w:lvlText w:val="•"/>
      <w:lvlJc w:val="left"/>
      <w:pPr>
        <w:ind w:left="6785" w:hanging="360"/>
      </w:pPr>
      <w:rPr>
        <w:rFonts w:hint="default"/>
        <w:lang w:val="en-US" w:eastAsia="en-US" w:bidi="ar-SA"/>
      </w:rPr>
    </w:lvl>
    <w:lvl w:ilvl="8" w:tplc="9E2C8234">
      <w:numFmt w:val="bullet"/>
      <w:lvlText w:val="•"/>
      <w:lvlJc w:val="left"/>
      <w:pPr>
        <w:ind w:left="7637" w:hanging="360"/>
      </w:pPr>
      <w:rPr>
        <w:rFonts w:hint="default"/>
        <w:lang w:val="en-US" w:eastAsia="en-US" w:bidi="ar-SA"/>
      </w:rPr>
    </w:lvl>
  </w:abstractNum>
  <w:abstractNum w:abstractNumId="38" w15:restartNumberingAfterBreak="0">
    <w:nsid w:val="6DAE7679"/>
    <w:multiLevelType w:val="hybridMultilevel"/>
    <w:tmpl w:val="8DDC9788"/>
    <w:lvl w:ilvl="0" w:tplc="B9E4F9D0">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4F3C244E">
      <w:numFmt w:val="bullet"/>
      <w:lvlText w:val="•"/>
      <w:lvlJc w:val="left"/>
      <w:pPr>
        <w:ind w:left="1672" w:hanging="360"/>
      </w:pPr>
      <w:rPr>
        <w:rFonts w:hint="default"/>
        <w:lang w:val="en-US" w:eastAsia="en-US" w:bidi="ar-SA"/>
      </w:rPr>
    </w:lvl>
    <w:lvl w:ilvl="2" w:tplc="130CFB90">
      <w:numFmt w:val="bullet"/>
      <w:lvlText w:val="•"/>
      <w:lvlJc w:val="left"/>
      <w:pPr>
        <w:ind w:left="2524" w:hanging="360"/>
      </w:pPr>
      <w:rPr>
        <w:rFonts w:hint="default"/>
        <w:lang w:val="en-US" w:eastAsia="en-US" w:bidi="ar-SA"/>
      </w:rPr>
    </w:lvl>
    <w:lvl w:ilvl="3" w:tplc="684A73EA">
      <w:numFmt w:val="bullet"/>
      <w:lvlText w:val="•"/>
      <w:lvlJc w:val="left"/>
      <w:pPr>
        <w:ind w:left="3376" w:hanging="360"/>
      </w:pPr>
      <w:rPr>
        <w:rFonts w:hint="default"/>
        <w:lang w:val="en-US" w:eastAsia="en-US" w:bidi="ar-SA"/>
      </w:rPr>
    </w:lvl>
    <w:lvl w:ilvl="4" w:tplc="5CE0950A">
      <w:numFmt w:val="bullet"/>
      <w:lvlText w:val="•"/>
      <w:lvlJc w:val="left"/>
      <w:pPr>
        <w:ind w:left="4228" w:hanging="360"/>
      </w:pPr>
      <w:rPr>
        <w:rFonts w:hint="default"/>
        <w:lang w:val="en-US" w:eastAsia="en-US" w:bidi="ar-SA"/>
      </w:rPr>
    </w:lvl>
    <w:lvl w:ilvl="5" w:tplc="4E487852">
      <w:numFmt w:val="bullet"/>
      <w:lvlText w:val="•"/>
      <w:lvlJc w:val="left"/>
      <w:pPr>
        <w:ind w:left="5081" w:hanging="360"/>
      </w:pPr>
      <w:rPr>
        <w:rFonts w:hint="default"/>
        <w:lang w:val="en-US" w:eastAsia="en-US" w:bidi="ar-SA"/>
      </w:rPr>
    </w:lvl>
    <w:lvl w:ilvl="6" w:tplc="67C44B36">
      <w:numFmt w:val="bullet"/>
      <w:lvlText w:val="•"/>
      <w:lvlJc w:val="left"/>
      <w:pPr>
        <w:ind w:left="5933" w:hanging="360"/>
      </w:pPr>
      <w:rPr>
        <w:rFonts w:hint="default"/>
        <w:lang w:val="en-US" w:eastAsia="en-US" w:bidi="ar-SA"/>
      </w:rPr>
    </w:lvl>
    <w:lvl w:ilvl="7" w:tplc="B148A91A">
      <w:numFmt w:val="bullet"/>
      <w:lvlText w:val="•"/>
      <w:lvlJc w:val="left"/>
      <w:pPr>
        <w:ind w:left="6785" w:hanging="360"/>
      </w:pPr>
      <w:rPr>
        <w:rFonts w:hint="default"/>
        <w:lang w:val="en-US" w:eastAsia="en-US" w:bidi="ar-SA"/>
      </w:rPr>
    </w:lvl>
    <w:lvl w:ilvl="8" w:tplc="BB206358">
      <w:numFmt w:val="bullet"/>
      <w:lvlText w:val="•"/>
      <w:lvlJc w:val="left"/>
      <w:pPr>
        <w:ind w:left="7637" w:hanging="360"/>
      </w:pPr>
      <w:rPr>
        <w:rFonts w:hint="default"/>
        <w:lang w:val="en-US" w:eastAsia="en-US" w:bidi="ar-SA"/>
      </w:rPr>
    </w:lvl>
  </w:abstractNum>
  <w:abstractNum w:abstractNumId="39" w15:restartNumberingAfterBreak="0">
    <w:nsid w:val="75841581"/>
    <w:multiLevelType w:val="hybridMultilevel"/>
    <w:tmpl w:val="485C658A"/>
    <w:lvl w:ilvl="0" w:tplc="C3F06322">
      <w:numFmt w:val="bullet"/>
      <w:lvlText w:val=""/>
      <w:lvlJc w:val="left"/>
      <w:pPr>
        <w:ind w:left="823" w:hanging="360"/>
      </w:pPr>
      <w:rPr>
        <w:rFonts w:ascii="Symbol" w:eastAsia="Symbol" w:hAnsi="Symbol" w:cs="Symbol" w:hint="default"/>
        <w:b w:val="0"/>
        <w:bCs w:val="0"/>
        <w:i w:val="0"/>
        <w:iCs w:val="0"/>
        <w:spacing w:val="0"/>
        <w:w w:val="100"/>
        <w:sz w:val="24"/>
        <w:szCs w:val="24"/>
        <w:lang w:val="en-US" w:eastAsia="en-US" w:bidi="ar-SA"/>
      </w:rPr>
    </w:lvl>
    <w:lvl w:ilvl="1" w:tplc="A3C0954E">
      <w:numFmt w:val="bullet"/>
      <w:lvlText w:val="•"/>
      <w:lvlJc w:val="left"/>
      <w:pPr>
        <w:ind w:left="1672" w:hanging="360"/>
      </w:pPr>
      <w:rPr>
        <w:rFonts w:hint="default"/>
        <w:lang w:val="en-US" w:eastAsia="en-US" w:bidi="ar-SA"/>
      </w:rPr>
    </w:lvl>
    <w:lvl w:ilvl="2" w:tplc="5E7AE0C8">
      <w:numFmt w:val="bullet"/>
      <w:lvlText w:val="•"/>
      <w:lvlJc w:val="left"/>
      <w:pPr>
        <w:ind w:left="2524" w:hanging="360"/>
      </w:pPr>
      <w:rPr>
        <w:rFonts w:hint="default"/>
        <w:lang w:val="en-US" w:eastAsia="en-US" w:bidi="ar-SA"/>
      </w:rPr>
    </w:lvl>
    <w:lvl w:ilvl="3" w:tplc="EA22BB46">
      <w:numFmt w:val="bullet"/>
      <w:lvlText w:val="•"/>
      <w:lvlJc w:val="left"/>
      <w:pPr>
        <w:ind w:left="3376" w:hanging="360"/>
      </w:pPr>
      <w:rPr>
        <w:rFonts w:hint="default"/>
        <w:lang w:val="en-US" w:eastAsia="en-US" w:bidi="ar-SA"/>
      </w:rPr>
    </w:lvl>
    <w:lvl w:ilvl="4" w:tplc="ECDA2F9C">
      <w:numFmt w:val="bullet"/>
      <w:lvlText w:val="•"/>
      <w:lvlJc w:val="left"/>
      <w:pPr>
        <w:ind w:left="4228" w:hanging="360"/>
      </w:pPr>
      <w:rPr>
        <w:rFonts w:hint="default"/>
        <w:lang w:val="en-US" w:eastAsia="en-US" w:bidi="ar-SA"/>
      </w:rPr>
    </w:lvl>
    <w:lvl w:ilvl="5" w:tplc="F0F69F46">
      <w:numFmt w:val="bullet"/>
      <w:lvlText w:val="•"/>
      <w:lvlJc w:val="left"/>
      <w:pPr>
        <w:ind w:left="5081" w:hanging="360"/>
      </w:pPr>
      <w:rPr>
        <w:rFonts w:hint="default"/>
        <w:lang w:val="en-US" w:eastAsia="en-US" w:bidi="ar-SA"/>
      </w:rPr>
    </w:lvl>
    <w:lvl w:ilvl="6" w:tplc="B23C3BD4">
      <w:numFmt w:val="bullet"/>
      <w:lvlText w:val="•"/>
      <w:lvlJc w:val="left"/>
      <w:pPr>
        <w:ind w:left="5933" w:hanging="360"/>
      </w:pPr>
      <w:rPr>
        <w:rFonts w:hint="default"/>
        <w:lang w:val="en-US" w:eastAsia="en-US" w:bidi="ar-SA"/>
      </w:rPr>
    </w:lvl>
    <w:lvl w:ilvl="7" w:tplc="8C2603A0">
      <w:numFmt w:val="bullet"/>
      <w:lvlText w:val="•"/>
      <w:lvlJc w:val="left"/>
      <w:pPr>
        <w:ind w:left="6785" w:hanging="360"/>
      </w:pPr>
      <w:rPr>
        <w:rFonts w:hint="default"/>
        <w:lang w:val="en-US" w:eastAsia="en-US" w:bidi="ar-SA"/>
      </w:rPr>
    </w:lvl>
    <w:lvl w:ilvl="8" w:tplc="6D1C47AE">
      <w:numFmt w:val="bullet"/>
      <w:lvlText w:val="•"/>
      <w:lvlJc w:val="left"/>
      <w:pPr>
        <w:ind w:left="7637" w:hanging="360"/>
      </w:pPr>
      <w:rPr>
        <w:rFonts w:hint="default"/>
        <w:lang w:val="en-US" w:eastAsia="en-US" w:bidi="ar-SA"/>
      </w:rPr>
    </w:lvl>
  </w:abstractNum>
  <w:abstractNum w:abstractNumId="40" w15:restartNumberingAfterBreak="0">
    <w:nsid w:val="7946550D"/>
    <w:multiLevelType w:val="hybridMultilevel"/>
    <w:tmpl w:val="11D80E52"/>
    <w:lvl w:ilvl="0" w:tplc="D512B42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2CED9F4">
      <w:numFmt w:val="bullet"/>
      <w:lvlText w:val="•"/>
      <w:lvlJc w:val="left"/>
      <w:pPr>
        <w:ind w:left="1980" w:hanging="360"/>
      </w:pPr>
      <w:rPr>
        <w:rFonts w:hint="default"/>
        <w:lang w:val="en-US" w:eastAsia="en-US" w:bidi="ar-SA"/>
      </w:rPr>
    </w:lvl>
    <w:lvl w:ilvl="2" w:tplc="08B6A6CC">
      <w:numFmt w:val="bullet"/>
      <w:lvlText w:val="•"/>
      <w:lvlJc w:val="left"/>
      <w:pPr>
        <w:ind w:left="2880" w:hanging="360"/>
      </w:pPr>
      <w:rPr>
        <w:rFonts w:hint="default"/>
        <w:lang w:val="en-US" w:eastAsia="en-US" w:bidi="ar-SA"/>
      </w:rPr>
    </w:lvl>
    <w:lvl w:ilvl="3" w:tplc="5DC48A1C">
      <w:numFmt w:val="bullet"/>
      <w:lvlText w:val="•"/>
      <w:lvlJc w:val="left"/>
      <w:pPr>
        <w:ind w:left="3780" w:hanging="360"/>
      </w:pPr>
      <w:rPr>
        <w:rFonts w:hint="default"/>
        <w:lang w:val="en-US" w:eastAsia="en-US" w:bidi="ar-SA"/>
      </w:rPr>
    </w:lvl>
    <w:lvl w:ilvl="4" w:tplc="F2B25B4E">
      <w:numFmt w:val="bullet"/>
      <w:lvlText w:val="•"/>
      <w:lvlJc w:val="left"/>
      <w:pPr>
        <w:ind w:left="4680" w:hanging="360"/>
      </w:pPr>
      <w:rPr>
        <w:rFonts w:hint="default"/>
        <w:lang w:val="en-US" w:eastAsia="en-US" w:bidi="ar-SA"/>
      </w:rPr>
    </w:lvl>
    <w:lvl w:ilvl="5" w:tplc="259C40EC">
      <w:numFmt w:val="bullet"/>
      <w:lvlText w:val="•"/>
      <w:lvlJc w:val="left"/>
      <w:pPr>
        <w:ind w:left="5580" w:hanging="360"/>
      </w:pPr>
      <w:rPr>
        <w:rFonts w:hint="default"/>
        <w:lang w:val="en-US" w:eastAsia="en-US" w:bidi="ar-SA"/>
      </w:rPr>
    </w:lvl>
    <w:lvl w:ilvl="6" w:tplc="EDEC1F8C">
      <w:numFmt w:val="bullet"/>
      <w:lvlText w:val="•"/>
      <w:lvlJc w:val="left"/>
      <w:pPr>
        <w:ind w:left="6480" w:hanging="360"/>
      </w:pPr>
      <w:rPr>
        <w:rFonts w:hint="default"/>
        <w:lang w:val="en-US" w:eastAsia="en-US" w:bidi="ar-SA"/>
      </w:rPr>
    </w:lvl>
    <w:lvl w:ilvl="7" w:tplc="82128C98">
      <w:numFmt w:val="bullet"/>
      <w:lvlText w:val="•"/>
      <w:lvlJc w:val="left"/>
      <w:pPr>
        <w:ind w:left="7380" w:hanging="360"/>
      </w:pPr>
      <w:rPr>
        <w:rFonts w:hint="default"/>
        <w:lang w:val="en-US" w:eastAsia="en-US" w:bidi="ar-SA"/>
      </w:rPr>
    </w:lvl>
    <w:lvl w:ilvl="8" w:tplc="2C504F92">
      <w:numFmt w:val="bullet"/>
      <w:lvlText w:val="•"/>
      <w:lvlJc w:val="left"/>
      <w:pPr>
        <w:ind w:left="8280" w:hanging="360"/>
      </w:pPr>
      <w:rPr>
        <w:rFonts w:hint="default"/>
        <w:lang w:val="en-US" w:eastAsia="en-US" w:bidi="ar-SA"/>
      </w:rPr>
    </w:lvl>
  </w:abstractNum>
  <w:num w:numId="1" w16cid:durableId="2044554274">
    <w:abstractNumId w:val="5"/>
  </w:num>
  <w:num w:numId="2" w16cid:durableId="1814831486">
    <w:abstractNumId w:val="10"/>
  </w:num>
  <w:num w:numId="3" w16cid:durableId="1192375817">
    <w:abstractNumId w:val="26"/>
  </w:num>
  <w:num w:numId="4" w16cid:durableId="840506995">
    <w:abstractNumId w:val="30"/>
  </w:num>
  <w:num w:numId="5" w16cid:durableId="680854422">
    <w:abstractNumId w:val="29"/>
  </w:num>
  <w:num w:numId="6" w16cid:durableId="1159274992">
    <w:abstractNumId w:val="9"/>
  </w:num>
  <w:num w:numId="7" w16cid:durableId="69738460">
    <w:abstractNumId w:val="0"/>
  </w:num>
  <w:num w:numId="8" w16cid:durableId="172498907">
    <w:abstractNumId w:val="19"/>
  </w:num>
  <w:num w:numId="9" w16cid:durableId="620108203">
    <w:abstractNumId w:val="31"/>
  </w:num>
  <w:num w:numId="10" w16cid:durableId="605508167">
    <w:abstractNumId w:val="32"/>
  </w:num>
  <w:num w:numId="11" w16cid:durableId="120805136">
    <w:abstractNumId w:val="21"/>
  </w:num>
  <w:num w:numId="12" w16cid:durableId="1237203827">
    <w:abstractNumId w:val="7"/>
  </w:num>
  <w:num w:numId="13" w16cid:durableId="2072776686">
    <w:abstractNumId w:val="37"/>
  </w:num>
  <w:num w:numId="14" w16cid:durableId="1788544043">
    <w:abstractNumId w:val="1"/>
  </w:num>
  <w:num w:numId="15" w16cid:durableId="1336106916">
    <w:abstractNumId w:val="3"/>
  </w:num>
  <w:num w:numId="16" w16cid:durableId="1803964450">
    <w:abstractNumId w:val="38"/>
  </w:num>
  <w:num w:numId="17" w16cid:durableId="1355962223">
    <w:abstractNumId w:val="40"/>
  </w:num>
  <w:num w:numId="18" w16cid:durableId="1713192917">
    <w:abstractNumId w:val="13"/>
  </w:num>
  <w:num w:numId="19" w16cid:durableId="653611025">
    <w:abstractNumId w:val="27"/>
  </w:num>
  <w:num w:numId="20" w16cid:durableId="880365644">
    <w:abstractNumId w:val="20"/>
  </w:num>
  <w:num w:numId="21" w16cid:durableId="101266893">
    <w:abstractNumId w:val="16"/>
  </w:num>
  <w:num w:numId="22" w16cid:durableId="1873153106">
    <w:abstractNumId w:val="22"/>
  </w:num>
  <w:num w:numId="23" w16cid:durableId="2076275888">
    <w:abstractNumId w:val="25"/>
  </w:num>
  <w:num w:numId="24" w16cid:durableId="257641560">
    <w:abstractNumId w:val="15"/>
  </w:num>
  <w:num w:numId="25" w16cid:durableId="260334301">
    <w:abstractNumId w:val="23"/>
  </w:num>
  <w:num w:numId="26" w16cid:durableId="434518111">
    <w:abstractNumId w:val="35"/>
  </w:num>
  <w:num w:numId="27" w16cid:durableId="246155305">
    <w:abstractNumId w:val="28"/>
  </w:num>
  <w:num w:numId="28" w16cid:durableId="1646930082">
    <w:abstractNumId w:val="39"/>
  </w:num>
  <w:num w:numId="29" w16cid:durableId="1090853060">
    <w:abstractNumId w:val="6"/>
  </w:num>
  <w:num w:numId="30" w16cid:durableId="607154520">
    <w:abstractNumId w:val="4"/>
  </w:num>
  <w:num w:numId="31" w16cid:durableId="374159345">
    <w:abstractNumId w:val="36"/>
  </w:num>
  <w:num w:numId="32" w16cid:durableId="1295405552">
    <w:abstractNumId w:val="12"/>
  </w:num>
  <w:num w:numId="33" w16cid:durableId="96869106">
    <w:abstractNumId w:val="33"/>
  </w:num>
  <w:num w:numId="34" w16cid:durableId="14968112">
    <w:abstractNumId w:val="34"/>
  </w:num>
  <w:num w:numId="35" w16cid:durableId="1218123941">
    <w:abstractNumId w:val="11"/>
  </w:num>
  <w:num w:numId="36" w16cid:durableId="455610998">
    <w:abstractNumId w:val="8"/>
  </w:num>
  <w:num w:numId="37" w16cid:durableId="1583488758">
    <w:abstractNumId w:val="14"/>
  </w:num>
  <w:num w:numId="38" w16cid:durableId="332611020">
    <w:abstractNumId w:val="2"/>
  </w:num>
  <w:num w:numId="39" w16cid:durableId="390811798">
    <w:abstractNumId w:val="24"/>
  </w:num>
  <w:num w:numId="40" w16cid:durableId="1028218711">
    <w:abstractNumId w:val="17"/>
  </w:num>
  <w:num w:numId="41" w16cid:durableId="431409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09"/>
    <w:rsid w:val="000001F9"/>
    <w:rsid w:val="00000507"/>
    <w:rsid w:val="000006B5"/>
    <w:rsid w:val="000012B7"/>
    <w:rsid w:val="00001624"/>
    <w:rsid w:val="00001BFD"/>
    <w:rsid w:val="00001D9E"/>
    <w:rsid w:val="000022E8"/>
    <w:rsid w:val="00002A3B"/>
    <w:rsid w:val="00003193"/>
    <w:rsid w:val="00003544"/>
    <w:rsid w:val="00003E8C"/>
    <w:rsid w:val="00003FF6"/>
    <w:rsid w:val="000043A9"/>
    <w:rsid w:val="000046AA"/>
    <w:rsid w:val="000046B4"/>
    <w:rsid w:val="00004912"/>
    <w:rsid w:val="00004FCF"/>
    <w:rsid w:val="00005088"/>
    <w:rsid w:val="00005A70"/>
    <w:rsid w:val="0000600F"/>
    <w:rsid w:val="000061AE"/>
    <w:rsid w:val="00007503"/>
    <w:rsid w:val="00007F43"/>
    <w:rsid w:val="00010132"/>
    <w:rsid w:val="000102C7"/>
    <w:rsid w:val="000103FA"/>
    <w:rsid w:val="000119FB"/>
    <w:rsid w:val="00011B4B"/>
    <w:rsid w:val="00011C77"/>
    <w:rsid w:val="0001271F"/>
    <w:rsid w:val="00012B73"/>
    <w:rsid w:val="00012D63"/>
    <w:rsid w:val="00012FF5"/>
    <w:rsid w:val="000133A4"/>
    <w:rsid w:val="00013D05"/>
    <w:rsid w:val="00013EC1"/>
    <w:rsid w:val="000143B2"/>
    <w:rsid w:val="00014FC3"/>
    <w:rsid w:val="000151A3"/>
    <w:rsid w:val="000158CA"/>
    <w:rsid w:val="00015B41"/>
    <w:rsid w:val="00015CC8"/>
    <w:rsid w:val="000168DE"/>
    <w:rsid w:val="00016969"/>
    <w:rsid w:val="00016A2A"/>
    <w:rsid w:val="00016FC5"/>
    <w:rsid w:val="00017416"/>
    <w:rsid w:val="000174A5"/>
    <w:rsid w:val="00017CB6"/>
    <w:rsid w:val="00017CF3"/>
    <w:rsid w:val="00020084"/>
    <w:rsid w:val="00020F88"/>
    <w:rsid w:val="00020FFD"/>
    <w:rsid w:val="00021293"/>
    <w:rsid w:val="00021566"/>
    <w:rsid w:val="00021FD3"/>
    <w:rsid w:val="000220FE"/>
    <w:rsid w:val="0002212E"/>
    <w:rsid w:val="00022591"/>
    <w:rsid w:val="00022634"/>
    <w:rsid w:val="0002359E"/>
    <w:rsid w:val="00023692"/>
    <w:rsid w:val="00023CBE"/>
    <w:rsid w:val="00023F70"/>
    <w:rsid w:val="000244D4"/>
    <w:rsid w:val="00024E0D"/>
    <w:rsid w:val="0002508D"/>
    <w:rsid w:val="00025B9F"/>
    <w:rsid w:val="00025DEB"/>
    <w:rsid w:val="00025E84"/>
    <w:rsid w:val="00025F29"/>
    <w:rsid w:val="000262EF"/>
    <w:rsid w:val="00026A71"/>
    <w:rsid w:val="00026B61"/>
    <w:rsid w:val="000304C0"/>
    <w:rsid w:val="00031017"/>
    <w:rsid w:val="00031690"/>
    <w:rsid w:val="00031D6F"/>
    <w:rsid w:val="000321E7"/>
    <w:rsid w:val="000336D2"/>
    <w:rsid w:val="0003393E"/>
    <w:rsid w:val="00034667"/>
    <w:rsid w:val="00036060"/>
    <w:rsid w:val="0003742B"/>
    <w:rsid w:val="00037C3A"/>
    <w:rsid w:val="00037D9D"/>
    <w:rsid w:val="00040067"/>
    <w:rsid w:val="0004006D"/>
    <w:rsid w:val="0004074F"/>
    <w:rsid w:val="0004110F"/>
    <w:rsid w:val="0004143D"/>
    <w:rsid w:val="00041B35"/>
    <w:rsid w:val="000426A3"/>
    <w:rsid w:val="00042D33"/>
    <w:rsid w:val="000431B9"/>
    <w:rsid w:val="000435F8"/>
    <w:rsid w:val="0004450C"/>
    <w:rsid w:val="00045084"/>
    <w:rsid w:val="00045423"/>
    <w:rsid w:val="00045533"/>
    <w:rsid w:val="000455D0"/>
    <w:rsid w:val="00045D22"/>
    <w:rsid w:val="0004606B"/>
    <w:rsid w:val="00046176"/>
    <w:rsid w:val="000468D6"/>
    <w:rsid w:val="00047104"/>
    <w:rsid w:val="0004716B"/>
    <w:rsid w:val="000472E7"/>
    <w:rsid w:val="000476D2"/>
    <w:rsid w:val="000479F8"/>
    <w:rsid w:val="00047E8E"/>
    <w:rsid w:val="000501CC"/>
    <w:rsid w:val="000508BD"/>
    <w:rsid w:val="00050C80"/>
    <w:rsid w:val="00051232"/>
    <w:rsid w:val="0005141D"/>
    <w:rsid w:val="00051707"/>
    <w:rsid w:val="000518BF"/>
    <w:rsid w:val="00051997"/>
    <w:rsid w:val="00051D4F"/>
    <w:rsid w:val="0005285C"/>
    <w:rsid w:val="00052F92"/>
    <w:rsid w:val="00052FB1"/>
    <w:rsid w:val="00053660"/>
    <w:rsid w:val="000536C3"/>
    <w:rsid w:val="000539BC"/>
    <w:rsid w:val="00053BF1"/>
    <w:rsid w:val="00053DCE"/>
    <w:rsid w:val="000544D8"/>
    <w:rsid w:val="0005486D"/>
    <w:rsid w:val="00054EAB"/>
    <w:rsid w:val="00054F2C"/>
    <w:rsid w:val="0005525B"/>
    <w:rsid w:val="000557A6"/>
    <w:rsid w:val="00055A54"/>
    <w:rsid w:val="00055C1D"/>
    <w:rsid w:val="000560B8"/>
    <w:rsid w:val="000563F7"/>
    <w:rsid w:val="00056598"/>
    <w:rsid w:val="0005667A"/>
    <w:rsid w:val="00056683"/>
    <w:rsid w:val="000566BD"/>
    <w:rsid w:val="00056830"/>
    <w:rsid w:val="00056C70"/>
    <w:rsid w:val="00057124"/>
    <w:rsid w:val="0005786C"/>
    <w:rsid w:val="000579E1"/>
    <w:rsid w:val="000604F1"/>
    <w:rsid w:val="0006064B"/>
    <w:rsid w:val="000617CC"/>
    <w:rsid w:val="00061C5D"/>
    <w:rsid w:val="00061C5F"/>
    <w:rsid w:val="00061D84"/>
    <w:rsid w:val="000629C0"/>
    <w:rsid w:val="000647C6"/>
    <w:rsid w:val="000658D5"/>
    <w:rsid w:val="00065CF0"/>
    <w:rsid w:val="00066296"/>
    <w:rsid w:val="0006687F"/>
    <w:rsid w:val="00066BD2"/>
    <w:rsid w:val="0006700E"/>
    <w:rsid w:val="000673B2"/>
    <w:rsid w:val="0006763C"/>
    <w:rsid w:val="000677CE"/>
    <w:rsid w:val="00067AA9"/>
    <w:rsid w:val="00070434"/>
    <w:rsid w:val="00070A4A"/>
    <w:rsid w:val="00070AEA"/>
    <w:rsid w:val="00071124"/>
    <w:rsid w:val="00071A0F"/>
    <w:rsid w:val="00071C70"/>
    <w:rsid w:val="00071D2D"/>
    <w:rsid w:val="00071DEE"/>
    <w:rsid w:val="00071FB5"/>
    <w:rsid w:val="0007202B"/>
    <w:rsid w:val="00072636"/>
    <w:rsid w:val="00073098"/>
    <w:rsid w:val="000732E7"/>
    <w:rsid w:val="00073475"/>
    <w:rsid w:val="000736DC"/>
    <w:rsid w:val="000739AF"/>
    <w:rsid w:val="00073B70"/>
    <w:rsid w:val="00073FD1"/>
    <w:rsid w:val="00074A29"/>
    <w:rsid w:val="00075B38"/>
    <w:rsid w:val="00076F98"/>
    <w:rsid w:val="00077054"/>
    <w:rsid w:val="00077825"/>
    <w:rsid w:val="00077A2C"/>
    <w:rsid w:val="0008016C"/>
    <w:rsid w:val="000809BE"/>
    <w:rsid w:val="00081484"/>
    <w:rsid w:val="0008167A"/>
    <w:rsid w:val="0008174C"/>
    <w:rsid w:val="00081A34"/>
    <w:rsid w:val="00081A84"/>
    <w:rsid w:val="00083712"/>
    <w:rsid w:val="00083B7B"/>
    <w:rsid w:val="00083D00"/>
    <w:rsid w:val="0008461E"/>
    <w:rsid w:val="000852F3"/>
    <w:rsid w:val="0008537A"/>
    <w:rsid w:val="000859DE"/>
    <w:rsid w:val="00085C93"/>
    <w:rsid w:val="00085CAF"/>
    <w:rsid w:val="0008640F"/>
    <w:rsid w:val="0008666F"/>
    <w:rsid w:val="00087343"/>
    <w:rsid w:val="00087685"/>
    <w:rsid w:val="00087C0A"/>
    <w:rsid w:val="00090EB8"/>
    <w:rsid w:val="000913F2"/>
    <w:rsid w:val="00093CD6"/>
    <w:rsid w:val="00094626"/>
    <w:rsid w:val="000946E6"/>
    <w:rsid w:val="00094724"/>
    <w:rsid w:val="00095BB3"/>
    <w:rsid w:val="000962EC"/>
    <w:rsid w:val="00096F0B"/>
    <w:rsid w:val="000972FC"/>
    <w:rsid w:val="00097395"/>
    <w:rsid w:val="000A021E"/>
    <w:rsid w:val="000A052D"/>
    <w:rsid w:val="000A0748"/>
    <w:rsid w:val="000A126D"/>
    <w:rsid w:val="000A381D"/>
    <w:rsid w:val="000A3CF3"/>
    <w:rsid w:val="000A4E9A"/>
    <w:rsid w:val="000A5435"/>
    <w:rsid w:val="000A5533"/>
    <w:rsid w:val="000A5E87"/>
    <w:rsid w:val="000A6198"/>
    <w:rsid w:val="000A6545"/>
    <w:rsid w:val="000A6E4F"/>
    <w:rsid w:val="000A7A92"/>
    <w:rsid w:val="000A7F57"/>
    <w:rsid w:val="000B01BD"/>
    <w:rsid w:val="000B02A6"/>
    <w:rsid w:val="000B046F"/>
    <w:rsid w:val="000B0C14"/>
    <w:rsid w:val="000B158D"/>
    <w:rsid w:val="000B2435"/>
    <w:rsid w:val="000B28D6"/>
    <w:rsid w:val="000B2A32"/>
    <w:rsid w:val="000B3649"/>
    <w:rsid w:val="000B3701"/>
    <w:rsid w:val="000B3BA0"/>
    <w:rsid w:val="000B50A5"/>
    <w:rsid w:val="000B5505"/>
    <w:rsid w:val="000B5614"/>
    <w:rsid w:val="000B5D46"/>
    <w:rsid w:val="000B6990"/>
    <w:rsid w:val="000B6BD9"/>
    <w:rsid w:val="000B6C66"/>
    <w:rsid w:val="000B75B4"/>
    <w:rsid w:val="000B76C1"/>
    <w:rsid w:val="000C1271"/>
    <w:rsid w:val="000C16E2"/>
    <w:rsid w:val="000C1BE9"/>
    <w:rsid w:val="000C3873"/>
    <w:rsid w:val="000C47E6"/>
    <w:rsid w:val="000C48DF"/>
    <w:rsid w:val="000C4AE8"/>
    <w:rsid w:val="000C5A14"/>
    <w:rsid w:val="000C600F"/>
    <w:rsid w:val="000C6221"/>
    <w:rsid w:val="000C661A"/>
    <w:rsid w:val="000C6AC7"/>
    <w:rsid w:val="000C6CA1"/>
    <w:rsid w:val="000C72B1"/>
    <w:rsid w:val="000D0314"/>
    <w:rsid w:val="000D0567"/>
    <w:rsid w:val="000D0A30"/>
    <w:rsid w:val="000D0BF2"/>
    <w:rsid w:val="000D1135"/>
    <w:rsid w:val="000D1761"/>
    <w:rsid w:val="000D1D53"/>
    <w:rsid w:val="000D2027"/>
    <w:rsid w:val="000D25FB"/>
    <w:rsid w:val="000D2872"/>
    <w:rsid w:val="000D2D12"/>
    <w:rsid w:val="000D322A"/>
    <w:rsid w:val="000D361F"/>
    <w:rsid w:val="000D3AE1"/>
    <w:rsid w:val="000D40A8"/>
    <w:rsid w:val="000D4AB0"/>
    <w:rsid w:val="000D4BC3"/>
    <w:rsid w:val="000D4C48"/>
    <w:rsid w:val="000D4DB3"/>
    <w:rsid w:val="000D543A"/>
    <w:rsid w:val="000D5CF6"/>
    <w:rsid w:val="000D5D17"/>
    <w:rsid w:val="000D6D1B"/>
    <w:rsid w:val="000D6E59"/>
    <w:rsid w:val="000D7FB7"/>
    <w:rsid w:val="000E04E2"/>
    <w:rsid w:val="000E08CC"/>
    <w:rsid w:val="000E0A51"/>
    <w:rsid w:val="000E0CC8"/>
    <w:rsid w:val="000E1261"/>
    <w:rsid w:val="000E2279"/>
    <w:rsid w:val="000E2875"/>
    <w:rsid w:val="000E294C"/>
    <w:rsid w:val="000E29AA"/>
    <w:rsid w:val="000E2BCA"/>
    <w:rsid w:val="000E2F8B"/>
    <w:rsid w:val="000E32AB"/>
    <w:rsid w:val="000E48B1"/>
    <w:rsid w:val="000E4EFF"/>
    <w:rsid w:val="000E54B2"/>
    <w:rsid w:val="000E5925"/>
    <w:rsid w:val="000E5C1D"/>
    <w:rsid w:val="000E5EB4"/>
    <w:rsid w:val="000E5FA9"/>
    <w:rsid w:val="000E6526"/>
    <w:rsid w:val="000E653B"/>
    <w:rsid w:val="000E738F"/>
    <w:rsid w:val="000E7FDC"/>
    <w:rsid w:val="000F01B3"/>
    <w:rsid w:val="000F0BFC"/>
    <w:rsid w:val="000F0FA7"/>
    <w:rsid w:val="000F0FB7"/>
    <w:rsid w:val="000F17E9"/>
    <w:rsid w:val="000F1FD9"/>
    <w:rsid w:val="000F23B7"/>
    <w:rsid w:val="000F2C24"/>
    <w:rsid w:val="000F2E4E"/>
    <w:rsid w:val="000F303D"/>
    <w:rsid w:val="000F34B8"/>
    <w:rsid w:val="000F42B3"/>
    <w:rsid w:val="000F43E3"/>
    <w:rsid w:val="000F4EA7"/>
    <w:rsid w:val="000F5BE9"/>
    <w:rsid w:val="000F5F13"/>
    <w:rsid w:val="000F60FA"/>
    <w:rsid w:val="000F612C"/>
    <w:rsid w:val="000F642D"/>
    <w:rsid w:val="000F6EE4"/>
    <w:rsid w:val="001004DF"/>
    <w:rsid w:val="001007E3"/>
    <w:rsid w:val="001009F8"/>
    <w:rsid w:val="00100E80"/>
    <w:rsid w:val="00101CDA"/>
    <w:rsid w:val="00101FC4"/>
    <w:rsid w:val="00101FD0"/>
    <w:rsid w:val="00102474"/>
    <w:rsid w:val="00102D77"/>
    <w:rsid w:val="0010311B"/>
    <w:rsid w:val="00103551"/>
    <w:rsid w:val="00103DB0"/>
    <w:rsid w:val="001042A7"/>
    <w:rsid w:val="001043B1"/>
    <w:rsid w:val="00104A0C"/>
    <w:rsid w:val="001054FF"/>
    <w:rsid w:val="00105C85"/>
    <w:rsid w:val="0010631E"/>
    <w:rsid w:val="00110302"/>
    <w:rsid w:val="00110371"/>
    <w:rsid w:val="00110519"/>
    <w:rsid w:val="00110CAF"/>
    <w:rsid w:val="00111549"/>
    <w:rsid w:val="00112313"/>
    <w:rsid w:val="001125FC"/>
    <w:rsid w:val="00112C0A"/>
    <w:rsid w:val="00113400"/>
    <w:rsid w:val="00113A32"/>
    <w:rsid w:val="00113A92"/>
    <w:rsid w:val="001145CC"/>
    <w:rsid w:val="00114975"/>
    <w:rsid w:val="00114AC0"/>
    <w:rsid w:val="00114F97"/>
    <w:rsid w:val="00115546"/>
    <w:rsid w:val="00115791"/>
    <w:rsid w:val="00115873"/>
    <w:rsid w:val="00116913"/>
    <w:rsid w:val="0011692F"/>
    <w:rsid w:val="00116A14"/>
    <w:rsid w:val="00117B2E"/>
    <w:rsid w:val="0012009F"/>
    <w:rsid w:val="00120ADC"/>
    <w:rsid w:val="00120B46"/>
    <w:rsid w:val="00121903"/>
    <w:rsid w:val="00121EAF"/>
    <w:rsid w:val="00122440"/>
    <w:rsid w:val="00122499"/>
    <w:rsid w:val="00122707"/>
    <w:rsid w:val="00122896"/>
    <w:rsid w:val="00123253"/>
    <w:rsid w:val="00123AA5"/>
    <w:rsid w:val="00124013"/>
    <w:rsid w:val="00124657"/>
    <w:rsid w:val="00124661"/>
    <w:rsid w:val="00124A0F"/>
    <w:rsid w:val="00124D07"/>
    <w:rsid w:val="00124FF6"/>
    <w:rsid w:val="00125D10"/>
    <w:rsid w:val="00125E2F"/>
    <w:rsid w:val="00125FF7"/>
    <w:rsid w:val="0012606A"/>
    <w:rsid w:val="001263DB"/>
    <w:rsid w:val="00126721"/>
    <w:rsid w:val="00126731"/>
    <w:rsid w:val="0012721B"/>
    <w:rsid w:val="001272F9"/>
    <w:rsid w:val="001275B8"/>
    <w:rsid w:val="00127C45"/>
    <w:rsid w:val="00127F27"/>
    <w:rsid w:val="0013040D"/>
    <w:rsid w:val="001307D7"/>
    <w:rsid w:val="001308E2"/>
    <w:rsid w:val="00130FB4"/>
    <w:rsid w:val="00131857"/>
    <w:rsid w:val="001318E4"/>
    <w:rsid w:val="00131F60"/>
    <w:rsid w:val="001334C7"/>
    <w:rsid w:val="00133651"/>
    <w:rsid w:val="00133AC4"/>
    <w:rsid w:val="00133B10"/>
    <w:rsid w:val="001341A2"/>
    <w:rsid w:val="00134799"/>
    <w:rsid w:val="00134D45"/>
    <w:rsid w:val="001350D9"/>
    <w:rsid w:val="00135C25"/>
    <w:rsid w:val="0013604F"/>
    <w:rsid w:val="001365F8"/>
    <w:rsid w:val="00136A34"/>
    <w:rsid w:val="001376AD"/>
    <w:rsid w:val="00137F3A"/>
    <w:rsid w:val="00140388"/>
    <w:rsid w:val="001406C7"/>
    <w:rsid w:val="001407BC"/>
    <w:rsid w:val="00141A7E"/>
    <w:rsid w:val="00141E39"/>
    <w:rsid w:val="00143A39"/>
    <w:rsid w:val="0014457E"/>
    <w:rsid w:val="00144CD0"/>
    <w:rsid w:val="00145271"/>
    <w:rsid w:val="001453CC"/>
    <w:rsid w:val="00145EDF"/>
    <w:rsid w:val="00146328"/>
    <w:rsid w:val="00146DB1"/>
    <w:rsid w:val="0014705E"/>
    <w:rsid w:val="00147752"/>
    <w:rsid w:val="00147787"/>
    <w:rsid w:val="00147D9A"/>
    <w:rsid w:val="0015011F"/>
    <w:rsid w:val="00150B0E"/>
    <w:rsid w:val="00150C13"/>
    <w:rsid w:val="00151451"/>
    <w:rsid w:val="001518A6"/>
    <w:rsid w:val="00151CAD"/>
    <w:rsid w:val="0015216C"/>
    <w:rsid w:val="00152290"/>
    <w:rsid w:val="001523C0"/>
    <w:rsid w:val="00153055"/>
    <w:rsid w:val="001533D1"/>
    <w:rsid w:val="0015361D"/>
    <w:rsid w:val="0015366B"/>
    <w:rsid w:val="00153CFA"/>
    <w:rsid w:val="001540BB"/>
    <w:rsid w:val="001548A1"/>
    <w:rsid w:val="00154A09"/>
    <w:rsid w:val="00154A49"/>
    <w:rsid w:val="00154C39"/>
    <w:rsid w:val="001552CD"/>
    <w:rsid w:val="001553E9"/>
    <w:rsid w:val="00155C87"/>
    <w:rsid w:val="001566D6"/>
    <w:rsid w:val="00157607"/>
    <w:rsid w:val="00157CFF"/>
    <w:rsid w:val="00157D59"/>
    <w:rsid w:val="001602CB"/>
    <w:rsid w:val="0016095B"/>
    <w:rsid w:val="001609CC"/>
    <w:rsid w:val="00160DFF"/>
    <w:rsid w:val="001613C4"/>
    <w:rsid w:val="00161489"/>
    <w:rsid w:val="00161E35"/>
    <w:rsid w:val="00162D25"/>
    <w:rsid w:val="00163151"/>
    <w:rsid w:val="00163372"/>
    <w:rsid w:val="00163625"/>
    <w:rsid w:val="0016463B"/>
    <w:rsid w:val="00165243"/>
    <w:rsid w:val="00165456"/>
    <w:rsid w:val="001656FD"/>
    <w:rsid w:val="001658BD"/>
    <w:rsid w:val="001663D6"/>
    <w:rsid w:val="001666D1"/>
    <w:rsid w:val="00166DD4"/>
    <w:rsid w:val="00166EBB"/>
    <w:rsid w:val="00166F78"/>
    <w:rsid w:val="001670DE"/>
    <w:rsid w:val="001672BE"/>
    <w:rsid w:val="0016753B"/>
    <w:rsid w:val="001704C1"/>
    <w:rsid w:val="00170C60"/>
    <w:rsid w:val="00170D66"/>
    <w:rsid w:val="00170D94"/>
    <w:rsid w:val="0017127E"/>
    <w:rsid w:val="00171F47"/>
    <w:rsid w:val="001724AC"/>
    <w:rsid w:val="00172AE9"/>
    <w:rsid w:val="0017324B"/>
    <w:rsid w:val="00173270"/>
    <w:rsid w:val="00173305"/>
    <w:rsid w:val="001736D1"/>
    <w:rsid w:val="00173BF5"/>
    <w:rsid w:val="0017616E"/>
    <w:rsid w:val="0017629F"/>
    <w:rsid w:val="001764E0"/>
    <w:rsid w:val="001768A9"/>
    <w:rsid w:val="001768BC"/>
    <w:rsid w:val="001772A9"/>
    <w:rsid w:val="00180185"/>
    <w:rsid w:val="001802CC"/>
    <w:rsid w:val="001806C4"/>
    <w:rsid w:val="00180811"/>
    <w:rsid w:val="0018102D"/>
    <w:rsid w:val="0018104A"/>
    <w:rsid w:val="00181356"/>
    <w:rsid w:val="001813E5"/>
    <w:rsid w:val="00181623"/>
    <w:rsid w:val="001817F2"/>
    <w:rsid w:val="00182128"/>
    <w:rsid w:val="00182C8D"/>
    <w:rsid w:val="00183064"/>
    <w:rsid w:val="001833CB"/>
    <w:rsid w:val="0018395B"/>
    <w:rsid w:val="0018406F"/>
    <w:rsid w:val="001850AB"/>
    <w:rsid w:val="0018516B"/>
    <w:rsid w:val="001861B0"/>
    <w:rsid w:val="0018672B"/>
    <w:rsid w:val="00186928"/>
    <w:rsid w:val="00186996"/>
    <w:rsid w:val="00186EDF"/>
    <w:rsid w:val="00187011"/>
    <w:rsid w:val="00187348"/>
    <w:rsid w:val="0018745E"/>
    <w:rsid w:val="001876DC"/>
    <w:rsid w:val="00187DBA"/>
    <w:rsid w:val="001902F9"/>
    <w:rsid w:val="00190651"/>
    <w:rsid w:val="001908A3"/>
    <w:rsid w:val="00191290"/>
    <w:rsid w:val="00191FD4"/>
    <w:rsid w:val="00192264"/>
    <w:rsid w:val="0019226F"/>
    <w:rsid w:val="00192471"/>
    <w:rsid w:val="00192547"/>
    <w:rsid w:val="001933CB"/>
    <w:rsid w:val="00193645"/>
    <w:rsid w:val="00193A34"/>
    <w:rsid w:val="00193C7A"/>
    <w:rsid w:val="001958FB"/>
    <w:rsid w:val="001959BF"/>
    <w:rsid w:val="00195AF7"/>
    <w:rsid w:val="00196E70"/>
    <w:rsid w:val="00197441"/>
    <w:rsid w:val="0019749E"/>
    <w:rsid w:val="00197617"/>
    <w:rsid w:val="001A0568"/>
    <w:rsid w:val="001A0717"/>
    <w:rsid w:val="001A077A"/>
    <w:rsid w:val="001A1F67"/>
    <w:rsid w:val="001A2777"/>
    <w:rsid w:val="001A28F1"/>
    <w:rsid w:val="001A3586"/>
    <w:rsid w:val="001A404F"/>
    <w:rsid w:val="001A4D55"/>
    <w:rsid w:val="001A4DEC"/>
    <w:rsid w:val="001A51D9"/>
    <w:rsid w:val="001A5B3F"/>
    <w:rsid w:val="001A5ECE"/>
    <w:rsid w:val="001A6B53"/>
    <w:rsid w:val="001A75A5"/>
    <w:rsid w:val="001A7648"/>
    <w:rsid w:val="001A78E5"/>
    <w:rsid w:val="001B0B74"/>
    <w:rsid w:val="001B16FD"/>
    <w:rsid w:val="001B21FB"/>
    <w:rsid w:val="001B22BD"/>
    <w:rsid w:val="001B2605"/>
    <w:rsid w:val="001B3561"/>
    <w:rsid w:val="001B35E4"/>
    <w:rsid w:val="001B41E3"/>
    <w:rsid w:val="001B4453"/>
    <w:rsid w:val="001B485B"/>
    <w:rsid w:val="001B4A0A"/>
    <w:rsid w:val="001B4A71"/>
    <w:rsid w:val="001B4F5A"/>
    <w:rsid w:val="001B59D5"/>
    <w:rsid w:val="001B6719"/>
    <w:rsid w:val="001B6A9F"/>
    <w:rsid w:val="001B7146"/>
    <w:rsid w:val="001B71BE"/>
    <w:rsid w:val="001B75FE"/>
    <w:rsid w:val="001B79C8"/>
    <w:rsid w:val="001B7D21"/>
    <w:rsid w:val="001C0297"/>
    <w:rsid w:val="001C0452"/>
    <w:rsid w:val="001C0F74"/>
    <w:rsid w:val="001C1703"/>
    <w:rsid w:val="001C190C"/>
    <w:rsid w:val="001C1D1F"/>
    <w:rsid w:val="001C1D8C"/>
    <w:rsid w:val="001C327C"/>
    <w:rsid w:val="001C3537"/>
    <w:rsid w:val="001C3D8F"/>
    <w:rsid w:val="001C3FF8"/>
    <w:rsid w:val="001C4AFD"/>
    <w:rsid w:val="001C4C02"/>
    <w:rsid w:val="001C50DF"/>
    <w:rsid w:val="001C5BFA"/>
    <w:rsid w:val="001C63A9"/>
    <w:rsid w:val="001C652F"/>
    <w:rsid w:val="001C6BBE"/>
    <w:rsid w:val="001C6D55"/>
    <w:rsid w:val="001C700D"/>
    <w:rsid w:val="001C721F"/>
    <w:rsid w:val="001C76D9"/>
    <w:rsid w:val="001C7A2A"/>
    <w:rsid w:val="001D0592"/>
    <w:rsid w:val="001D0E2A"/>
    <w:rsid w:val="001D1329"/>
    <w:rsid w:val="001D2A18"/>
    <w:rsid w:val="001D367F"/>
    <w:rsid w:val="001D3B70"/>
    <w:rsid w:val="001D5C69"/>
    <w:rsid w:val="001D5F7A"/>
    <w:rsid w:val="001D60D4"/>
    <w:rsid w:val="001D6E56"/>
    <w:rsid w:val="001D7702"/>
    <w:rsid w:val="001D7A1B"/>
    <w:rsid w:val="001D7C41"/>
    <w:rsid w:val="001D7D97"/>
    <w:rsid w:val="001D7EB2"/>
    <w:rsid w:val="001E023C"/>
    <w:rsid w:val="001E0460"/>
    <w:rsid w:val="001E0902"/>
    <w:rsid w:val="001E1734"/>
    <w:rsid w:val="001E17EE"/>
    <w:rsid w:val="001E1DDA"/>
    <w:rsid w:val="001E1EF7"/>
    <w:rsid w:val="001E2BC1"/>
    <w:rsid w:val="001E37A1"/>
    <w:rsid w:val="001E3CE2"/>
    <w:rsid w:val="001E452D"/>
    <w:rsid w:val="001E4776"/>
    <w:rsid w:val="001E47AD"/>
    <w:rsid w:val="001E4822"/>
    <w:rsid w:val="001E4916"/>
    <w:rsid w:val="001E4CFE"/>
    <w:rsid w:val="001E4E2B"/>
    <w:rsid w:val="001E4F85"/>
    <w:rsid w:val="001E5374"/>
    <w:rsid w:val="001E61F1"/>
    <w:rsid w:val="001E62AD"/>
    <w:rsid w:val="001E69B0"/>
    <w:rsid w:val="001E6A5D"/>
    <w:rsid w:val="001E7023"/>
    <w:rsid w:val="001E7147"/>
    <w:rsid w:val="001E7490"/>
    <w:rsid w:val="001E759C"/>
    <w:rsid w:val="001E7639"/>
    <w:rsid w:val="001E7833"/>
    <w:rsid w:val="001E7A86"/>
    <w:rsid w:val="001F088B"/>
    <w:rsid w:val="001F10E5"/>
    <w:rsid w:val="001F1552"/>
    <w:rsid w:val="001F2737"/>
    <w:rsid w:val="001F2E07"/>
    <w:rsid w:val="001F2F9D"/>
    <w:rsid w:val="001F399F"/>
    <w:rsid w:val="001F3B3E"/>
    <w:rsid w:val="001F407F"/>
    <w:rsid w:val="001F40FC"/>
    <w:rsid w:val="001F41A5"/>
    <w:rsid w:val="001F42F0"/>
    <w:rsid w:val="001F4610"/>
    <w:rsid w:val="001F51C2"/>
    <w:rsid w:val="001F51C8"/>
    <w:rsid w:val="001F51D5"/>
    <w:rsid w:val="001F570B"/>
    <w:rsid w:val="001F5C92"/>
    <w:rsid w:val="001F5C99"/>
    <w:rsid w:val="001F5CF0"/>
    <w:rsid w:val="001F5D6F"/>
    <w:rsid w:val="001F624A"/>
    <w:rsid w:val="001F62CD"/>
    <w:rsid w:val="001F6F7D"/>
    <w:rsid w:val="001F725C"/>
    <w:rsid w:val="001F7529"/>
    <w:rsid w:val="001F7BC8"/>
    <w:rsid w:val="002001DC"/>
    <w:rsid w:val="002009FD"/>
    <w:rsid w:val="00200A08"/>
    <w:rsid w:val="0020133D"/>
    <w:rsid w:val="00201A00"/>
    <w:rsid w:val="00201EC6"/>
    <w:rsid w:val="00202066"/>
    <w:rsid w:val="002020F6"/>
    <w:rsid w:val="00202131"/>
    <w:rsid w:val="00202A88"/>
    <w:rsid w:val="00202B35"/>
    <w:rsid w:val="00203EE9"/>
    <w:rsid w:val="002044DF"/>
    <w:rsid w:val="0020472F"/>
    <w:rsid w:val="00204876"/>
    <w:rsid w:val="00205318"/>
    <w:rsid w:val="002059C1"/>
    <w:rsid w:val="00205C67"/>
    <w:rsid w:val="0020679D"/>
    <w:rsid w:val="00206AB2"/>
    <w:rsid w:val="002074BB"/>
    <w:rsid w:val="00207587"/>
    <w:rsid w:val="002077F6"/>
    <w:rsid w:val="00207AFB"/>
    <w:rsid w:val="00207D54"/>
    <w:rsid w:val="002101C1"/>
    <w:rsid w:val="002107D4"/>
    <w:rsid w:val="00210C37"/>
    <w:rsid w:val="00210FA5"/>
    <w:rsid w:val="00210FC2"/>
    <w:rsid w:val="002115C7"/>
    <w:rsid w:val="00211900"/>
    <w:rsid w:val="00211D35"/>
    <w:rsid w:val="00211D42"/>
    <w:rsid w:val="00211ECE"/>
    <w:rsid w:val="00212537"/>
    <w:rsid w:val="002127EF"/>
    <w:rsid w:val="0021283C"/>
    <w:rsid w:val="0021409A"/>
    <w:rsid w:val="00214158"/>
    <w:rsid w:val="002145D4"/>
    <w:rsid w:val="00214764"/>
    <w:rsid w:val="00214E0E"/>
    <w:rsid w:val="002168AA"/>
    <w:rsid w:val="00216C45"/>
    <w:rsid w:val="00216E22"/>
    <w:rsid w:val="00216EA0"/>
    <w:rsid w:val="00217155"/>
    <w:rsid w:val="0021783C"/>
    <w:rsid w:val="00217888"/>
    <w:rsid w:val="00217A81"/>
    <w:rsid w:val="002205FB"/>
    <w:rsid w:val="00220A44"/>
    <w:rsid w:val="00220E5F"/>
    <w:rsid w:val="00221555"/>
    <w:rsid w:val="00221B98"/>
    <w:rsid w:val="0022208B"/>
    <w:rsid w:val="002227C7"/>
    <w:rsid w:val="00222833"/>
    <w:rsid w:val="00222B2D"/>
    <w:rsid w:val="00223385"/>
    <w:rsid w:val="0022393F"/>
    <w:rsid w:val="00224358"/>
    <w:rsid w:val="002250D9"/>
    <w:rsid w:val="0022562D"/>
    <w:rsid w:val="00225A49"/>
    <w:rsid w:val="002261CD"/>
    <w:rsid w:val="002267A6"/>
    <w:rsid w:val="00226B23"/>
    <w:rsid w:val="002271A6"/>
    <w:rsid w:val="00227E58"/>
    <w:rsid w:val="00227F6F"/>
    <w:rsid w:val="002308F7"/>
    <w:rsid w:val="00230A08"/>
    <w:rsid w:val="00230A0E"/>
    <w:rsid w:val="00231A7B"/>
    <w:rsid w:val="00231F96"/>
    <w:rsid w:val="00232730"/>
    <w:rsid w:val="00232982"/>
    <w:rsid w:val="00232B8F"/>
    <w:rsid w:val="00233055"/>
    <w:rsid w:val="002336AB"/>
    <w:rsid w:val="00233784"/>
    <w:rsid w:val="00233A18"/>
    <w:rsid w:val="00233A38"/>
    <w:rsid w:val="00233F40"/>
    <w:rsid w:val="00234543"/>
    <w:rsid w:val="002348AC"/>
    <w:rsid w:val="00234996"/>
    <w:rsid w:val="0023529E"/>
    <w:rsid w:val="00235D95"/>
    <w:rsid w:val="00236863"/>
    <w:rsid w:val="0023773A"/>
    <w:rsid w:val="00237988"/>
    <w:rsid w:val="00237A31"/>
    <w:rsid w:val="00237DA5"/>
    <w:rsid w:val="00240BC2"/>
    <w:rsid w:val="00241308"/>
    <w:rsid w:val="00241D87"/>
    <w:rsid w:val="002422D2"/>
    <w:rsid w:val="00242A6E"/>
    <w:rsid w:val="00243195"/>
    <w:rsid w:val="00243DF0"/>
    <w:rsid w:val="00244921"/>
    <w:rsid w:val="00244D9C"/>
    <w:rsid w:val="002454F0"/>
    <w:rsid w:val="00246487"/>
    <w:rsid w:val="00246816"/>
    <w:rsid w:val="00247669"/>
    <w:rsid w:val="0024794C"/>
    <w:rsid w:val="00247F0E"/>
    <w:rsid w:val="00247F27"/>
    <w:rsid w:val="0025020D"/>
    <w:rsid w:val="002507DD"/>
    <w:rsid w:val="002508BF"/>
    <w:rsid w:val="00251028"/>
    <w:rsid w:val="00251495"/>
    <w:rsid w:val="002514F1"/>
    <w:rsid w:val="00251D09"/>
    <w:rsid w:val="0025249A"/>
    <w:rsid w:val="00252791"/>
    <w:rsid w:val="002530E2"/>
    <w:rsid w:val="002534A9"/>
    <w:rsid w:val="00253EDD"/>
    <w:rsid w:val="00253F3D"/>
    <w:rsid w:val="00253FCB"/>
    <w:rsid w:val="00254389"/>
    <w:rsid w:val="0025487A"/>
    <w:rsid w:val="00254DCC"/>
    <w:rsid w:val="002552E0"/>
    <w:rsid w:val="0025571D"/>
    <w:rsid w:val="002559B5"/>
    <w:rsid w:val="00255AFC"/>
    <w:rsid w:val="0025643C"/>
    <w:rsid w:val="00256480"/>
    <w:rsid w:val="00256FC5"/>
    <w:rsid w:val="0025719B"/>
    <w:rsid w:val="00257827"/>
    <w:rsid w:val="002578DC"/>
    <w:rsid w:val="0025793C"/>
    <w:rsid w:val="00260159"/>
    <w:rsid w:val="00260720"/>
    <w:rsid w:val="00260863"/>
    <w:rsid w:val="00260A69"/>
    <w:rsid w:val="002612EC"/>
    <w:rsid w:val="002615BB"/>
    <w:rsid w:val="0026176E"/>
    <w:rsid w:val="002622FA"/>
    <w:rsid w:val="002623D3"/>
    <w:rsid w:val="00262495"/>
    <w:rsid w:val="00262E7E"/>
    <w:rsid w:val="00263587"/>
    <w:rsid w:val="002636DD"/>
    <w:rsid w:val="0026418B"/>
    <w:rsid w:val="00264CC7"/>
    <w:rsid w:val="00264E77"/>
    <w:rsid w:val="00265569"/>
    <w:rsid w:val="002659C9"/>
    <w:rsid w:val="00265D8C"/>
    <w:rsid w:val="002660D7"/>
    <w:rsid w:val="00266994"/>
    <w:rsid w:val="00266C8A"/>
    <w:rsid w:val="00267694"/>
    <w:rsid w:val="0026778D"/>
    <w:rsid w:val="00267875"/>
    <w:rsid w:val="002678AC"/>
    <w:rsid w:val="00267C40"/>
    <w:rsid w:val="00267CEA"/>
    <w:rsid w:val="00267D22"/>
    <w:rsid w:val="00267D89"/>
    <w:rsid w:val="00267FC6"/>
    <w:rsid w:val="0027003B"/>
    <w:rsid w:val="002702AA"/>
    <w:rsid w:val="00270432"/>
    <w:rsid w:val="00270E73"/>
    <w:rsid w:val="00271109"/>
    <w:rsid w:val="002712EB"/>
    <w:rsid w:val="00271925"/>
    <w:rsid w:val="00271B83"/>
    <w:rsid w:val="00272984"/>
    <w:rsid w:val="00273216"/>
    <w:rsid w:val="00273A35"/>
    <w:rsid w:val="00273B96"/>
    <w:rsid w:val="002740C7"/>
    <w:rsid w:val="00274393"/>
    <w:rsid w:val="00274398"/>
    <w:rsid w:val="002746E4"/>
    <w:rsid w:val="00274D9B"/>
    <w:rsid w:val="0027524C"/>
    <w:rsid w:val="00275868"/>
    <w:rsid w:val="00275EC2"/>
    <w:rsid w:val="00275FA9"/>
    <w:rsid w:val="002763B2"/>
    <w:rsid w:val="00276BEC"/>
    <w:rsid w:val="0027759B"/>
    <w:rsid w:val="00277734"/>
    <w:rsid w:val="0027773B"/>
    <w:rsid w:val="0027784C"/>
    <w:rsid w:val="00277E43"/>
    <w:rsid w:val="002802C7"/>
    <w:rsid w:val="00280363"/>
    <w:rsid w:val="00281E0A"/>
    <w:rsid w:val="00281E8B"/>
    <w:rsid w:val="00282948"/>
    <w:rsid w:val="00283F67"/>
    <w:rsid w:val="00284154"/>
    <w:rsid w:val="00284207"/>
    <w:rsid w:val="00284F75"/>
    <w:rsid w:val="00286079"/>
    <w:rsid w:val="00286CE1"/>
    <w:rsid w:val="002871D1"/>
    <w:rsid w:val="002876D1"/>
    <w:rsid w:val="0028781C"/>
    <w:rsid w:val="00287C33"/>
    <w:rsid w:val="00287E0A"/>
    <w:rsid w:val="00287E3E"/>
    <w:rsid w:val="002913D2"/>
    <w:rsid w:val="002918CE"/>
    <w:rsid w:val="00291D77"/>
    <w:rsid w:val="002920F6"/>
    <w:rsid w:val="00292341"/>
    <w:rsid w:val="00292D27"/>
    <w:rsid w:val="00293330"/>
    <w:rsid w:val="00294AC7"/>
    <w:rsid w:val="00294D5C"/>
    <w:rsid w:val="002953F2"/>
    <w:rsid w:val="00295803"/>
    <w:rsid w:val="00295C98"/>
    <w:rsid w:val="00296807"/>
    <w:rsid w:val="00296BA8"/>
    <w:rsid w:val="002971B3"/>
    <w:rsid w:val="002974E1"/>
    <w:rsid w:val="00297A7E"/>
    <w:rsid w:val="00297D25"/>
    <w:rsid w:val="00297F0D"/>
    <w:rsid w:val="002A1049"/>
    <w:rsid w:val="002A175B"/>
    <w:rsid w:val="002A1D49"/>
    <w:rsid w:val="002A1F25"/>
    <w:rsid w:val="002A2176"/>
    <w:rsid w:val="002A3009"/>
    <w:rsid w:val="002A30DB"/>
    <w:rsid w:val="002A38D3"/>
    <w:rsid w:val="002A404D"/>
    <w:rsid w:val="002A4212"/>
    <w:rsid w:val="002A4257"/>
    <w:rsid w:val="002A46FD"/>
    <w:rsid w:val="002A472B"/>
    <w:rsid w:val="002A48CF"/>
    <w:rsid w:val="002A4964"/>
    <w:rsid w:val="002A599F"/>
    <w:rsid w:val="002A6B98"/>
    <w:rsid w:val="002A745E"/>
    <w:rsid w:val="002A7592"/>
    <w:rsid w:val="002B0074"/>
    <w:rsid w:val="002B07EC"/>
    <w:rsid w:val="002B1832"/>
    <w:rsid w:val="002B19D0"/>
    <w:rsid w:val="002B1DAC"/>
    <w:rsid w:val="002B1F5B"/>
    <w:rsid w:val="002B23DF"/>
    <w:rsid w:val="002B250A"/>
    <w:rsid w:val="002B2631"/>
    <w:rsid w:val="002B2728"/>
    <w:rsid w:val="002B2A0E"/>
    <w:rsid w:val="002B3283"/>
    <w:rsid w:val="002B3309"/>
    <w:rsid w:val="002B43E4"/>
    <w:rsid w:val="002B4D66"/>
    <w:rsid w:val="002B5619"/>
    <w:rsid w:val="002B583B"/>
    <w:rsid w:val="002B691B"/>
    <w:rsid w:val="002B6BD7"/>
    <w:rsid w:val="002B75FA"/>
    <w:rsid w:val="002B7B44"/>
    <w:rsid w:val="002B7D67"/>
    <w:rsid w:val="002C0238"/>
    <w:rsid w:val="002C0462"/>
    <w:rsid w:val="002C0C2A"/>
    <w:rsid w:val="002C1213"/>
    <w:rsid w:val="002C1391"/>
    <w:rsid w:val="002C1453"/>
    <w:rsid w:val="002C15E1"/>
    <w:rsid w:val="002C1686"/>
    <w:rsid w:val="002C224F"/>
    <w:rsid w:val="002C2454"/>
    <w:rsid w:val="002C2F7E"/>
    <w:rsid w:val="002C340B"/>
    <w:rsid w:val="002C37A1"/>
    <w:rsid w:val="002C39EE"/>
    <w:rsid w:val="002C3DE9"/>
    <w:rsid w:val="002C479D"/>
    <w:rsid w:val="002C6ABD"/>
    <w:rsid w:val="002C728B"/>
    <w:rsid w:val="002C72A2"/>
    <w:rsid w:val="002C7721"/>
    <w:rsid w:val="002C7A05"/>
    <w:rsid w:val="002C7D35"/>
    <w:rsid w:val="002D07B1"/>
    <w:rsid w:val="002D07C9"/>
    <w:rsid w:val="002D0B96"/>
    <w:rsid w:val="002D0C20"/>
    <w:rsid w:val="002D105E"/>
    <w:rsid w:val="002D179E"/>
    <w:rsid w:val="002D1FE1"/>
    <w:rsid w:val="002D2B2B"/>
    <w:rsid w:val="002D2CBB"/>
    <w:rsid w:val="002D3112"/>
    <w:rsid w:val="002D340B"/>
    <w:rsid w:val="002D3513"/>
    <w:rsid w:val="002D3E5D"/>
    <w:rsid w:val="002D3F9F"/>
    <w:rsid w:val="002D4B55"/>
    <w:rsid w:val="002D4B57"/>
    <w:rsid w:val="002D4E5E"/>
    <w:rsid w:val="002D5243"/>
    <w:rsid w:val="002D545C"/>
    <w:rsid w:val="002D55CC"/>
    <w:rsid w:val="002D57DC"/>
    <w:rsid w:val="002D656A"/>
    <w:rsid w:val="002D6748"/>
    <w:rsid w:val="002D683B"/>
    <w:rsid w:val="002D68AF"/>
    <w:rsid w:val="002D69E1"/>
    <w:rsid w:val="002D71B0"/>
    <w:rsid w:val="002D7525"/>
    <w:rsid w:val="002D7577"/>
    <w:rsid w:val="002D7853"/>
    <w:rsid w:val="002D7854"/>
    <w:rsid w:val="002D7FFB"/>
    <w:rsid w:val="002E0464"/>
    <w:rsid w:val="002E0BDA"/>
    <w:rsid w:val="002E1158"/>
    <w:rsid w:val="002E1409"/>
    <w:rsid w:val="002E17F1"/>
    <w:rsid w:val="002E1811"/>
    <w:rsid w:val="002E1BF4"/>
    <w:rsid w:val="002E25CA"/>
    <w:rsid w:val="002E2EA8"/>
    <w:rsid w:val="002E31E5"/>
    <w:rsid w:val="002E3572"/>
    <w:rsid w:val="002E37A7"/>
    <w:rsid w:val="002E4233"/>
    <w:rsid w:val="002E4789"/>
    <w:rsid w:val="002E4BDB"/>
    <w:rsid w:val="002E554D"/>
    <w:rsid w:val="002E5919"/>
    <w:rsid w:val="002E5B5C"/>
    <w:rsid w:val="002E5CC7"/>
    <w:rsid w:val="002E6005"/>
    <w:rsid w:val="002E6472"/>
    <w:rsid w:val="002E7EA5"/>
    <w:rsid w:val="002F003C"/>
    <w:rsid w:val="002F0163"/>
    <w:rsid w:val="002F0C88"/>
    <w:rsid w:val="002F28E4"/>
    <w:rsid w:val="002F2AC4"/>
    <w:rsid w:val="002F2B30"/>
    <w:rsid w:val="002F2C0D"/>
    <w:rsid w:val="002F3126"/>
    <w:rsid w:val="002F35B6"/>
    <w:rsid w:val="002F3E56"/>
    <w:rsid w:val="002F3FD3"/>
    <w:rsid w:val="002F426D"/>
    <w:rsid w:val="002F463A"/>
    <w:rsid w:val="002F474D"/>
    <w:rsid w:val="002F5426"/>
    <w:rsid w:val="002F5603"/>
    <w:rsid w:val="002F5944"/>
    <w:rsid w:val="002F5A7B"/>
    <w:rsid w:val="002F5BE1"/>
    <w:rsid w:val="002F636B"/>
    <w:rsid w:val="002F7253"/>
    <w:rsid w:val="002F78D2"/>
    <w:rsid w:val="00300372"/>
    <w:rsid w:val="003003A7"/>
    <w:rsid w:val="00300531"/>
    <w:rsid w:val="0030066C"/>
    <w:rsid w:val="003007C3"/>
    <w:rsid w:val="00300929"/>
    <w:rsid w:val="00301ADF"/>
    <w:rsid w:val="00301CB3"/>
    <w:rsid w:val="00301E53"/>
    <w:rsid w:val="00302A6A"/>
    <w:rsid w:val="00303684"/>
    <w:rsid w:val="00303755"/>
    <w:rsid w:val="0030418D"/>
    <w:rsid w:val="00304EA8"/>
    <w:rsid w:val="00305351"/>
    <w:rsid w:val="003059DD"/>
    <w:rsid w:val="00306357"/>
    <w:rsid w:val="00306B0E"/>
    <w:rsid w:val="00307401"/>
    <w:rsid w:val="003102E1"/>
    <w:rsid w:val="00310C87"/>
    <w:rsid w:val="003117F2"/>
    <w:rsid w:val="003125A6"/>
    <w:rsid w:val="00312CDC"/>
    <w:rsid w:val="00312E28"/>
    <w:rsid w:val="00312EAE"/>
    <w:rsid w:val="003132FA"/>
    <w:rsid w:val="003133C6"/>
    <w:rsid w:val="0031384D"/>
    <w:rsid w:val="00313C27"/>
    <w:rsid w:val="00313EE3"/>
    <w:rsid w:val="003142E4"/>
    <w:rsid w:val="00314891"/>
    <w:rsid w:val="00314C50"/>
    <w:rsid w:val="00314CA6"/>
    <w:rsid w:val="00314D3A"/>
    <w:rsid w:val="00314E7D"/>
    <w:rsid w:val="00315E51"/>
    <w:rsid w:val="00316338"/>
    <w:rsid w:val="0031678E"/>
    <w:rsid w:val="003168E6"/>
    <w:rsid w:val="00316E26"/>
    <w:rsid w:val="00317024"/>
    <w:rsid w:val="003175ED"/>
    <w:rsid w:val="00317A90"/>
    <w:rsid w:val="00317AE8"/>
    <w:rsid w:val="0032010D"/>
    <w:rsid w:val="00320437"/>
    <w:rsid w:val="00320CE3"/>
    <w:rsid w:val="003212D5"/>
    <w:rsid w:val="003217D4"/>
    <w:rsid w:val="0032254F"/>
    <w:rsid w:val="00322B53"/>
    <w:rsid w:val="00322EA1"/>
    <w:rsid w:val="00323146"/>
    <w:rsid w:val="00323430"/>
    <w:rsid w:val="00323759"/>
    <w:rsid w:val="003237D7"/>
    <w:rsid w:val="00323C75"/>
    <w:rsid w:val="00323D90"/>
    <w:rsid w:val="00324797"/>
    <w:rsid w:val="0032485A"/>
    <w:rsid w:val="00324C63"/>
    <w:rsid w:val="003262DF"/>
    <w:rsid w:val="0032636F"/>
    <w:rsid w:val="003266E2"/>
    <w:rsid w:val="00326AA2"/>
    <w:rsid w:val="00327A24"/>
    <w:rsid w:val="00327AF2"/>
    <w:rsid w:val="00327C04"/>
    <w:rsid w:val="003301EB"/>
    <w:rsid w:val="003306D2"/>
    <w:rsid w:val="003309EE"/>
    <w:rsid w:val="003310F7"/>
    <w:rsid w:val="003311D2"/>
    <w:rsid w:val="00331524"/>
    <w:rsid w:val="00331B86"/>
    <w:rsid w:val="00331C2A"/>
    <w:rsid w:val="00332417"/>
    <w:rsid w:val="00332B55"/>
    <w:rsid w:val="00332C22"/>
    <w:rsid w:val="00332F7C"/>
    <w:rsid w:val="003330F9"/>
    <w:rsid w:val="0033336F"/>
    <w:rsid w:val="00333B4C"/>
    <w:rsid w:val="00333CE3"/>
    <w:rsid w:val="00334AE2"/>
    <w:rsid w:val="0033569B"/>
    <w:rsid w:val="00335982"/>
    <w:rsid w:val="00335EC8"/>
    <w:rsid w:val="003366C2"/>
    <w:rsid w:val="00336935"/>
    <w:rsid w:val="00337BB7"/>
    <w:rsid w:val="00340157"/>
    <w:rsid w:val="00342289"/>
    <w:rsid w:val="003422AB"/>
    <w:rsid w:val="0034247F"/>
    <w:rsid w:val="003425F5"/>
    <w:rsid w:val="003430C7"/>
    <w:rsid w:val="0034492F"/>
    <w:rsid w:val="00344BA3"/>
    <w:rsid w:val="00345ED2"/>
    <w:rsid w:val="00346184"/>
    <w:rsid w:val="003465BC"/>
    <w:rsid w:val="00346A7D"/>
    <w:rsid w:val="00346B33"/>
    <w:rsid w:val="00347945"/>
    <w:rsid w:val="00347CE1"/>
    <w:rsid w:val="00347D29"/>
    <w:rsid w:val="00347F39"/>
    <w:rsid w:val="0035091F"/>
    <w:rsid w:val="00350D30"/>
    <w:rsid w:val="00351913"/>
    <w:rsid w:val="00352C14"/>
    <w:rsid w:val="00353FCD"/>
    <w:rsid w:val="003549CA"/>
    <w:rsid w:val="00355239"/>
    <w:rsid w:val="00355464"/>
    <w:rsid w:val="00355EE4"/>
    <w:rsid w:val="0035609C"/>
    <w:rsid w:val="00356A7C"/>
    <w:rsid w:val="00356CC0"/>
    <w:rsid w:val="003571F7"/>
    <w:rsid w:val="00357980"/>
    <w:rsid w:val="00360C31"/>
    <w:rsid w:val="00361813"/>
    <w:rsid w:val="003618A7"/>
    <w:rsid w:val="00361B97"/>
    <w:rsid w:val="00362156"/>
    <w:rsid w:val="0036226F"/>
    <w:rsid w:val="00364591"/>
    <w:rsid w:val="003658DB"/>
    <w:rsid w:val="00366A83"/>
    <w:rsid w:val="00366BE7"/>
    <w:rsid w:val="00366C2C"/>
    <w:rsid w:val="00366CE0"/>
    <w:rsid w:val="003671CB"/>
    <w:rsid w:val="00367AF0"/>
    <w:rsid w:val="00367CAA"/>
    <w:rsid w:val="00367D4C"/>
    <w:rsid w:val="0037014C"/>
    <w:rsid w:val="00370524"/>
    <w:rsid w:val="00371D06"/>
    <w:rsid w:val="00371FC4"/>
    <w:rsid w:val="003722FD"/>
    <w:rsid w:val="00372625"/>
    <w:rsid w:val="00372B15"/>
    <w:rsid w:val="003735AE"/>
    <w:rsid w:val="00373C4B"/>
    <w:rsid w:val="00373D6D"/>
    <w:rsid w:val="00374ADA"/>
    <w:rsid w:val="00374C39"/>
    <w:rsid w:val="003755CC"/>
    <w:rsid w:val="003758A8"/>
    <w:rsid w:val="0037715C"/>
    <w:rsid w:val="003771A1"/>
    <w:rsid w:val="0037765C"/>
    <w:rsid w:val="00377750"/>
    <w:rsid w:val="00377896"/>
    <w:rsid w:val="003779BC"/>
    <w:rsid w:val="00377BF2"/>
    <w:rsid w:val="003803B1"/>
    <w:rsid w:val="0038054A"/>
    <w:rsid w:val="00380D5D"/>
    <w:rsid w:val="00381454"/>
    <w:rsid w:val="00381501"/>
    <w:rsid w:val="00381D2C"/>
    <w:rsid w:val="00382210"/>
    <w:rsid w:val="0038269D"/>
    <w:rsid w:val="00382AAB"/>
    <w:rsid w:val="00382BFA"/>
    <w:rsid w:val="003833BF"/>
    <w:rsid w:val="00383A95"/>
    <w:rsid w:val="00384467"/>
    <w:rsid w:val="0038510B"/>
    <w:rsid w:val="00385312"/>
    <w:rsid w:val="00385A9D"/>
    <w:rsid w:val="0038613C"/>
    <w:rsid w:val="003864BA"/>
    <w:rsid w:val="003868A0"/>
    <w:rsid w:val="00386A3C"/>
    <w:rsid w:val="00386FF9"/>
    <w:rsid w:val="00387264"/>
    <w:rsid w:val="0038773B"/>
    <w:rsid w:val="00390091"/>
    <w:rsid w:val="00390338"/>
    <w:rsid w:val="003907BE"/>
    <w:rsid w:val="00390C18"/>
    <w:rsid w:val="00391136"/>
    <w:rsid w:val="0039143D"/>
    <w:rsid w:val="0039194F"/>
    <w:rsid w:val="00391BD9"/>
    <w:rsid w:val="003921DE"/>
    <w:rsid w:val="0039264E"/>
    <w:rsid w:val="00392C00"/>
    <w:rsid w:val="00392DBF"/>
    <w:rsid w:val="00393229"/>
    <w:rsid w:val="00393252"/>
    <w:rsid w:val="0039430A"/>
    <w:rsid w:val="0039451B"/>
    <w:rsid w:val="00394673"/>
    <w:rsid w:val="00395050"/>
    <w:rsid w:val="00395451"/>
    <w:rsid w:val="003959EE"/>
    <w:rsid w:val="00395CFD"/>
    <w:rsid w:val="00395D0A"/>
    <w:rsid w:val="00395E2E"/>
    <w:rsid w:val="003960B4"/>
    <w:rsid w:val="00396A3F"/>
    <w:rsid w:val="00397273"/>
    <w:rsid w:val="00397C67"/>
    <w:rsid w:val="003A000C"/>
    <w:rsid w:val="003A07FD"/>
    <w:rsid w:val="003A0A27"/>
    <w:rsid w:val="003A0B8F"/>
    <w:rsid w:val="003A0EAD"/>
    <w:rsid w:val="003A1E18"/>
    <w:rsid w:val="003A1F19"/>
    <w:rsid w:val="003A1FAD"/>
    <w:rsid w:val="003A2031"/>
    <w:rsid w:val="003A2532"/>
    <w:rsid w:val="003A2D25"/>
    <w:rsid w:val="003A4426"/>
    <w:rsid w:val="003A5309"/>
    <w:rsid w:val="003A58FF"/>
    <w:rsid w:val="003A594E"/>
    <w:rsid w:val="003A5F81"/>
    <w:rsid w:val="003A6FF4"/>
    <w:rsid w:val="003A7636"/>
    <w:rsid w:val="003A7854"/>
    <w:rsid w:val="003A7990"/>
    <w:rsid w:val="003A7C21"/>
    <w:rsid w:val="003B0090"/>
    <w:rsid w:val="003B021D"/>
    <w:rsid w:val="003B06DE"/>
    <w:rsid w:val="003B1609"/>
    <w:rsid w:val="003B1D6D"/>
    <w:rsid w:val="003B2160"/>
    <w:rsid w:val="003B257E"/>
    <w:rsid w:val="003B29B9"/>
    <w:rsid w:val="003B2B5F"/>
    <w:rsid w:val="003B503F"/>
    <w:rsid w:val="003B51A3"/>
    <w:rsid w:val="003B572B"/>
    <w:rsid w:val="003B5747"/>
    <w:rsid w:val="003B6AA3"/>
    <w:rsid w:val="003B6D1E"/>
    <w:rsid w:val="003B74B6"/>
    <w:rsid w:val="003B78C1"/>
    <w:rsid w:val="003B78F2"/>
    <w:rsid w:val="003B7BC7"/>
    <w:rsid w:val="003C029C"/>
    <w:rsid w:val="003C09AE"/>
    <w:rsid w:val="003C0A1C"/>
    <w:rsid w:val="003C0A76"/>
    <w:rsid w:val="003C0C88"/>
    <w:rsid w:val="003C143A"/>
    <w:rsid w:val="003C150B"/>
    <w:rsid w:val="003C1695"/>
    <w:rsid w:val="003C17F4"/>
    <w:rsid w:val="003C1B0D"/>
    <w:rsid w:val="003C21D4"/>
    <w:rsid w:val="003C2282"/>
    <w:rsid w:val="003C239B"/>
    <w:rsid w:val="003C25A3"/>
    <w:rsid w:val="003C2772"/>
    <w:rsid w:val="003C2D39"/>
    <w:rsid w:val="003C406B"/>
    <w:rsid w:val="003C54A6"/>
    <w:rsid w:val="003C5F6A"/>
    <w:rsid w:val="003C607C"/>
    <w:rsid w:val="003C6A93"/>
    <w:rsid w:val="003C6B3E"/>
    <w:rsid w:val="003C6C49"/>
    <w:rsid w:val="003C7333"/>
    <w:rsid w:val="003C7FDB"/>
    <w:rsid w:val="003D048B"/>
    <w:rsid w:val="003D0A27"/>
    <w:rsid w:val="003D1AF8"/>
    <w:rsid w:val="003D228C"/>
    <w:rsid w:val="003D297C"/>
    <w:rsid w:val="003D3283"/>
    <w:rsid w:val="003D333A"/>
    <w:rsid w:val="003D344F"/>
    <w:rsid w:val="003D360E"/>
    <w:rsid w:val="003D3ACE"/>
    <w:rsid w:val="003D4FCA"/>
    <w:rsid w:val="003D528D"/>
    <w:rsid w:val="003D5491"/>
    <w:rsid w:val="003D575A"/>
    <w:rsid w:val="003D57FF"/>
    <w:rsid w:val="003D5A7D"/>
    <w:rsid w:val="003D5D93"/>
    <w:rsid w:val="003D5FE5"/>
    <w:rsid w:val="003D6C64"/>
    <w:rsid w:val="003D74BD"/>
    <w:rsid w:val="003D7516"/>
    <w:rsid w:val="003E1DB8"/>
    <w:rsid w:val="003E1F9A"/>
    <w:rsid w:val="003E224D"/>
    <w:rsid w:val="003E2BF4"/>
    <w:rsid w:val="003E3A9A"/>
    <w:rsid w:val="003E3FA4"/>
    <w:rsid w:val="003E4452"/>
    <w:rsid w:val="003E4E50"/>
    <w:rsid w:val="003E5199"/>
    <w:rsid w:val="003E552D"/>
    <w:rsid w:val="003E5557"/>
    <w:rsid w:val="003E6195"/>
    <w:rsid w:val="003F016B"/>
    <w:rsid w:val="003F0640"/>
    <w:rsid w:val="003F1312"/>
    <w:rsid w:val="003F15A6"/>
    <w:rsid w:val="003F184B"/>
    <w:rsid w:val="003F2B8E"/>
    <w:rsid w:val="003F2FA7"/>
    <w:rsid w:val="003F2FB7"/>
    <w:rsid w:val="003F4925"/>
    <w:rsid w:val="003F4C71"/>
    <w:rsid w:val="003F4F01"/>
    <w:rsid w:val="003F5912"/>
    <w:rsid w:val="003F5944"/>
    <w:rsid w:val="003F6620"/>
    <w:rsid w:val="003F6BAD"/>
    <w:rsid w:val="003F724D"/>
    <w:rsid w:val="003F75AA"/>
    <w:rsid w:val="003F7BFD"/>
    <w:rsid w:val="003F7EDD"/>
    <w:rsid w:val="003F7F44"/>
    <w:rsid w:val="003F7F9E"/>
    <w:rsid w:val="004001E7"/>
    <w:rsid w:val="004005F5"/>
    <w:rsid w:val="00400879"/>
    <w:rsid w:val="004009CB"/>
    <w:rsid w:val="00400C4B"/>
    <w:rsid w:val="00400EB1"/>
    <w:rsid w:val="00400F5C"/>
    <w:rsid w:val="00401978"/>
    <w:rsid w:val="004024ED"/>
    <w:rsid w:val="004029BC"/>
    <w:rsid w:val="00402E5E"/>
    <w:rsid w:val="00403835"/>
    <w:rsid w:val="00403A52"/>
    <w:rsid w:val="00403C96"/>
    <w:rsid w:val="00403DA5"/>
    <w:rsid w:val="00404336"/>
    <w:rsid w:val="004043D9"/>
    <w:rsid w:val="0040477F"/>
    <w:rsid w:val="00404A4C"/>
    <w:rsid w:val="00404D95"/>
    <w:rsid w:val="00405605"/>
    <w:rsid w:val="00406C1C"/>
    <w:rsid w:val="00406D7C"/>
    <w:rsid w:val="00406ECA"/>
    <w:rsid w:val="0040729B"/>
    <w:rsid w:val="00407323"/>
    <w:rsid w:val="0040788F"/>
    <w:rsid w:val="00407A62"/>
    <w:rsid w:val="00411112"/>
    <w:rsid w:val="0041166F"/>
    <w:rsid w:val="00411772"/>
    <w:rsid w:val="004126FB"/>
    <w:rsid w:val="00412B90"/>
    <w:rsid w:val="004131F1"/>
    <w:rsid w:val="00413359"/>
    <w:rsid w:val="004133E9"/>
    <w:rsid w:val="0041363A"/>
    <w:rsid w:val="00414A21"/>
    <w:rsid w:val="00415507"/>
    <w:rsid w:val="00417172"/>
    <w:rsid w:val="00417BB2"/>
    <w:rsid w:val="00417CDF"/>
    <w:rsid w:val="00417D4F"/>
    <w:rsid w:val="004200CF"/>
    <w:rsid w:val="00420109"/>
    <w:rsid w:val="00420345"/>
    <w:rsid w:val="0042106A"/>
    <w:rsid w:val="0042106D"/>
    <w:rsid w:val="004210FF"/>
    <w:rsid w:val="0042134A"/>
    <w:rsid w:val="004214CC"/>
    <w:rsid w:val="004220FB"/>
    <w:rsid w:val="004224B1"/>
    <w:rsid w:val="00422889"/>
    <w:rsid w:val="004228C8"/>
    <w:rsid w:val="00422F0E"/>
    <w:rsid w:val="004231DA"/>
    <w:rsid w:val="004232A9"/>
    <w:rsid w:val="004245E2"/>
    <w:rsid w:val="00424B7E"/>
    <w:rsid w:val="00424C8E"/>
    <w:rsid w:val="004254F6"/>
    <w:rsid w:val="00425A8C"/>
    <w:rsid w:val="004264EF"/>
    <w:rsid w:val="00426565"/>
    <w:rsid w:val="004265AF"/>
    <w:rsid w:val="00426A0C"/>
    <w:rsid w:val="004279B6"/>
    <w:rsid w:val="00427E34"/>
    <w:rsid w:val="00430270"/>
    <w:rsid w:val="004304C8"/>
    <w:rsid w:val="0043139F"/>
    <w:rsid w:val="0043179E"/>
    <w:rsid w:val="00432184"/>
    <w:rsid w:val="004325BE"/>
    <w:rsid w:val="00433080"/>
    <w:rsid w:val="00433443"/>
    <w:rsid w:val="00433476"/>
    <w:rsid w:val="004339A9"/>
    <w:rsid w:val="00433E95"/>
    <w:rsid w:val="00434145"/>
    <w:rsid w:val="00434C29"/>
    <w:rsid w:val="00434EF4"/>
    <w:rsid w:val="00435B74"/>
    <w:rsid w:val="0043632C"/>
    <w:rsid w:val="004364EA"/>
    <w:rsid w:val="0043654F"/>
    <w:rsid w:val="00436ED6"/>
    <w:rsid w:val="00436F65"/>
    <w:rsid w:val="00437894"/>
    <w:rsid w:val="00437968"/>
    <w:rsid w:val="00437C5A"/>
    <w:rsid w:val="00437D3C"/>
    <w:rsid w:val="00440117"/>
    <w:rsid w:val="0044080B"/>
    <w:rsid w:val="00440900"/>
    <w:rsid w:val="00440DF2"/>
    <w:rsid w:val="004416EA"/>
    <w:rsid w:val="00441EFD"/>
    <w:rsid w:val="0044314D"/>
    <w:rsid w:val="00443608"/>
    <w:rsid w:val="00444111"/>
    <w:rsid w:val="00445134"/>
    <w:rsid w:val="004452F1"/>
    <w:rsid w:val="0044536D"/>
    <w:rsid w:val="0044544C"/>
    <w:rsid w:val="004463FA"/>
    <w:rsid w:val="004466EE"/>
    <w:rsid w:val="00446911"/>
    <w:rsid w:val="00447568"/>
    <w:rsid w:val="0044759E"/>
    <w:rsid w:val="00447847"/>
    <w:rsid w:val="004506FE"/>
    <w:rsid w:val="00450BAC"/>
    <w:rsid w:val="00450F33"/>
    <w:rsid w:val="0045127D"/>
    <w:rsid w:val="004512D5"/>
    <w:rsid w:val="00451873"/>
    <w:rsid w:val="00451C0F"/>
    <w:rsid w:val="00452B2B"/>
    <w:rsid w:val="00454447"/>
    <w:rsid w:val="00454604"/>
    <w:rsid w:val="00454B7A"/>
    <w:rsid w:val="00454C70"/>
    <w:rsid w:val="00455030"/>
    <w:rsid w:val="0045507F"/>
    <w:rsid w:val="0045514D"/>
    <w:rsid w:val="00455771"/>
    <w:rsid w:val="004558D6"/>
    <w:rsid w:val="00455A70"/>
    <w:rsid w:val="00455CBE"/>
    <w:rsid w:val="00456255"/>
    <w:rsid w:val="004572F3"/>
    <w:rsid w:val="0045790B"/>
    <w:rsid w:val="004579B0"/>
    <w:rsid w:val="00457D0B"/>
    <w:rsid w:val="00461494"/>
    <w:rsid w:val="004614FB"/>
    <w:rsid w:val="004617D0"/>
    <w:rsid w:val="00461892"/>
    <w:rsid w:val="0046259A"/>
    <w:rsid w:val="00462696"/>
    <w:rsid w:val="0046299E"/>
    <w:rsid w:val="00462A14"/>
    <w:rsid w:val="00462F07"/>
    <w:rsid w:val="00463E05"/>
    <w:rsid w:val="00463FDB"/>
    <w:rsid w:val="00464784"/>
    <w:rsid w:val="00464E2F"/>
    <w:rsid w:val="00465D08"/>
    <w:rsid w:val="004664AA"/>
    <w:rsid w:val="004667FD"/>
    <w:rsid w:val="00466A6F"/>
    <w:rsid w:val="00466E62"/>
    <w:rsid w:val="00467120"/>
    <w:rsid w:val="004673D7"/>
    <w:rsid w:val="004674D7"/>
    <w:rsid w:val="00467D30"/>
    <w:rsid w:val="00471326"/>
    <w:rsid w:val="004714C1"/>
    <w:rsid w:val="0047186C"/>
    <w:rsid w:val="004719CD"/>
    <w:rsid w:val="00471DF2"/>
    <w:rsid w:val="00472256"/>
    <w:rsid w:val="00472365"/>
    <w:rsid w:val="004725D3"/>
    <w:rsid w:val="0047293E"/>
    <w:rsid w:val="00472A1C"/>
    <w:rsid w:val="00472BB0"/>
    <w:rsid w:val="00472DD2"/>
    <w:rsid w:val="004732B0"/>
    <w:rsid w:val="00473B46"/>
    <w:rsid w:val="0047437B"/>
    <w:rsid w:val="004744CA"/>
    <w:rsid w:val="004745BB"/>
    <w:rsid w:val="0047464B"/>
    <w:rsid w:val="00474909"/>
    <w:rsid w:val="00474DD8"/>
    <w:rsid w:val="00474EFB"/>
    <w:rsid w:val="00475286"/>
    <w:rsid w:val="004754AC"/>
    <w:rsid w:val="004756AB"/>
    <w:rsid w:val="00475732"/>
    <w:rsid w:val="00475E9D"/>
    <w:rsid w:val="00476018"/>
    <w:rsid w:val="0047636D"/>
    <w:rsid w:val="00476BC7"/>
    <w:rsid w:val="00476DDE"/>
    <w:rsid w:val="00477621"/>
    <w:rsid w:val="00477793"/>
    <w:rsid w:val="00480767"/>
    <w:rsid w:val="004817F7"/>
    <w:rsid w:val="00481B88"/>
    <w:rsid w:val="00481C96"/>
    <w:rsid w:val="00481DFD"/>
    <w:rsid w:val="00482068"/>
    <w:rsid w:val="00482D71"/>
    <w:rsid w:val="00483133"/>
    <w:rsid w:val="004834CF"/>
    <w:rsid w:val="00483BC3"/>
    <w:rsid w:val="00484232"/>
    <w:rsid w:val="00484E64"/>
    <w:rsid w:val="00484F2F"/>
    <w:rsid w:val="0048508E"/>
    <w:rsid w:val="004852D4"/>
    <w:rsid w:val="00485AA0"/>
    <w:rsid w:val="00485BE2"/>
    <w:rsid w:val="00486355"/>
    <w:rsid w:val="004868B4"/>
    <w:rsid w:val="00486F3A"/>
    <w:rsid w:val="004870B1"/>
    <w:rsid w:val="00487E92"/>
    <w:rsid w:val="0049048A"/>
    <w:rsid w:val="0049091C"/>
    <w:rsid w:val="004909AC"/>
    <w:rsid w:val="004910F6"/>
    <w:rsid w:val="004914F8"/>
    <w:rsid w:val="00491769"/>
    <w:rsid w:val="0049237E"/>
    <w:rsid w:val="00492555"/>
    <w:rsid w:val="004925B3"/>
    <w:rsid w:val="00492B1D"/>
    <w:rsid w:val="00492BF9"/>
    <w:rsid w:val="00492C5B"/>
    <w:rsid w:val="00492D14"/>
    <w:rsid w:val="0049382B"/>
    <w:rsid w:val="00493DEF"/>
    <w:rsid w:val="00495811"/>
    <w:rsid w:val="00495CE3"/>
    <w:rsid w:val="0049603D"/>
    <w:rsid w:val="004967CE"/>
    <w:rsid w:val="0049684B"/>
    <w:rsid w:val="00497097"/>
    <w:rsid w:val="00497166"/>
    <w:rsid w:val="00497230"/>
    <w:rsid w:val="00497236"/>
    <w:rsid w:val="00497387"/>
    <w:rsid w:val="004974E8"/>
    <w:rsid w:val="00497C80"/>
    <w:rsid w:val="00497F50"/>
    <w:rsid w:val="004A050B"/>
    <w:rsid w:val="004A0D62"/>
    <w:rsid w:val="004A181A"/>
    <w:rsid w:val="004A2225"/>
    <w:rsid w:val="004A2281"/>
    <w:rsid w:val="004A2413"/>
    <w:rsid w:val="004A26D1"/>
    <w:rsid w:val="004A2C31"/>
    <w:rsid w:val="004A3834"/>
    <w:rsid w:val="004A38CE"/>
    <w:rsid w:val="004A40C5"/>
    <w:rsid w:val="004A47D6"/>
    <w:rsid w:val="004A4835"/>
    <w:rsid w:val="004A4D10"/>
    <w:rsid w:val="004A4EE0"/>
    <w:rsid w:val="004A650E"/>
    <w:rsid w:val="004A6A2A"/>
    <w:rsid w:val="004A7160"/>
    <w:rsid w:val="004A7647"/>
    <w:rsid w:val="004A786B"/>
    <w:rsid w:val="004B003F"/>
    <w:rsid w:val="004B02F5"/>
    <w:rsid w:val="004B04E2"/>
    <w:rsid w:val="004B07A8"/>
    <w:rsid w:val="004B10EB"/>
    <w:rsid w:val="004B1AEF"/>
    <w:rsid w:val="004B1CAE"/>
    <w:rsid w:val="004B1ECB"/>
    <w:rsid w:val="004B1EDE"/>
    <w:rsid w:val="004B2643"/>
    <w:rsid w:val="004B284E"/>
    <w:rsid w:val="004B34D4"/>
    <w:rsid w:val="004B39C1"/>
    <w:rsid w:val="004B3A9C"/>
    <w:rsid w:val="004B3D53"/>
    <w:rsid w:val="004B3E5E"/>
    <w:rsid w:val="004B434A"/>
    <w:rsid w:val="004B4C10"/>
    <w:rsid w:val="004B4D8A"/>
    <w:rsid w:val="004B696B"/>
    <w:rsid w:val="004B754A"/>
    <w:rsid w:val="004B7650"/>
    <w:rsid w:val="004B7B5B"/>
    <w:rsid w:val="004C0278"/>
    <w:rsid w:val="004C07E9"/>
    <w:rsid w:val="004C094E"/>
    <w:rsid w:val="004C11CB"/>
    <w:rsid w:val="004C1352"/>
    <w:rsid w:val="004C1F35"/>
    <w:rsid w:val="004C2218"/>
    <w:rsid w:val="004C2B08"/>
    <w:rsid w:val="004C2F2F"/>
    <w:rsid w:val="004C3B76"/>
    <w:rsid w:val="004C3E30"/>
    <w:rsid w:val="004C3F8A"/>
    <w:rsid w:val="004C46F3"/>
    <w:rsid w:val="004C5274"/>
    <w:rsid w:val="004C558B"/>
    <w:rsid w:val="004C58C8"/>
    <w:rsid w:val="004C5C11"/>
    <w:rsid w:val="004C5EC5"/>
    <w:rsid w:val="004C6CB5"/>
    <w:rsid w:val="004D293F"/>
    <w:rsid w:val="004D2FF4"/>
    <w:rsid w:val="004D31B0"/>
    <w:rsid w:val="004D3569"/>
    <w:rsid w:val="004D35A8"/>
    <w:rsid w:val="004D3B96"/>
    <w:rsid w:val="004D3EDF"/>
    <w:rsid w:val="004D4ACC"/>
    <w:rsid w:val="004D4D16"/>
    <w:rsid w:val="004D543D"/>
    <w:rsid w:val="004D54CE"/>
    <w:rsid w:val="004D5B50"/>
    <w:rsid w:val="004D5BCA"/>
    <w:rsid w:val="004D5F14"/>
    <w:rsid w:val="004D6091"/>
    <w:rsid w:val="004D65BF"/>
    <w:rsid w:val="004D69AC"/>
    <w:rsid w:val="004D735E"/>
    <w:rsid w:val="004D7A1B"/>
    <w:rsid w:val="004D7FA0"/>
    <w:rsid w:val="004E0504"/>
    <w:rsid w:val="004E06B5"/>
    <w:rsid w:val="004E06B6"/>
    <w:rsid w:val="004E0A8F"/>
    <w:rsid w:val="004E0BA3"/>
    <w:rsid w:val="004E1005"/>
    <w:rsid w:val="004E12E1"/>
    <w:rsid w:val="004E1652"/>
    <w:rsid w:val="004E1ADF"/>
    <w:rsid w:val="004E1F37"/>
    <w:rsid w:val="004E20B5"/>
    <w:rsid w:val="004E314E"/>
    <w:rsid w:val="004E317F"/>
    <w:rsid w:val="004E3236"/>
    <w:rsid w:val="004E3463"/>
    <w:rsid w:val="004E445A"/>
    <w:rsid w:val="004E46EA"/>
    <w:rsid w:val="004E4879"/>
    <w:rsid w:val="004E555A"/>
    <w:rsid w:val="004E5EF0"/>
    <w:rsid w:val="004E6C54"/>
    <w:rsid w:val="004E6FC2"/>
    <w:rsid w:val="004E76B5"/>
    <w:rsid w:val="004E77E5"/>
    <w:rsid w:val="004F04C1"/>
    <w:rsid w:val="004F0C58"/>
    <w:rsid w:val="004F0D2D"/>
    <w:rsid w:val="004F1182"/>
    <w:rsid w:val="004F17A3"/>
    <w:rsid w:val="004F1875"/>
    <w:rsid w:val="004F1D01"/>
    <w:rsid w:val="004F1D1F"/>
    <w:rsid w:val="004F23DF"/>
    <w:rsid w:val="004F3653"/>
    <w:rsid w:val="004F565C"/>
    <w:rsid w:val="004F5833"/>
    <w:rsid w:val="004F60F9"/>
    <w:rsid w:val="004F6141"/>
    <w:rsid w:val="004F7274"/>
    <w:rsid w:val="004F7A93"/>
    <w:rsid w:val="004F7DF1"/>
    <w:rsid w:val="004F7FF1"/>
    <w:rsid w:val="005000DE"/>
    <w:rsid w:val="00500D92"/>
    <w:rsid w:val="0050167C"/>
    <w:rsid w:val="00501C08"/>
    <w:rsid w:val="00501CC1"/>
    <w:rsid w:val="00501F40"/>
    <w:rsid w:val="00502C77"/>
    <w:rsid w:val="00502D52"/>
    <w:rsid w:val="0050332D"/>
    <w:rsid w:val="00503401"/>
    <w:rsid w:val="005035C1"/>
    <w:rsid w:val="00503B59"/>
    <w:rsid w:val="00504015"/>
    <w:rsid w:val="0050407D"/>
    <w:rsid w:val="00504778"/>
    <w:rsid w:val="00504A8B"/>
    <w:rsid w:val="00504E6A"/>
    <w:rsid w:val="005053E1"/>
    <w:rsid w:val="00505593"/>
    <w:rsid w:val="005055ED"/>
    <w:rsid w:val="00505EE0"/>
    <w:rsid w:val="00506C4D"/>
    <w:rsid w:val="005074B5"/>
    <w:rsid w:val="005106E5"/>
    <w:rsid w:val="005115D1"/>
    <w:rsid w:val="00511AB2"/>
    <w:rsid w:val="00511FF2"/>
    <w:rsid w:val="0051238B"/>
    <w:rsid w:val="0051260F"/>
    <w:rsid w:val="00512E16"/>
    <w:rsid w:val="00513AB1"/>
    <w:rsid w:val="00513B53"/>
    <w:rsid w:val="00513F0F"/>
    <w:rsid w:val="00513F91"/>
    <w:rsid w:val="005149E9"/>
    <w:rsid w:val="00514EF8"/>
    <w:rsid w:val="00516240"/>
    <w:rsid w:val="00517023"/>
    <w:rsid w:val="00517A04"/>
    <w:rsid w:val="00520742"/>
    <w:rsid w:val="00521E2E"/>
    <w:rsid w:val="00522523"/>
    <w:rsid w:val="00522805"/>
    <w:rsid w:val="005228A1"/>
    <w:rsid w:val="00522BB3"/>
    <w:rsid w:val="005237F3"/>
    <w:rsid w:val="00523EDB"/>
    <w:rsid w:val="005240B7"/>
    <w:rsid w:val="005250EE"/>
    <w:rsid w:val="00525525"/>
    <w:rsid w:val="005258A4"/>
    <w:rsid w:val="00525B13"/>
    <w:rsid w:val="00525FAE"/>
    <w:rsid w:val="00526625"/>
    <w:rsid w:val="00526F62"/>
    <w:rsid w:val="005272D6"/>
    <w:rsid w:val="00527898"/>
    <w:rsid w:val="00527A75"/>
    <w:rsid w:val="00527B97"/>
    <w:rsid w:val="005305C0"/>
    <w:rsid w:val="00530654"/>
    <w:rsid w:val="0053100A"/>
    <w:rsid w:val="005311CA"/>
    <w:rsid w:val="00531212"/>
    <w:rsid w:val="005312F4"/>
    <w:rsid w:val="00532038"/>
    <w:rsid w:val="005321FB"/>
    <w:rsid w:val="00532D2F"/>
    <w:rsid w:val="00532DD1"/>
    <w:rsid w:val="00533889"/>
    <w:rsid w:val="00533ABC"/>
    <w:rsid w:val="00533C5A"/>
    <w:rsid w:val="00533E4C"/>
    <w:rsid w:val="00533EB3"/>
    <w:rsid w:val="005348E0"/>
    <w:rsid w:val="00534B6C"/>
    <w:rsid w:val="00535ED9"/>
    <w:rsid w:val="005365CC"/>
    <w:rsid w:val="00536838"/>
    <w:rsid w:val="00536E0F"/>
    <w:rsid w:val="00537E8A"/>
    <w:rsid w:val="0054105C"/>
    <w:rsid w:val="005415F2"/>
    <w:rsid w:val="00541CA5"/>
    <w:rsid w:val="00541EC8"/>
    <w:rsid w:val="0054231D"/>
    <w:rsid w:val="00542469"/>
    <w:rsid w:val="005429C8"/>
    <w:rsid w:val="005436DA"/>
    <w:rsid w:val="005444DF"/>
    <w:rsid w:val="0054477B"/>
    <w:rsid w:val="00544B6F"/>
    <w:rsid w:val="00544D7B"/>
    <w:rsid w:val="00544EAE"/>
    <w:rsid w:val="00545B0B"/>
    <w:rsid w:val="00546121"/>
    <w:rsid w:val="0054660F"/>
    <w:rsid w:val="005468B7"/>
    <w:rsid w:val="00546C33"/>
    <w:rsid w:val="00547004"/>
    <w:rsid w:val="005471D9"/>
    <w:rsid w:val="00547F08"/>
    <w:rsid w:val="0055015C"/>
    <w:rsid w:val="0055102C"/>
    <w:rsid w:val="00551B3C"/>
    <w:rsid w:val="00552663"/>
    <w:rsid w:val="00552B78"/>
    <w:rsid w:val="005538FC"/>
    <w:rsid w:val="00553C80"/>
    <w:rsid w:val="00553D6B"/>
    <w:rsid w:val="00553F03"/>
    <w:rsid w:val="00553F74"/>
    <w:rsid w:val="0055429C"/>
    <w:rsid w:val="005548E3"/>
    <w:rsid w:val="0055508D"/>
    <w:rsid w:val="00555BBB"/>
    <w:rsid w:val="005564E4"/>
    <w:rsid w:val="0055668C"/>
    <w:rsid w:val="0055678A"/>
    <w:rsid w:val="00556905"/>
    <w:rsid w:val="005572BF"/>
    <w:rsid w:val="005578F4"/>
    <w:rsid w:val="00557936"/>
    <w:rsid w:val="00557A9A"/>
    <w:rsid w:val="00557ABC"/>
    <w:rsid w:val="0056003B"/>
    <w:rsid w:val="00560411"/>
    <w:rsid w:val="00562CE4"/>
    <w:rsid w:val="00562D55"/>
    <w:rsid w:val="00563154"/>
    <w:rsid w:val="00563CC8"/>
    <w:rsid w:val="0056500B"/>
    <w:rsid w:val="0056512A"/>
    <w:rsid w:val="00565835"/>
    <w:rsid w:val="00565AFC"/>
    <w:rsid w:val="00565DBD"/>
    <w:rsid w:val="00565DE8"/>
    <w:rsid w:val="005662BF"/>
    <w:rsid w:val="00566329"/>
    <w:rsid w:val="005664CC"/>
    <w:rsid w:val="005667EF"/>
    <w:rsid w:val="00566E6C"/>
    <w:rsid w:val="00567ADE"/>
    <w:rsid w:val="00570C85"/>
    <w:rsid w:val="0057150E"/>
    <w:rsid w:val="00571D76"/>
    <w:rsid w:val="0057219C"/>
    <w:rsid w:val="0057260E"/>
    <w:rsid w:val="0057293C"/>
    <w:rsid w:val="005733FE"/>
    <w:rsid w:val="005736FA"/>
    <w:rsid w:val="00573854"/>
    <w:rsid w:val="00573A1F"/>
    <w:rsid w:val="00574009"/>
    <w:rsid w:val="005744A7"/>
    <w:rsid w:val="00574A0A"/>
    <w:rsid w:val="00574C97"/>
    <w:rsid w:val="005751EC"/>
    <w:rsid w:val="005757E2"/>
    <w:rsid w:val="00575CAB"/>
    <w:rsid w:val="00575E16"/>
    <w:rsid w:val="00576B27"/>
    <w:rsid w:val="00576B2A"/>
    <w:rsid w:val="00577B4A"/>
    <w:rsid w:val="00577CC8"/>
    <w:rsid w:val="00580091"/>
    <w:rsid w:val="00581285"/>
    <w:rsid w:val="00582855"/>
    <w:rsid w:val="0058540B"/>
    <w:rsid w:val="0058669D"/>
    <w:rsid w:val="005868A3"/>
    <w:rsid w:val="0058705F"/>
    <w:rsid w:val="005870EE"/>
    <w:rsid w:val="0058716B"/>
    <w:rsid w:val="005873DF"/>
    <w:rsid w:val="00587C44"/>
    <w:rsid w:val="00592052"/>
    <w:rsid w:val="00592133"/>
    <w:rsid w:val="0059261E"/>
    <w:rsid w:val="00592A37"/>
    <w:rsid w:val="00592CA2"/>
    <w:rsid w:val="00593DCF"/>
    <w:rsid w:val="005948F2"/>
    <w:rsid w:val="0059491D"/>
    <w:rsid w:val="00594D33"/>
    <w:rsid w:val="00594FE4"/>
    <w:rsid w:val="00595FD0"/>
    <w:rsid w:val="005973E8"/>
    <w:rsid w:val="005976CC"/>
    <w:rsid w:val="005A1546"/>
    <w:rsid w:val="005A198E"/>
    <w:rsid w:val="005A1DC6"/>
    <w:rsid w:val="005A2521"/>
    <w:rsid w:val="005A275D"/>
    <w:rsid w:val="005A2ABA"/>
    <w:rsid w:val="005A321C"/>
    <w:rsid w:val="005A3A7C"/>
    <w:rsid w:val="005A4D34"/>
    <w:rsid w:val="005A57F4"/>
    <w:rsid w:val="005A5F98"/>
    <w:rsid w:val="005A627B"/>
    <w:rsid w:val="005A6973"/>
    <w:rsid w:val="005A6DEE"/>
    <w:rsid w:val="005A7471"/>
    <w:rsid w:val="005A75EA"/>
    <w:rsid w:val="005B0386"/>
    <w:rsid w:val="005B0E82"/>
    <w:rsid w:val="005B14AA"/>
    <w:rsid w:val="005B1740"/>
    <w:rsid w:val="005B202F"/>
    <w:rsid w:val="005B2069"/>
    <w:rsid w:val="005B220B"/>
    <w:rsid w:val="005B2707"/>
    <w:rsid w:val="005B276E"/>
    <w:rsid w:val="005B2B09"/>
    <w:rsid w:val="005B4485"/>
    <w:rsid w:val="005B6AB8"/>
    <w:rsid w:val="005B6C9F"/>
    <w:rsid w:val="005B7043"/>
    <w:rsid w:val="005B77A9"/>
    <w:rsid w:val="005B7A94"/>
    <w:rsid w:val="005B7DD6"/>
    <w:rsid w:val="005C0766"/>
    <w:rsid w:val="005C1379"/>
    <w:rsid w:val="005C1DAE"/>
    <w:rsid w:val="005C2890"/>
    <w:rsid w:val="005C2CD8"/>
    <w:rsid w:val="005C3027"/>
    <w:rsid w:val="005C343C"/>
    <w:rsid w:val="005C3641"/>
    <w:rsid w:val="005C3886"/>
    <w:rsid w:val="005C48EB"/>
    <w:rsid w:val="005C48FE"/>
    <w:rsid w:val="005C5012"/>
    <w:rsid w:val="005C5D4E"/>
    <w:rsid w:val="005C5F20"/>
    <w:rsid w:val="005C605D"/>
    <w:rsid w:val="005C669F"/>
    <w:rsid w:val="005C6ED6"/>
    <w:rsid w:val="005C79C7"/>
    <w:rsid w:val="005D0522"/>
    <w:rsid w:val="005D0FE4"/>
    <w:rsid w:val="005D1CC8"/>
    <w:rsid w:val="005D21E5"/>
    <w:rsid w:val="005D26F4"/>
    <w:rsid w:val="005D2F07"/>
    <w:rsid w:val="005D356B"/>
    <w:rsid w:val="005D43E7"/>
    <w:rsid w:val="005D4868"/>
    <w:rsid w:val="005D4C57"/>
    <w:rsid w:val="005D4F8E"/>
    <w:rsid w:val="005D52EF"/>
    <w:rsid w:val="005D5669"/>
    <w:rsid w:val="005D5C96"/>
    <w:rsid w:val="005D68C8"/>
    <w:rsid w:val="005D6FE2"/>
    <w:rsid w:val="005D7253"/>
    <w:rsid w:val="005D7E01"/>
    <w:rsid w:val="005E0A9B"/>
    <w:rsid w:val="005E0BA5"/>
    <w:rsid w:val="005E10A3"/>
    <w:rsid w:val="005E19E0"/>
    <w:rsid w:val="005E1A34"/>
    <w:rsid w:val="005E1B0C"/>
    <w:rsid w:val="005E2024"/>
    <w:rsid w:val="005E24FC"/>
    <w:rsid w:val="005E33D2"/>
    <w:rsid w:val="005E402F"/>
    <w:rsid w:val="005E420B"/>
    <w:rsid w:val="005E4252"/>
    <w:rsid w:val="005E4270"/>
    <w:rsid w:val="005E44C6"/>
    <w:rsid w:val="005E450C"/>
    <w:rsid w:val="005E4AC5"/>
    <w:rsid w:val="005E59E2"/>
    <w:rsid w:val="005E5A67"/>
    <w:rsid w:val="005E5ADD"/>
    <w:rsid w:val="005E5C5B"/>
    <w:rsid w:val="005E6451"/>
    <w:rsid w:val="005E6561"/>
    <w:rsid w:val="005E680A"/>
    <w:rsid w:val="005E6BD7"/>
    <w:rsid w:val="005E6ED5"/>
    <w:rsid w:val="005E74A5"/>
    <w:rsid w:val="005F045D"/>
    <w:rsid w:val="005F07C6"/>
    <w:rsid w:val="005F0BDF"/>
    <w:rsid w:val="005F1EEE"/>
    <w:rsid w:val="005F2A2E"/>
    <w:rsid w:val="005F2FD7"/>
    <w:rsid w:val="005F48E7"/>
    <w:rsid w:val="005F6104"/>
    <w:rsid w:val="005F6160"/>
    <w:rsid w:val="005F61E7"/>
    <w:rsid w:val="005F6DE0"/>
    <w:rsid w:val="005F702F"/>
    <w:rsid w:val="005F7122"/>
    <w:rsid w:val="005F785C"/>
    <w:rsid w:val="005F7877"/>
    <w:rsid w:val="005F7AC2"/>
    <w:rsid w:val="00600A04"/>
    <w:rsid w:val="006014EB"/>
    <w:rsid w:val="00601510"/>
    <w:rsid w:val="00601EB3"/>
    <w:rsid w:val="006020BF"/>
    <w:rsid w:val="006021FD"/>
    <w:rsid w:val="00603418"/>
    <w:rsid w:val="0060425E"/>
    <w:rsid w:val="0060454F"/>
    <w:rsid w:val="00604726"/>
    <w:rsid w:val="00605850"/>
    <w:rsid w:val="00605D75"/>
    <w:rsid w:val="00605FED"/>
    <w:rsid w:val="006063BD"/>
    <w:rsid w:val="00606A87"/>
    <w:rsid w:val="00607EF1"/>
    <w:rsid w:val="00607F81"/>
    <w:rsid w:val="006114C3"/>
    <w:rsid w:val="0061297B"/>
    <w:rsid w:val="00612DC8"/>
    <w:rsid w:val="0061354D"/>
    <w:rsid w:val="00613FDE"/>
    <w:rsid w:val="006149AC"/>
    <w:rsid w:val="00614A5E"/>
    <w:rsid w:val="00614E5D"/>
    <w:rsid w:val="006152A2"/>
    <w:rsid w:val="006152C3"/>
    <w:rsid w:val="00615474"/>
    <w:rsid w:val="0061691E"/>
    <w:rsid w:val="00616BF7"/>
    <w:rsid w:val="00616F38"/>
    <w:rsid w:val="00617456"/>
    <w:rsid w:val="006200C8"/>
    <w:rsid w:val="0062043A"/>
    <w:rsid w:val="0062134D"/>
    <w:rsid w:val="00621552"/>
    <w:rsid w:val="006224D2"/>
    <w:rsid w:val="0062268E"/>
    <w:rsid w:val="00622930"/>
    <w:rsid w:val="006230B4"/>
    <w:rsid w:val="0062360B"/>
    <w:rsid w:val="00623795"/>
    <w:rsid w:val="00624A09"/>
    <w:rsid w:val="0062590A"/>
    <w:rsid w:val="00625BF3"/>
    <w:rsid w:val="006262B7"/>
    <w:rsid w:val="006263A0"/>
    <w:rsid w:val="006269BF"/>
    <w:rsid w:val="00626C5B"/>
    <w:rsid w:val="00626CDF"/>
    <w:rsid w:val="00626D79"/>
    <w:rsid w:val="00626F7F"/>
    <w:rsid w:val="006278B1"/>
    <w:rsid w:val="00630AE7"/>
    <w:rsid w:val="00630DB5"/>
    <w:rsid w:val="006310EF"/>
    <w:rsid w:val="00631134"/>
    <w:rsid w:val="0063136F"/>
    <w:rsid w:val="006316F9"/>
    <w:rsid w:val="00631B99"/>
    <w:rsid w:val="006320B0"/>
    <w:rsid w:val="00632318"/>
    <w:rsid w:val="00632744"/>
    <w:rsid w:val="00632A3E"/>
    <w:rsid w:val="00633A6E"/>
    <w:rsid w:val="00633B60"/>
    <w:rsid w:val="00633BC6"/>
    <w:rsid w:val="0063499F"/>
    <w:rsid w:val="00634D75"/>
    <w:rsid w:val="00634E69"/>
    <w:rsid w:val="00635C2F"/>
    <w:rsid w:val="00635E75"/>
    <w:rsid w:val="00636120"/>
    <w:rsid w:val="006369CB"/>
    <w:rsid w:val="00636C19"/>
    <w:rsid w:val="00636DED"/>
    <w:rsid w:val="006371B0"/>
    <w:rsid w:val="00637414"/>
    <w:rsid w:val="0063796A"/>
    <w:rsid w:val="00637F86"/>
    <w:rsid w:val="006407EF"/>
    <w:rsid w:val="006409C4"/>
    <w:rsid w:val="00640B27"/>
    <w:rsid w:val="006419EB"/>
    <w:rsid w:val="00642137"/>
    <w:rsid w:val="00643414"/>
    <w:rsid w:val="006435F3"/>
    <w:rsid w:val="006436B9"/>
    <w:rsid w:val="00643CB5"/>
    <w:rsid w:val="0064400D"/>
    <w:rsid w:val="0064420C"/>
    <w:rsid w:val="00644239"/>
    <w:rsid w:val="006447C0"/>
    <w:rsid w:val="00644ACA"/>
    <w:rsid w:val="00644D94"/>
    <w:rsid w:val="006450CA"/>
    <w:rsid w:val="0064527C"/>
    <w:rsid w:val="00645C62"/>
    <w:rsid w:val="006465F2"/>
    <w:rsid w:val="00646AB8"/>
    <w:rsid w:val="00646B74"/>
    <w:rsid w:val="00646BE8"/>
    <w:rsid w:val="00646E71"/>
    <w:rsid w:val="00647011"/>
    <w:rsid w:val="006476AB"/>
    <w:rsid w:val="006477CC"/>
    <w:rsid w:val="00647914"/>
    <w:rsid w:val="006479C3"/>
    <w:rsid w:val="00647AE5"/>
    <w:rsid w:val="006501C9"/>
    <w:rsid w:val="00650579"/>
    <w:rsid w:val="00650A1F"/>
    <w:rsid w:val="00650C7B"/>
    <w:rsid w:val="00650E0E"/>
    <w:rsid w:val="0065117D"/>
    <w:rsid w:val="00652183"/>
    <w:rsid w:val="00652294"/>
    <w:rsid w:val="006527C4"/>
    <w:rsid w:val="0065344F"/>
    <w:rsid w:val="00653783"/>
    <w:rsid w:val="0065392B"/>
    <w:rsid w:val="00653B6F"/>
    <w:rsid w:val="00653FD3"/>
    <w:rsid w:val="00654281"/>
    <w:rsid w:val="00654B72"/>
    <w:rsid w:val="0065524C"/>
    <w:rsid w:val="00655540"/>
    <w:rsid w:val="0065564F"/>
    <w:rsid w:val="00655D4D"/>
    <w:rsid w:val="00656051"/>
    <w:rsid w:val="006561B1"/>
    <w:rsid w:val="00656C0D"/>
    <w:rsid w:val="00657283"/>
    <w:rsid w:val="00657664"/>
    <w:rsid w:val="006578A0"/>
    <w:rsid w:val="00657BD8"/>
    <w:rsid w:val="00657C04"/>
    <w:rsid w:val="00657E2D"/>
    <w:rsid w:val="00657F33"/>
    <w:rsid w:val="00660397"/>
    <w:rsid w:val="0066108C"/>
    <w:rsid w:val="006613AE"/>
    <w:rsid w:val="00661AC1"/>
    <w:rsid w:val="00661CEF"/>
    <w:rsid w:val="00661DBE"/>
    <w:rsid w:val="0066200D"/>
    <w:rsid w:val="006622C3"/>
    <w:rsid w:val="00663487"/>
    <w:rsid w:val="00663D18"/>
    <w:rsid w:val="00665626"/>
    <w:rsid w:val="006676BD"/>
    <w:rsid w:val="00667C00"/>
    <w:rsid w:val="00670462"/>
    <w:rsid w:val="0067049A"/>
    <w:rsid w:val="00670A75"/>
    <w:rsid w:val="00671322"/>
    <w:rsid w:val="00671C9A"/>
    <w:rsid w:val="006720D5"/>
    <w:rsid w:val="0067235B"/>
    <w:rsid w:val="0067266F"/>
    <w:rsid w:val="00672E16"/>
    <w:rsid w:val="00673029"/>
    <w:rsid w:val="00674046"/>
    <w:rsid w:val="0067495B"/>
    <w:rsid w:val="00675D09"/>
    <w:rsid w:val="006774E2"/>
    <w:rsid w:val="0067759C"/>
    <w:rsid w:val="00677DA3"/>
    <w:rsid w:val="00677DAF"/>
    <w:rsid w:val="00677E0D"/>
    <w:rsid w:val="00680376"/>
    <w:rsid w:val="00680739"/>
    <w:rsid w:val="00681C70"/>
    <w:rsid w:val="00681F08"/>
    <w:rsid w:val="006822E6"/>
    <w:rsid w:val="00682674"/>
    <w:rsid w:val="00682AF4"/>
    <w:rsid w:val="00683BAA"/>
    <w:rsid w:val="006855B5"/>
    <w:rsid w:val="00685B11"/>
    <w:rsid w:val="0068643B"/>
    <w:rsid w:val="006868E0"/>
    <w:rsid w:val="006869A6"/>
    <w:rsid w:val="00686A9A"/>
    <w:rsid w:val="00687A87"/>
    <w:rsid w:val="006900F7"/>
    <w:rsid w:val="00690928"/>
    <w:rsid w:val="0069105E"/>
    <w:rsid w:val="006912CD"/>
    <w:rsid w:val="00691439"/>
    <w:rsid w:val="00691DD7"/>
    <w:rsid w:val="00691EC1"/>
    <w:rsid w:val="00692917"/>
    <w:rsid w:val="00692A1A"/>
    <w:rsid w:val="00692E88"/>
    <w:rsid w:val="006933C2"/>
    <w:rsid w:val="00693504"/>
    <w:rsid w:val="006941AE"/>
    <w:rsid w:val="006942F2"/>
    <w:rsid w:val="006945FA"/>
    <w:rsid w:val="00694A0E"/>
    <w:rsid w:val="00694D65"/>
    <w:rsid w:val="00695396"/>
    <w:rsid w:val="00695423"/>
    <w:rsid w:val="00695782"/>
    <w:rsid w:val="00695ED5"/>
    <w:rsid w:val="00696847"/>
    <w:rsid w:val="006969D8"/>
    <w:rsid w:val="00696EF0"/>
    <w:rsid w:val="006971A0"/>
    <w:rsid w:val="006972EE"/>
    <w:rsid w:val="00697900"/>
    <w:rsid w:val="006A08FF"/>
    <w:rsid w:val="006A091A"/>
    <w:rsid w:val="006A0936"/>
    <w:rsid w:val="006A0969"/>
    <w:rsid w:val="006A0B1E"/>
    <w:rsid w:val="006A0B3A"/>
    <w:rsid w:val="006A162C"/>
    <w:rsid w:val="006A1E94"/>
    <w:rsid w:val="006A1FE1"/>
    <w:rsid w:val="006A2265"/>
    <w:rsid w:val="006A25DB"/>
    <w:rsid w:val="006A2676"/>
    <w:rsid w:val="006A3163"/>
    <w:rsid w:val="006A3396"/>
    <w:rsid w:val="006A3410"/>
    <w:rsid w:val="006A3B72"/>
    <w:rsid w:val="006A3D9B"/>
    <w:rsid w:val="006A51E6"/>
    <w:rsid w:val="006A5766"/>
    <w:rsid w:val="006A662C"/>
    <w:rsid w:val="006A6BFC"/>
    <w:rsid w:val="006A7202"/>
    <w:rsid w:val="006A7212"/>
    <w:rsid w:val="006A74CB"/>
    <w:rsid w:val="006B0922"/>
    <w:rsid w:val="006B0BE9"/>
    <w:rsid w:val="006B113B"/>
    <w:rsid w:val="006B283B"/>
    <w:rsid w:val="006B2A12"/>
    <w:rsid w:val="006B384F"/>
    <w:rsid w:val="006B3B0C"/>
    <w:rsid w:val="006B3B11"/>
    <w:rsid w:val="006B3E1A"/>
    <w:rsid w:val="006B44DD"/>
    <w:rsid w:val="006B596A"/>
    <w:rsid w:val="006B5AE4"/>
    <w:rsid w:val="006B5BB0"/>
    <w:rsid w:val="006B7091"/>
    <w:rsid w:val="006B76BD"/>
    <w:rsid w:val="006B76FC"/>
    <w:rsid w:val="006B7CE7"/>
    <w:rsid w:val="006C071D"/>
    <w:rsid w:val="006C09AB"/>
    <w:rsid w:val="006C09AD"/>
    <w:rsid w:val="006C10AB"/>
    <w:rsid w:val="006C1394"/>
    <w:rsid w:val="006C18DD"/>
    <w:rsid w:val="006C1EDE"/>
    <w:rsid w:val="006C2215"/>
    <w:rsid w:val="006C2268"/>
    <w:rsid w:val="006C2380"/>
    <w:rsid w:val="006C262F"/>
    <w:rsid w:val="006C2779"/>
    <w:rsid w:val="006C3D82"/>
    <w:rsid w:val="006C40A7"/>
    <w:rsid w:val="006C4A3B"/>
    <w:rsid w:val="006C52B1"/>
    <w:rsid w:val="006C5510"/>
    <w:rsid w:val="006C5626"/>
    <w:rsid w:val="006C5FFD"/>
    <w:rsid w:val="006C6107"/>
    <w:rsid w:val="006C67AD"/>
    <w:rsid w:val="006C6D13"/>
    <w:rsid w:val="006C7C9F"/>
    <w:rsid w:val="006C7EDF"/>
    <w:rsid w:val="006D02F3"/>
    <w:rsid w:val="006D0361"/>
    <w:rsid w:val="006D0C0B"/>
    <w:rsid w:val="006D0F08"/>
    <w:rsid w:val="006D1311"/>
    <w:rsid w:val="006D1397"/>
    <w:rsid w:val="006D1549"/>
    <w:rsid w:val="006D15DD"/>
    <w:rsid w:val="006D1BE7"/>
    <w:rsid w:val="006D2175"/>
    <w:rsid w:val="006D2C93"/>
    <w:rsid w:val="006D31C8"/>
    <w:rsid w:val="006D366A"/>
    <w:rsid w:val="006D36F0"/>
    <w:rsid w:val="006D390B"/>
    <w:rsid w:val="006D4E27"/>
    <w:rsid w:val="006D5698"/>
    <w:rsid w:val="006D5BDD"/>
    <w:rsid w:val="006D64B3"/>
    <w:rsid w:val="006D6C37"/>
    <w:rsid w:val="006D77F6"/>
    <w:rsid w:val="006D7A7B"/>
    <w:rsid w:val="006D7EEF"/>
    <w:rsid w:val="006E05D7"/>
    <w:rsid w:val="006E0B86"/>
    <w:rsid w:val="006E13FF"/>
    <w:rsid w:val="006E158D"/>
    <w:rsid w:val="006E1CB0"/>
    <w:rsid w:val="006E1CB9"/>
    <w:rsid w:val="006E2596"/>
    <w:rsid w:val="006E27A5"/>
    <w:rsid w:val="006E2B89"/>
    <w:rsid w:val="006E335B"/>
    <w:rsid w:val="006E351E"/>
    <w:rsid w:val="006E3A28"/>
    <w:rsid w:val="006E4023"/>
    <w:rsid w:val="006E4363"/>
    <w:rsid w:val="006E45FA"/>
    <w:rsid w:val="006E4826"/>
    <w:rsid w:val="006E4A61"/>
    <w:rsid w:val="006E4B8C"/>
    <w:rsid w:val="006E6774"/>
    <w:rsid w:val="006E71F5"/>
    <w:rsid w:val="006E74E4"/>
    <w:rsid w:val="006E7B0E"/>
    <w:rsid w:val="006F0523"/>
    <w:rsid w:val="006F0E16"/>
    <w:rsid w:val="006F1849"/>
    <w:rsid w:val="006F1B4B"/>
    <w:rsid w:val="006F1F46"/>
    <w:rsid w:val="006F2114"/>
    <w:rsid w:val="006F2C83"/>
    <w:rsid w:val="006F4034"/>
    <w:rsid w:val="006F44B0"/>
    <w:rsid w:val="006F4AA6"/>
    <w:rsid w:val="006F4B87"/>
    <w:rsid w:val="006F58D2"/>
    <w:rsid w:val="006F7960"/>
    <w:rsid w:val="006F7CC7"/>
    <w:rsid w:val="00700AB0"/>
    <w:rsid w:val="00700FC8"/>
    <w:rsid w:val="00700FF4"/>
    <w:rsid w:val="00701AD7"/>
    <w:rsid w:val="00702A27"/>
    <w:rsid w:val="00702D8A"/>
    <w:rsid w:val="00702F15"/>
    <w:rsid w:val="00703AB9"/>
    <w:rsid w:val="00704476"/>
    <w:rsid w:val="007045AA"/>
    <w:rsid w:val="00704863"/>
    <w:rsid w:val="00704CDD"/>
    <w:rsid w:val="0070519C"/>
    <w:rsid w:val="0070558B"/>
    <w:rsid w:val="007055D3"/>
    <w:rsid w:val="00705E5D"/>
    <w:rsid w:val="00705FD7"/>
    <w:rsid w:val="00706654"/>
    <w:rsid w:val="007070CF"/>
    <w:rsid w:val="00707A6F"/>
    <w:rsid w:val="00707D62"/>
    <w:rsid w:val="007106DC"/>
    <w:rsid w:val="00710A9C"/>
    <w:rsid w:val="007112BD"/>
    <w:rsid w:val="00711538"/>
    <w:rsid w:val="00711645"/>
    <w:rsid w:val="00711A10"/>
    <w:rsid w:val="00711C73"/>
    <w:rsid w:val="007121BF"/>
    <w:rsid w:val="00712512"/>
    <w:rsid w:val="007126D0"/>
    <w:rsid w:val="00712840"/>
    <w:rsid w:val="00712940"/>
    <w:rsid w:val="00712A98"/>
    <w:rsid w:val="00712EB3"/>
    <w:rsid w:val="00712F98"/>
    <w:rsid w:val="007130F5"/>
    <w:rsid w:val="0071311A"/>
    <w:rsid w:val="007138FA"/>
    <w:rsid w:val="00713DF5"/>
    <w:rsid w:val="00714960"/>
    <w:rsid w:val="00714EB8"/>
    <w:rsid w:val="0071507B"/>
    <w:rsid w:val="00715611"/>
    <w:rsid w:val="0071583A"/>
    <w:rsid w:val="007161EB"/>
    <w:rsid w:val="007162BC"/>
    <w:rsid w:val="00716486"/>
    <w:rsid w:val="00716E69"/>
    <w:rsid w:val="007175EC"/>
    <w:rsid w:val="0071764D"/>
    <w:rsid w:val="00717929"/>
    <w:rsid w:val="00717C58"/>
    <w:rsid w:val="00717DCB"/>
    <w:rsid w:val="00717EDE"/>
    <w:rsid w:val="00717FBB"/>
    <w:rsid w:val="00717FE0"/>
    <w:rsid w:val="007202DD"/>
    <w:rsid w:val="007207F5"/>
    <w:rsid w:val="00720B31"/>
    <w:rsid w:val="00720B5F"/>
    <w:rsid w:val="00720B84"/>
    <w:rsid w:val="0072163B"/>
    <w:rsid w:val="00722723"/>
    <w:rsid w:val="00722815"/>
    <w:rsid w:val="007228AF"/>
    <w:rsid w:val="00722D04"/>
    <w:rsid w:val="00722E8A"/>
    <w:rsid w:val="007230E4"/>
    <w:rsid w:val="007232A9"/>
    <w:rsid w:val="00723635"/>
    <w:rsid w:val="00723636"/>
    <w:rsid w:val="00723766"/>
    <w:rsid w:val="007240A4"/>
    <w:rsid w:val="0072491B"/>
    <w:rsid w:val="00725056"/>
    <w:rsid w:val="00725AE1"/>
    <w:rsid w:val="00725D49"/>
    <w:rsid w:val="00725D89"/>
    <w:rsid w:val="00725DE6"/>
    <w:rsid w:val="00726210"/>
    <w:rsid w:val="007263AB"/>
    <w:rsid w:val="0072702E"/>
    <w:rsid w:val="00727278"/>
    <w:rsid w:val="007277A4"/>
    <w:rsid w:val="00727997"/>
    <w:rsid w:val="00730374"/>
    <w:rsid w:val="00730512"/>
    <w:rsid w:val="00730A2B"/>
    <w:rsid w:val="00731383"/>
    <w:rsid w:val="00731AC9"/>
    <w:rsid w:val="00732528"/>
    <w:rsid w:val="00732739"/>
    <w:rsid w:val="0073281F"/>
    <w:rsid w:val="0073319F"/>
    <w:rsid w:val="00733584"/>
    <w:rsid w:val="00733ECF"/>
    <w:rsid w:val="007342D1"/>
    <w:rsid w:val="007345F4"/>
    <w:rsid w:val="0073471F"/>
    <w:rsid w:val="007355E2"/>
    <w:rsid w:val="00735602"/>
    <w:rsid w:val="00735835"/>
    <w:rsid w:val="00735E5D"/>
    <w:rsid w:val="0073743D"/>
    <w:rsid w:val="00737AA7"/>
    <w:rsid w:val="0074048B"/>
    <w:rsid w:val="007407F0"/>
    <w:rsid w:val="007414EA"/>
    <w:rsid w:val="0074175E"/>
    <w:rsid w:val="0074197A"/>
    <w:rsid w:val="00741AC8"/>
    <w:rsid w:val="00741DEE"/>
    <w:rsid w:val="00741EDC"/>
    <w:rsid w:val="007427AB"/>
    <w:rsid w:val="00742B5F"/>
    <w:rsid w:val="00742F0A"/>
    <w:rsid w:val="00742FEE"/>
    <w:rsid w:val="00743061"/>
    <w:rsid w:val="00744316"/>
    <w:rsid w:val="0074435F"/>
    <w:rsid w:val="00744416"/>
    <w:rsid w:val="0074586B"/>
    <w:rsid w:val="0074594E"/>
    <w:rsid w:val="00745D2C"/>
    <w:rsid w:val="00746C57"/>
    <w:rsid w:val="00746CC9"/>
    <w:rsid w:val="00746D05"/>
    <w:rsid w:val="00746EC8"/>
    <w:rsid w:val="0075007A"/>
    <w:rsid w:val="007501BF"/>
    <w:rsid w:val="00750F48"/>
    <w:rsid w:val="00752F77"/>
    <w:rsid w:val="00752FAB"/>
    <w:rsid w:val="0075300B"/>
    <w:rsid w:val="007532C7"/>
    <w:rsid w:val="0075334E"/>
    <w:rsid w:val="00753A2D"/>
    <w:rsid w:val="0075419B"/>
    <w:rsid w:val="00754273"/>
    <w:rsid w:val="007542F1"/>
    <w:rsid w:val="0075445A"/>
    <w:rsid w:val="00754785"/>
    <w:rsid w:val="0075505B"/>
    <w:rsid w:val="00755861"/>
    <w:rsid w:val="00756149"/>
    <w:rsid w:val="0075690C"/>
    <w:rsid w:val="00756FE5"/>
    <w:rsid w:val="00757316"/>
    <w:rsid w:val="00757522"/>
    <w:rsid w:val="00760289"/>
    <w:rsid w:val="007608E3"/>
    <w:rsid w:val="00761F6B"/>
    <w:rsid w:val="00762F0B"/>
    <w:rsid w:val="00762F1C"/>
    <w:rsid w:val="00763204"/>
    <w:rsid w:val="00763A4D"/>
    <w:rsid w:val="00764380"/>
    <w:rsid w:val="0076466F"/>
    <w:rsid w:val="007648AD"/>
    <w:rsid w:val="00764C31"/>
    <w:rsid w:val="00766BDF"/>
    <w:rsid w:val="00767480"/>
    <w:rsid w:val="007677B6"/>
    <w:rsid w:val="00770D9E"/>
    <w:rsid w:val="00772041"/>
    <w:rsid w:val="0077204F"/>
    <w:rsid w:val="00772157"/>
    <w:rsid w:val="00772E97"/>
    <w:rsid w:val="00773184"/>
    <w:rsid w:val="00773B27"/>
    <w:rsid w:val="00773E96"/>
    <w:rsid w:val="00773F35"/>
    <w:rsid w:val="00773F80"/>
    <w:rsid w:val="00774193"/>
    <w:rsid w:val="00775E54"/>
    <w:rsid w:val="007762A4"/>
    <w:rsid w:val="0077648D"/>
    <w:rsid w:val="0077657B"/>
    <w:rsid w:val="00776A8A"/>
    <w:rsid w:val="00777275"/>
    <w:rsid w:val="00777417"/>
    <w:rsid w:val="00777F6D"/>
    <w:rsid w:val="007801E1"/>
    <w:rsid w:val="00780FEA"/>
    <w:rsid w:val="007812EE"/>
    <w:rsid w:val="007814D1"/>
    <w:rsid w:val="00781989"/>
    <w:rsid w:val="0078218B"/>
    <w:rsid w:val="0078241A"/>
    <w:rsid w:val="007827A9"/>
    <w:rsid w:val="00782C81"/>
    <w:rsid w:val="007830BF"/>
    <w:rsid w:val="00783222"/>
    <w:rsid w:val="007832F4"/>
    <w:rsid w:val="0078341A"/>
    <w:rsid w:val="00783554"/>
    <w:rsid w:val="00783C9E"/>
    <w:rsid w:val="00783E4A"/>
    <w:rsid w:val="007851D2"/>
    <w:rsid w:val="00785AA6"/>
    <w:rsid w:val="00786080"/>
    <w:rsid w:val="00786D60"/>
    <w:rsid w:val="00786F20"/>
    <w:rsid w:val="007870BE"/>
    <w:rsid w:val="00787598"/>
    <w:rsid w:val="00787679"/>
    <w:rsid w:val="007879BC"/>
    <w:rsid w:val="00787A5C"/>
    <w:rsid w:val="00787CEC"/>
    <w:rsid w:val="007903DC"/>
    <w:rsid w:val="00790637"/>
    <w:rsid w:val="00790C20"/>
    <w:rsid w:val="00791E59"/>
    <w:rsid w:val="00791F90"/>
    <w:rsid w:val="0079216E"/>
    <w:rsid w:val="0079232A"/>
    <w:rsid w:val="00792475"/>
    <w:rsid w:val="007929CB"/>
    <w:rsid w:val="00792ACA"/>
    <w:rsid w:val="00792DCD"/>
    <w:rsid w:val="00793179"/>
    <w:rsid w:val="00793A3E"/>
    <w:rsid w:val="00795A0B"/>
    <w:rsid w:val="00796669"/>
    <w:rsid w:val="0079728C"/>
    <w:rsid w:val="007978AA"/>
    <w:rsid w:val="007979E2"/>
    <w:rsid w:val="00797DB0"/>
    <w:rsid w:val="007A035F"/>
    <w:rsid w:val="007A0434"/>
    <w:rsid w:val="007A07E7"/>
    <w:rsid w:val="007A13CA"/>
    <w:rsid w:val="007A1403"/>
    <w:rsid w:val="007A1794"/>
    <w:rsid w:val="007A21D3"/>
    <w:rsid w:val="007A2209"/>
    <w:rsid w:val="007A2A84"/>
    <w:rsid w:val="007A380F"/>
    <w:rsid w:val="007A3BF4"/>
    <w:rsid w:val="007A3D53"/>
    <w:rsid w:val="007A49C4"/>
    <w:rsid w:val="007A5783"/>
    <w:rsid w:val="007A58FF"/>
    <w:rsid w:val="007A5FD3"/>
    <w:rsid w:val="007A6223"/>
    <w:rsid w:val="007A6664"/>
    <w:rsid w:val="007A6DF3"/>
    <w:rsid w:val="007A7735"/>
    <w:rsid w:val="007B02D0"/>
    <w:rsid w:val="007B1070"/>
    <w:rsid w:val="007B1404"/>
    <w:rsid w:val="007B1D0A"/>
    <w:rsid w:val="007B2588"/>
    <w:rsid w:val="007B29E4"/>
    <w:rsid w:val="007B30FD"/>
    <w:rsid w:val="007B3C48"/>
    <w:rsid w:val="007B3D96"/>
    <w:rsid w:val="007B421A"/>
    <w:rsid w:val="007B5774"/>
    <w:rsid w:val="007B5B86"/>
    <w:rsid w:val="007B7330"/>
    <w:rsid w:val="007B74D2"/>
    <w:rsid w:val="007B7693"/>
    <w:rsid w:val="007B7986"/>
    <w:rsid w:val="007C0218"/>
    <w:rsid w:val="007C0BD0"/>
    <w:rsid w:val="007C1AB8"/>
    <w:rsid w:val="007C203B"/>
    <w:rsid w:val="007C216E"/>
    <w:rsid w:val="007C2408"/>
    <w:rsid w:val="007C365C"/>
    <w:rsid w:val="007C3AB1"/>
    <w:rsid w:val="007C3BBA"/>
    <w:rsid w:val="007C3E3E"/>
    <w:rsid w:val="007C4DFA"/>
    <w:rsid w:val="007C4EBD"/>
    <w:rsid w:val="007C4FE2"/>
    <w:rsid w:val="007C5653"/>
    <w:rsid w:val="007C56B0"/>
    <w:rsid w:val="007C5D60"/>
    <w:rsid w:val="007C67DE"/>
    <w:rsid w:val="007C67F4"/>
    <w:rsid w:val="007C68B7"/>
    <w:rsid w:val="007C6C09"/>
    <w:rsid w:val="007C6E63"/>
    <w:rsid w:val="007D0143"/>
    <w:rsid w:val="007D02B4"/>
    <w:rsid w:val="007D033C"/>
    <w:rsid w:val="007D07D3"/>
    <w:rsid w:val="007D0F86"/>
    <w:rsid w:val="007D0F95"/>
    <w:rsid w:val="007D146C"/>
    <w:rsid w:val="007D152B"/>
    <w:rsid w:val="007D1650"/>
    <w:rsid w:val="007D1CBD"/>
    <w:rsid w:val="007D21AA"/>
    <w:rsid w:val="007D2586"/>
    <w:rsid w:val="007D2816"/>
    <w:rsid w:val="007D2EEE"/>
    <w:rsid w:val="007D2F55"/>
    <w:rsid w:val="007D32DB"/>
    <w:rsid w:val="007D3480"/>
    <w:rsid w:val="007D4401"/>
    <w:rsid w:val="007D600C"/>
    <w:rsid w:val="007D6F60"/>
    <w:rsid w:val="007D6F81"/>
    <w:rsid w:val="007D72B1"/>
    <w:rsid w:val="007D7E1D"/>
    <w:rsid w:val="007E0070"/>
    <w:rsid w:val="007E0097"/>
    <w:rsid w:val="007E0E81"/>
    <w:rsid w:val="007E1C66"/>
    <w:rsid w:val="007E1C77"/>
    <w:rsid w:val="007E1EAA"/>
    <w:rsid w:val="007E26EB"/>
    <w:rsid w:val="007E2F57"/>
    <w:rsid w:val="007E2FFB"/>
    <w:rsid w:val="007E3875"/>
    <w:rsid w:val="007E3A56"/>
    <w:rsid w:val="007E4576"/>
    <w:rsid w:val="007E459D"/>
    <w:rsid w:val="007E462F"/>
    <w:rsid w:val="007E4747"/>
    <w:rsid w:val="007E48D0"/>
    <w:rsid w:val="007E4C07"/>
    <w:rsid w:val="007E558F"/>
    <w:rsid w:val="007E5CE5"/>
    <w:rsid w:val="007E60DE"/>
    <w:rsid w:val="007E6864"/>
    <w:rsid w:val="007E6E44"/>
    <w:rsid w:val="007E7274"/>
    <w:rsid w:val="007E79D8"/>
    <w:rsid w:val="007E7BCB"/>
    <w:rsid w:val="007F0083"/>
    <w:rsid w:val="007F09B5"/>
    <w:rsid w:val="007F0B06"/>
    <w:rsid w:val="007F1551"/>
    <w:rsid w:val="007F1C10"/>
    <w:rsid w:val="007F2107"/>
    <w:rsid w:val="007F2298"/>
    <w:rsid w:val="007F229E"/>
    <w:rsid w:val="007F2819"/>
    <w:rsid w:val="007F498A"/>
    <w:rsid w:val="007F5671"/>
    <w:rsid w:val="007F57D5"/>
    <w:rsid w:val="007F5D12"/>
    <w:rsid w:val="007F6093"/>
    <w:rsid w:val="007F6366"/>
    <w:rsid w:val="007F65D1"/>
    <w:rsid w:val="007F69FF"/>
    <w:rsid w:val="007F7181"/>
    <w:rsid w:val="007F74E8"/>
    <w:rsid w:val="007F7D52"/>
    <w:rsid w:val="007F7DC3"/>
    <w:rsid w:val="007F7DF4"/>
    <w:rsid w:val="00800125"/>
    <w:rsid w:val="00801993"/>
    <w:rsid w:val="00802EC2"/>
    <w:rsid w:val="00803187"/>
    <w:rsid w:val="00803D45"/>
    <w:rsid w:val="00803F6D"/>
    <w:rsid w:val="00804312"/>
    <w:rsid w:val="00805371"/>
    <w:rsid w:val="008055FD"/>
    <w:rsid w:val="0080560F"/>
    <w:rsid w:val="00805DDB"/>
    <w:rsid w:val="008068BD"/>
    <w:rsid w:val="008069BA"/>
    <w:rsid w:val="00806CBD"/>
    <w:rsid w:val="00807746"/>
    <w:rsid w:val="00807AED"/>
    <w:rsid w:val="00810106"/>
    <w:rsid w:val="00810DBF"/>
    <w:rsid w:val="00810E17"/>
    <w:rsid w:val="00810F13"/>
    <w:rsid w:val="008114E7"/>
    <w:rsid w:val="00812734"/>
    <w:rsid w:val="008128EB"/>
    <w:rsid w:val="0081290F"/>
    <w:rsid w:val="00812F8F"/>
    <w:rsid w:val="0081350C"/>
    <w:rsid w:val="008136D5"/>
    <w:rsid w:val="00813C69"/>
    <w:rsid w:val="00813EB9"/>
    <w:rsid w:val="00813EC7"/>
    <w:rsid w:val="00813FF8"/>
    <w:rsid w:val="00814371"/>
    <w:rsid w:val="0081472E"/>
    <w:rsid w:val="0081497B"/>
    <w:rsid w:val="008163B7"/>
    <w:rsid w:val="008163F3"/>
    <w:rsid w:val="008164B2"/>
    <w:rsid w:val="00816CD3"/>
    <w:rsid w:val="0082050D"/>
    <w:rsid w:val="00820598"/>
    <w:rsid w:val="00820B29"/>
    <w:rsid w:val="00820BA0"/>
    <w:rsid w:val="008214D1"/>
    <w:rsid w:val="0082179D"/>
    <w:rsid w:val="00821864"/>
    <w:rsid w:val="00821BC6"/>
    <w:rsid w:val="00822EBC"/>
    <w:rsid w:val="0082353B"/>
    <w:rsid w:val="00823D9F"/>
    <w:rsid w:val="00824426"/>
    <w:rsid w:val="0082446E"/>
    <w:rsid w:val="008247F4"/>
    <w:rsid w:val="00825050"/>
    <w:rsid w:val="008251E6"/>
    <w:rsid w:val="0082583B"/>
    <w:rsid w:val="00825974"/>
    <w:rsid w:val="00825EE4"/>
    <w:rsid w:val="00825F66"/>
    <w:rsid w:val="008265F7"/>
    <w:rsid w:val="0082674A"/>
    <w:rsid w:val="00826B42"/>
    <w:rsid w:val="00826D18"/>
    <w:rsid w:val="00827556"/>
    <w:rsid w:val="00827A89"/>
    <w:rsid w:val="00827B08"/>
    <w:rsid w:val="00830E26"/>
    <w:rsid w:val="00830EF8"/>
    <w:rsid w:val="008310ED"/>
    <w:rsid w:val="00831656"/>
    <w:rsid w:val="0083187D"/>
    <w:rsid w:val="00831BEE"/>
    <w:rsid w:val="008324E2"/>
    <w:rsid w:val="008327F5"/>
    <w:rsid w:val="00832C6B"/>
    <w:rsid w:val="00833313"/>
    <w:rsid w:val="0083352D"/>
    <w:rsid w:val="008337FA"/>
    <w:rsid w:val="00833890"/>
    <w:rsid w:val="00833C47"/>
    <w:rsid w:val="00834DB5"/>
    <w:rsid w:val="00835093"/>
    <w:rsid w:val="00835356"/>
    <w:rsid w:val="00835D55"/>
    <w:rsid w:val="00835EBA"/>
    <w:rsid w:val="00836711"/>
    <w:rsid w:val="00836DE0"/>
    <w:rsid w:val="00837E07"/>
    <w:rsid w:val="008407DF"/>
    <w:rsid w:val="00840C4C"/>
    <w:rsid w:val="0084195A"/>
    <w:rsid w:val="008419C2"/>
    <w:rsid w:val="00842751"/>
    <w:rsid w:val="00842AB4"/>
    <w:rsid w:val="00842BF6"/>
    <w:rsid w:val="00843EA2"/>
    <w:rsid w:val="00844DD6"/>
    <w:rsid w:val="008450FD"/>
    <w:rsid w:val="00846058"/>
    <w:rsid w:val="008463AE"/>
    <w:rsid w:val="00847607"/>
    <w:rsid w:val="0085007E"/>
    <w:rsid w:val="008502F4"/>
    <w:rsid w:val="0085036C"/>
    <w:rsid w:val="0085045B"/>
    <w:rsid w:val="008507BD"/>
    <w:rsid w:val="00850980"/>
    <w:rsid w:val="0085211F"/>
    <w:rsid w:val="00852988"/>
    <w:rsid w:val="008529E5"/>
    <w:rsid w:val="0085377E"/>
    <w:rsid w:val="00853E09"/>
    <w:rsid w:val="008544EB"/>
    <w:rsid w:val="00854556"/>
    <w:rsid w:val="00854CBA"/>
    <w:rsid w:val="00855AFA"/>
    <w:rsid w:val="00855CF9"/>
    <w:rsid w:val="00855F73"/>
    <w:rsid w:val="008561CC"/>
    <w:rsid w:val="0085622F"/>
    <w:rsid w:val="00856988"/>
    <w:rsid w:val="00856D0E"/>
    <w:rsid w:val="00856D13"/>
    <w:rsid w:val="008571F0"/>
    <w:rsid w:val="008577F0"/>
    <w:rsid w:val="00857BF6"/>
    <w:rsid w:val="00857EFA"/>
    <w:rsid w:val="00860A60"/>
    <w:rsid w:val="008611DA"/>
    <w:rsid w:val="00861B6D"/>
    <w:rsid w:val="00861BD7"/>
    <w:rsid w:val="00861DEC"/>
    <w:rsid w:val="0086201F"/>
    <w:rsid w:val="008621B1"/>
    <w:rsid w:val="0086279F"/>
    <w:rsid w:val="00862CB9"/>
    <w:rsid w:val="008641CE"/>
    <w:rsid w:val="0086489D"/>
    <w:rsid w:val="00864C58"/>
    <w:rsid w:val="00865185"/>
    <w:rsid w:val="00865562"/>
    <w:rsid w:val="00865FF0"/>
    <w:rsid w:val="00866054"/>
    <w:rsid w:val="008667AC"/>
    <w:rsid w:val="00866894"/>
    <w:rsid w:val="008669AC"/>
    <w:rsid w:val="00866A86"/>
    <w:rsid w:val="00866F2E"/>
    <w:rsid w:val="0086781B"/>
    <w:rsid w:val="00867F24"/>
    <w:rsid w:val="0087047D"/>
    <w:rsid w:val="008707F1"/>
    <w:rsid w:val="00870B7C"/>
    <w:rsid w:val="00871021"/>
    <w:rsid w:val="00871ADD"/>
    <w:rsid w:val="008722CE"/>
    <w:rsid w:val="00872A32"/>
    <w:rsid w:val="008732EB"/>
    <w:rsid w:val="00874EE4"/>
    <w:rsid w:val="00875696"/>
    <w:rsid w:val="008759A1"/>
    <w:rsid w:val="00875B26"/>
    <w:rsid w:val="00875E36"/>
    <w:rsid w:val="00875F6B"/>
    <w:rsid w:val="0087668A"/>
    <w:rsid w:val="00876979"/>
    <w:rsid w:val="00876D3C"/>
    <w:rsid w:val="00877A57"/>
    <w:rsid w:val="00877BA0"/>
    <w:rsid w:val="00880094"/>
    <w:rsid w:val="00880465"/>
    <w:rsid w:val="00880541"/>
    <w:rsid w:val="00880EFE"/>
    <w:rsid w:val="0088150C"/>
    <w:rsid w:val="008818DB"/>
    <w:rsid w:val="00881CBE"/>
    <w:rsid w:val="00881E06"/>
    <w:rsid w:val="008823FA"/>
    <w:rsid w:val="0088248B"/>
    <w:rsid w:val="008828DD"/>
    <w:rsid w:val="008830FE"/>
    <w:rsid w:val="008834F6"/>
    <w:rsid w:val="00883674"/>
    <w:rsid w:val="008849D4"/>
    <w:rsid w:val="008849E7"/>
    <w:rsid w:val="00884FA5"/>
    <w:rsid w:val="0088520E"/>
    <w:rsid w:val="008869B0"/>
    <w:rsid w:val="00886BD8"/>
    <w:rsid w:val="00887079"/>
    <w:rsid w:val="00887438"/>
    <w:rsid w:val="008876C2"/>
    <w:rsid w:val="008879FB"/>
    <w:rsid w:val="0089045C"/>
    <w:rsid w:val="00890490"/>
    <w:rsid w:val="008907F9"/>
    <w:rsid w:val="00891B6C"/>
    <w:rsid w:val="00892596"/>
    <w:rsid w:val="00892B58"/>
    <w:rsid w:val="00892C31"/>
    <w:rsid w:val="00892C48"/>
    <w:rsid w:val="0089303B"/>
    <w:rsid w:val="008932EC"/>
    <w:rsid w:val="00895011"/>
    <w:rsid w:val="00895123"/>
    <w:rsid w:val="00895B56"/>
    <w:rsid w:val="00895F02"/>
    <w:rsid w:val="0089740E"/>
    <w:rsid w:val="00897861"/>
    <w:rsid w:val="008978EA"/>
    <w:rsid w:val="008A0518"/>
    <w:rsid w:val="008A076E"/>
    <w:rsid w:val="008A08D8"/>
    <w:rsid w:val="008A10E3"/>
    <w:rsid w:val="008A156E"/>
    <w:rsid w:val="008A1C80"/>
    <w:rsid w:val="008A2413"/>
    <w:rsid w:val="008A241A"/>
    <w:rsid w:val="008A28CF"/>
    <w:rsid w:val="008A29CF"/>
    <w:rsid w:val="008A2B3A"/>
    <w:rsid w:val="008A37D1"/>
    <w:rsid w:val="008A380E"/>
    <w:rsid w:val="008A5887"/>
    <w:rsid w:val="008A6814"/>
    <w:rsid w:val="008A6895"/>
    <w:rsid w:val="008A6BD2"/>
    <w:rsid w:val="008A6E92"/>
    <w:rsid w:val="008A7302"/>
    <w:rsid w:val="008A788F"/>
    <w:rsid w:val="008A7B0F"/>
    <w:rsid w:val="008A7B27"/>
    <w:rsid w:val="008A7B5D"/>
    <w:rsid w:val="008A7E0D"/>
    <w:rsid w:val="008A7EA9"/>
    <w:rsid w:val="008B04B7"/>
    <w:rsid w:val="008B0DAF"/>
    <w:rsid w:val="008B131B"/>
    <w:rsid w:val="008B1A6D"/>
    <w:rsid w:val="008B2C96"/>
    <w:rsid w:val="008B3217"/>
    <w:rsid w:val="008B34EF"/>
    <w:rsid w:val="008B353B"/>
    <w:rsid w:val="008B35FC"/>
    <w:rsid w:val="008B38AA"/>
    <w:rsid w:val="008B3B78"/>
    <w:rsid w:val="008B412C"/>
    <w:rsid w:val="008B523D"/>
    <w:rsid w:val="008B5A7C"/>
    <w:rsid w:val="008B5C79"/>
    <w:rsid w:val="008B62DD"/>
    <w:rsid w:val="008B6434"/>
    <w:rsid w:val="008B647B"/>
    <w:rsid w:val="008B6669"/>
    <w:rsid w:val="008B6C31"/>
    <w:rsid w:val="008B6FD4"/>
    <w:rsid w:val="008B7301"/>
    <w:rsid w:val="008B791D"/>
    <w:rsid w:val="008C0438"/>
    <w:rsid w:val="008C0F97"/>
    <w:rsid w:val="008C1D28"/>
    <w:rsid w:val="008C22C1"/>
    <w:rsid w:val="008C2496"/>
    <w:rsid w:val="008C2B5E"/>
    <w:rsid w:val="008C2B98"/>
    <w:rsid w:val="008C2E63"/>
    <w:rsid w:val="008C31C0"/>
    <w:rsid w:val="008C3733"/>
    <w:rsid w:val="008C3A97"/>
    <w:rsid w:val="008C3AB6"/>
    <w:rsid w:val="008C3B49"/>
    <w:rsid w:val="008C3E08"/>
    <w:rsid w:val="008C47C2"/>
    <w:rsid w:val="008C47C6"/>
    <w:rsid w:val="008C55DF"/>
    <w:rsid w:val="008C5626"/>
    <w:rsid w:val="008C5A1D"/>
    <w:rsid w:val="008C6076"/>
    <w:rsid w:val="008C6684"/>
    <w:rsid w:val="008C6A9C"/>
    <w:rsid w:val="008C7548"/>
    <w:rsid w:val="008C7A8C"/>
    <w:rsid w:val="008D064D"/>
    <w:rsid w:val="008D0823"/>
    <w:rsid w:val="008D0AEF"/>
    <w:rsid w:val="008D0D3E"/>
    <w:rsid w:val="008D2BDC"/>
    <w:rsid w:val="008D2E8B"/>
    <w:rsid w:val="008D33CA"/>
    <w:rsid w:val="008D36DE"/>
    <w:rsid w:val="008D3B8A"/>
    <w:rsid w:val="008D3CD3"/>
    <w:rsid w:val="008D4185"/>
    <w:rsid w:val="008D47B9"/>
    <w:rsid w:val="008D4CBD"/>
    <w:rsid w:val="008D4CE4"/>
    <w:rsid w:val="008D4F7E"/>
    <w:rsid w:val="008D59FE"/>
    <w:rsid w:val="008D6BB0"/>
    <w:rsid w:val="008D6CD8"/>
    <w:rsid w:val="008D7AFA"/>
    <w:rsid w:val="008E00EA"/>
    <w:rsid w:val="008E0D51"/>
    <w:rsid w:val="008E11E5"/>
    <w:rsid w:val="008E1AA2"/>
    <w:rsid w:val="008E247B"/>
    <w:rsid w:val="008E2B3C"/>
    <w:rsid w:val="008E2CEC"/>
    <w:rsid w:val="008E35B9"/>
    <w:rsid w:val="008E3776"/>
    <w:rsid w:val="008E3D93"/>
    <w:rsid w:val="008E4036"/>
    <w:rsid w:val="008E4FD3"/>
    <w:rsid w:val="008E51E5"/>
    <w:rsid w:val="008E5307"/>
    <w:rsid w:val="008E53C2"/>
    <w:rsid w:val="008E6AA8"/>
    <w:rsid w:val="008E6B0F"/>
    <w:rsid w:val="008E75B3"/>
    <w:rsid w:val="008E77F7"/>
    <w:rsid w:val="008E7F7A"/>
    <w:rsid w:val="008F0251"/>
    <w:rsid w:val="008F0257"/>
    <w:rsid w:val="008F0B3F"/>
    <w:rsid w:val="008F0E65"/>
    <w:rsid w:val="008F1EB7"/>
    <w:rsid w:val="008F2B88"/>
    <w:rsid w:val="008F5557"/>
    <w:rsid w:val="008F5D9C"/>
    <w:rsid w:val="008F64C3"/>
    <w:rsid w:val="008F70B0"/>
    <w:rsid w:val="008F74F0"/>
    <w:rsid w:val="008F7589"/>
    <w:rsid w:val="008F764B"/>
    <w:rsid w:val="008F7840"/>
    <w:rsid w:val="008F78D3"/>
    <w:rsid w:val="008F7E02"/>
    <w:rsid w:val="009004D7"/>
    <w:rsid w:val="009006D5"/>
    <w:rsid w:val="00900954"/>
    <w:rsid w:val="00900C79"/>
    <w:rsid w:val="009011A1"/>
    <w:rsid w:val="00901639"/>
    <w:rsid w:val="00901D30"/>
    <w:rsid w:val="00902196"/>
    <w:rsid w:val="009024C5"/>
    <w:rsid w:val="00902F2C"/>
    <w:rsid w:val="0090419D"/>
    <w:rsid w:val="00904F2B"/>
    <w:rsid w:val="009055ED"/>
    <w:rsid w:val="0090569D"/>
    <w:rsid w:val="00905799"/>
    <w:rsid w:val="00905891"/>
    <w:rsid w:val="00905F18"/>
    <w:rsid w:val="00906533"/>
    <w:rsid w:val="009072B6"/>
    <w:rsid w:val="009076AA"/>
    <w:rsid w:val="00907A14"/>
    <w:rsid w:val="00907AD6"/>
    <w:rsid w:val="00907BF5"/>
    <w:rsid w:val="00910D66"/>
    <w:rsid w:val="009111E9"/>
    <w:rsid w:val="009118A5"/>
    <w:rsid w:val="009119D9"/>
    <w:rsid w:val="00911DB6"/>
    <w:rsid w:val="00911E3B"/>
    <w:rsid w:val="00912115"/>
    <w:rsid w:val="00912702"/>
    <w:rsid w:val="00912950"/>
    <w:rsid w:val="0091297C"/>
    <w:rsid w:val="00912A48"/>
    <w:rsid w:val="00912CD8"/>
    <w:rsid w:val="00913267"/>
    <w:rsid w:val="00913E19"/>
    <w:rsid w:val="00914A9E"/>
    <w:rsid w:val="00914E50"/>
    <w:rsid w:val="00915A35"/>
    <w:rsid w:val="00916012"/>
    <w:rsid w:val="0091686F"/>
    <w:rsid w:val="00916B7D"/>
    <w:rsid w:val="00916DD7"/>
    <w:rsid w:val="009177BC"/>
    <w:rsid w:val="0091788D"/>
    <w:rsid w:val="00920609"/>
    <w:rsid w:val="009207FA"/>
    <w:rsid w:val="009211EC"/>
    <w:rsid w:val="00921A85"/>
    <w:rsid w:val="00921CE3"/>
    <w:rsid w:val="00922035"/>
    <w:rsid w:val="009220FD"/>
    <w:rsid w:val="00922EC0"/>
    <w:rsid w:val="00922FF2"/>
    <w:rsid w:val="00923879"/>
    <w:rsid w:val="00923FFA"/>
    <w:rsid w:val="00924290"/>
    <w:rsid w:val="009245CB"/>
    <w:rsid w:val="009248A7"/>
    <w:rsid w:val="00925093"/>
    <w:rsid w:val="00925257"/>
    <w:rsid w:val="009252D7"/>
    <w:rsid w:val="0092587F"/>
    <w:rsid w:val="00925D4F"/>
    <w:rsid w:val="00926153"/>
    <w:rsid w:val="009263D0"/>
    <w:rsid w:val="009266C4"/>
    <w:rsid w:val="00926ADC"/>
    <w:rsid w:val="00926B3F"/>
    <w:rsid w:val="00926E2F"/>
    <w:rsid w:val="00927253"/>
    <w:rsid w:val="009274B9"/>
    <w:rsid w:val="00927A9D"/>
    <w:rsid w:val="00930637"/>
    <w:rsid w:val="00931685"/>
    <w:rsid w:val="00932D23"/>
    <w:rsid w:val="00932F88"/>
    <w:rsid w:val="00933016"/>
    <w:rsid w:val="009330DA"/>
    <w:rsid w:val="009330EE"/>
    <w:rsid w:val="009342E2"/>
    <w:rsid w:val="0093445E"/>
    <w:rsid w:val="0093457E"/>
    <w:rsid w:val="009356D8"/>
    <w:rsid w:val="0093572C"/>
    <w:rsid w:val="009357D9"/>
    <w:rsid w:val="00936504"/>
    <w:rsid w:val="00936653"/>
    <w:rsid w:val="009376FA"/>
    <w:rsid w:val="00937A55"/>
    <w:rsid w:val="00937BD4"/>
    <w:rsid w:val="00941001"/>
    <w:rsid w:val="00941ABD"/>
    <w:rsid w:val="00941BB6"/>
    <w:rsid w:val="00941F10"/>
    <w:rsid w:val="0094342C"/>
    <w:rsid w:val="009438C6"/>
    <w:rsid w:val="009439EB"/>
    <w:rsid w:val="009439F9"/>
    <w:rsid w:val="0094424F"/>
    <w:rsid w:val="00944E8C"/>
    <w:rsid w:val="0094534C"/>
    <w:rsid w:val="009454D3"/>
    <w:rsid w:val="00945EA5"/>
    <w:rsid w:val="00946626"/>
    <w:rsid w:val="0094686A"/>
    <w:rsid w:val="00946B79"/>
    <w:rsid w:val="00946BFE"/>
    <w:rsid w:val="00947724"/>
    <w:rsid w:val="00947C12"/>
    <w:rsid w:val="00950042"/>
    <w:rsid w:val="009505FA"/>
    <w:rsid w:val="00950FFE"/>
    <w:rsid w:val="0095156C"/>
    <w:rsid w:val="00951A9B"/>
    <w:rsid w:val="009521E0"/>
    <w:rsid w:val="00952F0D"/>
    <w:rsid w:val="0095317D"/>
    <w:rsid w:val="00953DF8"/>
    <w:rsid w:val="00953F43"/>
    <w:rsid w:val="00954157"/>
    <w:rsid w:val="00954237"/>
    <w:rsid w:val="0095459E"/>
    <w:rsid w:val="009549F3"/>
    <w:rsid w:val="00954E87"/>
    <w:rsid w:val="009557B5"/>
    <w:rsid w:val="00955980"/>
    <w:rsid w:val="0095602F"/>
    <w:rsid w:val="00956149"/>
    <w:rsid w:val="00956749"/>
    <w:rsid w:val="00956860"/>
    <w:rsid w:val="0095708E"/>
    <w:rsid w:val="009574CC"/>
    <w:rsid w:val="0096050D"/>
    <w:rsid w:val="009607F5"/>
    <w:rsid w:val="00960884"/>
    <w:rsid w:val="00961074"/>
    <w:rsid w:val="009610E8"/>
    <w:rsid w:val="009610FA"/>
    <w:rsid w:val="00961323"/>
    <w:rsid w:val="00961513"/>
    <w:rsid w:val="00961580"/>
    <w:rsid w:val="009617EA"/>
    <w:rsid w:val="00961E2A"/>
    <w:rsid w:val="009623E0"/>
    <w:rsid w:val="009626E2"/>
    <w:rsid w:val="00962997"/>
    <w:rsid w:val="00963E4E"/>
    <w:rsid w:val="00964A5F"/>
    <w:rsid w:val="009651CF"/>
    <w:rsid w:val="009652D0"/>
    <w:rsid w:val="00965740"/>
    <w:rsid w:val="00966161"/>
    <w:rsid w:val="0096677B"/>
    <w:rsid w:val="00966B62"/>
    <w:rsid w:val="00966C9B"/>
    <w:rsid w:val="0096736A"/>
    <w:rsid w:val="009676E8"/>
    <w:rsid w:val="00967EFB"/>
    <w:rsid w:val="00967F59"/>
    <w:rsid w:val="00970009"/>
    <w:rsid w:val="0097027B"/>
    <w:rsid w:val="009705E4"/>
    <w:rsid w:val="009705E9"/>
    <w:rsid w:val="00970AB5"/>
    <w:rsid w:val="00970BF6"/>
    <w:rsid w:val="00970FC7"/>
    <w:rsid w:val="009717D1"/>
    <w:rsid w:val="00971A67"/>
    <w:rsid w:val="00972034"/>
    <w:rsid w:val="00972165"/>
    <w:rsid w:val="009729EE"/>
    <w:rsid w:val="00972B23"/>
    <w:rsid w:val="00972C12"/>
    <w:rsid w:val="00973C94"/>
    <w:rsid w:val="00974F86"/>
    <w:rsid w:val="00975FC2"/>
    <w:rsid w:val="009765C5"/>
    <w:rsid w:val="00976E5E"/>
    <w:rsid w:val="009779CB"/>
    <w:rsid w:val="009779D3"/>
    <w:rsid w:val="00977CAB"/>
    <w:rsid w:val="00980417"/>
    <w:rsid w:val="0098053F"/>
    <w:rsid w:val="00980877"/>
    <w:rsid w:val="009808DD"/>
    <w:rsid w:val="00980B7F"/>
    <w:rsid w:val="0098110C"/>
    <w:rsid w:val="00982375"/>
    <w:rsid w:val="009828E4"/>
    <w:rsid w:val="009829CD"/>
    <w:rsid w:val="009838DE"/>
    <w:rsid w:val="00983AA6"/>
    <w:rsid w:val="00984135"/>
    <w:rsid w:val="00984231"/>
    <w:rsid w:val="00984498"/>
    <w:rsid w:val="00984BD2"/>
    <w:rsid w:val="00984F4D"/>
    <w:rsid w:val="00985908"/>
    <w:rsid w:val="00985976"/>
    <w:rsid w:val="00986E5C"/>
    <w:rsid w:val="00986E78"/>
    <w:rsid w:val="00987D6C"/>
    <w:rsid w:val="009900ED"/>
    <w:rsid w:val="00990A1D"/>
    <w:rsid w:val="009911DD"/>
    <w:rsid w:val="0099173C"/>
    <w:rsid w:val="009917D9"/>
    <w:rsid w:val="00991969"/>
    <w:rsid w:val="009920AB"/>
    <w:rsid w:val="00992773"/>
    <w:rsid w:val="009928B5"/>
    <w:rsid w:val="009931CE"/>
    <w:rsid w:val="009934F4"/>
    <w:rsid w:val="00993B33"/>
    <w:rsid w:val="00993DA5"/>
    <w:rsid w:val="009948E1"/>
    <w:rsid w:val="00994BB8"/>
    <w:rsid w:val="00994FF3"/>
    <w:rsid w:val="009959A2"/>
    <w:rsid w:val="009962FA"/>
    <w:rsid w:val="009963EC"/>
    <w:rsid w:val="00996423"/>
    <w:rsid w:val="0099642C"/>
    <w:rsid w:val="00996793"/>
    <w:rsid w:val="009967F1"/>
    <w:rsid w:val="00996BD2"/>
    <w:rsid w:val="00996DB7"/>
    <w:rsid w:val="0099750E"/>
    <w:rsid w:val="009979E2"/>
    <w:rsid w:val="009A0165"/>
    <w:rsid w:val="009A0B92"/>
    <w:rsid w:val="009A0C97"/>
    <w:rsid w:val="009A16BD"/>
    <w:rsid w:val="009A2BCE"/>
    <w:rsid w:val="009A2BE0"/>
    <w:rsid w:val="009A3271"/>
    <w:rsid w:val="009A33F0"/>
    <w:rsid w:val="009A3740"/>
    <w:rsid w:val="009A3FF4"/>
    <w:rsid w:val="009A40A5"/>
    <w:rsid w:val="009A4873"/>
    <w:rsid w:val="009A59DE"/>
    <w:rsid w:val="009A5F1E"/>
    <w:rsid w:val="009A6934"/>
    <w:rsid w:val="009A6D94"/>
    <w:rsid w:val="009A7555"/>
    <w:rsid w:val="009B0393"/>
    <w:rsid w:val="009B107B"/>
    <w:rsid w:val="009B1469"/>
    <w:rsid w:val="009B1CBD"/>
    <w:rsid w:val="009B345F"/>
    <w:rsid w:val="009B3604"/>
    <w:rsid w:val="009B3919"/>
    <w:rsid w:val="009B3984"/>
    <w:rsid w:val="009B4338"/>
    <w:rsid w:val="009B4866"/>
    <w:rsid w:val="009B49BD"/>
    <w:rsid w:val="009B5E35"/>
    <w:rsid w:val="009B61C1"/>
    <w:rsid w:val="009B6B8A"/>
    <w:rsid w:val="009B6BD9"/>
    <w:rsid w:val="009B6F79"/>
    <w:rsid w:val="009B74CD"/>
    <w:rsid w:val="009B775C"/>
    <w:rsid w:val="009B7A87"/>
    <w:rsid w:val="009C0066"/>
    <w:rsid w:val="009C10DF"/>
    <w:rsid w:val="009C3710"/>
    <w:rsid w:val="009C3B74"/>
    <w:rsid w:val="009C4B97"/>
    <w:rsid w:val="009C50FF"/>
    <w:rsid w:val="009C5487"/>
    <w:rsid w:val="009C572E"/>
    <w:rsid w:val="009C6381"/>
    <w:rsid w:val="009C75BC"/>
    <w:rsid w:val="009C7791"/>
    <w:rsid w:val="009C7A00"/>
    <w:rsid w:val="009D0CF8"/>
    <w:rsid w:val="009D249E"/>
    <w:rsid w:val="009D3479"/>
    <w:rsid w:val="009D350C"/>
    <w:rsid w:val="009D46F0"/>
    <w:rsid w:val="009D4732"/>
    <w:rsid w:val="009D4B9B"/>
    <w:rsid w:val="009D5123"/>
    <w:rsid w:val="009D6294"/>
    <w:rsid w:val="009D6C92"/>
    <w:rsid w:val="009D7B56"/>
    <w:rsid w:val="009E0189"/>
    <w:rsid w:val="009E02AF"/>
    <w:rsid w:val="009E1190"/>
    <w:rsid w:val="009E1A65"/>
    <w:rsid w:val="009E1FC4"/>
    <w:rsid w:val="009E23E1"/>
    <w:rsid w:val="009E2F75"/>
    <w:rsid w:val="009E3233"/>
    <w:rsid w:val="009E38FB"/>
    <w:rsid w:val="009E3E02"/>
    <w:rsid w:val="009E400C"/>
    <w:rsid w:val="009E5249"/>
    <w:rsid w:val="009E54F4"/>
    <w:rsid w:val="009E5590"/>
    <w:rsid w:val="009E5CB8"/>
    <w:rsid w:val="009E6119"/>
    <w:rsid w:val="009E6143"/>
    <w:rsid w:val="009E6910"/>
    <w:rsid w:val="009E6B04"/>
    <w:rsid w:val="009E6D8C"/>
    <w:rsid w:val="009E713A"/>
    <w:rsid w:val="009E7181"/>
    <w:rsid w:val="009E7324"/>
    <w:rsid w:val="009E7858"/>
    <w:rsid w:val="009F039B"/>
    <w:rsid w:val="009F04A2"/>
    <w:rsid w:val="009F100C"/>
    <w:rsid w:val="009F1917"/>
    <w:rsid w:val="009F20A7"/>
    <w:rsid w:val="009F25F5"/>
    <w:rsid w:val="009F29DB"/>
    <w:rsid w:val="009F2D97"/>
    <w:rsid w:val="009F2E72"/>
    <w:rsid w:val="009F2F46"/>
    <w:rsid w:val="009F3D0E"/>
    <w:rsid w:val="009F4266"/>
    <w:rsid w:val="009F4598"/>
    <w:rsid w:val="009F46A2"/>
    <w:rsid w:val="009F4FFA"/>
    <w:rsid w:val="009F507E"/>
    <w:rsid w:val="009F554B"/>
    <w:rsid w:val="009F60E3"/>
    <w:rsid w:val="009F6109"/>
    <w:rsid w:val="009F6641"/>
    <w:rsid w:val="009F6B88"/>
    <w:rsid w:val="009F7758"/>
    <w:rsid w:val="009F793E"/>
    <w:rsid w:val="009F7E1F"/>
    <w:rsid w:val="00A00040"/>
    <w:rsid w:val="00A00494"/>
    <w:rsid w:val="00A00687"/>
    <w:rsid w:val="00A0079D"/>
    <w:rsid w:val="00A009B9"/>
    <w:rsid w:val="00A00A28"/>
    <w:rsid w:val="00A00AF2"/>
    <w:rsid w:val="00A00F0F"/>
    <w:rsid w:val="00A017C1"/>
    <w:rsid w:val="00A01C9F"/>
    <w:rsid w:val="00A02E15"/>
    <w:rsid w:val="00A02F3A"/>
    <w:rsid w:val="00A0306D"/>
    <w:rsid w:val="00A03C9E"/>
    <w:rsid w:val="00A04865"/>
    <w:rsid w:val="00A04B38"/>
    <w:rsid w:val="00A04E1A"/>
    <w:rsid w:val="00A05345"/>
    <w:rsid w:val="00A05591"/>
    <w:rsid w:val="00A060D4"/>
    <w:rsid w:val="00A06A4B"/>
    <w:rsid w:val="00A06D6F"/>
    <w:rsid w:val="00A06E1F"/>
    <w:rsid w:val="00A06F36"/>
    <w:rsid w:val="00A06F49"/>
    <w:rsid w:val="00A079A6"/>
    <w:rsid w:val="00A1078E"/>
    <w:rsid w:val="00A11080"/>
    <w:rsid w:val="00A113F5"/>
    <w:rsid w:val="00A11BAB"/>
    <w:rsid w:val="00A12D40"/>
    <w:rsid w:val="00A14A5A"/>
    <w:rsid w:val="00A14D21"/>
    <w:rsid w:val="00A1549B"/>
    <w:rsid w:val="00A15805"/>
    <w:rsid w:val="00A1592F"/>
    <w:rsid w:val="00A15D01"/>
    <w:rsid w:val="00A15F45"/>
    <w:rsid w:val="00A162D0"/>
    <w:rsid w:val="00A165C1"/>
    <w:rsid w:val="00A1705A"/>
    <w:rsid w:val="00A1754B"/>
    <w:rsid w:val="00A20C1F"/>
    <w:rsid w:val="00A21249"/>
    <w:rsid w:val="00A212C0"/>
    <w:rsid w:val="00A216E0"/>
    <w:rsid w:val="00A21A28"/>
    <w:rsid w:val="00A21A68"/>
    <w:rsid w:val="00A21D16"/>
    <w:rsid w:val="00A22693"/>
    <w:rsid w:val="00A228A5"/>
    <w:rsid w:val="00A22FF8"/>
    <w:rsid w:val="00A2307E"/>
    <w:rsid w:val="00A24173"/>
    <w:rsid w:val="00A24401"/>
    <w:rsid w:val="00A24E32"/>
    <w:rsid w:val="00A24EA9"/>
    <w:rsid w:val="00A25722"/>
    <w:rsid w:val="00A25B88"/>
    <w:rsid w:val="00A25CD6"/>
    <w:rsid w:val="00A266F6"/>
    <w:rsid w:val="00A269F8"/>
    <w:rsid w:val="00A26B10"/>
    <w:rsid w:val="00A274F9"/>
    <w:rsid w:val="00A27C35"/>
    <w:rsid w:val="00A27E05"/>
    <w:rsid w:val="00A30492"/>
    <w:rsid w:val="00A30640"/>
    <w:rsid w:val="00A30780"/>
    <w:rsid w:val="00A31091"/>
    <w:rsid w:val="00A322E7"/>
    <w:rsid w:val="00A327B6"/>
    <w:rsid w:val="00A32C58"/>
    <w:rsid w:val="00A32CA3"/>
    <w:rsid w:val="00A32E75"/>
    <w:rsid w:val="00A336C1"/>
    <w:rsid w:val="00A34968"/>
    <w:rsid w:val="00A3501A"/>
    <w:rsid w:val="00A35064"/>
    <w:rsid w:val="00A3528D"/>
    <w:rsid w:val="00A3656B"/>
    <w:rsid w:val="00A36A9A"/>
    <w:rsid w:val="00A3709A"/>
    <w:rsid w:val="00A37166"/>
    <w:rsid w:val="00A378BC"/>
    <w:rsid w:val="00A37A38"/>
    <w:rsid w:val="00A37ACF"/>
    <w:rsid w:val="00A4048A"/>
    <w:rsid w:val="00A40DC2"/>
    <w:rsid w:val="00A41182"/>
    <w:rsid w:val="00A415D9"/>
    <w:rsid w:val="00A41862"/>
    <w:rsid w:val="00A41E86"/>
    <w:rsid w:val="00A4227D"/>
    <w:rsid w:val="00A432FC"/>
    <w:rsid w:val="00A43782"/>
    <w:rsid w:val="00A43B00"/>
    <w:rsid w:val="00A43DB8"/>
    <w:rsid w:val="00A43EF3"/>
    <w:rsid w:val="00A4448B"/>
    <w:rsid w:val="00A44C9A"/>
    <w:rsid w:val="00A4504D"/>
    <w:rsid w:val="00A4568C"/>
    <w:rsid w:val="00A4569D"/>
    <w:rsid w:val="00A46127"/>
    <w:rsid w:val="00A46AD8"/>
    <w:rsid w:val="00A473D3"/>
    <w:rsid w:val="00A47413"/>
    <w:rsid w:val="00A47979"/>
    <w:rsid w:val="00A479BA"/>
    <w:rsid w:val="00A47E69"/>
    <w:rsid w:val="00A50098"/>
    <w:rsid w:val="00A50EF2"/>
    <w:rsid w:val="00A50F3C"/>
    <w:rsid w:val="00A51D5B"/>
    <w:rsid w:val="00A53094"/>
    <w:rsid w:val="00A533E5"/>
    <w:rsid w:val="00A54701"/>
    <w:rsid w:val="00A54E01"/>
    <w:rsid w:val="00A5559E"/>
    <w:rsid w:val="00A56516"/>
    <w:rsid w:val="00A56ACE"/>
    <w:rsid w:val="00A57215"/>
    <w:rsid w:val="00A57280"/>
    <w:rsid w:val="00A604F8"/>
    <w:rsid w:val="00A605C2"/>
    <w:rsid w:val="00A60B93"/>
    <w:rsid w:val="00A61265"/>
    <w:rsid w:val="00A615AC"/>
    <w:rsid w:val="00A61619"/>
    <w:rsid w:val="00A6176E"/>
    <w:rsid w:val="00A61A4E"/>
    <w:rsid w:val="00A61C53"/>
    <w:rsid w:val="00A61E72"/>
    <w:rsid w:val="00A62AD6"/>
    <w:rsid w:val="00A62AF9"/>
    <w:rsid w:val="00A62F73"/>
    <w:rsid w:val="00A63054"/>
    <w:rsid w:val="00A63349"/>
    <w:rsid w:val="00A63642"/>
    <w:rsid w:val="00A637D2"/>
    <w:rsid w:val="00A639E3"/>
    <w:rsid w:val="00A64376"/>
    <w:rsid w:val="00A64783"/>
    <w:rsid w:val="00A64E93"/>
    <w:rsid w:val="00A653ED"/>
    <w:rsid w:val="00A65C82"/>
    <w:rsid w:val="00A65CA9"/>
    <w:rsid w:val="00A661DC"/>
    <w:rsid w:val="00A662F1"/>
    <w:rsid w:val="00A667C0"/>
    <w:rsid w:val="00A67230"/>
    <w:rsid w:val="00A67D49"/>
    <w:rsid w:val="00A70753"/>
    <w:rsid w:val="00A70938"/>
    <w:rsid w:val="00A70B61"/>
    <w:rsid w:val="00A7107C"/>
    <w:rsid w:val="00A7170A"/>
    <w:rsid w:val="00A71A9B"/>
    <w:rsid w:val="00A71AFA"/>
    <w:rsid w:val="00A72306"/>
    <w:rsid w:val="00A725DD"/>
    <w:rsid w:val="00A72EEE"/>
    <w:rsid w:val="00A73A49"/>
    <w:rsid w:val="00A73BBE"/>
    <w:rsid w:val="00A73DDC"/>
    <w:rsid w:val="00A75A50"/>
    <w:rsid w:val="00A7670B"/>
    <w:rsid w:val="00A76B80"/>
    <w:rsid w:val="00A771DF"/>
    <w:rsid w:val="00A776B3"/>
    <w:rsid w:val="00A778A9"/>
    <w:rsid w:val="00A77DF1"/>
    <w:rsid w:val="00A80474"/>
    <w:rsid w:val="00A808AF"/>
    <w:rsid w:val="00A809CD"/>
    <w:rsid w:val="00A81063"/>
    <w:rsid w:val="00A81519"/>
    <w:rsid w:val="00A81AAE"/>
    <w:rsid w:val="00A81E3F"/>
    <w:rsid w:val="00A82138"/>
    <w:rsid w:val="00A821F7"/>
    <w:rsid w:val="00A82A3F"/>
    <w:rsid w:val="00A82B78"/>
    <w:rsid w:val="00A830E9"/>
    <w:rsid w:val="00A838BD"/>
    <w:rsid w:val="00A83937"/>
    <w:rsid w:val="00A83D62"/>
    <w:rsid w:val="00A83DA8"/>
    <w:rsid w:val="00A83F0B"/>
    <w:rsid w:val="00A84231"/>
    <w:rsid w:val="00A8425E"/>
    <w:rsid w:val="00A84426"/>
    <w:rsid w:val="00A84939"/>
    <w:rsid w:val="00A849C1"/>
    <w:rsid w:val="00A84E44"/>
    <w:rsid w:val="00A85385"/>
    <w:rsid w:val="00A8547D"/>
    <w:rsid w:val="00A870E8"/>
    <w:rsid w:val="00A87CB9"/>
    <w:rsid w:val="00A87CED"/>
    <w:rsid w:val="00A87F80"/>
    <w:rsid w:val="00A9045B"/>
    <w:rsid w:val="00A90512"/>
    <w:rsid w:val="00A90E9A"/>
    <w:rsid w:val="00A91383"/>
    <w:rsid w:val="00A92111"/>
    <w:rsid w:val="00A92267"/>
    <w:rsid w:val="00A925E8"/>
    <w:rsid w:val="00A935CC"/>
    <w:rsid w:val="00A93A78"/>
    <w:rsid w:val="00A93E33"/>
    <w:rsid w:val="00A941C4"/>
    <w:rsid w:val="00A94459"/>
    <w:rsid w:val="00A949CC"/>
    <w:rsid w:val="00A94F49"/>
    <w:rsid w:val="00A95AD8"/>
    <w:rsid w:val="00A9618A"/>
    <w:rsid w:val="00A96864"/>
    <w:rsid w:val="00A968E4"/>
    <w:rsid w:val="00A96D28"/>
    <w:rsid w:val="00A96E5F"/>
    <w:rsid w:val="00A976F4"/>
    <w:rsid w:val="00AA0457"/>
    <w:rsid w:val="00AA0513"/>
    <w:rsid w:val="00AA093B"/>
    <w:rsid w:val="00AA0ABB"/>
    <w:rsid w:val="00AA0E46"/>
    <w:rsid w:val="00AA11B7"/>
    <w:rsid w:val="00AA14BD"/>
    <w:rsid w:val="00AA1B83"/>
    <w:rsid w:val="00AA1CE9"/>
    <w:rsid w:val="00AA1ECD"/>
    <w:rsid w:val="00AA227C"/>
    <w:rsid w:val="00AA2DA2"/>
    <w:rsid w:val="00AA2E70"/>
    <w:rsid w:val="00AA3FB8"/>
    <w:rsid w:val="00AA492F"/>
    <w:rsid w:val="00AA4A1C"/>
    <w:rsid w:val="00AA575A"/>
    <w:rsid w:val="00AA5952"/>
    <w:rsid w:val="00AA5D86"/>
    <w:rsid w:val="00AA5FCF"/>
    <w:rsid w:val="00AA6577"/>
    <w:rsid w:val="00AA65E4"/>
    <w:rsid w:val="00AA7036"/>
    <w:rsid w:val="00AA7C72"/>
    <w:rsid w:val="00AB02D1"/>
    <w:rsid w:val="00AB053B"/>
    <w:rsid w:val="00AB1108"/>
    <w:rsid w:val="00AB171B"/>
    <w:rsid w:val="00AB1953"/>
    <w:rsid w:val="00AB2489"/>
    <w:rsid w:val="00AB24F2"/>
    <w:rsid w:val="00AB2915"/>
    <w:rsid w:val="00AB2CF0"/>
    <w:rsid w:val="00AB324F"/>
    <w:rsid w:val="00AB3441"/>
    <w:rsid w:val="00AB35B3"/>
    <w:rsid w:val="00AB35FC"/>
    <w:rsid w:val="00AB395E"/>
    <w:rsid w:val="00AB4943"/>
    <w:rsid w:val="00AB5676"/>
    <w:rsid w:val="00AB5BC9"/>
    <w:rsid w:val="00AB600D"/>
    <w:rsid w:val="00AB6181"/>
    <w:rsid w:val="00AB6619"/>
    <w:rsid w:val="00AB69E1"/>
    <w:rsid w:val="00AB6A1B"/>
    <w:rsid w:val="00AB6D50"/>
    <w:rsid w:val="00AB7065"/>
    <w:rsid w:val="00AB799D"/>
    <w:rsid w:val="00AC026A"/>
    <w:rsid w:val="00AC0500"/>
    <w:rsid w:val="00AC05AD"/>
    <w:rsid w:val="00AC103A"/>
    <w:rsid w:val="00AC1393"/>
    <w:rsid w:val="00AC1687"/>
    <w:rsid w:val="00AC1999"/>
    <w:rsid w:val="00AC30FD"/>
    <w:rsid w:val="00AC3452"/>
    <w:rsid w:val="00AC3BB0"/>
    <w:rsid w:val="00AC4678"/>
    <w:rsid w:val="00AC55D7"/>
    <w:rsid w:val="00AC573F"/>
    <w:rsid w:val="00AC6776"/>
    <w:rsid w:val="00AC7471"/>
    <w:rsid w:val="00AC7A13"/>
    <w:rsid w:val="00AC7D30"/>
    <w:rsid w:val="00AD05A8"/>
    <w:rsid w:val="00AD131B"/>
    <w:rsid w:val="00AD15FE"/>
    <w:rsid w:val="00AD1EEE"/>
    <w:rsid w:val="00AD1F0B"/>
    <w:rsid w:val="00AD29DC"/>
    <w:rsid w:val="00AD2A48"/>
    <w:rsid w:val="00AD3B05"/>
    <w:rsid w:val="00AD40FC"/>
    <w:rsid w:val="00AD45CE"/>
    <w:rsid w:val="00AD51A0"/>
    <w:rsid w:val="00AD552C"/>
    <w:rsid w:val="00AD55E0"/>
    <w:rsid w:val="00AD57FE"/>
    <w:rsid w:val="00AD5E76"/>
    <w:rsid w:val="00AD5EE6"/>
    <w:rsid w:val="00AD5FB6"/>
    <w:rsid w:val="00AD62A9"/>
    <w:rsid w:val="00AD642F"/>
    <w:rsid w:val="00AD66E8"/>
    <w:rsid w:val="00AD695C"/>
    <w:rsid w:val="00AD729E"/>
    <w:rsid w:val="00AD7607"/>
    <w:rsid w:val="00AD7710"/>
    <w:rsid w:val="00AD783A"/>
    <w:rsid w:val="00AD7A71"/>
    <w:rsid w:val="00AD7E51"/>
    <w:rsid w:val="00AE0239"/>
    <w:rsid w:val="00AE07F5"/>
    <w:rsid w:val="00AE142B"/>
    <w:rsid w:val="00AE172B"/>
    <w:rsid w:val="00AE17B6"/>
    <w:rsid w:val="00AE1A65"/>
    <w:rsid w:val="00AE1F56"/>
    <w:rsid w:val="00AE2114"/>
    <w:rsid w:val="00AE2259"/>
    <w:rsid w:val="00AE237A"/>
    <w:rsid w:val="00AE2BE7"/>
    <w:rsid w:val="00AE3042"/>
    <w:rsid w:val="00AE33C6"/>
    <w:rsid w:val="00AE38AB"/>
    <w:rsid w:val="00AE43D6"/>
    <w:rsid w:val="00AE477B"/>
    <w:rsid w:val="00AE49D6"/>
    <w:rsid w:val="00AE4B78"/>
    <w:rsid w:val="00AE4E3B"/>
    <w:rsid w:val="00AE524B"/>
    <w:rsid w:val="00AE60E1"/>
    <w:rsid w:val="00AE689A"/>
    <w:rsid w:val="00AE68E8"/>
    <w:rsid w:val="00AE6B22"/>
    <w:rsid w:val="00AE6CB3"/>
    <w:rsid w:val="00AE7048"/>
    <w:rsid w:val="00AE7209"/>
    <w:rsid w:val="00AE79F1"/>
    <w:rsid w:val="00AF00CE"/>
    <w:rsid w:val="00AF06EA"/>
    <w:rsid w:val="00AF0744"/>
    <w:rsid w:val="00AF08EB"/>
    <w:rsid w:val="00AF107A"/>
    <w:rsid w:val="00AF1F2F"/>
    <w:rsid w:val="00AF2224"/>
    <w:rsid w:val="00AF249A"/>
    <w:rsid w:val="00AF24C8"/>
    <w:rsid w:val="00AF2AAD"/>
    <w:rsid w:val="00AF3549"/>
    <w:rsid w:val="00AF3A61"/>
    <w:rsid w:val="00AF4C5B"/>
    <w:rsid w:val="00AF5364"/>
    <w:rsid w:val="00AF56B9"/>
    <w:rsid w:val="00AF5736"/>
    <w:rsid w:val="00AF5886"/>
    <w:rsid w:val="00AF58AC"/>
    <w:rsid w:val="00AF5B1B"/>
    <w:rsid w:val="00AF7367"/>
    <w:rsid w:val="00AF73B9"/>
    <w:rsid w:val="00AF75FD"/>
    <w:rsid w:val="00B0023D"/>
    <w:rsid w:val="00B005C2"/>
    <w:rsid w:val="00B005C8"/>
    <w:rsid w:val="00B013DA"/>
    <w:rsid w:val="00B01B54"/>
    <w:rsid w:val="00B01E9E"/>
    <w:rsid w:val="00B0212F"/>
    <w:rsid w:val="00B02C5A"/>
    <w:rsid w:val="00B03272"/>
    <w:rsid w:val="00B04741"/>
    <w:rsid w:val="00B04856"/>
    <w:rsid w:val="00B05360"/>
    <w:rsid w:val="00B0577F"/>
    <w:rsid w:val="00B05C89"/>
    <w:rsid w:val="00B0621E"/>
    <w:rsid w:val="00B066D8"/>
    <w:rsid w:val="00B06BA9"/>
    <w:rsid w:val="00B06E41"/>
    <w:rsid w:val="00B07165"/>
    <w:rsid w:val="00B076DA"/>
    <w:rsid w:val="00B10072"/>
    <w:rsid w:val="00B104A7"/>
    <w:rsid w:val="00B10D2E"/>
    <w:rsid w:val="00B112B8"/>
    <w:rsid w:val="00B11594"/>
    <w:rsid w:val="00B119DC"/>
    <w:rsid w:val="00B124F2"/>
    <w:rsid w:val="00B13006"/>
    <w:rsid w:val="00B1324D"/>
    <w:rsid w:val="00B133CA"/>
    <w:rsid w:val="00B136B6"/>
    <w:rsid w:val="00B136F9"/>
    <w:rsid w:val="00B13D7C"/>
    <w:rsid w:val="00B13D90"/>
    <w:rsid w:val="00B14598"/>
    <w:rsid w:val="00B15035"/>
    <w:rsid w:val="00B153F5"/>
    <w:rsid w:val="00B15C78"/>
    <w:rsid w:val="00B16A3D"/>
    <w:rsid w:val="00B16AD8"/>
    <w:rsid w:val="00B16B4D"/>
    <w:rsid w:val="00B173F7"/>
    <w:rsid w:val="00B174F8"/>
    <w:rsid w:val="00B17B2C"/>
    <w:rsid w:val="00B200E7"/>
    <w:rsid w:val="00B20767"/>
    <w:rsid w:val="00B20E16"/>
    <w:rsid w:val="00B20E1B"/>
    <w:rsid w:val="00B2279E"/>
    <w:rsid w:val="00B23261"/>
    <w:rsid w:val="00B23365"/>
    <w:rsid w:val="00B2378F"/>
    <w:rsid w:val="00B239BE"/>
    <w:rsid w:val="00B2416D"/>
    <w:rsid w:val="00B24479"/>
    <w:rsid w:val="00B24591"/>
    <w:rsid w:val="00B2488B"/>
    <w:rsid w:val="00B25238"/>
    <w:rsid w:val="00B25DA6"/>
    <w:rsid w:val="00B26221"/>
    <w:rsid w:val="00B2624D"/>
    <w:rsid w:val="00B26A84"/>
    <w:rsid w:val="00B26DA5"/>
    <w:rsid w:val="00B27E9D"/>
    <w:rsid w:val="00B3060D"/>
    <w:rsid w:val="00B307D0"/>
    <w:rsid w:val="00B309A0"/>
    <w:rsid w:val="00B30B61"/>
    <w:rsid w:val="00B31A46"/>
    <w:rsid w:val="00B31D66"/>
    <w:rsid w:val="00B326A9"/>
    <w:rsid w:val="00B32982"/>
    <w:rsid w:val="00B32A4E"/>
    <w:rsid w:val="00B32C53"/>
    <w:rsid w:val="00B32ECE"/>
    <w:rsid w:val="00B33818"/>
    <w:rsid w:val="00B345ED"/>
    <w:rsid w:val="00B346D7"/>
    <w:rsid w:val="00B34CAF"/>
    <w:rsid w:val="00B35578"/>
    <w:rsid w:val="00B35988"/>
    <w:rsid w:val="00B35BCE"/>
    <w:rsid w:val="00B360A8"/>
    <w:rsid w:val="00B36187"/>
    <w:rsid w:val="00B365A8"/>
    <w:rsid w:val="00B366A4"/>
    <w:rsid w:val="00B3715D"/>
    <w:rsid w:val="00B3731A"/>
    <w:rsid w:val="00B379EC"/>
    <w:rsid w:val="00B37B62"/>
    <w:rsid w:val="00B40120"/>
    <w:rsid w:val="00B41810"/>
    <w:rsid w:val="00B41AAF"/>
    <w:rsid w:val="00B426C2"/>
    <w:rsid w:val="00B429AB"/>
    <w:rsid w:val="00B42DAA"/>
    <w:rsid w:val="00B42E68"/>
    <w:rsid w:val="00B433E0"/>
    <w:rsid w:val="00B43E46"/>
    <w:rsid w:val="00B44020"/>
    <w:rsid w:val="00B4409B"/>
    <w:rsid w:val="00B44288"/>
    <w:rsid w:val="00B44721"/>
    <w:rsid w:val="00B449E1"/>
    <w:rsid w:val="00B44CC6"/>
    <w:rsid w:val="00B45998"/>
    <w:rsid w:val="00B460F4"/>
    <w:rsid w:val="00B46431"/>
    <w:rsid w:val="00B46A13"/>
    <w:rsid w:val="00B46B69"/>
    <w:rsid w:val="00B470C5"/>
    <w:rsid w:val="00B471D6"/>
    <w:rsid w:val="00B47253"/>
    <w:rsid w:val="00B472BD"/>
    <w:rsid w:val="00B478B1"/>
    <w:rsid w:val="00B47E7E"/>
    <w:rsid w:val="00B50324"/>
    <w:rsid w:val="00B507E3"/>
    <w:rsid w:val="00B50AB9"/>
    <w:rsid w:val="00B5246B"/>
    <w:rsid w:val="00B52CF9"/>
    <w:rsid w:val="00B52E44"/>
    <w:rsid w:val="00B5375A"/>
    <w:rsid w:val="00B53AE1"/>
    <w:rsid w:val="00B53DB8"/>
    <w:rsid w:val="00B54546"/>
    <w:rsid w:val="00B54871"/>
    <w:rsid w:val="00B549AE"/>
    <w:rsid w:val="00B54FCC"/>
    <w:rsid w:val="00B55664"/>
    <w:rsid w:val="00B55DB7"/>
    <w:rsid w:val="00B55DFA"/>
    <w:rsid w:val="00B568F7"/>
    <w:rsid w:val="00B56A7E"/>
    <w:rsid w:val="00B573FB"/>
    <w:rsid w:val="00B57F0A"/>
    <w:rsid w:val="00B57F76"/>
    <w:rsid w:val="00B6031B"/>
    <w:rsid w:val="00B609BD"/>
    <w:rsid w:val="00B610CF"/>
    <w:rsid w:val="00B61222"/>
    <w:rsid w:val="00B617D3"/>
    <w:rsid w:val="00B61B98"/>
    <w:rsid w:val="00B61D79"/>
    <w:rsid w:val="00B61EC7"/>
    <w:rsid w:val="00B6219E"/>
    <w:rsid w:val="00B62C3E"/>
    <w:rsid w:val="00B62F90"/>
    <w:rsid w:val="00B62FEF"/>
    <w:rsid w:val="00B6340C"/>
    <w:rsid w:val="00B6347E"/>
    <w:rsid w:val="00B634DD"/>
    <w:rsid w:val="00B637F7"/>
    <w:rsid w:val="00B63E48"/>
    <w:rsid w:val="00B63F67"/>
    <w:rsid w:val="00B642B6"/>
    <w:rsid w:val="00B644CB"/>
    <w:rsid w:val="00B64B32"/>
    <w:rsid w:val="00B64CA8"/>
    <w:rsid w:val="00B65381"/>
    <w:rsid w:val="00B65AE9"/>
    <w:rsid w:val="00B66480"/>
    <w:rsid w:val="00B67918"/>
    <w:rsid w:val="00B6796F"/>
    <w:rsid w:val="00B679BD"/>
    <w:rsid w:val="00B702E7"/>
    <w:rsid w:val="00B70B4D"/>
    <w:rsid w:val="00B70B82"/>
    <w:rsid w:val="00B71375"/>
    <w:rsid w:val="00B71EFD"/>
    <w:rsid w:val="00B7236D"/>
    <w:rsid w:val="00B728A7"/>
    <w:rsid w:val="00B733F4"/>
    <w:rsid w:val="00B73503"/>
    <w:rsid w:val="00B73612"/>
    <w:rsid w:val="00B74A85"/>
    <w:rsid w:val="00B74B30"/>
    <w:rsid w:val="00B75353"/>
    <w:rsid w:val="00B75BB7"/>
    <w:rsid w:val="00B76604"/>
    <w:rsid w:val="00B76C3F"/>
    <w:rsid w:val="00B76D63"/>
    <w:rsid w:val="00B7746B"/>
    <w:rsid w:val="00B779EE"/>
    <w:rsid w:val="00B77BC0"/>
    <w:rsid w:val="00B806C5"/>
    <w:rsid w:val="00B80BFA"/>
    <w:rsid w:val="00B81070"/>
    <w:rsid w:val="00B81CB8"/>
    <w:rsid w:val="00B82CE6"/>
    <w:rsid w:val="00B832DF"/>
    <w:rsid w:val="00B83459"/>
    <w:rsid w:val="00B84231"/>
    <w:rsid w:val="00B843A3"/>
    <w:rsid w:val="00B84562"/>
    <w:rsid w:val="00B84866"/>
    <w:rsid w:val="00B852F9"/>
    <w:rsid w:val="00B86009"/>
    <w:rsid w:val="00B86299"/>
    <w:rsid w:val="00B86302"/>
    <w:rsid w:val="00B8693D"/>
    <w:rsid w:val="00B86AFE"/>
    <w:rsid w:val="00B86E13"/>
    <w:rsid w:val="00B86E23"/>
    <w:rsid w:val="00B8721F"/>
    <w:rsid w:val="00B900FF"/>
    <w:rsid w:val="00B90F38"/>
    <w:rsid w:val="00B9126E"/>
    <w:rsid w:val="00B913F8"/>
    <w:rsid w:val="00B91CF0"/>
    <w:rsid w:val="00B923B7"/>
    <w:rsid w:val="00B925EC"/>
    <w:rsid w:val="00B92BEF"/>
    <w:rsid w:val="00B92DE4"/>
    <w:rsid w:val="00B93771"/>
    <w:rsid w:val="00B93886"/>
    <w:rsid w:val="00B93D7F"/>
    <w:rsid w:val="00B93E0F"/>
    <w:rsid w:val="00B94851"/>
    <w:rsid w:val="00B95550"/>
    <w:rsid w:val="00B9555B"/>
    <w:rsid w:val="00B955D2"/>
    <w:rsid w:val="00B95A9B"/>
    <w:rsid w:val="00B95E48"/>
    <w:rsid w:val="00B95FC5"/>
    <w:rsid w:val="00B960F3"/>
    <w:rsid w:val="00B9617A"/>
    <w:rsid w:val="00B964E8"/>
    <w:rsid w:val="00B96CB3"/>
    <w:rsid w:val="00B96D5E"/>
    <w:rsid w:val="00B97081"/>
    <w:rsid w:val="00B97099"/>
    <w:rsid w:val="00B97255"/>
    <w:rsid w:val="00B97C04"/>
    <w:rsid w:val="00BA23EB"/>
    <w:rsid w:val="00BA2672"/>
    <w:rsid w:val="00BA2D9D"/>
    <w:rsid w:val="00BA309A"/>
    <w:rsid w:val="00BA36A1"/>
    <w:rsid w:val="00BA3A8F"/>
    <w:rsid w:val="00BA3E8C"/>
    <w:rsid w:val="00BA3FD6"/>
    <w:rsid w:val="00BA4638"/>
    <w:rsid w:val="00BA4747"/>
    <w:rsid w:val="00BA53A3"/>
    <w:rsid w:val="00BA5669"/>
    <w:rsid w:val="00BA56EE"/>
    <w:rsid w:val="00BA5C96"/>
    <w:rsid w:val="00BA5CA3"/>
    <w:rsid w:val="00BA5E46"/>
    <w:rsid w:val="00BA6158"/>
    <w:rsid w:val="00BA6881"/>
    <w:rsid w:val="00BA6980"/>
    <w:rsid w:val="00BA69BF"/>
    <w:rsid w:val="00BA76DC"/>
    <w:rsid w:val="00BA78C3"/>
    <w:rsid w:val="00BA7F1C"/>
    <w:rsid w:val="00BB0CF5"/>
    <w:rsid w:val="00BB1020"/>
    <w:rsid w:val="00BB1CC2"/>
    <w:rsid w:val="00BB24C4"/>
    <w:rsid w:val="00BB256B"/>
    <w:rsid w:val="00BB29D0"/>
    <w:rsid w:val="00BB2F5B"/>
    <w:rsid w:val="00BB3AB9"/>
    <w:rsid w:val="00BB44C2"/>
    <w:rsid w:val="00BB4B30"/>
    <w:rsid w:val="00BB4D22"/>
    <w:rsid w:val="00BB55BF"/>
    <w:rsid w:val="00BB5D18"/>
    <w:rsid w:val="00BB6556"/>
    <w:rsid w:val="00BB6E38"/>
    <w:rsid w:val="00BC00CA"/>
    <w:rsid w:val="00BC056D"/>
    <w:rsid w:val="00BC0BA7"/>
    <w:rsid w:val="00BC1619"/>
    <w:rsid w:val="00BC1C5F"/>
    <w:rsid w:val="00BC217F"/>
    <w:rsid w:val="00BC24CF"/>
    <w:rsid w:val="00BC3573"/>
    <w:rsid w:val="00BC3CB5"/>
    <w:rsid w:val="00BC3EA0"/>
    <w:rsid w:val="00BC410E"/>
    <w:rsid w:val="00BC41B7"/>
    <w:rsid w:val="00BC41E9"/>
    <w:rsid w:val="00BC44FC"/>
    <w:rsid w:val="00BC4779"/>
    <w:rsid w:val="00BC5351"/>
    <w:rsid w:val="00BC65EE"/>
    <w:rsid w:val="00BC6808"/>
    <w:rsid w:val="00BC7631"/>
    <w:rsid w:val="00BC76F3"/>
    <w:rsid w:val="00BC7896"/>
    <w:rsid w:val="00BC78B4"/>
    <w:rsid w:val="00BC792F"/>
    <w:rsid w:val="00BD05AA"/>
    <w:rsid w:val="00BD183E"/>
    <w:rsid w:val="00BD237E"/>
    <w:rsid w:val="00BD26D7"/>
    <w:rsid w:val="00BD28C6"/>
    <w:rsid w:val="00BD2ED3"/>
    <w:rsid w:val="00BD3283"/>
    <w:rsid w:val="00BD341C"/>
    <w:rsid w:val="00BD365D"/>
    <w:rsid w:val="00BD367D"/>
    <w:rsid w:val="00BD378E"/>
    <w:rsid w:val="00BD3E26"/>
    <w:rsid w:val="00BD4D44"/>
    <w:rsid w:val="00BD4F18"/>
    <w:rsid w:val="00BD5115"/>
    <w:rsid w:val="00BD554E"/>
    <w:rsid w:val="00BD57A5"/>
    <w:rsid w:val="00BD59A6"/>
    <w:rsid w:val="00BD5DD6"/>
    <w:rsid w:val="00BD625B"/>
    <w:rsid w:val="00BD7309"/>
    <w:rsid w:val="00BD7524"/>
    <w:rsid w:val="00BD7A7F"/>
    <w:rsid w:val="00BE0F3A"/>
    <w:rsid w:val="00BE0F9A"/>
    <w:rsid w:val="00BE14E3"/>
    <w:rsid w:val="00BE2160"/>
    <w:rsid w:val="00BE2886"/>
    <w:rsid w:val="00BE2F79"/>
    <w:rsid w:val="00BE34A5"/>
    <w:rsid w:val="00BE3AA8"/>
    <w:rsid w:val="00BE3D64"/>
    <w:rsid w:val="00BE4251"/>
    <w:rsid w:val="00BE4379"/>
    <w:rsid w:val="00BE48D3"/>
    <w:rsid w:val="00BE4A6E"/>
    <w:rsid w:val="00BE4EB6"/>
    <w:rsid w:val="00BE5028"/>
    <w:rsid w:val="00BE50AE"/>
    <w:rsid w:val="00BE5246"/>
    <w:rsid w:val="00BE5C1F"/>
    <w:rsid w:val="00BE5EA4"/>
    <w:rsid w:val="00BE6191"/>
    <w:rsid w:val="00BE67EE"/>
    <w:rsid w:val="00BE68A6"/>
    <w:rsid w:val="00BE69BC"/>
    <w:rsid w:val="00BE76E8"/>
    <w:rsid w:val="00BE7F83"/>
    <w:rsid w:val="00BF01CC"/>
    <w:rsid w:val="00BF0716"/>
    <w:rsid w:val="00BF0C78"/>
    <w:rsid w:val="00BF2154"/>
    <w:rsid w:val="00BF216F"/>
    <w:rsid w:val="00BF2390"/>
    <w:rsid w:val="00BF2B56"/>
    <w:rsid w:val="00BF33DC"/>
    <w:rsid w:val="00BF37B8"/>
    <w:rsid w:val="00BF3F1C"/>
    <w:rsid w:val="00BF425E"/>
    <w:rsid w:val="00BF4CC6"/>
    <w:rsid w:val="00BF4D0B"/>
    <w:rsid w:val="00BF4D45"/>
    <w:rsid w:val="00BF5447"/>
    <w:rsid w:val="00BF576C"/>
    <w:rsid w:val="00BF5F45"/>
    <w:rsid w:val="00BF601C"/>
    <w:rsid w:val="00BF626B"/>
    <w:rsid w:val="00BF65B5"/>
    <w:rsid w:val="00BF666A"/>
    <w:rsid w:val="00BF67C6"/>
    <w:rsid w:val="00BF7052"/>
    <w:rsid w:val="00BF7166"/>
    <w:rsid w:val="00BF7F44"/>
    <w:rsid w:val="00C015E9"/>
    <w:rsid w:val="00C016AD"/>
    <w:rsid w:val="00C018EE"/>
    <w:rsid w:val="00C01E93"/>
    <w:rsid w:val="00C02076"/>
    <w:rsid w:val="00C0232C"/>
    <w:rsid w:val="00C0375E"/>
    <w:rsid w:val="00C03845"/>
    <w:rsid w:val="00C038AD"/>
    <w:rsid w:val="00C03D56"/>
    <w:rsid w:val="00C048E7"/>
    <w:rsid w:val="00C04E13"/>
    <w:rsid w:val="00C05B9B"/>
    <w:rsid w:val="00C05F3A"/>
    <w:rsid w:val="00C06512"/>
    <w:rsid w:val="00C06698"/>
    <w:rsid w:val="00C1015E"/>
    <w:rsid w:val="00C107FE"/>
    <w:rsid w:val="00C10834"/>
    <w:rsid w:val="00C10983"/>
    <w:rsid w:val="00C1195D"/>
    <w:rsid w:val="00C11B59"/>
    <w:rsid w:val="00C11E4F"/>
    <w:rsid w:val="00C1222F"/>
    <w:rsid w:val="00C132C5"/>
    <w:rsid w:val="00C13386"/>
    <w:rsid w:val="00C1359A"/>
    <w:rsid w:val="00C13CA1"/>
    <w:rsid w:val="00C140C5"/>
    <w:rsid w:val="00C143D7"/>
    <w:rsid w:val="00C1521D"/>
    <w:rsid w:val="00C15546"/>
    <w:rsid w:val="00C15FD9"/>
    <w:rsid w:val="00C1723D"/>
    <w:rsid w:val="00C17574"/>
    <w:rsid w:val="00C17EDC"/>
    <w:rsid w:val="00C17F2E"/>
    <w:rsid w:val="00C21412"/>
    <w:rsid w:val="00C21D9C"/>
    <w:rsid w:val="00C22570"/>
    <w:rsid w:val="00C225FE"/>
    <w:rsid w:val="00C22EEA"/>
    <w:rsid w:val="00C23008"/>
    <w:rsid w:val="00C230CF"/>
    <w:rsid w:val="00C23700"/>
    <w:rsid w:val="00C238AB"/>
    <w:rsid w:val="00C23AEB"/>
    <w:rsid w:val="00C23F4C"/>
    <w:rsid w:val="00C23F7D"/>
    <w:rsid w:val="00C24A6E"/>
    <w:rsid w:val="00C24B07"/>
    <w:rsid w:val="00C24CD8"/>
    <w:rsid w:val="00C24D84"/>
    <w:rsid w:val="00C2530B"/>
    <w:rsid w:val="00C25518"/>
    <w:rsid w:val="00C25527"/>
    <w:rsid w:val="00C26151"/>
    <w:rsid w:val="00C262FD"/>
    <w:rsid w:val="00C26578"/>
    <w:rsid w:val="00C26684"/>
    <w:rsid w:val="00C26A1A"/>
    <w:rsid w:val="00C2757C"/>
    <w:rsid w:val="00C27A1C"/>
    <w:rsid w:val="00C27ED9"/>
    <w:rsid w:val="00C27F30"/>
    <w:rsid w:val="00C3017F"/>
    <w:rsid w:val="00C301AE"/>
    <w:rsid w:val="00C30464"/>
    <w:rsid w:val="00C30EA1"/>
    <w:rsid w:val="00C312BB"/>
    <w:rsid w:val="00C31634"/>
    <w:rsid w:val="00C31A46"/>
    <w:rsid w:val="00C31BEA"/>
    <w:rsid w:val="00C32639"/>
    <w:rsid w:val="00C32922"/>
    <w:rsid w:val="00C33366"/>
    <w:rsid w:val="00C34553"/>
    <w:rsid w:val="00C34E8F"/>
    <w:rsid w:val="00C34F23"/>
    <w:rsid w:val="00C35058"/>
    <w:rsid w:val="00C353DA"/>
    <w:rsid w:val="00C35680"/>
    <w:rsid w:val="00C36148"/>
    <w:rsid w:val="00C361B0"/>
    <w:rsid w:val="00C36452"/>
    <w:rsid w:val="00C36BEA"/>
    <w:rsid w:val="00C4054C"/>
    <w:rsid w:val="00C40620"/>
    <w:rsid w:val="00C40DAB"/>
    <w:rsid w:val="00C40F3B"/>
    <w:rsid w:val="00C41475"/>
    <w:rsid w:val="00C415F8"/>
    <w:rsid w:val="00C416C1"/>
    <w:rsid w:val="00C41997"/>
    <w:rsid w:val="00C420FF"/>
    <w:rsid w:val="00C42816"/>
    <w:rsid w:val="00C43774"/>
    <w:rsid w:val="00C43BB3"/>
    <w:rsid w:val="00C43C10"/>
    <w:rsid w:val="00C44C7F"/>
    <w:rsid w:val="00C44F01"/>
    <w:rsid w:val="00C452EF"/>
    <w:rsid w:val="00C4575B"/>
    <w:rsid w:val="00C4578B"/>
    <w:rsid w:val="00C45C7A"/>
    <w:rsid w:val="00C46276"/>
    <w:rsid w:val="00C46653"/>
    <w:rsid w:val="00C46E3E"/>
    <w:rsid w:val="00C46EF2"/>
    <w:rsid w:val="00C47608"/>
    <w:rsid w:val="00C47C5D"/>
    <w:rsid w:val="00C50C2C"/>
    <w:rsid w:val="00C50E90"/>
    <w:rsid w:val="00C5109D"/>
    <w:rsid w:val="00C5175B"/>
    <w:rsid w:val="00C518B7"/>
    <w:rsid w:val="00C51A44"/>
    <w:rsid w:val="00C52A49"/>
    <w:rsid w:val="00C536C0"/>
    <w:rsid w:val="00C5382D"/>
    <w:rsid w:val="00C539B8"/>
    <w:rsid w:val="00C54391"/>
    <w:rsid w:val="00C54CE6"/>
    <w:rsid w:val="00C54F73"/>
    <w:rsid w:val="00C550FE"/>
    <w:rsid w:val="00C5510C"/>
    <w:rsid w:val="00C55250"/>
    <w:rsid w:val="00C5621D"/>
    <w:rsid w:val="00C565EA"/>
    <w:rsid w:val="00C56767"/>
    <w:rsid w:val="00C569CC"/>
    <w:rsid w:val="00C56CED"/>
    <w:rsid w:val="00C57F63"/>
    <w:rsid w:val="00C6016C"/>
    <w:rsid w:val="00C60249"/>
    <w:rsid w:val="00C6024D"/>
    <w:rsid w:val="00C6052C"/>
    <w:rsid w:val="00C6062C"/>
    <w:rsid w:val="00C6146C"/>
    <w:rsid w:val="00C61D75"/>
    <w:rsid w:val="00C63650"/>
    <w:rsid w:val="00C6369D"/>
    <w:rsid w:val="00C641B1"/>
    <w:rsid w:val="00C64850"/>
    <w:rsid w:val="00C65054"/>
    <w:rsid w:val="00C653EC"/>
    <w:rsid w:val="00C65941"/>
    <w:rsid w:val="00C6613F"/>
    <w:rsid w:val="00C6616E"/>
    <w:rsid w:val="00C66BFF"/>
    <w:rsid w:val="00C66D9F"/>
    <w:rsid w:val="00C66F39"/>
    <w:rsid w:val="00C6715A"/>
    <w:rsid w:val="00C67DC7"/>
    <w:rsid w:val="00C67F19"/>
    <w:rsid w:val="00C70175"/>
    <w:rsid w:val="00C70A84"/>
    <w:rsid w:val="00C70EA5"/>
    <w:rsid w:val="00C70F85"/>
    <w:rsid w:val="00C71828"/>
    <w:rsid w:val="00C71B71"/>
    <w:rsid w:val="00C72597"/>
    <w:rsid w:val="00C72CED"/>
    <w:rsid w:val="00C72CFF"/>
    <w:rsid w:val="00C72EF9"/>
    <w:rsid w:val="00C73834"/>
    <w:rsid w:val="00C7386D"/>
    <w:rsid w:val="00C7499F"/>
    <w:rsid w:val="00C74AE0"/>
    <w:rsid w:val="00C74B65"/>
    <w:rsid w:val="00C7600E"/>
    <w:rsid w:val="00C76326"/>
    <w:rsid w:val="00C77357"/>
    <w:rsid w:val="00C77431"/>
    <w:rsid w:val="00C77543"/>
    <w:rsid w:val="00C77E90"/>
    <w:rsid w:val="00C802DB"/>
    <w:rsid w:val="00C80403"/>
    <w:rsid w:val="00C8061A"/>
    <w:rsid w:val="00C806B4"/>
    <w:rsid w:val="00C80EBB"/>
    <w:rsid w:val="00C81150"/>
    <w:rsid w:val="00C82C96"/>
    <w:rsid w:val="00C82C9D"/>
    <w:rsid w:val="00C833EC"/>
    <w:rsid w:val="00C838DF"/>
    <w:rsid w:val="00C8393A"/>
    <w:rsid w:val="00C84627"/>
    <w:rsid w:val="00C854E8"/>
    <w:rsid w:val="00C86463"/>
    <w:rsid w:val="00C86B92"/>
    <w:rsid w:val="00C86FD3"/>
    <w:rsid w:val="00C86FF1"/>
    <w:rsid w:val="00C87D10"/>
    <w:rsid w:val="00C87E1B"/>
    <w:rsid w:val="00C87F7F"/>
    <w:rsid w:val="00C9074A"/>
    <w:rsid w:val="00C90AAC"/>
    <w:rsid w:val="00C914AE"/>
    <w:rsid w:val="00C919D9"/>
    <w:rsid w:val="00C91A35"/>
    <w:rsid w:val="00C93117"/>
    <w:rsid w:val="00C93808"/>
    <w:rsid w:val="00C939E8"/>
    <w:rsid w:val="00C94076"/>
    <w:rsid w:val="00C947CE"/>
    <w:rsid w:val="00C94FBA"/>
    <w:rsid w:val="00C9507F"/>
    <w:rsid w:val="00C95DB6"/>
    <w:rsid w:val="00C960D3"/>
    <w:rsid w:val="00C96CDC"/>
    <w:rsid w:val="00C96EF2"/>
    <w:rsid w:val="00C97468"/>
    <w:rsid w:val="00CA015B"/>
    <w:rsid w:val="00CA0402"/>
    <w:rsid w:val="00CA072D"/>
    <w:rsid w:val="00CA092E"/>
    <w:rsid w:val="00CA0A49"/>
    <w:rsid w:val="00CA153D"/>
    <w:rsid w:val="00CA16AD"/>
    <w:rsid w:val="00CA189F"/>
    <w:rsid w:val="00CA1DEB"/>
    <w:rsid w:val="00CA1FAB"/>
    <w:rsid w:val="00CA2784"/>
    <w:rsid w:val="00CA33D9"/>
    <w:rsid w:val="00CA3559"/>
    <w:rsid w:val="00CA3EA6"/>
    <w:rsid w:val="00CA4866"/>
    <w:rsid w:val="00CA4F31"/>
    <w:rsid w:val="00CA52D6"/>
    <w:rsid w:val="00CA5B3C"/>
    <w:rsid w:val="00CA605C"/>
    <w:rsid w:val="00CA66C6"/>
    <w:rsid w:val="00CA754E"/>
    <w:rsid w:val="00CB0B72"/>
    <w:rsid w:val="00CB0C2F"/>
    <w:rsid w:val="00CB0C31"/>
    <w:rsid w:val="00CB1044"/>
    <w:rsid w:val="00CB10D9"/>
    <w:rsid w:val="00CB11DB"/>
    <w:rsid w:val="00CB16D4"/>
    <w:rsid w:val="00CB2BFF"/>
    <w:rsid w:val="00CB2D24"/>
    <w:rsid w:val="00CB2FB8"/>
    <w:rsid w:val="00CB3490"/>
    <w:rsid w:val="00CB3812"/>
    <w:rsid w:val="00CB403E"/>
    <w:rsid w:val="00CB40FA"/>
    <w:rsid w:val="00CB4320"/>
    <w:rsid w:val="00CB4A2F"/>
    <w:rsid w:val="00CB4BB0"/>
    <w:rsid w:val="00CB57EB"/>
    <w:rsid w:val="00CB61F3"/>
    <w:rsid w:val="00CB62FE"/>
    <w:rsid w:val="00CB631A"/>
    <w:rsid w:val="00CB70CE"/>
    <w:rsid w:val="00CB7360"/>
    <w:rsid w:val="00CB740F"/>
    <w:rsid w:val="00CB774A"/>
    <w:rsid w:val="00CB7DBE"/>
    <w:rsid w:val="00CC0100"/>
    <w:rsid w:val="00CC022E"/>
    <w:rsid w:val="00CC0804"/>
    <w:rsid w:val="00CC0C8B"/>
    <w:rsid w:val="00CC0E83"/>
    <w:rsid w:val="00CC0EAF"/>
    <w:rsid w:val="00CC0ECF"/>
    <w:rsid w:val="00CC1031"/>
    <w:rsid w:val="00CC10B2"/>
    <w:rsid w:val="00CC10DC"/>
    <w:rsid w:val="00CC2371"/>
    <w:rsid w:val="00CC2BB0"/>
    <w:rsid w:val="00CC3140"/>
    <w:rsid w:val="00CC3D91"/>
    <w:rsid w:val="00CC3F9E"/>
    <w:rsid w:val="00CC44D5"/>
    <w:rsid w:val="00CC4C27"/>
    <w:rsid w:val="00CC5202"/>
    <w:rsid w:val="00CC53F9"/>
    <w:rsid w:val="00CC542F"/>
    <w:rsid w:val="00CC5596"/>
    <w:rsid w:val="00CC5F7C"/>
    <w:rsid w:val="00CC69F8"/>
    <w:rsid w:val="00CC6C70"/>
    <w:rsid w:val="00CC75C0"/>
    <w:rsid w:val="00CC7881"/>
    <w:rsid w:val="00CD016D"/>
    <w:rsid w:val="00CD0398"/>
    <w:rsid w:val="00CD08EE"/>
    <w:rsid w:val="00CD11A2"/>
    <w:rsid w:val="00CD1511"/>
    <w:rsid w:val="00CD1C0B"/>
    <w:rsid w:val="00CD1D06"/>
    <w:rsid w:val="00CD1D39"/>
    <w:rsid w:val="00CD22B4"/>
    <w:rsid w:val="00CD24BF"/>
    <w:rsid w:val="00CD35CC"/>
    <w:rsid w:val="00CD3A6D"/>
    <w:rsid w:val="00CD3D0B"/>
    <w:rsid w:val="00CD499C"/>
    <w:rsid w:val="00CD4D0C"/>
    <w:rsid w:val="00CD4F99"/>
    <w:rsid w:val="00CD50FD"/>
    <w:rsid w:val="00CD5118"/>
    <w:rsid w:val="00CD5460"/>
    <w:rsid w:val="00CD5B2E"/>
    <w:rsid w:val="00CD686E"/>
    <w:rsid w:val="00CD6BC7"/>
    <w:rsid w:val="00CD731A"/>
    <w:rsid w:val="00CE0054"/>
    <w:rsid w:val="00CE06F5"/>
    <w:rsid w:val="00CE0B5B"/>
    <w:rsid w:val="00CE0F5A"/>
    <w:rsid w:val="00CE134B"/>
    <w:rsid w:val="00CE1A86"/>
    <w:rsid w:val="00CE1ECE"/>
    <w:rsid w:val="00CE222F"/>
    <w:rsid w:val="00CE397F"/>
    <w:rsid w:val="00CE3D3C"/>
    <w:rsid w:val="00CE410A"/>
    <w:rsid w:val="00CE425C"/>
    <w:rsid w:val="00CE4967"/>
    <w:rsid w:val="00CE5205"/>
    <w:rsid w:val="00CE5668"/>
    <w:rsid w:val="00CE5AA2"/>
    <w:rsid w:val="00CE5D60"/>
    <w:rsid w:val="00CE66D8"/>
    <w:rsid w:val="00CE6909"/>
    <w:rsid w:val="00CE6E05"/>
    <w:rsid w:val="00CE726F"/>
    <w:rsid w:val="00CF07CC"/>
    <w:rsid w:val="00CF0A59"/>
    <w:rsid w:val="00CF28A7"/>
    <w:rsid w:val="00CF40AE"/>
    <w:rsid w:val="00CF4377"/>
    <w:rsid w:val="00CF4793"/>
    <w:rsid w:val="00CF493F"/>
    <w:rsid w:val="00CF5958"/>
    <w:rsid w:val="00CF5AD1"/>
    <w:rsid w:val="00CF5E90"/>
    <w:rsid w:val="00CF6291"/>
    <w:rsid w:val="00CF7064"/>
    <w:rsid w:val="00D0124D"/>
    <w:rsid w:val="00D01B7D"/>
    <w:rsid w:val="00D02177"/>
    <w:rsid w:val="00D0256B"/>
    <w:rsid w:val="00D02B8C"/>
    <w:rsid w:val="00D03BEA"/>
    <w:rsid w:val="00D0474C"/>
    <w:rsid w:val="00D07A3E"/>
    <w:rsid w:val="00D106E5"/>
    <w:rsid w:val="00D10828"/>
    <w:rsid w:val="00D10D4D"/>
    <w:rsid w:val="00D10D78"/>
    <w:rsid w:val="00D10E28"/>
    <w:rsid w:val="00D1185C"/>
    <w:rsid w:val="00D1259B"/>
    <w:rsid w:val="00D12B13"/>
    <w:rsid w:val="00D12F25"/>
    <w:rsid w:val="00D1373F"/>
    <w:rsid w:val="00D13C38"/>
    <w:rsid w:val="00D141D9"/>
    <w:rsid w:val="00D146B0"/>
    <w:rsid w:val="00D14B48"/>
    <w:rsid w:val="00D14B9B"/>
    <w:rsid w:val="00D16398"/>
    <w:rsid w:val="00D166A5"/>
    <w:rsid w:val="00D16A53"/>
    <w:rsid w:val="00D16BAC"/>
    <w:rsid w:val="00D16BF0"/>
    <w:rsid w:val="00D16EE5"/>
    <w:rsid w:val="00D16FE9"/>
    <w:rsid w:val="00D17447"/>
    <w:rsid w:val="00D205B0"/>
    <w:rsid w:val="00D20A56"/>
    <w:rsid w:val="00D20C8F"/>
    <w:rsid w:val="00D219C1"/>
    <w:rsid w:val="00D21A24"/>
    <w:rsid w:val="00D21B22"/>
    <w:rsid w:val="00D21DB9"/>
    <w:rsid w:val="00D22BE5"/>
    <w:rsid w:val="00D22DC9"/>
    <w:rsid w:val="00D22EDD"/>
    <w:rsid w:val="00D232EB"/>
    <w:rsid w:val="00D2359B"/>
    <w:rsid w:val="00D23B10"/>
    <w:rsid w:val="00D23CAA"/>
    <w:rsid w:val="00D23FC5"/>
    <w:rsid w:val="00D2445F"/>
    <w:rsid w:val="00D244E1"/>
    <w:rsid w:val="00D24C2A"/>
    <w:rsid w:val="00D24C81"/>
    <w:rsid w:val="00D2556A"/>
    <w:rsid w:val="00D259BB"/>
    <w:rsid w:val="00D2680D"/>
    <w:rsid w:val="00D27CD7"/>
    <w:rsid w:val="00D307D0"/>
    <w:rsid w:val="00D308D5"/>
    <w:rsid w:val="00D308EB"/>
    <w:rsid w:val="00D30926"/>
    <w:rsid w:val="00D31BFA"/>
    <w:rsid w:val="00D31E97"/>
    <w:rsid w:val="00D32BFB"/>
    <w:rsid w:val="00D32DFB"/>
    <w:rsid w:val="00D333F6"/>
    <w:rsid w:val="00D33513"/>
    <w:rsid w:val="00D33780"/>
    <w:rsid w:val="00D33AFF"/>
    <w:rsid w:val="00D33ED5"/>
    <w:rsid w:val="00D3503A"/>
    <w:rsid w:val="00D35095"/>
    <w:rsid w:val="00D35720"/>
    <w:rsid w:val="00D35800"/>
    <w:rsid w:val="00D37005"/>
    <w:rsid w:val="00D37875"/>
    <w:rsid w:val="00D40059"/>
    <w:rsid w:val="00D40F72"/>
    <w:rsid w:val="00D4131D"/>
    <w:rsid w:val="00D42817"/>
    <w:rsid w:val="00D428EC"/>
    <w:rsid w:val="00D43009"/>
    <w:rsid w:val="00D438E7"/>
    <w:rsid w:val="00D43CE0"/>
    <w:rsid w:val="00D443D5"/>
    <w:rsid w:val="00D4584B"/>
    <w:rsid w:val="00D4595E"/>
    <w:rsid w:val="00D45A99"/>
    <w:rsid w:val="00D4713D"/>
    <w:rsid w:val="00D47DEE"/>
    <w:rsid w:val="00D51253"/>
    <w:rsid w:val="00D51625"/>
    <w:rsid w:val="00D51890"/>
    <w:rsid w:val="00D52189"/>
    <w:rsid w:val="00D52D6E"/>
    <w:rsid w:val="00D536B5"/>
    <w:rsid w:val="00D536D5"/>
    <w:rsid w:val="00D5384F"/>
    <w:rsid w:val="00D5399C"/>
    <w:rsid w:val="00D53CB7"/>
    <w:rsid w:val="00D53EF1"/>
    <w:rsid w:val="00D53F75"/>
    <w:rsid w:val="00D54608"/>
    <w:rsid w:val="00D54689"/>
    <w:rsid w:val="00D55FC2"/>
    <w:rsid w:val="00D567EA"/>
    <w:rsid w:val="00D56B51"/>
    <w:rsid w:val="00D6051F"/>
    <w:rsid w:val="00D607EA"/>
    <w:rsid w:val="00D60AF8"/>
    <w:rsid w:val="00D60B86"/>
    <w:rsid w:val="00D615B7"/>
    <w:rsid w:val="00D6207B"/>
    <w:rsid w:val="00D6246B"/>
    <w:rsid w:val="00D63094"/>
    <w:rsid w:val="00D63793"/>
    <w:rsid w:val="00D63964"/>
    <w:rsid w:val="00D64484"/>
    <w:rsid w:val="00D646C9"/>
    <w:rsid w:val="00D64A3E"/>
    <w:rsid w:val="00D64B22"/>
    <w:rsid w:val="00D64C51"/>
    <w:rsid w:val="00D64EE8"/>
    <w:rsid w:val="00D65036"/>
    <w:rsid w:val="00D65212"/>
    <w:rsid w:val="00D6564E"/>
    <w:rsid w:val="00D65B63"/>
    <w:rsid w:val="00D66586"/>
    <w:rsid w:val="00D6736D"/>
    <w:rsid w:val="00D67CDC"/>
    <w:rsid w:val="00D70293"/>
    <w:rsid w:val="00D705F5"/>
    <w:rsid w:val="00D70CC6"/>
    <w:rsid w:val="00D70DC2"/>
    <w:rsid w:val="00D724B6"/>
    <w:rsid w:val="00D7278B"/>
    <w:rsid w:val="00D72D8D"/>
    <w:rsid w:val="00D734C8"/>
    <w:rsid w:val="00D73563"/>
    <w:rsid w:val="00D73847"/>
    <w:rsid w:val="00D7494E"/>
    <w:rsid w:val="00D75A1F"/>
    <w:rsid w:val="00D75A25"/>
    <w:rsid w:val="00D75A5E"/>
    <w:rsid w:val="00D76793"/>
    <w:rsid w:val="00D769D7"/>
    <w:rsid w:val="00D76DEF"/>
    <w:rsid w:val="00D77A88"/>
    <w:rsid w:val="00D800BB"/>
    <w:rsid w:val="00D80E14"/>
    <w:rsid w:val="00D814FC"/>
    <w:rsid w:val="00D81625"/>
    <w:rsid w:val="00D82087"/>
    <w:rsid w:val="00D823A5"/>
    <w:rsid w:val="00D82D1E"/>
    <w:rsid w:val="00D83931"/>
    <w:rsid w:val="00D83C03"/>
    <w:rsid w:val="00D83C26"/>
    <w:rsid w:val="00D83EDD"/>
    <w:rsid w:val="00D83EFF"/>
    <w:rsid w:val="00D8437C"/>
    <w:rsid w:val="00D84504"/>
    <w:rsid w:val="00D84C24"/>
    <w:rsid w:val="00D84E84"/>
    <w:rsid w:val="00D85A3B"/>
    <w:rsid w:val="00D860A7"/>
    <w:rsid w:val="00D86D53"/>
    <w:rsid w:val="00D878BA"/>
    <w:rsid w:val="00D87A00"/>
    <w:rsid w:val="00D87F26"/>
    <w:rsid w:val="00D914AE"/>
    <w:rsid w:val="00D91764"/>
    <w:rsid w:val="00D917A3"/>
    <w:rsid w:val="00D91A71"/>
    <w:rsid w:val="00D91A7A"/>
    <w:rsid w:val="00D91EEA"/>
    <w:rsid w:val="00D92034"/>
    <w:rsid w:val="00D921E9"/>
    <w:rsid w:val="00D92ACF"/>
    <w:rsid w:val="00D92FB8"/>
    <w:rsid w:val="00D93023"/>
    <w:rsid w:val="00D93916"/>
    <w:rsid w:val="00D939D1"/>
    <w:rsid w:val="00D93A93"/>
    <w:rsid w:val="00D93F6C"/>
    <w:rsid w:val="00D941FC"/>
    <w:rsid w:val="00D94E67"/>
    <w:rsid w:val="00D95292"/>
    <w:rsid w:val="00D953C8"/>
    <w:rsid w:val="00D95646"/>
    <w:rsid w:val="00D95895"/>
    <w:rsid w:val="00D95CA2"/>
    <w:rsid w:val="00D963AC"/>
    <w:rsid w:val="00D965D9"/>
    <w:rsid w:val="00D96C27"/>
    <w:rsid w:val="00D975FB"/>
    <w:rsid w:val="00D97FB6"/>
    <w:rsid w:val="00DA010E"/>
    <w:rsid w:val="00DA04C9"/>
    <w:rsid w:val="00DA1427"/>
    <w:rsid w:val="00DA1A7F"/>
    <w:rsid w:val="00DA1C41"/>
    <w:rsid w:val="00DA1D0F"/>
    <w:rsid w:val="00DA1D84"/>
    <w:rsid w:val="00DA207C"/>
    <w:rsid w:val="00DA22E9"/>
    <w:rsid w:val="00DA2EDD"/>
    <w:rsid w:val="00DA30FA"/>
    <w:rsid w:val="00DA393F"/>
    <w:rsid w:val="00DA3AEA"/>
    <w:rsid w:val="00DA3BCE"/>
    <w:rsid w:val="00DA46AD"/>
    <w:rsid w:val="00DA48FC"/>
    <w:rsid w:val="00DA4F44"/>
    <w:rsid w:val="00DA515F"/>
    <w:rsid w:val="00DA540F"/>
    <w:rsid w:val="00DA543E"/>
    <w:rsid w:val="00DA6BEE"/>
    <w:rsid w:val="00DA6E99"/>
    <w:rsid w:val="00DA7064"/>
    <w:rsid w:val="00DA789B"/>
    <w:rsid w:val="00DA7DB7"/>
    <w:rsid w:val="00DB1805"/>
    <w:rsid w:val="00DB2F9C"/>
    <w:rsid w:val="00DB3235"/>
    <w:rsid w:val="00DB3A10"/>
    <w:rsid w:val="00DB3EB6"/>
    <w:rsid w:val="00DB4429"/>
    <w:rsid w:val="00DB594A"/>
    <w:rsid w:val="00DB5BFD"/>
    <w:rsid w:val="00DB5CA4"/>
    <w:rsid w:val="00DB6350"/>
    <w:rsid w:val="00DB6C38"/>
    <w:rsid w:val="00DB6C9D"/>
    <w:rsid w:val="00DB73E8"/>
    <w:rsid w:val="00DB773D"/>
    <w:rsid w:val="00DC05C2"/>
    <w:rsid w:val="00DC063A"/>
    <w:rsid w:val="00DC0927"/>
    <w:rsid w:val="00DC0D6E"/>
    <w:rsid w:val="00DC0D8E"/>
    <w:rsid w:val="00DC190C"/>
    <w:rsid w:val="00DC1DEE"/>
    <w:rsid w:val="00DC25C9"/>
    <w:rsid w:val="00DC2B22"/>
    <w:rsid w:val="00DC2C01"/>
    <w:rsid w:val="00DC3DB2"/>
    <w:rsid w:val="00DC3EDA"/>
    <w:rsid w:val="00DC3F64"/>
    <w:rsid w:val="00DC3F8C"/>
    <w:rsid w:val="00DC47A1"/>
    <w:rsid w:val="00DC53FF"/>
    <w:rsid w:val="00DC573A"/>
    <w:rsid w:val="00DC5D95"/>
    <w:rsid w:val="00DC5F99"/>
    <w:rsid w:val="00DC638E"/>
    <w:rsid w:val="00DC6782"/>
    <w:rsid w:val="00DC7091"/>
    <w:rsid w:val="00DC7649"/>
    <w:rsid w:val="00DC7F54"/>
    <w:rsid w:val="00DD0AC6"/>
    <w:rsid w:val="00DD0E63"/>
    <w:rsid w:val="00DD13D0"/>
    <w:rsid w:val="00DD1B77"/>
    <w:rsid w:val="00DD1EC2"/>
    <w:rsid w:val="00DD231F"/>
    <w:rsid w:val="00DD2F29"/>
    <w:rsid w:val="00DD33B0"/>
    <w:rsid w:val="00DD3598"/>
    <w:rsid w:val="00DD3E6D"/>
    <w:rsid w:val="00DD48A4"/>
    <w:rsid w:val="00DD5308"/>
    <w:rsid w:val="00DD57C7"/>
    <w:rsid w:val="00DD610D"/>
    <w:rsid w:val="00DD6DFF"/>
    <w:rsid w:val="00DD6F1E"/>
    <w:rsid w:val="00DDD7A2"/>
    <w:rsid w:val="00DE0D6D"/>
    <w:rsid w:val="00DE17E0"/>
    <w:rsid w:val="00DE1D35"/>
    <w:rsid w:val="00DE2E85"/>
    <w:rsid w:val="00DE2FE7"/>
    <w:rsid w:val="00DE3147"/>
    <w:rsid w:val="00DE37A5"/>
    <w:rsid w:val="00DE3B67"/>
    <w:rsid w:val="00DE3E0E"/>
    <w:rsid w:val="00DE3FC0"/>
    <w:rsid w:val="00DE5A64"/>
    <w:rsid w:val="00DE67A1"/>
    <w:rsid w:val="00DE7673"/>
    <w:rsid w:val="00DF0AFA"/>
    <w:rsid w:val="00DF0E6C"/>
    <w:rsid w:val="00DF1901"/>
    <w:rsid w:val="00DF1A34"/>
    <w:rsid w:val="00DF2346"/>
    <w:rsid w:val="00DF2590"/>
    <w:rsid w:val="00DF2A33"/>
    <w:rsid w:val="00DF2AF5"/>
    <w:rsid w:val="00DF2D8D"/>
    <w:rsid w:val="00DF33C2"/>
    <w:rsid w:val="00DF35B7"/>
    <w:rsid w:val="00DF3681"/>
    <w:rsid w:val="00DF36D5"/>
    <w:rsid w:val="00DF390E"/>
    <w:rsid w:val="00DF42BD"/>
    <w:rsid w:val="00DF4AEF"/>
    <w:rsid w:val="00DF524D"/>
    <w:rsid w:val="00DF545F"/>
    <w:rsid w:val="00DF5E32"/>
    <w:rsid w:val="00DF616D"/>
    <w:rsid w:val="00DF631F"/>
    <w:rsid w:val="00DF66D6"/>
    <w:rsid w:val="00DF683C"/>
    <w:rsid w:val="00DF7238"/>
    <w:rsid w:val="00DF7241"/>
    <w:rsid w:val="00DF7894"/>
    <w:rsid w:val="00DF7E55"/>
    <w:rsid w:val="00E00150"/>
    <w:rsid w:val="00E00D59"/>
    <w:rsid w:val="00E01152"/>
    <w:rsid w:val="00E0179B"/>
    <w:rsid w:val="00E0188C"/>
    <w:rsid w:val="00E01A23"/>
    <w:rsid w:val="00E01D2D"/>
    <w:rsid w:val="00E023E0"/>
    <w:rsid w:val="00E02A5F"/>
    <w:rsid w:val="00E0339B"/>
    <w:rsid w:val="00E04977"/>
    <w:rsid w:val="00E04B48"/>
    <w:rsid w:val="00E04C5F"/>
    <w:rsid w:val="00E0518D"/>
    <w:rsid w:val="00E0597F"/>
    <w:rsid w:val="00E05DD4"/>
    <w:rsid w:val="00E06029"/>
    <w:rsid w:val="00E0603F"/>
    <w:rsid w:val="00E0654C"/>
    <w:rsid w:val="00E06903"/>
    <w:rsid w:val="00E06CBB"/>
    <w:rsid w:val="00E07423"/>
    <w:rsid w:val="00E07730"/>
    <w:rsid w:val="00E10ACA"/>
    <w:rsid w:val="00E11D22"/>
    <w:rsid w:val="00E12DC8"/>
    <w:rsid w:val="00E14018"/>
    <w:rsid w:val="00E140DF"/>
    <w:rsid w:val="00E14B31"/>
    <w:rsid w:val="00E152AC"/>
    <w:rsid w:val="00E15CA2"/>
    <w:rsid w:val="00E15F57"/>
    <w:rsid w:val="00E15FE1"/>
    <w:rsid w:val="00E161AE"/>
    <w:rsid w:val="00E16354"/>
    <w:rsid w:val="00E16BC9"/>
    <w:rsid w:val="00E174DD"/>
    <w:rsid w:val="00E17542"/>
    <w:rsid w:val="00E202B9"/>
    <w:rsid w:val="00E20387"/>
    <w:rsid w:val="00E21FB3"/>
    <w:rsid w:val="00E22B5B"/>
    <w:rsid w:val="00E22FF9"/>
    <w:rsid w:val="00E234C0"/>
    <w:rsid w:val="00E23C99"/>
    <w:rsid w:val="00E23D1F"/>
    <w:rsid w:val="00E242AE"/>
    <w:rsid w:val="00E242F5"/>
    <w:rsid w:val="00E2453D"/>
    <w:rsid w:val="00E247DE"/>
    <w:rsid w:val="00E25607"/>
    <w:rsid w:val="00E25B41"/>
    <w:rsid w:val="00E262C6"/>
    <w:rsid w:val="00E2634D"/>
    <w:rsid w:val="00E270F6"/>
    <w:rsid w:val="00E27210"/>
    <w:rsid w:val="00E27535"/>
    <w:rsid w:val="00E27FEA"/>
    <w:rsid w:val="00E3037F"/>
    <w:rsid w:val="00E30586"/>
    <w:rsid w:val="00E31D25"/>
    <w:rsid w:val="00E33B60"/>
    <w:rsid w:val="00E33BF3"/>
    <w:rsid w:val="00E33CB5"/>
    <w:rsid w:val="00E33D6E"/>
    <w:rsid w:val="00E34D24"/>
    <w:rsid w:val="00E3511D"/>
    <w:rsid w:val="00E35B0E"/>
    <w:rsid w:val="00E35E3B"/>
    <w:rsid w:val="00E3679D"/>
    <w:rsid w:val="00E36FB1"/>
    <w:rsid w:val="00E37094"/>
    <w:rsid w:val="00E375C6"/>
    <w:rsid w:val="00E37C6E"/>
    <w:rsid w:val="00E40235"/>
    <w:rsid w:val="00E4047A"/>
    <w:rsid w:val="00E40D11"/>
    <w:rsid w:val="00E41682"/>
    <w:rsid w:val="00E4172F"/>
    <w:rsid w:val="00E420F8"/>
    <w:rsid w:val="00E428DD"/>
    <w:rsid w:val="00E432BD"/>
    <w:rsid w:val="00E43410"/>
    <w:rsid w:val="00E43525"/>
    <w:rsid w:val="00E43E29"/>
    <w:rsid w:val="00E43FE2"/>
    <w:rsid w:val="00E4425C"/>
    <w:rsid w:val="00E44640"/>
    <w:rsid w:val="00E44CB1"/>
    <w:rsid w:val="00E4531A"/>
    <w:rsid w:val="00E459AC"/>
    <w:rsid w:val="00E46B13"/>
    <w:rsid w:val="00E46F29"/>
    <w:rsid w:val="00E473D6"/>
    <w:rsid w:val="00E47A18"/>
    <w:rsid w:val="00E47AE6"/>
    <w:rsid w:val="00E47DEB"/>
    <w:rsid w:val="00E47EE5"/>
    <w:rsid w:val="00E5044A"/>
    <w:rsid w:val="00E50526"/>
    <w:rsid w:val="00E50FF7"/>
    <w:rsid w:val="00E5138D"/>
    <w:rsid w:val="00E5151B"/>
    <w:rsid w:val="00E5181C"/>
    <w:rsid w:val="00E51F31"/>
    <w:rsid w:val="00E51F95"/>
    <w:rsid w:val="00E520B4"/>
    <w:rsid w:val="00E52447"/>
    <w:rsid w:val="00E52665"/>
    <w:rsid w:val="00E528C6"/>
    <w:rsid w:val="00E52B39"/>
    <w:rsid w:val="00E52C36"/>
    <w:rsid w:val="00E53025"/>
    <w:rsid w:val="00E53226"/>
    <w:rsid w:val="00E53368"/>
    <w:rsid w:val="00E534A4"/>
    <w:rsid w:val="00E53CEE"/>
    <w:rsid w:val="00E53D65"/>
    <w:rsid w:val="00E54AFF"/>
    <w:rsid w:val="00E557E4"/>
    <w:rsid w:val="00E55A5A"/>
    <w:rsid w:val="00E55EA6"/>
    <w:rsid w:val="00E560EE"/>
    <w:rsid w:val="00E56181"/>
    <w:rsid w:val="00E5619F"/>
    <w:rsid w:val="00E5624B"/>
    <w:rsid w:val="00E56B5F"/>
    <w:rsid w:val="00E57994"/>
    <w:rsid w:val="00E57A43"/>
    <w:rsid w:val="00E57A56"/>
    <w:rsid w:val="00E57E80"/>
    <w:rsid w:val="00E57ED7"/>
    <w:rsid w:val="00E6078D"/>
    <w:rsid w:val="00E60EFF"/>
    <w:rsid w:val="00E60FB1"/>
    <w:rsid w:val="00E614C0"/>
    <w:rsid w:val="00E6159F"/>
    <w:rsid w:val="00E615AE"/>
    <w:rsid w:val="00E617A5"/>
    <w:rsid w:val="00E61DD4"/>
    <w:rsid w:val="00E61F9C"/>
    <w:rsid w:val="00E62262"/>
    <w:rsid w:val="00E62A9B"/>
    <w:rsid w:val="00E6352C"/>
    <w:rsid w:val="00E636DF"/>
    <w:rsid w:val="00E63746"/>
    <w:rsid w:val="00E637AF"/>
    <w:rsid w:val="00E63BE3"/>
    <w:rsid w:val="00E644C8"/>
    <w:rsid w:val="00E6477B"/>
    <w:rsid w:val="00E655CA"/>
    <w:rsid w:val="00E657CD"/>
    <w:rsid w:val="00E657F7"/>
    <w:rsid w:val="00E6596F"/>
    <w:rsid w:val="00E65CD1"/>
    <w:rsid w:val="00E66579"/>
    <w:rsid w:val="00E67BF9"/>
    <w:rsid w:val="00E70427"/>
    <w:rsid w:val="00E716EC"/>
    <w:rsid w:val="00E71A40"/>
    <w:rsid w:val="00E71B61"/>
    <w:rsid w:val="00E7212F"/>
    <w:rsid w:val="00E742A7"/>
    <w:rsid w:val="00E753F4"/>
    <w:rsid w:val="00E75C99"/>
    <w:rsid w:val="00E76597"/>
    <w:rsid w:val="00E7743A"/>
    <w:rsid w:val="00E7747B"/>
    <w:rsid w:val="00E776C7"/>
    <w:rsid w:val="00E77DC3"/>
    <w:rsid w:val="00E804FE"/>
    <w:rsid w:val="00E80605"/>
    <w:rsid w:val="00E81485"/>
    <w:rsid w:val="00E8171E"/>
    <w:rsid w:val="00E81926"/>
    <w:rsid w:val="00E8270F"/>
    <w:rsid w:val="00E82F6F"/>
    <w:rsid w:val="00E835BF"/>
    <w:rsid w:val="00E83C92"/>
    <w:rsid w:val="00E83D1E"/>
    <w:rsid w:val="00E85152"/>
    <w:rsid w:val="00E85323"/>
    <w:rsid w:val="00E860A2"/>
    <w:rsid w:val="00E864E3"/>
    <w:rsid w:val="00E867AE"/>
    <w:rsid w:val="00E86880"/>
    <w:rsid w:val="00E86D5B"/>
    <w:rsid w:val="00E87116"/>
    <w:rsid w:val="00E8732D"/>
    <w:rsid w:val="00E879A4"/>
    <w:rsid w:val="00E87C97"/>
    <w:rsid w:val="00E907B7"/>
    <w:rsid w:val="00E90957"/>
    <w:rsid w:val="00E90E7D"/>
    <w:rsid w:val="00E911B4"/>
    <w:rsid w:val="00E92915"/>
    <w:rsid w:val="00E938DB"/>
    <w:rsid w:val="00E940A2"/>
    <w:rsid w:val="00E9430B"/>
    <w:rsid w:val="00E947BB"/>
    <w:rsid w:val="00E951C7"/>
    <w:rsid w:val="00E952E0"/>
    <w:rsid w:val="00E952FD"/>
    <w:rsid w:val="00E95421"/>
    <w:rsid w:val="00E95B02"/>
    <w:rsid w:val="00E95BCF"/>
    <w:rsid w:val="00E95CC5"/>
    <w:rsid w:val="00E95CD7"/>
    <w:rsid w:val="00E96370"/>
    <w:rsid w:val="00E9666D"/>
    <w:rsid w:val="00E96FDF"/>
    <w:rsid w:val="00E97D84"/>
    <w:rsid w:val="00EA0067"/>
    <w:rsid w:val="00EA0BE4"/>
    <w:rsid w:val="00EA0C4A"/>
    <w:rsid w:val="00EA10C3"/>
    <w:rsid w:val="00EA150F"/>
    <w:rsid w:val="00EA1C20"/>
    <w:rsid w:val="00EA1C4E"/>
    <w:rsid w:val="00EA1E6E"/>
    <w:rsid w:val="00EA2E03"/>
    <w:rsid w:val="00EA2E1A"/>
    <w:rsid w:val="00EA3480"/>
    <w:rsid w:val="00EA3730"/>
    <w:rsid w:val="00EA4197"/>
    <w:rsid w:val="00EA4A29"/>
    <w:rsid w:val="00EA4AB1"/>
    <w:rsid w:val="00EA5114"/>
    <w:rsid w:val="00EA52FE"/>
    <w:rsid w:val="00EA56B2"/>
    <w:rsid w:val="00EA6582"/>
    <w:rsid w:val="00EA6650"/>
    <w:rsid w:val="00EA673E"/>
    <w:rsid w:val="00EA7037"/>
    <w:rsid w:val="00EA72EE"/>
    <w:rsid w:val="00EA7625"/>
    <w:rsid w:val="00EA79A1"/>
    <w:rsid w:val="00EA7B58"/>
    <w:rsid w:val="00EB0869"/>
    <w:rsid w:val="00EB0BA2"/>
    <w:rsid w:val="00EB0CFF"/>
    <w:rsid w:val="00EB127D"/>
    <w:rsid w:val="00EB189E"/>
    <w:rsid w:val="00EB18C0"/>
    <w:rsid w:val="00EB201E"/>
    <w:rsid w:val="00EB267A"/>
    <w:rsid w:val="00EB2ED5"/>
    <w:rsid w:val="00EB39AC"/>
    <w:rsid w:val="00EB3B3A"/>
    <w:rsid w:val="00EB49FE"/>
    <w:rsid w:val="00EB4B43"/>
    <w:rsid w:val="00EB5085"/>
    <w:rsid w:val="00EB50C1"/>
    <w:rsid w:val="00EB5174"/>
    <w:rsid w:val="00EB548F"/>
    <w:rsid w:val="00EB58D7"/>
    <w:rsid w:val="00EB58E6"/>
    <w:rsid w:val="00EB5C22"/>
    <w:rsid w:val="00EB65CB"/>
    <w:rsid w:val="00EB6696"/>
    <w:rsid w:val="00EB6C63"/>
    <w:rsid w:val="00EB70EA"/>
    <w:rsid w:val="00EB713C"/>
    <w:rsid w:val="00EB7C85"/>
    <w:rsid w:val="00EB7FB2"/>
    <w:rsid w:val="00EC04FF"/>
    <w:rsid w:val="00EC094D"/>
    <w:rsid w:val="00EC1126"/>
    <w:rsid w:val="00EC16F1"/>
    <w:rsid w:val="00EC19C6"/>
    <w:rsid w:val="00EC1C32"/>
    <w:rsid w:val="00EC21BA"/>
    <w:rsid w:val="00EC2379"/>
    <w:rsid w:val="00EC29EA"/>
    <w:rsid w:val="00EC30A0"/>
    <w:rsid w:val="00EC329F"/>
    <w:rsid w:val="00EC432C"/>
    <w:rsid w:val="00EC491A"/>
    <w:rsid w:val="00EC4DD1"/>
    <w:rsid w:val="00EC5B69"/>
    <w:rsid w:val="00EC64B8"/>
    <w:rsid w:val="00ED0423"/>
    <w:rsid w:val="00ED10F3"/>
    <w:rsid w:val="00ED16B0"/>
    <w:rsid w:val="00ED2772"/>
    <w:rsid w:val="00ED28AB"/>
    <w:rsid w:val="00ED29E8"/>
    <w:rsid w:val="00ED3CC1"/>
    <w:rsid w:val="00ED4297"/>
    <w:rsid w:val="00ED4AE3"/>
    <w:rsid w:val="00ED50FD"/>
    <w:rsid w:val="00ED5951"/>
    <w:rsid w:val="00ED6018"/>
    <w:rsid w:val="00ED671E"/>
    <w:rsid w:val="00ED67A6"/>
    <w:rsid w:val="00ED68AE"/>
    <w:rsid w:val="00ED6B30"/>
    <w:rsid w:val="00ED6DB1"/>
    <w:rsid w:val="00ED6EDB"/>
    <w:rsid w:val="00ED7028"/>
    <w:rsid w:val="00ED7071"/>
    <w:rsid w:val="00ED7A37"/>
    <w:rsid w:val="00EE1785"/>
    <w:rsid w:val="00EE1EF7"/>
    <w:rsid w:val="00EE267E"/>
    <w:rsid w:val="00EE28BD"/>
    <w:rsid w:val="00EE2EAE"/>
    <w:rsid w:val="00EE3430"/>
    <w:rsid w:val="00EE3489"/>
    <w:rsid w:val="00EE3495"/>
    <w:rsid w:val="00EE34DD"/>
    <w:rsid w:val="00EE3EB3"/>
    <w:rsid w:val="00EE3EF7"/>
    <w:rsid w:val="00EE4246"/>
    <w:rsid w:val="00EE4AB2"/>
    <w:rsid w:val="00EE5459"/>
    <w:rsid w:val="00EE54E8"/>
    <w:rsid w:val="00EE5CBA"/>
    <w:rsid w:val="00EE68C0"/>
    <w:rsid w:val="00EF047A"/>
    <w:rsid w:val="00EF18B9"/>
    <w:rsid w:val="00EF2601"/>
    <w:rsid w:val="00EF278C"/>
    <w:rsid w:val="00EF285B"/>
    <w:rsid w:val="00EF301C"/>
    <w:rsid w:val="00EF31CC"/>
    <w:rsid w:val="00EF3A50"/>
    <w:rsid w:val="00EF4C7B"/>
    <w:rsid w:val="00EF4F2C"/>
    <w:rsid w:val="00EF534E"/>
    <w:rsid w:val="00EF54A1"/>
    <w:rsid w:val="00EF5721"/>
    <w:rsid w:val="00EF5BD4"/>
    <w:rsid w:val="00EF5D53"/>
    <w:rsid w:val="00EF6773"/>
    <w:rsid w:val="00EF689A"/>
    <w:rsid w:val="00EF6AD8"/>
    <w:rsid w:val="00EF70CB"/>
    <w:rsid w:val="00EF70CC"/>
    <w:rsid w:val="00F001AE"/>
    <w:rsid w:val="00F006F9"/>
    <w:rsid w:val="00F007FB"/>
    <w:rsid w:val="00F02008"/>
    <w:rsid w:val="00F02175"/>
    <w:rsid w:val="00F02996"/>
    <w:rsid w:val="00F0311D"/>
    <w:rsid w:val="00F0316E"/>
    <w:rsid w:val="00F036FB"/>
    <w:rsid w:val="00F03795"/>
    <w:rsid w:val="00F03E87"/>
    <w:rsid w:val="00F042D7"/>
    <w:rsid w:val="00F04E75"/>
    <w:rsid w:val="00F05603"/>
    <w:rsid w:val="00F058CF"/>
    <w:rsid w:val="00F05CE9"/>
    <w:rsid w:val="00F0641A"/>
    <w:rsid w:val="00F07918"/>
    <w:rsid w:val="00F07E4E"/>
    <w:rsid w:val="00F10B12"/>
    <w:rsid w:val="00F1198E"/>
    <w:rsid w:val="00F11ECA"/>
    <w:rsid w:val="00F125FA"/>
    <w:rsid w:val="00F12A6D"/>
    <w:rsid w:val="00F149F4"/>
    <w:rsid w:val="00F156B2"/>
    <w:rsid w:val="00F157D6"/>
    <w:rsid w:val="00F15853"/>
    <w:rsid w:val="00F15BF7"/>
    <w:rsid w:val="00F1608F"/>
    <w:rsid w:val="00F179E7"/>
    <w:rsid w:val="00F17BBF"/>
    <w:rsid w:val="00F20243"/>
    <w:rsid w:val="00F210ED"/>
    <w:rsid w:val="00F216F7"/>
    <w:rsid w:val="00F21C37"/>
    <w:rsid w:val="00F229C3"/>
    <w:rsid w:val="00F23188"/>
    <w:rsid w:val="00F2318E"/>
    <w:rsid w:val="00F23873"/>
    <w:rsid w:val="00F24104"/>
    <w:rsid w:val="00F24441"/>
    <w:rsid w:val="00F24B18"/>
    <w:rsid w:val="00F251D6"/>
    <w:rsid w:val="00F25495"/>
    <w:rsid w:val="00F257C5"/>
    <w:rsid w:val="00F2605A"/>
    <w:rsid w:val="00F262F0"/>
    <w:rsid w:val="00F265EE"/>
    <w:rsid w:val="00F266B2"/>
    <w:rsid w:val="00F26A11"/>
    <w:rsid w:val="00F26D06"/>
    <w:rsid w:val="00F27AC0"/>
    <w:rsid w:val="00F27C88"/>
    <w:rsid w:val="00F3023B"/>
    <w:rsid w:val="00F30290"/>
    <w:rsid w:val="00F3068E"/>
    <w:rsid w:val="00F308E8"/>
    <w:rsid w:val="00F30912"/>
    <w:rsid w:val="00F30962"/>
    <w:rsid w:val="00F30E6C"/>
    <w:rsid w:val="00F311F1"/>
    <w:rsid w:val="00F323EC"/>
    <w:rsid w:val="00F3264E"/>
    <w:rsid w:val="00F327B7"/>
    <w:rsid w:val="00F32983"/>
    <w:rsid w:val="00F330C3"/>
    <w:rsid w:val="00F331AE"/>
    <w:rsid w:val="00F3385E"/>
    <w:rsid w:val="00F33958"/>
    <w:rsid w:val="00F3400C"/>
    <w:rsid w:val="00F34A5A"/>
    <w:rsid w:val="00F35C14"/>
    <w:rsid w:val="00F35D14"/>
    <w:rsid w:val="00F35D24"/>
    <w:rsid w:val="00F36C24"/>
    <w:rsid w:val="00F36D66"/>
    <w:rsid w:val="00F37806"/>
    <w:rsid w:val="00F37BB3"/>
    <w:rsid w:val="00F403D0"/>
    <w:rsid w:val="00F406A4"/>
    <w:rsid w:val="00F412D5"/>
    <w:rsid w:val="00F41477"/>
    <w:rsid w:val="00F42A2B"/>
    <w:rsid w:val="00F42CD8"/>
    <w:rsid w:val="00F43262"/>
    <w:rsid w:val="00F44959"/>
    <w:rsid w:val="00F449C3"/>
    <w:rsid w:val="00F44C51"/>
    <w:rsid w:val="00F458F6"/>
    <w:rsid w:val="00F4601A"/>
    <w:rsid w:val="00F461A9"/>
    <w:rsid w:val="00F466C5"/>
    <w:rsid w:val="00F46D4D"/>
    <w:rsid w:val="00F46D89"/>
    <w:rsid w:val="00F46DFE"/>
    <w:rsid w:val="00F475B6"/>
    <w:rsid w:val="00F477A8"/>
    <w:rsid w:val="00F47D09"/>
    <w:rsid w:val="00F47D52"/>
    <w:rsid w:val="00F47F20"/>
    <w:rsid w:val="00F5183C"/>
    <w:rsid w:val="00F5214D"/>
    <w:rsid w:val="00F52450"/>
    <w:rsid w:val="00F52898"/>
    <w:rsid w:val="00F529D7"/>
    <w:rsid w:val="00F53305"/>
    <w:rsid w:val="00F535A6"/>
    <w:rsid w:val="00F5363D"/>
    <w:rsid w:val="00F53D38"/>
    <w:rsid w:val="00F54006"/>
    <w:rsid w:val="00F54234"/>
    <w:rsid w:val="00F54B70"/>
    <w:rsid w:val="00F552D5"/>
    <w:rsid w:val="00F5580D"/>
    <w:rsid w:val="00F55CAA"/>
    <w:rsid w:val="00F57468"/>
    <w:rsid w:val="00F57CFB"/>
    <w:rsid w:val="00F57F46"/>
    <w:rsid w:val="00F607B1"/>
    <w:rsid w:val="00F609CF"/>
    <w:rsid w:val="00F611F7"/>
    <w:rsid w:val="00F61284"/>
    <w:rsid w:val="00F61357"/>
    <w:rsid w:val="00F61FD6"/>
    <w:rsid w:val="00F61FE8"/>
    <w:rsid w:val="00F62369"/>
    <w:rsid w:val="00F6271A"/>
    <w:rsid w:val="00F637C1"/>
    <w:rsid w:val="00F63B94"/>
    <w:rsid w:val="00F650D4"/>
    <w:rsid w:val="00F6546D"/>
    <w:rsid w:val="00F6597A"/>
    <w:rsid w:val="00F65B4A"/>
    <w:rsid w:val="00F65B99"/>
    <w:rsid w:val="00F663A7"/>
    <w:rsid w:val="00F66563"/>
    <w:rsid w:val="00F67386"/>
    <w:rsid w:val="00F67A81"/>
    <w:rsid w:val="00F67C4E"/>
    <w:rsid w:val="00F70323"/>
    <w:rsid w:val="00F704C7"/>
    <w:rsid w:val="00F70DE2"/>
    <w:rsid w:val="00F72377"/>
    <w:rsid w:val="00F748A4"/>
    <w:rsid w:val="00F74CE3"/>
    <w:rsid w:val="00F75314"/>
    <w:rsid w:val="00F757B3"/>
    <w:rsid w:val="00F75862"/>
    <w:rsid w:val="00F75C68"/>
    <w:rsid w:val="00F75D5D"/>
    <w:rsid w:val="00F75DE4"/>
    <w:rsid w:val="00F769A1"/>
    <w:rsid w:val="00F769A5"/>
    <w:rsid w:val="00F76B4F"/>
    <w:rsid w:val="00F77231"/>
    <w:rsid w:val="00F77D50"/>
    <w:rsid w:val="00F808C0"/>
    <w:rsid w:val="00F81546"/>
    <w:rsid w:val="00F81960"/>
    <w:rsid w:val="00F819F6"/>
    <w:rsid w:val="00F81F10"/>
    <w:rsid w:val="00F82285"/>
    <w:rsid w:val="00F823AA"/>
    <w:rsid w:val="00F82443"/>
    <w:rsid w:val="00F83AD9"/>
    <w:rsid w:val="00F83AE2"/>
    <w:rsid w:val="00F83EB0"/>
    <w:rsid w:val="00F84251"/>
    <w:rsid w:val="00F8466C"/>
    <w:rsid w:val="00F84EF8"/>
    <w:rsid w:val="00F84F17"/>
    <w:rsid w:val="00F859FC"/>
    <w:rsid w:val="00F85BA6"/>
    <w:rsid w:val="00F85DE1"/>
    <w:rsid w:val="00F86030"/>
    <w:rsid w:val="00F8670C"/>
    <w:rsid w:val="00F8677F"/>
    <w:rsid w:val="00F86905"/>
    <w:rsid w:val="00F86DB6"/>
    <w:rsid w:val="00F87B1A"/>
    <w:rsid w:val="00F87C18"/>
    <w:rsid w:val="00F90072"/>
    <w:rsid w:val="00F902E2"/>
    <w:rsid w:val="00F91972"/>
    <w:rsid w:val="00F91A8F"/>
    <w:rsid w:val="00F921FA"/>
    <w:rsid w:val="00F9291E"/>
    <w:rsid w:val="00F92A42"/>
    <w:rsid w:val="00F936E9"/>
    <w:rsid w:val="00F938EE"/>
    <w:rsid w:val="00F93C66"/>
    <w:rsid w:val="00F93CB7"/>
    <w:rsid w:val="00F941AC"/>
    <w:rsid w:val="00F95150"/>
    <w:rsid w:val="00F9548E"/>
    <w:rsid w:val="00F95B14"/>
    <w:rsid w:val="00F95E5D"/>
    <w:rsid w:val="00F96689"/>
    <w:rsid w:val="00F96923"/>
    <w:rsid w:val="00F970BD"/>
    <w:rsid w:val="00F978DB"/>
    <w:rsid w:val="00FA0679"/>
    <w:rsid w:val="00FA11A8"/>
    <w:rsid w:val="00FA128C"/>
    <w:rsid w:val="00FA1634"/>
    <w:rsid w:val="00FA1656"/>
    <w:rsid w:val="00FA18BB"/>
    <w:rsid w:val="00FA1C05"/>
    <w:rsid w:val="00FA1DE4"/>
    <w:rsid w:val="00FA227D"/>
    <w:rsid w:val="00FA22D8"/>
    <w:rsid w:val="00FA25E1"/>
    <w:rsid w:val="00FA2B9F"/>
    <w:rsid w:val="00FA3313"/>
    <w:rsid w:val="00FA35B2"/>
    <w:rsid w:val="00FA3BB0"/>
    <w:rsid w:val="00FA3D20"/>
    <w:rsid w:val="00FA46A3"/>
    <w:rsid w:val="00FA4F63"/>
    <w:rsid w:val="00FA53E3"/>
    <w:rsid w:val="00FA573B"/>
    <w:rsid w:val="00FA5CC2"/>
    <w:rsid w:val="00FA60C6"/>
    <w:rsid w:val="00FA61AB"/>
    <w:rsid w:val="00FA61D5"/>
    <w:rsid w:val="00FA6316"/>
    <w:rsid w:val="00FA6677"/>
    <w:rsid w:val="00FB0233"/>
    <w:rsid w:val="00FB02E8"/>
    <w:rsid w:val="00FB06A7"/>
    <w:rsid w:val="00FB0B7A"/>
    <w:rsid w:val="00FB0EE2"/>
    <w:rsid w:val="00FB1259"/>
    <w:rsid w:val="00FB17D5"/>
    <w:rsid w:val="00FB25E6"/>
    <w:rsid w:val="00FB277D"/>
    <w:rsid w:val="00FB286E"/>
    <w:rsid w:val="00FB2BAA"/>
    <w:rsid w:val="00FB2D05"/>
    <w:rsid w:val="00FB36E0"/>
    <w:rsid w:val="00FB3A88"/>
    <w:rsid w:val="00FB4402"/>
    <w:rsid w:val="00FB4480"/>
    <w:rsid w:val="00FB5274"/>
    <w:rsid w:val="00FB5526"/>
    <w:rsid w:val="00FB5AFB"/>
    <w:rsid w:val="00FB5C09"/>
    <w:rsid w:val="00FB5E50"/>
    <w:rsid w:val="00FB63FB"/>
    <w:rsid w:val="00FB6AE3"/>
    <w:rsid w:val="00FB6C4B"/>
    <w:rsid w:val="00FB6E82"/>
    <w:rsid w:val="00FB73B0"/>
    <w:rsid w:val="00FB77FE"/>
    <w:rsid w:val="00FC041F"/>
    <w:rsid w:val="00FC0552"/>
    <w:rsid w:val="00FC05FD"/>
    <w:rsid w:val="00FC0D3E"/>
    <w:rsid w:val="00FC16E3"/>
    <w:rsid w:val="00FC1794"/>
    <w:rsid w:val="00FC1F8E"/>
    <w:rsid w:val="00FC254C"/>
    <w:rsid w:val="00FC2580"/>
    <w:rsid w:val="00FC29C0"/>
    <w:rsid w:val="00FC2AAB"/>
    <w:rsid w:val="00FC310E"/>
    <w:rsid w:val="00FC3426"/>
    <w:rsid w:val="00FC37D8"/>
    <w:rsid w:val="00FC3B4F"/>
    <w:rsid w:val="00FC419E"/>
    <w:rsid w:val="00FC41FC"/>
    <w:rsid w:val="00FC46FB"/>
    <w:rsid w:val="00FC4AA7"/>
    <w:rsid w:val="00FC6639"/>
    <w:rsid w:val="00FC7863"/>
    <w:rsid w:val="00FC7E5C"/>
    <w:rsid w:val="00FD009C"/>
    <w:rsid w:val="00FD00A2"/>
    <w:rsid w:val="00FD032B"/>
    <w:rsid w:val="00FD09C3"/>
    <w:rsid w:val="00FD0C85"/>
    <w:rsid w:val="00FD0F70"/>
    <w:rsid w:val="00FD1925"/>
    <w:rsid w:val="00FD1F85"/>
    <w:rsid w:val="00FD39EB"/>
    <w:rsid w:val="00FD3B95"/>
    <w:rsid w:val="00FD48AE"/>
    <w:rsid w:val="00FD4D27"/>
    <w:rsid w:val="00FD4F70"/>
    <w:rsid w:val="00FD5402"/>
    <w:rsid w:val="00FD54A5"/>
    <w:rsid w:val="00FD562D"/>
    <w:rsid w:val="00FD59A3"/>
    <w:rsid w:val="00FD5DC5"/>
    <w:rsid w:val="00FD5F72"/>
    <w:rsid w:val="00FD6159"/>
    <w:rsid w:val="00FD66BE"/>
    <w:rsid w:val="00FD6700"/>
    <w:rsid w:val="00FD7025"/>
    <w:rsid w:val="00FD7387"/>
    <w:rsid w:val="00FD74B0"/>
    <w:rsid w:val="00FD7800"/>
    <w:rsid w:val="00FE09BB"/>
    <w:rsid w:val="00FE0D27"/>
    <w:rsid w:val="00FE0F1F"/>
    <w:rsid w:val="00FE183D"/>
    <w:rsid w:val="00FE1987"/>
    <w:rsid w:val="00FE2565"/>
    <w:rsid w:val="00FE2E8B"/>
    <w:rsid w:val="00FE2F4F"/>
    <w:rsid w:val="00FE34B1"/>
    <w:rsid w:val="00FE3567"/>
    <w:rsid w:val="00FE45EC"/>
    <w:rsid w:val="00FE49F4"/>
    <w:rsid w:val="00FE58DC"/>
    <w:rsid w:val="00FE5B15"/>
    <w:rsid w:val="00FE5B34"/>
    <w:rsid w:val="00FE5E36"/>
    <w:rsid w:val="00FE6448"/>
    <w:rsid w:val="00FE67BD"/>
    <w:rsid w:val="00FE776D"/>
    <w:rsid w:val="00FE7C07"/>
    <w:rsid w:val="00FE7C65"/>
    <w:rsid w:val="00FF02CB"/>
    <w:rsid w:val="00FF09F2"/>
    <w:rsid w:val="00FF14CF"/>
    <w:rsid w:val="00FF16E0"/>
    <w:rsid w:val="00FF1D89"/>
    <w:rsid w:val="00FF1E51"/>
    <w:rsid w:val="00FF2245"/>
    <w:rsid w:val="00FF279E"/>
    <w:rsid w:val="00FF36C6"/>
    <w:rsid w:val="00FF3ADA"/>
    <w:rsid w:val="00FF43C4"/>
    <w:rsid w:val="00FF486B"/>
    <w:rsid w:val="00FF4991"/>
    <w:rsid w:val="00FF4A77"/>
    <w:rsid w:val="00FF5538"/>
    <w:rsid w:val="00FF589B"/>
    <w:rsid w:val="00FF6B19"/>
    <w:rsid w:val="00FF6FD1"/>
    <w:rsid w:val="00FF7A04"/>
    <w:rsid w:val="00FF7EAC"/>
    <w:rsid w:val="01204D01"/>
    <w:rsid w:val="01316B69"/>
    <w:rsid w:val="01758119"/>
    <w:rsid w:val="0249A1C0"/>
    <w:rsid w:val="0281AE95"/>
    <w:rsid w:val="029CA7CE"/>
    <w:rsid w:val="02E4D4DD"/>
    <w:rsid w:val="035CCDE3"/>
    <w:rsid w:val="03CC1747"/>
    <w:rsid w:val="03E4228A"/>
    <w:rsid w:val="044C71D4"/>
    <w:rsid w:val="04B50360"/>
    <w:rsid w:val="04CA7CA6"/>
    <w:rsid w:val="051D2162"/>
    <w:rsid w:val="05492BB5"/>
    <w:rsid w:val="05651B93"/>
    <w:rsid w:val="0611A1D5"/>
    <w:rsid w:val="0629DE61"/>
    <w:rsid w:val="06E1E662"/>
    <w:rsid w:val="06F3E651"/>
    <w:rsid w:val="070F03DD"/>
    <w:rsid w:val="074F7BF7"/>
    <w:rsid w:val="07827161"/>
    <w:rsid w:val="07AF6538"/>
    <w:rsid w:val="07C01D13"/>
    <w:rsid w:val="07D2C9D5"/>
    <w:rsid w:val="07EDBA37"/>
    <w:rsid w:val="0833FBF6"/>
    <w:rsid w:val="083DA524"/>
    <w:rsid w:val="085FFF00"/>
    <w:rsid w:val="08EC6013"/>
    <w:rsid w:val="09754C79"/>
    <w:rsid w:val="099F4D36"/>
    <w:rsid w:val="09C6B61B"/>
    <w:rsid w:val="09F2EED4"/>
    <w:rsid w:val="0A36EBDB"/>
    <w:rsid w:val="0B122641"/>
    <w:rsid w:val="0B2B3A49"/>
    <w:rsid w:val="0BB9270A"/>
    <w:rsid w:val="0C074806"/>
    <w:rsid w:val="0C7B1B0A"/>
    <w:rsid w:val="0D04AA01"/>
    <w:rsid w:val="0D2E0868"/>
    <w:rsid w:val="0D38B060"/>
    <w:rsid w:val="0D6EAA44"/>
    <w:rsid w:val="0D73FEF9"/>
    <w:rsid w:val="0D8CDEAA"/>
    <w:rsid w:val="0E269200"/>
    <w:rsid w:val="0E8B57CD"/>
    <w:rsid w:val="0F8F4E1F"/>
    <w:rsid w:val="0F950EFC"/>
    <w:rsid w:val="11270C02"/>
    <w:rsid w:val="116CC527"/>
    <w:rsid w:val="1179F5DA"/>
    <w:rsid w:val="1194E0F8"/>
    <w:rsid w:val="12C63696"/>
    <w:rsid w:val="13267498"/>
    <w:rsid w:val="132AEE9A"/>
    <w:rsid w:val="1359CAB2"/>
    <w:rsid w:val="13AB4685"/>
    <w:rsid w:val="13B90677"/>
    <w:rsid w:val="13CF7AA7"/>
    <w:rsid w:val="142E029B"/>
    <w:rsid w:val="1436131D"/>
    <w:rsid w:val="144A1C33"/>
    <w:rsid w:val="14A5254A"/>
    <w:rsid w:val="1597FF6B"/>
    <w:rsid w:val="15ADBBE3"/>
    <w:rsid w:val="15D8E191"/>
    <w:rsid w:val="167E6CAA"/>
    <w:rsid w:val="17752B2E"/>
    <w:rsid w:val="179E888C"/>
    <w:rsid w:val="17A0A834"/>
    <w:rsid w:val="180705BD"/>
    <w:rsid w:val="180E496A"/>
    <w:rsid w:val="183667C4"/>
    <w:rsid w:val="184A1D3B"/>
    <w:rsid w:val="1903F134"/>
    <w:rsid w:val="1999825F"/>
    <w:rsid w:val="19C1359B"/>
    <w:rsid w:val="1B126D6B"/>
    <w:rsid w:val="1B16BC81"/>
    <w:rsid w:val="1B22E0A0"/>
    <w:rsid w:val="1B2977DD"/>
    <w:rsid w:val="1BAE6E6A"/>
    <w:rsid w:val="1BD3BD9B"/>
    <w:rsid w:val="1BD86FAF"/>
    <w:rsid w:val="1C55433F"/>
    <w:rsid w:val="1C578FA4"/>
    <w:rsid w:val="1C5EFA3C"/>
    <w:rsid w:val="1CA462C3"/>
    <w:rsid w:val="1CD353C3"/>
    <w:rsid w:val="1CFD32B7"/>
    <w:rsid w:val="1D2A3631"/>
    <w:rsid w:val="1D510897"/>
    <w:rsid w:val="1D6287AC"/>
    <w:rsid w:val="1D91E9BE"/>
    <w:rsid w:val="1D99F934"/>
    <w:rsid w:val="1E6C73A6"/>
    <w:rsid w:val="1E707B86"/>
    <w:rsid w:val="1E711ABB"/>
    <w:rsid w:val="1F5B809C"/>
    <w:rsid w:val="1F6C1F3B"/>
    <w:rsid w:val="204F321F"/>
    <w:rsid w:val="212B3DAA"/>
    <w:rsid w:val="21411A84"/>
    <w:rsid w:val="214EAFD0"/>
    <w:rsid w:val="2156090C"/>
    <w:rsid w:val="21AB4027"/>
    <w:rsid w:val="21E77CCD"/>
    <w:rsid w:val="2251BC60"/>
    <w:rsid w:val="2288E331"/>
    <w:rsid w:val="229B4E38"/>
    <w:rsid w:val="22A9F396"/>
    <w:rsid w:val="23312BDB"/>
    <w:rsid w:val="2363809B"/>
    <w:rsid w:val="23939326"/>
    <w:rsid w:val="23BFD0AD"/>
    <w:rsid w:val="240322D3"/>
    <w:rsid w:val="240D1772"/>
    <w:rsid w:val="24407192"/>
    <w:rsid w:val="248D3F10"/>
    <w:rsid w:val="24B08788"/>
    <w:rsid w:val="24C23ED4"/>
    <w:rsid w:val="252346F2"/>
    <w:rsid w:val="257DC130"/>
    <w:rsid w:val="259FED04"/>
    <w:rsid w:val="25A98196"/>
    <w:rsid w:val="25E24C66"/>
    <w:rsid w:val="26110DBC"/>
    <w:rsid w:val="261A60A6"/>
    <w:rsid w:val="2675E973"/>
    <w:rsid w:val="26BC05E4"/>
    <w:rsid w:val="26D38A48"/>
    <w:rsid w:val="26D5A9F7"/>
    <w:rsid w:val="26F5D3C8"/>
    <w:rsid w:val="2735B5ED"/>
    <w:rsid w:val="2749909F"/>
    <w:rsid w:val="275972EC"/>
    <w:rsid w:val="279EA950"/>
    <w:rsid w:val="28452586"/>
    <w:rsid w:val="2853E09A"/>
    <w:rsid w:val="285474C8"/>
    <w:rsid w:val="2854B479"/>
    <w:rsid w:val="29066404"/>
    <w:rsid w:val="290F3DB2"/>
    <w:rsid w:val="297AD705"/>
    <w:rsid w:val="2A3FA85F"/>
    <w:rsid w:val="2A6B973A"/>
    <w:rsid w:val="2A6FF9F6"/>
    <w:rsid w:val="2B2BFA16"/>
    <w:rsid w:val="2B7F6FA0"/>
    <w:rsid w:val="2B8805AB"/>
    <w:rsid w:val="2C5CCDFF"/>
    <w:rsid w:val="2CC941E7"/>
    <w:rsid w:val="2DA4B5EF"/>
    <w:rsid w:val="2E06DA0B"/>
    <w:rsid w:val="2EB4027C"/>
    <w:rsid w:val="2F071DFB"/>
    <w:rsid w:val="2F07B57F"/>
    <w:rsid w:val="2FECB77A"/>
    <w:rsid w:val="30038EB6"/>
    <w:rsid w:val="301D3633"/>
    <w:rsid w:val="30229C2D"/>
    <w:rsid w:val="305F1F60"/>
    <w:rsid w:val="3074B98A"/>
    <w:rsid w:val="30B1EA1A"/>
    <w:rsid w:val="31143229"/>
    <w:rsid w:val="3115C6B0"/>
    <w:rsid w:val="31BD8DD5"/>
    <w:rsid w:val="31F2D984"/>
    <w:rsid w:val="3224A348"/>
    <w:rsid w:val="32706EC6"/>
    <w:rsid w:val="32CD5F4D"/>
    <w:rsid w:val="333BAA8E"/>
    <w:rsid w:val="335B305E"/>
    <w:rsid w:val="3368F7D5"/>
    <w:rsid w:val="33D38A33"/>
    <w:rsid w:val="340EFA15"/>
    <w:rsid w:val="34254F0E"/>
    <w:rsid w:val="34590F90"/>
    <w:rsid w:val="34BAA436"/>
    <w:rsid w:val="34E1DECE"/>
    <w:rsid w:val="34EA44EC"/>
    <w:rsid w:val="351DBAEE"/>
    <w:rsid w:val="35424AF3"/>
    <w:rsid w:val="35943414"/>
    <w:rsid w:val="362E4FE0"/>
    <w:rsid w:val="3648B48A"/>
    <w:rsid w:val="3688A355"/>
    <w:rsid w:val="36F7B37F"/>
    <w:rsid w:val="36FC54D1"/>
    <w:rsid w:val="3779AA5E"/>
    <w:rsid w:val="37870A77"/>
    <w:rsid w:val="37A231C1"/>
    <w:rsid w:val="37A43A23"/>
    <w:rsid w:val="37E8E30C"/>
    <w:rsid w:val="383A6527"/>
    <w:rsid w:val="38608861"/>
    <w:rsid w:val="388E1695"/>
    <w:rsid w:val="38CAB30F"/>
    <w:rsid w:val="38EA62F6"/>
    <w:rsid w:val="394B7C4B"/>
    <w:rsid w:val="396BB0FC"/>
    <w:rsid w:val="3976633F"/>
    <w:rsid w:val="39987A2C"/>
    <w:rsid w:val="39E4988E"/>
    <w:rsid w:val="39F836A1"/>
    <w:rsid w:val="3A72A122"/>
    <w:rsid w:val="3AC85695"/>
    <w:rsid w:val="3B1D8D05"/>
    <w:rsid w:val="3B732F23"/>
    <w:rsid w:val="3BA23661"/>
    <w:rsid w:val="3BB60F51"/>
    <w:rsid w:val="3BFA4F9C"/>
    <w:rsid w:val="3C0DB521"/>
    <w:rsid w:val="3C382D1B"/>
    <w:rsid w:val="3C468A9A"/>
    <w:rsid w:val="3C7AD3D5"/>
    <w:rsid w:val="3CD099AB"/>
    <w:rsid w:val="3CE1623D"/>
    <w:rsid w:val="3D01ED58"/>
    <w:rsid w:val="3D2DF616"/>
    <w:rsid w:val="3D402BF9"/>
    <w:rsid w:val="3D72E93C"/>
    <w:rsid w:val="3D91091B"/>
    <w:rsid w:val="3D91CBCA"/>
    <w:rsid w:val="3DA05CCD"/>
    <w:rsid w:val="3DB0E00C"/>
    <w:rsid w:val="3DC14CA0"/>
    <w:rsid w:val="3E02A43C"/>
    <w:rsid w:val="3E0D7CCC"/>
    <w:rsid w:val="3E1FD780"/>
    <w:rsid w:val="3E346746"/>
    <w:rsid w:val="3E3D9B4F"/>
    <w:rsid w:val="3E870AEC"/>
    <w:rsid w:val="3E878A36"/>
    <w:rsid w:val="3EB8C8A6"/>
    <w:rsid w:val="3F10B8E6"/>
    <w:rsid w:val="3F3951BD"/>
    <w:rsid w:val="3F734181"/>
    <w:rsid w:val="3F7BA8E8"/>
    <w:rsid w:val="3F7C5731"/>
    <w:rsid w:val="3FE5F2D4"/>
    <w:rsid w:val="401AE4B9"/>
    <w:rsid w:val="406B2B0F"/>
    <w:rsid w:val="4090D86A"/>
    <w:rsid w:val="4093C867"/>
    <w:rsid w:val="40E8C1F4"/>
    <w:rsid w:val="40FE0341"/>
    <w:rsid w:val="41115C6B"/>
    <w:rsid w:val="4136410B"/>
    <w:rsid w:val="4181E6AF"/>
    <w:rsid w:val="420EE3CF"/>
    <w:rsid w:val="42118D6F"/>
    <w:rsid w:val="422AAB8D"/>
    <w:rsid w:val="4270C8D4"/>
    <w:rsid w:val="42BA4D2C"/>
    <w:rsid w:val="43002335"/>
    <w:rsid w:val="431ACBBC"/>
    <w:rsid w:val="4378AE9B"/>
    <w:rsid w:val="43B97E45"/>
    <w:rsid w:val="43EDC2C9"/>
    <w:rsid w:val="44039A9F"/>
    <w:rsid w:val="4473D699"/>
    <w:rsid w:val="44894513"/>
    <w:rsid w:val="44D2D0CE"/>
    <w:rsid w:val="450F8A29"/>
    <w:rsid w:val="4543FD93"/>
    <w:rsid w:val="4581D1CE"/>
    <w:rsid w:val="45CAB042"/>
    <w:rsid w:val="4654BCFF"/>
    <w:rsid w:val="465EA6E9"/>
    <w:rsid w:val="46752D65"/>
    <w:rsid w:val="4700C648"/>
    <w:rsid w:val="473440FC"/>
    <w:rsid w:val="47777F71"/>
    <w:rsid w:val="4798D494"/>
    <w:rsid w:val="479C016A"/>
    <w:rsid w:val="48837285"/>
    <w:rsid w:val="48895E40"/>
    <w:rsid w:val="48B5357C"/>
    <w:rsid w:val="48D006C5"/>
    <w:rsid w:val="4900C091"/>
    <w:rsid w:val="491BE910"/>
    <w:rsid w:val="49649EEE"/>
    <w:rsid w:val="4A16E8BF"/>
    <w:rsid w:val="4A803748"/>
    <w:rsid w:val="4A93A06A"/>
    <w:rsid w:val="4AB377D6"/>
    <w:rsid w:val="4B66C42A"/>
    <w:rsid w:val="4B6E5ADE"/>
    <w:rsid w:val="4CAA1D9C"/>
    <w:rsid w:val="4CC30732"/>
    <w:rsid w:val="4CE0CB49"/>
    <w:rsid w:val="4D487035"/>
    <w:rsid w:val="4D4C6324"/>
    <w:rsid w:val="4D55AA39"/>
    <w:rsid w:val="4DC7EEED"/>
    <w:rsid w:val="4DDDF258"/>
    <w:rsid w:val="4E6BB882"/>
    <w:rsid w:val="4E80D22B"/>
    <w:rsid w:val="4EC401CC"/>
    <w:rsid w:val="4EF64BFB"/>
    <w:rsid w:val="4F022BA3"/>
    <w:rsid w:val="4F4AA6B3"/>
    <w:rsid w:val="4FCC40A7"/>
    <w:rsid w:val="50360191"/>
    <w:rsid w:val="508CD166"/>
    <w:rsid w:val="50BA0C2D"/>
    <w:rsid w:val="5169B92A"/>
    <w:rsid w:val="518B3A0C"/>
    <w:rsid w:val="518F322F"/>
    <w:rsid w:val="51FC94CD"/>
    <w:rsid w:val="520EE147"/>
    <w:rsid w:val="52353504"/>
    <w:rsid w:val="525C0EEE"/>
    <w:rsid w:val="5356E8FD"/>
    <w:rsid w:val="53D0A161"/>
    <w:rsid w:val="544EF098"/>
    <w:rsid w:val="545EF2EA"/>
    <w:rsid w:val="553A8C88"/>
    <w:rsid w:val="554AFF01"/>
    <w:rsid w:val="556DA2AE"/>
    <w:rsid w:val="55BDC32D"/>
    <w:rsid w:val="560ED185"/>
    <w:rsid w:val="567F973F"/>
    <w:rsid w:val="568CE054"/>
    <w:rsid w:val="56B6335C"/>
    <w:rsid w:val="56BCBD4C"/>
    <w:rsid w:val="56E40E9B"/>
    <w:rsid w:val="56EC61BA"/>
    <w:rsid w:val="570E7B22"/>
    <w:rsid w:val="570F0D07"/>
    <w:rsid w:val="575CDF2D"/>
    <w:rsid w:val="5770BDE1"/>
    <w:rsid w:val="57843E2C"/>
    <w:rsid w:val="57C94BB7"/>
    <w:rsid w:val="585910E9"/>
    <w:rsid w:val="5865A372"/>
    <w:rsid w:val="58A38ABB"/>
    <w:rsid w:val="58A8A5CA"/>
    <w:rsid w:val="5919A930"/>
    <w:rsid w:val="59285196"/>
    <w:rsid w:val="595BAFD4"/>
    <w:rsid w:val="59754E61"/>
    <w:rsid w:val="597844C7"/>
    <w:rsid w:val="5989A06F"/>
    <w:rsid w:val="59F12F61"/>
    <w:rsid w:val="5A669353"/>
    <w:rsid w:val="5A85E76C"/>
    <w:rsid w:val="5A9CB0B7"/>
    <w:rsid w:val="5AA79459"/>
    <w:rsid w:val="5B4049C6"/>
    <w:rsid w:val="5C136EA6"/>
    <w:rsid w:val="5C3CF083"/>
    <w:rsid w:val="5C56D571"/>
    <w:rsid w:val="5C5D85FB"/>
    <w:rsid w:val="5CB5C913"/>
    <w:rsid w:val="5D53544D"/>
    <w:rsid w:val="5D6DF85F"/>
    <w:rsid w:val="5DB9496C"/>
    <w:rsid w:val="5DC41101"/>
    <w:rsid w:val="5E1B0A84"/>
    <w:rsid w:val="5F5A1C2D"/>
    <w:rsid w:val="5FD3C514"/>
    <w:rsid w:val="6020D78C"/>
    <w:rsid w:val="60BAE98E"/>
    <w:rsid w:val="60D3FA46"/>
    <w:rsid w:val="60DDFFC5"/>
    <w:rsid w:val="61BF0EDC"/>
    <w:rsid w:val="61F69EFF"/>
    <w:rsid w:val="620B6D0B"/>
    <w:rsid w:val="62CC7210"/>
    <w:rsid w:val="63590F15"/>
    <w:rsid w:val="639C7507"/>
    <w:rsid w:val="63CBFCE2"/>
    <w:rsid w:val="63F443DA"/>
    <w:rsid w:val="640BCB17"/>
    <w:rsid w:val="6483C728"/>
    <w:rsid w:val="64EE71C3"/>
    <w:rsid w:val="64FC6892"/>
    <w:rsid w:val="656266E9"/>
    <w:rsid w:val="65B1B803"/>
    <w:rsid w:val="65BCA3F3"/>
    <w:rsid w:val="65BE672D"/>
    <w:rsid w:val="65CB93AB"/>
    <w:rsid w:val="6685690E"/>
    <w:rsid w:val="66A06F42"/>
    <w:rsid w:val="66BDEC80"/>
    <w:rsid w:val="66FA4D47"/>
    <w:rsid w:val="6718C0E5"/>
    <w:rsid w:val="673E957C"/>
    <w:rsid w:val="67AAAD49"/>
    <w:rsid w:val="67FFA446"/>
    <w:rsid w:val="681FF1CF"/>
    <w:rsid w:val="6829D853"/>
    <w:rsid w:val="68521159"/>
    <w:rsid w:val="685B1C50"/>
    <w:rsid w:val="695D8B3A"/>
    <w:rsid w:val="69A4F6D5"/>
    <w:rsid w:val="69E23ED8"/>
    <w:rsid w:val="6A261A74"/>
    <w:rsid w:val="6A3DE012"/>
    <w:rsid w:val="6B020B9B"/>
    <w:rsid w:val="6B68EAA5"/>
    <w:rsid w:val="6B9B679E"/>
    <w:rsid w:val="6BBAA343"/>
    <w:rsid w:val="6BCB61BE"/>
    <w:rsid w:val="6C01BE34"/>
    <w:rsid w:val="6C298B00"/>
    <w:rsid w:val="6C50CE4F"/>
    <w:rsid w:val="6C6565D5"/>
    <w:rsid w:val="6C72BA1D"/>
    <w:rsid w:val="6C91409E"/>
    <w:rsid w:val="6CC56CC9"/>
    <w:rsid w:val="6CDF31FB"/>
    <w:rsid w:val="6D15FB49"/>
    <w:rsid w:val="6D3982DB"/>
    <w:rsid w:val="6D41DA79"/>
    <w:rsid w:val="6D696648"/>
    <w:rsid w:val="6DB6AB69"/>
    <w:rsid w:val="6E2EEE63"/>
    <w:rsid w:val="6E353450"/>
    <w:rsid w:val="6E4F5AED"/>
    <w:rsid w:val="6EECCD50"/>
    <w:rsid w:val="6F2E82A5"/>
    <w:rsid w:val="6FF60C2A"/>
    <w:rsid w:val="70D27E6F"/>
    <w:rsid w:val="7113FB00"/>
    <w:rsid w:val="7154D17B"/>
    <w:rsid w:val="7163685E"/>
    <w:rsid w:val="7179501A"/>
    <w:rsid w:val="7198AB63"/>
    <w:rsid w:val="72118521"/>
    <w:rsid w:val="7266C2A0"/>
    <w:rsid w:val="727E7BA7"/>
    <w:rsid w:val="72894F81"/>
    <w:rsid w:val="7296625D"/>
    <w:rsid w:val="72D18A8D"/>
    <w:rsid w:val="72F91B7D"/>
    <w:rsid w:val="72FCDF89"/>
    <w:rsid w:val="7366176A"/>
    <w:rsid w:val="73A935E7"/>
    <w:rsid w:val="73BC62DC"/>
    <w:rsid w:val="73E8B443"/>
    <w:rsid w:val="74E93082"/>
    <w:rsid w:val="74FE36DF"/>
    <w:rsid w:val="751EDC28"/>
    <w:rsid w:val="75560CF7"/>
    <w:rsid w:val="75595EA2"/>
    <w:rsid w:val="75F43A84"/>
    <w:rsid w:val="7612833D"/>
    <w:rsid w:val="76442897"/>
    <w:rsid w:val="7679741E"/>
    <w:rsid w:val="768C4A5F"/>
    <w:rsid w:val="76C28B74"/>
    <w:rsid w:val="7749A9AB"/>
    <w:rsid w:val="780C2752"/>
    <w:rsid w:val="780F620A"/>
    <w:rsid w:val="79335CAE"/>
    <w:rsid w:val="793FE14F"/>
    <w:rsid w:val="79B41CA0"/>
    <w:rsid w:val="79B61293"/>
    <w:rsid w:val="79C7617F"/>
    <w:rsid w:val="7A591638"/>
    <w:rsid w:val="7AD6A47D"/>
    <w:rsid w:val="7AD6C14D"/>
    <w:rsid w:val="7B30459F"/>
    <w:rsid w:val="7B65791D"/>
    <w:rsid w:val="7B662162"/>
    <w:rsid w:val="7B808E72"/>
    <w:rsid w:val="7BD1D266"/>
    <w:rsid w:val="7C21F46D"/>
    <w:rsid w:val="7C34796E"/>
    <w:rsid w:val="7C5E967E"/>
    <w:rsid w:val="7C86D96F"/>
    <w:rsid w:val="7CC8D62B"/>
    <w:rsid w:val="7D7D99DB"/>
    <w:rsid w:val="7E0C9013"/>
    <w:rsid w:val="7E1FA3C6"/>
    <w:rsid w:val="7F047443"/>
    <w:rsid w:val="7F3B8EB1"/>
    <w:rsid w:val="7F41ABA6"/>
    <w:rsid w:val="7F87BABC"/>
    <w:rsid w:val="7F8F12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37BD9"/>
  <w15:chartTrackingRefBased/>
  <w15:docId w15:val="{2352A075-F0CF-4AE4-8B7D-3E300701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563"/>
    <w:pPr>
      <w:jc w:val="both"/>
    </w:pPr>
    <w:rPr>
      <w:rFonts w:ascii="Avenir Next LT Pro" w:hAnsi="Avenir Next LT Pro"/>
      <w:sz w:val="22"/>
    </w:rPr>
  </w:style>
  <w:style w:type="paragraph" w:styleId="Heading1">
    <w:name w:val="heading 1"/>
    <w:basedOn w:val="Title"/>
    <w:next w:val="Normal"/>
    <w:link w:val="Heading1Char"/>
    <w:uiPriority w:val="9"/>
    <w:qFormat/>
    <w:rsid w:val="003117F2"/>
    <w:pPr>
      <w:outlineLvl w:val="0"/>
    </w:pPr>
    <w:rPr>
      <w:rFonts w:ascii="Avenir Next LT Pro" w:hAnsi="Avenir Next LT Pro"/>
      <w:sz w:val="40"/>
      <w:szCs w:val="40"/>
    </w:rPr>
  </w:style>
  <w:style w:type="paragraph" w:styleId="Heading2">
    <w:name w:val="heading 2"/>
    <w:basedOn w:val="Normal"/>
    <w:next w:val="Normal"/>
    <w:link w:val="Heading2Char"/>
    <w:autoRedefine/>
    <w:uiPriority w:val="9"/>
    <w:unhideWhenUsed/>
    <w:qFormat/>
    <w:rsid w:val="004F1875"/>
    <w:pPr>
      <w:keepNext/>
      <w:keepLines/>
      <w:spacing w:before="360" w:after="80"/>
      <w:outlineLvl w:val="1"/>
    </w:pPr>
    <w:rPr>
      <w:rFonts w:eastAsiaTheme="majorEastAsia" w:cstheme="majorBidi"/>
      <w:color w:val="165925" w:themeColor="accent2" w:themeShade="80"/>
      <w:sz w:val="40"/>
      <w:szCs w:val="32"/>
    </w:rPr>
  </w:style>
  <w:style w:type="paragraph" w:styleId="Heading3">
    <w:name w:val="heading 3"/>
    <w:basedOn w:val="Normal"/>
    <w:next w:val="Normal"/>
    <w:link w:val="Heading3Char"/>
    <w:autoRedefine/>
    <w:uiPriority w:val="9"/>
    <w:unhideWhenUsed/>
    <w:qFormat/>
    <w:rsid w:val="00AF58AC"/>
    <w:pPr>
      <w:keepNext/>
      <w:keepLines/>
      <w:spacing w:before="360" w:after="80"/>
      <w:outlineLvl w:val="2"/>
    </w:pPr>
    <w:rPr>
      <w:rFonts w:eastAsiaTheme="majorEastAsia" w:cstheme="majorBidi"/>
      <w:iCs/>
      <w:color w:val="2E3690" w:themeColor="accent1"/>
      <w:sz w:val="32"/>
    </w:rPr>
  </w:style>
  <w:style w:type="paragraph" w:styleId="Heading4">
    <w:name w:val="heading 4"/>
    <w:basedOn w:val="Normal"/>
    <w:next w:val="Normal"/>
    <w:link w:val="Heading4Char"/>
    <w:uiPriority w:val="9"/>
    <w:unhideWhenUsed/>
    <w:qFormat/>
    <w:rsid w:val="00005088"/>
    <w:pPr>
      <w:keepNext/>
      <w:keepLines/>
      <w:spacing w:before="80" w:after="40"/>
      <w:outlineLvl w:val="3"/>
    </w:pPr>
    <w:rPr>
      <w:rFonts w:eastAsiaTheme="majorEastAsia" w:cstheme="majorBidi"/>
      <w:i/>
      <w:iCs/>
      <w:color w:val="705DA8" w:themeColor="accent6"/>
      <w:sz w:val="24"/>
    </w:rPr>
  </w:style>
  <w:style w:type="paragraph" w:styleId="Heading5">
    <w:name w:val="heading 5"/>
    <w:basedOn w:val="Normal"/>
    <w:next w:val="Normal"/>
    <w:link w:val="Heading5Char"/>
    <w:uiPriority w:val="9"/>
    <w:semiHidden/>
    <w:unhideWhenUsed/>
    <w:qFormat/>
    <w:rsid w:val="00251D09"/>
    <w:pPr>
      <w:keepNext/>
      <w:keepLines/>
      <w:spacing w:before="80" w:after="40"/>
      <w:outlineLvl w:val="4"/>
    </w:pPr>
    <w:rPr>
      <w:rFonts w:eastAsiaTheme="majorEastAsia" w:cstheme="majorBidi"/>
      <w:color w:val="22286B" w:themeColor="accent1" w:themeShade="BF"/>
    </w:rPr>
  </w:style>
  <w:style w:type="paragraph" w:styleId="Heading6">
    <w:name w:val="heading 6"/>
    <w:basedOn w:val="Normal"/>
    <w:next w:val="Normal"/>
    <w:link w:val="Heading6Char"/>
    <w:uiPriority w:val="9"/>
    <w:semiHidden/>
    <w:unhideWhenUsed/>
    <w:qFormat/>
    <w:rsid w:val="00251D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D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D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D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EDF"/>
    <w:rPr>
      <w:rFonts w:ascii="Avenir Next LT Pro" w:eastAsiaTheme="majorEastAsia" w:hAnsi="Avenir Next LT Pro" w:cstheme="majorBidi"/>
      <w:color w:val="2E3690"/>
      <w:spacing w:val="-10"/>
      <w:kern w:val="28"/>
      <w:sz w:val="40"/>
      <w:szCs w:val="40"/>
    </w:rPr>
  </w:style>
  <w:style w:type="character" w:customStyle="1" w:styleId="Heading2Char">
    <w:name w:val="Heading 2 Char"/>
    <w:basedOn w:val="DefaultParagraphFont"/>
    <w:link w:val="Heading2"/>
    <w:uiPriority w:val="9"/>
    <w:rsid w:val="008B353B"/>
    <w:rPr>
      <w:rFonts w:ascii="Avenir Next LT Pro" w:eastAsiaTheme="majorEastAsia" w:hAnsi="Avenir Next LT Pro" w:cstheme="majorBidi"/>
      <w:color w:val="165925" w:themeColor="accent2" w:themeShade="80"/>
      <w:sz w:val="40"/>
      <w:szCs w:val="32"/>
    </w:rPr>
  </w:style>
  <w:style w:type="character" w:customStyle="1" w:styleId="Heading3Char">
    <w:name w:val="Heading 3 Char"/>
    <w:basedOn w:val="DefaultParagraphFont"/>
    <w:link w:val="Heading3"/>
    <w:uiPriority w:val="9"/>
    <w:rsid w:val="007A6223"/>
    <w:rPr>
      <w:rFonts w:ascii="Avenir Next LT Pro" w:eastAsiaTheme="majorEastAsia" w:hAnsi="Avenir Next LT Pro" w:cstheme="majorBidi"/>
      <w:iCs/>
      <w:color w:val="2E3690" w:themeColor="accent1"/>
      <w:sz w:val="32"/>
    </w:rPr>
  </w:style>
  <w:style w:type="character" w:customStyle="1" w:styleId="Heading4Char">
    <w:name w:val="Heading 4 Char"/>
    <w:basedOn w:val="DefaultParagraphFont"/>
    <w:link w:val="Heading4"/>
    <w:uiPriority w:val="9"/>
    <w:rsid w:val="002678AC"/>
    <w:rPr>
      <w:rFonts w:ascii="Avenir Next LT Pro" w:eastAsiaTheme="majorEastAsia" w:hAnsi="Avenir Next LT Pro" w:cstheme="majorBidi"/>
      <w:i/>
      <w:iCs/>
      <w:color w:val="705DA8" w:themeColor="accent6"/>
    </w:rPr>
  </w:style>
  <w:style w:type="character" w:customStyle="1" w:styleId="Heading5Char">
    <w:name w:val="Heading 5 Char"/>
    <w:basedOn w:val="DefaultParagraphFont"/>
    <w:link w:val="Heading5"/>
    <w:uiPriority w:val="9"/>
    <w:semiHidden/>
    <w:rsid w:val="00251D09"/>
    <w:rPr>
      <w:rFonts w:eastAsiaTheme="majorEastAsia" w:cstheme="majorBidi"/>
      <w:color w:val="22286B" w:themeColor="accent1" w:themeShade="BF"/>
    </w:rPr>
  </w:style>
  <w:style w:type="character" w:customStyle="1" w:styleId="Heading6Char">
    <w:name w:val="Heading 6 Char"/>
    <w:basedOn w:val="DefaultParagraphFont"/>
    <w:link w:val="Heading6"/>
    <w:uiPriority w:val="9"/>
    <w:semiHidden/>
    <w:rsid w:val="00251D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D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D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D09"/>
    <w:rPr>
      <w:rFonts w:eastAsiaTheme="majorEastAsia" w:cstheme="majorBidi"/>
      <w:color w:val="272727" w:themeColor="text1" w:themeTint="D8"/>
    </w:rPr>
  </w:style>
  <w:style w:type="paragraph" w:styleId="Title">
    <w:name w:val="Title"/>
    <w:basedOn w:val="Normal"/>
    <w:next w:val="Normal"/>
    <w:link w:val="TitleChar"/>
    <w:uiPriority w:val="10"/>
    <w:qFormat/>
    <w:rsid w:val="008A380E"/>
    <w:pPr>
      <w:spacing w:after="80" w:line="240" w:lineRule="auto"/>
      <w:contextualSpacing/>
      <w:jc w:val="center"/>
    </w:pPr>
    <w:rPr>
      <w:rFonts w:asciiTheme="majorHAnsi" w:eastAsiaTheme="majorEastAsia" w:hAnsiTheme="majorHAnsi" w:cstheme="majorBidi"/>
      <w:color w:val="2E3690"/>
      <w:spacing w:val="-10"/>
      <w:kern w:val="28"/>
      <w:sz w:val="72"/>
      <w:szCs w:val="72"/>
    </w:rPr>
  </w:style>
  <w:style w:type="character" w:customStyle="1" w:styleId="TitleChar">
    <w:name w:val="Title Char"/>
    <w:basedOn w:val="DefaultParagraphFont"/>
    <w:link w:val="Title"/>
    <w:uiPriority w:val="10"/>
    <w:rsid w:val="008A380E"/>
    <w:rPr>
      <w:rFonts w:asciiTheme="majorHAnsi" w:eastAsiaTheme="majorEastAsia" w:hAnsiTheme="majorHAnsi" w:cstheme="majorBidi"/>
      <w:color w:val="2E3690"/>
      <w:spacing w:val="-10"/>
      <w:kern w:val="28"/>
      <w:sz w:val="72"/>
      <w:szCs w:val="72"/>
    </w:rPr>
  </w:style>
  <w:style w:type="paragraph" w:styleId="Subtitle">
    <w:name w:val="Subtitle"/>
    <w:basedOn w:val="Normal"/>
    <w:next w:val="Normal"/>
    <w:link w:val="SubtitleChar"/>
    <w:uiPriority w:val="11"/>
    <w:qFormat/>
    <w:rsid w:val="00251D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D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E3B"/>
    <w:pPr>
      <w:ind w:left="720"/>
    </w:pPr>
    <w:rPr>
      <w:i/>
      <w:iCs/>
    </w:rPr>
  </w:style>
  <w:style w:type="character" w:customStyle="1" w:styleId="QuoteChar">
    <w:name w:val="Quote Char"/>
    <w:basedOn w:val="DefaultParagraphFont"/>
    <w:link w:val="Quote"/>
    <w:uiPriority w:val="29"/>
    <w:rsid w:val="00AE4E3B"/>
    <w:rPr>
      <w:i/>
      <w:iCs/>
    </w:rPr>
  </w:style>
  <w:style w:type="paragraph" w:styleId="ListParagraph">
    <w:name w:val="List Paragraph"/>
    <w:basedOn w:val="Normal"/>
    <w:uiPriority w:val="1"/>
    <w:qFormat/>
    <w:rsid w:val="00251D09"/>
    <w:pPr>
      <w:ind w:left="720"/>
      <w:contextualSpacing/>
    </w:pPr>
  </w:style>
  <w:style w:type="character" w:styleId="IntenseEmphasis">
    <w:name w:val="Intense Emphasis"/>
    <w:basedOn w:val="DefaultParagraphFont"/>
    <w:uiPriority w:val="21"/>
    <w:qFormat/>
    <w:rsid w:val="00251D09"/>
    <w:rPr>
      <w:i/>
      <w:iCs/>
      <w:color w:val="22286B" w:themeColor="accent1" w:themeShade="BF"/>
    </w:rPr>
  </w:style>
  <w:style w:type="paragraph" w:styleId="IntenseQuote">
    <w:name w:val="Intense Quote"/>
    <w:basedOn w:val="Normal"/>
    <w:next w:val="Normal"/>
    <w:link w:val="IntenseQuoteChar"/>
    <w:autoRedefine/>
    <w:uiPriority w:val="30"/>
    <w:qFormat/>
    <w:rsid w:val="0095156C"/>
    <w:pPr>
      <w:pBdr>
        <w:top w:val="single" w:sz="4" w:space="10" w:color="22286B" w:themeColor="accent1" w:themeShade="BF"/>
        <w:bottom w:val="single" w:sz="4" w:space="10" w:color="22286B" w:themeColor="accent1" w:themeShade="BF"/>
      </w:pBdr>
      <w:tabs>
        <w:tab w:val="left" w:pos="8640"/>
      </w:tabs>
      <w:spacing w:after="240"/>
      <w:ind w:left="463" w:right="720"/>
    </w:pPr>
    <w:rPr>
      <w:i/>
      <w:iCs/>
      <w:color w:val="165925" w:themeColor="accent2" w:themeShade="80"/>
    </w:rPr>
  </w:style>
  <w:style w:type="character" w:customStyle="1" w:styleId="IntenseQuoteChar">
    <w:name w:val="Intense Quote Char"/>
    <w:basedOn w:val="DefaultParagraphFont"/>
    <w:link w:val="IntenseQuote"/>
    <w:uiPriority w:val="30"/>
    <w:rsid w:val="0095156C"/>
    <w:rPr>
      <w:rFonts w:ascii="Avenir Next LT Pro" w:hAnsi="Avenir Next LT Pro"/>
      <w:i/>
      <w:iCs/>
      <w:color w:val="165925" w:themeColor="accent2" w:themeShade="80"/>
    </w:rPr>
  </w:style>
  <w:style w:type="character" w:styleId="IntenseReference">
    <w:name w:val="Intense Reference"/>
    <w:basedOn w:val="DefaultParagraphFont"/>
    <w:uiPriority w:val="32"/>
    <w:qFormat/>
    <w:rsid w:val="00251D09"/>
    <w:rPr>
      <w:b/>
      <w:bCs/>
      <w:smallCaps/>
      <w:color w:val="22286B" w:themeColor="accent1" w:themeShade="BF"/>
      <w:spacing w:val="5"/>
    </w:rPr>
  </w:style>
  <w:style w:type="paragraph" w:styleId="Header">
    <w:name w:val="header"/>
    <w:basedOn w:val="Normal"/>
    <w:link w:val="HeaderChar"/>
    <w:uiPriority w:val="99"/>
    <w:unhideWhenUsed/>
    <w:rsid w:val="008A3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80E"/>
  </w:style>
  <w:style w:type="paragraph" w:styleId="Footer">
    <w:name w:val="footer"/>
    <w:basedOn w:val="Normal"/>
    <w:link w:val="FooterChar"/>
    <w:uiPriority w:val="99"/>
    <w:unhideWhenUsed/>
    <w:rsid w:val="008A3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80E"/>
  </w:style>
  <w:style w:type="character" w:styleId="Hyperlink">
    <w:name w:val="Hyperlink"/>
    <w:basedOn w:val="DefaultParagraphFont"/>
    <w:uiPriority w:val="99"/>
    <w:unhideWhenUsed/>
    <w:rsid w:val="00FB286E"/>
    <w:rPr>
      <w:color w:val="467886" w:themeColor="hyperlink"/>
      <w:u w:val="single"/>
    </w:rPr>
  </w:style>
  <w:style w:type="character" w:styleId="UnresolvedMention">
    <w:name w:val="Unresolved Mention"/>
    <w:basedOn w:val="DefaultParagraphFont"/>
    <w:uiPriority w:val="99"/>
    <w:semiHidden/>
    <w:unhideWhenUsed/>
    <w:rsid w:val="00FB286E"/>
    <w:rPr>
      <w:color w:val="605E5C"/>
      <w:shd w:val="clear" w:color="auto" w:fill="E1DFDD"/>
    </w:rPr>
  </w:style>
  <w:style w:type="paragraph" w:styleId="FootnoteText">
    <w:name w:val="footnote text"/>
    <w:basedOn w:val="Normal"/>
    <w:link w:val="FootnoteTextChar"/>
    <w:uiPriority w:val="99"/>
    <w:unhideWhenUsed/>
    <w:rsid w:val="00C81150"/>
    <w:pPr>
      <w:spacing w:after="0" w:line="240" w:lineRule="auto"/>
    </w:pPr>
    <w:rPr>
      <w:sz w:val="20"/>
      <w:szCs w:val="20"/>
    </w:rPr>
  </w:style>
  <w:style w:type="character" w:customStyle="1" w:styleId="FootnoteTextChar">
    <w:name w:val="Footnote Text Char"/>
    <w:basedOn w:val="DefaultParagraphFont"/>
    <w:link w:val="FootnoteText"/>
    <w:uiPriority w:val="99"/>
    <w:rsid w:val="00C81150"/>
    <w:rPr>
      <w:sz w:val="20"/>
      <w:szCs w:val="20"/>
    </w:rPr>
  </w:style>
  <w:style w:type="character" w:styleId="FootnoteReference">
    <w:name w:val="footnote reference"/>
    <w:basedOn w:val="DefaultParagraphFont"/>
    <w:uiPriority w:val="99"/>
    <w:semiHidden/>
    <w:unhideWhenUsed/>
    <w:rsid w:val="00C81150"/>
    <w:rPr>
      <w:vertAlign w:val="superscript"/>
    </w:rPr>
  </w:style>
  <w:style w:type="paragraph" w:styleId="TOC1">
    <w:name w:val="toc 1"/>
    <w:basedOn w:val="Normal"/>
    <w:next w:val="Normal"/>
    <w:link w:val="TOC1Char"/>
    <w:autoRedefine/>
    <w:uiPriority w:val="39"/>
    <w:unhideWhenUsed/>
    <w:rsid w:val="00AE38AB"/>
    <w:pPr>
      <w:spacing w:after="100"/>
    </w:pPr>
  </w:style>
  <w:style w:type="paragraph" w:styleId="TOC2">
    <w:name w:val="toc 2"/>
    <w:basedOn w:val="Normal"/>
    <w:next w:val="Normal"/>
    <w:autoRedefine/>
    <w:uiPriority w:val="39"/>
    <w:unhideWhenUsed/>
    <w:rsid w:val="00AE38AB"/>
    <w:pPr>
      <w:spacing w:after="100"/>
      <w:ind w:left="240"/>
    </w:pPr>
  </w:style>
  <w:style w:type="paragraph" w:styleId="TOC3">
    <w:name w:val="toc 3"/>
    <w:basedOn w:val="Normal"/>
    <w:next w:val="Normal"/>
    <w:autoRedefine/>
    <w:uiPriority w:val="39"/>
    <w:unhideWhenUsed/>
    <w:rsid w:val="00AE38AB"/>
    <w:pPr>
      <w:spacing w:after="100"/>
      <w:ind w:left="480"/>
    </w:pPr>
  </w:style>
  <w:style w:type="table" w:styleId="GridTable5Dark-Accent1">
    <w:name w:val="Grid Table 5 Dark Accent 1"/>
    <w:basedOn w:val="TableNormal"/>
    <w:uiPriority w:val="50"/>
    <w:rsid w:val="00AB02D1"/>
    <w:pPr>
      <w:spacing w:before="100" w:after="0" w:line="240" w:lineRule="auto"/>
    </w:pPr>
    <w:rPr>
      <w:rFonts w:eastAsiaTheme="minorEastAsia"/>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0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369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369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369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3690" w:themeFill="accent1"/>
      </w:tcPr>
    </w:tblStylePr>
    <w:tblStylePr w:type="band1Vert">
      <w:tblPr/>
      <w:tcPr>
        <w:shd w:val="clear" w:color="auto" w:fill="9DA3E0" w:themeFill="accent1" w:themeFillTint="66"/>
      </w:tcPr>
    </w:tblStylePr>
    <w:tblStylePr w:type="band1Horz">
      <w:tblPr/>
      <w:tcPr>
        <w:shd w:val="clear" w:color="auto" w:fill="9DA3E0" w:themeFill="accent1" w:themeFillTint="66"/>
      </w:tcPr>
    </w:tblStylePr>
  </w:style>
  <w:style w:type="table" w:styleId="GridTable4-Accent4">
    <w:name w:val="Grid Table 4 Accent 4"/>
    <w:basedOn w:val="TableNormal"/>
    <w:uiPriority w:val="49"/>
    <w:rsid w:val="005F2FD7"/>
    <w:pPr>
      <w:spacing w:after="0" w:line="240" w:lineRule="auto"/>
    </w:pPr>
    <w:tblPr>
      <w:tblStyleRowBandSize w:val="1"/>
      <w:tblStyleColBandSize w:val="1"/>
      <w:tblBorders>
        <w:top w:val="single" w:sz="4" w:space="0" w:color="F9DA78" w:themeColor="accent4" w:themeTint="99"/>
        <w:left w:val="single" w:sz="4" w:space="0" w:color="F9DA78" w:themeColor="accent4" w:themeTint="99"/>
        <w:bottom w:val="single" w:sz="4" w:space="0" w:color="F9DA78" w:themeColor="accent4" w:themeTint="99"/>
        <w:right w:val="single" w:sz="4" w:space="0" w:color="F9DA78" w:themeColor="accent4" w:themeTint="99"/>
        <w:insideH w:val="single" w:sz="4" w:space="0" w:color="F9DA78" w:themeColor="accent4" w:themeTint="99"/>
        <w:insideV w:val="single" w:sz="4" w:space="0" w:color="F9DA78" w:themeColor="accent4" w:themeTint="99"/>
      </w:tblBorders>
    </w:tblPr>
    <w:tblStylePr w:type="firstRow">
      <w:rPr>
        <w:b/>
        <w:bCs/>
        <w:color w:val="FFFFFF" w:themeColor="background1"/>
      </w:rPr>
      <w:tblPr/>
      <w:tcPr>
        <w:tcBorders>
          <w:top w:val="single" w:sz="4" w:space="0" w:color="F6C31F" w:themeColor="accent4"/>
          <w:left w:val="single" w:sz="4" w:space="0" w:color="F6C31F" w:themeColor="accent4"/>
          <w:bottom w:val="single" w:sz="4" w:space="0" w:color="F6C31F" w:themeColor="accent4"/>
          <w:right w:val="single" w:sz="4" w:space="0" w:color="F6C31F" w:themeColor="accent4"/>
          <w:insideH w:val="nil"/>
          <w:insideV w:val="nil"/>
        </w:tcBorders>
        <w:shd w:val="clear" w:color="auto" w:fill="F6C31F" w:themeFill="accent4"/>
      </w:tcPr>
    </w:tblStylePr>
    <w:tblStylePr w:type="lastRow">
      <w:rPr>
        <w:b/>
        <w:bCs/>
      </w:rPr>
      <w:tblPr/>
      <w:tcPr>
        <w:tcBorders>
          <w:top w:val="double" w:sz="4" w:space="0" w:color="F6C31F" w:themeColor="accent4"/>
        </w:tcBorders>
      </w:tcPr>
    </w:tblStylePr>
    <w:tblStylePr w:type="firstCol">
      <w:rPr>
        <w:b/>
        <w:bCs/>
      </w:rPr>
    </w:tblStylePr>
    <w:tblStylePr w:type="lastCol">
      <w:rPr>
        <w:b/>
        <w:bCs/>
      </w:rPr>
    </w:tblStylePr>
    <w:tblStylePr w:type="band1Vert">
      <w:tblPr/>
      <w:tcPr>
        <w:shd w:val="clear" w:color="auto" w:fill="FDF2D2" w:themeFill="accent4" w:themeFillTint="33"/>
      </w:tcPr>
    </w:tblStylePr>
    <w:tblStylePr w:type="band1Horz">
      <w:tblPr/>
      <w:tcPr>
        <w:shd w:val="clear" w:color="auto" w:fill="FDF2D2" w:themeFill="accent4" w:themeFillTint="33"/>
      </w:tcPr>
    </w:tblStylePr>
  </w:style>
  <w:style w:type="table" w:styleId="GridTable5Dark-Accent2">
    <w:name w:val="Grid Table 5 Dark Accent 2"/>
    <w:basedOn w:val="TableNormal"/>
    <w:uiPriority w:val="50"/>
    <w:rsid w:val="000552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3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B34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B34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B34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B34B" w:themeFill="accent2"/>
      </w:tcPr>
    </w:tblStylePr>
    <w:tblStylePr w:type="band1Vert">
      <w:tblPr/>
      <w:tcPr>
        <w:shd w:val="clear" w:color="auto" w:fill="A2E8B2" w:themeFill="accent2" w:themeFillTint="66"/>
      </w:tcPr>
    </w:tblStylePr>
    <w:tblStylePr w:type="band1Horz">
      <w:tblPr/>
      <w:tcPr>
        <w:shd w:val="clear" w:color="auto" w:fill="A2E8B2" w:themeFill="accent2" w:themeFillTint="66"/>
      </w:tcPr>
    </w:tblStylePr>
  </w:style>
  <w:style w:type="character" w:styleId="CommentReference">
    <w:name w:val="annotation reference"/>
    <w:basedOn w:val="DefaultParagraphFont"/>
    <w:uiPriority w:val="99"/>
    <w:semiHidden/>
    <w:unhideWhenUsed/>
    <w:rsid w:val="00673029"/>
    <w:rPr>
      <w:sz w:val="16"/>
      <w:szCs w:val="16"/>
    </w:rPr>
  </w:style>
  <w:style w:type="paragraph" w:styleId="CommentText">
    <w:name w:val="annotation text"/>
    <w:basedOn w:val="Normal"/>
    <w:link w:val="CommentTextChar"/>
    <w:uiPriority w:val="99"/>
    <w:unhideWhenUsed/>
    <w:rsid w:val="00673029"/>
    <w:pPr>
      <w:spacing w:line="240" w:lineRule="auto"/>
    </w:pPr>
    <w:rPr>
      <w:sz w:val="20"/>
      <w:szCs w:val="20"/>
    </w:rPr>
  </w:style>
  <w:style w:type="character" w:customStyle="1" w:styleId="CommentTextChar">
    <w:name w:val="Comment Text Char"/>
    <w:basedOn w:val="DefaultParagraphFont"/>
    <w:link w:val="CommentText"/>
    <w:uiPriority w:val="99"/>
    <w:rsid w:val="00673029"/>
    <w:rPr>
      <w:sz w:val="20"/>
      <w:szCs w:val="20"/>
    </w:rPr>
  </w:style>
  <w:style w:type="paragraph" w:styleId="CommentSubject">
    <w:name w:val="annotation subject"/>
    <w:basedOn w:val="CommentText"/>
    <w:next w:val="CommentText"/>
    <w:link w:val="CommentSubjectChar"/>
    <w:uiPriority w:val="99"/>
    <w:semiHidden/>
    <w:unhideWhenUsed/>
    <w:rsid w:val="00673029"/>
    <w:rPr>
      <w:b/>
      <w:bCs/>
    </w:rPr>
  </w:style>
  <w:style w:type="character" w:customStyle="1" w:styleId="CommentSubjectChar">
    <w:name w:val="Comment Subject Char"/>
    <w:basedOn w:val="CommentTextChar"/>
    <w:link w:val="CommentSubject"/>
    <w:uiPriority w:val="99"/>
    <w:semiHidden/>
    <w:rsid w:val="00673029"/>
    <w:rPr>
      <w:b/>
      <w:bCs/>
      <w:sz w:val="20"/>
      <w:szCs w:val="20"/>
    </w:rPr>
  </w:style>
  <w:style w:type="paragraph" w:styleId="Revision">
    <w:name w:val="Revision"/>
    <w:hidden/>
    <w:uiPriority w:val="99"/>
    <w:semiHidden/>
    <w:rsid w:val="004745BB"/>
    <w:pPr>
      <w:spacing w:after="0" w:line="240" w:lineRule="auto"/>
    </w:pPr>
  </w:style>
  <w:style w:type="character" w:styleId="Mention">
    <w:name w:val="Mention"/>
    <w:basedOn w:val="DefaultParagraphFont"/>
    <w:uiPriority w:val="99"/>
    <w:unhideWhenUsed/>
    <w:rsid w:val="00CD11A2"/>
    <w:rPr>
      <w:color w:val="2B579A"/>
      <w:shd w:val="clear" w:color="auto" w:fill="E1DFDD"/>
    </w:rPr>
  </w:style>
  <w:style w:type="paragraph" w:styleId="BodyText">
    <w:name w:val="Body Text"/>
    <w:basedOn w:val="Normal"/>
    <w:link w:val="BodyTextChar"/>
    <w:uiPriority w:val="1"/>
    <w:unhideWhenUsed/>
    <w:qFormat/>
    <w:rsid w:val="000143B2"/>
    <w:pPr>
      <w:spacing w:after="120"/>
    </w:pPr>
  </w:style>
  <w:style w:type="character" w:customStyle="1" w:styleId="BodyTextChar">
    <w:name w:val="Body Text Char"/>
    <w:basedOn w:val="DefaultParagraphFont"/>
    <w:link w:val="BodyText"/>
    <w:uiPriority w:val="99"/>
    <w:semiHidden/>
    <w:rsid w:val="000143B2"/>
  </w:style>
  <w:style w:type="paragraph" w:styleId="Caption">
    <w:name w:val="caption"/>
    <w:basedOn w:val="Normal"/>
    <w:next w:val="Normal"/>
    <w:uiPriority w:val="35"/>
    <w:unhideWhenUsed/>
    <w:qFormat/>
    <w:rsid w:val="00F30E6C"/>
    <w:pPr>
      <w:keepNext/>
      <w:spacing w:before="240" w:after="200" w:line="240" w:lineRule="auto"/>
    </w:pPr>
    <w:rPr>
      <w:b/>
      <w:color w:val="0E2841" w:themeColor="text2"/>
      <w:szCs w:val="22"/>
    </w:rPr>
  </w:style>
  <w:style w:type="character" w:styleId="FollowedHyperlink">
    <w:name w:val="FollowedHyperlink"/>
    <w:basedOn w:val="DefaultParagraphFont"/>
    <w:uiPriority w:val="99"/>
    <w:semiHidden/>
    <w:unhideWhenUsed/>
    <w:rsid w:val="00AF2AAD"/>
    <w:rPr>
      <w:color w:val="96607D" w:themeColor="followedHyperlink"/>
      <w:u w:val="single"/>
    </w:rPr>
  </w:style>
  <w:style w:type="table" w:customStyle="1" w:styleId="GridTable4-Accent41">
    <w:name w:val="Grid Table 4 - Accent 41"/>
    <w:basedOn w:val="TableNormal"/>
    <w:next w:val="GridTable4-Accent4"/>
    <w:uiPriority w:val="49"/>
    <w:rsid w:val="007E3A56"/>
    <w:pPr>
      <w:spacing w:after="0" w:line="240" w:lineRule="auto"/>
    </w:pPr>
    <w:tblPr>
      <w:tblStyleRowBandSize w:val="1"/>
      <w:tblStyleColBandSize w:val="1"/>
      <w:tblBorders>
        <w:top w:val="single" w:sz="4" w:space="0" w:color="F9DA78"/>
        <w:left w:val="single" w:sz="4" w:space="0" w:color="F9DA78"/>
        <w:bottom w:val="single" w:sz="4" w:space="0" w:color="F9DA78"/>
        <w:right w:val="single" w:sz="4" w:space="0" w:color="F9DA78"/>
        <w:insideH w:val="single" w:sz="4" w:space="0" w:color="F9DA78"/>
        <w:insideV w:val="single" w:sz="4" w:space="0" w:color="F9DA78"/>
      </w:tblBorders>
    </w:tblPr>
    <w:tblStylePr w:type="firstRow">
      <w:rPr>
        <w:b/>
        <w:bCs/>
        <w:color w:val="FFFFFF"/>
      </w:rPr>
      <w:tblPr/>
      <w:tcPr>
        <w:tcBorders>
          <w:top w:val="single" w:sz="4" w:space="0" w:color="F6C31F"/>
          <w:left w:val="single" w:sz="4" w:space="0" w:color="F6C31F"/>
          <w:bottom w:val="single" w:sz="4" w:space="0" w:color="F6C31F"/>
          <w:right w:val="single" w:sz="4" w:space="0" w:color="F6C31F"/>
          <w:insideH w:val="nil"/>
          <w:insideV w:val="nil"/>
        </w:tcBorders>
        <w:shd w:val="clear" w:color="auto" w:fill="F6C31F"/>
      </w:tcPr>
    </w:tblStylePr>
    <w:tblStylePr w:type="lastRow">
      <w:rPr>
        <w:b/>
        <w:bCs/>
      </w:rPr>
      <w:tblPr/>
      <w:tcPr>
        <w:tcBorders>
          <w:top w:val="double" w:sz="4" w:space="0" w:color="F6C31F"/>
        </w:tcBorders>
      </w:tcPr>
    </w:tblStylePr>
    <w:tblStylePr w:type="firstCol">
      <w:rPr>
        <w:b/>
        <w:bCs/>
      </w:rPr>
    </w:tblStylePr>
    <w:tblStylePr w:type="lastCol">
      <w:rPr>
        <w:b/>
        <w:bCs/>
      </w:rPr>
    </w:tblStylePr>
    <w:tblStylePr w:type="band1Vert">
      <w:tblPr/>
      <w:tcPr>
        <w:shd w:val="clear" w:color="auto" w:fill="FDF2D2"/>
      </w:tcPr>
    </w:tblStylePr>
    <w:tblStylePr w:type="band1Horz">
      <w:tblPr/>
      <w:tcPr>
        <w:shd w:val="clear" w:color="auto" w:fill="FDF2D2"/>
      </w:tcPr>
    </w:tblStylePr>
  </w:style>
  <w:style w:type="table" w:styleId="TableGrid">
    <w:name w:val="Table Grid"/>
    <w:basedOn w:val="TableNormal"/>
    <w:uiPriority w:val="39"/>
    <w:rsid w:val="00587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6">
    <w:name w:val="List Table 4 Accent 6"/>
    <w:basedOn w:val="TableNormal"/>
    <w:uiPriority w:val="49"/>
    <w:rsid w:val="005870EE"/>
    <w:pPr>
      <w:spacing w:after="0" w:line="240" w:lineRule="auto"/>
    </w:pPr>
    <w:tblPr>
      <w:tblStyleRowBandSize w:val="1"/>
      <w:tblStyleColBandSize w:val="1"/>
      <w:tblBorders>
        <w:top w:val="single" w:sz="4" w:space="0" w:color="A89DCA" w:themeColor="accent6" w:themeTint="99"/>
        <w:left w:val="single" w:sz="4" w:space="0" w:color="A89DCA" w:themeColor="accent6" w:themeTint="99"/>
        <w:bottom w:val="single" w:sz="4" w:space="0" w:color="A89DCA" w:themeColor="accent6" w:themeTint="99"/>
        <w:right w:val="single" w:sz="4" w:space="0" w:color="A89DCA" w:themeColor="accent6" w:themeTint="99"/>
        <w:insideH w:val="single" w:sz="4" w:space="0" w:color="A89DCA" w:themeColor="accent6" w:themeTint="99"/>
      </w:tblBorders>
    </w:tblPr>
    <w:tblStylePr w:type="firstRow">
      <w:rPr>
        <w:b/>
        <w:bCs/>
        <w:color w:val="FFFFFF" w:themeColor="background1"/>
      </w:rPr>
      <w:tblPr/>
      <w:tcPr>
        <w:tcBorders>
          <w:top w:val="single" w:sz="4" w:space="0" w:color="705DA8" w:themeColor="accent6"/>
          <w:left w:val="single" w:sz="4" w:space="0" w:color="705DA8" w:themeColor="accent6"/>
          <w:bottom w:val="single" w:sz="4" w:space="0" w:color="705DA8" w:themeColor="accent6"/>
          <w:right w:val="single" w:sz="4" w:space="0" w:color="705DA8" w:themeColor="accent6"/>
          <w:insideH w:val="nil"/>
        </w:tcBorders>
        <w:shd w:val="clear" w:color="auto" w:fill="705DA8" w:themeFill="accent6"/>
      </w:tcPr>
    </w:tblStylePr>
    <w:tblStylePr w:type="lastRow">
      <w:rPr>
        <w:b/>
        <w:bCs/>
      </w:rPr>
      <w:tblPr/>
      <w:tcPr>
        <w:tcBorders>
          <w:top w:val="double" w:sz="4" w:space="0" w:color="A89DCA" w:themeColor="accent6" w:themeTint="99"/>
        </w:tcBorders>
      </w:tcPr>
    </w:tblStylePr>
    <w:tblStylePr w:type="firstCol">
      <w:rPr>
        <w:b/>
        <w:bCs/>
      </w:rPr>
    </w:tblStylePr>
    <w:tblStylePr w:type="lastCol">
      <w:rPr>
        <w:b/>
        <w:bCs/>
      </w:rPr>
    </w:tblStylePr>
    <w:tblStylePr w:type="band1Vert">
      <w:tblPr/>
      <w:tcPr>
        <w:shd w:val="clear" w:color="auto" w:fill="E2DEED" w:themeFill="accent6" w:themeFillTint="33"/>
      </w:tcPr>
    </w:tblStylePr>
    <w:tblStylePr w:type="band1Horz">
      <w:tblPr/>
      <w:tcPr>
        <w:shd w:val="clear" w:color="auto" w:fill="E2DEED" w:themeFill="accent6" w:themeFillTint="33"/>
      </w:tcPr>
    </w:tblStylePr>
  </w:style>
  <w:style w:type="paragraph" w:customStyle="1" w:styleId="Heading-Preface">
    <w:name w:val="Heading - Preface"/>
    <w:link w:val="Heading-PrefaceChar"/>
    <w:qFormat/>
    <w:rsid w:val="00145EDF"/>
    <w:rPr>
      <w:rFonts w:ascii="Avenir Next LT Pro" w:eastAsiaTheme="majorEastAsia" w:hAnsi="Avenir Next LT Pro" w:cstheme="majorBidi"/>
      <w:color w:val="165925" w:themeColor="accent2" w:themeShade="80"/>
      <w:sz w:val="40"/>
      <w:szCs w:val="40"/>
    </w:rPr>
  </w:style>
  <w:style w:type="character" w:customStyle="1" w:styleId="TOC1Char">
    <w:name w:val="TOC 1 Char"/>
    <w:basedOn w:val="DefaultParagraphFont"/>
    <w:link w:val="TOC1"/>
    <w:uiPriority w:val="39"/>
    <w:rsid w:val="0054660F"/>
  </w:style>
  <w:style w:type="character" w:customStyle="1" w:styleId="Heading-PrefaceChar">
    <w:name w:val="Heading - Preface Char"/>
    <w:basedOn w:val="TOC1Char"/>
    <w:link w:val="Heading-Preface"/>
    <w:rsid w:val="00145EDF"/>
    <w:rPr>
      <w:rFonts w:ascii="Avenir Next LT Pro" w:eastAsiaTheme="majorEastAsia" w:hAnsi="Avenir Next LT Pro" w:cstheme="majorBidi"/>
      <w:color w:val="165925" w:themeColor="accent2" w:themeShade="80"/>
      <w:sz w:val="40"/>
      <w:szCs w:val="40"/>
    </w:rPr>
  </w:style>
  <w:style w:type="character" w:styleId="SubtleEmphasis">
    <w:name w:val="Subtle Emphasis"/>
    <w:basedOn w:val="DefaultParagraphFont"/>
    <w:uiPriority w:val="19"/>
    <w:qFormat/>
    <w:rsid w:val="00E528C6"/>
    <w:rPr>
      <w:i/>
      <w:iCs/>
      <w:color w:val="404040" w:themeColor="text1" w:themeTint="BF"/>
    </w:rPr>
  </w:style>
  <w:style w:type="table" w:styleId="GridTable5Dark-Accent6">
    <w:name w:val="Grid Table 5 Dark Accent 6"/>
    <w:basedOn w:val="TableNormal"/>
    <w:uiPriority w:val="50"/>
    <w:rsid w:val="00C602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DE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5DA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5DA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5DA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5DA8" w:themeFill="accent6"/>
      </w:tcPr>
    </w:tblStylePr>
    <w:tblStylePr w:type="band1Vert">
      <w:tblPr/>
      <w:tcPr>
        <w:shd w:val="clear" w:color="auto" w:fill="C5BEDC" w:themeFill="accent6" w:themeFillTint="66"/>
      </w:tcPr>
    </w:tblStylePr>
    <w:tblStylePr w:type="band1Horz">
      <w:tblPr/>
      <w:tcPr>
        <w:shd w:val="clear" w:color="auto" w:fill="C5BEDC" w:themeFill="accent6" w:themeFillTint="66"/>
      </w:tcPr>
    </w:tblStylePr>
  </w:style>
  <w:style w:type="paragraph" w:customStyle="1" w:styleId="TableParagraph">
    <w:name w:val="Table Paragraph"/>
    <w:basedOn w:val="Normal"/>
    <w:uiPriority w:val="1"/>
    <w:qFormat/>
    <w:rsid w:val="00BE4251"/>
    <w:pPr>
      <w:widowControl w:val="0"/>
      <w:autoSpaceDE w:val="0"/>
      <w:autoSpaceDN w:val="0"/>
      <w:spacing w:after="0" w:line="240" w:lineRule="auto"/>
    </w:pPr>
    <w:rPr>
      <w:rFonts w:ascii="Times New Roman" w:eastAsia="Times New Roman" w:hAnsi="Times New Roman" w:cs="Times New Roman"/>
      <w:kern w:val="0"/>
      <w:szCs w:val="22"/>
      <w14:ligatures w14:val="none"/>
    </w:rPr>
  </w:style>
  <w:style w:type="table" w:styleId="GridTable4-Accent1">
    <w:name w:val="Grid Table 4 Accent 1"/>
    <w:basedOn w:val="TableNormal"/>
    <w:uiPriority w:val="49"/>
    <w:rsid w:val="005B6C9F"/>
    <w:pPr>
      <w:spacing w:after="0" w:line="240" w:lineRule="auto"/>
    </w:pPr>
    <w:tblPr>
      <w:tblStyleRowBandSize w:val="1"/>
      <w:tblStyleColBandSize w:val="1"/>
      <w:tblBorders>
        <w:top w:val="single" w:sz="4" w:space="0" w:color="6D75D0" w:themeColor="accent1" w:themeTint="99"/>
        <w:left w:val="single" w:sz="4" w:space="0" w:color="6D75D0" w:themeColor="accent1" w:themeTint="99"/>
        <w:bottom w:val="single" w:sz="4" w:space="0" w:color="6D75D0" w:themeColor="accent1" w:themeTint="99"/>
        <w:right w:val="single" w:sz="4" w:space="0" w:color="6D75D0" w:themeColor="accent1" w:themeTint="99"/>
        <w:insideH w:val="single" w:sz="4" w:space="0" w:color="6D75D0" w:themeColor="accent1" w:themeTint="99"/>
        <w:insideV w:val="single" w:sz="4" w:space="0" w:color="6D75D0" w:themeColor="accent1" w:themeTint="99"/>
      </w:tblBorders>
    </w:tblPr>
    <w:tblStylePr w:type="firstRow">
      <w:rPr>
        <w:b/>
        <w:bCs/>
        <w:color w:val="FFFFFF" w:themeColor="background1"/>
      </w:rPr>
      <w:tblPr/>
      <w:tcPr>
        <w:tcBorders>
          <w:top w:val="single" w:sz="4" w:space="0" w:color="2E3690" w:themeColor="accent1"/>
          <w:left w:val="single" w:sz="4" w:space="0" w:color="2E3690" w:themeColor="accent1"/>
          <w:bottom w:val="single" w:sz="4" w:space="0" w:color="2E3690" w:themeColor="accent1"/>
          <w:right w:val="single" w:sz="4" w:space="0" w:color="2E3690" w:themeColor="accent1"/>
          <w:insideH w:val="nil"/>
          <w:insideV w:val="nil"/>
        </w:tcBorders>
        <w:shd w:val="clear" w:color="auto" w:fill="2E3690" w:themeFill="accent1"/>
      </w:tcPr>
    </w:tblStylePr>
    <w:tblStylePr w:type="lastRow">
      <w:rPr>
        <w:b/>
        <w:bCs/>
      </w:rPr>
      <w:tblPr/>
      <w:tcPr>
        <w:tcBorders>
          <w:top w:val="double" w:sz="4" w:space="0" w:color="2E3690" w:themeColor="accent1"/>
        </w:tcBorders>
      </w:tcPr>
    </w:tblStylePr>
    <w:tblStylePr w:type="firstCol">
      <w:rPr>
        <w:b/>
        <w:bCs/>
      </w:rPr>
    </w:tblStylePr>
    <w:tblStylePr w:type="lastCol">
      <w:rPr>
        <w:b/>
        <w:bCs/>
      </w:rPr>
    </w:tblStylePr>
    <w:tblStylePr w:type="band1Vert">
      <w:tblPr/>
      <w:tcPr>
        <w:shd w:val="clear" w:color="auto" w:fill="CED0EF" w:themeFill="accent1" w:themeFillTint="33"/>
      </w:tcPr>
    </w:tblStylePr>
    <w:tblStylePr w:type="band1Horz">
      <w:tblPr/>
      <w:tcPr>
        <w:shd w:val="clear" w:color="auto" w:fill="CED0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1406">
      <w:bodyDiv w:val="1"/>
      <w:marLeft w:val="0"/>
      <w:marRight w:val="0"/>
      <w:marTop w:val="0"/>
      <w:marBottom w:val="0"/>
      <w:divBdr>
        <w:top w:val="none" w:sz="0" w:space="0" w:color="auto"/>
        <w:left w:val="none" w:sz="0" w:space="0" w:color="auto"/>
        <w:bottom w:val="none" w:sz="0" w:space="0" w:color="auto"/>
        <w:right w:val="none" w:sz="0" w:space="0" w:color="auto"/>
      </w:divBdr>
    </w:div>
    <w:div w:id="197089471">
      <w:bodyDiv w:val="1"/>
      <w:marLeft w:val="0"/>
      <w:marRight w:val="0"/>
      <w:marTop w:val="0"/>
      <w:marBottom w:val="0"/>
      <w:divBdr>
        <w:top w:val="none" w:sz="0" w:space="0" w:color="auto"/>
        <w:left w:val="none" w:sz="0" w:space="0" w:color="auto"/>
        <w:bottom w:val="none" w:sz="0" w:space="0" w:color="auto"/>
        <w:right w:val="none" w:sz="0" w:space="0" w:color="auto"/>
      </w:divBdr>
    </w:div>
    <w:div w:id="437528340">
      <w:bodyDiv w:val="1"/>
      <w:marLeft w:val="0"/>
      <w:marRight w:val="0"/>
      <w:marTop w:val="0"/>
      <w:marBottom w:val="0"/>
      <w:divBdr>
        <w:top w:val="none" w:sz="0" w:space="0" w:color="auto"/>
        <w:left w:val="none" w:sz="0" w:space="0" w:color="auto"/>
        <w:bottom w:val="none" w:sz="0" w:space="0" w:color="auto"/>
        <w:right w:val="none" w:sz="0" w:space="0" w:color="auto"/>
      </w:divBdr>
    </w:div>
    <w:div w:id="630326697">
      <w:bodyDiv w:val="1"/>
      <w:marLeft w:val="0"/>
      <w:marRight w:val="0"/>
      <w:marTop w:val="0"/>
      <w:marBottom w:val="0"/>
      <w:divBdr>
        <w:top w:val="none" w:sz="0" w:space="0" w:color="auto"/>
        <w:left w:val="none" w:sz="0" w:space="0" w:color="auto"/>
        <w:bottom w:val="none" w:sz="0" w:space="0" w:color="auto"/>
        <w:right w:val="none" w:sz="0" w:space="0" w:color="auto"/>
      </w:divBdr>
    </w:div>
    <w:div w:id="777213360">
      <w:bodyDiv w:val="1"/>
      <w:marLeft w:val="0"/>
      <w:marRight w:val="0"/>
      <w:marTop w:val="0"/>
      <w:marBottom w:val="0"/>
      <w:divBdr>
        <w:top w:val="none" w:sz="0" w:space="0" w:color="auto"/>
        <w:left w:val="none" w:sz="0" w:space="0" w:color="auto"/>
        <w:bottom w:val="none" w:sz="0" w:space="0" w:color="auto"/>
        <w:right w:val="none" w:sz="0" w:space="0" w:color="auto"/>
      </w:divBdr>
      <w:divsChild>
        <w:div w:id="1450052990">
          <w:marLeft w:val="0"/>
          <w:marRight w:val="0"/>
          <w:marTop w:val="0"/>
          <w:marBottom w:val="0"/>
          <w:divBdr>
            <w:top w:val="none" w:sz="0" w:space="0" w:color="auto"/>
            <w:left w:val="none" w:sz="0" w:space="0" w:color="auto"/>
            <w:bottom w:val="none" w:sz="0" w:space="0" w:color="auto"/>
            <w:right w:val="none" w:sz="0" w:space="0" w:color="auto"/>
          </w:divBdr>
        </w:div>
      </w:divsChild>
    </w:div>
    <w:div w:id="979922249">
      <w:bodyDiv w:val="1"/>
      <w:marLeft w:val="0"/>
      <w:marRight w:val="0"/>
      <w:marTop w:val="0"/>
      <w:marBottom w:val="0"/>
      <w:divBdr>
        <w:top w:val="none" w:sz="0" w:space="0" w:color="auto"/>
        <w:left w:val="none" w:sz="0" w:space="0" w:color="auto"/>
        <w:bottom w:val="none" w:sz="0" w:space="0" w:color="auto"/>
        <w:right w:val="none" w:sz="0" w:space="0" w:color="auto"/>
      </w:divBdr>
    </w:div>
    <w:div w:id="1001658562">
      <w:bodyDiv w:val="1"/>
      <w:marLeft w:val="0"/>
      <w:marRight w:val="0"/>
      <w:marTop w:val="0"/>
      <w:marBottom w:val="0"/>
      <w:divBdr>
        <w:top w:val="none" w:sz="0" w:space="0" w:color="auto"/>
        <w:left w:val="none" w:sz="0" w:space="0" w:color="auto"/>
        <w:bottom w:val="none" w:sz="0" w:space="0" w:color="auto"/>
        <w:right w:val="none" w:sz="0" w:space="0" w:color="auto"/>
      </w:divBdr>
    </w:div>
    <w:div w:id="1010526924">
      <w:bodyDiv w:val="1"/>
      <w:marLeft w:val="0"/>
      <w:marRight w:val="0"/>
      <w:marTop w:val="0"/>
      <w:marBottom w:val="0"/>
      <w:divBdr>
        <w:top w:val="none" w:sz="0" w:space="0" w:color="auto"/>
        <w:left w:val="none" w:sz="0" w:space="0" w:color="auto"/>
        <w:bottom w:val="none" w:sz="0" w:space="0" w:color="auto"/>
        <w:right w:val="none" w:sz="0" w:space="0" w:color="auto"/>
      </w:divBdr>
    </w:div>
    <w:div w:id="1051225944">
      <w:bodyDiv w:val="1"/>
      <w:marLeft w:val="0"/>
      <w:marRight w:val="0"/>
      <w:marTop w:val="0"/>
      <w:marBottom w:val="0"/>
      <w:divBdr>
        <w:top w:val="none" w:sz="0" w:space="0" w:color="auto"/>
        <w:left w:val="none" w:sz="0" w:space="0" w:color="auto"/>
        <w:bottom w:val="none" w:sz="0" w:space="0" w:color="auto"/>
        <w:right w:val="none" w:sz="0" w:space="0" w:color="auto"/>
      </w:divBdr>
    </w:div>
    <w:div w:id="1128626499">
      <w:bodyDiv w:val="1"/>
      <w:marLeft w:val="0"/>
      <w:marRight w:val="0"/>
      <w:marTop w:val="0"/>
      <w:marBottom w:val="0"/>
      <w:divBdr>
        <w:top w:val="none" w:sz="0" w:space="0" w:color="auto"/>
        <w:left w:val="none" w:sz="0" w:space="0" w:color="auto"/>
        <w:bottom w:val="none" w:sz="0" w:space="0" w:color="auto"/>
        <w:right w:val="none" w:sz="0" w:space="0" w:color="auto"/>
      </w:divBdr>
    </w:div>
    <w:div w:id="1154448679">
      <w:bodyDiv w:val="1"/>
      <w:marLeft w:val="0"/>
      <w:marRight w:val="0"/>
      <w:marTop w:val="0"/>
      <w:marBottom w:val="0"/>
      <w:divBdr>
        <w:top w:val="none" w:sz="0" w:space="0" w:color="auto"/>
        <w:left w:val="none" w:sz="0" w:space="0" w:color="auto"/>
        <w:bottom w:val="none" w:sz="0" w:space="0" w:color="auto"/>
        <w:right w:val="none" w:sz="0" w:space="0" w:color="auto"/>
      </w:divBdr>
    </w:div>
    <w:div w:id="1216161899">
      <w:bodyDiv w:val="1"/>
      <w:marLeft w:val="0"/>
      <w:marRight w:val="0"/>
      <w:marTop w:val="0"/>
      <w:marBottom w:val="0"/>
      <w:divBdr>
        <w:top w:val="none" w:sz="0" w:space="0" w:color="auto"/>
        <w:left w:val="none" w:sz="0" w:space="0" w:color="auto"/>
        <w:bottom w:val="none" w:sz="0" w:space="0" w:color="auto"/>
        <w:right w:val="none" w:sz="0" w:space="0" w:color="auto"/>
      </w:divBdr>
    </w:div>
    <w:div w:id="1236817893">
      <w:bodyDiv w:val="1"/>
      <w:marLeft w:val="0"/>
      <w:marRight w:val="0"/>
      <w:marTop w:val="0"/>
      <w:marBottom w:val="0"/>
      <w:divBdr>
        <w:top w:val="none" w:sz="0" w:space="0" w:color="auto"/>
        <w:left w:val="none" w:sz="0" w:space="0" w:color="auto"/>
        <w:bottom w:val="none" w:sz="0" w:space="0" w:color="auto"/>
        <w:right w:val="none" w:sz="0" w:space="0" w:color="auto"/>
      </w:divBdr>
      <w:divsChild>
        <w:div w:id="751050195">
          <w:marLeft w:val="0"/>
          <w:marRight w:val="0"/>
          <w:marTop w:val="0"/>
          <w:marBottom w:val="0"/>
          <w:divBdr>
            <w:top w:val="none" w:sz="0" w:space="0" w:color="auto"/>
            <w:left w:val="none" w:sz="0" w:space="0" w:color="auto"/>
            <w:bottom w:val="none" w:sz="0" w:space="0" w:color="auto"/>
            <w:right w:val="none" w:sz="0" w:space="0" w:color="auto"/>
          </w:divBdr>
        </w:div>
      </w:divsChild>
    </w:div>
    <w:div w:id="1276711062">
      <w:bodyDiv w:val="1"/>
      <w:marLeft w:val="0"/>
      <w:marRight w:val="0"/>
      <w:marTop w:val="0"/>
      <w:marBottom w:val="0"/>
      <w:divBdr>
        <w:top w:val="none" w:sz="0" w:space="0" w:color="auto"/>
        <w:left w:val="none" w:sz="0" w:space="0" w:color="auto"/>
        <w:bottom w:val="none" w:sz="0" w:space="0" w:color="auto"/>
        <w:right w:val="none" w:sz="0" w:space="0" w:color="auto"/>
      </w:divBdr>
    </w:div>
    <w:div w:id="1334793323">
      <w:bodyDiv w:val="1"/>
      <w:marLeft w:val="0"/>
      <w:marRight w:val="0"/>
      <w:marTop w:val="0"/>
      <w:marBottom w:val="0"/>
      <w:divBdr>
        <w:top w:val="none" w:sz="0" w:space="0" w:color="auto"/>
        <w:left w:val="none" w:sz="0" w:space="0" w:color="auto"/>
        <w:bottom w:val="none" w:sz="0" w:space="0" w:color="auto"/>
        <w:right w:val="none" w:sz="0" w:space="0" w:color="auto"/>
      </w:divBdr>
    </w:div>
    <w:div w:id="1387291491">
      <w:bodyDiv w:val="1"/>
      <w:marLeft w:val="0"/>
      <w:marRight w:val="0"/>
      <w:marTop w:val="0"/>
      <w:marBottom w:val="0"/>
      <w:divBdr>
        <w:top w:val="none" w:sz="0" w:space="0" w:color="auto"/>
        <w:left w:val="none" w:sz="0" w:space="0" w:color="auto"/>
        <w:bottom w:val="none" w:sz="0" w:space="0" w:color="auto"/>
        <w:right w:val="none" w:sz="0" w:space="0" w:color="auto"/>
      </w:divBdr>
    </w:div>
    <w:div w:id="1415397196">
      <w:bodyDiv w:val="1"/>
      <w:marLeft w:val="0"/>
      <w:marRight w:val="0"/>
      <w:marTop w:val="0"/>
      <w:marBottom w:val="0"/>
      <w:divBdr>
        <w:top w:val="none" w:sz="0" w:space="0" w:color="auto"/>
        <w:left w:val="none" w:sz="0" w:space="0" w:color="auto"/>
        <w:bottom w:val="none" w:sz="0" w:space="0" w:color="auto"/>
        <w:right w:val="none" w:sz="0" w:space="0" w:color="auto"/>
      </w:divBdr>
    </w:div>
    <w:div w:id="1553080985">
      <w:bodyDiv w:val="1"/>
      <w:marLeft w:val="0"/>
      <w:marRight w:val="0"/>
      <w:marTop w:val="0"/>
      <w:marBottom w:val="0"/>
      <w:divBdr>
        <w:top w:val="none" w:sz="0" w:space="0" w:color="auto"/>
        <w:left w:val="none" w:sz="0" w:space="0" w:color="auto"/>
        <w:bottom w:val="none" w:sz="0" w:space="0" w:color="auto"/>
        <w:right w:val="none" w:sz="0" w:space="0" w:color="auto"/>
      </w:divBdr>
    </w:div>
    <w:div w:id="1774476105">
      <w:bodyDiv w:val="1"/>
      <w:marLeft w:val="0"/>
      <w:marRight w:val="0"/>
      <w:marTop w:val="0"/>
      <w:marBottom w:val="0"/>
      <w:divBdr>
        <w:top w:val="none" w:sz="0" w:space="0" w:color="auto"/>
        <w:left w:val="none" w:sz="0" w:space="0" w:color="auto"/>
        <w:bottom w:val="none" w:sz="0" w:space="0" w:color="auto"/>
        <w:right w:val="none" w:sz="0" w:space="0" w:color="auto"/>
      </w:divBdr>
    </w:div>
    <w:div w:id="1805392318">
      <w:bodyDiv w:val="1"/>
      <w:marLeft w:val="0"/>
      <w:marRight w:val="0"/>
      <w:marTop w:val="0"/>
      <w:marBottom w:val="0"/>
      <w:divBdr>
        <w:top w:val="none" w:sz="0" w:space="0" w:color="auto"/>
        <w:left w:val="none" w:sz="0" w:space="0" w:color="auto"/>
        <w:bottom w:val="none" w:sz="0" w:space="0" w:color="auto"/>
        <w:right w:val="none" w:sz="0" w:space="0" w:color="auto"/>
      </w:divBdr>
    </w:div>
    <w:div w:id="1889755513">
      <w:bodyDiv w:val="1"/>
      <w:marLeft w:val="0"/>
      <w:marRight w:val="0"/>
      <w:marTop w:val="0"/>
      <w:marBottom w:val="0"/>
      <w:divBdr>
        <w:top w:val="none" w:sz="0" w:space="0" w:color="auto"/>
        <w:left w:val="none" w:sz="0" w:space="0" w:color="auto"/>
        <w:bottom w:val="none" w:sz="0" w:space="0" w:color="auto"/>
        <w:right w:val="none" w:sz="0" w:space="0" w:color="auto"/>
      </w:divBdr>
    </w:div>
    <w:div w:id="197062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forms.cloud.microsoft/g/ZYVAQ663c5" TargetMode="External"/><Relationship Id="rId2" Type="http://schemas.openxmlformats.org/officeDocument/2006/relationships/customXml" Target="../customXml/item2.xml"/><Relationship Id="rId16" Type="http://schemas.openxmlformats.org/officeDocument/2006/relationships/hyperlink" Target="https://www.mass.gov/info-details/leading-by-example-executive-order-594-decarbonizing-and-minimizing-environmental-impacts-of-state-govern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executive-orders/no-594-leading-by-example-decarbonizing-and-minimizing-environmental-impacts-of-state-governme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s://www.epa.gov/sites/default/files/2015-07/documents/emission-factors_201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OER">
      <a:dk1>
        <a:sysClr val="windowText" lastClr="000000"/>
      </a:dk1>
      <a:lt1>
        <a:sysClr val="window" lastClr="FFFFFF"/>
      </a:lt1>
      <a:dk2>
        <a:srgbClr val="0E2841"/>
      </a:dk2>
      <a:lt2>
        <a:srgbClr val="E8E8E8"/>
      </a:lt2>
      <a:accent1>
        <a:srgbClr val="2E3690"/>
      </a:accent1>
      <a:accent2>
        <a:srgbClr val="2CB34B"/>
      </a:accent2>
      <a:accent3>
        <a:srgbClr val="FEF168"/>
      </a:accent3>
      <a:accent4>
        <a:srgbClr val="F6C31F"/>
      </a:accent4>
      <a:accent5>
        <a:srgbClr val="A5C939"/>
      </a:accent5>
      <a:accent6>
        <a:srgbClr val="705DA8"/>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7" ma:contentTypeDescription="Create a new document." ma:contentTypeScope="" ma:versionID="b95d9d892339695b0067449f0ad9c324">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773abde41dede69335bfc4bc960a174d"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236eada-7542-4a47-9b16-089fadf71390}"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C853EC-7F8F-4A20-9E67-2C9CE6D154A7}">
  <ds:schemaRefs>
    <ds:schemaRef ds:uri="http://schemas.microsoft.com/sharepoint/v3/contenttype/forms"/>
  </ds:schemaRefs>
</ds:datastoreItem>
</file>

<file path=customXml/itemProps2.xml><?xml version="1.0" encoding="utf-8"?>
<ds:datastoreItem xmlns:ds="http://schemas.openxmlformats.org/officeDocument/2006/customXml" ds:itemID="{84494E01-1570-4EE9-A91B-F5FD7D28D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3001E-A6C9-497D-B0CE-9F8E9C3D40F0}">
  <ds:schemaRefs>
    <ds:schemaRef ds:uri="http://schemas.openxmlformats.org/officeDocument/2006/bibliography"/>
  </ds:schemaRefs>
</ds:datastoreItem>
</file>

<file path=customXml/itemProps4.xml><?xml version="1.0" encoding="utf-8"?>
<ds:datastoreItem xmlns:ds="http://schemas.openxmlformats.org/officeDocument/2006/customXml" ds:itemID="{2E8D1A27-03D8-4715-8B9E-5627D2412B9D}">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38</TotalTime>
  <Pages>8</Pages>
  <Words>2488</Words>
  <Characters>14184</Characters>
  <Application>Microsoft Office Word</Application>
  <DocSecurity>0</DocSecurity>
  <Lines>118</Lines>
  <Paragraphs>33</Paragraphs>
  <ScaleCrop>false</ScaleCrop>
  <Company>Executive Office of Energy and Environmental Affairs</Company>
  <LinksUpToDate>false</LinksUpToDate>
  <CharactersWithSpaces>16639</CharactersWithSpaces>
  <SharedDoc>false</SharedDoc>
  <HLinks>
    <vt:vector size="18" baseType="variant">
      <vt:variant>
        <vt:i4>1179738</vt:i4>
      </vt:variant>
      <vt:variant>
        <vt:i4>3</vt:i4>
      </vt:variant>
      <vt:variant>
        <vt:i4>0</vt:i4>
      </vt:variant>
      <vt:variant>
        <vt:i4>5</vt:i4>
      </vt:variant>
      <vt:variant>
        <vt:lpwstr>https://www.mass.gov/info-details/leading-by-example-executive-order-594-decarbonizing-and-minimizing-environmental-impacts-of-state-government</vt:lpwstr>
      </vt:variant>
      <vt:variant>
        <vt:lpwstr>executive-order-guideline-documents</vt:lpwstr>
      </vt:variant>
      <vt:variant>
        <vt:i4>6684721</vt:i4>
      </vt:variant>
      <vt:variant>
        <vt:i4>0</vt:i4>
      </vt:variant>
      <vt:variant>
        <vt:i4>0</vt:i4>
      </vt:variant>
      <vt:variant>
        <vt:i4>5</vt:i4>
      </vt:variant>
      <vt:variant>
        <vt:lpwstr>https://www.mass.gov/executive-orders/no-594-leading-by-example-decarbonizing-and-minimizing-environmental-impacts-of-state-government</vt:lpwstr>
      </vt:variant>
      <vt:variant>
        <vt:lpwstr/>
      </vt:variant>
      <vt:variant>
        <vt:i4>6684740</vt:i4>
      </vt:variant>
      <vt:variant>
        <vt:i4>0</vt:i4>
      </vt:variant>
      <vt:variant>
        <vt:i4>0</vt:i4>
      </vt:variant>
      <vt:variant>
        <vt:i4>5</vt:i4>
      </vt:variant>
      <vt:variant>
        <vt:lpwstr>https://www.epa.gov/sites/default/files/2015-07/documents/emission-factors_2014.pdf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Joanna K (ENE)</dc:creator>
  <cp:keywords/>
  <dc:description/>
  <cp:lastModifiedBy>Zrzavy, Arianna (ENE)</cp:lastModifiedBy>
  <cp:revision>2</cp:revision>
  <dcterms:created xsi:type="dcterms:W3CDTF">2026-07-31T15:24:00Z</dcterms:created>
  <dcterms:modified xsi:type="dcterms:W3CDTF">2026-07-31T15:24:00Z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0x010100CCE5B1B55FDC6F46992CBD8D384DCF63</vt:lpwstr>
  </property>
</Properties>
</file>