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97F3E" w14:textId="5BFB4C20" w:rsidR="00520AC1" w:rsidRPr="002914B6" w:rsidRDefault="00520AC1" w:rsidP="00FA1CA2">
      <w:pPr>
        <w:spacing w:after="0" w:line="240" w:lineRule="auto"/>
        <w:jc w:val="center"/>
        <w:rPr>
          <w:b/>
          <w:bCs/>
          <w:sz w:val="26"/>
          <w:szCs w:val="26"/>
        </w:rPr>
      </w:pPr>
      <w:r w:rsidRPr="002914B6">
        <w:rPr>
          <w:b/>
          <w:bCs/>
          <w:sz w:val="26"/>
          <w:szCs w:val="26"/>
        </w:rPr>
        <w:t>Guidelines for</w:t>
      </w:r>
      <w:r w:rsidR="002914B6">
        <w:rPr>
          <w:b/>
          <w:bCs/>
          <w:sz w:val="26"/>
          <w:szCs w:val="26"/>
        </w:rPr>
        <w:t xml:space="preserve"> </w:t>
      </w:r>
      <w:r w:rsidR="00FA1CA2">
        <w:rPr>
          <w:b/>
          <w:bCs/>
          <w:sz w:val="26"/>
          <w:szCs w:val="26"/>
        </w:rPr>
        <w:t xml:space="preserve">State </w:t>
      </w:r>
      <w:r w:rsidRPr="002914B6">
        <w:rPr>
          <w:b/>
          <w:bCs/>
          <w:sz w:val="26"/>
          <w:szCs w:val="26"/>
        </w:rPr>
        <w:t>Fleets</w:t>
      </w:r>
    </w:p>
    <w:p w14:paraId="27327B67" w14:textId="5D912EA0" w:rsidR="000F1E1C" w:rsidRPr="00EC1C66" w:rsidRDefault="000F1E1C" w:rsidP="00BC20B2">
      <w:pPr>
        <w:pStyle w:val="ListParagraph"/>
        <w:numPr>
          <w:ilvl w:val="0"/>
          <w:numId w:val="2"/>
        </w:numPr>
        <w:spacing w:after="0"/>
        <w:ind w:left="504"/>
        <w:rPr>
          <w:b/>
          <w:bCs/>
        </w:rPr>
      </w:pPr>
      <w:r w:rsidRPr="00EC1C66">
        <w:rPr>
          <w:b/>
          <w:bCs/>
        </w:rPr>
        <w:t>Overview</w:t>
      </w:r>
    </w:p>
    <w:p w14:paraId="32A7F096" w14:textId="1A852158" w:rsidR="00277C9A" w:rsidRDefault="00E745EB" w:rsidP="00277C9A">
      <w:r>
        <w:t>The Executive Office of Energy and Environmental Affairs (EEA) and Executive Office of Administration and Finance (EOAF)</w:t>
      </w:r>
      <w:r w:rsidR="15FD69A0">
        <w:t xml:space="preserve"> </w:t>
      </w:r>
      <w:proofErr w:type="gramStart"/>
      <w:r w:rsidR="15FD69A0">
        <w:t>is</w:t>
      </w:r>
      <w:proofErr w:type="gramEnd"/>
      <w:r w:rsidR="15FD69A0">
        <w:t xml:space="preserve"> launching </w:t>
      </w:r>
      <w:r w:rsidR="527FD8E4">
        <w:t>a</w:t>
      </w:r>
      <w:r w:rsidR="15FD69A0">
        <w:t xml:space="preserve"> pilot program</w:t>
      </w:r>
      <w:r w:rsidR="2DC82351">
        <w:t xml:space="preserve"> </w:t>
      </w:r>
      <w:r w:rsidR="7F91741C">
        <w:t xml:space="preserve">to </w:t>
      </w:r>
      <w:r w:rsidR="7C814D65">
        <w:t xml:space="preserve">support the </w:t>
      </w:r>
      <w:r w:rsidR="7F91741C">
        <w:t>deploy</w:t>
      </w:r>
      <w:r w:rsidR="7C814D65">
        <w:t>ment of</w:t>
      </w:r>
      <w:r w:rsidR="6696E13B">
        <w:t xml:space="preserve"> </w:t>
      </w:r>
      <w:r w:rsidR="73330421">
        <w:t xml:space="preserve">state funded </w:t>
      </w:r>
      <w:r w:rsidR="6696E13B">
        <w:t xml:space="preserve">electric vehicle </w:t>
      </w:r>
      <w:r w:rsidR="108B0EE6">
        <w:t xml:space="preserve">(EV) </w:t>
      </w:r>
      <w:r w:rsidR="6696E13B">
        <w:t>charging infrastructure at domicile vehicle garaging locations</w:t>
      </w:r>
      <w:r w:rsidR="73330421">
        <w:t xml:space="preserve">. </w:t>
      </w:r>
      <w:r w:rsidR="6696E13B">
        <w:t xml:space="preserve">This will enable employees who are </w:t>
      </w:r>
      <w:proofErr w:type="gramStart"/>
      <w:r w:rsidR="6696E13B">
        <w:t>assigned</w:t>
      </w:r>
      <w:proofErr w:type="gramEnd"/>
      <w:r w:rsidR="6696E13B">
        <w:t xml:space="preserve"> an electric domicile </w:t>
      </w:r>
      <w:proofErr w:type="gramStart"/>
      <w:r w:rsidR="6696E13B">
        <w:t>vehicle</w:t>
      </w:r>
      <w:proofErr w:type="gramEnd"/>
      <w:r w:rsidR="6696E13B">
        <w:t xml:space="preserve"> the opportunity to charge their domicile vehicle at their place of residence.</w:t>
      </w:r>
      <w:r w:rsidR="66EAA5F1">
        <w:t xml:space="preserve"> This document provides guidelines on how the program will be administered.</w:t>
      </w:r>
    </w:p>
    <w:p w14:paraId="03D34884" w14:textId="23C2476C" w:rsidR="00F94E01" w:rsidRPr="00C5774C" w:rsidRDefault="002D0F3A" w:rsidP="00C5774C">
      <w:pPr>
        <w:pStyle w:val="ListParagraph"/>
        <w:numPr>
          <w:ilvl w:val="0"/>
          <w:numId w:val="2"/>
        </w:numPr>
        <w:spacing w:after="0"/>
        <w:ind w:left="547"/>
        <w:rPr>
          <w:b/>
        </w:rPr>
      </w:pPr>
      <w:r w:rsidRPr="00A752B7">
        <w:rPr>
          <w:b/>
          <w:bCs/>
        </w:rPr>
        <w:t xml:space="preserve">Program </w:t>
      </w:r>
      <w:r w:rsidR="00270F25">
        <w:rPr>
          <w:b/>
          <w:bCs/>
        </w:rPr>
        <w:t>Goals</w:t>
      </w:r>
      <w:r w:rsidR="009A6605">
        <w:rPr>
          <w:b/>
          <w:bCs/>
        </w:rPr>
        <w:t xml:space="preserve"> and Duration</w:t>
      </w:r>
      <w:r w:rsidRPr="00A752B7">
        <w:rPr>
          <w:b/>
          <w:bCs/>
        </w:rPr>
        <w:t>:</w:t>
      </w:r>
      <w:r w:rsidRPr="00C5774C">
        <w:rPr>
          <w:b/>
        </w:rPr>
        <w:t xml:space="preserve"> </w:t>
      </w:r>
    </w:p>
    <w:p w14:paraId="40A13863" w14:textId="300FC565" w:rsidR="00F94E01" w:rsidRDefault="00F94E01" w:rsidP="002D0F3A">
      <w:r>
        <w:t>Domicile vehicles are excellent candidates for vehicle electrification as they are often used primarily for travel</w:t>
      </w:r>
      <w:r w:rsidR="002B31C5">
        <w:t>ing</w:t>
      </w:r>
      <w:r>
        <w:t xml:space="preserve"> to off-site locations for meetings, inspections</w:t>
      </w:r>
      <w:r w:rsidR="69E2355C">
        <w:t>,</w:t>
      </w:r>
      <w:r>
        <w:t xml:space="preserve"> and site visits, and are not generally needed to perform a specific function that would make them more difficult to electrify, such as respon</w:t>
      </w:r>
      <w:r w:rsidR="000A37F5">
        <w:t>ding</w:t>
      </w:r>
      <w:r>
        <w:t xml:space="preserve"> to emergencies or carry</w:t>
      </w:r>
      <w:r w:rsidR="000A37F5">
        <w:t>ing</w:t>
      </w:r>
      <w:r>
        <w:t xml:space="preserve"> out activities, such as towing or plowing, that require a heavier duty vehicle. Because these vehicles are often used for much of the day and must be accessible at the start of each workday, enabling domicile vehicle users the ability to charge overnight at their place of residence will maximize employee efficiency by ensuring the vehicles start each day with a full battery charge. </w:t>
      </w:r>
    </w:p>
    <w:p w14:paraId="193D6CBE" w14:textId="420AA5FB" w:rsidR="002D0F3A" w:rsidRDefault="002D0F3A" w:rsidP="002D0F3A">
      <w:r>
        <w:t>Th</w:t>
      </w:r>
      <w:r w:rsidR="0024760C">
        <w:t>e</w:t>
      </w:r>
      <w:r>
        <w:t xml:space="preserve"> pilot program will offer participating domicile electric vehicle users the opportunity to install state</w:t>
      </w:r>
      <w:r w:rsidR="00F64A82">
        <w:t>-</w:t>
      </w:r>
      <w:r>
        <w:t xml:space="preserve">funded and state-owned electric vehicle charging stations in their homes. </w:t>
      </w:r>
      <w:r w:rsidR="00106C31">
        <w:t>This</w:t>
      </w:r>
      <w:r>
        <w:t xml:space="preserve"> is a voluntary pilot program</w:t>
      </w:r>
      <w:r w:rsidR="007A4B2B">
        <w:t xml:space="preserve"> that will be offered to domicile vehicle users </w:t>
      </w:r>
      <w:r w:rsidR="005A4565">
        <w:t>and their agencies that agree to participate</w:t>
      </w:r>
      <w:r>
        <w:t xml:space="preserve">. Charging infrastructure can only be deployed </w:t>
      </w:r>
      <w:r w:rsidR="0030001A">
        <w:t xml:space="preserve">through this program </w:t>
      </w:r>
      <w:r>
        <w:t>at homes where the domicile EV user and the agency have agreed to install charging equipment at the user’s residence.</w:t>
      </w:r>
    </w:p>
    <w:p w14:paraId="136140CA" w14:textId="1DA5485E" w:rsidR="002D0F3A" w:rsidRDefault="3EF8F14B" w:rsidP="00BF4A4D">
      <w:r>
        <w:t>T</w:t>
      </w:r>
      <w:r w:rsidR="271A59C7">
        <w:t xml:space="preserve">he </w:t>
      </w:r>
      <w:r>
        <w:t>program</w:t>
      </w:r>
      <w:r w:rsidR="105A00B0">
        <w:t xml:space="preserve"> will be in effect for no more than two years from the effective date of this policy.</w:t>
      </w:r>
      <w:r>
        <w:t xml:space="preserve"> </w:t>
      </w:r>
      <w:r w:rsidR="004E777C">
        <w:t xml:space="preserve">Over that period, state employees with domicile EVs will be able to work with their agency to deploy charging infrastructure at their </w:t>
      </w:r>
      <w:r w:rsidR="009A6605">
        <w:t xml:space="preserve">residence. </w:t>
      </w:r>
      <w:r w:rsidR="1D5076BB">
        <w:t xml:space="preserve">At any time during </w:t>
      </w:r>
      <w:r w:rsidR="73522C44">
        <w:t>this pilot period</w:t>
      </w:r>
      <w:r w:rsidR="00DB0CAE">
        <w:t>,</w:t>
      </w:r>
      <w:r w:rsidR="73522C44">
        <w:t xml:space="preserve"> </w:t>
      </w:r>
      <w:r w:rsidR="1D5076BB">
        <w:t xml:space="preserve">EEA and </w:t>
      </w:r>
      <w:r w:rsidR="16236544">
        <w:t>EOAF</w:t>
      </w:r>
      <w:r w:rsidR="1D5076BB">
        <w:t xml:space="preserve"> may elect to end the pilot program sooner, extend the program, or establish a more permanent policy that replaces this pilot. </w:t>
      </w:r>
      <w:r w:rsidR="6989D5E9">
        <w:t xml:space="preserve">EEA and </w:t>
      </w:r>
      <w:r w:rsidR="16236544">
        <w:t>EOAF</w:t>
      </w:r>
      <w:r w:rsidR="6989D5E9">
        <w:t xml:space="preserve"> will monitor </w:t>
      </w:r>
      <w:r w:rsidR="450109E8">
        <w:t>the program during the pilot phase</w:t>
      </w:r>
      <w:r w:rsidR="2A8C48A7">
        <w:t xml:space="preserve"> and will issue a final program evaluation with recommended next steps no later than three months following the completion of the pilot.</w:t>
      </w:r>
      <w:r w:rsidR="199ACA27">
        <w:t xml:space="preserve"> </w:t>
      </w:r>
    </w:p>
    <w:p w14:paraId="2AFDCD7E" w14:textId="091DE388" w:rsidR="005A0AD6" w:rsidRPr="00EC1C66" w:rsidRDefault="0024760C" w:rsidP="00BC20B2">
      <w:pPr>
        <w:pStyle w:val="ListParagraph"/>
        <w:numPr>
          <w:ilvl w:val="0"/>
          <w:numId w:val="2"/>
        </w:numPr>
        <w:spacing w:after="0"/>
        <w:ind w:left="590"/>
        <w:rPr>
          <w:b/>
          <w:bCs/>
        </w:rPr>
      </w:pPr>
      <w:r>
        <w:rPr>
          <w:b/>
          <w:bCs/>
        </w:rPr>
        <w:t>Policy</w:t>
      </w:r>
      <w:r w:rsidRPr="00EC1C66">
        <w:rPr>
          <w:b/>
          <w:bCs/>
        </w:rPr>
        <w:t xml:space="preserve"> </w:t>
      </w:r>
      <w:r w:rsidR="00E73161" w:rsidRPr="00EC1C66">
        <w:rPr>
          <w:b/>
          <w:bCs/>
        </w:rPr>
        <w:t>Framework:</w:t>
      </w:r>
    </w:p>
    <w:p w14:paraId="4043AA68" w14:textId="12D5C2D8" w:rsidR="0014799D" w:rsidRPr="0004046A" w:rsidRDefault="00FE6A00" w:rsidP="000A1D34">
      <w:r>
        <w:t xml:space="preserve">Massachusetts’ </w:t>
      </w:r>
      <w:hyperlink r:id="rId11" w:anchor=":~:text=On%20April%2022nd%2C%202021%2C%20the%20Baker-Polito%20Administration%20signed,emissions%20and%20environmental%20impact%20of%20state%20government%20operations.">
        <w:r w:rsidR="000A1D34" w:rsidRPr="08797A20">
          <w:rPr>
            <w:rStyle w:val="Hyperlink"/>
          </w:rPr>
          <w:t>Leading by Example Executive Order 594: Decarbonizing and Minimizing Environmental Impacts of State Government</w:t>
        </w:r>
      </w:hyperlink>
      <w:r w:rsidR="000A1D34">
        <w:t xml:space="preserve"> sets targets for the number of </w:t>
      </w:r>
      <w:r w:rsidR="741A53EB">
        <w:t>electric vehicles (EVs)</w:t>
      </w:r>
      <w:r w:rsidR="000A1D34">
        <w:t xml:space="preserve"> </w:t>
      </w:r>
      <w:r w:rsidR="00F61C31">
        <w:t xml:space="preserve">that must be </w:t>
      </w:r>
      <w:r w:rsidR="000A1D34">
        <w:t>in the light-duty state fleet</w:t>
      </w:r>
      <w:r w:rsidR="0001347D">
        <w:t xml:space="preserve"> between 2025 and 2050. In </w:t>
      </w:r>
      <w:r w:rsidR="00B45A68">
        <w:t>support of these targets</w:t>
      </w:r>
      <w:r w:rsidR="00F61C31">
        <w:t xml:space="preserve">, </w:t>
      </w:r>
      <w:r w:rsidR="3449A200">
        <w:t xml:space="preserve">the EOAF Operational Services Division’s </w:t>
      </w:r>
      <w:r w:rsidR="00F61C31">
        <w:t xml:space="preserve">Office of Vehicle Management </w:t>
      </w:r>
      <w:r w:rsidR="00CE37CE">
        <w:t xml:space="preserve">(OVM) has issued the </w:t>
      </w:r>
      <w:hyperlink r:id="rId12">
        <w:r w:rsidR="00CE37CE" w:rsidRPr="08797A20">
          <w:rPr>
            <w:rStyle w:val="Hyperlink"/>
          </w:rPr>
          <w:t>Electric Vehicle Planning and Acquisition Policy</w:t>
        </w:r>
      </w:hyperlink>
      <w:r w:rsidR="00CE37CE">
        <w:t xml:space="preserve"> which </w:t>
      </w:r>
      <w:r w:rsidR="0023176D">
        <w:t xml:space="preserve">outlines </w:t>
      </w:r>
      <w:r w:rsidR="00670E5E">
        <w:t xml:space="preserve">the </w:t>
      </w:r>
      <w:r w:rsidR="00F93673">
        <w:t xml:space="preserve">expectations </w:t>
      </w:r>
      <w:r w:rsidR="200FA813">
        <w:t>for</w:t>
      </w:r>
      <w:r w:rsidR="00F93673">
        <w:t xml:space="preserve"> fleet planning and vehicle acquisitions. Most notably, the policy</w:t>
      </w:r>
      <w:r w:rsidR="149625BE">
        <w:t xml:space="preserve"> states</w:t>
      </w:r>
      <w:r w:rsidR="0076176D">
        <w:t xml:space="preserve"> that “… agencies shall prioritize the selection of the most fuel-efficient and/or </w:t>
      </w:r>
      <w:r w:rsidR="5A8DEC12">
        <w:t>least</w:t>
      </w:r>
      <w:r w:rsidR="0076176D">
        <w:t xml:space="preserve"> carbon-emitting</w:t>
      </w:r>
      <w:r w:rsidR="0014799D">
        <w:t xml:space="preserve"> vehicle option …” with the first choice of the vehicle hierarchy being a Battery Electric (BEV) or </w:t>
      </w:r>
      <w:r w:rsidR="0014799D" w:rsidRPr="0004046A">
        <w:t>Fuel Cell Electric Vehicle (FCEV).</w:t>
      </w:r>
      <w:r w:rsidR="0014799D" w:rsidRPr="005A0CFA">
        <w:t xml:space="preserve"> </w:t>
      </w:r>
    </w:p>
    <w:p w14:paraId="3594EC30" w14:textId="56074DED" w:rsidR="0053659E" w:rsidRPr="00EC1C66" w:rsidRDefault="0053659E" w:rsidP="00C5774C">
      <w:pPr>
        <w:pStyle w:val="ListParagraph"/>
        <w:numPr>
          <w:ilvl w:val="0"/>
          <w:numId w:val="2"/>
        </w:numPr>
        <w:spacing w:after="0"/>
        <w:ind w:left="547"/>
        <w:rPr>
          <w:b/>
          <w:bCs/>
        </w:rPr>
      </w:pPr>
      <w:r w:rsidRPr="08797A20">
        <w:rPr>
          <w:b/>
          <w:bCs/>
        </w:rPr>
        <w:t>Definitions:</w:t>
      </w:r>
    </w:p>
    <w:p w14:paraId="0544C3F3" w14:textId="3F85E332" w:rsidR="00F975CD" w:rsidRDefault="00F975CD" w:rsidP="00B800C6">
      <w:pPr>
        <w:pStyle w:val="ListParagraph"/>
        <w:numPr>
          <w:ilvl w:val="0"/>
          <w:numId w:val="8"/>
        </w:numPr>
      </w:pPr>
      <w:r>
        <w:t>BEV (Battery Electric Vehicle): a vehicle powered entirely by battery and produces no tailpipe emissions.</w:t>
      </w:r>
    </w:p>
    <w:p w14:paraId="08D00BF4" w14:textId="5827D726" w:rsidR="00BC18FE" w:rsidRDefault="008A2889" w:rsidP="00637777">
      <w:pPr>
        <w:pStyle w:val="ListParagraph"/>
        <w:numPr>
          <w:ilvl w:val="0"/>
          <w:numId w:val="8"/>
        </w:numPr>
      </w:pPr>
      <w:r>
        <w:lastRenderedPageBreak/>
        <w:t>PHEV (Plug-In Hybrid Electric Vehicle): a vehicle powered by both a battery pack, which can be externally recharged, and an Internal Combustion Engine (ICE).</w:t>
      </w:r>
    </w:p>
    <w:p w14:paraId="431F87FF" w14:textId="594E7497" w:rsidR="00067BCF" w:rsidRDefault="00067BCF" w:rsidP="00637777">
      <w:pPr>
        <w:pStyle w:val="ListParagraph"/>
        <w:numPr>
          <w:ilvl w:val="0"/>
          <w:numId w:val="8"/>
        </w:numPr>
      </w:pPr>
      <w:r>
        <w:t xml:space="preserve">FCEV (Fuel Cell Electric Vehicle): </w:t>
      </w:r>
      <w:r w:rsidR="005A0CFA" w:rsidRPr="005A0CFA">
        <w:t>a vehicle that uses a fuel cell to directly power an onboard electric motor and produces no tailpipe emissions.</w:t>
      </w:r>
    </w:p>
    <w:p w14:paraId="25662D9C" w14:textId="77777777" w:rsidR="00241B1A" w:rsidRDefault="00241B1A" w:rsidP="00241B1A">
      <w:pPr>
        <w:pStyle w:val="ListParagraph"/>
      </w:pPr>
    </w:p>
    <w:p w14:paraId="635A3FD6" w14:textId="02F9A51B" w:rsidR="00780470" w:rsidRPr="00A752B7" w:rsidRDefault="00780470" w:rsidP="00C5774C">
      <w:pPr>
        <w:pStyle w:val="ListParagraph"/>
        <w:numPr>
          <w:ilvl w:val="0"/>
          <w:numId w:val="2"/>
        </w:numPr>
        <w:spacing w:after="0"/>
        <w:ind w:left="547"/>
        <w:rPr>
          <w:b/>
          <w:bCs/>
        </w:rPr>
      </w:pPr>
      <w:r w:rsidRPr="00A752B7">
        <w:rPr>
          <w:b/>
          <w:bCs/>
        </w:rPr>
        <w:t>Pilot Program Summary Enrollment Process</w:t>
      </w:r>
    </w:p>
    <w:p w14:paraId="4EAC6663" w14:textId="23CA5EF1" w:rsidR="00780470" w:rsidRDefault="00780470" w:rsidP="00780470">
      <w:r>
        <w:t xml:space="preserve">Please see </w:t>
      </w:r>
      <w:proofErr w:type="gramStart"/>
      <w:r>
        <w:t>details</w:t>
      </w:r>
      <w:proofErr w:type="gramEnd"/>
      <w:r>
        <w:t xml:space="preserve"> below for each of these steps</w:t>
      </w:r>
      <w:r w:rsidR="00BC18FE">
        <w:t>:</w:t>
      </w:r>
    </w:p>
    <w:p w14:paraId="5D0BAE82" w14:textId="59A49E8F" w:rsidR="00943B03" w:rsidRDefault="00780470" w:rsidP="00A752B7">
      <w:pPr>
        <w:spacing w:after="0"/>
      </w:pPr>
      <w:r>
        <w:tab/>
        <w:t xml:space="preserve">Step 1: </w:t>
      </w:r>
      <w:r w:rsidR="00CD25BF">
        <w:t>Participant Identification</w:t>
      </w:r>
    </w:p>
    <w:p w14:paraId="469157F8" w14:textId="65CC76B0" w:rsidR="00BC18FE" w:rsidRDefault="00CD25BF" w:rsidP="00A752B7">
      <w:pPr>
        <w:spacing w:after="0"/>
        <w:ind w:firstLine="720"/>
      </w:pPr>
      <w:r>
        <w:t xml:space="preserve">Step 2: </w:t>
      </w:r>
      <w:r w:rsidR="00780470">
        <w:t>Survey and Agreement Form</w:t>
      </w:r>
    </w:p>
    <w:p w14:paraId="257173CA" w14:textId="7C28C0D5" w:rsidR="00CD25BF" w:rsidRDefault="00CD25BF" w:rsidP="00A752B7">
      <w:pPr>
        <w:spacing w:after="0"/>
        <w:ind w:left="720"/>
      </w:pPr>
      <w:r>
        <w:t xml:space="preserve">Step 3: </w:t>
      </w:r>
      <w:r w:rsidR="00B46492">
        <w:t>Notification of OVM and D</w:t>
      </w:r>
      <w:r w:rsidR="00203B11">
        <w:t>epartment of Energy Resources (DOER)</w:t>
      </w:r>
    </w:p>
    <w:p w14:paraId="0BD72C5A" w14:textId="5D53012C" w:rsidR="00B46492" w:rsidRDefault="00B46492" w:rsidP="00A752B7">
      <w:pPr>
        <w:spacing w:after="0"/>
        <w:ind w:left="720"/>
      </w:pPr>
      <w:r>
        <w:t xml:space="preserve">Step 4: </w:t>
      </w:r>
      <w:r w:rsidR="000E3FFF">
        <w:t>Bid Solicitation</w:t>
      </w:r>
    </w:p>
    <w:p w14:paraId="446974F9" w14:textId="7481CFBB" w:rsidR="001A3648" w:rsidRDefault="000E3FFF" w:rsidP="00A752B7">
      <w:pPr>
        <w:spacing w:after="0"/>
        <w:ind w:left="720"/>
      </w:pPr>
      <w:r>
        <w:t>Step 5: DOER Grant Application</w:t>
      </w:r>
      <w:r w:rsidR="002F3E70">
        <w:t xml:space="preserve"> </w:t>
      </w:r>
    </w:p>
    <w:p w14:paraId="76444EB8" w14:textId="2D56BFA4" w:rsidR="00B800C6" w:rsidRDefault="002F3E70" w:rsidP="00A752B7">
      <w:pPr>
        <w:spacing w:after="0"/>
        <w:ind w:left="720"/>
      </w:pPr>
      <w:r>
        <w:t xml:space="preserve">Step 6: </w:t>
      </w:r>
      <w:r w:rsidR="001A3648">
        <w:t>Approval and Transfer of Funds</w:t>
      </w:r>
    </w:p>
    <w:p w14:paraId="2750E34D" w14:textId="7040EB40" w:rsidR="00155572" w:rsidRDefault="00155572" w:rsidP="00A752B7">
      <w:pPr>
        <w:ind w:left="720"/>
      </w:pPr>
      <w:r>
        <w:t>Step 7: Project Implementation</w:t>
      </w:r>
    </w:p>
    <w:p w14:paraId="33136091" w14:textId="2C556EE9" w:rsidR="00EF147D" w:rsidRDefault="0079791E" w:rsidP="00BC20B2">
      <w:pPr>
        <w:pStyle w:val="ListParagraph"/>
        <w:numPr>
          <w:ilvl w:val="0"/>
          <w:numId w:val="2"/>
        </w:numPr>
        <w:spacing w:after="0"/>
        <w:ind w:left="590"/>
        <w:rPr>
          <w:b/>
          <w:bCs/>
        </w:rPr>
      </w:pPr>
      <w:r>
        <w:rPr>
          <w:b/>
          <w:bCs/>
        </w:rPr>
        <w:t>Enrollment Process Step 1 – Participant Identification</w:t>
      </w:r>
      <w:r w:rsidR="00371FA2" w:rsidRPr="08797A20">
        <w:rPr>
          <w:b/>
          <w:bCs/>
        </w:rPr>
        <w:t>:</w:t>
      </w:r>
    </w:p>
    <w:p w14:paraId="6D1711AB" w14:textId="49958EBC" w:rsidR="008A4C57" w:rsidRPr="00A752B7" w:rsidRDefault="007B5D78" w:rsidP="00A752B7">
      <w:pPr>
        <w:rPr>
          <w:b/>
          <w:bCs/>
        </w:rPr>
      </w:pPr>
      <w:r>
        <w:t xml:space="preserve">Agencies are responsible for identifying employees with domiciled vehicles willing to participate in the program. </w:t>
      </w:r>
      <w:r w:rsidR="008A4C57" w:rsidRPr="008A4C57">
        <w:rPr>
          <w:rStyle w:val="normaltextrun"/>
          <w:rFonts w:ascii="Calibri" w:hAnsi="Calibri" w:cs="Calibri"/>
        </w:rPr>
        <w:t xml:space="preserve">As agencies assign electric vehicles to domicile </w:t>
      </w:r>
      <w:r w:rsidR="00094362" w:rsidRPr="008A4C57">
        <w:rPr>
          <w:rStyle w:val="normaltextrun"/>
          <w:rFonts w:ascii="Calibri" w:hAnsi="Calibri" w:cs="Calibri"/>
        </w:rPr>
        <w:t>users,</w:t>
      </w:r>
      <w:r w:rsidR="008A4C57" w:rsidRPr="008A4C57">
        <w:rPr>
          <w:rStyle w:val="normaltextrun"/>
          <w:rFonts w:ascii="Calibri" w:hAnsi="Calibri" w:cs="Calibri"/>
        </w:rPr>
        <w:t xml:space="preserve"> </w:t>
      </w:r>
      <w:r w:rsidR="00300DB4">
        <w:rPr>
          <w:rStyle w:val="normaltextrun"/>
          <w:rFonts w:ascii="Calibri" w:hAnsi="Calibri" w:cs="Calibri"/>
        </w:rPr>
        <w:t xml:space="preserve">they </w:t>
      </w:r>
      <w:r w:rsidR="003D3725">
        <w:rPr>
          <w:rStyle w:val="normaltextrun"/>
          <w:rFonts w:ascii="Calibri" w:hAnsi="Calibri" w:cs="Calibri"/>
        </w:rPr>
        <w:t xml:space="preserve">should </w:t>
      </w:r>
      <w:r w:rsidR="007B4A9E">
        <w:rPr>
          <w:rStyle w:val="normaltextrun"/>
          <w:rFonts w:ascii="Calibri" w:hAnsi="Calibri" w:cs="Calibri"/>
        </w:rPr>
        <w:t xml:space="preserve">ask users </w:t>
      </w:r>
      <w:r w:rsidR="00392656">
        <w:rPr>
          <w:rStyle w:val="normaltextrun"/>
          <w:rFonts w:ascii="Calibri" w:hAnsi="Calibri" w:cs="Calibri"/>
        </w:rPr>
        <w:t>if they would</w:t>
      </w:r>
      <w:r w:rsidR="008A4C57" w:rsidRPr="008A4C57">
        <w:rPr>
          <w:rStyle w:val="normaltextrun"/>
          <w:rFonts w:ascii="Calibri" w:hAnsi="Calibri" w:cs="Calibri"/>
        </w:rPr>
        <w:t xml:space="preserve"> agree to have charging capability installed in their residence</w:t>
      </w:r>
      <w:r w:rsidR="002C7967">
        <w:rPr>
          <w:rStyle w:val="normaltextrun"/>
          <w:rFonts w:ascii="Calibri" w:hAnsi="Calibri" w:cs="Calibri"/>
        </w:rPr>
        <w:t xml:space="preserve"> and take part in this pilot program</w:t>
      </w:r>
      <w:r w:rsidR="00392656">
        <w:rPr>
          <w:rStyle w:val="normaltextrun"/>
          <w:rFonts w:ascii="Calibri" w:hAnsi="Calibri" w:cs="Calibri"/>
        </w:rPr>
        <w:t>.</w:t>
      </w:r>
      <w:r w:rsidR="008A4C57" w:rsidRPr="008A4C57">
        <w:rPr>
          <w:rStyle w:val="normaltextrun"/>
          <w:rFonts w:ascii="Calibri" w:hAnsi="Calibri" w:cs="Calibri"/>
        </w:rPr>
        <w:t xml:space="preserve"> </w:t>
      </w:r>
    </w:p>
    <w:p w14:paraId="262C96CF" w14:textId="1AD8BE9E" w:rsidR="00222E88" w:rsidRDefault="00EB7813" w:rsidP="00D627B7">
      <w:pPr>
        <w:pStyle w:val="ListParagraph"/>
        <w:ind w:left="0"/>
      </w:pPr>
      <w:r>
        <w:t xml:space="preserve">If </w:t>
      </w:r>
      <w:r w:rsidR="00E920C5">
        <w:t xml:space="preserve">both the </w:t>
      </w:r>
      <w:r w:rsidR="00E22CA0">
        <w:t>domicile EV user</w:t>
      </w:r>
      <w:r w:rsidR="002B15F8">
        <w:t xml:space="preserve"> </w:t>
      </w:r>
      <w:r w:rsidR="00E920C5">
        <w:t xml:space="preserve">and agency where </w:t>
      </w:r>
      <w:r w:rsidR="00D94323">
        <w:t xml:space="preserve">said employee works </w:t>
      </w:r>
      <w:r w:rsidR="00392656">
        <w:t xml:space="preserve">agree </w:t>
      </w:r>
      <w:r w:rsidR="00E22CA0">
        <w:t>to take part in this pilot program,</w:t>
      </w:r>
      <w:r w:rsidR="002B15F8">
        <w:t xml:space="preserve"> </w:t>
      </w:r>
      <w:r w:rsidR="00AC7A82">
        <w:t xml:space="preserve">employees </w:t>
      </w:r>
      <w:r w:rsidR="00222E88">
        <w:t xml:space="preserve">should be asked to confirm </w:t>
      </w:r>
      <w:r w:rsidR="003D3725">
        <w:t xml:space="preserve">that </w:t>
      </w:r>
      <w:r w:rsidR="00222E88">
        <w:t>the</w:t>
      </w:r>
      <w:r w:rsidR="002B28AF">
        <w:t>y</w:t>
      </w:r>
      <w:r w:rsidR="00222E88">
        <w:t xml:space="preserve"> meet the following criteria: </w:t>
      </w:r>
    </w:p>
    <w:p w14:paraId="45773840" w14:textId="5BA45360" w:rsidR="00222E88" w:rsidRDefault="00C92C82" w:rsidP="00C92C82">
      <w:pPr>
        <w:pStyle w:val="ListParagraph"/>
        <w:numPr>
          <w:ilvl w:val="0"/>
          <w:numId w:val="19"/>
        </w:numPr>
      </w:pPr>
      <w:r>
        <w:t xml:space="preserve">Own their own home or have the official authorization to install charging infrastructure </w:t>
      </w:r>
    </w:p>
    <w:p w14:paraId="55115DDC" w14:textId="27F5797B" w:rsidR="00605591" w:rsidRDefault="004F6CB0" w:rsidP="00C92C82">
      <w:pPr>
        <w:pStyle w:val="ListParagraph"/>
        <w:numPr>
          <w:ilvl w:val="0"/>
          <w:numId w:val="19"/>
        </w:numPr>
      </w:pPr>
      <w:r>
        <w:t xml:space="preserve">Have </w:t>
      </w:r>
      <w:r w:rsidR="00383549">
        <w:t>homeowners’</w:t>
      </w:r>
      <w:r w:rsidR="00C048BB">
        <w:t xml:space="preserve"> </w:t>
      </w:r>
      <w:r w:rsidR="00232828">
        <w:t>liability</w:t>
      </w:r>
      <w:r w:rsidR="00605591">
        <w:t xml:space="preserve"> </w:t>
      </w:r>
      <w:r w:rsidR="00C048BB">
        <w:t xml:space="preserve">insurance </w:t>
      </w:r>
      <w:r w:rsidR="00605591">
        <w:t>of at least $100,000</w:t>
      </w:r>
    </w:p>
    <w:p w14:paraId="7E2E8FB9" w14:textId="69A491BC" w:rsidR="00C92C82" w:rsidRDefault="00692733" w:rsidP="00C92C82">
      <w:pPr>
        <w:pStyle w:val="ListParagraph"/>
        <w:numPr>
          <w:ilvl w:val="0"/>
          <w:numId w:val="19"/>
        </w:numPr>
      </w:pPr>
      <w:r>
        <w:t xml:space="preserve">Have homeowners’ </w:t>
      </w:r>
      <w:r w:rsidR="00800688">
        <w:t xml:space="preserve">combined </w:t>
      </w:r>
      <w:r w:rsidR="00CA7D88">
        <w:t>dwelling</w:t>
      </w:r>
      <w:r w:rsidR="00B01E50">
        <w:t xml:space="preserve"> and </w:t>
      </w:r>
      <w:r w:rsidR="00CA7D88">
        <w:t xml:space="preserve">other structures </w:t>
      </w:r>
      <w:r>
        <w:t xml:space="preserve">insurance </w:t>
      </w:r>
      <w:r w:rsidR="00B01E50">
        <w:t>coverage of at least $100,000</w:t>
      </w:r>
      <w:r w:rsidR="00CA7D88">
        <w:t xml:space="preserve">. </w:t>
      </w:r>
      <w:r w:rsidR="00067F04">
        <w:t>Insurance coverage for other structures is only required when such stru</w:t>
      </w:r>
      <w:r w:rsidR="004B3734">
        <w:t xml:space="preserve">ctures are </w:t>
      </w:r>
      <w:r w:rsidR="00775259">
        <w:t xml:space="preserve">the location of the EVSE installation or are adjacent to such installation. </w:t>
      </w:r>
    </w:p>
    <w:p w14:paraId="628662FF" w14:textId="48870B61" w:rsidR="00DF4D16" w:rsidRDefault="00383549" w:rsidP="00C92C82">
      <w:pPr>
        <w:pStyle w:val="ListParagraph"/>
        <w:numPr>
          <w:ilvl w:val="0"/>
          <w:numId w:val="19"/>
        </w:numPr>
      </w:pPr>
      <w:r>
        <w:t xml:space="preserve">Have access to a parking location no more than 25 feet from </w:t>
      </w:r>
      <w:r w:rsidR="001F7258">
        <w:t>a</w:t>
      </w:r>
      <w:r>
        <w:t xml:space="preserve"> home or </w:t>
      </w:r>
      <w:r w:rsidR="00642373">
        <w:t>garage</w:t>
      </w:r>
      <w:r w:rsidR="004C114C">
        <w:t xml:space="preserve"> </w:t>
      </w:r>
      <w:r w:rsidR="008230B5">
        <w:t>(</w:t>
      </w:r>
      <w:r w:rsidR="004C114C">
        <w:t xml:space="preserve">preferably </w:t>
      </w:r>
      <w:r w:rsidR="00742DA6">
        <w:t xml:space="preserve">with access to </w:t>
      </w:r>
      <w:proofErr w:type="gramStart"/>
      <w:r w:rsidR="008230B5">
        <w:t>existing</w:t>
      </w:r>
      <w:proofErr w:type="gramEnd"/>
      <w:r w:rsidR="008230B5">
        <w:t xml:space="preserve"> </w:t>
      </w:r>
      <w:r w:rsidR="004C114C">
        <w:t>electric</w:t>
      </w:r>
      <w:r w:rsidR="008230B5">
        <w:t>al</w:t>
      </w:r>
      <w:r w:rsidR="004C114C">
        <w:t xml:space="preserve"> capacity</w:t>
      </w:r>
      <w:r w:rsidR="008230B5">
        <w:t>)</w:t>
      </w:r>
      <w:r w:rsidR="00642373">
        <w:t xml:space="preserve"> w</w:t>
      </w:r>
      <w:r w:rsidR="00AD7762">
        <w:t xml:space="preserve">here the charging infrastructure </w:t>
      </w:r>
      <w:r w:rsidR="00866263">
        <w:t>is likely to be located</w:t>
      </w:r>
      <w:r w:rsidR="004C114C">
        <w:t>.</w:t>
      </w:r>
    </w:p>
    <w:p w14:paraId="0C24DBBE" w14:textId="77777777" w:rsidR="001D72CC" w:rsidRDefault="001D72CC" w:rsidP="00D627B7">
      <w:pPr>
        <w:pStyle w:val="ListParagraph"/>
        <w:ind w:left="0"/>
      </w:pPr>
    </w:p>
    <w:p w14:paraId="45E8AF9E" w14:textId="60C60D41" w:rsidR="00D627B7" w:rsidRDefault="001D72CC" w:rsidP="00D627B7">
      <w:pPr>
        <w:pStyle w:val="ListParagraph"/>
        <w:ind w:left="0"/>
      </w:pPr>
      <w:r>
        <w:t xml:space="preserve">If </w:t>
      </w:r>
      <w:r w:rsidR="00CA058A">
        <w:t xml:space="preserve">these criteria </w:t>
      </w:r>
      <w:r w:rsidR="00781692">
        <w:t xml:space="preserve">can be </w:t>
      </w:r>
      <w:r w:rsidR="007E1B92">
        <w:t>met</w:t>
      </w:r>
      <w:r w:rsidR="00CA058A">
        <w:t xml:space="preserve">, both the </w:t>
      </w:r>
      <w:r w:rsidR="00154C10">
        <w:t xml:space="preserve">employee and agency </w:t>
      </w:r>
      <w:r w:rsidR="00D627B7">
        <w:t xml:space="preserve">should proceed to Step 2. </w:t>
      </w:r>
    </w:p>
    <w:p w14:paraId="23CA6AFF" w14:textId="77777777" w:rsidR="00D627B7" w:rsidRDefault="00D627B7" w:rsidP="00D627B7">
      <w:pPr>
        <w:pStyle w:val="ListParagraph"/>
        <w:ind w:left="0"/>
      </w:pPr>
    </w:p>
    <w:p w14:paraId="5184F237" w14:textId="0AA62AF3" w:rsidR="00B768ED" w:rsidRDefault="00B768ED" w:rsidP="000B0761">
      <w:pPr>
        <w:pStyle w:val="ListParagraph"/>
        <w:numPr>
          <w:ilvl w:val="0"/>
          <w:numId w:val="2"/>
        </w:numPr>
        <w:spacing w:after="0"/>
        <w:ind w:left="648"/>
        <w:rPr>
          <w:b/>
          <w:bCs/>
        </w:rPr>
      </w:pPr>
      <w:r>
        <w:rPr>
          <w:b/>
          <w:bCs/>
        </w:rPr>
        <w:t>Enrollment Process Step 2 – Survey and Agreement Form</w:t>
      </w:r>
      <w:r w:rsidRPr="08797A20">
        <w:rPr>
          <w:b/>
          <w:bCs/>
        </w:rPr>
        <w:t>:</w:t>
      </w:r>
    </w:p>
    <w:p w14:paraId="01FC7B7A" w14:textId="2F3E4D96" w:rsidR="0037342F" w:rsidRPr="00EF7F7A" w:rsidRDefault="00AB5610" w:rsidP="00A075FD">
      <w:r>
        <w:t>The agency shall have the employee(s) fill out the Domicile Electric Vehicle User Survey</w:t>
      </w:r>
      <w:r w:rsidR="00CE4781">
        <w:t xml:space="preserve"> (Survey</w:t>
      </w:r>
      <w:r w:rsidR="002B0A17">
        <w:t>)</w:t>
      </w:r>
      <w:r w:rsidR="001960E7">
        <w:t xml:space="preserve"> </w:t>
      </w:r>
      <w:r>
        <w:t xml:space="preserve">to </w:t>
      </w:r>
      <w:r w:rsidR="00B97C7E">
        <w:t>confirm</w:t>
      </w:r>
      <w:r w:rsidR="0030656A">
        <w:t xml:space="preserve"> that</w:t>
      </w:r>
      <w:r>
        <w:t xml:space="preserve"> the domicile EV user</w:t>
      </w:r>
      <w:r w:rsidR="00B174E3">
        <w:t xml:space="preserve"> themselves,</w:t>
      </w:r>
      <w:r>
        <w:t xml:space="preserve"> as well as the </w:t>
      </w:r>
      <w:r w:rsidR="00B174E3">
        <w:t xml:space="preserve">user’s </w:t>
      </w:r>
      <w:r>
        <w:t>residence</w:t>
      </w:r>
      <w:r w:rsidR="00B174E3">
        <w:t xml:space="preserve">, </w:t>
      </w:r>
      <w:r w:rsidR="0030656A">
        <w:t>meet</w:t>
      </w:r>
      <w:r w:rsidR="00B174E3">
        <w:t>s</w:t>
      </w:r>
      <w:r w:rsidR="0030656A">
        <w:t xml:space="preserve"> the eligibility criteria above</w:t>
      </w:r>
      <w:r>
        <w:t xml:space="preserve">. </w:t>
      </w:r>
      <w:r w:rsidR="00CE4781">
        <w:t xml:space="preserve">The </w:t>
      </w:r>
      <w:r w:rsidR="002B0A17">
        <w:t xml:space="preserve">Survey can be found </w:t>
      </w:r>
      <w:r w:rsidR="1A69DF29">
        <w:t xml:space="preserve">on the </w:t>
      </w:r>
      <w:hyperlink r:id="rId13">
        <w:r w:rsidR="1A69DF29" w:rsidRPr="531F5AB8">
          <w:rPr>
            <w:rStyle w:val="Hyperlink"/>
          </w:rPr>
          <w:t>LBE Priorities and Efforts: Clean Transportation</w:t>
        </w:r>
      </w:hyperlink>
      <w:r w:rsidR="1A69DF29">
        <w:t xml:space="preserve"> page </w:t>
      </w:r>
      <w:r w:rsidR="001C1CFD">
        <w:t>and must be returned to their agency</w:t>
      </w:r>
      <w:r w:rsidR="002B0A17">
        <w:t>.</w:t>
      </w:r>
      <w:r w:rsidR="00764BBA">
        <w:t xml:space="preserve"> Along with the survey, </w:t>
      </w:r>
      <w:r w:rsidR="00A32BB6">
        <w:t>the</w:t>
      </w:r>
      <w:r w:rsidR="00943AE1">
        <w:t xml:space="preserve"> user must provide </w:t>
      </w:r>
      <w:r w:rsidR="001C1CFD">
        <w:t>their agency with documentation</w:t>
      </w:r>
      <w:r w:rsidR="00943AE1">
        <w:t xml:space="preserve"> </w:t>
      </w:r>
      <w:proofErr w:type="gramStart"/>
      <w:r w:rsidR="00943AE1">
        <w:t>that they</w:t>
      </w:r>
      <w:proofErr w:type="gramEnd"/>
      <w:r w:rsidR="00943AE1">
        <w:t xml:space="preserve"> meet th</w:t>
      </w:r>
      <w:r w:rsidR="00D83DCA">
        <w:t xml:space="preserve">e eligibility criteria above. </w:t>
      </w:r>
      <w:r w:rsidR="000A04A3">
        <w:t>As necessary, d</w:t>
      </w:r>
      <w:r w:rsidR="00652379">
        <w:t xml:space="preserve">omicile EV users can </w:t>
      </w:r>
      <w:r w:rsidR="00B570B8">
        <w:t>either show this documentation to their agency o</w:t>
      </w:r>
      <w:r w:rsidR="00DB6F4A">
        <w:t>f</w:t>
      </w:r>
      <w:r w:rsidR="00B570B8">
        <w:t xml:space="preserve"> employment without providing a copy, or they may provide a copy of the documentation with redacted personal information. </w:t>
      </w:r>
      <w:r w:rsidR="00C2241F">
        <w:t xml:space="preserve">Examples of documentation that </w:t>
      </w:r>
      <w:r w:rsidR="0037342F">
        <w:t>prove eligibility criteria include but are not limited to:</w:t>
      </w:r>
    </w:p>
    <w:p w14:paraId="00A56BCC" w14:textId="3B8EF9C7" w:rsidR="0037342F" w:rsidRDefault="0037342F" w:rsidP="0037342F">
      <w:pPr>
        <w:pStyle w:val="ListParagraph"/>
        <w:numPr>
          <w:ilvl w:val="0"/>
          <w:numId w:val="18"/>
        </w:numPr>
      </w:pPr>
      <w:r w:rsidRPr="001E05FF">
        <w:rPr>
          <w:b/>
        </w:rPr>
        <w:t>Home ownership:</w:t>
      </w:r>
      <w:r>
        <w:t xml:space="preserve"> </w:t>
      </w:r>
      <w:r w:rsidR="008E5589">
        <w:t xml:space="preserve">a copy of a </w:t>
      </w:r>
      <w:r w:rsidR="006870D8">
        <w:t xml:space="preserve">recent </w:t>
      </w:r>
      <w:r w:rsidR="008E5589">
        <w:t xml:space="preserve">mortgage </w:t>
      </w:r>
      <w:r w:rsidR="006870D8">
        <w:t>statement</w:t>
      </w:r>
      <w:r w:rsidR="008E5589">
        <w:t xml:space="preserve"> or a </w:t>
      </w:r>
      <w:r w:rsidR="00AF443D">
        <w:t xml:space="preserve">copy of the </w:t>
      </w:r>
      <w:r w:rsidR="008E5589">
        <w:t>deed</w:t>
      </w:r>
      <w:r w:rsidR="00AF443D">
        <w:t xml:space="preserve"> or </w:t>
      </w:r>
      <w:r w:rsidR="008E5589">
        <w:t>a screenshot of the town assessor’s website outlining home ownership</w:t>
      </w:r>
    </w:p>
    <w:p w14:paraId="6AE149F9" w14:textId="73E73ABE" w:rsidR="00AF443D" w:rsidRDefault="00AF443D" w:rsidP="0037342F">
      <w:pPr>
        <w:pStyle w:val="ListParagraph"/>
        <w:numPr>
          <w:ilvl w:val="0"/>
          <w:numId w:val="18"/>
        </w:numPr>
      </w:pPr>
      <w:r w:rsidRPr="00186C46">
        <w:rPr>
          <w:b/>
        </w:rPr>
        <w:t xml:space="preserve">Legal </w:t>
      </w:r>
      <w:r w:rsidR="00D13C46" w:rsidRPr="00186C46">
        <w:rPr>
          <w:b/>
        </w:rPr>
        <w:t>a</w:t>
      </w:r>
      <w:r w:rsidRPr="00186C46">
        <w:rPr>
          <w:b/>
        </w:rPr>
        <w:t>uthorization:</w:t>
      </w:r>
      <w:r>
        <w:t xml:space="preserve"> a written letter from the </w:t>
      </w:r>
      <w:r w:rsidR="00E51075">
        <w:t>homeowner</w:t>
      </w:r>
      <w:r>
        <w:t xml:space="preserve"> granting authority to install and access charging equipment on the property</w:t>
      </w:r>
    </w:p>
    <w:p w14:paraId="58453EB6" w14:textId="2E2726CE" w:rsidR="00661329" w:rsidRPr="00661329" w:rsidRDefault="00CF0389">
      <w:pPr>
        <w:pStyle w:val="ListParagraph"/>
        <w:numPr>
          <w:ilvl w:val="0"/>
          <w:numId w:val="18"/>
        </w:numPr>
      </w:pPr>
      <w:r w:rsidRPr="00186C46">
        <w:rPr>
          <w:b/>
        </w:rPr>
        <w:lastRenderedPageBreak/>
        <w:t>Homeowner’s insurance:</w:t>
      </w:r>
      <w:r>
        <w:t xml:space="preserve"> </w:t>
      </w:r>
      <w:r w:rsidR="00841BD9">
        <w:t xml:space="preserve">a screenshot of the declaration page on </w:t>
      </w:r>
      <w:r w:rsidR="12B58E72">
        <w:t>the</w:t>
      </w:r>
      <w:r w:rsidR="00841BD9">
        <w:t xml:space="preserve"> </w:t>
      </w:r>
      <w:r w:rsidR="12B58E72">
        <w:t>homeowner'</w:t>
      </w:r>
      <w:r w:rsidR="145AF139">
        <w:t>s</w:t>
      </w:r>
      <w:r w:rsidR="00841BD9">
        <w:t xml:space="preserve"> home insurance policy’s webpage</w:t>
      </w:r>
    </w:p>
    <w:p w14:paraId="45448466" w14:textId="6CD63290" w:rsidR="00943AE1" w:rsidRPr="00661329" w:rsidRDefault="00D13C46">
      <w:pPr>
        <w:pStyle w:val="ListParagraph"/>
        <w:numPr>
          <w:ilvl w:val="0"/>
          <w:numId w:val="18"/>
        </w:numPr>
        <w:rPr>
          <w:rFonts w:cstheme="minorHAnsi"/>
        </w:rPr>
      </w:pPr>
      <w:r w:rsidRPr="00186C46">
        <w:rPr>
          <w:b/>
        </w:rPr>
        <w:t>Parking and charging location:</w:t>
      </w:r>
      <w:r w:rsidR="00FE1733">
        <w:t xml:space="preserve"> </w:t>
      </w:r>
      <w:r w:rsidR="0082050C">
        <w:t xml:space="preserve">written confirmation that the vehicle parking location is less than 25 feet from an existing location with electrical service </w:t>
      </w:r>
      <w:r w:rsidR="00AA19DA">
        <w:t xml:space="preserve">and an approximation of the distance from said parking location to the </w:t>
      </w:r>
      <w:r w:rsidR="00BD75FE">
        <w:t xml:space="preserve">home, garage, or other applicable structure. </w:t>
      </w:r>
    </w:p>
    <w:p w14:paraId="6A2064C7" w14:textId="26FEF1EE" w:rsidR="00A524D5" w:rsidRDefault="00151440" w:rsidP="531F5AB8">
      <w:pPr>
        <w:pStyle w:val="paragraph"/>
        <w:spacing w:before="0" w:beforeAutospacing="0" w:after="160" w:afterAutospacing="0" w:line="259" w:lineRule="auto"/>
        <w:textAlignment w:val="baseline"/>
        <w:rPr>
          <w:rFonts w:asciiTheme="minorHAnsi" w:hAnsiTheme="minorHAnsi" w:cstheme="minorBidi"/>
          <w:sz w:val="22"/>
          <w:szCs w:val="22"/>
        </w:rPr>
      </w:pPr>
      <w:r w:rsidRPr="531F5AB8">
        <w:rPr>
          <w:rFonts w:asciiTheme="minorHAnsi" w:hAnsiTheme="minorHAnsi" w:cstheme="minorBidi"/>
          <w:sz w:val="22"/>
          <w:szCs w:val="22"/>
        </w:rPr>
        <w:t xml:space="preserve">If found eligible by their agency through the Survey, domicile EV users will </w:t>
      </w:r>
      <w:r w:rsidR="001E2E7C" w:rsidRPr="531F5AB8">
        <w:rPr>
          <w:rFonts w:asciiTheme="minorHAnsi" w:hAnsiTheme="minorHAnsi" w:cstheme="minorBidi"/>
          <w:sz w:val="22"/>
          <w:szCs w:val="22"/>
        </w:rPr>
        <w:t xml:space="preserve">be required to </w:t>
      </w:r>
      <w:r w:rsidRPr="531F5AB8">
        <w:rPr>
          <w:rFonts w:asciiTheme="minorHAnsi" w:hAnsiTheme="minorHAnsi" w:cstheme="minorBidi"/>
          <w:sz w:val="22"/>
          <w:szCs w:val="22"/>
        </w:rPr>
        <w:t xml:space="preserve">sign an agreement agreeing to properly maintain charging infrastructure, report any damage or issues with </w:t>
      </w:r>
      <w:r w:rsidR="004C5595" w:rsidRPr="531F5AB8">
        <w:rPr>
          <w:rFonts w:asciiTheme="minorHAnsi" w:hAnsiTheme="minorHAnsi" w:cstheme="minorBidi"/>
          <w:sz w:val="22"/>
          <w:szCs w:val="22"/>
        </w:rPr>
        <w:t xml:space="preserve">station </w:t>
      </w:r>
      <w:r w:rsidRPr="531F5AB8">
        <w:rPr>
          <w:rFonts w:asciiTheme="minorHAnsi" w:hAnsiTheme="minorHAnsi" w:cstheme="minorBidi"/>
          <w:sz w:val="22"/>
          <w:szCs w:val="22"/>
        </w:rPr>
        <w:t>functionality</w:t>
      </w:r>
      <w:r w:rsidR="007819A5" w:rsidRPr="531F5AB8">
        <w:rPr>
          <w:rFonts w:asciiTheme="minorHAnsi" w:hAnsiTheme="minorHAnsi" w:cstheme="minorBidi"/>
          <w:sz w:val="22"/>
          <w:szCs w:val="22"/>
        </w:rPr>
        <w:t>,</w:t>
      </w:r>
      <w:r w:rsidRPr="531F5AB8">
        <w:rPr>
          <w:rFonts w:asciiTheme="minorHAnsi" w:hAnsiTheme="minorHAnsi" w:cstheme="minorBidi"/>
          <w:sz w:val="22"/>
          <w:szCs w:val="22"/>
        </w:rPr>
        <w:t xml:space="preserve"> and abide by the equipment return policy.</w:t>
      </w:r>
      <w:r w:rsidR="0021222E" w:rsidRPr="531F5AB8">
        <w:rPr>
          <w:rFonts w:asciiTheme="minorHAnsi" w:hAnsiTheme="minorHAnsi" w:cstheme="minorBidi"/>
          <w:sz w:val="22"/>
          <w:szCs w:val="22"/>
        </w:rPr>
        <w:t xml:space="preserve"> </w:t>
      </w:r>
      <w:r w:rsidR="0030656A" w:rsidRPr="531F5AB8">
        <w:rPr>
          <w:rFonts w:asciiTheme="minorHAnsi" w:hAnsiTheme="minorHAnsi" w:cstheme="minorBidi"/>
          <w:sz w:val="22"/>
          <w:szCs w:val="22"/>
        </w:rPr>
        <w:t>This agreement can be found at</w:t>
      </w:r>
      <w:r w:rsidR="47524D00" w:rsidRPr="531F5AB8">
        <w:rPr>
          <w:rFonts w:asciiTheme="minorHAnsi" w:hAnsiTheme="minorHAnsi" w:cstheme="minorBidi"/>
          <w:sz w:val="22"/>
          <w:szCs w:val="22"/>
        </w:rPr>
        <w:t xml:space="preserve"> on the </w:t>
      </w:r>
      <w:hyperlink r:id="rId14">
        <w:r w:rsidR="47524D00" w:rsidRPr="531F5AB8">
          <w:rPr>
            <w:rStyle w:val="Hyperlink"/>
            <w:rFonts w:asciiTheme="minorHAnsi" w:hAnsiTheme="minorHAnsi" w:cstheme="minorBidi"/>
            <w:sz w:val="22"/>
            <w:szCs w:val="22"/>
          </w:rPr>
          <w:t>LBE Priorities and Efforts: Clean Transportation</w:t>
        </w:r>
      </w:hyperlink>
      <w:r w:rsidR="47524D00" w:rsidRPr="531F5AB8">
        <w:rPr>
          <w:rFonts w:asciiTheme="minorHAnsi" w:hAnsiTheme="minorHAnsi" w:cstheme="minorBidi"/>
          <w:sz w:val="22"/>
          <w:szCs w:val="22"/>
        </w:rPr>
        <w:t xml:space="preserve"> page </w:t>
      </w:r>
      <w:r w:rsidR="001C1CFD" w:rsidRPr="531F5AB8">
        <w:rPr>
          <w:rFonts w:asciiTheme="minorHAnsi" w:hAnsiTheme="minorHAnsi" w:cstheme="minorBidi"/>
          <w:sz w:val="22"/>
          <w:szCs w:val="22"/>
        </w:rPr>
        <w:t>and must also be submitted to the agency of employment</w:t>
      </w:r>
      <w:r w:rsidR="0021222E" w:rsidRPr="531F5AB8">
        <w:rPr>
          <w:rFonts w:asciiTheme="minorHAnsi" w:hAnsiTheme="minorHAnsi" w:cstheme="minorBidi"/>
          <w:sz w:val="22"/>
          <w:szCs w:val="22"/>
        </w:rPr>
        <w:t>.</w:t>
      </w:r>
    </w:p>
    <w:p w14:paraId="47A706AD" w14:textId="1319B61B" w:rsidR="00A524D5" w:rsidRDefault="00A524D5" w:rsidP="00021E14">
      <w:pPr>
        <w:pStyle w:val="ListParagraph"/>
        <w:numPr>
          <w:ilvl w:val="0"/>
          <w:numId w:val="2"/>
        </w:numPr>
        <w:spacing w:after="0"/>
        <w:ind w:left="691"/>
        <w:rPr>
          <w:b/>
          <w:bCs/>
        </w:rPr>
      </w:pPr>
      <w:r>
        <w:rPr>
          <w:b/>
          <w:bCs/>
        </w:rPr>
        <w:t xml:space="preserve">Enrollment Process Step </w:t>
      </w:r>
      <w:r w:rsidR="006D337F">
        <w:rPr>
          <w:b/>
          <w:bCs/>
        </w:rPr>
        <w:t>3</w:t>
      </w:r>
      <w:r>
        <w:rPr>
          <w:b/>
          <w:bCs/>
        </w:rPr>
        <w:t xml:space="preserve"> – </w:t>
      </w:r>
      <w:r w:rsidR="00F42E5C">
        <w:rPr>
          <w:b/>
          <w:bCs/>
        </w:rPr>
        <w:t xml:space="preserve">Notification </w:t>
      </w:r>
      <w:r w:rsidR="003C6910">
        <w:rPr>
          <w:b/>
          <w:bCs/>
        </w:rPr>
        <w:t>to</w:t>
      </w:r>
      <w:r w:rsidR="00F42E5C">
        <w:rPr>
          <w:b/>
          <w:bCs/>
        </w:rPr>
        <w:t xml:space="preserve"> OVM and DOER</w:t>
      </w:r>
      <w:r w:rsidRPr="08797A20">
        <w:rPr>
          <w:b/>
          <w:bCs/>
        </w:rPr>
        <w:t>:</w:t>
      </w:r>
    </w:p>
    <w:p w14:paraId="3CDE62A9" w14:textId="5738843E" w:rsidR="00A524D5" w:rsidRDefault="00461A6C" w:rsidP="00151440">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Based on</w:t>
      </w:r>
      <w:r w:rsidR="00E47E93">
        <w:rPr>
          <w:rFonts w:asciiTheme="minorHAnsi" w:hAnsiTheme="minorHAnsi" w:cstheme="minorHAnsi"/>
          <w:sz w:val="22"/>
          <w:szCs w:val="22"/>
        </w:rPr>
        <w:t xml:space="preserve"> the results of the Survey, the proof of eligibility through documentation, and </w:t>
      </w:r>
      <w:r w:rsidR="00A86A9F">
        <w:rPr>
          <w:rFonts w:asciiTheme="minorHAnsi" w:hAnsiTheme="minorHAnsi" w:cstheme="minorHAnsi"/>
          <w:sz w:val="22"/>
          <w:szCs w:val="22"/>
        </w:rPr>
        <w:t>the user’s signature o</w:t>
      </w:r>
      <w:r w:rsidR="004D4CC1">
        <w:rPr>
          <w:rFonts w:asciiTheme="minorHAnsi" w:hAnsiTheme="minorHAnsi" w:cstheme="minorHAnsi"/>
          <w:sz w:val="22"/>
          <w:szCs w:val="22"/>
        </w:rPr>
        <w:t xml:space="preserve">n the written agreement, agencies will determine which of their domicile EV </w:t>
      </w:r>
      <w:r w:rsidR="009D5FFA">
        <w:rPr>
          <w:rFonts w:asciiTheme="minorHAnsi" w:hAnsiTheme="minorHAnsi" w:cstheme="minorHAnsi"/>
          <w:sz w:val="22"/>
          <w:szCs w:val="22"/>
        </w:rPr>
        <w:t>users</w:t>
      </w:r>
      <w:r w:rsidR="004D4CC1">
        <w:rPr>
          <w:rFonts w:asciiTheme="minorHAnsi" w:hAnsiTheme="minorHAnsi" w:cstheme="minorHAnsi"/>
          <w:sz w:val="22"/>
          <w:szCs w:val="22"/>
        </w:rPr>
        <w:t xml:space="preserve"> </w:t>
      </w:r>
      <w:r w:rsidR="00EE400D">
        <w:rPr>
          <w:rFonts w:asciiTheme="minorHAnsi" w:hAnsiTheme="minorHAnsi" w:cstheme="minorHAnsi"/>
          <w:sz w:val="22"/>
          <w:szCs w:val="22"/>
        </w:rPr>
        <w:t xml:space="preserve">will be </w:t>
      </w:r>
      <w:r>
        <w:rPr>
          <w:rFonts w:asciiTheme="minorHAnsi" w:hAnsiTheme="minorHAnsi" w:cstheme="minorHAnsi"/>
          <w:sz w:val="22"/>
          <w:szCs w:val="22"/>
        </w:rPr>
        <w:t xml:space="preserve">eligible for </w:t>
      </w:r>
      <w:r w:rsidR="00EE400D">
        <w:rPr>
          <w:rFonts w:asciiTheme="minorHAnsi" w:hAnsiTheme="minorHAnsi" w:cstheme="minorHAnsi"/>
          <w:sz w:val="22"/>
          <w:szCs w:val="22"/>
        </w:rPr>
        <w:t xml:space="preserve">and included in this </w:t>
      </w:r>
      <w:r w:rsidR="0057317B">
        <w:rPr>
          <w:rFonts w:asciiTheme="minorHAnsi" w:hAnsiTheme="minorHAnsi" w:cstheme="minorHAnsi"/>
          <w:sz w:val="22"/>
          <w:szCs w:val="22"/>
        </w:rPr>
        <w:t>pilot</w:t>
      </w:r>
      <w:r>
        <w:rPr>
          <w:rFonts w:asciiTheme="minorHAnsi" w:hAnsiTheme="minorHAnsi" w:cstheme="minorHAnsi"/>
          <w:sz w:val="22"/>
          <w:szCs w:val="22"/>
        </w:rPr>
        <w:t xml:space="preserve">. </w:t>
      </w:r>
      <w:r w:rsidR="00F42E5C">
        <w:rPr>
          <w:rFonts w:asciiTheme="minorHAnsi" w:hAnsiTheme="minorHAnsi" w:cstheme="minorHAnsi"/>
          <w:sz w:val="22"/>
          <w:szCs w:val="22"/>
        </w:rPr>
        <w:t xml:space="preserve">Agencies shall notify OVM and DOER </w:t>
      </w:r>
      <w:r w:rsidR="005A720B">
        <w:rPr>
          <w:rFonts w:asciiTheme="minorHAnsi" w:hAnsiTheme="minorHAnsi" w:cstheme="minorHAnsi"/>
          <w:sz w:val="22"/>
          <w:szCs w:val="22"/>
        </w:rPr>
        <w:t>(see contacts below</w:t>
      </w:r>
      <w:r w:rsidR="00D53365">
        <w:rPr>
          <w:rFonts w:asciiTheme="minorHAnsi" w:hAnsiTheme="minorHAnsi" w:cstheme="minorHAnsi"/>
          <w:sz w:val="22"/>
          <w:szCs w:val="22"/>
        </w:rPr>
        <w:t xml:space="preserve"> in Section XVIII</w:t>
      </w:r>
      <w:r w:rsidR="005A720B">
        <w:rPr>
          <w:rFonts w:asciiTheme="minorHAnsi" w:hAnsiTheme="minorHAnsi" w:cstheme="minorHAnsi"/>
          <w:sz w:val="22"/>
          <w:szCs w:val="22"/>
        </w:rPr>
        <w:t xml:space="preserve">) </w:t>
      </w:r>
      <w:r w:rsidR="00F42E5C">
        <w:rPr>
          <w:rFonts w:asciiTheme="minorHAnsi" w:hAnsiTheme="minorHAnsi" w:cstheme="minorHAnsi"/>
          <w:sz w:val="22"/>
          <w:szCs w:val="22"/>
        </w:rPr>
        <w:t>of domicile</w:t>
      </w:r>
      <w:r w:rsidR="0030656A">
        <w:rPr>
          <w:rFonts w:asciiTheme="minorHAnsi" w:hAnsiTheme="minorHAnsi" w:cstheme="minorHAnsi"/>
          <w:sz w:val="22"/>
          <w:szCs w:val="22"/>
        </w:rPr>
        <w:t xml:space="preserve"> EV</w:t>
      </w:r>
      <w:r w:rsidR="00F42E5C">
        <w:rPr>
          <w:rFonts w:asciiTheme="minorHAnsi" w:hAnsiTheme="minorHAnsi" w:cstheme="minorHAnsi"/>
          <w:sz w:val="22"/>
          <w:szCs w:val="22"/>
        </w:rPr>
        <w:t xml:space="preserve"> users determined to be eligible for EV charging funding prior to </w:t>
      </w:r>
      <w:r w:rsidR="002D23AD">
        <w:rPr>
          <w:rFonts w:asciiTheme="minorHAnsi" w:hAnsiTheme="minorHAnsi" w:cstheme="minorHAnsi"/>
          <w:sz w:val="22"/>
          <w:szCs w:val="22"/>
        </w:rPr>
        <w:t>proceeding</w:t>
      </w:r>
      <w:r w:rsidR="00F42E5C">
        <w:rPr>
          <w:rFonts w:asciiTheme="minorHAnsi" w:hAnsiTheme="minorHAnsi" w:cstheme="minorHAnsi"/>
          <w:sz w:val="22"/>
          <w:szCs w:val="22"/>
        </w:rPr>
        <w:t xml:space="preserve"> with any procurements or grant applications.</w:t>
      </w:r>
    </w:p>
    <w:p w14:paraId="0E6D4D0D" w14:textId="77777777" w:rsidR="007200FD" w:rsidRDefault="007200FD" w:rsidP="00151440">
      <w:pPr>
        <w:pStyle w:val="paragraph"/>
        <w:spacing w:before="0" w:beforeAutospacing="0" w:after="0" w:afterAutospacing="0"/>
        <w:textAlignment w:val="baseline"/>
        <w:rPr>
          <w:rFonts w:asciiTheme="minorHAnsi" w:hAnsiTheme="minorHAnsi" w:cstheme="minorHAnsi"/>
          <w:sz w:val="22"/>
          <w:szCs w:val="22"/>
        </w:rPr>
      </w:pPr>
    </w:p>
    <w:p w14:paraId="451B6C97" w14:textId="501FE883" w:rsidR="00D664C2" w:rsidRDefault="00D664C2" w:rsidP="00151440">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If a</w:t>
      </w:r>
      <w:r w:rsidR="009E5937">
        <w:rPr>
          <w:rFonts w:asciiTheme="minorHAnsi" w:hAnsiTheme="minorHAnsi" w:cstheme="minorHAnsi"/>
          <w:sz w:val="22"/>
          <w:szCs w:val="22"/>
        </w:rPr>
        <w:t>n agency is seeking approval to install a hard-wired Level 2 charger</w:t>
      </w:r>
      <w:r w:rsidR="009F2038">
        <w:rPr>
          <w:rFonts w:asciiTheme="minorHAnsi" w:hAnsiTheme="minorHAnsi" w:cstheme="minorHAnsi"/>
          <w:sz w:val="22"/>
          <w:szCs w:val="22"/>
        </w:rPr>
        <w:t xml:space="preserve"> as per </w:t>
      </w:r>
      <w:r w:rsidR="00B51CDD">
        <w:rPr>
          <w:rFonts w:asciiTheme="minorHAnsi" w:hAnsiTheme="minorHAnsi" w:cstheme="minorHAnsi"/>
          <w:sz w:val="22"/>
          <w:szCs w:val="22"/>
        </w:rPr>
        <w:t>Section XIII</w:t>
      </w:r>
      <w:r w:rsidR="005F7091">
        <w:rPr>
          <w:rFonts w:asciiTheme="minorHAnsi" w:hAnsiTheme="minorHAnsi" w:cstheme="minorHAnsi"/>
          <w:sz w:val="22"/>
          <w:szCs w:val="22"/>
        </w:rPr>
        <w:t>, the agency must request</w:t>
      </w:r>
      <w:r w:rsidR="006A1A7B">
        <w:rPr>
          <w:rFonts w:asciiTheme="minorHAnsi" w:hAnsiTheme="minorHAnsi" w:cstheme="minorHAnsi"/>
          <w:sz w:val="22"/>
          <w:szCs w:val="22"/>
        </w:rPr>
        <w:t xml:space="preserve"> and receive</w:t>
      </w:r>
      <w:r w:rsidR="005F7091">
        <w:rPr>
          <w:rFonts w:asciiTheme="minorHAnsi" w:hAnsiTheme="minorHAnsi" w:cstheme="minorHAnsi"/>
          <w:sz w:val="22"/>
          <w:szCs w:val="22"/>
        </w:rPr>
        <w:t xml:space="preserve"> approval from</w:t>
      </w:r>
      <w:r w:rsidR="00E56E95">
        <w:rPr>
          <w:rFonts w:asciiTheme="minorHAnsi" w:hAnsiTheme="minorHAnsi" w:cstheme="minorHAnsi"/>
          <w:sz w:val="22"/>
          <w:szCs w:val="22"/>
        </w:rPr>
        <w:t xml:space="preserve"> DOER prior to proceeding with any procurements or grant applications. </w:t>
      </w:r>
      <w:r w:rsidR="00BE5E23">
        <w:rPr>
          <w:rFonts w:asciiTheme="minorHAnsi" w:hAnsiTheme="minorHAnsi" w:cstheme="minorHAnsi"/>
          <w:sz w:val="22"/>
          <w:szCs w:val="22"/>
        </w:rPr>
        <w:t xml:space="preserve">Applicants should indicate they are seeking this approval </w:t>
      </w:r>
      <w:r w:rsidR="00302EDA">
        <w:rPr>
          <w:rFonts w:asciiTheme="minorHAnsi" w:hAnsiTheme="minorHAnsi" w:cstheme="minorHAnsi"/>
          <w:sz w:val="22"/>
          <w:szCs w:val="22"/>
        </w:rPr>
        <w:t xml:space="preserve">and provide their justification </w:t>
      </w:r>
      <w:r w:rsidR="00BE5E23">
        <w:rPr>
          <w:rFonts w:asciiTheme="minorHAnsi" w:hAnsiTheme="minorHAnsi" w:cstheme="minorHAnsi"/>
          <w:sz w:val="22"/>
          <w:szCs w:val="22"/>
        </w:rPr>
        <w:t xml:space="preserve">using the </w:t>
      </w:r>
      <w:r w:rsidR="0020451E">
        <w:rPr>
          <w:rFonts w:asciiTheme="minorHAnsi" w:hAnsiTheme="minorHAnsi" w:cstheme="minorHAnsi"/>
          <w:sz w:val="22"/>
          <w:szCs w:val="22"/>
        </w:rPr>
        <w:t xml:space="preserve">appropriate dropdown menu </w:t>
      </w:r>
      <w:r w:rsidR="00302EDA">
        <w:rPr>
          <w:rFonts w:asciiTheme="minorHAnsi" w:hAnsiTheme="minorHAnsi" w:cstheme="minorHAnsi"/>
          <w:sz w:val="22"/>
          <w:szCs w:val="22"/>
        </w:rPr>
        <w:t xml:space="preserve">and free-form </w:t>
      </w:r>
      <w:r w:rsidR="008927F9">
        <w:rPr>
          <w:rFonts w:asciiTheme="minorHAnsi" w:hAnsiTheme="minorHAnsi" w:cstheme="minorHAnsi"/>
          <w:sz w:val="22"/>
          <w:szCs w:val="22"/>
        </w:rPr>
        <w:t xml:space="preserve">field </w:t>
      </w:r>
      <w:r w:rsidR="00BE5E23">
        <w:rPr>
          <w:rFonts w:asciiTheme="minorHAnsi" w:hAnsiTheme="minorHAnsi" w:cstheme="minorHAnsi"/>
          <w:sz w:val="22"/>
          <w:szCs w:val="22"/>
        </w:rPr>
        <w:t xml:space="preserve">in the </w:t>
      </w:r>
      <w:r w:rsidR="00855585">
        <w:rPr>
          <w:rFonts w:asciiTheme="minorHAnsi" w:hAnsiTheme="minorHAnsi" w:cstheme="minorHAnsi"/>
          <w:sz w:val="22"/>
          <w:szCs w:val="22"/>
        </w:rPr>
        <w:t xml:space="preserve">grant </w:t>
      </w:r>
      <w:r w:rsidR="00BE5E23">
        <w:rPr>
          <w:rFonts w:asciiTheme="minorHAnsi" w:hAnsiTheme="minorHAnsi" w:cstheme="minorHAnsi"/>
          <w:sz w:val="22"/>
          <w:szCs w:val="22"/>
        </w:rPr>
        <w:t>application</w:t>
      </w:r>
      <w:r w:rsidR="008927F9">
        <w:rPr>
          <w:rFonts w:asciiTheme="minorHAnsi" w:hAnsiTheme="minorHAnsi" w:cstheme="minorHAnsi"/>
          <w:sz w:val="22"/>
          <w:szCs w:val="22"/>
        </w:rPr>
        <w:t>.</w:t>
      </w:r>
    </w:p>
    <w:p w14:paraId="31B706FF" w14:textId="77777777" w:rsidR="00A524D5" w:rsidRDefault="00A524D5" w:rsidP="00151440">
      <w:pPr>
        <w:pStyle w:val="paragraph"/>
        <w:spacing w:before="0" w:beforeAutospacing="0" w:after="0" w:afterAutospacing="0"/>
        <w:textAlignment w:val="baseline"/>
        <w:rPr>
          <w:rFonts w:asciiTheme="minorHAnsi" w:hAnsiTheme="minorHAnsi" w:cstheme="minorHAnsi"/>
          <w:sz w:val="22"/>
          <w:szCs w:val="22"/>
        </w:rPr>
      </w:pPr>
    </w:p>
    <w:p w14:paraId="7F2C6636" w14:textId="199D2608" w:rsidR="006D337F" w:rsidRPr="00A752B7" w:rsidRDefault="006D337F" w:rsidP="00BC20B2">
      <w:pPr>
        <w:pStyle w:val="ListParagraph"/>
        <w:numPr>
          <w:ilvl w:val="0"/>
          <w:numId w:val="2"/>
        </w:numPr>
        <w:spacing w:after="0"/>
        <w:ind w:left="634"/>
        <w:rPr>
          <w:b/>
          <w:bCs/>
        </w:rPr>
      </w:pPr>
      <w:r>
        <w:rPr>
          <w:b/>
          <w:bCs/>
        </w:rPr>
        <w:t>Enrollment Process Step 4 – Bid Solicitation</w:t>
      </w:r>
      <w:r w:rsidRPr="08797A20">
        <w:rPr>
          <w:b/>
          <w:bCs/>
        </w:rPr>
        <w:t>:</w:t>
      </w:r>
    </w:p>
    <w:p w14:paraId="5288C8C8" w14:textId="34E0FC70" w:rsidR="008332DE" w:rsidRDefault="001370CB" w:rsidP="001370CB">
      <w:pPr>
        <w:rPr>
          <w:rStyle w:val="normaltextrun"/>
          <w:rFonts w:ascii="Calibri" w:hAnsi="Calibri" w:cs="Calibri"/>
          <w:color w:val="000000"/>
          <w:bdr w:val="none" w:sz="0" w:space="0" w:color="auto" w:frame="1"/>
        </w:rPr>
      </w:pPr>
      <w:r>
        <w:t xml:space="preserve">Once eligibility has been determined and OVM and DOER have been notified, the agency </w:t>
      </w:r>
      <w:r w:rsidR="00440711">
        <w:t xml:space="preserve">must </w:t>
      </w:r>
      <w:r>
        <w:t xml:space="preserve">solicit bids from applicable statewide contracts, including the </w:t>
      </w:r>
      <w:hyperlink r:id="rId15" w:history="1">
        <w:r w:rsidR="00980329" w:rsidRPr="00980329">
          <w:rPr>
            <w:rStyle w:val="Hyperlink"/>
          </w:rPr>
          <w:t>Tradesperson Installation, Repair, and Maintenance Services Contract</w:t>
        </w:r>
      </w:hyperlink>
      <w:r w:rsidR="00980329">
        <w:t xml:space="preserve"> </w:t>
      </w:r>
      <w:r w:rsidRPr="00C3525C">
        <w:rPr>
          <w:rStyle w:val="normaltextrun"/>
          <w:rFonts w:ascii="Calibri" w:hAnsi="Calibri" w:cs="Calibri"/>
          <w:color w:val="000000"/>
          <w:shd w:val="clear" w:color="auto" w:fill="FFFFFF"/>
        </w:rPr>
        <w:t xml:space="preserve">(TRD01) and/or </w:t>
      </w:r>
      <w:r w:rsidR="001A7CFF">
        <w:rPr>
          <w:rStyle w:val="normaltextrun"/>
          <w:rFonts w:ascii="Calibri" w:hAnsi="Calibri" w:cs="Calibri"/>
          <w:color w:val="000000"/>
          <w:shd w:val="clear" w:color="auto" w:fill="FFFFFF"/>
        </w:rPr>
        <w:t xml:space="preserve">the </w:t>
      </w:r>
      <w:hyperlink r:id="rId16" w:history="1">
        <w:r w:rsidRPr="006B7897">
          <w:rPr>
            <w:rStyle w:val="Hyperlink"/>
            <w:rFonts w:ascii="Calibri" w:hAnsi="Calibri" w:cs="Calibri"/>
            <w:bdr w:val="none" w:sz="0" w:space="0" w:color="auto" w:frame="1"/>
          </w:rPr>
          <w:t>Advanced Vehicle Technology Equipment, Supplies and Services Contract</w:t>
        </w:r>
      </w:hyperlink>
      <w:r w:rsidRPr="00C3525C">
        <w:rPr>
          <w:rStyle w:val="normaltextrun"/>
          <w:rFonts w:ascii="Calibri" w:hAnsi="Calibri" w:cs="Calibri"/>
          <w:color w:val="000000"/>
          <w:bdr w:val="none" w:sz="0" w:space="0" w:color="auto" w:frame="1"/>
        </w:rPr>
        <w:t xml:space="preserve"> (VEH102</w:t>
      </w:r>
      <w:r w:rsidR="00037C88">
        <w:rPr>
          <w:rStyle w:val="normaltextrun"/>
          <w:rFonts w:ascii="Calibri" w:hAnsi="Calibri" w:cs="Calibri"/>
          <w:color w:val="000000"/>
          <w:bdr w:val="none" w:sz="0" w:space="0" w:color="auto" w:frame="1"/>
        </w:rPr>
        <w:t>)</w:t>
      </w:r>
      <w:r w:rsidR="00037C88">
        <w:rPr>
          <w:rStyle w:val="FootnoteReference"/>
          <w:rFonts w:ascii="Calibri" w:hAnsi="Calibri" w:cs="Calibri"/>
          <w:color w:val="000000"/>
          <w:bdr w:val="none" w:sz="0" w:space="0" w:color="auto" w:frame="1"/>
        </w:rPr>
        <w:footnoteReference w:id="2"/>
      </w:r>
      <w:r w:rsidRPr="00C3525C">
        <w:rPr>
          <w:rStyle w:val="normaltextrun"/>
          <w:rFonts w:ascii="Calibri" w:hAnsi="Calibri" w:cs="Calibri"/>
          <w:color w:val="000000"/>
          <w:shd w:val="clear" w:color="auto" w:fill="FFFFFF"/>
        </w:rPr>
        <w:t xml:space="preserve">. When requesting bids on TRD01, </w:t>
      </w:r>
      <w:r>
        <w:rPr>
          <w:rStyle w:val="normaltextrun"/>
          <w:rFonts w:ascii="Calibri" w:hAnsi="Calibri" w:cs="Calibri"/>
          <w:color w:val="000000"/>
          <w:shd w:val="clear" w:color="auto" w:fill="FFFFFF"/>
        </w:rPr>
        <w:t xml:space="preserve">agencies should require </w:t>
      </w:r>
      <w:proofErr w:type="gramStart"/>
      <w:r>
        <w:rPr>
          <w:rStyle w:val="normaltextrun"/>
          <w:rFonts w:ascii="Calibri" w:hAnsi="Calibri" w:cs="Calibri"/>
          <w:color w:val="000000"/>
          <w:shd w:val="clear" w:color="auto" w:fill="FFFFFF"/>
        </w:rPr>
        <w:t>bidder</w:t>
      </w:r>
      <w:proofErr w:type="gramEnd"/>
      <w:r>
        <w:rPr>
          <w:rStyle w:val="normaltextrun"/>
          <w:rFonts w:ascii="Calibri" w:hAnsi="Calibri" w:cs="Calibri"/>
          <w:color w:val="000000"/>
          <w:shd w:val="clear" w:color="auto" w:fill="FFFFFF"/>
        </w:rPr>
        <w:t xml:space="preserve"> experience with residential or commercial charging station installation</w:t>
      </w:r>
      <w:r w:rsidRPr="00C3525C">
        <w:rPr>
          <w:rStyle w:val="normaltextrun"/>
          <w:rFonts w:ascii="Calibri" w:hAnsi="Calibri" w:cs="Calibri"/>
          <w:color w:val="000000"/>
          <w:shd w:val="clear" w:color="auto" w:fill="FFFFFF"/>
        </w:rPr>
        <w:t xml:space="preserve">. Request for bids should include any applicable specifications </w:t>
      </w:r>
      <w:r w:rsidR="009215C2">
        <w:rPr>
          <w:rStyle w:val="normaltextrun"/>
          <w:rFonts w:ascii="Calibri" w:hAnsi="Calibri" w:cs="Calibri"/>
          <w:color w:val="000000"/>
          <w:shd w:val="clear" w:color="auto" w:fill="FFFFFF"/>
        </w:rPr>
        <w:t>outlined in</w:t>
      </w:r>
      <w:r w:rsidRPr="00C3525C">
        <w:rPr>
          <w:rStyle w:val="normaltextrun"/>
          <w:rFonts w:ascii="Calibri" w:hAnsi="Calibri" w:cs="Calibri"/>
          <w:color w:val="000000"/>
          <w:shd w:val="clear" w:color="auto" w:fill="FFFFFF"/>
        </w:rPr>
        <w:t xml:space="preserve"> </w:t>
      </w:r>
      <w:r w:rsidR="000C3A1C">
        <w:rPr>
          <w:rStyle w:val="normaltextrun"/>
          <w:rFonts w:ascii="Calibri" w:hAnsi="Calibri" w:cs="Calibri"/>
          <w:color w:val="000000"/>
          <w:shd w:val="clear" w:color="auto" w:fill="FFFFFF"/>
        </w:rPr>
        <w:t xml:space="preserve">Section </w:t>
      </w:r>
      <w:r w:rsidR="000C3A1C" w:rsidRPr="009A7308">
        <w:rPr>
          <w:rStyle w:val="normaltextrun"/>
          <w:rFonts w:ascii="Calibri" w:hAnsi="Calibri" w:cs="Calibri"/>
          <w:color w:val="000000"/>
          <w:shd w:val="clear" w:color="auto" w:fill="FFFFFF"/>
        </w:rPr>
        <w:t>X</w:t>
      </w:r>
      <w:r w:rsidR="008F0588">
        <w:rPr>
          <w:rStyle w:val="normaltextrun"/>
          <w:rFonts w:ascii="Calibri" w:hAnsi="Calibri" w:cs="Calibri"/>
          <w:color w:val="000000"/>
          <w:shd w:val="clear" w:color="auto" w:fill="FFFFFF"/>
        </w:rPr>
        <w:t>I</w:t>
      </w:r>
      <w:r w:rsidR="00AB678C">
        <w:rPr>
          <w:rStyle w:val="normaltextrun"/>
          <w:rFonts w:ascii="Calibri" w:hAnsi="Calibri" w:cs="Calibri"/>
          <w:color w:val="000000"/>
          <w:shd w:val="clear" w:color="auto" w:fill="FFFFFF"/>
        </w:rPr>
        <w:t>V</w:t>
      </w:r>
      <w:r w:rsidR="000C3A1C">
        <w:rPr>
          <w:rStyle w:val="normaltextrun"/>
          <w:rFonts w:ascii="Calibri" w:hAnsi="Calibri" w:cs="Calibri"/>
          <w:color w:val="000000"/>
          <w:shd w:val="clear" w:color="auto" w:fill="FFFFFF"/>
        </w:rPr>
        <w:t xml:space="preserve">, Table </w:t>
      </w:r>
      <w:r w:rsidR="00AB678C">
        <w:rPr>
          <w:rStyle w:val="normaltextrun"/>
          <w:rFonts w:ascii="Calibri" w:hAnsi="Calibri" w:cs="Calibri"/>
          <w:color w:val="000000"/>
          <w:shd w:val="clear" w:color="auto" w:fill="FFFFFF"/>
        </w:rPr>
        <w:t>B</w:t>
      </w:r>
      <w:r w:rsidR="000C3A1C">
        <w:rPr>
          <w:rStyle w:val="normaltextrun"/>
          <w:rFonts w:ascii="Calibri" w:hAnsi="Calibri" w:cs="Calibri"/>
          <w:color w:val="000000"/>
          <w:shd w:val="clear" w:color="auto" w:fill="FFFFFF"/>
        </w:rPr>
        <w:t xml:space="preserve"> of this </w:t>
      </w:r>
      <w:r w:rsidR="0098259A">
        <w:rPr>
          <w:rStyle w:val="normaltextrun"/>
          <w:rFonts w:ascii="Calibri" w:hAnsi="Calibri" w:cs="Calibri"/>
          <w:color w:val="000000"/>
          <w:shd w:val="clear" w:color="auto" w:fill="FFFFFF"/>
        </w:rPr>
        <w:t>Guideline</w:t>
      </w:r>
      <w:r w:rsidRPr="00C3525C">
        <w:rPr>
          <w:rStyle w:val="normaltextrun"/>
          <w:rFonts w:ascii="Calibri" w:hAnsi="Calibri" w:cs="Calibri"/>
          <w:color w:val="000000"/>
          <w:shd w:val="clear" w:color="auto" w:fill="FFFFFF"/>
        </w:rPr>
        <w:t xml:space="preserve">. Any necessary equipment can be included in the electrician bid or can be requested </w:t>
      </w:r>
      <w:r w:rsidRPr="00C3525C">
        <w:rPr>
          <w:rStyle w:val="normaltextrun"/>
          <w:rFonts w:ascii="Calibri" w:hAnsi="Calibri" w:cs="Calibri"/>
          <w:color w:val="000000"/>
          <w:bdr w:val="none" w:sz="0" w:space="0" w:color="auto" w:frame="1"/>
        </w:rPr>
        <w:t>separately through VEH102 or other approved methods. Bids for other equipment should also follow the criteria DOER has developed below</w:t>
      </w:r>
      <w:r w:rsidR="009215C2">
        <w:rPr>
          <w:rStyle w:val="normaltextrun"/>
          <w:rFonts w:ascii="Calibri" w:hAnsi="Calibri" w:cs="Calibri"/>
          <w:color w:val="000000"/>
          <w:bdr w:val="none" w:sz="0" w:space="0" w:color="auto" w:frame="1"/>
        </w:rPr>
        <w:t xml:space="preserve"> in Section</w:t>
      </w:r>
      <w:r w:rsidR="00051E4A">
        <w:rPr>
          <w:rStyle w:val="normaltextrun"/>
          <w:rFonts w:ascii="Calibri" w:hAnsi="Calibri" w:cs="Calibri"/>
          <w:color w:val="000000"/>
          <w:bdr w:val="none" w:sz="0" w:space="0" w:color="auto" w:frame="1"/>
        </w:rPr>
        <w:t xml:space="preserve"> XI</w:t>
      </w:r>
      <w:r w:rsidR="008F0588">
        <w:rPr>
          <w:rStyle w:val="normaltextrun"/>
          <w:rFonts w:ascii="Calibri" w:hAnsi="Calibri" w:cs="Calibri"/>
          <w:color w:val="000000"/>
          <w:bdr w:val="none" w:sz="0" w:space="0" w:color="auto" w:frame="1"/>
        </w:rPr>
        <w:t>V</w:t>
      </w:r>
      <w:r w:rsidR="00051E4A">
        <w:rPr>
          <w:rStyle w:val="normaltextrun"/>
          <w:rFonts w:ascii="Calibri" w:hAnsi="Calibri" w:cs="Calibri"/>
          <w:color w:val="000000"/>
          <w:bdr w:val="none" w:sz="0" w:space="0" w:color="auto" w:frame="1"/>
        </w:rPr>
        <w:t>, Table B</w:t>
      </w:r>
      <w:r w:rsidRPr="00C3525C">
        <w:rPr>
          <w:rStyle w:val="normaltextrun"/>
          <w:rFonts w:ascii="Calibri" w:hAnsi="Calibri" w:cs="Calibri"/>
          <w:color w:val="000000"/>
          <w:bdr w:val="none" w:sz="0" w:space="0" w:color="auto" w:frame="1"/>
        </w:rPr>
        <w:t xml:space="preserve">. </w:t>
      </w:r>
    </w:p>
    <w:p w14:paraId="6980F04D" w14:textId="2A559BCA" w:rsidR="00331109" w:rsidRPr="00A752B7" w:rsidRDefault="008332DE" w:rsidP="009426D9">
      <w:r>
        <w:t xml:space="preserve">Following bid submissions, the agency will select a winning bidder and issue a preliminary award, ensuring that all costs have been included and that it aligns with the needs of the agency, this policy, and any other applicable technical requirements. </w:t>
      </w:r>
    </w:p>
    <w:p w14:paraId="78580E1D" w14:textId="77777777" w:rsidR="00A35964" w:rsidRPr="00A752B7" w:rsidRDefault="00A35964" w:rsidP="009426D9"/>
    <w:p w14:paraId="062107FD" w14:textId="6A78E7C0" w:rsidR="00E533C8" w:rsidRPr="009E7A4B" w:rsidRDefault="00E533C8" w:rsidP="000F1D4C">
      <w:pPr>
        <w:pStyle w:val="ListParagraph"/>
        <w:numPr>
          <w:ilvl w:val="0"/>
          <w:numId w:val="2"/>
        </w:numPr>
        <w:spacing w:after="0"/>
        <w:ind w:left="547"/>
        <w:rPr>
          <w:b/>
          <w:bCs/>
        </w:rPr>
      </w:pPr>
      <w:r>
        <w:rPr>
          <w:b/>
          <w:bCs/>
        </w:rPr>
        <w:t>Enrollment Process Step 5 – DOER Grant Application</w:t>
      </w:r>
      <w:r w:rsidRPr="08797A20">
        <w:rPr>
          <w:b/>
          <w:bCs/>
        </w:rPr>
        <w:t>:</w:t>
      </w:r>
    </w:p>
    <w:p w14:paraId="12C56BC0" w14:textId="4AF05EC6" w:rsidR="0050528F" w:rsidRDefault="008332DE">
      <w:pPr>
        <w:rPr>
          <w:rStyle w:val="eop"/>
          <w:rFonts w:ascii="Calibri" w:hAnsi="Calibri" w:cs="Calibri"/>
        </w:rPr>
      </w:pPr>
      <w:r w:rsidRPr="00E160BF">
        <w:rPr>
          <w:rStyle w:val="normaltextrun"/>
          <w:rFonts w:ascii="Calibri" w:hAnsi="Calibri" w:cs="Calibri"/>
        </w:rPr>
        <w:t>Once the agency is satisfied with the quote</w:t>
      </w:r>
      <w:r w:rsidR="00C83414" w:rsidRPr="00E160BF">
        <w:rPr>
          <w:rStyle w:val="normaltextrun"/>
          <w:rFonts w:ascii="Calibri" w:hAnsi="Calibri" w:cs="Calibri"/>
        </w:rPr>
        <w:t xml:space="preserve"> from the winning bidder of the bid solicitation</w:t>
      </w:r>
      <w:r w:rsidRPr="00E160BF">
        <w:rPr>
          <w:rStyle w:val="normaltextrun"/>
          <w:rFonts w:ascii="Calibri" w:hAnsi="Calibri" w:cs="Calibri"/>
        </w:rPr>
        <w:t xml:space="preserve">, they will include it in their application for a </w:t>
      </w:r>
      <w:hyperlink r:id="rId17" w:history="1">
        <w:r w:rsidRPr="00E160BF">
          <w:rPr>
            <w:rStyle w:val="Hyperlink"/>
            <w:rFonts w:ascii="Calibri" w:hAnsi="Calibri" w:cs="Calibri"/>
          </w:rPr>
          <w:t xml:space="preserve">DOER </w:t>
        </w:r>
        <w:r w:rsidR="0057174D" w:rsidRPr="00E160BF">
          <w:rPr>
            <w:rStyle w:val="Hyperlink"/>
            <w:rFonts w:ascii="Calibri" w:hAnsi="Calibri" w:cs="Calibri"/>
          </w:rPr>
          <w:t xml:space="preserve">LBE </w:t>
        </w:r>
        <w:r w:rsidR="005A78C8" w:rsidRPr="00E160BF">
          <w:rPr>
            <w:rStyle w:val="Hyperlink"/>
            <w:rFonts w:ascii="Calibri" w:hAnsi="Calibri" w:cs="Calibri"/>
          </w:rPr>
          <w:t>Fleet EV</w:t>
        </w:r>
        <w:r w:rsidR="0057174D" w:rsidRPr="00E160BF">
          <w:rPr>
            <w:rStyle w:val="Hyperlink"/>
            <w:rFonts w:ascii="Calibri" w:hAnsi="Calibri" w:cs="Calibri"/>
          </w:rPr>
          <w:t xml:space="preserve"> Charging Deployment G</w:t>
        </w:r>
        <w:r w:rsidRPr="00E160BF">
          <w:rPr>
            <w:rStyle w:val="Hyperlink"/>
            <w:rFonts w:ascii="Calibri" w:hAnsi="Calibri" w:cs="Calibri"/>
          </w:rPr>
          <w:t>rant</w:t>
        </w:r>
      </w:hyperlink>
      <w:r w:rsidRPr="00E160BF">
        <w:rPr>
          <w:rStyle w:val="normaltextrun"/>
          <w:rFonts w:ascii="Calibri" w:hAnsi="Calibri" w:cs="Calibri"/>
        </w:rPr>
        <w:t xml:space="preserve"> </w:t>
      </w:r>
      <w:r w:rsidR="00090EE1" w:rsidRPr="00E160BF">
        <w:rPr>
          <w:rStyle w:val="normaltextrun"/>
          <w:rFonts w:ascii="Calibri" w:hAnsi="Calibri" w:cs="Calibri"/>
        </w:rPr>
        <w:t>(</w:t>
      </w:r>
      <w:r w:rsidR="00BE0A79" w:rsidRPr="00E160BF">
        <w:rPr>
          <w:rStyle w:val="normaltextrun"/>
          <w:rFonts w:ascii="Calibri" w:hAnsi="Calibri" w:cs="Calibri"/>
        </w:rPr>
        <w:t xml:space="preserve">PON-ENE-2024-017) </w:t>
      </w:r>
      <w:r w:rsidRPr="00E160BF">
        <w:rPr>
          <w:rStyle w:val="normaltextrun"/>
          <w:rFonts w:ascii="Calibri" w:hAnsi="Calibri" w:cs="Calibri"/>
        </w:rPr>
        <w:t>as part of their request for funds.</w:t>
      </w:r>
      <w:r w:rsidRPr="00E160BF">
        <w:rPr>
          <w:rStyle w:val="eop"/>
          <w:rFonts w:ascii="Calibri" w:hAnsi="Calibri" w:cs="Calibri"/>
        </w:rPr>
        <w:t> </w:t>
      </w:r>
      <w:r w:rsidR="00413AAD" w:rsidRPr="00E160BF">
        <w:rPr>
          <w:rStyle w:val="eop"/>
          <w:rFonts w:ascii="Calibri" w:hAnsi="Calibri" w:cs="Calibri"/>
        </w:rPr>
        <w:t>This grant provides 100% of the equipment and installation costs</w:t>
      </w:r>
      <w:r w:rsidR="00855585">
        <w:rPr>
          <w:rStyle w:val="eop"/>
          <w:rFonts w:ascii="Calibri" w:hAnsi="Calibri" w:cs="Calibri"/>
        </w:rPr>
        <w:t xml:space="preserve">. </w:t>
      </w:r>
      <w:proofErr w:type="gramStart"/>
      <w:r w:rsidR="009870D5" w:rsidRPr="00E160BF">
        <w:rPr>
          <w:rStyle w:val="eop"/>
          <w:rFonts w:ascii="Calibri" w:hAnsi="Calibri" w:cs="Calibri"/>
        </w:rPr>
        <w:t>In order to</w:t>
      </w:r>
      <w:proofErr w:type="gramEnd"/>
      <w:r w:rsidR="009870D5" w:rsidRPr="00E160BF">
        <w:rPr>
          <w:rStyle w:val="eop"/>
          <w:rFonts w:ascii="Calibri" w:hAnsi="Calibri" w:cs="Calibri"/>
        </w:rPr>
        <w:t xml:space="preserve"> receive funding, </w:t>
      </w:r>
      <w:r w:rsidR="009870D5" w:rsidRPr="00E160BF">
        <w:rPr>
          <w:rStyle w:val="eop"/>
          <w:rFonts w:ascii="Calibri" w:hAnsi="Calibri" w:cs="Calibri"/>
        </w:rPr>
        <w:lastRenderedPageBreak/>
        <w:t xml:space="preserve">agencies will have to adhere to the </w:t>
      </w:r>
      <w:r w:rsidR="00617C2E">
        <w:rPr>
          <w:rStyle w:val="eop"/>
          <w:rFonts w:ascii="Calibri" w:hAnsi="Calibri" w:cs="Calibri"/>
        </w:rPr>
        <w:t xml:space="preserve">applicable </w:t>
      </w:r>
      <w:r w:rsidR="009870D5" w:rsidRPr="00E160BF">
        <w:rPr>
          <w:rStyle w:val="eop"/>
          <w:rFonts w:ascii="Calibri" w:hAnsi="Calibri" w:cs="Calibri"/>
        </w:rPr>
        <w:t>requirements of the DOER LBE Fleet EV Charging Deployment Grant Program Opportunity Notice.</w:t>
      </w:r>
    </w:p>
    <w:p w14:paraId="4E77BDC2" w14:textId="77777777" w:rsidR="009D7D19" w:rsidRPr="009D7D19" w:rsidRDefault="009D7D19">
      <w:pPr>
        <w:rPr>
          <w:rFonts w:ascii="Calibri" w:hAnsi="Calibri" w:cs="Calibri"/>
        </w:rPr>
      </w:pPr>
    </w:p>
    <w:p w14:paraId="282D9AE3" w14:textId="60C9DB4F" w:rsidR="008332DE" w:rsidRPr="009E7A4B" w:rsidRDefault="008332DE" w:rsidP="00021E14">
      <w:pPr>
        <w:pStyle w:val="ListParagraph"/>
        <w:numPr>
          <w:ilvl w:val="0"/>
          <w:numId w:val="2"/>
        </w:numPr>
        <w:spacing w:after="0"/>
        <w:ind w:left="576"/>
        <w:rPr>
          <w:b/>
          <w:bCs/>
        </w:rPr>
      </w:pPr>
      <w:r>
        <w:rPr>
          <w:b/>
          <w:bCs/>
        </w:rPr>
        <w:t xml:space="preserve">Enrollment Process Step </w:t>
      </w:r>
      <w:r w:rsidR="009426D9">
        <w:rPr>
          <w:b/>
          <w:bCs/>
        </w:rPr>
        <w:t>6</w:t>
      </w:r>
      <w:r>
        <w:rPr>
          <w:b/>
          <w:bCs/>
        </w:rPr>
        <w:t xml:space="preserve"> – Approval and Transfer of Funds</w:t>
      </w:r>
      <w:r w:rsidRPr="08797A20">
        <w:rPr>
          <w:b/>
          <w:bCs/>
        </w:rPr>
        <w:t>:</w:t>
      </w:r>
    </w:p>
    <w:p w14:paraId="646B9493" w14:textId="52048ADE" w:rsidR="00F52212" w:rsidRDefault="002A2D9A" w:rsidP="002006BD">
      <w:pPr>
        <w:pStyle w:val="ListParagraph"/>
        <w:spacing w:after="0"/>
        <w:ind w:left="0"/>
        <w:contextualSpacing w:val="0"/>
        <w:rPr>
          <w:rStyle w:val="normaltextrun"/>
          <w:rFonts w:ascii="Calibri" w:hAnsi="Calibri" w:cs="Calibri"/>
        </w:rPr>
      </w:pPr>
      <w:r>
        <w:rPr>
          <w:rStyle w:val="normaltextrun"/>
          <w:rFonts w:ascii="Calibri" w:hAnsi="Calibri" w:cs="Calibri"/>
        </w:rPr>
        <w:t xml:space="preserve">Upon receipt of the final </w:t>
      </w:r>
      <w:r w:rsidR="00DE1F08">
        <w:rPr>
          <w:rStyle w:val="normaltextrun"/>
          <w:rFonts w:ascii="Calibri" w:hAnsi="Calibri" w:cs="Calibri"/>
        </w:rPr>
        <w:t xml:space="preserve">grant </w:t>
      </w:r>
      <w:r>
        <w:rPr>
          <w:rStyle w:val="normaltextrun"/>
          <w:rFonts w:ascii="Calibri" w:hAnsi="Calibri" w:cs="Calibri"/>
        </w:rPr>
        <w:t>application, DOER will process the application and notify the applicant upon final approval and award. The agency will then sign a</w:t>
      </w:r>
      <w:r w:rsidR="00607C3A">
        <w:rPr>
          <w:rStyle w:val="normaltextrun"/>
          <w:rFonts w:ascii="Calibri" w:hAnsi="Calibri" w:cs="Calibri"/>
        </w:rPr>
        <w:t>n</w:t>
      </w:r>
      <w:r>
        <w:rPr>
          <w:rStyle w:val="normaltextrun"/>
          <w:rFonts w:ascii="Calibri" w:hAnsi="Calibri" w:cs="Calibri"/>
        </w:rPr>
        <w:t xml:space="preserve"> I</w:t>
      </w:r>
      <w:r w:rsidR="002006BD">
        <w:rPr>
          <w:rStyle w:val="normaltextrun"/>
          <w:rFonts w:ascii="Calibri" w:hAnsi="Calibri" w:cs="Calibri"/>
        </w:rPr>
        <w:t>nter-Agency Service Agreement (I</w:t>
      </w:r>
      <w:r>
        <w:rPr>
          <w:rStyle w:val="normaltextrun"/>
          <w:rFonts w:ascii="Calibri" w:hAnsi="Calibri" w:cs="Calibri"/>
        </w:rPr>
        <w:t>SA</w:t>
      </w:r>
      <w:r w:rsidR="002006BD">
        <w:rPr>
          <w:rStyle w:val="normaltextrun"/>
          <w:rFonts w:ascii="Calibri" w:hAnsi="Calibri" w:cs="Calibri"/>
        </w:rPr>
        <w:t>)</w:t>
      </w:r>
      <w:r>
        <w:rPr>
          <w:rStyle w:val="normaltextrun"/>
          <w:rFonts w:ascii="Calibri" w:hAnsi="Calibri" w:cs="Calibri"/>
        </w:rPr>
        <w:t xml:space="preserve"> to permit the transfer of these funds. Depending on the source of funding, the ISA may be</w:t>
      </w:r>
      <w:r w:rsidR="00B53361">
        <w:rPr>
          <w:rStyle w:val="normaltextrun"/>
          <w:rFonts w:ascii="Calibri" w:hAnsi="Calibri" w:cs="Calibri"/>
        </w:rPr>
        <w:t xml:space="preserve"> held</w:t>
      </w:r>
      <w:r>
        <w:rPr>
          <w:rStyle w:val="normaltextrun"/>
          <w:rFonts w:ascii="Calibri" w:hAnsi="Calibri" w:cs="Calibri"/>
        </w:rPr>
        <w:t xml:space="preserve"> with DOER or</w:t>
      </w:r>
      <w:r w:rsidR="00DE1F08">
        <w:rPr>
          <w:rStyle w:val="normaltextrun"/>
          <w:rFonts w:ascii="Calibri" w:hAnsi="Calibri" w:cs="Calibri"/>
        </w:rPr>
        <w:t xml:space="preserve"> </w:t>
      </w:r>
      <w:r w:rsidR="00326EEF">
        <w:rPr>
          <w:rStyle w:val="normaltextrun"/>
          <w:rFonts w:ascii="Calibri" w:hAnsi="Calibri" w:cs="Calibri"/>
        </w:rPr>
        <w:t>EOA</w:t>
      </w:r>
      <w:r w:rsidR="00DE1F08">
        <w:rPr>
          <w:rStyle w:val="normaltextrun"/>
          <w:rFonts w:ascii="Calibri" w:hAnsi="Calibri" w:cs="Calibri"/>
        </w:rPr>
        <w:t>F</w:t>
      </w:r>
      <w:r>
        <w:rPr>
          <w:rStyle w:val="normaltextrun"/>
          <w:rFonts w:ascii="Calibri" w:hAnsi="Calibri" w:cs="Calibri"/>
        </w:rPr>
        <w:t xml:space="preserve">. </w:t>
      </w:r>
    </w:p>
    <w:p w14:paraId="0BFA083A" w14:textId="77777777" w:rsidR="008A5DF0" w:rsidRDefault="008A5DF0" w:rsidP="002006BD">
      <w:pPr>
        <w:pStyle w:val="ListParagraph"/>
        <w:spacing w:after="0"/>
        <w:ind w:left="0"/>
        <w:contextualSpacing w:val="0"/>
      </w:pPr>
    </w:p>
    <w:p w14:paraId="60603B23" w14:textId="77777777" w:rsidR="00E32305" w:rsidRDefault="00C63C8D" w:rsidP="00AC4F26">
      <w:pPr>
        <w:pStyle w:val="ListParagraph"/>
        <w:numPr>
          <w:ilvl w:val="0"/>
          <w:numId w:val="2"/>
        </w:numPr>
        <w:spacing w:after="0"/>
        <w:ind w:left="648"/>
        <w:rPr>
          <w:b/>
          <w:bCs/>
        </w:rPr>
      </w:pPr>
      <w:r>
        <w:rPr>
          <w:b/>
          <w:bCs/>
        </w:rPr>
        <w:t>Enrollment Process Step</w:t>
      </w:r>
      <w:r w:rsidR="00834294">
        <w:rPr>
          <w:b/>
          <w:bCs/>
        </w:rPr>
        <w:t xml:space="preserve"> 7</w:t>
      </w:r>
      <w:r>
        <w:rPr>
          <w:b/>
          <w:bCs/>
        </w:rPr>
        <w:t xml:space="preserve"> –</w:t>
      </w:r>
      <w:r w:rsidR="00834294">
        <w:rPr>
          <w:b/>
          <w:bCs/>
        </w:rPr>
        <w:t xml:space="preserve"> Project Implementation</w:t>
      </w:r>
      <w:r w:rsidRPr="08797A20">
        <w:rPr>
          <w:b/>
          <w:bCs/>
        </w:rPr>
        <w:t>:</w:t>
      </w:r>
    </w:p>
    <w:p w14:paraId="45DBEAEB" w14:textId="121A5ADC" w:rsidR="00F52212" w:rsidRPr="00E32305" w:rsidRDefault="00F52212" w:rsidP="00E32305">
      <w:pPr>
        <w:spacing w:after="0"/>
        <w:rPr>
          <w:rStyle w:val="normaltextrun"/>
          <w:b/>
          <w:bCs/>
        </w:rPr>
      </w:pPr>
      <w:r w:rsidRPr="00E32305">
        <w:rPr>
          <w:rStyle w:val="normaltextrun"/>
          <w:rFonts w:ascii="Calibri" w:hAnsi="Calibri" w:cs="Calibri"/>
        </w:rPr>
        <w:t>Agencies may only issue a notice to proceed to the vendor upon signature of the ISA. </w:t>
      </w:r>
      <w:r w:rsidRPr="00F52212">
        <w:rPr>
          <w:rStyle w:val="normaltextrun"/>
        </w:rPr>
        <w:t> </w:t>
      </w:r>
    </w:p>
    <w:p w14:paraId="717AA79F" w14:textId="045F20DB" w:rsidR="00B768ED" w:rsidRDefault="002F39C1" w:rsidP="00F52212">
      <w:pPr>
        <w:pStyle w:val="ListParagraph"/>
        <w:spacing w:after="0"/>
        <w:ind w:left="0"/>
        <w:contextualSpacing w:val="0"/>
        <w:rPr>
          <w:rStyle w:val="normaltextrun"/>
          <w:rFonts w:ascii="Calibri" w:hAnsi="Calibri" w:cs="Calibri"/>
        </w:rPr>
      </w:pPr>
      <w:r w:rsidRPr="00F52212">
        <w:rPr>
          <w:rStyle w:val="normaltextrun"/>
          <w:rFonts w:ascii="Calibri" w:hAnsi="Calibri" w:cs="Calibri"/>
        </w:rPr>
        <w:t>Upon completion</w:t>
      </w:r>
      <w:r w:rsidR="005A7596" w:rsidRPr="00F52212">
        <w:rPr>
          <w:rStyle w:val="normaltextrun"/>
          <w:rFonts w:ascii="Calibri" w:hAnsi="Calibri" w:cs="Calibri"/>
        </w:rPr>
        <w:t xml:space="preserve"> of the project</w:t>
      </w:r>
      <w:r w:rsidRPr="00F52212">
        <w:rPr>
          <w:rStyle w:val="normaltextrun"/>
          <w:rFonts w:ascii="Calibri" w:hAnsi="Calibri" w:cs="Calibri"/>
        </w:rPr>
        <w:t>, the agency shall notify DOER</w:t>
      </w:r>
      <w:r w:rsidR="00DD2767" w:rsidRPr="00F52212">
        <w:rPr>
          <w:rStyle w:val="normaltextrun"/>
          <w:rFonts w:ascii="Calibri" w:hAnsi="Calibri" w:cs="Calibri"/>
        </w:rPr>
        <w:t xml:space="preserve"> of the status of the project</w:t>
      </w:r>
      <w:r w:rsidR="00E617EA" w:rsidRPr="00F52212">
        <w:rPr>
          <w:rStyle w:val="normaltextrun"/>
          <w:rFonts w:ascii="Calibri" w:hAnsi="Calibri" w:cs="Calibri"/>
        </w:rPr>
        <w:t>, as well as any challenges that arose.</w:t>
      </w:r>
    </w:p>
    <w:p w14:paraId="273BFB48" w14:textId="77777777" w:rsidR="00540590" w:rsidRPr="00F52212" w:rsidRDefault="00540590" w:rsidP="00F52212">
      <w:pPr>
        <w:pStyle w:val="ListParagraph"/>
        <w:spacing w:after="0"/>
        <w:ind w:left="0"/>
        <w:contextualSpacing w:val="0"/>
        <w:rPr>
          <w:rStyle w:val="normaltextrun"/>
          <w:rFonts w:ascii="Calibri" w:hAnsi="Calibri" w:cs="Calibri"/>
        </w:rPr>
      </w:pPr>
    </w:p>
    <w:p w14:paraId="3D07D1A7" w14:textId="46B702AB" w:rsidR="0079791E" w:rsidRPr="00A752B7" w:rsidRDefault="009B4593" w:rsidP="009D7D19">
      <w:pPr>
        <w:pStyle w:val="ListParagraph"/>
        <w:numPr>
          <w:ilvl w:val="0"/>
          <w:numId w:val="2"/>
        </w:numPr>
        <w:spacing w:after="0"/>
        <w:ind w:left="691"/>
        <w:rPr>
          <w:b/>
          <w:bCs/>
        </w:rPr>
      </w:pPr>
      <w:r>
        <w:rPr>
          <w:b/>
          <w:bCs/>
        </w:rPr>
        <w:t xml:space="preserve">Available Funding and </w:t>
      </w:r>
      <w:r w:rsidR="0079791E">
        <w:rPr>
          <w:b/>
          <w:bCs/>
        </w:rPr>
        <w:t>Eligible Costs</w:t>
      </w:r>
      <w:r w:rsidR="0079791E" w:rsidRPr="08797A20">
        <w:rPr>
          <w:b/>
          <w:bCs/>
        </w:rPr>
        <w:t>:</w:t>
      </w:r>
    </w:p>
    <w:p w14:paraId="732187C0" w14:textId="01E88255" w:rsidR="003F4F17" w:rsidRDefault="00383862" w:rsidP="003F4F17">
      <w:r>
        <w:t xml:space="preserve">To ensure the efficient use of state dollars, domicile EV users </w:t>
      </w:r>
      <w:r w:rsidR="00473CE0">
        <w:t xml:space="preserve">and agencies </w:t>
      </w:r>
      <w:r>
        <w:t>participat</w:t>
      </w:r>
      <w:r w:rsidR="00473CE0">
        <w:t>ing</w:t>
      </w:r>
      <w:r>
        <w:t xml:space="preserve"> in this pilot program will adhere to </w:t>
      </w:r>
      <w:r w:rsidR="004E7D49">
        <w:t xml:space="preserve">acceptable charging elements </w:t>
      </w:r>
      <w:r w:rsidR="00D60FAF">
        <w:t xml:space="preserve">under this policy (Section XIII, Table A) and </w:t>
      </w:r>
      <w:r>
        <w:t xml:space="preserve">the following charging </w:t>
      </w:r>
      <w:r w:rsidR="009528EA">
        <w:t>station acquisition</w:t>
      </w:r>
      <w:r>
        <w:t xml:space="preserve"> hierarchy</w:t>
      </w:r>
      <w:r w:rsidR="009528EA">
        <w:t>:</w:t>
      </w:r>
    </w:p>
    <w:p w14:paraId="532CEF6F" w14:textId="3D2D0EDB" w:rsidR="00992531" w:rsidRDefault="00AB174D" w:rsidP="00992531">
      <w:pPr>
        <w:pStyle w:val="ListParagraph"/>
        <w:numPr>
          <w:ilvl w:val="0"/>
          <w:numId w:val="7"/>
        </w:numPr>
      </w:pPr>
      <w:r>
        <w:t xml:space="preserve">Level of Charge </w:t>
      </w:r>
      <w:r w:rsidR="00F569B3">
        <w:t>based on vehicle type</w:t>
      </w:r>
      <w:r w:rsidR="00274E72">
        <w:t>:</w:t>
      </w:r>
    </w:p>
    <w:p w14:paraId="21481F0C" w14:textId="061ADEB4" w:rsidR="006755B4" w:rsidRDefault="00F12C27" w:rsidP="00743F63">
      <w:pPr>
        <w:pStyle w:val="ListParagraph"/>
        <w:numPr>
          <w:ilvl w:val="1"/>
          <w:numId w:val="9"/>
        </w:numPr>
      </w:pPr>
      <w:r>
        <w:t xml:space="preserve">Fully battery electric vehicle: </w:t>
      </w:r>
      <w:r w:rsidR="00F569B3">
        <w:t>I</w:t>
      </w:r>
      <w:r>
        <w:t xml:space="preserve">nstall Level 2 charging </w:t>
      </w:r>
      <w:r w:rsidR="006E0313">
        <w:t>capability</w:t>
      </w:r>
      <w:r w:rsidR="00F569B3">
        <w:t>.</w:t>
      </w:r>
    </w:p>
    <w:p w14:paraId="5C270055" w14:textId="02FA2364" w:rsidR="00F12C27" w:rsidRDefault="00F12C27" w:rsidP="00743F63">
      <w:pPr>
        <w:pStyle w:val="ListParagraph"/>
        <w:numPr>
          <w:ilvl w:val="1"/>
          <w:numId w:val="9"/>
        </w:numPr>
      </w:pPr>
      <w:r>
        <w:t xml:space="preserve">Plug-in hybrid vehicle: </w:t>
      </w:r>
      <w:r w:rsidR="00F569B3">
        <w:t>I</w:t>
      </w:r>
      <w:r w:rsidR="00EE5108">
        <w:t xml:space="preserve">nstall Level 1 charging </w:t>
      </w:r>
      <w:r w:rsidR="006E0313">
        <w:t xml:space="preserve">capability </w:t>
      </w:r>
      <w:r w:rsidR="00EE5108">
        <w:t xml:space="preserve">and agree to plug in </w:t>
      </w:r>
      <w:r w:rsidR="00AD3482">
        <w:t xml:space="preserve">the domicile vehicle </w:t>
      </w:r>
      <w:r w:rsidR="00EE5108">
        <w:t>every day that it is in use</w:t>
      </w:r>
      <w:r w:rsidR="00F569B3">
        <w:t xml:space="preserve">. </w:t>
      </w:r>
    </w:p>
    <w:p w14:paraId="15069423" w14:textId="77777777" w:rsidR="000F3BFA" w:rsidRDefault="000F3BFA" w:rsidP="000F3BFA">
      <w:pPr>
        <w:pStyle w:val="ListParagraph"/>
        <w:ind w:left="1440"/>
      </w:pPr>
    </w:p>
    <w:p w14:paraId="246DD348" w14:textId="0CC9F577" w:rsidR="00EE5108" w:rsidRDefault="00EE5108" w:rsidP="00EE5108">
      <w:pPr>
        <w:pStyle w:val="ListParagraph"/>
        <w:numPr>
          <w:ilvl w:val="0"/>
          <w:numId w:val="7"/>
        </w:numPr>
      </w:pPr>
      <w:r>
        <w:t>Type of Charging Equipment Hierarchy</w:t>
      </w:r>
      <w:r w:rsidR="009051EC">
        <w:t xml:space="preserve"> (specifications can be found </w:t>
      </w:r>
      <w:r w:rsidR="007B4C38">
        <w:t>in Section XI</w:t>
      </w:r>
      <w:r w:rsidR="00B75724">
        <w:t>V</w:t>
      </w:r>
      <w:r w:rsidR="000D1842">
        <w:t xml:space="preserve">, </w:t>
      </w:r>
      <w:r w:rsidR="00DD041E">
        <w:t>Table B</w:t>
      </w:r>
      <w:r w:rsidR="009051EC">
        <w:t>)</w:t>
      </w:r>
    </w:p>
    <w:p w14:paraId="1945B817" w14:textId="35DBD90E" w:rsidR="00EE5108" w:rsidRDefault="00AA6821" w:rsidP="00743F63">
      <w:pPr>
        <w:pStyle w:val="ListParagraph"/>
        <w:numPr>
          <w:ilvl w:val="1"/>
          <w:numId w:val="10"/>
        </w:numPr>
      </w:pPr>
      <w:r>
        <w:t xml:space="preserve">Outlets: </w:t>
      </w:r>
      <w:r w:rsidR="00B7652D">
        <w:t>If participants have access to interior parking or fully protected outdoor parking, the</w:t>
      </w:r>
      <w:r>
        <w:t xml:space="preserve"> </w:t>
      </w:r>
      <w:proofErr w:type="gramStart"/>
      <w:r>
        <w:t>bid</w:t>
      </w:r>
      <w:proofErr w:type="gramEnd"/>
      <w:r>
        <w:t xml:space="preserve"> must request a licensed electrician to install </w:t>
      </w:r>
      <w:r w:rsidR="00EE7736">
        <w:t xml:space="preserve">the applicable </w:t>
      </w:r>
      <w:r>
        <w:t xml:space="preserve">Level 1 or Level 2 outlet that meets the specifications described </w:t>
      </w:r>
      <w:r w:rsidR="00DD041E">
        <w:t xml:space="preserve">in </w:t>
      </w:r>
      <w:r w:rsidR="00203B11">
        <w:t>Section XI</w:t>
      </w:r>
      <w:r w:rsidR="00BB1F0F">
        <w:t>V</w:t>
      </w:r>
      <w:r w:rsidR="00203B11">
        <w:t xml:space="preserve">, </w:t>
      </w:r>
      <w:r w:rsidR="00DD041E">
        <w:t>Table B</w:t>
      </w:r>
      <w:r>
        <w:t xml:space="preserve">. This </w:t>
      </w:r>
      <w:r w:rsidR="004C79D6">
        <w:t xml:space="preserve">outlet </w:t>
      </w:r>
      <w:r>
        <w:t xml:space="preserve">is to be utilized with the charging cord that comes with the vehicle. If </w:t>
      </w:r>
      <w:r w:rsidR="001A573B">
        <w:t>the vehicle does not come with a charging cord</w:t>
      </w:r>
      <w:r w:rsidR="004C79D6">
        <w:t xml:space="preserve">, agencies may purchase a </w:t>
      </w:r>
      <w:r w:rsidR="00FF4ED8">
        <w:t>cord separately or</w:t>
      </w:r>
      <w:r w:rsidR="00A5251A">
        <w:t xml:space="preserve"> </w:t>
      </w:r>
      <w:r w:rsidR="000D472C">
        <w:t xml:space="preserve">adhere to </w:t>
      </w:r>
      <w:r w:rsidR="00A5251A">
        <w:t xml:space="preserve">the </w:t>
      </w:r>
      <w:r w:rsidR="00EA2430">
        <w:t>options below.</w:t>
      </w:r>
      <w:r w:rsidR="00507FDD">
        <w:t xml:space="preserve"> </w:t>
      </w:r>
      <w:r w:rsidR="00411018">
        <w:t xml:space="preserve">Any electrical upgrades, outlets, and/or internal wiring </w:t>
      </w:r>
      <w:r w:rsidR="00E71D66">
        <w:t xml:space="preserve">installed through this pilot </w:t>
      </w:r>
      <w:r w:rsidR="00507FDD">
        <w:t xml:space="preserve">will be </w:t>
      </w:r>
      <w:r w:rsidR="005F7B6A">
        <w:t xml:space="preserve">property of the </w:t>
      </w:r>
      <w:r w:rsidR="00DE3E03">
        <w:t>homeowner</w:t>
      </w:r>
      <w:r w:rsidR="000854F5">
        <w:t>.</w:t>
      </w:r>
      <w:r w:rsidR="00E50EDA" w:rsidRPr="00E50EDA">
        <w:t xml:space="preserve"> </w:t>
      </w:r>
      <w:r w:rsidR="00E50EDA">
        <w:t>The agency shall be responsible for any repairs and maintenance that may be required but the employee is responsible</w:t>
      </w:r>
      <w:r w:rsidR="00BB1F0F">
        <w:t xml:space="preserve"> for</w:t>
      </w:r>
      <w:r w:rsidR="00E50EDA">
        <w:t xml:space="preserve"> </w:t>
      </w:r>
      <w:r w:rsidR="00CF5CE1">
        <w:t xml:space="preserve">periodically </w:t>
      </w:r>
      <w:r w:rsidR="009A3A4E">
        <w:t xml:space="preserve">conducting </w:t>
      </w:r>
      <w:r w:rsidR="00032195">
        <w:t xml:space="preserve">a visual </w:t>
      </w:r>
      <w:r w:rsidR="00E50EDA">
        <w:t>inspect</w:t>
      </w:r>
      <w:r w:rsidR="00032195">
        <w:t>ion to</w:t>
      </w:r>
      <w:r w:rsidR="00E50EDA">
        <w:t xml:space="preserve"> ensure the </w:t>
      </w:r>
      <w:r w:rsidR="00473BC1">
        <w:t>outlets are</w:t>
      </w:r>
      <w:r w:rsidR="00E50EDA">
        <w:t xml:space="preserve"> in work</w:t>
      </w:r>
      <w:r w:rsidR="00032195">
        <w:t>ing</w:t>
      </w:r>
      <w:r w:rsidR="00E50EDA">
        <w:t xml:space="preserve"> condition</w:t>
      </w:r>
      <w:r w:rsidR="009A3A4E">
        <w:t xml:space="preserve"> and to immediately report any damage to their agency</w:t>
      </w:r>
      <w:r w:rsidR="00E50EDA">
        <w:t>. If the domicile EV user</w:t>
      </w:r>
      <w:r w:rsidR="005B38AD">
        <w:t xml:space="preserve"> were to </w:t>
      </w:r>
      <w:r w:rsidR="001801EA">
        <w:t xml:space="preserve">cease state employment or were to no longer require a domicile vehicle, </w:t>
      </w:r>
      <w:r w:rsidR="00B60C34">
        <w:rPr>
          <w:rFonts w:ascii="Calibri" w:hAnsi="Calibri" w:cs="Calibri"/>
        </w:rPr>
        <w:t xml:space="preserve">any maintenance or repair and associated costs </w:t>
      </w:r>
      <w:r w:rsidR="00571498">
        <w:rPr>
          <w:rFonts w:ascii="Calibri" w:hAnsi="Calibri" w:cs="Calibri"/>
        </w:rPr>
        <w:t xml:space="preserve">for </w:t>
      </w:r>
      <w:r w:rsidR="00AE4898">
        <w:rPr>
          <w:rFonts w:ascii="Calibri" w:hAnsi="Calibri" w:cs="Calibri"/>
        </w:rPr>
        <w:t xml:space="preserve">charging outlet and internal wiring </w:t>
      </w:r>
      <w:r w:rsidR="00B60C34">
        <w:rPr>
          <w:rFonts w:ascii="Calibri" w:hAnsi="Calibri" w:cs="Calibri"/>
        </w:rPr>
        <w:t>would be</w:t>
      </w:r>
      <w:r w:rsidR="00032195">
        <w:rPr>
          <w:rFonts w:ascii="Calibri" w:hAnsi="Calibri" w:cs="Calibri"/>
        </w:rPr>
        <w:t>come</w:t>
      </w:r>
      <w:r w:rsidR="00B60C34">
        <w:rPr>
          <w:rFonts w:ascii="Calibri" w:hAnsi="Calibri" w:cs="Calibri"/>
        </w:rPr>
        <w:t xml:space="preserve"> the responsibility of the </w:t>
      </w:r>
      <w:r w:rsidR="00571498">
        <w:rPr>
          <w:rFonts w:ascii="Calibri" w:hAnsi="Calibri" w:cs="Calibri"/>
        </w:rPr>
        <w:t xml:space="preserve">employee. </w:t>
      </w:r>
    </w:p>
    <w:p w14:paraId="3DCD487F" w14:textId="5D17E1C0" w:rsidR="00AA6821" w:rsidRDefault="00AA6821" w:rsidP="00743F63">
      <w:pPr>
        <w:pStyle w:val="ListParagraph"/>
        <w:numPr>
          <w:ilvl w:val="1"/>
          <w:numId w:val="10"/>
        </w:numPr>
      </w:pPr>
      <w:r>
        <w:t>Plug</w:t>
      </w:r>
      <w:r w:rsidR="00B75724">
        <w:t>-</w:t>
      </w:r>
      <w:r>
        <w:t>in Charging Station:</w:t>
      </w:r>
      <w:r w:rsidR="00BE5FA2">
        <w:t xml:space="preserve"> If interior parking or fully protected outdoor parking is not available or if the vehicle does not come with a charging cord, </w:t>
      </w:r>
      <w:r w:rsidR="00C96A09">
        <w:t xml:space="preserve">agencies may elect to install an outlet </w:t>
      </w:r>
      <w:r w:rsidR="008B0F7E">
        <w:t xml:space="preserve">(Level 1 or Level 2 dependent on the vehicle type as described above) </w:t>
      </w:r>
      <w:r w:rsidR="009051EC">
        <w:t>and a portable plug-in residential grade charger</w:t>
      </w:r>
      <w:r w:rsidR="000A1765">
        <w:t xml:space="preserve"> for use with </w:t>
      </w:r>
      <w:r w:rsidR="00BE4531">
        <w:t>circuits up to 50 amps</w:t>
      </w:r>
      <w:r w:rsidR="009051EC">
        <w:t>. If this plug-in station is to be installed outside, it must be all</w:t>
      </w:r>
      <w:r w:rsidR="002F08B2">
        <w:t>-</w:t>
      </w:r>
      <w:r w:rsidR="009051EC">
        <w:t>weather rated.</w:t>
      </w:r>
      <w:r w:rsidR="00425237">
        <w:t xml:space="preserve"> </w:t>
      </w:r>
      <w:r w:rsidR="009051EC">
        <w:t xml:space="preserve">The charger must be mounted to the side of </w:t>
      </w:r>
      <w:proofErr w:type="gramStart"/>
      <w:r w:rsidR="009051EC">
        <w:t>participant</w:t>
      </w:r>
      <w:r w:rsidR="00D41EDA">
        <w:t>’</w:t>
      </w:r>
      <w:r w:rsidR="009051EC">
        <w:t>s</w:t>
      </w:r>
      <w:proofErr w:type="gramEnd"/>
      <w:r w:rsidR="009051EC">
        <w:t xml:space="preserve"> home or to the wall of their garage. </w:t>
      </w:r>
      <w:r w:rsidR="00DA1D35">
        <w:t xml:space="preserve">Any external </w:t>
      </w:r>
      <w:r w:rsidR="000C7746">
        <w:t xml:space="preserve">plug-in </w:t>
      </w:r>
      <w:r w:rsidR="00DA1D35">
        <w:t xml:space="preserve">equipment, including but not limited to plug-in charging stations and/or charging </w:t>
      </w:r>
      <w:proofErr w:type="gramStart"/>
      <w:r w:rsidR="00DA1D35">
        <w:t>cords,</w:t>
      </w:r>
      <w:proofErr w:type="gramEnd"/>
      <w:r w:rsidR="00DA1D35">
        <w:t xml:space="preserve"> acquired through this pilot will be the property of the Commonwealth.</w:t>
      </w:r>
      <w:r w:rsidR="000854F5">
        <w:t xml:space="preserve"> </w:t>
      </w:r>
    </w:p>
    <w:p w14:paraId="11C5B833" w14:textId="10814E8A" w:rsidR="00EF4CEA" w:rsidRDefault="00FB1953" w:rsidP="00EF4CEA">
      <w:pPr>
        <w:pStyle w:val="ListParagraph"/>
        <w:numPr>
          <w:ilvl w:val="1"/>
          <w:numId w:val="10"/>
        </w:numPr>
      </w:pPr>
      <w:r w:rsidRPr="008E14B9">
        <w:lastRenderedPageBreak/>
        <w:t xml:space="preserve">Hard-wired Charging Station: </w:t>
      </w:r>
      <w:r w:rsidR="00070F9D" w:rsidRPr="008E14B9">
        <w:t>In</w:t>
      </w:r>
      <w:r w:rsidR="00070F9D">
        <w:t xml:space="preserve"> certain circumstances where the above equipment options are not sufficient, </w:t>
      </w:r>
      <w:r w:rsidR="00666F90">
        <w:t>applicants may request installation of a hard-wired Level 2 charger, including those with</w:t>
      </w:r>
      <w:r w:rsidR="003D79D4">
        <w:t xml:space="preserve"> the ability to deliver</w:t>
      </w:r>
      <w:r w:rsidR="00944056">
        <w:t xml:space="preserve"> a higher ampera</w:t>
      </w:r>
      <w:r w:rsidR="00F3687F">
        <w:t>g</w:t>
      </w:r>
      <w:r w:rsidR="00944056">
        <w:t xml:space="preserve">e than the maximum </w:t>
      </w:r>
      <w:r w:rsidR="00F3687F">
        <w:t xml:space="preserve">amperage </w:t>
      </w:r>
      <w:r w:rsidR="00944056">
        <w:t>listed</w:t>
      </w:r>
      <w:r w:rsidR="00F3687F">
        <w:t xml:space="preserve"> in Table B</w:t>
      </w:r>
      <w:r w:rsidR="00617C2E">
        <w:t>.</w:t>
      </w:r>
      <w:r w:rsidR="00944056">
        <w:t xml:space="preserve"> </w:t>
      </w:r>
      <w:r w:rsidR="00D04C09">
        <w:t xml:space="preserve">DOER in its sole discretion reserves the right to review and approve or deny such requests. </w:t>
      </w:r>
      <w:r w:rsidR="002A42EA">
        <w:t xml:space="preserve">Examples of circumstances where DOER may approve such requests include </w:t>
      </w:r>
      <w:proofErr w:type="gramStart"/>
      <w:r w:rsidR="002A42EA">
        <w:t>emergency</w:t>
      </w:r>
      <w:proofErr w:type="gramEnd"/>
      <w:r w:rsidR="002A42EA">
        <w:t xml:space="preserve"> or other vehicles </w:t>
      </w:r>
      <w:r w:rsidR="00EF0A8B">
        <w:t xml:space="preserve">that operate outside of business hours and may require additional charging </w:t>
      </w:r>
      <w:r w:rsidR="004A2725">
        <w:t>capacity to meet operational requirements</w:t>
      </w:r>
      <w:r w:rsidR="00F3687F">
        <w:t>,</w:t>
      </w:r>
      <w:r w:rsidR="00D04C09">
        <w:t xml:space="preserve"> or </w:t>
      </w:r>
      <w:r w:rsidR="00780337">
        <w:t xml:space="preserve">physical conditions that require a hard-wired charger. </w:t>
      </w:r>
      <w:r w:rsidR="00CD2A32">
        <w:t xml:space="preserve">As described in Section </w:t>
      </w:r>
      <w:r w:rsidR="00906D5D">
        <w:t xml:space="preserve">VIII, </w:t>
      </w:r>
      <w:r w:rsidR="00D21210">
        <w:t>i</w:t>
      </w:r>
      <w:r w:rsidR="00D21210" w:rsidRPr="00D21210">
        <w:t>f an agency is seeking approval to install a hard-wired Level 2 charger, the agency must request and receive approval from DOER prior to proceeding with any procurements or grant applications. Applicants should indicate they are seeking this approval and provide their justification using the appropriate dropdown menu and free-form field in the</w:t>
      </w:r>
      <w:r w:rsidR="00CC555C">
        <w:t xml:space="preserve"> grant</w:t>
      </w:r>
      <w:r w:rsidR="00D21210" w:rsidRPr="00D21210">
        <w:t xml:space="preserve"> application.</w:t>
      </w:r>
      <w:r w:rsidR="00D21210">
        <w:t xml:space="preserve"> </w:t>
      </w:r>
    </w:p>
    <w:p w14:paraId="1ADFE1EB" w14:textId="76642B29" w:rsidR="00F45E60" w:rsidRDefault="00F45E60" w:rsidP="00F45E60">
      <w:r>
        <w:t>This policy authorizes funding up to $5,000</w:t>
      </w:r>
      <w:r w:rsidR="00E56B51">
        <w:rPr>
          <w:rStyle w:val="FootnoteReference"/>
        </w:rPr>
        <w:footnoteReference w:id="3"/>
      </w:r>
      <w:r>
        <w:t xml:space="preserve"> per installation, </w:t>
      </w:r>
      <w:r w:rsidR="00B20CFC">
        <w:t xml:space="preserve">only </w:t>
      </w:r>
      <w:r>
        <w:t xml:space="preserve">for the following charging elements: </w:t>
      </w:r>
    </w:p>
    <w:p w14:paraId="4440449A" w14:textId="3233F3F6" w:rsidR="002A66A1" w:rsidRPr="00A23140" w:rsidRDefault="002A66A1" w:rsidP="00F45E60">
      <w:pPr>
        <w:rPr>
          <w:b/>
          <w:bCs/>
          <w:i/>
          <w:iCs/>
        </w:rPr>
      </w:pPr>
      <w:r w:rsidRPr="00A23140">
        <w:rPr>
          <w:b/>
          <w:bCs/>
          <w:i/>
          <w:iCs/>
        </w:rPr>
        <w:t xml:space="preserve">Table A. </w:t>
      </w:r>
      <w:r w:rsidR="00DD041E" w:rsidRPr="00A23140">
        <w:rPr>
          <w:b/>
          <w:bCs/>
          <w:i/>
          <w:iCs/>
        </w:rPr>
        <w:t>Acceptable charging elements under this policy</w:t>
      </w:r>
    </w:p>
    <w:tbl>
      <w:tblPr>
        <w:tblStyle w:val="TableGrid"/>
        <w:tblW w:w="0" w:type="auto"/>
        <w:tblLook w:val="04A0" w:firstRow="1" w:lastRow="0" w:firstColumn="1" w:lastColumn="0" w:noHBand="0" w:noVBand="1"/>
      </w:tblPr>
      <w:tblGrid>
        <w:gridCol w:w="3235"/>
        <w:gridCol w:w="6115"/>
      </w:tblGrid>
      <w:tr w:rsidR="008175B6" w14:paraId="18CBEFD6" w14:textId="77777777" w:rsidTr="00667993">
        <w:tc>
          <w:tcPr>
            <w:tcW w:w="3235" w:type="dxa"/>
          </w:tcPr>
          <w:p w14:paraId="2588F6B8" w14:textId="77777777" w:rsidR="008175B6" w:rsidRPr="00DD2768" w:rsidRDefault="008175B6" w:rsidP="00DD2768">
            <w:pPr>
              <w:jc w:val="center"/>
              <w:rPr>
                <w:b/>
              </w:rPr>
            </w:pPr>
            <w:r w:rsidRPr="00DD2768">
              <w:rPr>
                <w:b/>
              </w:rPr>
              <w:t>Charging Capability/Equipment Type</w:t>
            </w:r>
          </w:p>
        </w:tc>
        <w:tc>
          <w:tcPr>
            <w:tcW w:w="6115" w:type="dxa"/>
          </w:tcPr>
          <w:p w14:paraId="126DC930" w14:textId="77777777" w:rsidR="008175B6" w:rsidRPr="00DD2768" w:rsidRDefault="008175B6" w:rsidP="00DD2768">
            <w:pPr>
              <w:jc w:val="center"/>
              <w:rPr>
                <w:b/>
              </w:rPr>
            </w:pPr>
            <w:r w:rsidRPr="00DD2768">
              <w:rPr>
                <w:b/>
              </w:rPr>
              <w:t>Parameters</w:t>
            </w:r>
          </w:p>
        </w:tc>
      </w:tr>
      <w:tr w:rsidR="00DD2768" w:rsidRPr="00F84A7D" w14:paraId="1C2F281C" w14:textId="77777777" w:rsidTr="00B20CFC">
        <w:tc>
          <w:tcPr>
            <w:tcW w:w="9350" w:type="dxa"/>
            <w:gridSpan w:val="2"/>
            <w:shd w:val="clear" w:color="auto" w:fill="E7E6E6" w:themeFill="background2"/>
          </w:tcPr>
          <w:p w14:paraId="2E9287B1" w14:textId="77777777" w:rsidR="00DD2768" w:rsidRDefault="00DD2768">
            <w:pPr>
              <w:rPr>
                <w:rStyle w:val="normaltextrun"/>
                <w:rFonts w:ascii="Calibri" w:hAnsi="Calibri" w:cs="Calibri"/>
              </w:rPr>
            </w:pPr>
            <w:r>
              <w:rPr>
                <w:rStyle w:val="normaltextrun"/>
                <w:rFonts w:ascii="Calibri" w:hAnsi="Calibri" w:cs="Calibri"/>
              </w:rPr>
              <w:t xml:space="preserve">Any necessary installation costs associated with the equipment listed below, such as certain electrical upgrades, installation of wiring or </w:t>
            </w:r>
            <w:proofErr w:type="gramStart"/>
            <w:r>
              <w:rPr>
                <w:rStyle w:val="normaltextrun"/>
                <w:rFonts w:ascii="Calibri" w:hAnsi="Calibri" w:cs="Calibri"/>
              </w:rPr>
              <w:t>cabling</w:t>
            </w:r>
            <w:proofErr w:type="gramEnd"/>
            <w:r>
              <w:rPr>
                <w:rStyle w:val="normaltextrun"/>
                <w:rFonts w:ascii="Calibri" w:hAnsi="Calibri" w:cs="Calibri"/>
              </w:rPr>
              <w:t>, affixing of equipment to the home or other structures, etc.</w:t>
            </w:r>
          </w:p>
          <w:p w14:paraId="675AA9C0" w14:textId="2076F4C7" w:rsidR="00DD2768" w:rsidRDefault="00DD2768">
            <w:pPr>
              <w:rPr>
                <w:rStyle w:val="normaltextrun"/>
                <w:rFonts w:ascii="Calibri" w:hAnsi="Calibri" w:cs="Calibri"/>
              </w:rPr>
            </w:pPr>
            <w:r>
              <w:rPr>
                <w:rStyle w:val="normaltextrun"/>
                <w:rFonts w:ascii="Calibri" w:hAnsi="Calibri" w:cs="Calibri"/>
              </w:rPr>
              <w:t xml:space="preserve">Any costs associated with the upgrading of whole house electrical capacity will </w:t>
            </w:r>
            <w:r w:rsidRPr="0006472F">
              <w:rPr>
                <w:rStyle w:val="normaltextrun"/>
                <w:rFonts w:ascii="Calibri" w:hAnsi="Calibri" w:cs="Calibri"/>
                <w:b/>
                <w:bCs/>
              </w:rPr>
              <w:t>NOT</w:t>
            </w:r>
            <w:r>
              <w:rPr>
                <w:rStyle w:val="normaltextrun"/>
                <w:rFonts w:ascii="Calibri" w:hAnsi="Calibri" w:cs="Calibri"/>
              </w:rPr>
              <w:t xml:space="preserve"> be permitted.</w:t>
            </w:r>
            <w:r w:rsidR="00327FB0">
              <w:rPr>
                <w:rStyle w:val="normaltextrun"/>
                <w:rFonts w:ascii="Calibri" w:hAnsi="Calibri" w:cs="Calibri"/>
              </w:rPr>
              <w:t xml:space="preserve"> Any costs </w:t>
            </w:r>
            <w:r w:rsidR="006704F8">
              <w:rPr>
                <w:rStyle w:val="normaltextrun"/>
                <w:rFonts w:ascii="Calibri" w:hAnsi="Calibri" w:cs="Calibri"/>
              </w:rPr>
              <w:t xml:space="preserve">associated with </w:t>
            </w:r>
            <w:r w:rsidR="29BA2159" w:rsidRPr="60D02C6E">
              <w:rPr>
                <w:rStyle w:val="normaltextrun"/>
                <w:rFonts w:ascii="Calibri" w:hAnsi="Calibri" w:cs="Calibri"/>
              </w:rPr>
              <w:t xml:space="preserve">removing </w:t>
            </w:r>
            <w:r w:rsidR="00DC5A7B">
              <w:rPr>
                <w:rStyle w:val="normaltextrun"/>
                <w:rFonts w:ascii="Calibri" w:hAnsi="Calibri" w:cs="Calibri"/>
              </w:rPr>
              <w:t xml:space="preserve">equipment </w:t>
            </w:r>
            <w:r w:rsidR="001935D2">
              <w:rPr>
                <w:rStyle w:val="normaltextrun"/>
                <w:rFonts w:ascii="Calibri" w:hAnsi="Calibri" w:cs="Calibri"/>
              </w:rPr>
              <w:t>funded by this program</w:t>
            </w:r>
            <w:r w:rsidR="29BA2159" w:rsidRPr="60D02C6E">
              <w:rPr>
                <w:rStyle w:val="normaltextrun"/>
                <w:rFonts w:ascii="Calibri" w:hAnsi="Calibri" w:cs="Calibri"/>
              </w:rPr>
              <w:t xml:space="preserve"> will</w:t>
            </w:r>
            <w:r w:rsidR="001A2684">
              <w:rPr>
                <w:rStyle w:val="normaltextrun"/>
                <w:rFonts w:ascii="Calibri" w:hAnsi="Calibri" w:cs="Calibri"/>
              </w:rPr>
              <w:t xml:space="preserve"> be the </w:t>
            </w:r>
            <w:r w:rsidR="000F412B">
              <w:rPr>
                <w:rStyle w:val="normaltextrun"/>
                <w:rFonts w:ascii="Calibri" w:hAnsi="Calibri" w:cs="Calibri"/>
              </w:rPr>
              <w:t xml:space="preserve">responsibility of the applicable </w:t>
            </w:r>
            <w:proofErr w:type="gramStart"/>
            <w:r w:rsidR="000F412B">
              <w:rPr>
                <w:rStyle w:val="normaltextrun"/>
                <w:rFonts w:ascii="Calibri" w:hAnsi="Calibri" w:cs="Calibri"/>
              </w:rPr>
              <w:t>agency.</w:t>
            </w:r>
            <w:r w:rsidR="29BA2159" w:rsidRPr="60D02C6E">
              <w:rPr>
                <w:rStyle w:val="normaltextrun"/>
                <w:rFonts w:ascii="Calibri" w:hAnsi="Calibri" w:cs="Calibri"/>
              </w:rPr>
              <w:t>.</w:t>
            </w:r>
            <w:proofErr w:type="gramEnd"/>
            <w:r w:rsidR="29BA2159" w:rsidRPr="60D02C6E">
              <w:rPr>
                <w:rStyle w:val="normaltextrun"/>
                <w:rFonts w:ascii="Calibri" w:hAnsi="Calibri" w:cs="Calibri"/>
              </w:rPr>
              <w:t xml:space="preserve"> </w:t>
            </w:r>
          </w:p>
        </w:tc>
      </w:tr>
      <w:tr w:rsidR="008175B6" w14:paraId="2E0AB631" w14:textId="77777777" w:rsidTr="00667993">
        <w:tc>
          <w:tcPr>
            <w:tcW w:w="3235" w:type="dxa"/>
          </w:tcPr>
          <w:p w14:paraId="17CDE2F7" w14:textId="77777777" w:rsidR="008175B6" w:rsidRDefault="008175B6">
            <w:r>
              <w:rPr>
                <w:rStyle w:val="normaltextrun"/>
                <w:rFonts w:ascii="Calibri" w:hAnsi="Calibri" w:cs="Calibri"/>
              </w:rPr>
              <w:t xml:space="preserve">Level 2 - </w:t>
            </w:r>
            <w:r w:rsidRPr="00AD0623">
              <w:rPr>
                <w:rStyle w:val="normaltextrun"/>
                <w:rFonts w:ascii="Calibri" w:hAnsi="Calibri" w:cs="Calibri"/>
              </w:rPr>
              <w:t>240V outlet</w:t>
            </w:r>
          </w:p>
        </w:tc>
        <w:tc>
          <w:tcPr>
            <w:tcW w:w="6115" w:type="dxa"/>
          </w:tcPr>
          <w:p w14:paraId="5088E01E" w14:textId="3EDFFD32" w:rsidR="008175B6" w:rsidRDefault="008175B6">
            <w:r w:rsidRPr="00F84A7D">
              <w:rPr>
                <w:rStyle w:val="normaltextrun"/>
                <w:rFonts w:ascii="Calibri" w:hAnsi="Calibri" w:cs="Calibri"/>
              </w:rPr>
              <w:t xml:space="preserve">This is the </w:t>
            </w:r>
            <w:r>
              <w:rPr>
                <w:rStyle w:val="normaltextrun"/>
                <w:rFonts w:ascii="Calibri" w:hAnsi="Calibri" w:cs="Calibri"/>
              </w:rPr>
              <w:t xml:space="preserve">recommended </w:t>
            </w:r>
            <w:r w:rsidRPr="00F84A7D">
              <w:rPr>
                <w:rStyle w:val="normaltextrun"/>
                <w:rFonts w:ascii="Calibri" w:hAnsi="Calibri" w:cs="Calibri"/>
              </w:rPr>
              <w:t>outlet choice</w:t>
            </w:r>
            <w:r>
              <w:rPr>
                <w:rStyle w:val="normaltextrun"/>
                <w:rFonts w:ascii="Calibri" w:hAnsi="Calibri" w:cs="Calibri"/>
              </w:rPr>
              <w:t xml:space="preserve"> for any battery electric vehicle.</w:t>
            </w:r>
            <w:r w:rsidRPr="00F84A7D">
              <w:rPr>
                <w:rStyle w:val="normaltextrun"/>
                <w:rFonts w:ascii="Calibri" w:hAnsi="Calibri" w:cs="Calibri"/>
              </w:rPr>
              <w:t xml:space="preserve"> </w:t>
            </w:r>
            <w:r>
              <w:rPr>
                <w:rStyle w:val="normaltextrun"/>
                <w:rFonts w:ascii="Calibri" w:hAnsi="Calibri" w:cs="Calibri"/>
              </w:rPr>
              <w:t>For vehicles parked inside and that have access to a level 2 charging cord, this outlet will be sufficient to satisfy charging needs.</w:t>
            </w:r>
          </w:p>
        </w:tc>
      </w:tr>
      <w:tr w:rsidR="008175B6" w14:paraId="4C5AD879" w14:textId="77777777" w:rsidTr="00667993">
        <w:tc>
          <w:tcPr>
            <w:tcW w:w="3235" w:type="dxa"/>
          </w:tcPr>
          <w:p w14:paraId="6BFC40BA" w14:textId="77777777" w:rsidR="008175B6" w:rsidRDefault="008175B6">
            <w:r>
              <w:rPr>
                <w:rStyle w:val="normaltextrun"/>
                <w:rFonts w:ascii="Calibri" w:hAnsi="Calibri" w:cs="Calibri"/>
              </w:rPr>
              <w:t xml:space="preserve">Level 1 - </w:t>
            </w:r>
            <w:r w:rsidRPr="00F84A7D">
              <w:rPr>
                <w:rStyle w:val="normaltextrun"/>
                <w:rFonts w:ascii="Calibri" w:hAnsi="Calibri" w:cs="Calibri"/>
              </w:rPr>
              <w:t xml:space="preserve">120V outlet </w:t>
            </w:r>
          </w:p>
        </w:tc>
        <w:tc>
          <w:tcPr>
            <w:tcW w:w="6115" w:type="dxa"/>
          </w:tcPr>
          <w:p w14:paraId="474C11FC" w14:textId="497AC485" w:rsidR="008175B6" w:rsidRDefault="008175B6">
            <w:r w:rsidRPr="00F84A7D">
              <w:rPr>
                <w:rStyle w:val="normaltextrun"/>
                <w:rFonts w:ascii="Calibri" w:hAnsi="Calibri" w:cs="Calibri"/>
              </w:rPr>
              <w:t>Only if the electric</w:t>
            </w:r>
            <w:r>
              <w:rPr>
                <w:rStyle w:val="normaltextrun"/>
                <w:rFonts w:ascii="Calibri" w:hAnsi="Calibri" w:cs="Calibri"/>
              </w:rPr>
              <w:t xml:space="preserve">al </w:t>
            </w:r>
            <w:r w:rsidRPr="00F84A7D">
              <w:rPr>
                <w:rStyle w:val="normaltextrun"/>
                <w:rFonts w:ascii="Calibri" w:hAnsi="Calibri" w:cs="Calibri"/>
              </w:rPr>
              <w:t xml:space="preserve">capacity of the </w:t>
            </w:r>
            <w:r>
              <w:rPr>
                <w:rStyle w:val="normaltextrun"/>
                <w:rFonts w:ascii="Calibri" w:hAnsi="Calibri" w:cs="Calibri"/>
              </w:rPr>
              <w:t>residence</w:t>
            </w:r>
            <w:r w:rsidRPr="00F84A7D">
              <w:rPr>
                <w:rStyle w:val="normaltextrun"/>
                <w:rFonts w:ascii="Calibri" w:hAnsi="Calibri" w:cs="Calibri"/>
              </w:rPr>
              <w:t xml:space="preserve"> will not support a </w:t>
            </w:r>
            <w:r w:rsidRPr="01EA36AE">
              <w:rPr>
                <w:rStyle w:val="normaltextrun"/>
                <w:rFonts w:ascii="Calibri" w:hAnsi="Calibri" w:cs="Calibri"/>
              </w:rPr>
              <w:t>new 240V circuit</w:t>
            </w:r>
            <w:r>
              <w:rPr>
                <w:rStyle w:val="normaltextrun"/>
                <w:rFonts w:ascii="Calibri" w:hAnsi="Calibri" w:cs="Calibri"/>
              </w:rPr>
              <w:t xml:space="preserve"> or for any plug-in hybrid electric vehicle</w:t>
            </w:r>
            <w:r w:rsidR="00D51020">
              <w:rPr>
                <w:rStyle w:val="normaltextrun"/>
                <w:rFonts w:ascii="Calibri" w:hAnsi="Calibri" w:cs="Calibri"/>
              </w:rPr>
              <w:t>.</w:t>
            </w:r>
          </w:p>
        </w:tc>
      </w:tr>
      <w:tr w:rsidR="007522F6" w14:paraId="4654A6F9" w14:textId="77777777" w:rsidTr="00667993">
        <w:tc>
          <w:tcPr>
            <w:tcW w:w="3235" w:type="dxa"/>
          </w:tcPr>
          <w:p w14:paraId="5D244266" w14:textId="5083AE7D" w:rsidR="007522F6" w:rsidRDefault="007522F6">
            <w:pPr>
              <w:rPr>
                <w:rStyle w:val="normaltextrun"/>
                <w:rFonts w:ascii="Calibri" w:hAnsi="Calibri" w:cs="Calibri"/>
              </w:rPr>
            </w:pPr>
            <w:r>
              <w:rPr>
                <w:rStyle w:val="normaltextrun"/>
                <w:rFonts w:ascii="Calibri" w:hAnsi="Calibri" w:cs="Calibri"/>
              </w:rPr>
              <w:t>Level 2 Plug-in Charging Station</w:t>
            </w:r>
          </w:p>
        </w:tc>
        <w:tc>
          <w:tcPr>
            <w:tcW w:w="6115" w:type="dxa"/>
          </w:tcPr>
          <w:p w14:paraId="53142177" w14:textId="47CB4B0F" w:rsidR="007522F6" w:rsidRPr="00F84A7D" w:rsidRDefault="00B8058C">
            <w:pPr>
              <w:rPr>
                <w:rStyle w:val="normaltextrun"/>
                <w:rFonts w:ascii="Calibri" w:hAnsi="Calibri" w:cs="Calibri"/>
              </w:rPr>
            </w:pPr>
            <w:r>
              <w:rPr>
                <w:rStyle w:val="normaltextrun"/>
                <w:rFonts w:ascii="Calibri" w:hAnsi="Calibri" w:cs="Calibri"/>
              </w:rPr>
              <w:t xml:space="preserve">For sites where outlets and cords are not viable or available options. Must meet equipment specifications below. </w:t>
            </w:r>
          </w:p>
        </w:tc>
      </w:tr>
      <w:tr w:rsidR="007A5562" w14:paraId="08A57E2F" w14:textId="77777777" w:rsidTr="00667993">
        <w:tc>
          <w:tcPr>
            <w:tcW w:w="3235" w:type="dxa"/>
          </w:tcPr>
          <w:p w14:paraId="7969C165" w14:textId="4980FFA2" w:rsidR="007A5562" w:rsidRDefault="00A51D1E">
            <w:pPr>
              <w:rPr>
                <w:rStyle w:val="normaltextrun"/>
                <w:rFonts w:ascii="Calibri" w:hAnsi="Calibri" w:cs="Calibri"/>
              </w:rPr>
            </w:pPr>
            <w:r>
              <w:rPr>
                <w:rStyle w:val="normaltextrun"/>
                <w:rFonts w:ascii="Calibri" w:hAnsi="Calibri" w:cs="Calibri"/>
              </w:rPr>
              <w:t xml:space="preserve">Level 2 </w:t>
            </w:r>
            <w:r w:rsidR="001757B2">
              <w:rPr>
                <w:rStyle w:val="normaltextrun"/>
                <w:rFonts w:ascii="Calibri" w:hAnsi="Calibri" w:cs="Calibri"/>
              </w:rPr>
              <w:t>h</w:t>
            </w:r>
            <w:r w:rsidR="00374D70">
              <w:rPr>
                <w:rStyle w:val="normaltextrun"/>
                <w:rFonts w:ascii="Calibri" w:hAnsi="Calibri" w:cs="Calibri"/>
              </w:rPr>
              <w:t>ard-</w:t>
            </w:r>
            <w:r w:rsidR="001757B2">
              <w:rPr>
                <w:rStyle w:val="normaltextrun"/>
                <w:rFonts w:ascii="Calibri" w:hAnsi="Calibri" w:cs="Calibri"/>
              </w:rPr>
              <w:t>w</w:t>
            </w:r>
            <w:r w:rsidR="00374D70">
              <w:rPr>
                <w:rStyle w:val="normaltextrun"/>
                <w:rFonts w:ascii="Calibri" w:hAnsi="Calibri" w:cs="Calibri"/>
              </w:rPr>
              <w:t xml:space="preserve">ired </w:t>
            </w:r>
            <w:r w:rsidR="006A1A7B">
              <w:rPr>
                <w:rStyle w:val="normaltextrun"/>
                <w:rFonts w:ascii="Calibri" w:hAnsi="Calibri" w:cs="Calibri"/>
              </w:rPr>
              <w:t>c</w:t>
            </w:r>
            <w:r w:rsidR="00374D70">
              <w:rPr>
                <w:rStyle w:val="normaltextrun"/>
                <w:rFonts w:ascii="Calibri" w:hAnsi="Calibri" w:cs="Calibri"/>
              </w:rPr>
              <w:t xml:space="preserve">harging </w:t>
            </w:r>
            <w:r w:rsidR="006A1A7B">
              <w:rPr>
                <w:rStyle w:val="normaltextrun"/>
                <w:rFonts w:ascii="Calibri" w:hAnsi="Calibri" w:cs="Calibri"/>
              </w:rPr>
              <w:t>s</w:t>
            </w:r>
            <w:r w:rsidR="00374D70">
              <w:rPr>
                <w:rStyle w:val="normaltextrun"/>
                <w:rFonts w:ascii="Calibri" w:hAnsi="Calibri" w:cs="Calibri"/>
              </w:rPr>
              <w:t>tation</w:t>
            </w:r>
          </w:p>
        </w:tc>
        <w:tc>
          <w:tcPr>
            <w:tcW w:w="6115" w:type="dxa"/>
          </w:tcPr>
          <w:p w14:paraId="692D4463" w14:textId="1CB09F05" w:rsidR="007A5562" w:rsidRDefault="00B902CF">
            <w:pPr>
              <w:rPr>
                <w:rStyle w:val="normaltextrun"/>
                <w:rFonts w:ascii="Calibri" w:hAnsi="Calibri" w:cs="Calibri"/>
              </w:rPr>
            </w:pPr>
            <w:r>
              <w:rPr>
                <w:rStyle w:val="normaltextrun"/>
                <w:rFonts w:ascii="Calibri" w:hAnsi="Calibri" w:cs="Calibri"/>
              </w:rPr>
              <w:t xml:space="preserve">Under </w:t>
            </w:r>
            <w:r w:rsidR="00A90281" w:rsidRPr="00A90281">
              <w:t>certain circumstances where the above equipment options are not sufficient</w:t>
            </w:r>
            <w:r w:rsidR="00A90281" w:rsidRPr="00A90281">
              <w:rPr>
                <w:rStyle w:val="normaltextrun"/>
                <w:rFonts w:ascii="Calibri" w:hAnsi="Calibri" w:cs="Calibri"/>
              </w:rPr>
              <w:t xml:space="preserve"> and </w:t>
            </w:r>
            <w:r w:rsidR="001757B2" w:rsidRPr="00A90281">
              <w:rPr>
                <w:rStyle w:val="normaltextrun"/>
                <w:rFonts w:ascii="Calibri" w:hAnsi="Calibri" w:cs="Calibri"/>
              </w:rPr>
              <w:t>DOER has, in its sole discretion, granted approval</w:t>
            </w:r>
            <w:r w:rsidR="004A16AC">
              <w:rPr>
                <w:rStyle w:val="normaltextrun"/>
                <w:rFonts w:ascii="Calibri" w:hAnsi="Calibri" w:cs="Calibri"/>
              </w:rPr>
              <w:t>.</w:t>
            </w:r>
          </w:p>
        </w:tc>
      </w:tr>
    </w:tbl>
    <w:p w14:paraId="56D7E74B" w14:textId="77777777" w:rsidR="00C3525C" w:rsidRPr="00C3525C" w:rsidRDefault="00C3525C" w:rsidP="00C3525C">
      <w:pPr>
        <w:pStyle w:val="paragraph"/>
        <w:spacing w:before="0" w:beforeAutospacing="0" w:after="0" w:afterAutospacing="0"/>
        <w:textAlignment w:val="baseline"/>
        <w:rPr>
          <w:rFonts w:asciiTheme="minorHAnsi" w:hAnsiTheme="minorHAnsi" w:cstheme="minorHAnsi"/>
          <w:sz w:val="22"/>
          <w:szCs w:val="22"/>
        </w:rPr>
      </w:pPr>
    </w:p>
    <w:p w14:paraId="60E0A6BD" w14:textId="12CEB43E" w:rsidR="008B3175" w:rsidRPr="00A752B7" w:rsidRDefault="008B3175" w:rsidP="009607F3">
      <w:pPr>
        <w:pStyle w:val="ListParagraph"/>
        <w:numPr>
          <w:ilvl w:val="0"/>
          <w:numId w:val="2"/>
        </w:numPr>
        <w:spacing w:after="0"/>
        <w:ind w:left="691"/>
        <w:rPr>
          <w:b/>
          <w:bCs/>
        </w:rPr>
      </w:pPr>
      <w:r w:rsidRPr="00A752B7">
        <w:rPr>
          <w:b/>
          <w:bCs/>
        </w:rPr>
        <w:t>Required Equipment Specifications</w:t>
      </w:r>
    </w:p>
    <w:p w14:paraId="4609E49A" w14:textId="72BBB7FD" w:rsidR="00C3525C" w:rsidRDefault="009B3077" w:rsidP="00C3525C">
      <w:pPr>
        <w:rPr>
          <w:iCs/>
        </w:rPr>
      </w:pPr>
      <w:r>
        <w:rPr>
          <w:iCs/>
        </w:rPr>
        <w:t>The following table includes required specifications for</w:t>
      </w:r>
      <w:r w:rsidR="005E0C1B">
        <w:rPr>
          <w:iCs/>
        </w:rPr>
        <w:t xml:space="preserve"> any</w:t>
      </w:r>
      <w:r>
        <w:rPr>
          <w:iCs/>
        </w:rPr>
        <w:t xml:space="preserve"> </w:t>
      </w:r>
      <w:proofErr w:type="gramStart"/>
      <w:r>
        <w:rPr>
          <w:iCs/>
        </w:rPr>
        <w:t>installed e</w:t>
      </w:r>
      <w:r w:rsidR="00C3525C" w:rsidRPr="00410D4B">
        <w:rPr>
          <w:iCs/>
        </w:rPr>
        <w:t>quipment</w:t>
      </w:r>
      <w:proofErr w:type="gramEnd"/>
      <w:r w:rsidR="00C3525C" w:rsidRPr="00410D4B">
        <w:rPr>
          <w:iCs/>
        </w:rPr>
        <w:t xml:space="preserve"> </w:t>
      </w:r>
      <w:r>
        <w:rPr>
          <w:iCs/>
        </w:rPr>
        <w:t>under this program.</w:t>
      </w:r>
    </w:p>
    <w:p w14:paraId="43074F4D" w14:textId="2F9B0373" w:rsidR="00DD041E" w:rsidRPr="00EC1C66" w:rsidRDefault="00DD041E" w:rsidP="00C3525C">
      <w:pPr>
        <w:rPr>
          <w:b/>
          <w:bCs/>
          <w:i/>
        </w:rPr>
      </w:pPr>
      <w:r w:rsidRPr="00EC1C66">
        <w:rPr>
          <w:b/>
          <w:bCs/>
          <w:i/>
        </w:rPr>
        <w:t>Table B. Detailed charging equipment specifications</w:t>
      </w:r>
    </w:p>
    <w:tbl>
      <w:tblPr>
        <w:tblStyle w:val="TableGrid"/>
        <w:tblW w:w="0" w:type="auto"/>
        <w:tblLook w:val="04A0" w:firstRow="1" w:lastRow="0" w:firstColumn="1" w:lastColumn="0" w:noHBand="0" w:noVBand="1"/>
      </w:tblPr>
      <w:tblGrid>
        <w:gridCol w:w="3235"/>
        <w:gridCol w:w="6115"/>
      </w:tblGrid>
      <w:tr w:rsidR="00C3525C" w14:paraId="6A087CBA" w14:textId="77777777" w:rsidTr="00667993">
        <w:tc>
          <w:tcPr>
            <w:tcW w:w="3235" w:type="dxa"/>
          </w:tcPr>
          <w:p w14:paraId="0493CCBA" w14:textId="77777777" w:rsidR="00C3525C" w:rsidRPr="00DD2768" w:rsidRDefault="00C3525C" w:rsidP="00DD2768">
            <w:pPr>
              <w:jc w:val="center"/>
              <w:rPr>
                <w:b/>
                <w:i/>
              </w:rPr>
            </w:pPr>
            <w:r w:rsidRPr="00DD2768">
              <w:rPr>
                <w:b/>
              </w:rPr>
              <w:t>Equipment Type</w:t>
            </w:r>
          </w:p>
        </w:tc>
        <w:tc>
          <w:tcPr>
            <w:tcW w:w="6115" w:type="dxa"/>
          </w:tcPr>
          <w:p w14:paraId="3521BAD0" w14:textId="77777777" w:rsidR="00C3525C" w:rsidRPr="00DD2768" w:rsidRDefault="00C3525C" w:rsidP="00DD2768">
            <w:pPr>
              <w:jc w:val="center"/>
              <w:rPr>
                <w:b/>
                <w:i/>
              </w:rPr>
            </w:pPr>
            <w:r w:rsidRPr="00DD2768">
              <w:rPr>
                <w:b/>
              </w:rPr>
              <w:t>Criteria</w:t>
            </w:r>
          </w:p>
        </w:tc>
      </w:tr>
      <w:tr w:rsidR="00C3525C" w14:paraId="2666206E" w14:textId="77777777" w:rsidTr="00667993">
        <w:tc>
          <w:tcPr>
            <w:tcW w:w="3235" w:type="dxa"/>
          </w:tcPr>
          <w:p w14:paraId="62A5CA21" w14:textId="77777777" w:rsidR="00C3525C" w:rsidRPr="00097EBB" w:rsidRDefault="00C3525C">
            <w:r>
              <w:t>Level 2 - 240V circuit</w:t>
            </w:r>
          </w:p>
        </w:tc>
        <w:tc>
          <w:tcPr>
            <w:tcW w:w="6115" w:type="dxa"/>
          </w:tcPr>
          <w:p w14:paraId="0D4836AC" w14:textId="7F2D6EAF" w:rsidR="00C3525C" w:rsidRPr="00097EBB" w:rsidRDefault="00C3525C">
            <w:r>
              <w:t xml:space="preserve">A dedicated 240-volt 50-amp circuit is required. The circuit must be installed with a non-GFCI breaker and terminate in a NEMA </w:t>
            </w:r>
            <w:r>
              <w:lastRenderedPageBreak/>
              <w:t>certified 14-50 receptacle or be hardwired to the charging station (if applicable).</w:t>
            </w:r>
            <w:r w:rsidR="00C12B16">
              <w:t xml:space="preserve"> An existing 240v outlet cannot be used. </w:t>
            </w:r>
          </w:p>
        </w:tc>
      </w:tr>
      <w:tr w:rsidR="00C3525C" w14:paraId="15554A52" w14:textId="77777777" w:rsidTr="00667993">
        <w:tc>
          <w:tcPr>
            <w:tcW w:w="3235" w:type="dxa"/>
          </w:tcPr>
          <w:p w14:paraId="36F6DB6D" w14:textId="77777777" w:rsidR="00C3525C" w:rsidRDefault="00C3525C">
            <w:r>
              <w:lastRenderedPageBreak/>
              <w:t xml:space="preserve">Level 1 - </w:t>
            </w:r>
            <w:r w:rsidRPr="00097EBB">
              <w:t>120V circuit</w:t>
            </w:r>
          </w:p>
        </w:tc>
        <w:tc>
          <w:tcPr>
            <w:tcW w:w="6115" w:type="dxa"/>
          </w:tcPr>
          <w:p w14:paraId="374CB8AB" w14:textId="7850DCE5" w:rsidR="00C3525C" w:rsidRPr="008F2A86" w:rsidRDefault="00C3525C">
            <w:r>
              <w:t xml:space="preserve">If installing </w:t>
            </w:r>
            <w:proofErr w:type="gramStart"/>
            <w:r>
              <w:t>a L1</w:t>
            </w:r>
            <w:proofErr w:type="gramEnd"/>
            <w:r>
              <w:t xml:space="preserve"> outlet, it must be a dedicated, 120-volt 15-amp circuit and receptacle. The circuit must be installed with a non-GFCI breaker. An existing </w:t>
            </w:r>
            <w:r w:rsidR="00C12B16">
              <w:t>120v</w:t>
            </w:r>
            <w:r w:rsidR="00CC7BBD">
              <w:t xml:space="preserve"> ou</w:t>
            </w:r>
            <w:r>
              <w:t>tlet</w:t>
            </w:r>
            <w:r w:rsidR="00DD2768">
              <w:t xml:space="preserve"> cannot be used.</w:t>
            </w:r>
          </w:p>
        </w:tc>
      </w:tr>
      <w:tr w:rsidR="00C3525C" w14:paraId="2E3A10B9" w14:textId="77777777" w:rsidTr="00667993">
        <w:tc>
          <w:tcPr>
            <w:tcW w:w="3235" w:type="dxa"/>
          </w:tcPr>
          <w:p w14:paraId="0410E93C" w14:textId="77777777" w:rsidR="00C3525C" w:rsidRPr="00097EBB" w:rsidRDefault="00C3525C">
            <w:r>
              <w:t>Charging cord</w:t>
            </w:r>
          </w:p>
        </w:tc>
        <w:tc>
          <w:tcPr>
            <w:tcW w:w="6115" w:type="dxa"/>
          </w:tcPr>
          <w:p w14:paraId="17D0542D" w14:textId="50E8B983" w:rsidR="00C3525C" w:rsidRPr="00097EBB" w:rsidRDefault="00C3525C">
            <w:r>
              <w:t>The level of the charging cord must correspond to the level of the designated charging outlet, either Level 1</w:t>
            </w:r>
            <w:r w:rsidR="00CC7BBD">
              <w:t xml:space="preserve"> (120v)</w:t>
            </w:r>
            <w:r>
              <w:t xml:space="preserve"> or Level 2</w:t>
            </w:r>
            <w:r w:rsidR="00CC7BBD">
              <w:t xml:space="preserve"> (240v)</w:t>
            </w:r>
            <w:r>
              <w:t xml:space="preserve">. The cord must </w:t>
            </w:r>
            <w:r w:rsidR="00CC7BBD">
              <w:t xml:space="preserve">remain plugged in regularly and </w:t>
            </w:r>
            <w:r>
              <w:t xml:space="preserve">not be removed for mobile use on a daily or weekly basis to minimize wear and tear. The cord </w:t>
            </w:r>
            <w:r w:rsidR="000A74ED">
              <w:t>may</w:t>
            </w:r>
            <w:r>
              <w:t xml:space="preserve"> not be left on the ground to avoid water hazards or be plugged into an extension cord. </w:t>
            </w:r>
          </w:p>
        </w:tc>
      </w:tr>
      <w:tr w:rsidR="00C3525C" w14:paraId="26495984" w14:textId="77777777" w:rsidTr="00667993">
        <w:tc>
          <w:tcPr>
            <w:tcW w:w="3235" w:type="dxa"/>
          </w:tcPr>
          <w:p w14:paraId="04A062E6" w14:textId="77777777" w:rsidR="00C3525C" w:rsidRPr="00097EBB" w:rsidRDefault="00C3525C">
            <w:r>
              <w:t>Level 2 - Plug-in charging station</w:t>
            </w:r>
          </w:p>
        </w:tc>
        <w:tc>
          <w:tcPr>
            <w:tcW w:w="6115" w:type="dxa"/>
          </w:tcPr>
          <w:p w14:paraId="17FED54B" w14:textId="5B8C68B3" w:rsidR="00C3525C" w:rsidRPr="00097EBB" w:rsidRDefault="00C3525C">
            <w:r>
              <w:t xml:space="preserve">The receptacle type must be NEMA 14-50. The charging station must have the capability to deliver 32 amps at a minimum and 40 amps at a maximum. It must be listed on the </w:t>
            </w:r>
            <w:hyperlink r:id="rId18" w:history="1">
              <w:r w:rsidRPr="00384704">
                <w:rPr>
                  <w:rStyle w:val="Hyperlink"/>
                </w:rPr>
                <w:t>State Appliance Standard Database</w:t>
              </w:r>
            </w:hyperlink>
            <w:r>
              <w:t xml:space="preserve"> and it must have a third-party certification, typically Underwriters Laboratories (UL). </w:t>
            </w:r>
            <w:r w:rsidR="00425237">
              <w:t>Must be all</w:t>
            </w:r>
            <w:r w:rsidR="00DE2AEC">
              <w:t>-</w:t>
            </w:r>
            <w:r w:rsidR="00425237">
              <w:t xml:space="preserve">weather rated. </w:t>
            </w:r>
          </w:p>
        </w:tc>
      </w:tr>
      <w:tr w:rsidR="001757B2" w14:paraId="0DA0C258" w14:textId="77777777" w:rsidTr="00667993">
        <w:tc>
          <w:tcPr>
            <w:tcW w:w="3235" w:type="dxa"/>
          </w:tcPr>
          <w:p w14:paraId="5555DABA" w14:textId="7431C292" w:rsidR="001757B2" w:rsidRDefault="001757B2">
            <w:r>
              <w:t>Level 2 – Hard-wired charging station</w:t>
            </w:r>
          </w:p>
        </w:tc>
        <w:tc>
          <w:tcPr>
            <w:tcW w:w="6115" w:type="dxa"/>
          </w:tcPr>
          <w:p w14:paraId="59B4F17A" w14:textId="235F7746" w:rsidR="001757B2" w:rsidRDefault="00A96551">
            <w:r>
              <w:t>Under special circumstances, w</w:t>
            </w:r>
            <w:r w:rsidR="00B15E05">
              <w:t>h</w:t>
            </w:r>
            <w:r w:rsidR="0081052B">
              <w:t>ere approved by DOER</w:t>
            </w:r>
            <w:r w:rsidR="00787896">
              <w:t xml:space="preserve"> (see section </w:t>
            </w:r>
            <w:r>
              <w:t>XIII)</w:t>
            </w:r>
            <w:r w:rsidR="0081052B">
              <w:t xml:space="preserve">, </w:t>
            </w:r>
            <w:r w:rsidR="00C15CEC">
              <w:t xml:space="preserve">installed hard-wired </w:t>
            </w:r>
            <w:r w:rsidR="00123468">
              <w:t>charging station</w:t>
            </w:r>
            <w:r w:rsidR="00C15CEC">
              <w:t>s</w:t>
            </w:r>
            <w:r w:rsidR="00123468">
              <w:t xml:space="preserve"> must have the capability to deliver </w:t>
            </w:r>
            <w:r w:rsidR="00274338">
              <w:t xml:space="preserve">between </w:t>
            </w:r>
            <w:r w:rsidR="00123468">
              <w:t xml:space="preserve">32 </w:t>
            </w:r>
            <w:r w:rsidR="00274338">
              <w:t xml:space="preserve">and </w:t>
            </w:r>
            <w:r w:rsidR="007343F0">
              <w:t>64</w:t>
            </w:r>
            <w:r w:rsidR="00274338">
              <w:t xml:space="preserve"> </w:t>
            </w:r>
            <w:r w:rsidR="00123468">
              <w:t>amps</w:t>
            </w:r>
            <w:r w:rsidR="00E54433">
              <w:t xml:space="preserve"> </w:t>
            </w:r>
            <w:r w:rsidR="00AF464F">
              <w:t>(for use with circuit</w:t>
            </w:r>
            <w:r w:rsidR="007343F0">
              <w:t>s between 40 and 80 amps</w:t>
            </w:r>
            <w:r w:rsidR="00AF464F">
              <w:t>)</w:t>
            </w:r>
            <w:r w:rsidR="00803549">
              <w:t xml:space="preserve">. </w:t>
            </w:r>
            <w:r w:rsidR="00AF464F">
              <w:t xml:space="preserve">The equipment </w:t>
            </w:r>
            <w:r w:rsidR="00803549">
              <w:t xml:space="preserve">must be listed on the </w:t>
            </w:r>
            <w:hyperlink r:id="rId19" w:history="1">
              <w:r w:rsidR="00803549" w:rsidRPr="00384704">
                <w:rPr>
                  <w:rStyle w:val="Hyperlink"/>
                </w:rPr>
                <w:t>State Appliance Standard Database</w:t>
              </w:r>
            </w:hyperlink>
            <w:r w:rsidR="00803549">
              <w:t xml:space="preserve"> and it must have a third-party certification, typically Underwriters Laboratories (UL). </w:t>
            </w:r>
            <w:r w:rsidR="00476353">
              <w:t>When installed outside, e</w:t>
            </w:r>
            <w:r w:rsidR="00B15E05">
              <w:t>quipment m</w:t>
            </w:r>
            <w:r w:rsidR="00803549">
              <w:t>ust be all-</w:t>
            </w:r>
            <w:proofErr w:type="gramStart"/>
            <w:r w:rsidR="00803549">
              <w:t>weather</w:t>
            </w:r>
            <w:proofErr w:type="gramEnd"/>
            <w:r w:rsidR="00803549">
              <w:t xml:space="preserve"> rated.</w:t>
            </w:r>
          </w:p>
        </w:tc>
      </w:tr>
    </w:tbl>
    <w:p w14:paraId="43B0628F" w14:textId="2A808996" w:rsidR="001169D1" w:rsidRDefault="001169D1" w:rsidP="00A752B7"/>
    <w:p w14:paraId="7943CDB0" w14:textId="0208153F" w:rsidR="00442B9D" w:rsidRPr="00EC1C66" w:rsidRDefault="00442B9D" w:rsidP="009607F3">
      <w:pPr>
        <w:pStyle w:val="ListParagraph"/>
        <w:numPr>
          <w:ilvl w:val="0"/>
          <w:numId w:val="2"/>
        </w:numPr>
        <w:spacing w:after="0"/>
        <w:ind w:left="691"/>
        <w:rPr>
          <w:b/>
          <w:bCs/>
        </w:rPr>
      </w:pPr>
      <w:r w:rsidRPr="08797A20">
        <w:rPr>
          <w:b/>
          <w:bCs/>
        </w:rPr>
        <w:t>Electricity Reimbursement Process</w:t>
      </w:r>
    </w:p>
    <w:p w14:paraId="6AA5C883" w14:textId="51EE120E" w:rsidR="00A05024" w:rsidRDefault="002E5AF2" w:rsidP="003844DB">
      <w:pPr>
        <w:pStyle w:val="paragraph"/>
        <w:spacing w:before="0" w:beforeAutospacing="0" w:after="0" w:afterAutospacing="0"/>
        <w:textAlignment w:val="baseline"/>
        <w:rPr>
          <w:rStyle w:val="normaltextrun"/>
          <w:rFonts w:ascii="Calibri" w:hAnsi="Calibri" w:cs="Calibri"/>
          <w:color w:val="000000" w:themeColor="text1"/>
          <w:sz w:val="22"/>
          <w:szCs w:val="22"/>
        </w:rPr>
      </w:pPr>
      <w:r w:rsidRPr="000F1D4C">
        <w:rPr>
          <w:rStyle w:val="normaltextrun"/>
          <w:rFonts w:ascii="Calibri" w:eastAsiaTheme="minorHAnsi" w:hAnsi="Calibri" w:cs="Calibri"/>
          <w:sz w:val="22"/>
          <w:szCs w:val="22"/>
        </w:rPr>
        <w:t xml:space="preserve">Employees with charging infrastructure will need to be reimbursed for the electricity </w:t>
      </w:r>
      <w:r w:rsidR="00361008" w:rsidRPr="000F1D4C">
        <w:rPr>
          <w:rStyle w:val="normaltextrun"/>
          <w:rFonts w:ascii="Calibri" w:eastAsiaTheme="minorHAnsi" w:hAnsi="Calibri" w:cs="Calibri"/>
          <w:sz w:val="22"/>
          <w:szCs w:val="22"/>
        </w:rPr>
        <w:t xml:space="preserve">used to charge </w:t>
      </w:r>
      <w:r w:rsidRPr="000F1D4C">
        <w:rPr>
          <w:rStyle w:val="normaltextrun"/>
          <w:rFonts w:ascii="Calibri" w:eastAsiaTheme="minorHAnsi" w:hAnsi="Calibri" w:cs="Calibri"/>
          <w:sz w:val="22"/>
          <w:szCs w:val="22"/>
        </w:rPr>
        <w:t>their state vehicle</w:t>
      </w:r>
      <w:r w:rsidR="00361008" w:rsidRPr="000F1D4C">
        <w:rPr>
          <w:rStyle w:val="normaltextrun"/>
          <w:rFonts w:ascii="Calibri" w:eastAsiaTheme="minorHAnsi" w:hAnsi="Calibri" w:cs="Calibri"/>
          <w:sz w:val="22"/>
          <w:szCs w:val="22"/>
        </w:rPr>
        <w:t>.</w:t>
      </w:r>
      <w:r w:rsidRPr="000F1D4C">
        <w:rPr>
          <w:rStyle w:val="normaltextrun"/>
          <w:rFonts w:ascii="Calibri" w:eastAsiaTheme="minorHAnsi" w:hAnsi="Calibri" w:cs="Calibri"/>
          <w:sz w:val="22"/>
          <w:szCs w:val="22"/>
        </w:rPr>
        <w:t xml:space="preserve"> </w:t>
      </w:r>
      <w:r w:rsidR="006B52E9" w:rsidRPr="000F1D4C">
        <w:rPr>
          <w:rStyle w:val="normaltextrun"/>
          <w:rFonts w:ascii="Calibri" w:eastAsiaTheme="minorHAnsi" w:hAnsi="Calibri" w:cs="Calibri"/>
          <w:sz w:val="22"/>
          <w:szCs w:val="22"/>
        </w:rPr>
        <w:t xml:space="preserve">A reimbursement process </w:t>
      </w:r>
      <w:r w:rsidR="00882011" w:rsidRPr="000F1D4C">
        <w:rPr>
          <w:rStyle w:val="normaltextrun"/>
          <w:rFonts w:ascii="Calibri" w:eastAsiaTheme="minorHAnsi" w:hAnsi="Calibri" w:cs="Calibri"/>
          <w:sz w:val="22"/>
          <w:szCs w:val="22"/>
        </w:rPr>
        <w:t xml:space="preserve">has been established </w:t>
      </w:r>
      <w:r w:rsidR="00B23D88" w:rsidRPr="000F1D4C">
        <w:rPr>
          <w:rStyle w:val="normaltextrun"/>
          <w:rFonts w:ascii="Calibri" w:eastAsiaTheme="minorHAnsi" w:hAnsi="Calibri" w:cs="Calibri"/>
          <w:sz w:val="22"/>
          <w:szCs w:val="22"/>
        </w:rPr>
        <w:t xml:space="preserve">through statewide contract </w:t>
      </w:r>
      <w:r w:rsidR="007D4688" w:rsidRPr="000F1D4C">
        <w:rPr>
          <w:rStyle w:val="normaltextrun"/>
          <w:rFonts w:ascii="Calibri" w:eastAsiaTheme="minorHAnsi" w:hAnsi="Calibri" w:cs="Calibri"/>
          <w:sz w:val="22"/>
          <w:szCs w:val="22"/>
        </w:rPr>
        <w:t>VEH116</w:t>
      </w:r>
      <w:r w:rsidR="00882011" w:rsidRPr="000F1D4C">
        <w:rPr>
          <w:rStyle w:val="normaltextrun"/>
          <w:rFonts w:ascii="Calibri" w:eastAsiaTheme="minorHAnsi" w:hAnsi="Calibri" w:cs="Calibri"/>
          <w:sz w:val="22"/>
          <w:szCs w:val="22"/>
        </w:rPr>
        <w:t>, whereby</w:t>
      </w:r>
      <w:r w:rsidR="00811D93" w:rsidRPr="000F1D4C">
        <w:rPr>
          <w:rStyle w:val="normaltextrun"/>
          <w:rFonts w:ascii="Calibri" w:eastAsiaTheme="minorHAnsi" w:hAnsi="Calibri" w:cs="Calibri"/>
          <w:sz w:val="22"/>
          <w:szCs w:val="22"/>
        </w:rPr>
        <w:t xml:space="preserve"> </w:t>
      </w:r>
      <w:proofErr w:type="spellStart"/>
      <w:r w:rsidR="00811D93" w:rsidRPr="000F1D4C">
        <w:rPr>
          <w:rStyle w:val="normaltextrun"/>
          <w:rFonts w:ascii="Calibri" w:eastAsiaTheme="minorHAnsi" w:hAnsi="Calibri" w:cs="Calibri"/>
          <w:sz w:val="22"/>
          <w:szCs w:val="22"/>
        </w:rPr>
        <w:t>Mov</w:t>
      </w:r>
      <w:r w:rsidR="00A50910" w:rsidRPr="000F1D4C">
        <w:rPr>
          <w:rStyle w:val="normaltextrun"/>
          <w:rFonts w:ascii="Calibri" w:eastAsiaTheme="minorHAnsi" w:hAnsi="Calibri" w:cs="Calibri"/>
          <w:sz w:val="22"/>
          <w:szCs w:val="22"/>
        </w:rPr>
        <w:t>eEV</w:t>
      </w:r>
      <w:proofErr w:type="spellEnd"/>
      <w:r w:rsidR="00A50910" w:rsidRPr="000F1D4C">
        <w:rPr>
          <w:rStyle w:val="normaltextrun"/>
          <w:rFonts w:ascii="Calibri" w:eastAsiaTheme="minorHAnsi" w:hAnsi="Calibri" w:cs="Calibri"/>
          <w:sz w:val="22"/>
          <w:szCs w:val="22"/>
        </w:rPr>
        <w:t xml:space="preserve"> </w:t>
      </w:r>
      <w:r w:rsidR="00882011" w:rsidRPr="000F1D4C">
        <w:rPr>
          <w:rStyle w:val="normaltextrun"/>
          <w:rFonts w:ascii="Calibri" w:eastAsiaTheme="minorHAnsi" w:hAnsi="Calibri" w:cs="Calibri"/>
          <w:sz w:val="22"/>
          <w:szCs w:val="22"/>
        </w:rPr>
        <w:t xml:space="preserve">will act </w:t>
      </w:r>
      <w:r w:rsidR="00A50910" w:rsidRPr="000F1D4C">
        <w:rPr>
          <w:rStyle w:val="normaltextrun"/>
          <w:rFonts w:ascii="Calibri" w:eastAsiaTheme="minorHAnsi" w:hAnsi="Calibri" w:cs="Calibri"/>
          <w:sz w:val="22"/>
          <w:szCs w:val="22"/>
        </w:rPr>
        <w:t xml:space="preserve">as a subcontractor </w:t>
      </w:r>
      <w:r w:rsidR="00A8640F" w:rsidRPr="005E7480">
        <w:rPr>
          <w:rStyle w:val="normaltextrun"/>
          <w:rFonts w:asciiTheme="minorHAnsi" w:eastAsiaTheme="minorHAnsi" w:hAnsiTheme="minorHAnsi" w:cstheme="minorHAnsi"/>
          <w:sz w:val="22"/>
          <w:szCs w:val="22"/>
        </w:rPr>
        <w:t xml:space="preserve">of </w:t>
      </w:r>
      <w:r w:rsidR="00DF5621" w:rsidRPr="005E7480">
        <w:rPr>
          <w:rStyle w:val="normaltextrun"/>
          <w:rFonts w:asciiTheme="minorHAnsi" w:eastAsiaTheme="minorHAnsi" w:hAnsiTheme="minorHAnsi" w:cstheme="minorHAnsi"/>
          <w:sz w:val="22"/>
          <w:szCs w:val="22"/>
        </w:rPr>
        <w:t xml:space="preserve">Advantage Asset Tracking </w:t>
      </w:r>
      <w:r w:rsidR="008A4993" w:rsidRPr="005E7480">
        <w:rPr>
          <w:rStyle w:val="normaltextrun"/>
          <w:rFonts w:asciiTheme="minorHAnsi" w:eastAsiaTheme="minorHAnsi" w:hAnsiTheme="minorHAnsi" w:cstheme="minorHAnsi"/>
          <w:sz w:val="22"/>
          <w:szCs w:val="22"/>
        </w:rPr>
        <w:t>Corporation</w:t>
      </w:r>
      <w:r w:rsidR="00B23D88" w:rsidRPr="000F1D4C">
        <w:rPr>
          <w:rStyle w:val="normaltextrun"/>
          <w:rFonts w:ascii="Calibri" w:eastAsiaTheme="minorHAnsi" w:hAnsi="Calibri" w:cs="Calibri"/>
          <w:sz w:val="22"/>
          <w:szCs w:val="22"/>
        </w:rPr>
        <w:t xml:space="preserve"> to facilitate </w:t>
      </w:r>
      <w:r w:rsidR="00471CD9" w:rsidRPr="000F1D4C">
        <w:rPr>
          <w:rStyle w:val="normaltextrun"/>
          <w:rFonts w:ascii="Calibri" w:eastAsiaTheme="minorHAnsi" w:hAnsi="Calibri" w:cs="Calibri"/>
          <w:sz w:val="22"/>
          <w:szCs w:val="22"/>
        </w:rPr>
        <w:t xml:space="preserve">a regular reimbursement process </w:t>
      </w:r>
      <w:r w:rsidR="004908F4" w:rsidRPr="000F1D4C">
        <w:rPr>
          <w:rStyle w:val="normaltextrun"/>
          <w:rFonts w:ascii="Calibri" w:eastAsiaTheme="minorHAnsi" w:hAnsi="Calibri" w:cs="Calibri"/>
          <w:sz w:val="22"/>
          <w:szCs w:val="22"/>
        </w:rPr>
        <w:t>that will</w:t>
      </w:r>
      <w:r w:rsidR="00471CD9" w:rsidRPr="000F1D4C">
        <w:rPr>
          <w:rStyle w:val="normaltextrun"/>
          <w:rFonts w:ascii="Calibri" w:eastAsiaTheme="minorHAnsi" w:hAnsi="Calibri" w:cs="Calibri"/>
          <w:sz w:val="22"/>
          <w:szCs w:val="22"/>
        </w:rPr>
        <w:t xml:space="preserve"> ensure accuracy and consistency of said reimbursements</w:t>
      </w:r>
      <w:r w:rsidR="00471CD9">
        <w:rPr>
          <w:rStyle w:val="normaltextrun"/>
          <w:rFonts w:ascii="Calibri" w:hAnsi="Calibri" w:cs="Calibri"/>
          <w:color w:val="000000" w:themeColor="text1"/>
          <w:sz w:val="22"/>
          <w:szCs w:val="22"/>
        </w:rPr>
        <w:t xml:space="preserve">. </w:t>
      </w:r>
      <w:r w:rsidR="00E84ACF">
        <w:rPr>
          <w:rStyle w:val="normaltextrun"/>
          <w:rFonts w:ascii="Calibri" w:hAnsi="Calibri" w:cs="Calibri"/>
          <w:color w:val="000000" w:themeColor="text1"/>
          <w:sz w:val="22"/>
          <w:szCs w:val="22"/>
        </w:rPr>
        <w:t>Following installation of EV infrastructure, d</w:t>
      </w:r>
      <w:r w:rsidR="00E62879">
        <w:rPr>
          <w:rStyle w:val="normaltextrun"/>
          <w:rFonts w:ascii="Calibri" w:hAnsi="Calibri" w:cs="Calibri"/>
          <w:color w:val="000000" w:themeColor="text1"/>
          <w:sz w:val="22"/>
          <w:szCs w:val="22"/>
        </w:rPr>
        <w:t xml:space="preserve">omicile EV users </w:t>
      </w:r>
      <w:r w:rsidR="0018704F">
        <w:rPr>
          <w:rStyle w:val="normaltextrun"/>
          <w:rFonts w:ascii="Calibri" w:hAnsi="Calibri" w:cs="Calibri"/>
          <w:color w:val="000000" w:themeColor="text1"/>
          <w:sz w:val="22"/>
          <w:szCs w:val="22"/>
        </w:rPr>
        <w:t xml:space="preserve">will work with their agency to </w:t>
      </w:r>
      <w:r w:rsidR="00B0063F">
        <w:rPr>
          <w:rStyle w:val="normaltextrun"/>
          <w:rFonts w:ascii="Calibri" w:hAnsi="Calibri" w:cs="Calibri"/>
          <w:color w:val="000000" w:themeColor="text1"/>
          <w:sz w:val="22"/>
          <w:szCs w:val="22"/>
        </w:rPr>
        <w:t>register</w:t>
      </w:r>
      <w:r w:rsidR="0098613E">
        <w:rPr>
          <w:rStyle w:val="normaltextrun"/>
          <w:rFonts w:ascii="Calibri" w:hAnsi="Calibri" w:cs="Calibri"/>
          <w:color w:val="000000" w:themeColor="text1"/>
          <w:sz w:val="22"/>
          <w:szCs w:val="22"/>
        </w:rPr>
        <w:t xml:space="preserve"> </w:t>
      </w:r>
      <w:r w:rsidR="0018704F">
        <w:rPr>
          <w:rStyle w:val="normaltextrun"/>
          <w:rFonts w:ascii="Calibri" w:hAnsi="Calibri" w:cs="Calibri"/>
          <w:color w:val="000000" w:themeColor="text1"/>
          <w:sz w:val="22"/>
          <w:szCs w:val="22"/>
        </w:rPr>
        <w:t>the stati</w:t>
      </w:r>
      <w:r w:rsidR="00F90A58">
        <w:rPr>
          <w:rStyle w:val="normaltextrun"/>
          <w:rFonts w:ascii="Calibri" w:hAnsi="Calibri" w:cs="Calibri"/>
          <w:color w:val="000000" w:themeColor="text1"/>
          <w:sz w:val="22"/>
          <w:szCs w:val="22"/>
        </w:rPr>
        <w:t>on location</w:t>
      </w:r>
      <w:r w:rsidR="00137532">
        <w:rPr>
          <w:rStyle w:val="normaltextrun"/>
          <w:rFonts w:ascii="Calibri" w:hAnsi="Calibri" w:cs="Calibri"/>
          <w:color w:val="000000" w:themeColor="text1"/>
          <w:sz w:val="22"/>
          <w:szCs w:val="22"/>
        </w:rPr>
        <w:t xml:space="preserve"> and </w:t>
      </w:r>
      <w:r w:rsidR="009C130D">
        <w:rPr>
          <w:rStyle w:val="normaltextrun"/>
          <w:rFonts w:ascii="Calibri" w:hAnsi="Calibri" w:cs="Calibri"/>
          <w:color w:val="000000" w:themeColor="text1"/>
          <w:sz w:val="22"/>
          <w:szCs w:val="22"/>
        </w:rPr>
        <w:t xml:space="preserve">vehicle </w:t>
      </w:r>
      <w:r w:rsidR="007A0B24">
        <w:rPr>
          <w:rStyle w:val="normaltextrun"/>
          <w:rFonts w:ascii="Calibri" w:hAnsi="Calibri" w:cs="Calibri"/>
          <w:color w:val="000000" w:themeColor="text1"/>
          <w:sz w:val="22"/>
          <w:szCs w:val="22"/>
        </w:rPr>
        <w:t>telematics identifier</w:t>
      </w:r>
      <w:r w:rsidR="00213032">
        <w:rPr>
          <w:rStyle w:val="normaltextrun"/>
          <w:rFonts w:ascii="Calibri" w:hAnsi="Calibri" w:cs="Calibri"/>
          <w:color w:val="000000" w:themeColor="text1"/>
          <w:sz w:val="22"/>
          <w:szCs w:val="22"/>
        </w:rPr>
        <w:t xml:space="preserve"> with </w:t>
      </w:r>
      <w:proofErr w:type="spellStart"/>
      <w:r w:rsidR="00213032">
        <w:rPr>
          <w:rStyle w:val="normaltextrun"/>
          <w:rFonts w:ascii="Calibri" w:hAnsi="Calibri" w:cs="Calibri"/>
          <w:color w:val="000000" w:themeColor="text1"/>
          <w:sz w:val="22"/>
          <w:szCs w:val="22"/>
        </w:rPr>
        <w:t>MoveEV</w:t>
      </w:r>
      <w:proofErr w:type="spellEnd"/>
      <w:r w:rsidR="005A4F13">
        <w:rPr>
          <w:rStyle w:val="normaltextrun"/>
          <w:rFonts w:ascii="Calibri" w:hAnsi="Calibri" w:cs="Calibri"/>
          <w:color w:val="000000" w:themeColor="text1"/>
          <w:sz w:val="22"/>
          <w:szCs w:val="22"/>
        </w:rPr>
        <w:t xml:space="preserve">. </w:t>
      </w:r>
      <w:r w:rsidR="00711C8C">
        <w:rPr>
          <w:rStyle w:val="normaltextrun"/>
          <w:rFonts w:ascii="Calibri" w:hAnsi="Calibri" w:cs="Calibri"/>
          <w:color w:val="000000" w:themeColor="text1"/>
          <w:sz w:val="22"/>
          <w:szCs w:val="22"/>
        </w:rPr>
        <w:t xml:space="preserve">Domicile EV users will only be asked to do this once and </w:t>
      </w:r>
      <w:proofErr w:type="spellStart"/>
      <w:r w:rsidR="00793595">
        <w:rPr>
          <w:rStyle w:val="normaltextrun"/>
          <w:rFonts w:ascii="Calibri" w:hAnsi="Calibri" w:cs="Calibri"/>
          <w:color w:val="000000" w:themeColor="text1"/>
          <w:sz w:val="22"/>
          <w:szCs w:val="22"/>
        </w:rPr>
        <w:t>MoveEV</w:t>
      </w:r>
      <w:proofErr w:type="spellEnd"/>
      <w:r w:rsidR="001A20FD">
        <w:rPr>
          <w:rStyle w:val="normaltextrun"/>
          <w:rFonts w:ascii="Calibri" w:hAnsi="Calibri" w:cs="Calibri"/>
          <w:color w:val="000000" w:themeColor="text1"/>
          <w:sz w:val="22"/>
          <w:szCs w:val="22"/>
        </w:rPr>
        <w:t xml:space="preserve"> will not be listing </w:t>
      </w:r>
      <w:r w:rsidR="00BD384B">
        <w:rPr>
          <w:rStyle w:val="normaltextrun"/>
          <w:rFonts w:ascii="Calibri" w:hAnsi="Calibri" w:cs="Calibri"/>
          <w:color w:val="000000" w:themeColor="text1"/>
          <w:sz w:val="22"/>
          <w:szCs w:val="22"/>
        </w:rPr>
        <w:t>the address</w:t>
      </w:r>
      <w:r w:rsidR="001A20FD">
        <w:rPr>
          <w:rStyle w:val="normaltextrun"/>
          <w:rFonts w:ascii="Calibri" w:hAnsi="Calibri" w:cs="Calibri"/>
          <w:color w:val="000000" w:themeColor="text1"/>
          <w:sz w:val="22"/>
          <w:szCs w:val="22"/>
        </w:rPr>
        <w:t xml:space="preserve"> on their electricity usage reports</w:t>
      </w:r>
      <w:r w:rsidR="00711C8C">
        <w:rPr>
          <w:rStyle w:val="normaltextrun"/>
          <w:rFonts w:ascii="Calibri" w:hAnsi="Calibri" w:cs="Calibri"/>
          <w:color w:val="000000" w:themeColor="text1"/>
          <w:sz w:val="22"/>
          <w:szCs w:val="22"/>
        </w:rPr>
        <w:t xml:space="preserve">. </w:t>
      </w:r>
      <w:r w:rsidR="00E85C1C">
        <w:rPr>
          <w:rStyle w:val="normaltextrun"/>
          <w:rFonts w:ascii="Calibri" w:hAnsi="Calibri" w:cs="Calibri"/>
          <w:color w:val="000000" w:themeColor="text1"/>
          <w:sz w:val="22"/>
          <w:szCs w:val="22"/>
        </w:rPr>
        <w:t xml:space="preserve">On a monthly basis, drivers will be required to upload their electricity bill to ensure that the correct electricity rates </w:t>
      </w:r>
      <w:r w:rsidR="00D55B80">
        <w:rPr>
          <w:rStyle w:val="normaltextrun"/>
          <w:rFonts w:ascii="Calibri" w:hAnsi="Calibri" w:cs="Calibri"/>
          <w:color w:val="000000" w:themeColor="text1"/>
          <w:sz w:val="22"/>
          <w:szCs w:val="22"/>
        </w:rPr>
        <w:t>used for reimbursement</w:t>
      </w:r>
      <w:r w:rsidR="00F36C3A">
        <w:rPr>
          <w:rStyle w:val="normaltextrun"/>
          <w:rFonts w:ascii="Calibri" w:hAnsi="Calibri" w:cs="Calibri"/>
          <w:color w:val="000000" w:themeColor="text1"/>
          <w:sz w:val="22"/>
          <w:szCs w:val="22"/>
        </w:rPr>
        <w:t xml:space="preserve"> are accurate and </w:t>
      </w:r>
      <w:proofErr w:type="gramStart"/>
      <w:r w:rsidR="00F36C3A">
        <w:rPr>
          <w:rStyle w:val="normaltextrun"/>
          <w:rFonts w:ascii="Calibri" w:hAnsi="Calibri" w:cs="Calibri"/>
          <w:color w:val="000000" w:themeColor="text1"/>
          <w:sz w:val="22"/>
          <w:szCs w:val="22"/>
        </w:rPr>
        <w:t>up-to-date</w:t>
      </w:r>
      <w:proofErr w:type="gramEnd"/>
      <w:r w:rsidR="00733A5E">
        <w:rPr>
          <w:rStyle w:val="normaltextrun"/>
          <w:rFonts w:ascii="Calibri" w:hAnsi="Calibri" w:cs="Calibri"/>
          <w:color w:val="000000" w:themeColor="text1"/>
          <w:sz w:val="22"/>
          <w:szCs w:val="22"/>
        </w:rPr>
        <w:t>.</w:t>
      </w:r>
      <w:r w:rsidR="006D4386">
        <w:rPr>
          <w:rStyle w:val="normaltextrun"/>
          <w:rFonts w:ascii="Calibri" w:hAnsi="Calibri" w:cs="Calibri"/>
          <w:color w:val="000000" w:themeColor="text1"/>
          <w:sz w:val="22"/>
          <w:szCs w:val="22"/>
        </w:rPr>
        <w:t xml:space="preserve"> </w:t>
      </w:r>
      <w:proofErr w:type="spellStart"/>
      <w:r w:rsidR="006D4386">
        <w:rPr>
          <w:rStyle w:val="normaltextrun"/>
          <w:rFonts w:ascii="Calibri" w:hAnsi="Calibri" w:cs="Calibri"/>
          <w:color w:val="000000" w:themeColor="text1"/>
          <w:sz w:val="22"/>
          <w:szCs w:val="22"/>
        </w:rPr>
        <w:t>MoveEV</w:t>
      </w:r>
      <w:proofErr w:type="spellEnd"/>
      <w:r w:rsidR="006D4386">
        <w:rPr>
          <w:rStyle w:val="normaltextrun"/>
          <w:rFonts w:ascii="Calibri" w:hAnsi="Calibri" w:cs="Calibri"/>
          <w:color w:val="000000" w:themeColor="text1"/>
          <w:sz w:val="22"/>
          <w:szCs w:val="22"/>
        </w:rPr>
        <w:t xml:space="preserve"> will provide a monthly report to the driver </w:t>
      </w:r>
      <w:r w:rsidR="00DE697E">
        <w:rPr>
          <w:rStyle w:val="normaltextrun"/>
          <w:rFonts w:ascii="Calibri" w:hAnsi="Calibri" w:cs="Calibri"/>
          <w:color w:val="000000" w:themeColor="text1"/>
          <w:sz w:val="22"/>
          <w:szCs w:val="22"/>
        </w:rPr>
        <w:t>outlining</w:t>
      </w:r>
      <w:r w:rsidR="006D4386">
        <w:rPr>
          <w:rStyle w:val="normaltextrun"/>
          <w:rFonts w:ascii="Calibri" w:hAnsi="Calibri" w:cs="Calibri"/>
          <w:color w:val="000000" w:themeColor="text1"/>
          <w:sz w:val="22"/>
          <w:szCs w:val="22"/>
        </w:rPr>
        <w:t xml:space="preserve"> all charges associated with EV charging for that month</w:t>
      </w:r>
      <w:r w:rsidR="00F36C3A">
        <w:rPr>
          <w:rStyle w:val="normaltextrun"/>
          <w:rFonts w:ascii="Calibri" w:hAnsi="Calibri" w:cs="Calibri"/>
          <w:color w:val="000000" w:themeColor="text1"/>
          <w:sz w:val="22"/>
          <w:szCs w:val="22"/>
        </w:rPr>
        <w:t>.</w:t>
      </w:r>
    </w:p>
    <w:p w14:paraId="6A3AD960" w14:textId="77777777" w:rsidR="008B2A0E" w:rsidRDefault="008B2A0E" w:rsidP="00DB066A">
      <w:pPr>
        <w:pStyle w:val="paragraph"/>
        <w:spacing w:before="0" w:beforeAutospacing="0" w:after="0" w:afterAutospacing="0"/>
        <w:textAlignment w:val="baseline"/>
        <w:rPr>
          <w:rStyle w:val="normaltextrun"/>
          <w:rFonts w:ascii="Calibri" w:hAnsi="Calibri" w:cs="Calibri"/>
          <w:color w:val="000000" w:themeColor="text1"/>
          <w:sz w:val="22"/>
          <w:szCs w:val="22"/>
        </w:rPr>
      </w:pPr>
    </w:p>
    <w:p w14:paraId="073D28B6" w14:textId="71D7F5DB" w:rsidR="00DB066A" w:rsidRDefault="006D4386" w:rsidP="00DB066A">
      <w:pPr>
        <w:pStyle w:val="paragraph"/>
        <w:spacing w:before="0" w:beforeAutospacing="0" w:after="0" w:afterAutospacing="0"/>
        <w:textAlignment w:val="baseline"/>
        <w:rPr>
          <w:rStyle w:val="eop"/>
          <w:rFonts w:ascii="Calibri" w:hAnsi="Calibri" w:cs="Calibri"/>
          <w:color w:val="000000" w:themeColor="text1"/>
          <w:sz w:val="22"/>
          <w:szCs w:val="22"/>
        </w:rPr>
      </w:pPr>
      <w:r>
        <w:rPr>
          <w:rStyle w:val="normaltextrun"/>
          <w:rFonts w:ascii="Calibri" w:hAnsi="Calibri" w:cs="Calibri"/>
          <w:color w:val="000000" w:themeColor="text1"/>
          <w:sz w:val="22"/>
          <w:szCs w:val="22"/>
        </w:rPr>
        <w:t>Electricity u</w:t>
      </w:r>
      <w:r w:rsidR="00830444" w:rsidRPr="37E3057A">
        <w:rPr>
          <w:rStyle w:val="normaltextrun"/>
          <w:rFonts w:ascii="Calibri" w:hAnsi="Calibri" w:cs="Calibri"/>
          <w:color w:val="000000" w:themeColor="text1"/>
          <w:sz w:val="22"/>
          <w:szCs w:val="22"/>
        </w:rPr>
        <w:t>sage for the purpose of reimbursement will be determined</w:t>
      </w:r>
      <w:r w:rsidR="004908F4">
        <w:rPr>
          <w:rStyle w:val="normaltextrun"/>
          <w:rFonts w:ascii="Calibri" w:hAnsi="Calibri" w:cs="Calibri"/>
          <w:color w:val="000000" w:themeColor="text1"/>
          <w:sz w:val="22"/>
          <w:szCs w:val="22"/>
        </w:rPr>
        <w:t xml:space="preserve"> by</w:t>
      </w:r>
      <w:r w:rsidR="00830444">
        <w:rPr>
          <w:rStyle w:val="normaltextrun"/>
          <w:rFonts w:ascii="Calibri" w:hAnsi="Calibri" w:cs="Calibri"/>
          <w:color w:val="000000" w:themeColor="text1"/>
          <w:sz w:val="22"/>
          <w:szCs w:val="22"/>
        </w:rPr>
        <w:t xml:space="preserve"> the telematics installed in the vehicle, which will also identify the geo-fence</w:t>
      </w:r>
      <w:r w:rsidR="00830444">
        <w:rPr>
          <w:rStyle w:val="FootnoteReference"/>
          <w:rFonts w:ascii="Calibri" w:hAnsi="Calibri" w:cs="Calibri"/>
          <w:color w:val="000000" w:themeColor="text1"/>
          <w:sz w:val="22"/>
          <w:szCs w:val="22"/>
        </w:rPr>
        <w:footnoteReference w:id="4"/>
      </w:r>
      <w:r w:rsidR="00830444">
        <w:rPr>
          <w:rStyle w:val="normaltextrun"/>
          <w:rFonts w:ascii="Calibri" w:hAnsi="Calibri" w:cs="Calibri"/>
          <w:color w:val="000000" w:themeColor="text1"/>
          <w:sz w:val="22"/>
          <w:szCs w:val="22"/>
        </w:rPr>
        <w:t xml:space="preserve"> location of said charging sessions.</w:t>
      </w:r>
      <w:r w:rsidR="004908F4">
        <w:rPr>
          <w:rStyle w:val="normaltextrun"/>
          <w:rFonts w:ascii="Calibri" w:hAnsi="Calibri" w:cs="Calibri"/>
          <w:color w:val="000000" w:themeColor="text1"/>
          <w:sz w:val="22"/>
          <w:szCs w:val="22"/>
        </w:rPr>
        <w:t xml:space="preserve"> Domicile</w:t>
      </w:r>
      <w:r w:rsidR="00AE378B">
        <w:rPr>
          <w:rStyle w:val="normaltextrun"/>
          <w:rFonts w:ascii="Calibri" w:hAnsi="Calibri" w:cs="Calibri"/>
          <w:color w:val="000000" w:themeColor="text1"/>
          <w:sz w:val="22"/>
          <w:szCs w:val="22"/>
        </w:rPr>
        <w:t xml:space="preserve"> EV users will </w:t>
      </w:r>
      <w:r w:rsidR="00FE269F">
        <w:rPr>
          <w:rStyle w:val="normaltextrun"/>
          <w:rFonts w:ascii="Calibri" w:hAnsi="Calibri" w:cs="Calibri"/>
          <w:color w:val="000000" w:themeColor="text1"/>
          <w:sz w:val="22"/>
          <w:szCs w:val="22"/>
        </w:rPr>
        <w:t xml:space="preserve">use the monthly </w:t>
      </w:r>
      <w:proofErr w:type="spellStart"/>
      <w:r w:rsidR="00FE269F">
        <w:rPr>
          <w:rStyle w:val="normaltextrun"/>
          <w:rFonts w:ascii="Calibri" w:hAnsi="Calibri" w:cs="Calibri"/>
          <w:color w:val="000000" w:themeColor="text1"/>
          <w:sz w:val="22"/>
          <w:szCs w:val="22"/>
        </w:rPr>
        <w:t>MoveEV</w:t>
      </w:r>
      <w:proofErr w:type="spellEnd"/>
      <w:r w:rsidR="00FE269F">
        <w:rPr>
          <w:rStyle w:val="normaltextrun"/>
          <w:rFonts w:ascii="Calibri" w:hAnsi="Calibri" w:cs="Calibri"/>
          <w:color w:val="000000" w:themeColor="text1"/>
          <w:sz w:val="22"/>
          <w:szCs w:val="22"/>
        </w:rPr>
        <w:t xml:space="preserve"> report to submit reimbursement requests to their agency </w:t>
      </w:r>
      <w:r w:rsidR="00EA2257">
        <w:rPr>
          <w:rStyle w:val="normaltextrun"/>
          <w:rFonts w:ascii="Calibri" w:hAnsi="Calibri" w:cs="Calibri"/>
          <w:color w:val="000000" w:themeColor="text1"/>
          <w:sz w:val="22"/>
          <w:szCs w:val="22"/>
        </w:rPr>
        <w:t xml:space="preserve">and follow the </w:t>
      </w:r>
      <w:r w:rsidR="0090174C">
        <w:rPr>
          <w:rStyle w:val="normaltextrun"/>
          <w:rFonts w:ascii="Calibri" w:hAnsi="Calibri" w:cs="Calibri"/>
          <w:color w:val="000000" w:themeColor="text1"/>
          <w:sz w:val="22"/>
          <w:szCs w:val="22"/>
        </w:rPr>
        <w:t xml:space="preserve">appropriate agency process to submit said data to their applicable agency division for </w:t>
      </w:r>
      <w:r w:rsidR="00830444">
        <w:rPr>
          <w:rStyle w:val="normaltextrun"/>
          <w:rFonts w:ascii="Calibri" w:hAnsi="Calibri" w:cs="Calibri"/>
          <w:color w:val="000000" w:themeColor="text1"/>
          <w:sz w:val="22"/>
          <w:szCs w:val="22"/>
        </w:rPr>
        <w:t>reimbursement of electricity costs.</w:t>
      </w:r>
      <w:r w:rsidR="00AE378B">
        <w:rPr>
          <w:rStyle w:val="normaltextrun"/>
          <w:rFonts w:ascii="Calibri" w:hAnsi="Calibri" w:cs="Calibri"/>
          <w:color w:val="000000" w:themeColor="text1"/>
          <w:sz w:val="22"/>
          <w:szCs w:val="22"/>
        </w:rPr>
        <w:t xml:space="preserve"> </w:t>
      </w:r>
      <w:r w:rsidR="0036501B">
        <w:rPr>
          <w:rStyle w:val="normaltextrun"/>
          <w:rFonts w:ascii="Calibri" w:hAnsi="Calibri" w:cs="Calibri"/>
          <w:color w:val="000000" w:themeColor="text1"/>
          <w:sz w:val="22"/>
          <w:szCs w:val="22"/>
        </w:rPr>
        <w:t xml:space="preserve">Agencies will be responsible for reimbursing employees </w:t>
      </w:r>
      <w:r w:rsidR="005C57BD">
        <w:rPr>
          <w:rStyle w:val="normaltextrun"/>
          <w:rFonts w:ascii="Calibri" w:hAnsi="Calibri" w:cs="Calibri"/>
          <w:color w:val="000000" w:themeColor="text1"/>
          <w:sz w:val="22"/>
          <w:szCs w:val="22"/>
        </w:rPr>
        <w:t xml:space="preserve">only </w:t>
      </w:r>
      <w:r w:rsidR="0036501B">
        <w:rPr>
          <w:rStyle w:val="normaltextrun"/>
          <w:rFonts w:ascii="Calibri" w:hAnsi="Calibri" w:cs="Calibri"/>
          <w:color w:val="000000" w:themeColor="text1"/>
          <w:sz w:val="22"/>
          <w:szCs w:val="22"/>
        </w:rPr>
        <w:t xml:space="preserve">for electricity usage </w:t>
      </w:r>
      <w:r w:rsidR="003B6196">
        <w:rPr>
          <w:rStyle w:val="normaltextrun"/>
          <w:rFonts w:ascii="Calibri" w:hAnsi="Calibri" w:cs="Calibri"/>
          <w:color w:val="000000" w:themeColor="text1"/>
          <w:sz w:val="22"/>
          <w:szCs w:val="22"/>
        </w:rPr>
        <w:t xml:space="preserve">associated with </w:t>
      </w:r>
      <w:r w:rsidR="0036501B">
        <w:rPr>
          <w:rStyle w:val="normaltextrun"/>
          <w:rFonts w:ascii="Calibri" w:hAnsi="Calibri" w:cs="Calibri"/>
          <w:color w:val="000000" w:themeColor="text1"/>
          <w:sz w:val="22"/>
          <w:szCs w:val="22"/>
        </w:rPr>
        <w:t>domicile</w:t>
      </w:r>
      <w:r w:rsidR="00D34324">
        <w:rPr>
          <w:rStyle w:val="normaltextrun"/>
          <w:rFonts w:ascii="Calibri" w:hAnsi="Calibri" w:cs="Calibri"/>
          <w:color w:val="000000" w:themeColor="text1"/>
          <w:sz w:val="22"/>
          <w:szCs w:val="22"/>
        </w:rPr>
        <w:t xml:space="preserve"> electric</w:t>
      </w:r>
      <w:r w:rsidR="0036501B">
        <w:rPr>
          <w:rStyle w:val="normaltextrun"/>
          <w:rFonts w:ascii="Calibri" w:hAnsi="Calibri" w:cs="Calibri"/>
          <w:color w:val="000000" w:themeColor="text1"/>
          <w:sz w:val="22"/>
          <w:szCs w:val="22"/>
        </w:rPr>
        <w:t xml:space="preserve"> </w:t>
      </w:r>
      <w:r w:rsidR="00D34324">
        <w:rPr>
          <w:rStyle w:val="normaltextrun"/>
          <w:rFonts w:ascii="Calibri" w:hAnsi="Calibri" w:cs="Calibri"/>
          <w:color w:val="000000" w:themeColor="text1"/>
          <w:sz w:val="22"/>
          <w:szCs w:val="22"/>
        </w:rPr>
        <w:t xml:space="preserve">vehicle charging </w:t>
      </w:r>
      <w:r w:rsidR="003962F9">
        <w:rPr>
          <w:rStyle w:val="normaltextrun"/>
          <w:rFonts w:ascii="Calibri" w:hAnsi="Calibri" w:cs="Calibri"/>
          <w:color w:val="000000" w:themeColor="text1"/>
          <w:sz w:val="22"/>
          <w:szCs w:val="22"/>
        </w:rPr>
        <w:t>as identified through</w:t>
      </w:r>
      <w:r w:rsidR="00D34324">
        <w:rPr>
          <w:rStyle w:val="normaltextrun"/>
          <w:rFonts w:ascii="Calibri" w:hAnsi="Calibri" w:cs="Calibri"/>
          <w:color w:val="000000" w:themeColor="text1"/>
          <w:sz w:val="22"/>
          <w:szCs w:val="22"/>
        </w:rPr>
        <w:t xml:space="preserve"> the </w:t>
      </w:r>
      <w:proofErr w:type="spellStart"/>
      <w:r w:rsidR="00D34324">
        <w:rPr>
          <w:rStyle w:val="normaltextrun"/>
          <w:rFonts w:ascii="Calibri" w:hAnsi="Calibri" w:cs="Calibri"/>
          <w:color w:val="000000" w:themeColor="text1"/>
          <w:sz w:val="22"/>
          <w:szCs w:val="22"/>
        </w:rPr>
        <w:t>MoveEV</w:t>
      </w:r>
      <w:proofErr w:type="spellEnd"/>
      <w:r w:rsidR="00D34324">
        <w:rPr>
          <w:rStyle w:val="normaltextrun"/>
          <w:rFonts w:ascii="Calibri" w:hAnsi="Calibri" w:cs="Calibri"/>
          <w:color w:val="000000" w:themeColor="text1"/>
          <w:sz w:val="22"/>
          <w:szCs w:val="22"/>
        </w:rPr>
        <w:t xml:space="preserve"> software</w:t>
      </w:r>
      <w:r w:rsidR="003962F9">
        <w:rPr>
          <w:rStyle w:val="normaltextrun"/>
          <w:rFonts w:ascii="Calibri" w:hAnsi="Calibri" w:cs="Calibri"/>
          <w:color w:val="000000" w:themeColor="text1"/>
          <w:sz w:val="22"/>
          <w:szCs w:val="22"/>
        </w:rPr>
        <w:t xml:space="preserve"> and monthly reports</w:t>
      </w:r>
      <w:r w:rsidR="00D34324">
        <w:rPr>
          <w:rStyle w:val="normaltextrun"/>
          <w:rFonts w:ascii="Calibri" w:hAnsi="Calibri" w:cs="Calibri"/>
          <w:color w:val="000000" w:themeColor="text1"/>
          <w:sz w:val="22"/>
          <w:szCs w:val="22"/>
        </w:rPr>
        <w:t xml:space="preserve">. </w:t>
      </w:r>
    </w:p>
    <w:p w14:paraId="46BC1E78" w14:textId="77777777" w:rsidR="000B5424" w:rsidRDefault="000B5424" w:rsidP="00DB066A">
      <w:pPr>
        <w:pStyle w:val="paragraph"/>
        <w:spacing w:before="0" w:beforeAutospacing="0" w:after="0" w:afterAutospacing="0"/>
        <w:textAlignment w:val="baseline"/>
        <w:rPr>
          <w:rStyle w:val="eop"/>
          <w:rFonts w:ascii="Calibri" w:hAnsi="Calibri" w:cs="Calibri"/>
          <w:color w:val="000000" w:themeColor="text1"/>
          <w:sz w:val="22"/>
          <w:szCs w:val="22"/>
        </w:rPr>
      </w:pPr>
    </w:p>
    <w:p w14:paraId="173EE9FD" w14:textId="6C72E4E6" w:rsidR="00A73C99" w:rsidRDefault="006D6481" w:rsidP="00F57D40">
      <w:pPr>
        <w:pStyle w:val="paragraph"/>
        <w:tabs>
          <w:tab w:val="left" w:pos="7738"/>
        </w:tabs>
        <w:spacing w:before="0" w:beforeAutospacing="0" w:after="0" w:afterAutospacing="0"/>
        <w:textAlignment w:val="baseline"/>
        <w:rPr>
          <w:rStyle w:val="eop"/>
          <w:rFonts w:ascii="Calibri" w:hAnsi="Calibri" w:cs="Calibri"/>
          <w:color w:val="000000"/>
          <w:sz w:val="22"/>
          <w:szCs w:val="22"/>
        </w:rPr>
      </w:pPr>
      <w:r w:rsidRPr="2217169C">
        <w:rPr>
          <w:rStyle w:val="eop"/>
          <w:rFonts w:ascii="Calibri" w:hAnsi="Calibri" w:cs="Calibri"/>
          <w:color w:val="000000" w:themeColor="text1"/>
          <w:sz w:val="22"/>
          <w:szCs w:val="22"/>
        </w:rPr>
        <w:lastRenderedPageBreak/>
        <w:t>As part of the grant application to DOER, agencies may re</w:t>
      </w:r>
      <w:r w:rsidR="00D933AC" w:rsidRPr="2217169C">
        <w:rPr>
          <w:rStyle w:val="eop"/>
          <w:rFonts w:ascii="Calibri" w:hAnsi="Calibri" w:cs="Calibri"/>
          <w:color w:val="000000" w:themeColor="text1"/>
          <w:sz w:val="22"/>
          <w:szCs w:val="22"/>
        </w:rPr>
        <w:t xml:space="preserve">quest funding to cover </w:t>
      </w:r>
      <w:r w:rsidRPr="2217169C">
        <w:rPr>
          <w:rStyle w:val="eop"/>
          <w:rFonts w:ascii="Calibri" w:hAnsi="Calibri" w:cs="Calibri"/>
          <w:color w:val="000000" w:themeColor="text1"/>
          <w:sz w:val="22"/>
          <w:szCs w:val="22"/>
        </w:rPr>
        <w:t>the fees associated with</w:t>
      </w:r>
      <w:r w:rsidR="00D933AC" w:rsidRPr="2217169C">
        <w:rPr>
          <w:rStyle w:val="eop"/>
          <w:rFonts w:ascii="Calibri" w:hAnsi="Calibri" w:cs="Calibri"/>
          <w:color w:val="000000" w:themeColor="text1"/>
          <w:sz w:val="22"/>
          <w:szCs w:val="22"/>
        </w:rPr>
        <w:t xml:space="preserve"> initial d</w:t>
      </w:r>
      <w:r w:rsidRPr="2217169C">
        <w:rPr>
          <w:rStyle w:val="eop"/>
          <w:rFonts w:ascii="Calibri" w:hAnsi="Calibri" w:cs="Calibri"/>
          <w:color w:val="000000" w:themeColor="text1"/>
          <w:sz w:val="22"/>
          <w:szCs w:val="22"/>
        </w:rPr>
        <w:t xml:space="preserve">river/vehicle registration </w:t>
      </w:r>
      <w:r w:rsidR="00D933AC" w:rsidRPr="2217169C">
        <w:rPr>
          <w:rStyle w:val="eop"/>
          <w:rFonts w:ascii="Calibri" w:hAnsi="Calibri" w:cs="Calibri"/>
          <w:color w:val="000000" w:themeColor="text1"/>
          <w:sz w:val="22"/>
          <w:szCs w:val="22"/>
        </w:rPr>
        <w:t>and the first year of ongoing monthly</w:t>
      </w:r>
      <w:r w:rsidR="00743517" w:rsidRPr="2217169C">
        <w:rPr>
          <w:rStyle w:val="eop"/>
          <w:rFonts w:ascii="Calibri" w:hAnsi="Calibri" w:cs="Calibri"/>
          <w:color w:val="000000" w:themeColor="text1"/>
          <w:sz w:val="22"/>
          <w:szCs w:val="22"/>
        </w:rPr>
        <w:t xml:space="preserve"> user</w:t>
      </w:r>
      <w:r w:rsidR="00D933AC" w:rsidRPr="2217169C">
        <w:rPr>
          <w:rStyle w:val="eop"/>
          <w:rFonts w:ascii="Calibri" w:hAnsi="Calibri" w:cs="Calibri"/>
          <w:color w:val="000000" w:themeColor="text1"/>
          <w:sz w:val="22"/>
          <w:szCs w:val="22"/>
        </w:rPr>
        <w:t xml:space="preserve"> fees</w:t>
      </w:r>
      <w:r w:rsidR="00C915E7" w:rsidRPr="2217169C">
        <w:rPr>
          <w:rStyle w:val="eop"/>
          <w:rFonts w:ascii="Calibri" w:hAnsi="Calibri" w:cs="Calibri"/>
          <w:color w:val="000000" w:themeColor="text1"/>
          <w:sz w:val="22"/>
          <w:szCs w:val="22"/>
        </w:rPr>
        <w:t xml:space="preserve"> (estimated at $10 per month per vehicle)</w:t>
      </w:r>
      <w:r w:rsidR="00D933AC" w:rsidRPr="2217169C">
        <w:rPr>
          <w:rStyle w:val="eop"/>
          <w:rFonts w:ascii="Calibri" w:hAnsi="Calibri" w:cs="Calibri"/>
          <w:color w:val="000000" w:themeColor="text1"/>
          <w:sz w:val="22"/>
          <w:szCs w:val="22"/>
        </w:rPr>
        <w:t>. Following this period</w:t>
      </w:r>
      <w:r w:rsidR="00873A58" w:rsidRPr="2217169C">
        <w:rPr>
          <w:rStyle w:val="eop"/>
          <w:rFonts w:ascii="Calibri" w:hAnsi="Calibri" w:cs="Calibri"/>
          <w:color w:val="000000" w:themeColor="text1"/>
          <w:sz w:val="22"/>
          <w:szCs w:val="22"/>
        </w:rPr>
        <w:t xml:space="preserve">, agencies will be responsible for </w:t>
      </w:r>
      <w:proofErr w:type="gramStart"/>
      <w:r w:rsidR="00873A58" w:rsidRPr="2217169C">
        <w:rPr>
          <w:rStyle w:val="eop"/>
          <w:rFonts w:ascii="Calibri" w:hAnsi="Calibri" w:cs="Calibri"/>
          <w:color w:val="000000" w:themeColor="text1"/>
          <w:sz w:val="22"/>
          <w:szCs w:val="22"/>
        </w:rPr>
        <w:t>paying for</w:t>
      </w:r>
      <w:proofErr w:type="gramEnd"/>
      <w:r w:rsidR="00873A58" w:rsidRPr="2217169C">
        <w:rPr>
          <w:rStyle w:val="eop"/>
          <w:rFonts w:ascii="Calibri" w:hAnsi="Calibri" w:cs="Calibri"/>
          <w:color w:val="000000" w:themeColor="text1"/>
          <w:sz w:val="22"/>
          <w:szCs w:val="22"/>
        </w:rPr>
        <w:t xml:space="preserve"> </w:t>
      </w:r>
      <w:r w:rsidR="00743517" w:rsidRPr="2217169C">
        <w:rPr>
          <w:rStyle w:val="eop"/>
          <w:rFonts w:ascii="Calibri" w:hAnsi="Calibri" w:cs="Calibri"/>
          <w:color w:val="000000" w:themeColor="text1"/>
          <w:sz w:val="22"/>
          <w:szCs w:val="22"/>
        </w:rPr>
        <w:t xml:space="preserve">monthly user </w:t>
      </w:r>
      <w:r w:rsidR="00873A58" w:rsidRPr="2217169C">
        <w:rPr>
          <w:rStyle w:val="eop"/>
          <w:rFonts w:ascii="Calibri" w:hAnsi="Calibri" w:cs="Calibri"/>
          <w:color w:val="000000" w:themeColor="text1"/>
          <w:sz w:val="22"/>
          <w:szCs w:val="22"/>
        </w:rPr>
        <w:t xml:space="preserve">fees. </w:t>
      </w:r>
    </w:p>
    <w:p w14:paraId="3CB264FD" w14:textId="77777777" w:rsidR="00873A58" w:rsidRDefault="00873A58" w:rsidP="00F57D40">
      <w:pPr>
        <w:pStyle w:val="paragraph"/>
        <w:tabs>
          <w:tab w:val="left" w:pos="7738"/>
        </w:tabs>
        <w:spacing w:before="0" w:beforeAutospacing="0" w:after="0" w:afterAutospacing="0"/>
        <w:textAlignment w:val="baseline"/>
        <w:rPr>
          <w:rStyle w:val="eop"/>
          <w:rFonts w:ascii="Calibri" w:hAnsi="Calibri" w:cs="Calibri"/>
          <w:color w:val="000000"/>
          <w:sz w:val="22"/>
          <w:szCs w:val="22"/>
        </w:rPr>
      </w:pPr>
    </w:p>
    <w:p w14:paraId="180AFFC4" w14:textId="76DB0058" w:rsidR="007029BD" w:rsidRPr="00B664A4" w:rsidRDefault="007029BD" w:rsidP="0053367A">
      <w:pPr>
        <w:pStyle w:val="ListParagraph"/>
        <w:numPr>
          <w:ilvl w:val="0"/>
          <w:numId w:val="2"/>
        </w:numPr>
        <w:spacing w:after="0"/>
        <w:ind w:left="706"/>
        <w:rPr>
          <w:b/>
          <w:bCs/>
        </w:rPr>
      </w:pPr>
      <w:bookmarkStart w:id="0" w:name="_Hlk198553740"/>
      <w:r w:rsidRPr="08797A20">
        <w:rPr>
          <w:b/>
          <w:bCs/>
        </w:rPr>
        <w:t xml:space="preserve">Removal of Equipment </w:t>
      </w:r>
    </w:p>
    <w:p w14:paraId="12ECC599" w14:textId="2A684895" w:rsidR="00542CC3" w:rsidRDefault="00F6269D" w:rsidP="003D3725">
      <w:pPr>
        <w:spacing w:after="0"/>
      </w:pPr>
      <w:r>
        <w:t>If, at any point</w:t>
      </w:r>
      <w:r w:rsidR="00412BDC">
        <w:t xml:space="preserve"> within </w:t>
      </w:r>
      <w:r w:rsidR="004B0037">
        <w:t>seven</w:t>
      </w:r>
      <w:r w:rsidR="00412BDC">
        <w:t xml:space="preserve"> years of </w:t>
      </w:r>
      <w:r w:rsidR="00056AA6">
        <w:t>charging equipment installation</w:t>
      </w:r>
      <w:r>
        <w:t xml:space="preserve">, a domicile EV user is not appropriately maintaining or utilizing any external equipment acquired through this policy, including charging cords and/or plug-in charging stations, properly, the agency of employment may elect to remove the equipment. </w:t>
      </w:r>
      <w:r w:rsidR="00E14C78">
        <w:t xml:space="preserve">Additionally, </w:t>
      </w:r>
      <w:r w:rsidR="001D0CAE">
        <w:t>s</w:t>
      </w:r>
      <w:r w:rsidR="007029BD">
        <w:t>hould the domicile EV user no longer be authorized as a domicile EV user or leave state employment</w:t>
      </w:r>
      <w:r w:rsidR="00B136E7">
        <w:t xml:space="preserve"> within </w:t>
      </w:r>
      <w:r w:rsidR="00C13D80">
        <w:t>seven years of equipment installation</w:t>
      </w:r>
      <w:r w:rsidR="007029BD">
        <w:t xml:space="preserve">, any </w:t>
      </w:r>
      <w:r w:rsidR="00CC28EF">
        <w:t xml:space="preserve">equipment acquired through this policy </w:t>
      </w:r>
      <w:r w:rsidR="007029BD">
        <w:t>must be returned with the domicile vehicle.</w:t>
      </w:r>
      <w:r w:rsidR="00371853">
        <w:t xml:space="preserve"> </w:t>
      </w:r>
      <w:r w:rsidR="003E235C">
        <w:t>Removal of hard-wired stations must be done by a licensed electrician</w:t>
      </w:r>
      <w:r w:rsidR="00974FC9">
        <w:t xml:space="preserve"> approved by the agency</w:t>
      </w:r>
      <w:r w:rsidR="003E235C">
        <w:t xml:space="preserve">. </w:t>
      </w:r>
      <w:r w:rsidR="004F625B">
        <w:t xml:space="preserve">Costs associated with the removal </w:t>
      </w:r>
      <w:r w:rsidR="00A85C37">
        <w:t xml:space="preserve">of any equipment installed through this program will be the responsibility of the applicable agency. </w:t>
      </w:r>
      <w:r w:rsidR="001D0CAE">
        <w:t xml:space="preserve">After </w:t>
      </w:r>
      <w:r w:rsidR="00A77F68">
        <w:t>seven</w:t>
      </w:r>
      <w:r w:rsidR="001D0CAE">
        <w:t xml:space="preserve"> years, any equipment installed </w:t>
      </w:r>
      <w:r w:rsidR="008D69C1">
        <w:t xml:space="preserve">that requires </w:t>
      </w:r>
      <w:r w:rsidR="007E06E3">
        <w:t xml:space="preserve">a licensed electrician to remove </w:t>
      </w:r>
      <w:r w:rsidR="001D0CAE">
        <w:t xml:space="preserve">will become the property of the </w:t>
      </w:r>
      <w:r w:rsidR="00A77F68">
        <w:t>employee</w:t>
      </w:r>
      <w:r w:rsidR="0075326C">
        <w:t xml:space="preserve">. </w:t>
      </w:r>
    </w:p>
    <w:bookmarkEnd w:id="0"/>
    <w:p w14:paraId="2D5BC152" w14:textId="77777777" w:rsidR="003D3725" w:rsidRDefault="003D3725" w:rsidP="003D3725">
      <w:pPr>
        <w:spacing w:after="0"/>
      </w:pPr>
    </w:p>
    <w:p w14:paraId="0FD005EC" w14:textId="6BFC39AF" w:rsidR="005D2867" w:rsidRDefault="007A3BB2" w:rsidP="00CB22BA">
      <w:pPr>
        <w:pStyle w:val="ListParagraph"/>
        <w:numPr>
          <w:ilvl w:val="0"/>
          <w:numId w:val="2"/>
        </w:numPr>
        <w:spacing w:after="0"/>
        <w:ind w:left="778"/>
        <w:rPr>
          <w:b/>
          <w:bCs/>
        </w:rPr>
      </w:pPr>
      <w:r w:rsidRPr="00E06F2A">
        <w:rPr>
          <w:b/>
        </w:rPr>
        <w:t>Liability</w:t>
      </w:r>
      <w:r w:rsidR="00BE2014">
        <w:rPr>
          <w:b/>
          <w:bCs/>
        </w:rPr>
        <w:t xml:space="preserve"> and Insurance</w:t>
      </w:r>
    </w:p>
    <w:p w14:paraId="64C8DD63" w14:textId="77777777" w:rsidR="001A431C" w:rsidRDefault="001A431C" w:rsidP="003D3725">
      <w:pPr>
        <w:spacing w:after="0"/>
      </w:pPr>
      <w:r>
        <w:t xml:space="preserve">This policy relies on insurance and performance requirements laid out in the OSD statewide contracts </w:t>
      </w:r>
      <w:hyperlink r:id="rId20" w:anchor=":~:text=Header%20Information.%20Bid%20Number:" w:history="1">
        <w:r w:rsidRPr="007C143E">
          <w:rPr>
            <w:rStyle w:val="Hyperlink"/>
          </w:rPr>
          <w:t>TRD01</w:t>
        </w:r>
      </w:hyperlink>
      <w:r>
        <w:t xml:space="preserve"> and </w:t>
      </w:r>
      <w:hyperlink r:id="rId21" w:anchor=":~:text=Short%20Description:%20VEH102%20Advanced%20Vehicle%20Technology" w:history="1">
        <w:r w:rsidRPr="00FA6934">
          <w:rPr>
            <w:rStyle w:val="Hyperlink"/>
          </w:rPr>
          <w:t>VEH102</w:t>
        </w:r>
      </w:hyperlink>
      <w:r>
        <w:t xml:space="preserve">, which require minimum insurance coverage related to any work performed under these contracts, including but not limited to Commercial Liability Insurance of not less than $1,000,000 per occurrence or $1,000,000 aggregate, Property Insurance, Personal Injury Insurance, and Workers Compensation Insurance. Additionally, by signing the </w:t>
      </w:r>
      <w:hyperlink r:id="rId22" w:anchor=":~:text=The%20following%20Instructions,%20Contractor%20Certifications%20and" w:history="1">
        <w:r>
          <w:rPr>
            <w:rStyle w:val="Hyperlink"/>
          </w:rPr>
          <w:t>OSD Standard Contract Form</w:t>
        </w:r>
      </w:hyperlink>
      <w:r w:rsidRPr="00A94151">
        <w:t>,</w:t>
      </w:r>
      <w:r>
        <w:t xml:space="preserve"> </w:t>
      </w:r>
      <w:r w:rsidRPr="00A94151">
        <w:t>which incorporates by reference the applicable Commonwealth Terms and Conditions</w:t>
      </w:r>
      <w:r>
        <w:t>, vendors certify that their performance shall, “</w:t>
      </w:r>
      <w:r w:rsidRPr="00432AEB">
        <w:t>meet or exceed industry standards for the performance required, which includes obtaining requisite licenses, registrations, permits, resources for performance, and sufficient professional, liability, and other appropriate insurance to cover the performance.</w:t>
      </w:r>
      <w:r>
        <w:t>”</w:t>
      </w:r>
    </w:p>
    <w:p w14:paraId="18BB4EC0" w14:textId="77777777" w:rsidR="001A431C" w:rsidRDefault="001A431C" w:rsidP="003D3725">
      <w:pPr>
        <w:pStyle w:val="ListParagraph"/>
        <w:spacing w:after="0" w:line="240" w:lineRule="auto"/>
        <w:ind w:left="778"/>
        <w:rPr>
          <w:b/>
          <w:bCs/>
        </w:rPr>
      </w:pPr>
    </w:p>
    <w:p w14:paraId="63AC1086" w14:textId="2E81160A" w:rsidR="001A431C" w:rsidRDefault="001A431C" w:rsidP="00D53365">
      <w:pPr>
        <w:pStyle w:val="ListParagraph"/>
        <w:numPr>
          <w:ilvl w:val="0"/>
          <w:numId w:val="2"/>
        </w:numPr>
        <w:spacing w:after="0"/>
        <w:ind w:left="850"/>
        <w:rPr>
          <w:b/>
          <w:bCs/>
        </w:rPr>
      </w:pPr>
      <w:r>
        <w:rPr>
          <w:b/>
          <w:bCs/>
        </w:rPr>
        <w:t>Contacts</w:t>
      </w:r>
    </w:p>
    <w:p w14:paraId="67D00497" w14:textId="7AAB0186" w:rsidR="004D3839" w:rsidRPr="003D3725" w:rsidRDefault="003D3725" w:rsidP="001A431C">
      <w:pPr>
        <w:spacing w:after="0"/>
      </w:pPr>
      <w:r w:rsidRPr="003D3725">
        <w:t xml:space="preserve">For any questions about this policy or the LBE grant program, please contact: </w:t>
      </w:r>
    </w:p>
    <w:p w14:paraId="3C2D16A7" w14:textId="1C8412DD" w:rsidR="004D3839" w:rsidRDefault="004D3839" w:rsidP="001A431C">
      <w:pPr>
        <w:spacing w:after="0"/>
      </w:pPr>
      <w:r w:rsidRPr="004D3839">
        <w:t>Morgan Bowler, Clean Energy and Sustainability Coordinator</w:t>
      </w:r>
      <w:r w:rsidR="003D3725">
        <w:t>, DOER</w:t>
      </w:r>
    </w:p>
    <w:p w14:paraId="379117A6" w14:textId="3414279A" w:rsidR="007A3BB2" w:rsidRPr="00E06F2A" w:rsidRDefault="00051D85" w:rsidP="464A2724">
      <w:pPr>
        <w:spacing w:after="0"/>
      </w:pPr>
      <w:r>
        <w:t xml:space="preserve">Email: </w:t>
      </w:r>
      <w:hyperlink r:id="rId23">
        <w:r w:rsidRPr="464A2724">
          <w:rPr>
            <w:rStyle w:val="Hyperlink"/>
          </w:rPr>
          <w:t>morgan.bowler@mass.gov</w:t>
        </w:r>
      </w:hyperlink>
    </w:p>
    <w:sectPr w:rsidR="007A3BB2" w:rsidRPr="00E06F2A" w:rsidSect="00156D6B">
      <w:headerReference w:type="default" r:id="rId24"/>
      <w:footerReference w:type="default" r:id="rId25"/>
      <w:headerReference w:type="first" r:id="rId26"/>
      <w:footerReference w:type="first" r:id="rId27"/>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FC360" w14:textId="77777777" w:rsidR="00313ADA" w:rsidRDefault="00313ADA" w:rsidP="00E56B51">
      <w:pPr>
        <w:spacing w:after="0" w:line="240" w:lineRule="auto"/>
      </w:pPr>
      <w:r>
        <w:separator/>
      </w:r>
    </w:p>
  </w:endnote>
  <w:endnote w:type="continuationSeparator" w:id="0">
    <w:p w14:paraId="62EC675E" w14:textId="77777777" w:rsidR="00313ADA" w:rsidRDefault="00313ADA" w:rsidP="00E56B51">
      <w:pPr>
        <w:spacing w:after="0" w:line="240" w:lineRule="auto"/>
      </w:pPr>
      <w:r>
        <w:continuationSeparator/>
      </w:r>
    </w:p>
  </w:endnote>
  <w:endnote w:type="continuationNotice" w:id="1">
    <w:p w14:paraId="037EA6A9" w14:textId="77777777" w:rsidR="00313ADA" w:rsidRDefault="00313A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5D52283" w14:paraId="79F7F874" w14:textId="77777777" w:rsidTr="55D52283">
      <w:trPr>
        <w:trHeight w:val="300"/>
      </w:trPr>
      <w:tc>
        <w:tcPr>
          <w:tcW w:w="3360" w:type="dxa"/>
        </w:tcPr>
        <w:p w14:paraId="3D61F435" w14:textId="245083C2" w:rsidR="55D52283" w:rsidRDefault="55D52283" w:rsidP="55D52283">
          <w:pPr>
            <w:pStyle w:val="Header"/>
            <w:ind w:left="-115"/>
          </w:pPr>
        </w:p>
      </w:tc>
      <w:tc>
        <w:tcPr>
          <w:tcW w:w="3360" w:type="dxa"/>
        </w:tcPr>
        <w:p w14:paraId="6AE86747" w14:textId="32DD616A" w:rsidR="55D52283" w:rsidRDefault="55D52283" w:rsidP="55D52283">
          <w:pPr>
            <w:pStyle w:val="Header"/>
            <w:jc w:val="center"/>
          </w:pPr>
        </w:p>
      </w:tc>
      <w:tc>
        <w:tcPr>
          <w:tcW w:w="3360" w:type="dxa"/>
        </w:tcPr>
        <w:p w14:paraId="34A95493" w14:textId="4801D367" w:rsidR="55D52283" w:rsidRDefault="55D52283" w:rsidP="55D52283">
          <w:pPr>
            <w:pStyle w:val="Header"/>
            <w:ind w:right="-115"/>
            <w:jc w:val="right"/>
          </w:pPr>
        </w:p>
      </w:tc>
    </w:tr>
  </w:tbl>
  <w:p w14:paraId="07761969" w14:textId="4CAC8861" w:rsidR="00494FA3" w:rsidRDefault="00494F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5D52283" w14:paraId="5A803929" w14:textId="77777777" w:rsidTr="55D52283">
      <w:trPr>
        <w:trHeight w:val="300"/>
      </w:trPr>
      <w:tc>
        <w:tcPr>
          <w:tcW w:w="3360" w:type="dxa"/>
        </w:tcPr>
        <w:p w14:paraId="5A418105" w14:textId="7DB6FCFA" w:rsidR="55D52283" w:rsidRDefault="55D52283" w:rsidP="55D52283">
          <w:pPr>
            <w:pStyle w:val="Header"/>
            <w:ind w:left="-115"/>
          </w:pPr>
        </w:p>
      </w:tc>
      <w:tc>
        <w:tcPr>
          <w:tcW w:w="3360" w:type="dxa"/>
        </w:tcPr>
        <w:p w14:paraId="2D733BCF" w14:textId="0EF4DE29" w:rsidR="55D52283" w:rsidRDefault="55D52283" w:rsidP="55D52283">
          <w:pPr>
            <w:pStyle w:val="Header"/>
            <w:jc w:val="center"/>
          </w:pPr>
        </w:p>
      </w:tc>
      <w:tc>
        <w:tcPr>
          <w:tcW w:w="3360" w:type="dxa"/>
        </w:tcPr>
        <w:p w14:paraId="6B6FC26A" w14:textId="1DD32950" w:rsidR="55D52283" w:rsidRDefault="55D52283" w:rsidP="55D52283">
          <w:pPr>
            <w:pStyle w:val="Header"/>
            <w:ind w:right="-115"/>
            <w:jc w:val="right"/>
          </w:pPr>
        </w:p>
      </w:tc>
    </w:tr>
  </w:tbl>
  <w:p w14:paraId="1F8A1CD0" w14:textId="1F74A2CA" w:rsidR="00494FA3" w:rsidRDefault="00494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9E990" w14:textId="77777777" w:rsidR="00313ADA" w:rsidRDefault="00313ADA" w:rsidP="00E56B51">
      <w:pPr>
        <w:spacing w:after="0" w:line="240" w:lineRule="auto"/>
      </w:pPr>
      <w:r>
        <w:separator/>
      </w:r>
    </w:p>
  </w:footnote>
  <w:footnote w:type="continuationSeparator" w:id="0">
    <w:p w14:paraId="6A0D73C1" w14:textId="77777777" w:rsidR="00313ADA" w:rsidRDefault="00313ADA" w:rsidP="00E56B51">
      <w:pPr>
        <w:spacing w:after="0" w:line="240" w:lineRule="auto"/>
      </w:pPr>
      <w:r>
        <w:continuationSeparator/>
      </w:r>
    </w:p>
  </w:footnote>
  <w:footnote w:type="continuationNotice" w:id="1">
    <w:p w14:paraId="31C67C9E" w14:textId="77777777" w:rsidR="00313ADA" w:rsidRDefault="00313ADA">
      <w:pPr>
        <w:spacing w:after="0" w:line="240" w:lineRule="auto"/>
      </w:pPr>
    </w:p>
  </w:footnote>
  <w:footnote w:id="2">
    <w:p w14:paraId="046BAF13" w14:textId="6E7C5F8D" w:rsidR="00037C88" w:rsidRDefault="00037C88">
      <w:pPr>
        <w:pStyle w:val="FootnoteText"/>
      </w:pPr>
      <w:r>
        <w:rPr>
          <w:rStyle w:val="FootnoteReference"/>
        </w:rPr>
        <w:footnoteRef/>
      </w:r>
      <w:r>
        <w:t xml:space="preserve"> DOER </w:t>
      </w:r>
      <w:r w:rsidR="00596774">
        <w:t xml:space="preserve">may </w:t>
      </w:r>
      <w:r>
        <w:t xml:space="preserve">consider on a </w:t>
      </w:r>
      <w:r w:rsidR="009D0359">
        <w:t>case-by-case</w:t>
      </w:r>
      <w:r>
        <w:t xml:space="preserve"> basis alternative </w:t>
      </w:r>
      <w:r w:rsidR="00826EB7">
        <w:t xml:space="preserve">contracting methods </w:t>
      </w:r>
      <w:r>
        <w:t xml:space="preserve">on the condition that </w:t>
      </w:r>
      <w:r w:rsidR="00404601">
        <w:t>vendors are held to the same standard as the state contract</w:t>
      </w:r>
      <w:r w:rsidR="007E010E">
        <w:t>s</w:t>
      </w:r>
      <w:r w:rsidR="00404601">
        <w:t xml:space="preserve"> require. </w:t>
      </w:r>
    </w:p>
  </w:footnote>
  <w:footnote w:id="3">
    <w:p w14:paraId="7132AA3C" w14:textId="56166B02" w:rsidR="00E56B51" w:rsidRDefault="00E56B51">
      <w:pPr>
        <w:pStyle w:val="FootnoteText"/>
      </w:pPr>
      <w:r w:rsidRPr="007257D4">
        <w:rPr>
          <w:rStyle w:val="FootnoteReference"/>
        </w:rPr>
        <w:footnoteRef/>
      </w:r>
      <w:r w:rsidRPr="007257D4">
        <w:t xml:space="preserve"> </w:t>
      </w:r>
      <w:r w:rsidR="002250D6" w:rsidRPr="00657F95">
        <w:t>DOER</w:t>
      </w:r>
      <w:r w:rsidR="00BB632C" w:rsidRPr="00657F95">
        <w:t xml:space="preserve"> </w:t>
      </w:r>
      <w:r w:rsidR="002250D6">
        <w:t>in its sole discretion reserves the right to review and, in some cases, approve p</w:t>
      </w:r>
      <w:r w:rsidR="005567DF">
        <w:t>rojects greater than $5,000 if</w:t>
      </w:r>
      <w:r w:rsidR="000D0BC8">
        <w:t xml:space="preserve"> all elements of the project are</w:t>
      </w:r>
      <w:r w:rsidR="005567DF">
        <w:t xml:space="preserve"> deemed necessary. </w:t>
      </w:r>
    </w:p>
  </w:footnote>
  <w:footnote w:id="4">
    <w:p w14:paraId="0926AD31" w14:textId="77777777" w:rsidR="00830444" w:rsidRPr="00F164F1" w:rsidRDefault="00830444" w:rsidP="00830444">
      <w:pPr>
        <w:pStyle w:val="FootnoteText"/>
      </w:pPr>
      <w:r>
        <w:rPr>
          <w:rStyle w:val="FootnoteReference"/>
        </w:rPr>
        <w:footnoteRef/>
      </w:r>
      <w:r>
        <w:t xml:space="preserve"> </w:t>
      </w:r>
      <w:r w:rsidRPr="00F164F1">
        <w:rPr>
          <w:rStyle w:val="normaltextrun"/>
          <w:rFonts w:ascii="Calibri" w:hAnsi="Calibri" w:cs="Calibri"/>
          <w:color w:val="000000" w:themeColor="text1"/>
        </w:rPr>
        <w:t>a virtual geographic boundary around a physical location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5D52283" w14:paraId="1D197B07" w14:textId="77777777" w:rsidTr="55D52283">
      <w:trPr>
        <w:trHeight w:val="300"/>
      </w:trPr>
      <w:tc>
        <w:tcPr>
          <w:tcW w:w="3360" w:type="dxa"/>
        </w:tcPr>
        <w:p w14:paraId="7D486909" w14:textId="546E5568" w:rsidR="55D52283" w:rsidRDefault="55D52283" w:rsidP="55D52283">
          <w:pPr>
            <w:pStyle w:val="Header"/>
            <w:ind w:left="-115"/>
          </w:pPr>
        </w:p>
      </w:tc>
      <w:tc>
        <w:tcPr>
          <w:tcW w:w="3360" w:type="dxa"/>
        </w:tcPr>
        <w:p w14:paraId="0E3E0D36" w14:textId="1C0AD7A6" w:rsidR="55D52283" w:rsidRDefault="55D52283" w:rsidP="55D52283">
          <w:pPr>
            <w:pStyle w:val="Header"/>
            <w:jc w:val="center"/>
          </w:pPr>
        </w:p>
      </w:tc>
      <w:tc>
        <w:tcPr>
          <w:tcW w:w="3360" w:type="dxa"/>
        </w:tcPr>
        <w:p w14:paraId="35370E91" w14:textId="066DD9A6" w:rsidR="55D52283" w:rsidRDefault="55D52283" w:rsidP="55D52283">
          <w:pPr>
            <w:pStyle w:val="Header"/>
            <w:ind w:right="-115"/>
            <w:jc w:val="right"/>
          </w:pPr>
        </w:p>
      </w:tc>
    </w:tr>
  </w:tbl>
  <w:p w14:paraId="28C7AA11" w14:textId="1D761427" w:rsidR="00494FA3" w:rsidRDefault="00494F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DCB7" w14:textId="3DA72355" w:rsidR="002914B6" w:rsidRDefault="002914B6" w:rsidP="00156D6B">
    <w:pPr>
      <w:spacing w:after="60" w:line="240" w:lineRule="auto"/>
      <w:jc w:val="center"/>
      <w:rPr>
        <w:b/>
        <w:bCs/>
        <w:sz w:val="28"/>
        <w:szCs w:val="28"/>
      </w:rPr>
    </w:pPr>
    <w:r>
      <w:rPr>
        <w:noProof/>
      </w:rPr>
      <w:drawing>
        <wp:anchor distT="0" distB="0" distL="114300" distR="114300" simplePos="0" relativeHeight="251658240" behindDoc="0" locked="0" layoutInCell="1" allowOverlap="1" wp14:anchorId="2C3A43B1" wp14:editId="634FDBA3">
          <wp:simplePos x="0" y="0"/>
          <wp:positionH relativeFrom="column">
            <wp:posOffset>-571500</wp:posOffset>
          </wp:positionH>
          <wp:positionV relativeFrom="paragraph">
            <wp:posOffset>-390525</wp:posOffset>
          </wp:positionV>
          <wp:extent cx="762000" cy="762000"/>
          <wp:effectExtent l="0" t="0" r="0" b="0"/>
          <wp:wrapNone/>
          <wp:docPr id="1797313350" name="Picture 1" descr="What is the State Seal of Massachusetts? Learn What the MA State Se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the State Seal of Massachusetts? Learn What the MA State Seal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1E474863" wp14:editId="2046B274">
          <wp:simplePos x="0" y="0"/>
          <wp:positionH relativeFrom="column">
            <wp:posOffset>6219190</wp:posOffset>
          </wp:positionH>
          <wp:positionV relativeFrom="paragraph">
            <wp:posOffset>-391160</wp:posOffset>
          </wp:positionV>
          <wp:extent cx="714375" cy="714375"/>
          <wp:effectExtent l="0" t="0" r="9525" b="9525"/>
          <wp:wrapNone/>
          <wp:docPr id="2080949605" name="Picture 2" descr="MA Climate Change Clearing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 Climate Change Clearinghou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9BD4C0" w14:textId="30116DFE" w:rsidR="00156D6B" w:rsidRDefault="55D52283" w:rsidP="00156D6B">
    <w:pPr>
      <w:spacing w:after="60" w:line="240" w:lineRule="auto"/>
      <w:jc w:val="center"/>
      <w:rPr>
        <w:b/>
        <w:bCs/>
        <w:sz w:val="28"/>
        <w:szCs w:val="28"/>
      </w:rPr>
    </w:pPr>
    <w:r w:rsidRPr="55D52283">
      <w:rPr>
        <w:b/>
        <w:bCs/>
        <w:sz w:val="28"/>
        <w:szCs w:val="28"/>
      </w:rPr>
      <w:t xml:space="preserve">Massachusetts Domicile Electric Vehicle Charging Policy </w:t>
    </w:r>
  </w:p>
  <w:p w14:paraId="6BABC9C2" w14:textId="6EC9FF09" w:rsidR="00156D6B" w:rsidRPr="00912C99" w:rsidRDefault="00156D6B" w:rsidP="00156D6B">
    <w:pPr>
      <w:spacing w:after="60" w:line="240" w:lineRule="auto"/>
      <w:jc w:val="center"/>
    </w:pPr>
    <w:r w:rsidRPr="00912C99">
      <w:t xml:space="preserve">Issued by </w:t>
    </w:r>
    <w:r w:rsidR="00912C99" w:rsidRPr="00912C99">
      <w:t>the Executive Office</w:t>
    </w:r>
    <w:r w:rsidR="00830282">
      <w:t>s</w:t>
    </w:r>
    <w:r w:rsidR="00912C99" w:rsidRPr="00912C99">
      <w:t xml:space="preserve"> of </w:t>
    </w:r>
    <w:r w:rsidR="00830282">
      <w:t xml:space="preserve">Energy and </w:t>
    </w:r>
    <w:r w:rsidR="00912C99" w:rsidRPr="00912C99">
      <w:t>Environmental Affairs and Administration and Finance</w:t>
    </w:r>
  </w:p>
  <w:p w14:paraId="1823D7E7" w14:textId="23D24D7E" w:rsidR="00494FA3" w:rsidRDefault="401840C9" w:rsidP="00447A2D">
    <w:pPr>
      <w:spacing w:after="60" w:line="240" w:lineRule="auto"/>
      <w:jc w:val="center"/>
    </w:pPr>
    <w:r>
      <w:t xml:space="preserve">Effective Date: January </w:t>
    </w:r>
    <w:r w:rsidR="00CB3995">
      <w:t>21</w:t>
    </w:r>
    <w:r>
      <w:t>, 2025</w:t>
    </w:r>
  </w:p>
  <w:p w14:paraId="152D4112" w14:textId="5A9ECDB0" w:rsidR="00494FA3" w:rsidRDefault="0098363E" w:rsidP="00912C99">
    <w:pPr>
      <w:spacing w:after="240" w:line="240" w:lineRule="auto"/>
      <w:jc w:val="center"/>
    </w:pPr>
    <w:r>
      <w:t>Amended</w:t>
    </w:r>
    <w:r w:rsidR="001A4D0D">
      <w:t xml:space="preserve">: </w:t>
    </w:r>
    <w:r w:rsidR="004C1CA1">
      <w:t>July 16,</w:t>
    </w:r>
    <w:r w:rsidR="00E07634">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2213"/>
    <w:multiLevelType w:val="hybridMultilevel"/>
    <w:tmpl w:val="639CF3BA"/>
    <w:lvl w:ilvl="0" w:tplc="FFFFFFFF">
      <w:start w:val="1"/>
      <w:numFmt w:val="upperRoman"/>
      <w:lvlText w:val="%1."/>
      <w:lvlJc w:val="right"/>
      <w:pPr>
        <w:ind w:left="54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B24B50"/>
    <w:multiLevelType w:val="hybridMultilevel"/>
    <w:tmpl w:val="639CF3BA"/>
    <w:lvl w:ilvl="0" w:tplc="FFFFFFFF">
      <w:start w:val="1"/>
      <w:numFmt w:val="upperRoman"/>
      <w:lvlText w:val="%1."/>
      <w:lvlJc w:val="right"/>
      <w:pPr>
        <w:ind w:left="54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6D0FE0"/>
    <w:multiLevelType w:val="hybridMultilevel"/>
    <w:tmpl w:val="639CF3BA"/>
    <w:lvl w:ilvl="0" w:tplc="FFFFFFFF">
      <w:start w:val="1"/>
      <w:numFmt w:val="upperRoman"/>
      <w:lvlText w:val="%1."/>
      <w:lvlJc w:val="righ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D0932E0"/>
    <w:multiLevelType w:val="hybridMultilevel"/>
    <w:tmpl w:val="ED5EE5DC"/>
    <w:lvl w:ilvl="0" w:tplc="FFFFFFFF">
      <w:start w:val="1"/>
      <w:numFmt w:val="upp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8E3368"/>
    <w:multiLevelType w:val="hybridMultilevel"/>
    <w:tmpl w:val="44747DCE"/>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0F0A88"/>
    <w:multiLevelType w:val="hybridMultilevel"/>
    <w:tmpl w:val="0DB41F38"/>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0619B1"/>
    <w:multiLevelType w:val="hybridMultilevel"/>
    <w:tmpl w:val="FC165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E96832"/>
    <w:multiLevelType w:val="hybridMultilevel"/>
    <w:tmpl w:val="639CF3BA"/>
    <w:lvl w:ilvl="0" w:tplc="FFFFFFFF">
      <w:start w:val="1"/>
      <w:numFmt w:val="upperRoman"/>
      <w:lvlText w:val="%1."/>
      <w:lvlJc w:val="right"/>
      <w:pPr>
        <w:ind w:left="54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AA0952"/>
    <w:multiLevelType w:val="hybridMultilevel"/>
    <w:tmpl w:val="98B841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D95A36"/>
    <w:multiLevelType w:val="hybridMultilevel"/>
    <w:tmpl w:val="2618CA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54A7E"/>
    <w:multiLevelType w:val="hybridMultilevel"/>
    <w:tmpl w:val="191A7DC0"/>
    <w:lvl w:ilvl="0" w:tplc="04090013">
      <w:start w:val="1"/>
      <w:numFmt w:val="upperRoman"/>
      <w:lvlText w:val="%1."/>
      <w:lvlJc w:val="right"/>
      <w:pPr>
        <w:ind w:left="360" w:hanging="360"/>
      </w:pPr>
    </w:lvl>
    <w:lvl w:ilvl="1" w:tplc="FFFFFFFF">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1" w15:restartNumberingAfterBreak="0">
    <w:nsid w:val="432D4C25"/>
    <w:multiLevelType w:val="hybridMultilevel"/>
    <w:tmpl w:val="F032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89296A"/>
    <w:multiLevelType w:val="hybridMultilevel"/>
    <w:tmpl w:val="1A28C03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1A6197"/>
    <w:multiLevelType w:val="hybridMultilevel"/>
    <w:tmpl w:val="74E26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746901"/>
    <w:multiLevelType w:val="hybridMultilevel"/>
    <w:tmpl w:val="639CF3BA"/>
    <w:lvl w:ilvl="0" w:tplc="FFFFFFFF">
      <w:start w:val="1"/>
      <w:numFmt w:val="upperRoman"/>
      <w:lvlText w:val="%1."/>
      <w:lvlJc w:val="right"/>
      <w:pPr>
        <w:ind w:left="54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DC6678"/>
    <w:multiLevelType w:val="hybridMultilevel"/>
    <w:tmpl w:val="D7904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B14F0B"/>
    <w:multiLevelType w:val="hybridMultilevel"/>
    <w:tmpl w:val="639CF3BA"/>
    <w:lvl w:ilvl="0" w:tplc="FFFFFFFF">
      <w:start w:val="1"/>
      <w:numFmt w:val="upperRoman"/>
      <w:lvlText w:val="%1."/>
      <w:lvlJc w:val="right"/>
      <w:pPr>
        <w:ind w:left="54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63B3E9F"/>
    <w:multiLevelType w:val="hybridMultilevel"/>
    <w:tmpl w:val="FE0A69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C2006F"/>
    <w:multiLevelType w:val="hybridMultilevel"/>
    <w:tmpl w:val="616CDB00"/>
    <w:lvl w:ilvl="0" w:tplc="FFFFFFFF">
      <w:start w:val="1"/>
      <w:numFmt w:val="upp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23A60D7"/>
    <w:multiLevelType w:val="hybridMultilevel"/>
    <w:tmpl w:val="639CF3BA"/>
    <w:lvl w:ilvl="0" w:tplc="04090013">
      <w:start w:val="1"/>
      <w:numFmt w:val="upperRoman"/>
      <w:lvlText w:val="%1."/>
      <w:lvlJc w:val="righ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B637B"/>
    <w:multiLevelType w:val="hybridMultilevel"/>
    <w:tmpl w:val="7A1C26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0558894">
    <w:abstractNumId w:val="12"/>
  </w:num>
  <w:num w:numId="2" w16cid:durableId="460995930">
    <w:abstractNumId w:val="19"/>
  </w:num>
  <w:num w:numId="3" w16cid:durableId="1108501377">
    <w:abstractNumId w:val="5"/>
  </w:num>
  <w:num w:numId="4" w16cid:durableId="2076121984">
    <w:abstractNumId w:val="8"/>
  </w:num>
  <w:num w:numId="5" w16cid:durableId="562915653">
    <w:abstractNumId w:val="13"/>
  </w:num>
  <w:num w:numId="6" w16cid:durableId="1014768434">
    <w:abstractNumId w:val="6"/>
  </w:num>
  <w:num w:numId="7" w16cid:durableId="1415324509">
    <w:abstractNumId w:val="17"/>
  </w:num>
  <w:num w:numId="8" w16cid:durableId="1543134341">
    <w:abstractNumId w:val="4"/>
  </w:num>
  <w:num w:numId="9" w16cid:durableId="1491554580">
    <w:abstractNumId w:val="18"/>
  </w:num>
  <w:num w:numId="10" w16cid:durableId="1746799422">
    <w:abstractNumId w:val="3"/>
  </w:num>
  <w:num w:numId="11" w16cid:durableId="968053359">
    <w:abstractNumId w:val="2"/>
  </w:num>
  <w:num w:numId="12" w16cid:durableId="691109772">
    <w:abstractNumId w:val="14"/>
  </w:num>
  <w:num w:numId="13" w16cid:durableId="53166085">
    <w:abstractNumId w:val="1"/>
  </w:num>
  <w:num w:numId="14" w16cid:durableId="1725442397">
    <w:abstractNumId w:val="0"/>
  </w:num>
  <w:num w:numId="15" w16cid:durableId="257755118">
    <w:abstractNumId w:val="7"/>
  </w:num>
  <w:num w:numId="16" w16cid:durableId="493689832">
    <w:abstractNumId w:val="16"/>
  </w:num>
  <w:num w:numId="17" w16cid:durableId="356470621">
    <w:abstractNumId w:val="20"/>
  </w:num>
  <w:num w:numId="18" w16cid:durableId="1219363807">
    <w:abstractNumId w:val="9"/>
  </w:num>
  <w:num w:numId="19" w16cid:durableId="1420443424">
    <w:abstractNumId w:val="15"/>
  </w:num>
  <w:num w:numId="20" w16cid:durableId="437408188">
    <w:abstractNumId w:val="10"/>
  </w:num>
  <w:num w:numId="21" w16cid:durableId="16516679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159"/>
    <w:rsid w:val="00005070"/>
    <w:rsid w:val="00005C02"/>
    <w:rsid w:val="000072DF"/>
    <w:rsid w:val="0001343C"/>
    <w:rsid w:val="0001347D"/>
    <w:rsid w:val="00017C9D"/>
    <w:rsid w:val="00021E14"/>
    <w:rsid w:val="00030F8F"/>
    <w:rsid w:val="00031FAF"/>
    <w:rsid w:val="00032195"/>
    <w:rsid w:val="00037C88"/>
    <w:rsid w:val="0004046A"/>
    <w:rsid w:val="00041F87"/>
    <w:rsid w:val="0004252A"/>
    <w:rsid w:val="000428BC"/>
    <w:rsid w:val="00047E88"/>
    <w:rsid w:val="00051D85"/>
    <w:rsid w:val="00051E4A"/>
    <w:rsid w:val="0005345A"/>
    <w:rsid w:val="000567AC"/>
    <w:rsid w:val="00056AA6"/>
    <w:rsid w:val="00061591"/>
    <w:rsid w:val="00061B13"/>
    <w:rsid w:val="000676C1"/>
    <w:rsid w:val="00067BCF"/>
    <w:rsid w:val="00067E9B"/>
    <w:rsid w:val="00067F04"/>
    <w:rsid w:val="00070F9D"/>
    <w:rsid w:val="00076236"/>
    <w:rsid w:val="00080369"/>
    <w:rsid w:val="00080CD8"/>
    <w:rsid w:val="000854F5"/>
    <w:rsid w:val="000861C1"/>
    <w:rsid w:val="00090EE1"/>
    <w:rsid w:val="00092491"/>
    <w:rsid w:val="00094362"/>
    <w:rsid w:val="0009489B"/>
    <w:rsid w:val="000950F5"/>
    <w:rsid w:val="00095582"/>
    <w:rsid w:val="000968B4"/>
    <w:rsid w:val="000A04A3"/>
    <w:rsid w:val="000A1765"/>
    <w:rsid w:val="000A1D34"/>
    <w:rsid w:val="000A37F5"/>
    <w:rsid w:val="000A5F72"/>
    <w:rsid w:val="000A74ED"/>
    <w:rsid w:val="000B0761"/>
    <w:rsid w:val="000B5424"/>
    <w:rsid w:val="000B7AE5"/>
    <w:rsid w:val="000C3A1C"/>
    <w:rsid w:val="000C7746"/>
    <w:rsid w:val="000D0BC8"/>
    <w:rsid w:val="000D11C3"/>
    <w:rsid w:val="000D179A"/>
    <w:rsid w:val="000D17C2"/>
    <w:rsid w:val="000D1842"/>
    <w:rsid w:val="000D4145"/>
    <w:rsid w:val="000D472C"/>
    <w:rsid w:val="000D4E1B"/>
    <w:rsid w:val="000E1FD1"/>
    <w:rsid w:val="000E2225"/>
    <w:rsid w:val="000E2E21"/>
    <w:rsid w:val="000E3FFF"/>
    <w:rsid w:val="000E65C2"/>
    <w:rsid w:val="000E6846"/>
    <w:rsid w:val="000F17AF"/>
    <w:rsid w:val="000F1D4C"/>
    <w:rsid w:val="000F1D87"/>
    <w:rsid w:val="000F1E1C"/>
    <w:rsid w:val="000F3BFA"/>
    <w:rsid w:val="000F412B"/>
    <w:rsid w:val="000F6157"/>
    <w:rsid w:val="000F6B68"/>
    <w:rsid w:val="00103EF3"/>
    <w:rsid w:val="001042F3"/>
    <w:rsid w:val="0010446C"/>
    <w:rsid w:val="0010528F"/>
    <w:rsid w:val="00106A62"/>
    <w:rsid w:val="00106C31"/>
    <w:rsid w:val="00107744"/>
    <w:rsid w:val="001107CA"/>
    <w:rsid w:val="001121D9"/>
    <w:rsid w:val="0011248A"/>
    <w:rsid w:val="00114FFD"/>
    <w:rsid w:val="001169D1"/>
    <w:rsid w:val="00123468"/>
    <w:rsid w:val="00125095"/>
    <w:rsid w:val="00125257"/>
    <w:rsid w:val="00125D6E"/>
    <w:rsid w:val="00135803"/>
    <w:rsid w:val="0013634F"/>
    <w:rsid w:val="001370CB"/>
    <w:rsid w:val="00137532"/>
    <w:rsid w:val="0014662E"/>
    <w:rsid w:val="00146FD6"/>
    <w:rsid w:val="00147961"/>
    <w:rsid w:val="0014799D"/>
    <w:rsid w:val="00147F7C"/>
    <w:rsid w:val="00151440"/>
    <w:rsid w:val="00151E46"/>
    <w:rsid w:val="00154B11"/>
    <w:rsid w:val="00154C10"/>
    <w:rsid w:val="00155572"/>
    <w:rsid w:val="00155B5F"/>
    <w:rsid w:val="00156187"/>
    <w:rsid w:val="00156D6B"/>
    <w:rsid w:val="00160CB2"/>
    <w:rsid w:val="00163F0F"/>
    <w:rsid w:val="001757B2"/>
    <w:rsid w:val="00177362"/>
    <w:rsid w:val="00177FC6"/>
    <w:rsid w:val="001801EA"/>
    <w:rsid w:val="00181E1F"/>
    <w:rsid w:val="00182725"/>
    <w:rsid w:val="00186C46"/>
    <w:rsid w:val="0018704F"/>
    <w:rsid w:val="001935D2"/>
    <w:rsid w:val="001960E7"/>
    <w:rsid w:val="00196306"/>
    <w:rsid w:val="001A15EF"/>
    <w:rsid w:val="001A20FD"/>
    <w:rsid w:val="001A2684"/>
    <w:rsid w:val="001A3648"/>
    <w:rsid w:val="001A42FB"/>
    <w:rsid w:val="001A431C"/>
    <w:rsid w:val="001A4D0D"/>
    <w:rsid w:val="001A573B"/>
    <w:rsid w:val="001A79BC"/>
    <w:rsid w:val="001A7CFF"/>
    <w:rsid w:val="001B402D"/>
    <w:rsid w:val="001C05AF"/>
    <w:rsid w:val="001C1CFD"/>
    <w:rsid w:val="001C6243"/>
    <w:rsid w:val="001D0CAE"/>
    <w:rsid w:val="001D4883"/>
    <w:rsid w:val="001D72CC"/>
    <w:rsid w:val="001D7B10"/>
    <w:rsid w:val="001E05FF"/>
    <w:rsid w:val="001E07A4"/>
    <w:rsid w:val="001E2708"/>
    <w:rsid w:val="001E2E7C"/>
    <w:rsid w:val="001E5783"/>
    <w:rsid w:val="001E6335"/>
    <w:rsid w:val="001F0E5B"/>
    <w:rsid w:val="001F35DF"/>
    <w:rsid w:val="001F3EB8"/>
    <w:rsid w:val="001F4787"/>
    <w:rsid w:val="001F57E6"/>
    <w:rsid w:val="001F6006"/>
    <w:rsid w:val="001F7258"/>
    <w:rsid w:val="002006BD"/>
    <w:rsid w:val="00203B11"/>
    <w:rsid w:val="0020451E"/>
    <w:rsid w:val="0021222E"/>
    <w:rsid w:val="00212AD0"/>
    <w:rsid w:val="00213032"/>
    <w:rsid w:val="00213809"/>
    <w:rsid w:val="00215EAA"/>
    <w:rsid w:val="0021602E"/>
    <w:rsid w:val="002173B8"/>
    <w:rsid w:val="0021778D"/>
    <w:rsid w:val="00222E88"/>
    <w:rsid w:val="002250D6"/>
    <w:rsid w:val="00226470"/>
    <w:rsid w:val="0023176D"/>
    <w:rsid w:val="00232828"/>
    <w:rsid w:val="002337AA"/>
    <w:rsid w:val="002348FC"/>
    <w:rsid w:val="00241B1A"/>
    <w:rsid w:val="00246BBE"/>
    <w:rsid w:val="0024760C"/>
    <w:rsid w:val="00250547"/>
    <w:rsid w:val="00250F57"/>
    <w:rsid w:val="00253D7C"/>
    <w:rsid w:val="00257F41"/>
    <w:rsid w:val="00260C99"/>
    <w:rsid w:val="00264A9D"/>
    <w:rsid w:val="002671A5"/>
    <w:rsid w:val="002675F1"/>
    <w:rsid w:val="00270EB1"/>
    <w:rsid w:val="00270F25"/>
    <w:rsid w:val="00274338"/>
    <w:rsid w:val="00274E72"/>
    <w:rsid w:val="00277C9A"/>
    <w:rsid w:val="00281D7C"/>
    <w:rsid w:val="0028281D"/>
    <w:rsid w:val="00283AE2"/>
    <w:rsid w:val="00287FB8"/>
    <w:rsid w:val="002914B6"/>
    <w:rsid w:val="002A2BA9"/>
    <w:rsid w:val="002A2D9A"/>
    <w:rsid w:val="002A42EA"/>
    <w:rsid w:val="002A4D0D"/>
    <w:rsid w:val="002A64C1"/>
    <w:rsid w:val="002A66A1"/>
    <w:rsid w:val="002A7CD2"/>
    <w:rsid w:val="002B0A17"/>
    <w:rsid w:val="002B15F8"/>
    <w:rsid w:val="002B19C1"/>
    <w:rsid w:val="002B28AF"/>
    <w:rsid w:val="002B31C5"/>
    <w:rsid w:val="002B4DEF"/>
    <w:rsid w:val="002C08A7"/>
    <w:rsid w:val="002C6DDB"/>
    <w:rsid w:val="002C7967"/>
    <w:rsid w:val="002D0F3A"/>
    <w:rsid w:val="002D1260"/>
    <w:rsid w:val="002D23AD"/>
    <w:rsid w:val="002D548F"/>
    <w:rsid w:val="002D5689"/>
    <w:rsid w:val="002E0535"/>
    <w:rsid w:val="002E5AF2"/>
    <w:rsid w:val="002F08B2"/>
    <w:rsid w:val="002F0AE8"/>
    <w:rsid w:val="002F39C1"/>
    <w:rsid w:val="002F3E70"/>
    <w:rsid w:val="002F44C0"/>
    <w:rsid w:val="002F53AD"/>
    <w:rsid w:val="002F5538"/>
    <w:rsid w:val="002F6EBD"/>
    <w:rsid w:val="0030001A"/>
    <w:rsid w:val="00300DB4"/>
    <w:rsid w:val="00302EDA"/>
    <w:rsid w:val="00305B0C"/>
    <w:rsid w:val="003064E8"/>
    <w:rsid w:val="0030656A"/>
    <w:rsid w:val="00306B7A"/>
    <w:rsid w:val="00312652"/>
    <w:rsid w:val="0031294E"/>
    <w:rsid w:val="003134E4"/>
    <w:rsid w:val="00313ADA"/>
    <w:rsid w:val="0031567A"/>
    <w:rsid w:val="003202F9"/>
    <w:rsid w:val="00326EEF"/>
    <w:rsid w:val="00327FB0"/>
    <w:rsid w:val="00330541"/>
    <w:rsid w:val="00330873"/>
    <w:rsid w:val="00331109"/>
    <w:rsid w:val="00333DF0"/>
    <w:rsid w:val="00335090"/>
    <w:rsid w:val="003351E6"/>
    <w:rsid w:val="00343222"/>
    <w:rsid w:val="00343A2D"/>
    <w:rsid w:val="00346CFF"/>
    <w:rsid w:val="003475EE"/>
    <w:rsid w:val="00357CA1"/>
    <w:rsid w:val="00357FB7"/>
    <w:rsid w:val="00360800"/>
    <w:rsid w:val="00360EF0"/>
    <w:rsid w:val="00361008"/>
    <w:rsid w:val="00361FB7"/>
    <w:rsid w:val="00363B6F"/>
    <w:rsid w:val="0036501B"/>
    <w:rsid w:val="00365BE9"/>
    <w:rsid w:val="00365E03"/>
    <w:rsid w:val="00371853"/>
    <w:rsid w:val="00371FA2"/>
    <w:rsid w:val="0037342F"/>
    <w:rsid w:val="00374D70"/>
    <w:rsid w:val="003761C9"/>
    <w:rsid w:val="003772FB"/>
    <w:rsid w:val="00380111"/>
    <w:rsid w:val="00383549"/>
    <w:rsid w:val="00383862"/>
    <w:rsid w:val="003844DB"/>
    <w:rsid w:val="003862BF"/>
    <w:rsid w:val="00392656"/>
    <w:rsid w:val="003936FB"/>
    <w:rsid w:val="0039500D"/>
    <w:rsid w:val="003950F0"/>
    <w:rsid w:val="00395626"/>
    <w:rsid w:val="00395710"/>
    <w:rsid w:val="003962F9"/>
    <w:rsid w:val="003A18CD"/>
    <w:rsid w:val="003A3869"/>
    <w:rsid w:val="003A5B5F"/>
    <w:rsid w:val="003B1BF2"/>
    <w:rsid w:val="003B1C68"/>
    <w:rsid w:val="003B6196"/>
    <w:rsid w:val="003B750E"/>
    <w:rsid w:val="003B75FB"/>
    <w:rsid w:val="003C6910"/>
    <w:rsid w:val="003C7623"/>
    <w:rsid w:val="003C7F7B"/>
    <w:rsid w:val="003D025D"/>
    <w:rsid w:val="003D1F3E"/>
    <w:rsid w:val="003D3725"/>
    <w:rsid w:val="003D42DF"/>
    <w:rsid w:val="003D5C0F"/>
    <w:rsid w:val="003D79D4"/>
    <w:rsid w:val="003E235C"/>
    <w:rsid w:val="003E5131"/>
    <w:rsid w:val="003F25C6"/>
    <w:rsid w:val="003F4F17"/>
    <w:rsid w:val="00401BD0"/>
    <w:rsid w:val="00404601"/>
    <w:rsid w:val="00405A07"/>
    <w:rsid w:val="00406210"/>
    <w:rsid w:val="00410D4B"/>
    <w:rsid w:val="00411018"/>
    <w:rsid w:val="00412BDC"/>
    <w:rsid w:val="00412FC1"/>
    <w:rsid w:val="00413AAD"/>
    <w:rsid w:val="0041430C"/>
    <w:rsid w:val="00417C8D"/>
    <w:rsid w:val="004216CF"/>
    <w:rsid w:val="00422172"/>
    <w:rsid w:val="004238D4"/>
    <w:rsid w:val="00423AE1"/>
    <w:rsid w:val="00425237"/>
    <w:rsid w:val="004315A2"/>
    <w:rsid w:val="00432AEB"/>
    <w:rsid w:val="00440711"/>
    <w:rsid w:val="00442B9D"/>
    <w:rsid w:val="004432F6"/>
    <w:rsid w:val="004450C6"/>
    <w:rsid w:val="00447A2D"/>
    <w:rsid w:val="00447F5B"/>
    <w:rsid w:val="00450040"/>
    <w:rsid w:val="004534CE"/>
    <w:rsid w:val="0045512F"/>
    <w:rsid w:val="004560AA"/>
    <w:rsid w:val="00457266"/>
    <w:rsid w:val="00461A6C"/>
    <w:rsid w:val="00464288"/>
    <w:rsid w:val="0046781F"/>
    <w:rsid w:val="00470F19"/>
    <w:rsid w:val="004714BB"/>
    <w:rsid w:val="00471997"/>
    <w:rsid w:val="00471CD9"/>
    <w:rsid w:val="00472D31"/>
    <w:rsid w:val="00473BC1"/>
    <w:rsid w:val="00473CE0"/>
    <w:rsid w:val="00476353"/>
    <w:rsid w:val="004847D9"/>
    <w:rsid w:val="004908F4"/>
    <w:rsid w:val="00494FA3"/>
    <w:rsid w:val="004A16AC"/>
    <w:rsid w:val="004A2725"/>
    <w:rsid w:val="004A4A48"/>
    <w:rsid w:val="004A536A"/>
    <w:rsid w:val="004B0037"/>
    <w:rsid w:val="004B0D09"/>
    <w:rsid w:val="004B3734"/>
    <w:rsid w:val="004B6B6A"/>
    <w:rsid w:val="004C114C"/>
    <w:rsid w:val="004C1CA1"/>
    <w:rsid w:val="004C3A9F"/>
    <w:rsid w:val="004C51BF"/>
    <w:rsid w:val="004C5595"/>
    <w:rsid w:val="004C75BB"/>
    <w:rsid w:val="004C78F5"/>
    <w:rsid w:val="004C79D6"/>
    <w:rsid w:val="004D3839"/>
    <w:rsid w:val="004D4C2C"/>
    <w:rsid w:val="004D4CC1"/>
    <w:rsid w:val="004E777C"/>
    <w:rsid w:val="004E7D49"/>
    <w:rsid w:val="004F03E0"/>
    <w:rsid w:val="004F625B"/>
    <w:rsid w:val="004F6CB0"/>
    <w:rsid w:val="004F6F69"/>
    <w:rsid w:val="004F7340"/>
    <w:rsid w:val="004F76BE"/>
    <w:rsid w:val="0050078F"/>
    <w:rsid w:val="0050528F"/>
    <w:rsid w:val="00506726"/>
    <w:rsid w:val="00507FDD"/>
    <w:rsid w:val="00510D2D"/>
    <w:rsid w:val="00510DB1"/>
    <w:rsid w:val="00513EED"/>
    <w:rsid w:val="005176C3"/>
    <w:rsid w:val="00520AC1"/>
    <w:rsid w:val="00523D63"/>
    <w:rsid w:val="005252E4"/>
    <w:rsid w:val="0052628E"/>
    <w:rsid w:val="0053367A"/>
    <w:rsid w:val="00535678"/>
    <w:rsid w:val="0053659E"/>
    <w:rsid w:val="00540590"/>
    <w:rsid w:val="00542BBF"/>
    <w:rsid w:val="00542CC3"/>
    <w:rsid w:val="005441E3"/>
    <w:rsid w:val="00544441"/>
    <w:rsid w:val="00546017"/>
    <w:rsid w:val="00554DE6"/>
    <w:rsid w:val="005567DF"/>
    <w:rsid w:val="00557DEA"/>
    <w:rsid w:val="00557FF6"/>
    <w:rsid w:val="0056184F"/>
    <w:rsid w:val="00562502"/>
    <w:rsid w:val="00571498"/>
    <w:rsid w:val="0057174D"/>
    <w:rsid w:val="0057317B"/>
    <w:rsid w:val="00577153"/>
    <w:rsid w:val="00581FCE"/>
    <w:rsid w:val="00585D28"/>
    <w:rsid w:val="005915E1"/>
    <w:rsid w:val="005955D1"/>
    <w:rsid w:val="00596774"/>
    <w:rsid w:val="005972A7"/>
    <w:rsid w:val="005A0AD6"/>
    <w:rsid w:val="005A0CFA"/>
    <w:rsid w:val="005A4565"/>
    <w:rsid w:val="005A4F13"/>
    <w:rsid w:val="005A720B"/>
    <w:rsid w:val="005A7596"/>
    <w:rsid w:val="005A78C8"/>
    <w:rsid w:val="005B073E"/>
    <w:rsid w:val="005B0B0A"/>
    <w:rsid w:val="005B1E37"/>
    <w:rsid w:val="005B2910"/>
    <w:rsid w:val="005B38AD"/>
    <w:rsid w:val="005B5DBE"/>
    <w:rsid w:val="005C0D96"/>
    <w:rsid w:val="005C49DA"/>
    <w:rsid w:val="005C57BD"/>
    <w:rsid w:val="005C6DA4"/>
    <w:rsid w:val="005D0451"/>
    <w:rsid w:val="005D1E7E"/>
    <w:rsid w:val="005D2867"/>
    <w:rsid w:val="005D73CF"/>
    <w:rsid w:val="005E0C1B"/>
    <w:rsid w:val="005E2537"/>
    <w:rsid w:val="005E2BE5"/>
    <w:rsid w:val="005E7480"/>
    <w:rsid w:val="005F7091"/>
    <w:rsid w:val="005F7B2B"/>
    <w:rsid w:val="005F7B6A"/>
    <w:rsid w:val="006009A6"/>
    <w:rsid w:val="00602933"/>
    <w:rsid w:val="00605591"/>
    <w:rsid w:val="00606403"/>
    <w:rsid w:val="00607C3A"/>
    <w:rsid w:val="00617C2E"/>
    <w:rsid w:val="006205A6"/>
    <w:rsid w:val="0062493F"/>
    <w:rsid w:val="006312CE"/>
    <w:rsid w:val="0063278E"/>
    <w:rsid w:val="00637777"/>
    <w:rsid w:val="00640190"/>
    <w:rsid w:val="00641CDF"/>
    <w:rsid w:val="00642373"/>
    <w:rsid w:val="00646297"/>
    <w:rsid w:val="00652379"/>
    <w:rsid w:val="00652EC5"/>
    <w:rsid w:val="00656F6E"/>
    <w:rsid w:val="00657F95"/>
    <w:rsid w:val="00661329"/>
    <w:rsid w:val="00661DAE"/>
    <w:rsid w:val="00663863"/>
    <w:rsid w:val="00666C23"/>
    <w:rsid w:val="00666F90"/>
    <w:rsid w:val="00667993"/>
    <w:rsid w:val="00670288"/>
    <w:rsid w:val="006704F8"/>
    <w:rsid w:val="00670E5E"/>
    <w:rsid w:val="0067437A"/>
    <w:rsid w:val="006755B4"/>
    <w:rsid w:val="0067665E"/>
    <w:rsid w:val="00683E9C"/>
    <w:rsid w:val="00685E22"/>
    <w:rsid w:val="006870D8"/>
    <w:rsid w:val="00692733"/>
    <w:rsid w:val="00695B79"/>
    <w:rsid w:val="00696340"/>
    <w:rsid w:val="006A1A7B"/>
    <w:rsid w:val="006A31E7"/>
    <w:rsid w:val="006A6097"/>
    <w:rsid w:val="006A75E2"/>
    <w:rsid w:val="006B0C6A"/>
    <w:rsid w:val="006B2FA2"/>
    <w:rsid w:val="006B3901"/>
    <w:rsid w:val="006B52E9"/>
    <w:rsid w:val="006B6686"/>
    <w:rsid w:val="006B7897"/>
    <w:rsid w:val="006D19BC"/>
    <w:rsid w:val="006D337F"/>
    <w:rsid w:val="006D4386"/>
    <w:rsid w:val="006D6481"/>
    <w:rsid w:val="006D79DC"/>
    <w:rsid w:val="006E0313"/>
    <w:rsid w:val="006E2734"/>
    <w:rsid w:val="006E29AD"/>
    <w:rsid w:val="006F08A2"/>
    <w:rsid w:val="006F324E"/>
    <w:rsid w:val="006F7F6C"/>
    <w:rsid w:val="007029BD"/>
    <w:rsid w:val="007041B6"/>
    <w:rsid w:val="00706340"/>
    <w:rsid w:val="007073AD"/>
    <w:rsid w:val="0070780D"/>
    <w:rsid w:val="00711C8C"/>
    <w:rsid w:val="00712387"/>
    <w:rsid w:val="00717300"/>
    <w:rsid w:val="0071770E"/>
    <w:rsid w:val="007200FD"/>
    <w:rsid w:val="00721C5F"/>
    <w:rsid w:val="007257D4"/>
    <w:rsid w:val="00726F81"/>
    <w:rsid w:val="00730800"/>
    <w:rsid w:val="00730A50"/>
    <w:rsid w:val="00733A5E"/>
    <w:rsid w:val="00734026"/>
    <w:rsid w:val="007343F0"/>
    <w:rsid w:val="0073576A"/>
    <w:rsid w:val="00740BE7"/>
    <w:rsid w:val="00742DA6"/>
    <w:rsid w:val="00743517"/>
    <w:rsid w:val="00743F63"/>
    <w:rsid w:val="007522F6"/>
    <w:rsid w:val="0075326C"/>
    <w:rsid w:val="00756476"/>
    <w:rsid w:val="0075760F"/>
    <w:rsid w:val="00757ADE"/>
    <w:rsid w:val="00757E14"/>
    <w:rsid w:val="0076176D"/>
    <w:rsid w:val="00764BBA"/>
    <w:rsid w:val="00766954"/>
    <w:rsid w:val="00766D13"/>
    <w:rsid w:val="00770754"/>
    <w:rsid w:val="00775259"/>
    <w:rsid w:val="00780337"/>
    <w:rsid w:val="00780470"/>
    <w:rsid w:val="00781692"/>
    <w:rsid w:val="007819A5"/>
    <w:rsid w:val="00787534"/>
    <w:rsid w:val="00787896"/>
    <w:rsid w:val="00793595"/>
    <w:rsid w:val="00794867"/>
    <w:rsid w:val="0079791E"/>
    <w:rsid w:val="00797B3A"/>
    <w:rsid w:val="007A0B24"/>
    <w:rsid w:val="007A1665"/>
    <w:rsid w:val="007A3BB2"/>
    <w:rsid w:val="007A42B0"/>
    <w:rsid w:val="007A4B2B"/>
    <w:rsid w:val="007A5562"/>
    <w:rsid w:val="007B4A9E"/>
    <w:rsid w:val="007B4C38"/>
    <w:rsid w:val="007B5006"/>
    <w:rsid w:val="007B5D77"/>
    <w:rsid w:val="007B5D78"/>
    <w:rsid w:val="007C143E"/>
    <w:rsid w:val="007C40C4"/>
    <w:rsid w:val="007C4E3A"/>
    <w:rsid w:val="007C6159"/>
    <w:rsid w:val="007C6EC0"/>
    <w:rsid w:val="007D2C0B"/>
    <w:rsid w:val="007D3DA5"/>
    <w:rsid w:val="007D4001"/>
    <w:rsid w:val="007D4688"/>
    <w:rsid w:val="007D4A2C"/>
    <w:rsid w:val="007E010E"/>
    <w:rsid w:val="007E06E3"/>
    <w:rsid w:val="007E1B92"/>
    <w:rsid w:val="007E7E48"/>
    <w:rsid w:val="007F0FB4"/>
    <w:rsid w:val="007F1CD8"/>
    <w:rsid w:val="007F442B"/>
    <w:rsid w:val="00800688"/>
    <w:rsid w:val="00801B4B"/>
    <w:rsid w:val="00802C4E"/>
    <w:rsid w:val="00803549"/>
    <w:rsid w:val="00805528"/>
    <w:rsid w:val="0081052B"/>
    <w:rsid w:val="00811D93"/>
    <w:rsid w:val="008144D5"/>
    <w:rsid w:val="00815C8B"/>
    <w:rsid w:val="008166D3"/>
    <w:rsid w:val="00816953"/>
    <w:rsid w:val="00817552"/>
    <w:rsid w:val="008175B6"/>
    <w:rsid w:val="0082050C"/>
    <w:rsid w:val="00821C57"/>
    <w:rsid w:val="008230B5"/>
    <w:rsid w:val="00826EB7"/>
    <w:rsid w:val="008275A6"/>
    <w:rsid w:val="00830282"/>
    <w:rsid w:val="00830444"/>
    <w:rsid w:val="008332DE"/>
    <w:rsid w:val="00834294"/>
    <w:rsid w:val="00835599"/>
    <w:rsid w:val="00841BD9"/>
    <w:rsid w:val="00845F2A"/>
    <w:rsid w:val="008501A8"/>
    <w:rsid w:val="00855585"/>
    <w:rsid w:val="00856079"/>
    <w:rsid w:val="00866263"/>
    <w:rsid w:val="00873A58"/>
    <w:rsid w:val="00874202"/>
    <w:rsid w:val="008749DC"/>
    <w:rsid w:val="00876432"/>
    <w:rsid w:val="00882011"/>
    <w:rsid w:val="008834CE"/>
    <w:rsid w:val="0088448B"/>
    <w:rsid w:val="00891077"/>
    <w:rsid w:val="00891482"/>
    <w:rsid w:val="0089148F"/>
    <w:rsid w:val="008927F9"/>
    <w:rsid w:val="00893670"/>
    <w:rsid w:val="0089657F"/>
    <w:rsid w:val="00897C94"/>
    <w:rsid w:val="008A2889"/>
    <w:rsid w:val="008A4993"/>
    <w:rsid w:val="008A4C57"/>
    <w:rsid w:val="008A5DF0"/>
    <w:rsid w:val="008B0F7E"/>
    <w:rsid w:val="008B2A0E"/>
    <w:rsid w:val="008B2E90"/>
    <w:rsid w:val="008B3175"/>
    <w:rsid w:val="008C2166"/>
    <w:rsid w:val="008C3EE1"/>
    <w:rsid w:val="008D3DD8"/>
    <w:rsid w:val="008D69C1"/>
    <w:rsid w:val="008D737B"/>
    <w:rsid w:val="008E14B9"/>
    <w:rsid w:val="008E4005"/>
    <w:rsid w:val="008E5198"/>
    <w:rsid w:val="008E5589"/>
    <w:rsid w:val="008E68F5"/>
    <w:rsid w:val="008E7A4B"/>
    <w:rsid w:val="008F0588"/>
    <w:rsid w:val="008F1CE7"/>
    <w:rsid w:val="008F51AC"/>
    <w:rsid w:val="008F59F6"/>
    <w:rsid w:val="008F5BFE"/>
    <w:rsid w:val="0090174C"/>
    <w:rsid w:val="00902E71"/>
    <w:rsid w:val="009051EC"/>
    <w:rsid w:val="00906D5D"/>
    <w:rsid w:val="00911C04"/>
    <w:rsid w:val="00912C99"/>
    <w:rsid w:val="00914609"/>
    <w:rsid w:val="00916BC9"/>
    <w:rsid w:val="009215C2"/>
    <w:rsid w:val="00921EE4"/>
    <w:rsid w:val="009261AD"/>
    <w:rsid w:val="009261B4"/>
    <w:rsid w:val="00930C57"/>
    <w:rsid w:val="00931A30"/>
    <w:rsid w:val="00934564"/>
    <w:rsid w:val="009426D9"/>
    <w:rsid w:val="00943A81"/>
    <w:rsid w:val="00943AE1"/>
    <w:rsid w:val="00943B03"/>
    <w:rsid w:val="00944056"/>
    <w:rsid w:val="009452B2"/>
    <w:rsid w:val="009454EB"/>
    <w:rsid w:val="009528EA"/>
    <w:rsid w:val="0095406E"/>
    <w:rsid w:val="009544B5"/>
    <w:rsid w:val="00954B66"/>
    <w:rsid w:val="009607F3"/>
    <w:rsid w:val="0096754E"/>
    <w:rsid w:val="009678F3"/>
    <w:rsid w:val="009701A8"/>
    <w:rsid w:val="00974FC9"/>
    <w:rsid w:val="0097655F"/>
    <w:rsid w:val="00977FE9"/>
    <w:rsid w:val="00980329"/>
    <w:rsid w:val="0098259A"/>
    <w:rsid w:val="009830ED"/>
    <w:rsid w:val="0098363E"/>
    <w:rsid w:val="0098613E"/>
    <w:rsid w:val="009870D5"/>
    <w:rsid w:val="0099158E"/>
    <w:rsid w:val="00991B1C"/>
    <w:rsid w:val="00992531"/>
    <w:rsid w:val="009950D2"/>
    <w:rsid w:val="009A3A4E"/>
    <w:rsid w:val="009A55BB"/>
    <w:rsid w:val="009A6605"/>
    <w:rsid w:val="009A6D40"/>
    <w:rsid w:val="009A7308"/>
    <w:rsid w:val="009B3077"/>
    <w:rsid w:val="009B342A"/>
    <w:rsid w:val="009B4593"/>
    <w:rsid w:val="009C130D"/>
    <w:rsid w:val="009C3F6C"/>
    <w:rsid w:val="009C6284"/>
    <w:rsid w:val="009D0359"/>
    <w:rsid w:val="009D4348"/>
    <w:rsid w:val="009D5346"/>
    <w:rsid w:val="009D5FFA"/>
    <w:rsid w:val="009D6192"/>
    <w:rsid w:val="009D718E"/>
    <w:rsid w:val="009D7D19"/>
    <w:rsid w:val="009E5937"/>
    <w:rsid w:val="009F2038"/>
    <w:rsid w:val="009F3DDA"/>
    <w:rsid w:val="009F47D0"/>
    <w:rsid w:val="009F65D1"/>
    <w:rsid w:val="009F71B7"/>
    <w:rsid w:val="00A033A7"/>
    <w:rsid w:val="00A05024"/>
    <w:rsid w:val="00A075FD"/>
    <w:rsid w:val="00A12B9A"/>
    <w:rsid w:val="00A15166"/>
    <w:rsid w:val="00A23140"/>
    <w:rsid w:val="00A2434F"/>
    <w:rsid w:val="00A26260"/>
    <w:rsid w:val="00A3177F"/>
    <w:rsid w:val="00A3189B"/>
    <w:rsid w:val="00A32BB6"/>
    <w:rsid w:val="00A34DE8"/>
    <w:rsid w:val="00A35964"/>
    <w:rsid w:val="00A362FB"/>
    <w:rsid w:val="00A36FE3"/>
    <w:rsid w:val="00A3747B"/>
    <w:rsid w:val="00A402EC"/>
    <w:rsid w:val="00A432A9"/>
    <w:rsid w:val="00A433F4"/>
    <w:rsid w:val="00A47766"/>
    <w:rsid w:val="00A50910"/>
    <w:rsid w:val="00A51D1E"/>
    <w:rsid w:val="00A51E3D"/>
    <w:rsid w:val="00A524D5"/>
    <w:rsid w:val="00A5251A"/>
    <w:rsid w:val="00A55091"/>
    <w:rsid w:val="00A5514F"/>
    <w:rsid w:val="00A63895"/>
    <w:rsid w:val="00A651B6"/>
    <w:rsid w:val="00A71847"/>
    <w:rsid w:val="00A73C99"/>
    <w:rsid w:val="00A752B7"/>
    <w:rsid w:val="00A773BB"/>
    <w:rsid w:val="00A77F68"/>
    <w:rsid w:val="00A80032"/>
    <w:rsid w:val="00A81997"/>
    <w:rsid w:val="00A82399"/>
    <w:rsid w:val="00A824AD"/>
    <w:rsid w:val="00A82F0A"/>
    <w:rsid w:val="00A84612"/>
    <w:rsid w:val="00A85C37"/>
    <w:rsid w:val="00A8640F"/>
    <w:rsid w:val="00A86745"/>
    <w:rsid w:val="00A86A9F"/>
    <w:rsid w:val="00A90281"/>
    <w:rsid w:val="00A9370C"/>
    <w:rsid w:val="00A94151"/>
    <w:rsid w:val="00A9424B"/>
    <w:rsid w:val="00A95394"/>
    <w:rsid w:val="00A95E34"/>
    <w:rsid w:val="00A96551"/>
    <w:rsid w:val="00A967AC"/>
    <w:rsid w:val="00AA0E18"/>
    <w:rsid w:val="00AA19DA"/>
    <w:rsid w:val="00AA2C42"/>
    <w:rsid w:val="00AA6821"/>
    <w:rsid w:val="00AA71EB"/>
    <w:rsid w:val="00AB0C4D"/>
    <w:rsid w:val="00AB174D"/>
    <w:rsid w:val="00AB1A72"/>
    <w:rsid w:val="00AB248C"/>
    <w:rsid w:val="00AB2A16"/>
    <w:rsid w:val="00AB2CBB"/>
    <w:rsid w:val="00AB5185"/>
    <w:rsid w:val="00AB5610"/>
    <w:rsid w:val="00AB678C"/>
    <w:rsid w:val="00AB73F7"/>
    <w:rsid w:val="00AC35A8"/>
    <w:rsid w:val="00AC4F26"/>
    <w:rsid w:val="00AC7A82"/>
    <w:rsid w:val="00AC7BBE"/>
    <w:rsid w:val="00AD3482"/>
    <w:rsid w:val="00AD3AAB"/>
    <w:rsid w:val="00AD7762"/>
    <w:rsid w:val="00AE378B"/>
    <w:rsid w:val="00AE4861"/>
    <w:rsid w:val="00AE4898"/>
    <w:rsid w:val="00AF2F13"/>
    <w:rsid w:val="00AF3DD8"/>
    <w:rsid w:val="00AF433F"/>
    <w:rsid w:val="00AF443D"/>
    <w:rsid w:val="00AF464F"/>
    <w:rsid w:val="00B0063F"/>
    <w:rsid w:val="00B01E50"/>
    <w:rsid w:val="00B05265"/>
    <w:rsid w:val="00B056EF"/>
    <w:rsid w:val="00B100B6"/>
    <w:rsid w:val="00B12FC8"/>
    <w:rsid w:val="00B136E7"/>
    <w:rsid w:val="00B140EF"/>
    <w:rsid w:val="00B144F8"/>
    <w:rsid w:val="00B15E05"/>
    <w:rsid w:val="00B16D97"/>
    <w:rsid w:val="00B174E3"/>
    <w:rsid w:val="00B20CFC"/>
    <w:rsid w:val="00B23D88"/>
    <w:rsid w:val="00B3066B"/>
    <w:rsid w:val="00B35B50"/>
    <w:rsid w:val="00B37DCB"/>
    <w:rsid w:val="00B4026D"/>
    <w:rsid w:val="00B40649"/>
    <w:rsid w:val="00B41091"/>
    <w:rsid w:val="00B42571"/>
    <w:rsid w:val="00B4364E"/>
    <w:rsid w:val="00B45A68"/>
    <w:rsid w:val="00B46492"/>
    <w:rsid w:val="00B51CDD"/>
    <w:rsid w:val="00B53361"/>
    <w:rsid w:val="00B570B8"/>
    <w:rsid w:val="00B60C34"/>
    <w:rsid w:val="00B61531"/>
    <w:rsid w:val="00B65BA9"/>
    <w:rsid w:val="00B664A4"/>
    <w:rsid w:val="00B66D4E"/>
    <w:rsid w:val="00B70EDE"/>
    <w:rsid w:val="00B73B3D"/>
    <w:rsid w:val="00B75724"/>
    <w:rsid w:val="00B7652D"/>
    <w:rsid w:val="00B768ED"/>
    <w:rsid w:val="00B76FF9"/>
    <w:rsid w:val="00B775FA"/>
    <w:rsid w:val="00B800C6"/>
    <w:rsid w:val="00B8058C"/>
    <w:rsid w:val="00B86918"/>
    <w:rsid w:val="00B902CF"/>
    <w:rsid w:val="00B96323"/>
    <w:rsid w:val="00B96AF9"/>
    <w:rsid w:val="00B97C7E"/>
    <w:rsid w:val="00BA1773"/>
    <w:rsid w:val="00BA2B42"/>
    <w:rsid w:val="00BA34F8"/>
    <w:rsid w:val="00BA3846"/>
    <w:rsid w:val="00BB1A0B"/>
    <w:rsid w:val="00BB1F0F"/>
    <w:rsid w:val="00BB2E01"/>
    <w:rsid w:val="00BB371A"/>
    <w:rsid w:val="00BB632C"/>
    <w:rsid w:val="00BB7729"/>
    <w:rsid w:val="00BC0BA9"/>
    <w:rsid w:val="00BC18FE"/>
    <w:rsid w:val="00BC20B2"/>
    <w:rsid w:val="00BD1FBB"/>
    <w:rsid w:val="00BD384B"/>
    <w:rsid w:val="00BD43DC"/>
    <w:rsid w:val="00BD6BED"/>
    <w:rsid w:val="00BD75FE"/>
    <w:rsid w:val="00BE0A79"/>
    <w:rsid w:val="00BE1F8F"/>
    <w:rsid w:val="00BE2014"/>
    <w:rsid w:val="00BE4531"/>
    <w:rsid w:val="00BE5E23"/>
    <w:rsid w:val="00BE5FA2"/>
    <w:rsid w:val="00BE683A"/>
    <w:rsid w:val="00BF1617"/>
    <w:rsid w:val="00BF1F6B"/>
    <w:rsid w:val="00BF29F1"/>
    <w:rsid w:val="00BF3C5C"/>
    <w:rsid w:val="00BF4A4D"/>
    <w:rsid w:val="00C00BF9"/>
    <w:rsid w:val="00C0434A"/>
    <w:rsid w:val="00C048BB"/>
    <w:rsid w:val="00C077A3"/>
    <w:rsid w:val="00C1046C"/>
    <w:rsid w:val="00C12B16"/>
    <w:rsid w:val="00C12F87"/>
    <w:rsid w:val="00C13D80"/>
    <w:rsid w:val="00C151D8"/>
    <w:rsid w:val="00C15CEC"/>
    <w:rsid w:val="00C2063B"/>
    <w:rsid w:val="00C20716"/>
    <w:rsid w:val="00C2241F"/>
    <w:rsid w:val="00C22BC6"/>
    <w:rsid w:val="00C27061"/>
    <w:rsid w:val="00C31E5B"/>
    <w:rsid w:val="00C32AE0"/>
    <w:rsid w:val="00C33DDE"/>
    <w:rsid w:val="00C3525C"/>
    <w:rsid w:val="00C379CA"/>
    <w:rsid w:val="00C40404"/>
    <w:rsid w:val="00C528C6"/>
    <w:rsid w:val="00C55E6B"/>
    <w:rsid w:val="00C573BA"/>
    <w:rsid w:val="00C575F2"/>
    <w:rsid w:val="00C5774C"/>
    <w:rsid w:val="00C621B7"/>
    <w:rsid w:val="00C62821"/>
    <w:rsid w:val="00C63C8D"/>
    <w:rsid w:val="00C654E2"/>
    <w:rsid w:val="00C65691"/>
    <w:rsid w:val="00C6636B"/>
    <w:rsid w:val="00C66495"/>
    <w:rsid w:val="00C6687A"/>
    <w:rsid w:val="00C67BCA"/>
    <w:rsid w:val="00C7072B"/>
    <w:rsid w:val="00C70C66"/>
    <w:rsid w:val="00C729A9"/>
    <w:rsid w:val="00C75145"/>
    <w:rsid w:val="00C75659"/>
    <w:rsid w:val="00C824E4"/>
    <w:rsid w:val="00C83414"/>
    <w:rsid w:val="00C83852"/>
    <w:rsid w:val="00C8467C"/>
    <w:rsid w:val="00C869F5"/>
    <w:rsid w:val="00C915E7"/>
    <w:rsid w:val="00C9274E"/>
    <w:rsid w:val="00C92C82"/>
    <w:rsid w:val="00C93C7C"/>
    <w:rsid w:val="00C94A8E"/>
    <w:rsid w:val="00C960A1"/>
    <w:rsid w:val="00C96A09"/>
    <w:rsid w:val="00CA058A"/>
    <w:rsid w:val="00CA306A"/>
    <w:rsid w:val="00CA5A28"/>
    <w:rsid w:val="00CA7609"/>
    <w:rsid w:val="00CA7D88"/>
    <w:rsid w:val="00CB18D7"/>
    <w:rsid w:val="00CB22BA"/>
    <w:rsid w:val="00CB262F"/>
    <w:rsid w:val="00CB3995"/>
    <w:rsid w:val="00CB41A3"/>
    <w:rsid w:val="00CB4DCD"/>
    <w:rsid w:val="00CB5918"/>
    <w:rsid w:val="00CC1C6D"/>
    <w:rsid w:val="00CC28EF"/>
    <w:rsid w:val="00CC555C"/>
    <w:rsid w:val="00CC7BBD"/>
    <w:rsid w:val="00CD25BF"/>
    <w:rsid w:val="00CD2A32"/>
    <w:rsid w:val="00CD2DAD"/>
    <w:rsid w:val="00CE2CFB"/>
    <w:rsid w:val="00CE37CE"/>
    <w:rsid w:val="00CE4781"/>
    <w:rsid w:val="00CE5544"/>
    <w:rsid w:val="00CE79EB"/>
    <w:rsid w:val="00CE7CF9"/>
    <w:rsid w:val="00CF0389"/>
    <w:rsid w:val="00CF289F"/>
    <w:rsid w:val="00CF5CE1"/>
    <w:rsid w:val="00CF7F8C"/>
    <w:rsid w:val="00D04C09"/>
    <w:rsid w:val="00D13C46"/>
    <w:rsid w:val="00D15333"/>
    <w:rsid w:val="00D153B5"/>
    <w:rsid w:val="00D15B05"/>
    <w:rsid w:val="00D21210"/>
    <w:rsid w:val="00D2662E"/>
    <w:rsid w:val="00D32B7B"/>
    <w:rsid w:val="00D32C9F"/>
    <w:rsid w:val="00D34324"/>
    <w:rsid w:val="00D34EE7"/>
    <w:rsid w:val="00D357BC"/>
    <w:rsid w:val="00D41A17"/>
    <w:rsid w:val="00D41EDA"/>
    <w:rsid w:val="00D42343"/>
    <w:rsid w:val="00D51020"/>
    <w:rsid w:val="00D53365"/>
    <w:rsid w:val="00D55B80"/>
    <w:rsid w:val="00D60FAF"/>
    <w:rsid w:val="00D627B7"/>
    <w:rsid w:val="00D664C2"/>
    <w:rsid w:val="00D71B61"/>
    <w:rsid w:val="00D8374E"/>
    <w:rsid w:val="00D83DCA"/>
    <w:rsid w:val="00D84788"/>
    <w:rsid w:val="00D86825"/>
    <w:rsid w:val="00D87B9D"/>
    <w:rsid w:val="00D87BE3"/>
    <w:rsid w:val="00D92F69"/>
    <w:rsid w:val="00D933AC"/>
    <w:rsid w:val="00D94323"/>
    <w:rsid w:val="00D951D7"/>
    <w:rsid w:val="00DA1D35"/>
    <w:rsid w:val="00DB066A"/>
    <w:rsid w:val="00DB0CAE"/>
    <w:rsid w:val="00DB4561"/>
    <w:rsid w:val="00DB6F4A"/>
    <w:rsid w:val="00DB7085"/>
    <w:rsid w:val="00DC2E3F"/>
    <w:rsid w:val="00DC3692"/>
    <w:rsid w:val="00DC4CB6"/>
    <w:rsid w:val="00DC55D3"/>
    <w:rsid w:val="00DC5A7B"/>
    <w:rsid w:val="00DD041E"/>
    <w:rsid w:val="00DD0CA3"/>
    <w:rsid w:val="00DD108D"/>
    <w:rsid w:val="00DD2767"/>
    <w:rsid w:val="00DD2768"/>
    <w:rsid w:val="00DD3E08"/>
    <w:rsid w:val="00DD57B7"/>
    <w:rsid w:val="00DD6836"/>
    <w:rsid w:val="00DE1F08"/>
    <w:rsid w:val="00DE2AEC"/>
    <w:rsid w:val="00DE3E03"/>
    <w:rsid w:val="00DE697E"/>
    <w:rsid w:val="00DF2E6F"/>
    <w:rsid w:val="00DF4D16"/>
    <w:rsid w:val="00DF5621"/>
    <w:rsid w:val="00DF6D2C"/>
    <w:rsid w:val="00E00430"/>
    <w:rsid w:val="00E06F2A"/>
    <w:rsid w:val="00E07634"/>
    <w:rsid w:val="00E14C78"/>
    <w:rsid w:val="00E15C72"/>
    <w:rsid w:val="00E160BF"/>
    <w:rsid w:val="00E177D8"/>
    <w:rsid w:val="00E22CA0"/>
    <w:rsid w:val="00E25052"/>
    <w:rsid w:val="00E27A33"/>
    <w:rsid w:val="00E31547"/>
    <w:rsid w:val="00E32305"/>
    <w:rsid w:val="00E36A08"/>
    <w:rsid w:val="00E370AD"/>
    <w:rsid w:val="00E44954"/>
    <w:rsid w:val="00E47E93"/>
    <w:rsid w:val="00E47F11"/>
    <w:rsid w:val="00E50EDA"/>
    <w:rsid w:val="00E51075"/>
    <w:rsid w:val="00E52AA0"/>
    <w:rsid w:val="00E533C8"/>
    <w:rsid w:val="00E5409E"/>
    <w:rsid w:val="00E54433"/>
    <w:rsid w:val="00E54FCC"/>
    <w:rsid w:val="00E56B51"/>
    <w:rsid w:val="00E56E95"/>
    <w:rsid w:val="00E601D3"/>
    <w:rsid w:val="00E617EA"/>
    <w:rsid w:val="00E619D1"/>
    <w:rsid w:val="00E61CEE"/>
    <w:rsid w:val="00E62879"/>
    <w:rsid w:val="00E63097"/>
    <w:rsid w:val="00E64BE3"/>
    <w:rsid w:val="00E64D3C"/>
    <w:rsid w:val="00E7133B"/>
    <w:rsid w:val="00E71D66"/>
    <w:rsid w:val="00E73161"/>
    <w:rsid w:val="00E745EB"/>
    <w:rsid w:val="00E74BE0"/>
    <w:rsid w:val="00E74EA3"/>
    <w:rsid w:val="00E75A8B"/>
    <w:rsid w:val="00E76EC4"/>
    <w:rsid w:val="00E824DF"/>
    <w:rsid w:val="00E8486E"/>
    <w:rsid w:val="00E84ACF"/>
    <w:rsid w:val="00E8520F"/>
    <w:rsid w:val="00E85C1C"/>
    <w:rsid w:val="00E920C5"/>
    <w:rsid w:val="00E93903"/>
    <w:rsid w:val="00E939F6"/>
    <w:rsid w:val="00E93DC9"/>
    <w:rsid w:val="00EA2257"/>
    <w:rsid w:val="00EA2430"/>
    <w:rsid w:val="00EA2971"/>
    <w:rsid w:val="00EA2EFF"/>
    <w:rsid w:val="00EA5B2C"/>
    <w:rsid w:val="00EA7BCB"/>
    <w:rsid w:val="00EB3E3A"/>
    <w:rsid w:val="00EB7813"/>
    <w:rsid w:val="00EC1C66"/>
    <w:rsid w:val="00EC4B5E"/>
    <w:rsid w:val="00EC787B"/>
    <w:rsid w:val="00ED0D10"/>
    <w:rsid w:val="00ED328A"/>
    <w:rsid w:val="00ED4A82"/>
    <w:rsid w:val="00EE1C45"/>
    <w:rsid w:val="00EE2B81"/>
    <w:rsid w:val="00EE400D"/>
    <w:rsid w:val="00EE4185"/>
    <w:rsid w:val="00EE5108"/>
    <w:rsid w:val="00EE5D75"/>
    <w:rsid w:val="00EE74AE"/>
    <w:rsid w:val="00EE7736"/>
    <w:rsid w:val="00EF0481"/>
    <w:rsid w:val="00EF0A8B"/>
    <w:rsid w:val="00EF147D"/>
    <w:rsid w:val="00EF3430"/>
    <w:rsid w:val="00EF4CEA"/>
    <w:rsid w:val="00EF7F21"/>
    <w:rsid w:val="00EF7F7A"/>
    <w:rsid w:val="00F0568D"/>
    <w:rsid w:val="00F06C8C"/>
    <w:rsid w:val="00F10649"/>
    <w:rsid w:val="00F12C27"/>
    <w:rsid w:val="00F164F1"/>
    <w:rsid w:val="00F170DB"/>
    <w:rsid w:val="00F2238C"/>
    <w:rsid w:val="00F33E0E"/>
    <w:rsid w:val="00F3687F"/>
    <w:rsid w:val="00F36C3A"/>
    <w:rsid w:val="00F42303"/>
    <w:rsid w:val="00F42E5C"/>
    <w:rsid w:val="00F42F3A"/>
    <w:rsid w:val="00F43094"/>
    <w:rsid w:val="00F45E60"/>
    <w:rsid w:val="00F52212"/>
    <w:rsid w:val="00F569B3"/>
    <w:rsid w:val="00F57D40"/>
    <w:rsid w:val="00F61C31"/>
    <w:rsid w:val="00F6269D"/>
    <w:rsid w:val="00F62A53"/>
    <w:rsid w:val="00F64A82"/>
    <w:rsid w:val="00F66BD0"/>
    <w:rsid w:val="00F713BE"/>
    <w:rsid w:val="00F73924"/>
    <w:rsid w:val="00F74AAB"/>
    <w:rsid w:val="00F75CCC"/>
    <w:rsid w:val="00F8323D"/>
    <w:rsid w:val="00F85C7C"/>
    <w:rsid w:val="00F8749E"/>
    <w:rsid w:val="00F90723"/>
    <w:rsid w:val="00F90A58"/>
    <w:rsid w:val="00F93673"/>
    <w:rsid w:val="00F94E01"/>
    <w:rsid w:val="00F975CD"/>
    <w:rsid w:val="00FA1CA2"/>
    <w:rsid w:val="00FA2B1B"/>
    <w:rsid w:val="00FA3AB0"/>
    <w:rsid w:val="00FA6934"/>
    <w:rsid w:val="00FB142F"/>
    <w:rsid w:val="00FB1953"/>
    <w:rsid w:val="00FB29AD"/>
    <w:rsid w:val="00FB4CDD"/>
    <w:rsid w:val="00FB641E"/>
    <w:rsid w:val="00FC1AE3"/>
    <w:rsid w:val="00FC280C"/>
    <w:rsid w:val="00FC7B83"/>
    <w:rsid w:val="00FD5B95"/>
    <w:rsid w:val="00FD5C7D"/>
    <w:rsid w:val="00FD63B1"/>
    <w:rsid w:val="00FD7207"/>
    <w:rsid w:val="00FE1733"/>
    <w:rsid w:val="00FE269F"/>
    <w:rsid w:val="00FE5BA9"/>
    <w:rsid w:val="00FE6791"/>
    <w:rsid w:val="00FE6A00"/>
    <w:rsid w:val="00FF0282"/>
    <w:rsid w:val="00FF4ED8"/>
    <w:rsid w:val="00FF5CDE"/>
    <w:rsid w:val="00FF6C5B"/>
    <w:rsid w:val="03147E6C"/>
    <w:rsid w:val="03E87D56"/>
    <w:rsid w:val="0571BE00"/>
    <w:rsid w:val="06AA64C2"/>
    <w:rsid w:val="0702643F"/>
    <w:rsid w:val="0840EF7B"/>
    <w:rsid w:val="08797A20"/>
    <w:rsid w:val="093FF867"/>
    <w:rsid w:val="0A0969E5"/>
    <w:rsid w:val="0BA3103B"/>
    <w:rsid w:val="0EE46E07"/>
    <w:rsid w:val="0FD53056"/>
    <w:rsid w:val="105A00B0"/>
    <w:rsid w:val="108B0EE6"/>
    <w:rsid w:val="12B58E72"/>
    <w:rsid w:val="12C59715"/>
    <w:rsid w:val="1442CB59"/>
    <w:rsid w:val="145AF139"/>
    <w:rsid w:val="149625BE"/>
    <w:rsid w:val="1542E7B5"/>
    <w:rsid w:val="15F525E6"/>
    <w:rsid w:val="15FD69A0"/>
    <w:rsid w:val="16236544"/>
    <w:rsid w:val="172FF198"/>
    <w:rsid w:val="17CA3B7C"/>
    <w:rsid w:val="17F08CE0"/>
    <w:rsid w:val="180FDF50"/>
    <w:rsid w:val="184CCE00"/>
    <w:rsid w:val="1929913A"/>
    <w:rsid w:val="19669CCC"/>
    <w:rsid w:val="199ACA27"/>
    <w:rsid w:val="19E84CFE"/>
    <w:rsid w:val="1A69DF29"/>
    <w:rsid w:val="1B6C6491"/>
    <w:rsid w:val="1CAF3FF4"/>
    <w:rsid w:val="1CD36FD8"/>
    <w:rsid w:val="1D5076BB"/>
    <w:rsid w:val="1DB630A8"/>
    <w:rsid w:val="1DEA14EF"/>
    <w:rsid w:val="1E8D6C88"/>
    <w:rsid w:val="200FA813"/>
    <w:rsid w:val="2217169C"/>
    <w:rsid w:val="22E1EDD2"/>
    <w:rsid w:val="2378D1DE"/>
    <w:rsid w:val="23B5D271"/>
    <w:rsid w:val="271A59C7"/>
    <w:rsid w:val="2775A74D"/>
    <w:rsid w:val="294014C9"/>
    <w:rsid w:val="29A7C69B"/>
    <w:rsid w:val="29BA2159"/>
    <w:rsid w:val="2A8C48A7"/>
    <w:rsid w:val="2AAB588C"/>
    <w:rsid w:val="2C0254C1"/>
    <w:rsid w:val="2DC82351"/>
    <w:rsid w:val="2E2D073C"/>
    <w:rsid w:val="2F930A78"/>
    <w:rsid w:val="3162572C"/>
    <w:rsid w:val="3449A200"/>
    <w:rsid w:val="365ED355"/>
    <w:rsid w:val="369A24C7"/>
    <w:rsid w:val="3A7B1AAD"/>
    <w:rsid w:val="3BA8B9A9"/>
    <w:rsid w:val="3C32FD7B"/>
    <w:rsid w:val="3D6EC7A7"/>
    <w:rsid w:val="3E107284"/>
    <w:rsid w:val="3E1ABB83"/>
    <w:rsid w:val="3EBCAD08"/>
    <w:rsid w:val="3EF8F14B"/>
    <w:rsid w:val="401840C9"/>
    <w:rsid w:val="41F80E3A"/>
    <w:rsid w:val="43E4BE0C"/>
    <w:rsid w:val="43E76C71"/>
    <w:rsid w:val="43E95F20"/>
    <w:rsid w:val="450109E8"/>
    <w:rsid w:val="451F0BBA"/>
    <w:rsid w:val="45B90199"/>
    <w:rsid w:val="464A2724"/>
    <w:rsid w:val="4681492E"/>
    <w:rsid w:val="47524D00"/>
    <w:rsid w:val="49E629D4"/>
    <w:rsid w:val="4A9C7CF8"/>
    <w:rsid w:val="4C626F43"/>
    <w:rsid w:val="4C91ED1F"/>
    <w:rsid w:val="4CE3A733"/>
    <w:rsid w:val="4D3D430E"/>
    <w:rsid w:val="4EA8AC4F"/>
    <w:rsid w:val="4F20F89F"/>
    <w:rsid w:val="4F3206B5"/>
    <w:rsid w:val="50D1FDD2"/>
    <w:rsid w:val="519A4B3E"/>
    <w:rsid w:val="51BE685C"/>
    <w:rsid w:val="527FD8E4"/>
    <w:rsid w:val="531F5AB8"/>
    <w:rsid w:val="53668834"/>
    <w:rsid w:val="55B9C09B"/>
    <w:rsid w:val="55D52283"/>
    <w:rsid w:val="584A5930"/>
    <w:rsid w:val="59A28704"/>
    <w:rsid w:val="5A8DEC12"/>
    <w:rsid w:val="5B07E8B5"/>
    <w:rsid w:val="5B1BC0E6"/>
    <w:rsid w:val="5D6FFEEF"/>
    <w:rsid w:val="5F2F29B1"/>
    <w:rsid w:val="5F75D115"/>
    <w:rsid w:val="60825BD8"/>
    <w:rsid w:val="6094D2AE"/>
    <w:rsid w:val="60D02C6E"/>
    <w:rsid w:val="637C2A73"/>
    <w:rsid w:val="6560F271"/>
    <w:rsid w:val="65ABC621"/>
    <w:rsid w:val="66137BA5"/>
    <w:rsid w:val="6696E13B"/>
    <w:rsid w:val="66EAA5F1"/>
    <w:rsid w:val="68EC01D3"/>
    <w:rsid w:val="6989D5E9"/>
    <w:rsid w:val="69997D53"/>
    <w:rsid w:val="69E2355C"/>
    <w:rsid w:val="6A734A36"/>
    <w:rsid w:val="6CC39ADF"/>
    <w:rsid w:val="6D99959D"/>
    <w:rsid w:val="6F556774"/>
    <w:rsid w:val="6FF65654"/>
    <w:rsid w:val="701C70C8"/>
    <w:rsid w:val="72AD34B4"/>
    <w:rsid w:val="72AF98FA"/>
    <w:rsid w:val="73330421"/>
    <w:rsid w:val="73522C44"/>
    <w:rsid w:val="736A267F"/>
    <w:rsid w:val="73B5C47B"/>
    <w:rsid w:val="741A53EB"/>
    <w:rsid w:val="7518A5BC"/>
    <w:rsid w:val="75330BC8"/>
    <w:rsid w:val="759DBFED"/>
    <w:rsid w:val="77222582"/>
    <w:rsid w:val="7A1058E2"/>
    <w:rsid w:val="7A8CA3C3"/>
    <w:rsid w:val="7AC1A599"/>
    <w:rsid w:val="7C814D65"/>
    <w:rsid w:val="7E8DF425"/>
    <w:rsid w:val="7F4E820A"/>
    <w:rsid w:val="7F91741C"/>
    <w:rsid w:val="7FA5F90A"/>
    <w:rsid w:val="7FBB5E4C"/>
    <w:rsid w:val="7FD647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C6159"/>
  <w15:chartTrackingRefBased/>
  <w15:docId w15:val="{63FAF63D-54F1-4585-99A8-E0FD16A31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D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626"/>
    <w:pPr>
      <w:ind w:left="720"/>
      <w:contextualSpacing/>
    </w:pPr>
  </w:style>
  <w:style w:type="character" w:customStyle="1" w:styleId="Heading1Char">
    <w:name w:val="Heading 1 Char"/>
    <w:basedOn w:val="DefaultParagraphFont"/>
    <w:link w:val="Heading1"/>
    <w:uiPriority w:val="9"/>
    <w:rsid w:val="000A1D3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A1D34"/>
    <w:rPr>
      <w:color w:val="0563C1" w:themeColor="hyperlink"/>
      <w:u w:val="single"/>
    </w:rPr>
  </w:style>
  <w:style w:type="character" w:styleId="UnresolvedMention">
    <w:name w:val="Unresolved Mention"/>
    <w:basedOn w:val="DefaultParagraphFont"/>
    <w:uiPriority w:val="99"/>
    <w:semiHidden/>
    <w:unhideWhenUsed/>
    <w:rsid w:val="000A1D34"/>
    <w:rPr>
      <w:color w:val="605E5C"/>
      <w:shd w:val="clear" w:color="auto" w:fill="E1DFDD"/>
    </w:rPr>
  </w:style>
  <w:style w:type="character" w:styleId="CommentReference">
    <w:name w:val="annotation reference"/>
    <w:basedOn w:val="DefaultParagraphFont"/>
    <w:uiPriority w:val="99"/>
    <w:semiHidden/>
    <w:unhideWhenUsed/>
    <w:rsid w:val="00A82F0A"/>
    <w:rPr>
      <w:sz w:val="16"/>
      <w:szCs w:val="16"/>
    </w:rPr>
  </w:style>
  <w:style w:type="paragraph" w:styleId="CommentText">
    <w:name w:val="annotation text"/>
    <w:basedOn w:val="Normal"/>
    <w:link w:val="CommentTextChar"/>
    <w:uiPriority w:val="99"/>
    <w:unhideWhenUsed/>
    <w:rsid w:val="00A82F0A"/>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A82F0A"/>
    <w:rPr>
      <w:kern w:val="2"/>
      <w:sz w:val="20"/>
      <w:szCs w:val="20"/>
      <w14:ligatures w14:val="standardContextual"/>
    </w:rPr>
  </w:style>
  <w:style w:type="character" w:customStyle="1" w:styleId="normaltextrun">
    <w:name w:val="normaltextrun"/>
    <w:basedOn w:val="DefaultParagraphFont"/>
    <w:rsid w:val="008175B6"/>
  </w:style>
  <w:style w:type="table" w:styleId="TableGrid">
    <w:name w:val="Table Grid"/>
    <w:basedOn w:val="TableNormal"/>
    <w:uiPriority w:val="39"/>
    <w:rsid w:val="008175B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56B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6B51"/>
    <w:rPr>
      <w:sz w:val="20"/>
      <w:szCs w:val="20"/>
    </w:rPr>
  </w:style>
  <w:style w:type="character" w:styleId="FootnoteReference">
    <w:name w:val="footnote reference"/>
    <w:basedOn w:val="DefaultParagraphFont"/>
    <w:uiPriority w:val="99"/>
    <w:semiHidden/>
    <w:unhideWhenUsed/>
    <w:rsid w:val="00E56B51"/>
    <w:rPr>
      <w:vertAlign w:val="superscript"/>
    </w:rPr>
  </w:style>
  <w:style w:type="paragraph" w:customStyle="1" w:styleId="paragraph">
    <w:name w:val="paragraph"/>
    <w:basedOn w:val="Normal"/>
    <w:rsid w:val="00C352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3525C"/>
  </w:style>
  <w:style w:type="paragraph" w:styleId="CommentSubject">
    <w:name w:val="annotation subject"/>
    <w:basedOn w:val="CommentText"/>
    <w:next w:val="CommentText"/>
    <w:link w:val="CommentSubjectChar"/>
    <w:uiPriority w:val="99"/>
    <w:semiHidden/>
    <w:unhideWhenUsed/>
    <w:rsid w:val="00C66495"/>
    <w:rPr>
      <w:b/>
      <w:bCs/>
      <w:kern w:val="0"/>
      <w14:ligatures w14:val="none"/>
    </w:rPr>
  </w:style>
  <w:style w:type="character" w:customStyle="1" w:styleId="CommentSubjectChar">
    <w:name w:val="Comment Subject Char"/>
    <w:basedOn w:val="CommentTextChar"/>
    <w:link w:val="CommentSubject"/>
    <w:uiPriority w:val="99"/>
    <w:semiHidden/>
    <w:rsid w:val="00C66495"/>
    <w:rPr>
      <w:b/>
      <w:bCs/>
      <w:kern w:val="2"/>
      <w:sz w:val="20"/>
      <w:szCs w:val="20"/>
      <w14:ligatures w14:val="standardContextual"/>
    </w:rPr>
  </w:style>
  <w:style w:type="paragraph" w:styleId="Header">
    <w:name w:val="header"/>
    <w:basedOn w:val="Normal"/>
    <w:link w:val="HeaderChar"/>
    <w:uiPriority w:val="99"/>
    <w:unhideWhenUsed/>
    <w:rsid w:val="00921E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EE4"/>
  </w:style>
  <w:style w:type="paragraph" w:styleId="Footer">
    <w:name w:val="footer"/>
    <w:basedOn w:val="Normal"/>
    <w:link w:val="FooterChar"/>
    <w:uiPriority w:val="99"/>
    <w:unhideWhenUsed/>
    <w:rsid w:val="00921E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EE4"/>
  </w:style>
  <w:style w:type="paragraph" w:styleId="Revision">
    <w:name w:val="Revision"/>
    <w:hidden/>
    <w:uiPriority w:val="99"/>
    <w:semiHidden/>
    <w:rsid w:val="00921EE4"/>
    <w:pPr>
      <w:spacing w:after="0" w:line="240" w:lineRule="auto"/>
    </w:pPr>
  </w:style>
  <w:style w:type="character" w:styleId="Mention">
    <w:name w:val="Mention"/>
    <w:basedOn w:val="DefaultParagraphFont"/>
    <w:uiPriority w:val="99"/>
    <w:unhideWhenUsed/>
    <w:rsid w:val="00921EE4"/>
    <w:rPr>
      <w:color w:val="2B579A"/>
      <w:shd w:val="clear" w:color="auto" w:fill="E1DFDD"/>
    </w:rPr>
  </w:style>
  <w:style w:type="character" w:styleId="FollowedHyperlink">
    <w:name w:val="FollowedHyperlink"/>
    <w:basedOn w:val="DefaultParagraphFont"/>
    <w:uiPriority w:val="99"/>
    <w:semiHidden/>
    <w:unhideWhenUsed/>
    <w:rsid w:val="003838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16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lbe-priorities-and-efforts-clean-transportation" TargetMode="External"/><Relationship Id="rId18" Type="http://schemas.openxmlformats.org/officeDocument/2006/relationships/hyperlink" Target="https://neep.org/SASD"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commbuys.com/bso/external/purchaseorder/poSummary.sdo?docId=PO-17-1041-ENE01-ENE01-8945&amp;releaseNbr=0&amp;parentUrl=contract" TargetMode="External"/><Relationship Id="rId7" Type="http://schemas.openxmlformats.org/officeDocument/2006/relationships/settings" Target="settings.xml"/><Relationship Id="rId12" Type="http://schemas.openxmlformats.org/officeDocument/2006/relationships/hyperlink" Target="https://www.mass.gov/doc/electric-vehicle-planning-and-acquisition-policy/download" TargetMode="External"/><Relationship Id="rId17" Type="http://schemas.openxmlformats.org/officeDocument/2006/relationships/hyperlink" Target="https://www.mass.gov/info-details/fleet-ev-charging-deployment-grant-program-2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mass.gov/doc/veh102-advanced-vehicle-technology-equipment-supplies-and-services/download" TargetMode="External"/><Relationship Id="rId20" Type="http://schemas.openxmlformats.org/officeDocument/2006/relationships/hyperlink" Target="https://www.commbuys.com/bso/external/bidDetail.sdo?docId=BD-24-1080-OSD03-OSD03-9949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leading-by-example-executive-order-594-decarbonizing-and-minimizing-environmental-impacts-of-state-governmen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mass.gov/doc/trd01/download" TargetMode="External"/><Relationship Id="rId23" Type="http://schemas.openxmlformats.org/officeDocument/2006/relationships/hyperlink" Target="mailto:morgan.bowler@mass.go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neep.org/SAS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lbe-priorities-and-efforts-clean-transportation" TargetMode="External"/><Relationship Id="rId22" Type="http://schemas.openxmlformats.org/officeDocument/2006/relationships/hyperlink" Target="https://www.macomptroller.org/wp-content/uploads/instructions_standard-contract-form.pdf"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99340-b9cf-4458-9368-33036c1b4dc9">
      <Terms xmlns="http://schemas.microsoft.com/office/infopath/2007/PartnerControls"/>
    </lcf76f155ced4ddcb4097134ff3c332f>
    <TaxCatchAll xmlns="a2187807-d16b-4f26-8c23-1ecdc31f3e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E5B1B55FDC6F46992CBD8D384DCF63" ma:contentTypeVersion="17" ma:contentTypeDescription="Create a new document." ma:contentTypeScope="" ma:versionID="353c411744954991f2b8949b593a8323">
  <xsd:schema xmlns:xsd="http://www.w3.org/2001/XMLSchema" xmlns:xs="http://www.w3.org/2001/XMLSchema" xmlns:p="http://schemas.microsoft.com/office/2006/metadata/properties" xmlns:ns2="79499340-b9cf-4458-9368-33036c1b4dc9" xmlns:ns3="a2187807-d16b-4f26-8c23-1ecdc31f3e2b" targetNamespace="http://schemas.microsoft.com/office/2006/metadata/properties" ma:root="true" ma:fieldsID="866e236010be8c18a48c5bce53cbd3cc" ns2:_="" ns3:_="">
    <xsd:import namespace="79499340-b9cf-4458-9368-33036c1b4dc9"/>
    <xsd:import namespace="a2187807-d16b-4f26-8c23-1ecdc31f3e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9340-b9cf-4458-9368-33036c1b4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187807-d16b-4f26-8c23-1ecdc31f3e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236eada-7542-4a47-9b16-089fadf71390}" ma:internalName="TaxCatchAll" ma:showField="CatchAllData" ma:web="a2187807-d16b-4f26-8c23-1ecdc31f3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CBEB3-D7DC-4559-A450-8C559158317A}">
  <ds:schemaRefs>
    <ds:schemaRef ds:uri="http://schemas.microsoft.com/office/infopath/2007/PartnerControls"/>
    <ds:schemaRef ds:uri="http://schemas.openxmlformats.org/package/2006/metadata/core-properties"/>
    <ds:schemaRef ds:uri="http://purl.org/dc/dcmitype/"/>
    <ds:schemaRef ds:uri="79499340-b9cf-4458-9368-33036c1b4dc9"/>
    <ds:schemaRef ds:uri="http://purl.org/dc/terms/"/>
    <ds:schemaRef ds:uri="http://schemas.microsoft.com/office/2006/documentManagement/types"/>
    <ds:schemaRef ds:uri="http://purl.org/dc/elements/1.1/"/>
    <ds:schemaRef ds:uri="a2187807-d16b-4f26-8c23-1ecdc31f3e2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83695D9-14FC-46BE-8F76-B388AC866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9340-b9cf-4458-9368-33036c1b4dc9"/>
    <ds:schemaRef ds:uri="a2187807-d16b-4f26-8c23-1ecdc31f3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5626A-0DB5-443D-934D-689E1BDDE717}">
  <ds:schemaRefs>
    <ds:schemaRef ds:uri="http://schemas.microsoft.com/sharepoint/v3/contenttype/forms"/>
  </ds:schemaRefs>
</ds:datastoreItem>
</file>

<file path=customXml/itemProps4.xml><?xml version="1.0" encoding="utf-8"?>
<ds:datastoreItem xmlns:ds="http://schemas.openxmlformats.org/officeDocument/2006/customXml" ds:itemID="{889011C4-7352-4728-AFFC-1AF5C79D4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7</Pages>
  <Words>3372</Words>
  <Characters>19222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22549</CharactersWithSpaces>
  <SharedDoc>false</SharedDoc>
  <HLinks>
    <vt:vector size="78" baseType="variant">
      <vt:variant>
        <vt:i4>1835113</vt:i4>
      </vt:variant>
      <vt:variant>
        <vt:i4>36</vt:i4>
      </vt:variant>
      <vt:variant>
        <vt:i4>0</vt:i4>
      </vt:variant>
      <vt:variant>
        <vt:i4>5</vt:i4>
      </vt:variant>
      <vt:variant>
        <vt:lpwstr>mailto:morgan.bowler@mass.gov</vt:lpwstr>
      </vt:variant>
      <vt:variant>
        <vt:lpwstr/>
      </vt:variant>
      <vt:variant>
        <vt:i4>6094900</vt:i4>
      </vt:variant>
      <vt:variant>
        <vt:i4>33</vt:i4>
      </vt:variant>
      <vt:variant>
        <vt:i4>0</vt:i4>
      </vt:variant>
      <vt:variant>
        <vt:i4>5</vt:i4>
      </vt:variant>
      <vt:variant>
        <vt:lpwstr>https://www.macomptroller.org/wp-content/uploads/instructions_standard-contract-form.pdf</vt:lpwstr>
      </vt:variant>
      <vt:variant>
        <vt:lpwstr>:~:text=The%20following%20Instructions,%20Contractor%20Certifications%20and</vt:lpwstr>
      </vt:variant>
      <vt:variant>
        <vt:i4>131088</vt:i4>
      </vt:variant>
      <vt:variant>
        <vt:i4>30</vt:i4>
      </vt:variant>
      <vt:variant>
        <vt:i4>0</vt:i4>
      </vt:variant>
      <vt:variant>
        <vt:i4>5</vt:i4>
      </vt:variant>
      <vt:variant>
        <vt:lpwstr>https://www.commbuys.com/bso/external/purchaseorder/poSummary.sdo?docId=PO-17-1041-ENE01-ENE01-8945&amp;releaseNbr=0&amp;parentUrl=contract</vt:lpwstr>
      </vt:variant>
      <vt:variant>
        <vt:lpwstr>:~:text=Short%20Description:%20VEH102%20Advanced%20Vehicle%20Technology</vt:lpwstr>
      </vt:variant>
      <vt:variant>
        <vt:i4>6946919</vt:i4>
      </vt:variant>
      <vt:variant>
        <vt:i4>27</vt:i4>
      </vt:variant>
      <vt:variant>
        <vt:i4>0</vt:i4>
      </vt:variant>
      <vt:variant>
        <vt:i4>5</vt:i4>
      </vt:variant>
      <vt:variant>
        <vt:lpwstr>https://www.commbuys.com/bso/external/bidDetail.sdo?docId=BD-24-1080-OSD03-OSD03-99499</vt:lpwstr>
      </vt:variant>
      <vt:variant>
        <vt:lpwstr>:~:text=Header%20Information.%20Bid%20Number:</vt:lpwstr>
      </vt:variant>
      <vt:variant>
        <vt:i4>786521</vt:i4>
      </vt:variant>
      <vt:variant>
        <vt:i4>24</vt:i4>
      </vt:variant>
      <vt:variant>
        <vt:i4>0</vt:i4>
      </vt:variant>
      <vt:variant>
        <vt:i4>5</vt:i4>
      </vt:variant>
      <vt:variant>
        <vt:lpwstr>https://neep.org/SASD</vt:lpwstr>
      </vt:variant>
      <vt:variant>
        <vt:lpwstr/>
      </vt:variant>
      <vt:variant>
        <vt:i4>786521</vt:i4>
      </vt:variant>
      <vt:variant>
        <vt:i4>21</vt:i4>
      </vt:variant>
      <vt:variant>
        <vt:i4>0</vt:i4>
      </vt:variant>
      <vt:variant>
        <vt:i4>5</vt:i4>
      </vt:variant>
      <vt:variant>
        <vt:lpwstr>https://neep.org/SASD</vt:lpwstr>
      </vt:variant>
      <vt:variant>
        <vt:lpwstr/>
      </vt:variant>
      <vt:variant>
        <vt:i4>8060973</vt:i4>
      </vt:variant>
      <vt:variant>
        <vt:i4>18</vt:i4>
      </vt:variant>
      <vt:variant>
        <vt:i4>0</vt:i4>
      </vt:variant>
      <vt:variant>
        <vt:i4>5</vt:i4>
      </vt:variant>
      <vt:variant>
        <vt:lpwstr>https://www.mass.gov/info-details/fleet-ev-charging-deployment-grant-program-20</vt:lpwstr>
      </vt:variant>
      <vt:variant>
        <vt:lpwstr/>
      </vt:variant>
      <vt:variant>
        <vt:i4>917526</vt:i4>
      </vt:variant>
      <vt:variant>
        <vt:i4>15</vt:i4>
      </vt:variant>
      <vt:variant>
        <vt:i4>0</vt:i4>
      </vt:variant>
      <vt:variant>
        <vt:i4>5</vt:i4>
      </vt:variant>
      <vt:variant>
        <vt:lpwstr>https://www.mass.gov/doc/veh102-advanced-vehicle-technology-equipment-supplies-and-services/download</vt:lpwstr>
      </vt:variant>
      <vt:variant>
        <vt:lpwstr/>
      </vt:variant>
      <vt:variant>
        <vt:i4>7536755</vt:i4>
      </vt:variant>
      <vt:variant>
        <vt:i4>12</vt:i4>
      </vt:variant>
      <vt:variant>
        <vt:i4>0</vt:i4>
      </vt:variant>
      <vt:variant>
        <vt:i4>5</vt:i4>
      </vt:variant>
      <vt:variant>
        <vt:lpwstr>https://www.mass.gov/doc/trd01/download</vt:lpwstr>
      </vt:variant>
      <vt:variant>
        <vt:lpwstr/>
      </vt:variant>
      <vt:variant>
        <vt:i4>393280</vt:i4>
      </vt:variant>
      <vt:variant>
        <vt:i4>9</vt:i4>
      </vt:variant>
      <vt:variant>
        <vt:i4>0</vt:i4>
      </vt:variant>
      <vt:variant>
        <vt:i4>5</vt:i4>
      </vt:variant>
      <vt:variant>
        <vt:lpwstr>https://www.mass.gov/info-details/lbe-priorities-and-efforts-clean-transportation</vt:lpwstr>
      </vt:variant>
      <vt:variant>
        <vt:lpwstr/>
      </vt:variant>
      <vt:variant>
        <vt:i4>393280</vt:i4>
      </vt:variant>
      <vt:variant>
        <vt:i4>6</vt:i4>
      </vt:variant>
      <vt:variant>
        <vt:i4>0</vt:i4>
      </vt:variant>
      <vt:variant>
        <vt:i4>5</vt:i4>
      </vt:variant>
      <vt:variant>
        <vt:lpwstr>https://www.mass.gov/info-details/lbe-priorities-and-efforts-clean-transportation</vt:lpwstr>
      </vt:variant>
      <vt:variant>
        <vt:lpwstr/>
      </vt:variant>
      <vt:variant>
        <vt:i4>7667771</vt:i4>
      </vt:variant>
      <vt:variant>
        <vt:i4>3</vt:i4>
      </vt:variant>
      <vt:variant>
        <vt:i4>0</vt:i4>
      </vt:variant>
      <vt:variant>
        <vt:i4>5</vt:i4>
      </vt:variant>
      <vt:variant>
        <vt:lpwstr>https://www.mass.gov/doc/electric-vehicle-planning-and-acquisition-policy/download</vt:lpwstr>
      </vt:variant>
      <vt:variant>
        <vt:lpwstr/>
      </vt:variant>
      <vt:variant>
        <vt:i4>6225999</vt:i4>
      </vt:variant>
      <vt:variant>
        <vt:i4>0</vt:i4>
      </vt:variant>
      <vt:variant>
        <vt:i4>0</vt:i4>
      </vt:variant>
      <vt:variant>
        <vt:i4>5</vt:i4>
      </vt:variant>
      <vt:variant>
        <vt:lpwstr>https://www.mass.gov/info-details/leading-by-example-executive-order-594-decarbonizing-and-minimizing-environmental-impacts-of-state-government</vt:lpwstr>
      </vt:variant>
      <vt:variant>
        <vt:lpwstr>:~:text=On%20April%2022nd%2C%202021%2C%20the%20Baker-Polito%20Administration%20signed,emissions%20and%20environmental%20impact%20of%20state%20government%20operations.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Bowler, Morgan (ENE)</dc:creator>
  <cp:keywords/>
  <dc:description/>
  <cp:lastModifiedBy>Bowler, Morgan (ENE)</cp:lastModifiedBy>
  <cp:revision>165</cp:revision>
  <dcterms:created xsi:type="dcterms:W3CDTF">2024-10-02T16:42:00Z</dcterms:created>
  <dcterms:modified xsi:type="dcterms:W3CDTF">2025-07-15T20:38:00Z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0x010100CCE5B1B55FDC6F46992CBD8D384DCF63</vt:lpwstr>
  </property>
  <property fmtid="{D5CDD505-2E9C-101B-9397-08002B2CF9AE}" pid="3" name="MediaServiceImageTags">
    <vt:lpwstr/>
  </property>
</Properties>
</file>