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360"/>
      </w:tblGrid>
      <w:tr w:rsidR="009B6E18" w:rsidTr="009B6E18">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9B6E18">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9B6E18">
                    <w:tc>
                      <w:tcPr>
                        <w:tcW w:w="0" w:type="auto"/>
                        <w:tcMar>
                          <w:top w:w="0" w:type="dxa"/>
                          <w:left w:w="135" w:type="dxa"/>
                          <w:bottom w:w="0" w:type="dxa"/>
                          <w:right w:w="135" w:type="dxa"/>
                        </w:tcMar>
                        <w:hideMark/>
                      </w:tcPr>
                      <w:p w:rsidR="009B6E18" w:rsidRDefault="009B6E18">
                        <w:pPr>
                          <w:jc w:val="center"/>
                        </w:pPr>
                        <w:r>
                          <w:rPr>
                            <w:noProof/>
                          </w:rPr>
                          <w:drawing>
                            <wp:inline distT="0" distB="0" distL="0" distR="0">
                              <wp:extent cx="5369560" cy="1155700"/>
                              <wp:effectExtent l="0" t="0" r="2540" b="6350"/>
                              <wp:docPr id="5" name="Picture 5" descr="https://gallery.mailchimp.com/0e9e2209abd5f7062568d9a19/images/d90bf80c-1cab-40d9-9245-8385b4fa6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e9e2209abd5f7062568d9a19/images/d90bf80c-1cab-40d9-9245-8385b4fa63b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69560" cy="1155700"/>
                                      </a:xfrm>
                                      <a:prstGeom prst="rect">
                                        <a:avLst/>
                                      </a:prstGeom>
                                      <a:noFill/>
                                      <a:ln>
                                        <a:noFill/>
                                      </a:ln>
                                    </pic:spPr>
                                  </pic:pic>
                                </a:graphicData>
                              </a:graphic>
                            </wp:inline>
                          </w:drawing>
                        </w:r>
                      </w:p>
                    </w:tc>
                  </w:tr>
                </w:tbl>
                <w:p w:rsidR="009B6E18" w:rsidRDefault="009B6E18">
                  <w:pPr>
                    <w:rPr>
                      <w:rFonts w:eastAsia="Times New Roman"/>
                      <w:sz w:val="20"/>
                      <w:szCs w:val="20"/>
                    </w:rPr>
                  </w:pPr>
                </w:p>
              </w:tc>
            </w:tr>
          </w:tbl>
          <w:p w:rsidR="009B6E18" w:rsidRDefault="009B6E18">
            <w:pPr>
              <w:rPr>
                <w:rFonts w:eastAsia="Times New Roman"/>
                <w:sz w:val="20"/>
                <w:szCs w:val="20"/>
              </w:rPr>
            </w:pPr>
          </w:p>
        </w:tc>
      </w:tr>
      <w:tr w:rsidR="009B6E18" w:rsidTr="009B6E18">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360"/>
            </w:tblGrid>
            <w:tr w:rsidR="009B6E1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9B6E1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B6E18">
                          <w:tc>
                            <w:tcPr>
                              <w:tcW w:w="0" w:type="auto"/>
                              <w:tcMar>
                                <w:top w:w="0" w:type="dxa"/>
                                <w:left w:w="270" w:type="dxa"/>
                                <w:bottom w:w="135" w:type="dxa"/>
                                <w:right w:w="270" w:type="dxa"/>
                              </w:tcMar>
                              <w:hideMark/>
                            </w:tcPr>
                            <w:p w:rsidR="009B6E18" w:rsidRDefault="009B6E18">
                              <w:pPr>
                                <w:spacing w:line="360" w:lineRule="auto"/>
                                <w:rPr>
                                  <w:rFonts w:ascii="Helvetica" w:hAnsi="Helvetica" w:cs="Helvetica"/>
                                  <w:color w:val="202020"/>
                                </w:rPr>
                              </w:pPr>
                              <w:r>
                                <w:rPr>
                                  <w:rStyle w:val="Strong"/>
                                  <w:rFonts w:ascii="Georgia" w:hAnsi="Georgia"/>
                                  <w:color w:val="202020"/>
                                </w:rPr>
                                <w:t>Filing season is coming to a close</w:t>
                              </w:r>
                              <w:r>
                                <w:rPr>
                                  <w:rFonts w:ascii="Georgia" w:hAnsi="Georgia"/>
                                  <w:color w:val="202020"/>
                                </w:rPr>
                                <w:br/>
                                <w:t xml:space="preserve">It’s the final stretch in the filing season and almost time for that much needed vacation from tax returns.  Of course, some taxpayers may be on </w:t>
                              </w:r>
                              <w:hyperlink r:id="rId6" w:history="1">
                                <w:r>
                                  <w:rPr>
                                    <w:rStyle w:val="Hyperlink"/>
                                    <w:rFonts w:ascii="Georgia" w:hAnsi="Georgia"/>
                                    <w:color w:val="007C89"/>
                                  </w:rPr>
                                  <w:t>extension</w:t>
                                </w:r>
                              </w:hyperlink>
                              <w:r>
                                <w:rPr>
                                  <w:rFonts w:ascii="Georgia" w:hAnsi="Georgia"/>
                                  <w:color w:val="202020"/>
                                </w:rPr>
                                <w:t xml:space="preserve"> but that is now an automatic process for most. It’s been a successful filing season on our end. Just over 2.7 million returns in so far with 1.9 million refunds out the door, totaling just over $1.1 billion. The Contact Center has taken more than 123,000 calls – that’s a lot but down considerably from last year.  We hope that’s because we’re doing a better job of resolving issues on the first call, getting refund and fraud notices out very quickly and improving information on the website. </w:t>
                              </w:r>
                              <w:r>
                                <w:rPr>
                                  <w:rFonts w:ascii="Georgia" w:hAnsi="Georgia"/>
                                  <w:color w:val="202020"/>
                                </w:rPr>
                                <w:br/>
                                <w:t> </w:t>
                              </w:r>
                              <w:r>
                                <w:rPr>
                                  <w:rFonts w:ascii="Georgia" w:hAnsi="Georgia"/>
                                  <w:color w:val="202020"/>
                                </w:rPr>
                                <w:br/>
                              </w:r>
                              <w:r>
                                <w:rPr>
                                  <w:rStyle w:val="Strong"/>
                                  <w:rFonts w:ascii="Georgia" w:hAnsi="Georgia"/>
                                  <w:color w:val="202020"/>
                                </w:rPr>
                                <w:t>The latest on the new paid family medical leave program</w:t>
                              </w:r>
                              <w:r>
                                <w:rPr>
                                  <w:rFonts w:ascii="Georgia" w:hAnsi="Georgia"/>
                                  <w:color w:val="202020"/>
                                </w:rPr>
                                <w:br/>
                                <w:t xml:space="preserve">It’s a big and important initiative and we’ll keep updating you with news. Businesses with equal or better plans for paid family medical leave can register for an exemption, and if approved, may retain their plan and opt out of the state’s plan. It will all be done on </w:t>
                              </w:r>
                              <w:proofErr w:type="spellStart"/>
                              <w:r>
                                <w:rPr>
                                  <w:rFonts w:ascii="Georgia" w:hAnsi="Georgia"/>
                                  <w:color w:val="202020"/>
                                </w:rPr>
                                <w:t>MassTaxConnect</w:t>
                              </w:r>
                              <w:proofErr w:type="spellEnd"/>
                              <w:r>
                                <w:rPr>
                                  <w:rFonts w:ascii="Georgia" w:hAnsi="Georgia"/>
                                  <w:color w:val="202020"/>
                                </w:rPr>
                                <w:t>, once the exemption registration option is available on April 29. Stay tuned, FAQs will be up shortly on the DOR website to help you navigate the exemption and collection processes.  </w:t>
                              </w:r>
                              <w:hyperlink r:id="rId7" w:history="1">
                                <w:r>
                                  <w:rPr>
                                    <w:rStyle w:val="Hyperlink"/>
                                    <w:rFonts w:ascii="Georgia" w:hAnsi="Georgia"/>
                                    <w:color w:val="007C89"/>
                                  </w:rPr>
                                  <w:t>FAQs on the DFML site</w:t>
                                </w:r>
                              </w:hyperlink>
                              <w:r>
                                <w:rPr>
                                  <w:rFonts w:ascii="Georgia" w:hAnsi="Georgia"/>
                                  <w:color w:val="202020"/>
                                </w:rPr>
                                <w:t xml:space="preserve"> are being updated, worth taking a look at those. Employer and employee </w:t>
                              </w:r>
                              <w:hyperlink r:id="rId8" w:history="1">
                                <w:r>
                                  <w:rPr>
                                    <w:rStyle w:val="Hyperlink"/>
                                    <w:rFonts w:ascii="Georgia" w:hAnsi="Georgia"/>
                                    <w:color w:val="007C89"/>
                                  </w:rPr>
                                  <w:t>toolkits</w:t>
                                </w:r>
                              </w:hyperlink>
                              <w:r>
                                <w:rPr>
                                  <w:rFonts w:ascii="Georgia" w:hAnsi="Georgia"/>
                                  <w:color w:val="202020"/>
                                </w:rPr>
                                <w:t xml:space="preserve"> are now available from DFML. The toolkits have resources for businesses and individuals to understand and implement paid family medical leave, including contribution rate calculators, informative videos, workplace posters, and other useful information designed to assist people with implementation planning.  </w:t>
                              </w:r>
                              <w:r>
                                <w:rPr>
                                  <w:rFonts w:ascii="Georgia" w:hAnsi="Georgia"/>
                                  <w:color w:val="202020"/>
                                </w:rPr>
                                <w:br/>
                                <w:t> </w:t>
                              </w:r>
                              <w:r>
                                <w:rPr>
                                  <w:rFonts w:ascii="Georgia" w:hAnsi="Georgia"/>
                                  <w:color w:val="202020"/>
                                </w:rPr>
                                <w:br/>
                              </w:r>
                              <w:r>
                                <w:rPr>
                                  <w:rStyle w:val="Strong"/>
                                  <w:rFonts w:ascii="Georgia" w:hAnsi="Georgia"/>
                                  <w:color w:val="202020"/>
                                </w:rPr>
                                <w:t>Innocent spouse claims</w:t>
                              </w:r>
                              <w:r>
                                <w:rPr>
                                  <w:rFonts w:ascii="Georgia" w:hAnsi="Georgia"/>
                                  <w:color w:val="202020"/>
                                </w:rPr>
                                <w:br/>
                              </w:r>
                              <w:r>
                                <w:rPr>
                                  <w:rFonts w:ascii="Georgia" w:hAnsi="Georgia"/>
                                  <w:color w:val="202020"/>
                                </w:rPr>
                                <w:lastRenderedPageBreak/>
                                <w:t xml:space="preserve">New rules for innocent spouse claims took effect on April 10. The revisions bring Massachusetts law more in line with federal provisions. You can learn more about the </w:t>
                              </w:r>
                              <w:hyperlink r:id="rId9" w:history="1">
                                <w:r>
                                  <w:rPr>
                                    <w:rStyle w:val="Hyperlink"/>
                                    <w:rFonts w:ascii="Georgia" w:hAnsi="Georgia"/>
                                    <w:color w:val="007C89"/>
                                  </w:rPr>
                                  <w:t>changes to innocent spouse claims</w:t>
                                </w:r>
                              </w:hyperlink>
                              <w:r>
                                <w:rPr>
                                  <w:rFonts w:ascii="Georgia" w:hAnsi="Georgia"/>
                                  <w:color w:val="202020"/>
                                </w:rPr>
                                <w:t xml:space="preserve"> on the DOR website.</w:t>
                              </w:r>
                              <w:r>
                                <w:rPr>
                                  <w:rFonts w:ascii="Georgia" w:hAnsi="Georgia"/>
                                  <w:color w:val="202020"/>
                                </w:rPr>
                                <w:br/>
                                <w:t> </w:t>
                              </w:r>
                              <w:r>
                                <w:rPr>
                                  <w:rFonts w:ascii="Georgia" w:hAnsi="Georgia"/>
                                  <w:color w:val="202020"/>
                                </w:rPr>
                                <w:br/>
                              </w:r>
                              <w:r>
                                <w:rPr>
                                  <w:rStyle w:val="Strong"/>
                                  <w:rFonts w:ascii="Georgia" w:hAnsi="Georgia"/>
                                  <w:color w:val="202020"/>
                                </w:rPr>
                                <w:t>Small business energy exemption</w:t>
                              </w:r>
                              <w:r>
                                <w:rPr>
                                  <w:rFonts w:ascii="Georgia" w:hAnsi="Georgia"/>
                                  <w:color w:val="202020"/>
                                </w:rPr>
                                <w:br/>
                                <w:t xml:space="preserve">We are now past the extension date of March 31 for qualified businesses holding 2018 exemption certificates to </w:t>
                              </w:r>
                              <w:hyperlink r:id="rId10" w:history="1">
                                <w:r>
                                  <w:rPr>
                                    <w:rStyle w:val="Hyperlink"/>
                                    <w:rFonts w:ascii="Georgia" w:hAnsi="Georgia"/>
                                    <w:color w:val="007C89"/>
                                  </w:rPr>
                                  <w:t>register for the 2019/20 exemption</w:t>
                                </w:r>
                              </w:hyperlink>
                              <w:r>
                                <w:rPr>
                                  <w:rFonts w:ascii="Georgia" w:hAnsi="Georgia"/>
                                  <w:color w:val="202020"/>
                                </w:rPr>
                                <w:t>. These businesses now face being taxed by a utility vendor. Our advice to qualified small businesses:  register now to avoid being taxed on future energy costs.</w:t>
                              </w:r>
                              <w:r>
                                <w:rPr>
                                  <w:rFonts w:ascii="Georgia" w:hAnsi="Georgia"/>
                                  <w:color w:val="202020"/>
                                </w:rPr>
                                <w:br/>
                                <w:t> </w:t>
                              </w:r>
                              <w:r>
                                <w:rPr>
                                  <w:rFonts w:ascii="Georgia" w:hAnsi="Georgia"/>
                                  <w:color w:val="202020"/>
                                </w:rPr>
                                <w:br/>
                              </w:r>
                              <w:r>
                                <w:rPr>
                                  <w:rStyle w:val="Strong"/>
                                  <w:rFonts w:ascii="Georgia" w:hAnsi="Georgia"/>
                                  <w:color w:val="202020"/>
                                </w:rPr>
                                <w:t>Short-term rentals</w:t>
                              </w:r>
                              <w:r>
                                <w:rPr>
                                  <w:rFonts w:ascii="Georgia" w:hAnsi="Georgia"/>
                                  <w:color w:val="202020"/>
                                </w:rPr>
                                <w:br/>
                                <w:t xml:space="preserve">If you, or a client, rent out a room on a short-term basis, catch up on the </w:t>
                              </w:r>
                              <w:hyperlink r:id="rId11" w:history="1">
                                <w:r>
                                  <w:rPr>
                                    <w:rStyle w:val="Hyperlink"/>
                                    <w:rFonts w:ascii="Georgia" w:hAnsi="Georgia"/>
                                    <w:color w:val="007C89"/>
                                  </w:rPr>
                                  <w:t>changes this year to the room occupancy excise</w:t>
                                </w:r>
                              </w:hyperlink>
                              <w:r>
                                <w:rPr>
                                  <w:rFonts w:ascii="Georgia" w:hAnsi="Georgia"/>
                                  <w:color w:val="202020"/>
                                </w:rPr>
                                <w:t>, which was expanded to include short-term rentals.</w:t>
                              </w:r>
                              <w:r>
                                <w:rPr>
                                  <w:rFonts w:ascii="Georgia" w:hAnsi="Georgia"/>
                                  <w:color w:val="202020"/>
                                </w:rPr>
                                <w:br/>
                                <w:t> </w:t>
                              </w:r>
                            </w:p>
                            <w:p w:rsidR="009B6E18" w:rsidRDefault="009B6E18">
                              <w:pPr>
                                <w:spacing w:line="360" w:lineRule="auto"/>
                                <w:rPr>
                                  <w:rFonts w:ascii="Helvetica" w:hAnsi="Helvetica" w:cs="Helvetica"/>
                                  <w:color w:val="202020"/>
                                </w:rPr>
                              </w:pPr>
                              <w:r>
                                <w:rPr>
                                  <w:rFonts w:ascii="Georgia" w:hAnsi="Georgia"/>
                                  <w:color w:val="202020"/>
                                </w:rPr>
                                <w:t xml:space="preserve">You can find previous </w:t>
                              </w:r>
                              <w:hyperlink r:id="rId12" w:history="1">
                                <w:r>
                                  <w:rPr>
                                    <w:rStyle w:val="Hyperlink"/>
                                    <w:rFonts w:ascii="Georgia" w:hAnsi="Georgia"/>
                                    <w:color w:val="007C89"/>
                                  </w:rPr>
                                  <w:t>DOR News</w:t>
                                </w:r>
                              </w:hyperlink>
                              <w:r>
                                <w:rPr>
                                  <w:rFonts w:ascii="Georgia" w:hAnsi="Georgia"/>
                                  <w:color w:val="202020"/>
                                </w:rPr>
                                <w:t xml:space="preserve"> on the DOR website</w:t>
                              </w:r>
                            </w:p>
                          </w:tc>
                        </w:tr>
                      </w:tbl>
                      <w:p w:rsidR="009B6E18" w:rsidRDefault="009B6E18">
                        <w:pPr>
                          <w:rPr>
                            <w:rFonts w:eastAsia="Times New Roman"/>
                            <w:sz w:val="20"/>
                            <w:szCs w:val="20"/>
                          </w:rPr>
                        </w:pPr>
                      </w:p>
                    </w:tc>
                  </w:tr>
                </w:tbl>
                <w:p w:rsidR="009B6E18" w:rsidRDefault="009B6E18">
                  <w:pPr>
                    <w:rPr>
                      <w:rFonts w:eastAsia="Times New Roman"/>
                      <w:sz w:val="20"/>
                      <w:szCs w:val="20"/>
                    </w:rPr>
                  </w:pPr>
                </w:p>
              </w:tc>
            </w:tr>
          </w:tbl>
          <w:p w:rsidR="009B6E18" w:rsidRDefault="009B6E18"/>
          <w:tbl>
            <w:tblPr>
              <w:tblW w:w="5000" w:type="pct"/>
              <w:tblCellMar>
                <w:left w:w="0" w:type="dxa"/>
                <w:right w:w="0" w:type="dxa"/>
              </w:tblCellMar>
              <w:tblLook w:val="04A0" w:firstRow="1" w:lastRow="0" w:firstColumn="1" w:lastColumn="0" w:noHBand="0" w:noVBand="1"/>
            </w:tblPr>
            <w:tblGrid>
              <w:gridCol w:w="9360"/>
            </w:tblGrid>
            <w:tr w:rsidR="009B6E18">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4"/>
                    <w:gridCol w:w="9346"/>
                  </w:tblGrid>
                  <w:tr w:rsidR="009B6E18">
                    <w:trPr>
                      <w:jc w:val="center"/>
                    </w:trPr>
                    <w:tc>
                      <w:tcPr>
                        <w:tcW w:w="0" w:type="auto"/>
                        <w:hideMark/>
                      </w:tcPr>
                      <w:p w:rsidR="009B6E18" w:rsidRDefault="009B6E18">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46"/>
                        </w:tblGrid>
                        <w:tr w:rsidR="009B6E18">
                          <w:tc>
                            <w:tcPr>
                              <w:tcW w:w="0" w:type="auto"/>
                              <w:tcMar>
                                <w:top w:w="135" w:type="dxa"/>
                                <w:left w:w="270" w:type="dxa"/>
                                <w:bottom w:w="135" w:type="dxa"/>
                                <w:right w:w="270" w:type="dxa"/>
                              </w:tcMar>
                              <w:vAlign w:val="center"/>
                              <w:hideMark/>
                            </w:tcPr>
                            <w:tbl>
                              <w:tblPr>
                                <w:tblW w:w="5000" w:type="pct"/>
                                <w:shd w:val="clear" w:color="auto" w:fill="1A7097"/>
                                <w:tblCellMar>
                                  <w:left w:w="0" w:type="dxa"/>
                                  <w:right w:w="0" w:type="dxa"/>
                                </w:tblCellMar>
                                <w:tblLook w:val="04A0" w:firstRow="1" w:lastRow="0" w:firstColumn="1" w:lastColumn="0" w:noHBand="0" w:noVBand="1"/>
                              </w:tblPr>
                              <w:tblGrid>
                                <w:gridCol w:w="8806"/>
                              </w:tblGrid>
                              <w:tr w:rsidR="009B6E18">
                                <w:tc>
                                  <w:tcPr>
                                    <w:tcW w:w="0" w:type="auto"/>
                                    <w:shd w:val="clear" w:color="auto" w:fill="1A7097"/>
                                    <w:tcMar>
                                      <w:top w:w="270" w:type="dxa"/>
                                      <w:left w:w="270" w:type="dxa"/>
                                      <w:bottom w:w="270" w:type="dxa"/>
                                      <w:right w:w="270" w:type="dxa"/>
                                    </w:tcMar>
                                    <w:hideMark/>
                                  </w:tcPr>
                                  <w:p w:rsidR="009B6E18" w:rsidRDefault="009B6E18">
                                    <w:pPr>
                                      <w:spacing w:line="360" w:lineRule="auto"/>
                                      <w:jc w:val="center"/>
                                      <w:rPr>
                                        <w:rFonts w:ascii="Helvetica" w:hAnsi="Helvetica" w:cs="Helvetica"/>
                                        <w:color w:val="F2F2F2"/>
                                        <w:sz w:val="21"/>
                                        <w:szCs w:val="21"/>
                                      </w:rPr>
                                    </w:pPr>
                                    <w:r>
                                      <w:rPr>
                                        <w:rStyle w:val="Strong"/>
                                        <w:rFonts w:ascii="Helvetica" w:hAnsi="Helvetica" w:cs="Helvetica"/>
                                        <w:color w:val="F2F2F2"/>
                                        <w:sz w:val="27"/>
                                        <w:szCs w:val="27"/>
                                      </w:rPr>
                                      <w:t>DOR News - April 2019 </w:t>
                                    </w:r>
                                    <w:r>
                                      <w:rPr>
                                        <w:rFonts w:ascii="Helvetica" w:hAnsi="Helvetica" w:cs="Helvetica"/>
                                        <w:color w:val="F2F2F2"/>
                                        <w:sz w:val="21"/>
                                        <w:szCs w:val="21"/>
                                      </w:rPr>
                                      <w:t xml:space="preserve"> </w:t>
                                    </w:r>
                                  </w:p>
                                </w:tc>
                              </w:tr>
                            </w:tbl>
                            <w:p w:rsidR="009B6E18" w:rsidRDefault="009B6E18">
                              <w:pPr>
                                <w:rPr>
                                  <w:rFonts w:eastAsia="Times New Roman"/>
                                  <w:sz w:val="20"/>
                                  <w:szCs w:val="20"/>
                                </w:rPr>
                              </w:pPr>
                            </w:p>
                          </w:tc>
                        </w:tr>
                      </w:tbl>
                      <w:p w:rsidR="009B6E18" w:rsidRDefault="009B6E18">
                        <w:pPr>
                          <w:rPr>
                            <w:rFonts w:eastAsia="Times New Roman"/>
                            <w:sz w:val="20"/>
                            <w:szCs w:val="20"/>
                          </w:rPr>
                        </w:pPr>
                      </w:p>
                    </w:tc>
                  </w:tr>
                </w:tbl>
                <w:p w:rsidR="009B6E18" w:rsidRDefault="009B6E18">
                  <w:pPr>
                    <w:jc w:val="center"/>
                    <w:rPr>
                      <w:rFonts w:eastAsia="Times New Roman"/>
                      <w:sz w:val="20"/>
                      <w:szCs w:val="20"/>
                    </w:rPr>
                  </w:pPr>
                </w:p>
              </w:tc>
            </w:tr>
          </w:tbl>
          <w:p w:rsidR="009B6E18" w:rsidRDefault="009B6E18">
            <w:pPr>
              <w:rPr>
                <w:rFonts w:eastAsia="Times New Roman"/>
              </w:rPr>
            </w:pPr>
          </w:p>
        </w:tc>
      </w:tr>
      <w:tr w:rsidR="009B6E18" w:rsidTr="009B6E18">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360"/>
            </w:tblGrid>
            <w:tr w:rsidR="009B6E18">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9090"/>
                  </w:tblGrid>
                  <w:tr w:rsidR="009B6E18">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20"/>
                        </w:tblGrid>
                        <w:tr w:rsidR="009B6E18">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354"/>
                              </w:tblGrid>
                              <w:tr w:rsidR="009B6E18">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76"/>
                                      <w:gridCol w:w="876"/>
                                      <w:gridCol w:w="876"/>
                                      <w:gridCol w:w="726"/>
                                    </w:tblGrid>
                                    <w:tr w:rsidR="009B6E18">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6"/>
                                          </w:tblGrid>
                                          <w:tr w:rsidR="009B6E18">
                                            <w:tc>
                                              <w:tcPr>
                                                <w:tcW w:w="0" w:type="auto"/>
                                                <w:tcMar>
                                                  <w:top w:w="0" w:type="dxa"/>
                                                  <w:left w:w="0" w:type="dxa"/>
                                                  <w:bottom w:w="135" w:type="dxa"/>
                                                  <w:right w:w="150" w:type="dxa"/>
                                                </w:tcMar>
                                                <w:hideMark/>
                                              </w:tcPr>
                                              <w:p w:rsidR="009B6E18" w:rsidRDefault="009B6E18">
                                                <w:pPr>
                                                  <w:jc w:val="center"/>
                                                </w:pPr>
                                                <w:r>
                                                  <w:rPr>
                                                    <w:noProof/>
                                                    <w:color w:val="0000FF"/>
                                                  </w:rPr>
                                                  <w:lastRenderedPageBreak/>
                                                  <w:drawing>
                                                    <wp:inline distT="0" distB="0" distL="0" distR="0">
                                                      <wp:extent cx="461010" cy="461010"/>
                                                      <wp:effectExtent l="0" t="0" r="0" b="0"/>
                                                      <wp:docPr id="4" name="Picture 4" descr="Twitter">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r>
                                        </w:tbl>
                                        <w:p w:rsidR="009B6E18" w:rsidRDefault="009B6E18">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6"/>
                                          </w:tblGrid>
                                          <w:tr w:rsidR="009B6E18">
                                            <w:tc>
                                              <w:tcPr>
                                                <w:tcW w:w="0" w:type="auto"/>
                                                <w:tcMar>
                                                  <w:top w:w="0" w:type="dxa"/>
                                                  <w:left w:w="0" w:type="dxa"/>
                                                  <w:bottom w:w="135" w:type="dxa"/>
                                                  <w:right w:w="150" w:type="dxa"/>
                                                </w:tcMar>
                                                <w:hideMark/>
                                              </w:tcPr>
                                              <w:p w:rsidR="009B6E18" w:rsidRDefault="009B6E18">
                                                <w:pPr>
                                                  <w:jc w:val="center"/>
                                                </w:pPr>
                                                <w:r>
                                                  <w:rPr>
                                                    <w:noProof/>
                                                    <w:color w:val="0000FF"/>
                                                  </w:rPr>
                                                  <w:drawing>
                                                    <wp:inline distT="0" distB="0" distL="0" distR="0">
                                                      <wp:extent cx="461010" cy="461010"/>
                                                      <wp:effectExtent l="0" t="0" r="0" b="0"/>
                                                      <wp:docPr id="3" name="Picture 3" descr="Facebook">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r>
                                        </w:tbl>
                                        <w:p w:rsidR="009B6E18" w:rsidRDefault="009B6E18">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6"/>
                                          </w:tblGrid>
                                          <w:tr w:rsidR="009B6E18">
                                            <w:tc>
                                              <w:tcPr>
                                                <w:tcW w:w="0" w:type="auto"/>
                                                <w:tcMar>
                                                  <w:top w:w="0" w:type="dxa"/>
                                                  <w:left w:w="0" w:type="dxa"/>
                                                  <w:bottom w:w="135" w:type="dxa"/>
                                                  <w:right w:w="150" w:type="dxa"/>
                                                </w:tcMar>
                                                <w:hideMark/>
                                              </w:tcPr>
                                              <w:p w:rsidR="009B6E18" w:rsidRDefault="009B6E18">
                                                <w:pPr>
                                                  <w:jc w:val="center"/>
                                                </w:pPr>
                                                <w:r>
                                                  <w:rPr>
                                                    <w:noProof/>
                                                    <w:color w:val="0000FF"/>
                                                  </w:rPr>
                                                  <w:drawing>
                                                    <wp:inline distT="0" distB="0" distL="0" distR="0">
                                                      <wp:extent cx="461010" cy="461010"/>
                                                      <wp:effectExtent l="0" t="0" r="0" b="0"/>
                                                      <wp:docPr id="2" name="Picture 2" descr="Website">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r>
                                        </w:tbl>
                                        <w:p w:rsidR="009B6E18" w:rsidRDefault="009B6E18">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26"/>
                                          </w:tblGrid>
                                          <w:tr w:rsidR="009B6E18">
                                            <w:tc>
                                              <w:tcPr>
                                                <w:tcW w:w="0" w:type="auto"/>
                                                <w:tcMar>
                                                  <w:top w:w="0" w:type="dxa"/>
                                                  <w:left w:w="0" w:type="dxa"/>
                                                  <w:bottom w:w="135" w:type="dxa"/>
                                                  <w:right w:w="0" w:type="dxa"/>
                                                </w:tcMar>
                                                <w:hideMark/>
                                              </w:tcPr>
                                              <w:p w:rsidR="009B6E18" w:rsidRDefault="009B6E18">
                                                <w:pPr>
                                                  <w:jc w:val="center"/>
                                                </w:pPr>
                                                <w:r>
                                                  <w:rPr>
                                                    <w:noProof/>
                                                    <w:color w:val="0000FF"/>
                                                  </w:rPr>
                                                  <w:drawing>
                                                    <wp:inline distT="0" distB="0" distL="0" distR="0">
                                                      <wp:extent cx="461010" cy="461010"/>
                                                      <wp:effectExtent l="0" t="0" r="0" b="0"/>
                                                      <wp:docPr id="1" name="Picture 1" descr="Instagram">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r>
                                        </w:tbl>
                                        <w:p w:rsidR="009B6E18" w:rsidRDefault="009B6E18">
                                          <w:pPr>
                                            <w:rPr>
                                              <w:rFonts w:eastAsia="Times New Roman"/>
                                              <w:sz w:val="20"/>
                                              <w:szCs w:val="20"/>
                                            </w:rPr>
                                          </w:pPr>
                                        </w:p>
                                      </w:tc>
                                    </w:tr>
                                  </w:tbl>
                                  <w:p w:rsidR="009B6E18" w:rsidRDefault="009B6E18">
                                    <w:pPr>
                                      <w:jc w:val="center"/>
                                      <w:rPr>
                                        <w:rFonts w:eastAsia="Times New Roman"/>
                                        <w:sz w:val="20"/>
                                        <w:szCs w:val="20"/>
                                      </w:rPr>
                                    </w:pPr>
                                  </w:p>
                                </w:tc>
                              </w:tr>
                            </w:tbl>
                            <w:p w:rsidR="009B6E18" w:rsidRDefault="009B6E18">
                              <w:pPr>
                                <w:jc w:val="center"/>
                                <w:rPr>
                                  <w:rFonts w:eastAsia="Times New Roman"/>
                                  <w:sz w:val="20"/>
                                  <w:szCs w:val="20"/>
                                </w:rPr>
                              </w:pPr>
                            </w:p>
                          </w:tc>
                        </w:tr>
                      </w:tbl>
                      <w:p w:rsidR="009B6E18" w:rsidRDefault="009B6E18">
                        <w:pPr>
                          <w:jc w:val="center"/>
                          <w:rPr>
                            <w:rFonts w:eastAsia="Times New Roman"/>
                            <w:sz w:val="20"/>
                            <w:szCs w:val="20"/>
                          </w:rPr>
                        </w:pPr>
                      </w:p>
                    </w:tc>
                  </w:tr>
                </w:tbl>
                <w:p w:rsidR="009B6E18" w:rsidRDefault="009B6E18">
                  <w:pPr>
                    <w:jc w:val="center"/>
                    <w:rPr>
                      <w:rFonts w:eastAsia="Times New Roman"/>
                      <w:sz w:val="20"/>
                      <w:szCs w:val="20"/>
                    </w:rPr>
                  </w:pPr>
                </w:p>
              </w:tc>
            </w:tr>
          </w:tbl>
          <w:p w:rsidR="009B6E18" w:rsidRDefault="009B6E18"/>
          <w:tbl>
            <w:tblPr>
              <w:tblW w:w="5000" w:type="pct"/>
              <w:tblCellMar>
                <w:left w:w="0" w:type="dxa"/>
                <w:right w:w="0" w:type="dxa"/>
              </w:tblCellMar>
              <w:tblLook w:val="04A0" w:firstRow="1" w:lastRow="0" w:firstColumn="1" w:lastColumn="0" w:noHBand="0" w:noVBand="1"/>
            </w:tblPr>
            <w:tblGrid>
              <w:gridCol w:w="9360"/>
            </w:tblGrid>
            <w:tr w:rsidR="009B6E18">
              <w:tc>
                <w:tcPr>
                  <w:tcW w:w="0" w:type="auto"/>
                  <w:tcMar>
                    <w:top w:w="150" w:type="dxa"/>
                    <w:left w:w="270" w:type="dxa"/>
                    <w:bottom w:w="3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9B6E18">
                    <w:tc>
                      <w:tcPr>
                        <w:tcW w:w="0" w:type="auto"/>
                        <w:tcBorders>
                          <w:top w:val="single" w:sz="12" w:space="0" w:color="EEEEEE"/>
                          <w:left w:val="nil"/>
                          <w:bottom w:val="nil"/>
                          <w:right w:val="nil"/>
                        </w:tcBorders>
                        <w:vAlign w:val="center"/>
                        <w:hideMark/>
                      </w:tcPr>
                      <w:p w:rsidR="009B6E18" w:rsidRDefault="009B6E18">
                        <w:pPr>
                          <w:rPr>
                            <w:rFonts w:eastAsia="Times New Roman"/>
                            <w:sz w:val="20"/>
                            <w:szCs w:val="20"/>
                          </w:rPr>
                        </w:pPr>
                      </w:p>
                    </w:tc>
                  </w:tr>
                </w:tbl>
                <w:p w:rsidR="009B6E18" w:rsidRDefault="009B6E18">
                  <w:pPr>
                    <w:rPr>
                      <w:rFonts w:eastAsia="Times New Roman"/>
                      <w:sz w:val="20"/>
                      <w:szCs w:val="20"/>
                    </w:rPr>
                  </w:pPr>
                </w:p>
              </w:tc>
            </w:tr>
          </w:tbl>
          <w:p w:rsidR="009B6E18" w:rsidRDefault="009B6E18"/>
          <w:tbl>
            <w:tblPr>
              <w:tblW w:w="5000" w:type="pct"/>
              <w:tblCellMar>
                <w:left w:w="0" w:type="dxa"/>
                <w:right w:w="0" w:type="dxa"/>
              </w:tblCellMar>
              <w:tblLook w:val="04A0" w:firstRow="1" w:lastRow="0" w:firstColumn="1" w:lastColumn="0" w:noHBand="0" w:noVBand="1"/>
            </w:tblPr>
            <w:tblGrid>
              <w:gridCol w:w="9360"/>
            </w:tblGrid>
            <w:tr w:rsidR="009B6E1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9B6E1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B6E18">
                          <w:tc>
                            <w:tcPr>
                              <w:tcW w:w="0" w:type="auto"/>
                              <w:tcMar>
                                <w:top w:w="0" w:type="dxa"/>
                                <w:left w:w="270" w:type="dxa"/>
                                <w:bottom w:w="135" w:type="dxa"/>
                                <w:right w:w="270" w:type="dxa"/>
                              </w:tcMar>
                              <w:hideMark/>
                            </w:tcPr>
                            <w:p w:rsidR="009B6E18" w:rsidRDefault="009B6E18">
                              <w:pPr>
                                <w:spacing w:line="360" w:lineRule="auto"/>
                                <w:jc w:val="center"/>
                                <w:rPr>
                                  <w:rFonts w:ascii="Helvetica" w:hAnsi="Helvetica" w:cs="Helvetica"/>
                                  <w:color w:val="656565"/>
                                  <w:sz w:val="18"/>
                                  <w:szCs w:val="18"/>
                                </w:rPr>
                              </w:pPr>
                              <w:r>
                                <w:rPr>
                                  <w:rStyle w:val="Emphasis"/>
                                  <w:rFonts w:ascii="Helvetica" w:hAnsi="Helvetica" w:cs="Helvetica"/>
                                  <w:color w:val="656565"/>
                                  <w:sz w:val="18"/>
                                  <w:szCs w:val="18"/>
                                </w:rPr>
                                <w:t>Copyright © 2019 Massachusetts Department of Revenue, All rights reserved.</w:t>
                              </w:r>
                              <w:r>
                                <w:rPr>
                                  <w:rFonts w:ascii="Helvetica" w:hAnsi="Helvetica" w:cs="Helvetica"/>
                                  <w:color w:val="656565"/>
                                  <w:sz w:val="18"/>
                                  <w:szCs w:val="18"/>
                                </w:rPr>
                                <w:t xml:space="preserve"> </w:t>
                              </w:r>
                              <w:r>
                                <w:rPr>
                                  <w:rFonts w:ascii="Helvetica" w:hAnsi="Helvetica" w:cs="Helvetica"/>
                                  <w:color w:val="656565"/>
                                  <w:sz w:val="18"/>
                                  <w:szCs w:val="18"/>
                                </w:rPr>
                                <w:br/>
                                <w:t xml:space="preserve">You are a subscriber to the DOR Rulings &amp; Regulations Mailing List. </w:t>
                              </w:r>
                              <w:r>
                                <w:rPr>
                                  <w:rFonts w:ascii="Helvetica" w:hAnsi="Helvetica" w:cs="Helvetica"/>
                                  <w:color w:val="656565"/>
                                  <w:sz w:val="18"/>
                                  <w:szCs w:val="18"/>
                                </w:rPr>
                                <w:br/>
                              </w:r>
                              <w:r>
                                <w:rPr>
                                  <w:rFonts w:ascii="Helvetica" w:hAnsi="Helvetica" w:cs="Helvetica"/>
                                  <w:color w:val="656565"/>
                                  <w:sz w:val="18"/>
                                  <w:szCs w:val="18"/>
                                </w:rPr>
                                <w:br/>
                              </w:r>
                              <w:r>
                                <w:rPr>
                                  <w:rStyle w:val="Strong"/>
                                  <w:rFonts w:ascii="Helvetica" w:hAnsi="Helvetica" w:cs="Helvetica"/>
                                  <w:color w:val="656565"/>
                                  <w:sz w:val="18"/>
                                  <w:szCs w:val="18"/>
                                </w:rPr>
                                <w:t>Our mailing address is:</w:t>
                              </w:r>
                              <w:r>
                                <w:rPr>
                                  <w:rFonts w:ascii="Helvetica" w:hAnsi="Helvetica" w:cs="Helvetica"/>
                                  <w:color w:val="656565"/>
                                  <w:sz w:val="18"/>
                                  <w:szCs w:val="18"/>
                                </w:rPr>
                                <w:t xml:space="preserve"> </w:t>
                              </w:r>
                            </w:p>
                            <w:p w:rsidR="009B6E18" w:rsidRDefault="009B6E18">
                              <w:pPr>
                                <w:spacing w:line="360" w:lineRule="auto"/>
                                <w:jc w:val="center"/>
                                <w:rPr>
                                  <w:rFonts w:ascii="Helvetica" w:hAnsi="Helvetica" w:cs="Helvetica"/>
                                  <w:color w:val="656565"/>
                                  <w:sz w:val="18"/>
                                  <w:szCs w:val="18"/>
                                </w:rPr>
                              </w:pPr>
                              <w:r>
                                <w:rPr>
                                  <w:rStyle w:val="org"/>
                                  <w:rFonts w:ascii="Helvetica" w:hAnsi="Helvetica" w:cs="Helvetica"/>
                                  <w:color w:val="656565"/>
                                  <w:sz w:val="18"/>
                                  <w:szCs w:val="18"/>
                                </w:rPr>
                                <w:lastRenderedPageBreak/>
                                <w:t>Massachusetts Department of Revenue</w:t>
                              </w:r>
                            </w:p>
                            <w:p w:rsidR="009B6E18" w:rsidRDefault="009B6E18">
                              <w:pPr>
                                <w:spacing w:line="360" w:lineRule="auto"/>
                                <w:jc w:val="center"/>
                                <w:rPr>
                                  <w:rFonts w:ascii="Helvetica" w:hAnsi="Helvetica" w:cs="Helvetica"/>
                                  <w:color w:val="656565"/>
                                  <w:sz w:val="18"/>
                                  <w:szCs w:val="18"/>
                                </w:rPr>
                              </w:pPr>
                              <w:r>
                                <w:rPr>
                                  <w:rFonts w:ascii="Helvetica" w:hAnsi="Helvetica" w:cs="Helvetica"/>
                                  <w:color w:val="656565"/>
                                  <w:sz w:val="18"/>
                                  <w:szCs w:val="18"/>
                                </w:rPr>
                                <w:t>100 Cambridge Street</w:t>
                              </w:r>
                            </w:p>
                            <w:p w:rsidR="009B6E18" w:rsidRDefault="009B6E18">
                              <w:pPr>
                                <w:spacing w:line="360" w:lineRule="auto"/>
                                <w:jc w:val="center"/>
                                <w:rPr>
                                  <w:rFonts w:ascii="Helvetica" w:hAnsi="Helvetica" w:cs="Helvetica"/>
                                  <w:color w:val="656565"/>
                                  <w:sz w:val="18"/>
                                  <w:szCs w:val="18"/>
                                </w:rPr>
                              </w:pPr>
                              <w:r>
                                <w:rPr>
                                  <w:rFonts w:ascii="Helvetica" w:hAnsi="Helvetica" w:cs="Helvetica"/>
                                  <w:color w:val="656565"/>
                                  <w:sz w:val="18"/>
                                  <w:szCs w:val="18"/>
                                </w:rPr>
                                <w:t>8th Floor, Web and Media Services</w:t>
                              </w:r>
                            </w:p>
                            <w:p w:rsidR="009B6E18" w:rsidRDefault="009B6E18">
                              <w:pPr>
                                <w:spacing w:line="360" w:lineRule="auto"/>
                                <w:jc w:val="center"/>
                                <w:rPr>
                                  <w:rFonts w:ascii="Helvetica" w:hAnsi="Helvetica" w:cs="Helvetica"/>
                                  <w:color w:val="656565"/>
                                  <w:sz w:val="18"/>
                                  <w:szCs w:val="18"/>
                                </w:rPr>
                              </w:pPr>
                              <w:r>
                                <w:rPr>
                                  <w:rStyle w:val="locality"/>
                                  <w:rFonts w:ascii="Helvetica" w:hAnsi="Helvetica" w:cs="Helvetica"/>
                                  <w:color w:val="656565"/>
                                  <w:sz w:val="18"/>
                                  <w:szCs w:val="18"/>
                                </w:rPr>
                                <w:t>Boston</w:t>
                              </w:r>
                              <w:r>
                                <w:rPr>
                                  <w:rFonts w:ascii="Helvetica" w:hAnsi="Helvetica" w:cs="Helvetica"/>
                                  <w:color w:val="656565"/>
                                  <w:sz w:val="18"/>
                                  <w:szCs w:val="18"/>
                                </w:rPr>
                                <w:t xml:space="preserve">, </w:t>
                              </w:r>
                              <w:r>
                                <w:rPr>
                                  <w:rStyle w:val="region"/>
                                  <w:rFonts w:ascii="Helvetica" w:hAnsi="Helvetica" w:cs="Helvetica"/>
                                  <w:color w:val="656565"/>
                                  <w:sz w:val="18"/>
                                  <w:szCs w:val="18"/>
                                </w:rPr>
                                <w:t>MA</w:t>
                              </w:r>
                              <w:r>
                                <w:rPr>
                                  <w:rFonts w:ascii="Helvetica" w:hAnsi="Helvetica" w:cs="Helvetica"/>
                                  <w:color w:val="656565"/>
                                  <w:sz w:val="18"/>
                                  <w:szCs w:val="18"/>
                                </w:rPr>
                                <w:t xml:space="preserve"> </w:t>
                              </w:r>
                              <w:r>
                                <w:rPr>
                                  <w:rStyle w:val="postal-code"/>
                                  <w:rFonts w:ascii="Helvetica" w:hAnsi="Helvetica" w:cs="Helvetica"/>
                                  <w:color w:val="656565"/>
                                  <w:sz w:val="18"/>
                                  <w:szCs w:val="18"/>
                                </w:rPr>
                                <w:t>02114</w:t>
                              </w:r>
                            </w:p>
                            <w:p w:rsidR="009B6E18" w:rsidRDefault="009B6E18">
                              <w:pPr>
                                <w:spacing w:line="360" w:lineRule="auto"/>
                                <w:jc w:val="center"/>
                                <w:rPr>
                                  <w:rFonts w:ascii="Helvetica" w:hAnsi="Helvetica" w:cs="Helvetica"/>
                                  <w:color w:val="656565"/>
                                  <w:sz w:val="18"/>
                                  <w:szCs w:val="18"/>
                                </w:rPr>
                              </w:pPr>
                              <w:r>
                                <w:rPr>
                                  <w:rFonts w:ascii="Helvetica" w:hAnsi="Helvetica" w:cs="Helvetica"/>
                                  <w:color w:val="656565"/>
                                  <w:sz w:val="18"/>
                                  <w:szCs w:val="18"/>
                                </w:rPr>
                                <w:br/>
                              </w:r>
                              <w:hyperlink r:id="rId21" w:history="1">
                                <w:r>
                                  <w:rPr>
                                    <w:rStyle w:val="Hyperlink"/>
                                    <w:rFonts w:ascii="Helvetica" w:hAnsi="Helvetica" w:cs="Helvetica"/>
                                    <w:color w:val="656565"/>
                                    <w:sz w:val="18"/>
                                    <w:szCs w:val="18"/>
                                  </w:rPr>
                                  <w:t>Add us to your address book</w:t>
                                </w:r>
                              </w:hyperlink>
                            </w:p>
                            <w:p w:rsidR="009B6E18" w:rsidRDefault="009B6E18">
                              <w:pPr>
                                <w:spacing w:after="240" w:line="360" w:lineRule="auto"/>
                                <w:jc w:val="center"/>
                                <w:rPr>
                                  <w:rFonts w:ascii="Helvetica" w:hAnsi="Helvetica" w:cs="Helvetica"/>
                                  <w:color w:val="656565"/>
                                  <w:sz w:val="18"/>
                                  <w:szCs w:val="18"/>
                                </w:rPr>
                              </w:pPr>
                              <w:r>
                                <w:rPr>
                                  <w:rFonts w:ascii="Helvetica" w:hAnsi="Helvetica" w:cs="Helvetica"/>
                                  <w:color w:val="656565"/>
                                  <w:sz w:val="18"/>
                                  <w:szCs w:val="18"/>
                                </w:rPr>
                                <w:br/>
                              </w:r>
                              <w:r>
                                <w:rPr>
                                  <w:rFonts w:ascii="Helvetica" w:hAnsi="Helvetica" w:cs="Helvetica"/>
                                  <w:color w:val="656565"/>
                                  <w:sz w:val="18"/>
                                  <w:szCs w:val="18"/>
                                </w:rPr>
                                <w:br/>
                                <w:t>Want to change how you receive these emails?</w:t>
                              </w:r>
                              <w:r>
                                <w:rPr>
                                  <w:rFonts w:ascii="Helvetica" w:hAnsi="Helvetica" w:cs="Helvetica"/>
                                  <w:color w:val="656565"/>
                                  <w:sz w:val="18"/>
                                  <w:szCs w:val="18"/>
                                </w:rPr>
                                <w:br/>
                                <w:t xml:space="preserve">You can </w:t>
                              </w:r>
                              <w:hyperlink r:id="rId22" w:history="1">
                                <w:r>
                                  <w:rPr>
                                    <w:rStyle w:val="Hyperlink"/>
                                    <w:rFonts w:ascii="Helvetica" w:hAnsi="Helvetica" w:cs="Helvetica"/>
                                    <w:color w:val="656565"/>
                                    <w:sz w:val="18"/>
                                    <w:szCs w:val="18"/>
                                  </w:rPr>
                                  <w:t>update your preferences</w:t>
                                </w:r>
                              </w:hyperlink>
                              <w:r>
                                <w:rPr>
                                  <w:rFonts w:ascii="Helvetica" w:hAnsi="Helvetica" w:cs="Helvetica"/>
                                  <w:color w:val="656565"/>
                                  <w:sz w:val="18"/>
                                  <w:szCs w:val="18"/>
                                </w:rPr>
                                <w:t xml:space="preserve"> or </w:t>
                              </w:r>
                              <w:hyperlink r:id="rId23" w:history="1">
                                <w:r>
                                  <w:rPr>
                                    <w:rStyle w:val="Hyperlink"/>
                                    <w:rFonts w:ascii="Helvetica" w:hAnsi="Helvetica" w:cs="Helvetica"/>
                                    <w:color w:val="656565"/>
                                    <w:sz w:val="18"/>
                                    <w:szCs w:val="18"/>
                                  </w:rPr>
                                  <w:t>unsubscribe from this list</w:t>
                                </w:r>
                              </w:hyperlink>
                              <w:r>
                                <w:rPr>
                                  <w:rFonts w:ascii="Helvetica" w:hAnsi="Helvetica" w:cs="Helvetica"/>
                                  <w:color w:val="656565"/>
                                  <w:sz w:val="18"/>
                                  <w:szCs w:val="18"/>
                                </w:rPr>
                                <w:t xml:space="preserve"> </w:t>
                              </w:r>
                            </w:p>
                          </w:tc>
                        </w:tr>
                      </w:tbl>
                      <w:p w:rsidR="009B6E18" w:rsidRDefault="009B6E18">
                        <w:pPr>
                          <w:rPr>
                            <w:rFonts w:eastAsia="Times New Roman"/>
                            <w:sz w:val="20"/>
                            <w:szCs w:val="20"/>
                          </w:rPr>
                        </w:pPr>
                      </w:p>
                    </w:tc>
                  </w:tr>
                </w:tbl>
                <w:p w:rsidR="009B6E18" w:rsidRDefault="009B6E18">
                  <w:pPr>
                    <w:rPr>
                      <w:rFonts w:eastAsia="Times New Roman"/>
                      <w:sz w:val="20"/>
                      <w:szCs w:val="20"/>
                    </w:rPr>
                  </w:pPr>
                </w:p>
              </w:tc>
            </w:tr>
          </w:tbl>
          <w:p w:rsidR="009B6E18" w:rsidRDefault="009B6E18">
            <w:pPr>
              <w:rPr>
                <w:rFonts w:eastAsia="Times New Roman"/>
              </w:rPr>
            </w:pPr>
          </w:p>
        </w:tc>
      </w:tr>
    </w:tbl>
    <w:p w:rsidR="00133D37" w:rsidRDefault="009B6E18">
      <w:bookmarkStart w:id="0" w:name="_GoBack"/>
      <w:bookmarkEnd w:id="0"/>
    </w:p>
    <w:sectPr w:rsidR="00133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18"/>
    <w:rsid w:val="00892C15"/>
    <w:rsid w:val="009B6E18"/>
    <w:rsid w:val="00B2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1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6E18"/>
    <w:rPr>
      <w:color w:val="0000FF"/>
      <w:u w:val="single"/>
    </w:rPr>
  </w:style>
  <w:style w:type="character" w:customStyle="1" w:styleId="org">
    <w:name w:val="org"/>
    <w:basedOn w:val="DefaultParagraphFont"/>
    <w:rsid w:val="009B6E18"/>
  </w:style>
  <w:style w:type="character" w:customStyle="1" w:styleId="locality">
    <w:name w:val="locality"/>
    <w:basedOn w:val="DefaultParagraphFont"/>
    <w:rsid w:val="009B6E18"/>
  </w:style>
  <w:style w:type="character" w:customStyle="1" w:styleId="region">
    <w:name w:val="region"/>
    <w:basedOn w:val="DefaultParagraphFont"/>
    <w:rsid w:val="009B6E18"/>
  </w:style>
  <w:style w:type="character" w:customStyle="1" w:styleId="postal-code">
    <w:name w:val="postal-code"/>
    <w:basedOn w:val="DefaultParagraphFont"/>
    <w:rsid w:val="009B6E18"/>
  </w:style>
  <w:style w:type="character" w:styleId="Strong">
    <w:name w:val="Strong"/>
    <w:basedOn w:val="DefaultParagraphFont"/>
    <w:uiPriority w:val="22"/>
    <w:qFormat/>
    <w:rsid w:val="009B6E18"/>
    <w:rPr>
      <w:b/>
      <w:bCs/>
    </w:rPr>
  </w:style>
  <w:style w:type="character" w:styleId="Emphasis">
    <w:name w:val="Emphasis"/>
    <w:basedOn w:val="DefaultParagraphFont"/>
    <w:uiPriority w:val="20"/>
    <w:qFormat/>
    <w:rsid w:val="009B6E18"/>
    <w:rPr>
      <w:i/>
      <w:iCs/>
    </w:rPr>
  </w:style>
  <w:style w:type="paragraph" w:styleId="BalloonText">
    <w:name w:val="Balloon Text"/>
    <w:basedOn w:val="Normal"/>
    <w:link w:val="BalloonTextChar"/>
    <w:uiPriority w:val="99"/>
    <w:semiHidden/>
    <w:unhideWhenUsed/>
    <w:rsid w:val="009B6E18"/>
    <w:rPr>
      <w:rFonts w:ascii="Tahoma" w:hAnsi="Tahoma" w:cs="Tahoma"/>
      <w:sz w:val="16"/>
      <w:szCs w:val="16"/>
    </w:rPr>
  </w:style>
  <w:style w:type="character" w:customStyle="1" w:styleId="BalloonTextChar">
    <w:name w:val="Balloon Text Char"/>
    <w:basedOn w:val="DefaultParagraphFont"/>
    <w:link w:val="BalloonText"/>
    <w:uiPriority w:val="99"/>
    <w:semiHidden/>
    <w:rsid w:val="009B6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1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6E18"/>
    <w:rPr>
      <w:color w:val="0000FF"/>
      <w:u w:val="single"/>
    </w:rPr>
  </w:style>
  <w:style w:type="character" w:customStyle="1" w:styleId="org">
    <w:name w:val="org"/>
    <w:basedOn w:val="DefaultParagraphFont"/>
    <w:rsid w:val="009B6E18"/>
  </w:style>
  <w:style w:type="character" w:customStyle="1" w:styleId="locality">
    <w:name w:val="locality"/>
    <w:basedOn w:val="DefaultParagraphFont"/>
    <w:rsid w:val="009B6E18"/>
  </w:style>
  <w:style w:type="character" w:customStyle="1" w:styleId="region">
    <w:name w:val="region"/>
    <w:basedOn w:val="DefaultParagraphFont"/>
    <w:rsid w:val="009B6E18"/>
  </w:style>
  <w:style w:type="character" w:customStyle="1" w:styleId="postal-code">
    <w:name w:val="postal-code"/>
    <w:basedOn w:val="DefaultParagraphFont"/>
    <w:rsid w:val="009B6E18"/>
  </w:style>
  <w:style w:type="character" w:styleId="Strong">
    <w:name w:val="Strong"/>
    <w:basedOn w:val="DefaultParagraphFont"/>
    <w:uiPriority w:val="22"/>
    <w:qFormat/>
    <w:rsid w:val="009B6E18"/>
    <w:rPr>
      <w:b/>
      <w:bCs/>
    </w:rPr>
  </w:style>
  <w:style w:type="character" w:styleId="Emphasis">
    <w:name w:val="Emphasis"/>
    <w:basedOn w:val="DefaultParagraphFont"/>
    <w:uiPriority w:val="20"/>
    <w:qFormat/>
    <w:rsid w:val="009B6E18"/>
    <w:rPr>
      <w:i/>
      <w:iCs/>
    </w:rPr>
  </w:style>
  <w:style w:type="paragraph" w:styleId="BalloonText">
    <w:name w:val="Balloon Text"/>
    <w:basedOn w:val="Normal"/>
    <w:link w:val="BalloonTextChar"/>
    <w:uiPriority w:val="99"/>
    <w:semiHidden/>
    <w:unhideWhenUsed/>
    <w:rsid w:val="009B6E18"/>
    <w:rPr>
      <w:rFonts w:ascii="Tahoma" w:hAnsi="Tahoma" w:cs="Tahoma"/>
      <w:sz w:val="16"/>
      <w:szCs w:val="16"/>
    </w:rPr>
  </w:style>
  <w:style w:type="character" w:customStyle="1" w:styleId="BalloonTextChar">
    <w:name w:val="Balloon Text Char"/>
    <w:basedOn w:val="DefaultParagraphFont"/>
    <w:link w:val="BalloonText"/>
    <w:uiPriority w:val="99"/>
    <w:semiHidden/>
    <w:rsid w:val="009B6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00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mass.us11.list-2Dmanage.com_track_click-3Fu-3D0e9e2209abd5f7062568d9a19-26id-3Db3f26c28d6-26e-3D9521af11b2&amp;d=DwMFaQ&amp;c=Xhn9KFvv0VrhnMFbYtQjTGdTU13Xl3cIMh34YNGAA48&amp;r=d89QJLLxuwMMW8H2cPHM1rQMwL_8z2jmLRr1OQdopJA&amp;m=vcTbx6ygCw3XmUg9jp-Pw9N_e36EepkYbBE_whvT_g8&amp;s=miUTXG6caJVECjil_LisptKBNIFTFVJnPCVrN29b0-s&amp;e=" TargetMode="External"/><Relationship Id="rId13" Type="http://schemas.openxmlformats.org/officeDocument/2006/relationships/hyperlink" Target="https://urldefense.proofpoint.com/v2/url?u=https-3A__mass.us11.list-2Dmanage.com_track_click-3Fu-3D0e9e2209abd5f7062568d9a19-26id-3D517ad020a6-26e-3D9521af11b2&amp;d=DwMFaQ&amp;c=Xhn9KFvv0VrhnMFbYtQjTGdTU13Xl3cIMh34YNGAA48&amp;r=d89QJLLxuwMMW8H2cPHM1rQMwL_8z2jmLRr1OQdopJA&amp;m=vcTbx6ygCw3XmUg9jp-Pw9N_e36EepkYbBE_whvT_g8&amp;s=Zq7lwmlfVlZHdTfczCIy2GdhruGxX9BSrya6sXvp2jk&amp;e="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urldefense.proofpoint.com/v2/url?u=https-3A__mass.us11.list-2Dmanage.com_vcard-3Fu-3D0e9e2209abd5f7062568d9a19-26id-3D9ac8b63e31&amp;d=DwMFaQ&amp;c=Xhn9KFvv0VrhnMFbYtQjTGdTU13Xl3cIMh34YNGAA48&amp;r=d89QJLLxuwMMW8H2cPHM1rQMwL_8z2jmLRr1OQdopJA&amp;m=vcTbx6ygCw3XmUg9jp-Pw9N_e36EepkYbBE_whvT_g8&amp;s=LwYJEd9jMiX9dMxXJCDrZ00hStaEYV7h_2SgJs6ehSU&amp;e=" TargetMode="External"/><Relationship Id="rId7" Type="http://schemas.openxmlformats.org/officeDocument/2006/relationships/hyperlink" Target="https://urldefense.proofpoint.com/v2/url?u=https-3A__mass.us11.list-2Dmanage.com_track_click-3Fu-3D0e9e2209abd5f7062568d9a19-26id-3Dac43a7ddad-26e-3D9521af11b2&amp;d=DwMFaQ&amp;c=Xhn9KFvv0VrhnMFbYtQjTGdTU13Xl3cIMh34YNGAA48&amp;r=d89QJLLxuwMMW8H2cPHM1rQMwL_8z2jmLRr1OQdopJA&amp;m=vcTbx6ygCw3XmUg9jp-Pw9N_e36EepkYbBE_whvT_g8&amp;s=mMXKz9f7LrbBNOJKcDLY6_AYOjut2TMUGQVRTvxftsw&amp;e=" TargetMode="External"/><Relationship Id="rId12" Type="http://schemas.openxmlformats.org/officeDocument/2006/relationships/hyperlink" Target="https://urldefense.proofpoint.com/v2/url?u=https-3A__mass.us11.list-2Dmanage.com_track_click-3Fu-3D0e9e2209abd5f7062568d9a19-26id-3Dfe9187801a-26e-3D9521af11b2&amp;d=DwMFaQ&amp;c=Xhn9KFvv0VrhnMFbYtQjTGdTU13Xl3cIMh34YNGAA48&amp;r=d89QJLLxuwMMW8H2cPHM1rQMwL_8z2jmLRr1OQdopJA&amp;m=vcTbx6ygCw3XmUg9jp-Pw9N_e36EepkYbBE_whvT_g8&amp;s=BQsxe-oYqmQkpWL3sOfknzljbkrcf68DSQrN5uyP2j8&amp;e=" TargetMode="External"/><Relationship Id="rId17" Type="http://schemas.openxmlformats.org/officeDocument/2006/relationships/hyperlink" Target="https://urldefense.proofpoint.com/v2/url?u=https-3A__mass.us11.list-2Dmanage.com_track_click-3Fu-3D0e9e2209abd5f7062568d9a19-26id-3D69586503c9-26e-3D9521af11b2&amp;d=DwMFaQ&amp;c=Xhn9KFvv0VrhnMFbYtQjTGdTU13Xl3cIMh34YNGAA48&amp;r=d89QJLLxuwMMW8H2cPHM1rQMwL_8z2jmLRr1OQdopJA&amp;m=vcTbx6ygCw3XmUg9jp-Pw9N_e36EepkYbBE_whvT_g8&amp;s=jnFodTIbct7kQjA68dljiCHDJwNnBdfT31_HBJYWeXA&amp;e="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s://urldefense.proofpoint.com/v2/url?u=https-3A__mass.us11.list-2Dmanage.com_track_click-3Fu-3D0e9e2209abd5f7062568d9a19-26id-3Dea47a21228-26e-3D9521af11b2&amp;d=DwMFaQ&amp;c=Xhn9KFvv0VrhnMFbYtQjTGdTU13Xl3cIMh34YNGAA48&amp;r=d89QJLLxuwMMW8H2cPHM1rQMwL_8z2jmLRr1OQdopJA&amp;m=vcTbx6ygCw3XmUg9jp-Pw9N_e36EepkYbBE_whvT_g8&amp;s=POMyQSg7b6Dp6Roc5ybh89bz2bVLW36Ren-D4svNwoc&amp;e=" TargetMode="External"/><Relationship Id="rId11" Type="http://schemas.openxmlformats.org/officeDocument/2006/relationships/hyperlink" Target="https://urldefense.proofpoint.com/v2/url?u=https-3A__mass.us11.list-2Dmanage.com_track_click-3Fu-3D0e9e2209abd5f7062568d9a19-26id-3D8008083698-26e-3D9521af11b2&amp;d=DwMFaQ&amp;c=Xhn9KFvv0VrhnMFbYtQjTGdTU13Xl3cIMh34YNGAA48&amp;r=d89QJLLxuwMMW8H2cPHM1rQMwL_8z2jmLRr1OQdopJA&amp;m=vcTbx6ygCw3XmUg9jp-Pw9N_e36EepkYbBE_whvT_g8&amp;s=_HOmcBYkhh5_uL9Ewsiaw6B6ihJRUB0u1TXNQfRM48I&amp;e="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urldefense.proofpoint.com/v2/url?u=https-3A__mass.us11.list-2Dmanage.com_track_click-3Fu-3D0e9e2209abd5f7062568d9a19-26id-3D48bf308c36-26e-3D9521af11b2&amp;d=DwMFaQ&amp;c=Xhn9KFvv0VrhnMFbYtQjTGdTU13Xl3cIMh34YNGAA48&amp;r=d89QJLLxuwMMW8H2cPHM1rQMwL_8z2jmLRr1OQdopJA&amp;m=vcTbx6ygCw3XmUg9jp-Pw9N_e36EepkYbBE_whvT_g8&amp;s=r1TXAxUKL5IDgBZRFiMFKWsOW5jPui22rqOAf4gPaeE&amp;e=" TargetMode="External"/><Relationship Id="rId23" Type="http://schemas.openxmlformats.org/officeDocument/2006/relationships/hyperlink" Target="https://urldefense.proofpoint.com/v2/url?u=https-3A__mass.us11.list-2Dmanage.com_unsubscribe-3Fu-3D0e9e2209abd5f7062568d9a19-26id-3D9ac8b63e31-26e-3D9521af11b2-26c-3D91450df947&amp;d=DwMFaQ&amp;c=Xhn9KFvv0VrhnMFbYtQjTGdTU13Xl3cIMh34YNGAA48&amp;r=d89QJLLxuwMMW8H2cPHM1rQMwL_8z2jmLRr1OQdopJA&amp;m=vcTbx6ygCw3XmUg9jp-Pw9N_e36EepkYbBE_whvT_g8&amp;s=VbmWQxmdBsoianVsFlOvhf_ooem9c9dPuU2EmiyBJAQ&amp;e=" TargetMode="External"/><Relationship Id="rId10" Type="http://schemas.openxmlformats.org/officeDocument/2006/relationships/hyperlink" Target="https://urldefense.proofpoint.com/v2/url?u=https-3A__mass.us11.list-2Dmanage.com_track_click-3Fu-3D0e9e2209abd5f7062568d9a19-26id-3D364130d93e-26e-3D9521af11b2&amp;d=DwMFaQ&amp;c=Xhn9KFvv0VrhnMFbYtQjTGdTU13Xl3cIMh34YNGAA48&amp;r=d89QJLLxuwMMW8H2cPHM1rQMwL_8z2jmLRr1OQdopJA&amp;m=vcTbx6ygCw3XmUg9jp-Pw9N_e36EepkYbBE_whvT_g8&amp;s=yulJPL9h0JdI4pDcR_AewUVsgkfOMbN9wapqUcxgOGI&amp;e=" TargetMode="External"/><Relationship Id="rId19" Type="http://schemas.openxmlformats.org/officeDocument/2006/relationships/hyperlink" Target="https://urldefense.proofpoint.com/v2/url?u=https-3A__mass.us11.list-2Dmanage.com_track_click-3Fu-3D0e9e2209abd5f7062568d9a19-26id-3D265f4f5c89-26e-3D9521af11b2&amp;d=DwMFaQ&amp;c=Xhn9KFvv0VrhnMFbYtQjTGdTU13Xl3cIMh34YNGAA48&amp;r=d89QJLLxuwMMW8H2cPHM1rQMwL_8z2jmLRr1OQdopJA&amp;m=vcTbx6ygCw3XmUg9jp-Pw9N_e36EepkYbBE_whvT_g8&amp;s=q6sZaShvfTJvRlf3wg89TdmJa9rfah9yyEbzmbSWpKQ&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mass.us11.list-2Dmanage.com_track_click-3Fu-3D0e9e2209abd5f7062568d9a19-26id-3D4351ea70e8-26e-3D9521af11b2&amp;d=DwMFaQ&amp;c=Xhn9KFvv0VrhnMFbYtQjTGdTU13Xl3cIMh34YNGAA48&amp;r=d89QJLLxuwMMW8H2cPHM1rQMwL_8z2jmLRr1OQdopJA&amp;m=vcTbx6ygCw3XmUg9jp-Pw9N_e36EepkYbBE_whvT_g8&amp;s=eSdJzAap4hQRU8wPzNQH2ScqKtXavgzZL9yEr7-Kv8k&amp;e=" TargetMode="External"/><Relationship Id="rId14" Type="http://schemas.openxmlformats.org/officeDocument/2006/relationships/image" Target="media/image2.png"/><Relationship Id="rId22" Type="http://schemas.openxmlformats.org/officeDocument/2006/relationships/hyperlink" Target="https://urldefense.proofpoint.com/v2/url?u=https-3A__mass.us11.list-2Dmanage.com_profile-3Fu-3D0e9e2209abd5f7062568d9a19-26id-3D9ac8b63e31-26e-3D9521af11b2&amp;d=DwMFaQ&amp;c=Xhn9KFvv0VrhnMFbYtQjTGdTU13Xl3cIMh34YNGAA48&amp;r=d89QJLLxuwMMW8H2cPHM1rQMwL_8z2jmLRr1OQdopJA&amp;m=vcTbx6ygCw3XmUg9jp-Pw9N_e36EepkYbBE_whvT_g8&amp;s=bsEFoAYRdEBZ9XwkLLJz0szrUZh3F7gzJf8PM9S-6_Q&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5675</Characters>
  <Application>Microsoft Office Word</Application>
  <DocSecurity>0</DocSecurity>
  <Lines>47</Lines>
  <Paragraphs>13</Paragraphs>
  <ScaleCrop>false</ScaleCrop>
  <Company>Commonwealth of MA</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Commonwealth of Massachusetts</cp:lastModifiedBy>
  <cp:revision>1</cp:revision>
  <dcterms:created xsi:type="dcterms:W3CDTF">2019-06-03T20:22:00Z</dcterms:created>
  <dcterms:modified xsi:type="dcterms:W3CDTF">2019-06-03T20:22:00Z</dcterms:modified>
</cp:coreProperties>
</file>