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660"/>
      </w:tblGrid>
      <w:tr w:rsidR="00007FB3" w:rsidRPr="00007FB3" w:rsidTr="00007FB3">
        <w:trPr>
          <w:trHeight w:val="12450"/>
          <w:jc w:val="center"/>
        </w:trPr>
        <w:tc>
          <w:tcPr>
            <w:tcW w:w="9660" w:type="dxa"/>
            <w:tcBorders>
              <w:top w:val="nil"/>
            </w:tcBorders>
            <w:shd w:val="clear" w:color="auto" w:fill="FAFAFA"/>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007FB3" w:rsidRPr="00007FB3">
              <w:trPr>
                <w:jc w:val="center"/>
              </w:trPr>
              <w:tc>
                <w:tcPr>
                  <w:tcW w:w="0" w:type="auto"/>
                  <w:tcBorders>
                    <w:top w:val="nil"/>
                    <w:bottom w:val="nil"/>
                  </w:tcBorders>
                  <w:tcMar>
                    <w:top w:w="135" w:type="dxa"/>
                    <w:left w:w="0" w:type="dxa"/>
                    <w:bottom w:w="135" w:type="dxa"/>
                    <w:right w:w="0" w:type="dxa"/>
                  </w:tcMar>
                  <w:hideMark/>
                </w:tcPr>
                <w:p w:rsidR="00007FB3" w:rsidRPr="00007FB3" w:rsidRDefault="00007FB3" w:rsidP="00007FB3">
                  <w:pPr>
                    <w:rPr>
                      <w:rFonts w:ascii="Times New Roman" w:eastAsia="Times New Roman" w:hAnsi="Times New Roman" w:cs="Times New Roman"/>
                      <w:sz w:val="24"/>
                      <w:szCs w:val="24"/>
                    </w:rPr>
                  </w:pPr>
                </w:p>
              </w:tc>
            </w:tr>
            <w:tr w:rsidR="00007FB3" w:rsidRPr="00007FB3">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007FB3" w:rsidRPr="00007FB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90"/>
                        </w:tblGrid>
                        <w:tr w:rsidR="00007FB3" w:rsidRPr="00007FB3">
                          <w:tc>
                            <w:tcPr>
                              <w:tcW w:w="0" w:type="auto"/>
                              <w:tcMar>
                                <w:top w:w="0" w:type="dxa"/>
                                <w:left w:w="135" w:type="dxa"/>
                                <w:bottom w:w="0" w:type="dxa"/>
                                <w:right w:w="135" w:type="dxa"/>
                              </w:tcMar>
                              <w:hideMark/>
                            </w:tcPr>
                            <w:p w:rsidR="00007FB3" w:rsidRPr="00007FB3" w:rsidRDefault="00007FB3" w:rsidP="00007FB3">
                              <w:pPr>
                                <w:jc w:val="center"/>
                                <w:rPr>
                                  <w:rFonts w:ascii="Times New Roman" w:eastAsia="Times New Roman" w:hAnsi="Times New Roman" w:cs="Times New Roman"/>
                                  <w:sz w:val="24"/>
                                  <w:szCs w:val="24"/>
                                </w:rPr>
                              </w:pPr>
                              <w:r w:rsidRPr="00007FB3">
                                <w:rPr>
                                  <w:rFonts w:ascii="Times New Roman" w:eastAsia="Times New Roman" w:hAnsi="Times New Roman" w:cs="Times New Roman"/>
                                  <w:noProof/>
                                  <w:sz w:val="24"/>
                                  <w:szCs w:val="24"/>
                                </w:rPr>
                                <w:drawing>
                                  <wp:inline distT="0" distB="0" distL="0" distR="0" wp14:anchorId="57CFA132" wp14:editId="5367DF7E">
                                    <wp:extent cx="5372100" cy="1150620"/>
                                    <wp:effectExtent l="0" t="0" r="0" b="0"/>
                                    <wp:docPr id="1" name="Picture 1"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1150620"/>
                                            </a:xfrm>
                                            <a:prstGeom prst="rect">
                                              <a:avLst/>
                                            </a:prstGeom>
                                            <a:noFill/>
                                            <a:ln>
                                              <a:noFill/>
                                            </a:ln>
                                          </pic:spPr>
                                        </pic:pic>
                                      </a:graphicData>
                                    </a:graphic>
                                  </wp:inline>
                                </w:drawing>
                              </w:r>
                            </w:p>
                          </w:tc>
                        </w:tr>
                      </w:tbl>
                      <w:p w:rsidR="00007FB3" w:rsidRPr="00007FB3" w:rsidRDefault="00007FB3" w:rsidP="00007FB3">
                        <w:pPr>
                          <w:rPr>
                            <w:rFonts w:ascii="Times New Roman" w:eastAsia="Times New Roman" w:hAnsi="Times New Roman" w:cs="Times New Roman"/>
                            <w:sz w:val="24"/>
                            <w:szCs w:val="24"/>
                          </w:rPr>
                        </w:pPr>
                      </w:p>
                    </w:tc>
                  </w:tr>
                </w:tbl>
                <w:p w:rsidR="00007FB3" w:rsidRPr="00007FB3" w:rsidRDefault="00007FB3" w:rsidP="00007FB3">
                  <w:pPr>
                    <w:rPr>
                      <w:rFonts w:ascii="Times New Roman" w:eastAsia="Times New Roman" w:hAnsi="Times New Roman" w:cs="Times New Roman"/>
                      <w:sz w:val="24"/>
                      <w:szCs w:val="24"/>
                    </w:rPr>
                  </w:pPr>
                </w:p>
              </w:tc>
            </w:tr>
            <w:tr w:rsidR="00007FB3" w:rsidRPr="00007FB3">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007FB3" w:rsidRPr="00007FB3">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007FB3" w:rsidRPr="00007FB3">
                          <w:tc>
                            <w:tcPr>
                              <w:tcW w:w="0" w:type="auto"/>
                              <w:tcMar>
                                <w:top w:w="0" w:type="dxa"/>
                                <w:left w:w="270" w:type="dxa"/>
                                <w:bottom w:w="135" w:type="dxa"/>
                                <w:right w:w="270" w:type="dxa"/>
                              </w:tcMar>
                              <w:hideMark/>
                            </w:tcPr>
                            <w:p w:rsidR="00007FB3" w:rsidRPr="00007FB3" w:rsidRDefault="00007FB3" w:rsidP="00007FB3">
                              <w:pPr>
                                <w:spacing w:line="360" w:lineRule="atLeast"/>
                                <w:rPr>
                                  <w:rFonts w:ascii="Helvetica" w:eastAsia="Times New Roman" w:hAnsi="Helvetica" w:cs="Helvetica"/>
                                  <w:color w:val="202020"/>
                                  <w:sz w:val="24"/>
                                  <w:szCs w:val="24"/>
                                </w:rPr>
                              </w:pPr>
                              <w:r w:rsidRPr="00007FB3">
                                <w:rPr>
                                  <w:rFonts w:ascii="Georgia" w:eastAsia="Times New Roman" w:hAnsi="Georgia" w:cs="Helvetica"/>
                                  <w:b/>
                                  <w:bCs/>
                                  <w:color w:val="202020"/>
                                  <w:sz w:val="24"/>
                                  <w:szCs w:val="24"/>
                                </w:rPr>
                                <w:t>How-to videos now available for Paid Family and Medical Leave</w:t>
                              </w:r>
                              <w:r w:rsidRPr="00007FB3">
                                <w:rPr>
                                  <w:rFonts w:ascii="Georgia" w:eastAsia="Times New Roman" w:hAnsi="Georgia" w:cs="Helvetica"/>
                                  <w:color w:val="202020"/>
                                  <w:sz w:val="24"/>
                                  <w:szCs w:val="24"/>
                                </w:rPr>
                                <w:br/>
                              </w:r>
                              <w:proofErr w:type="gramStart"/>
                              <w:r w:rsidRPr="00007FB3">
                                <w:rPr>
                                  <w:rFonts w:ascii="Georgia" w:eastAsia="Times New Roman" w:hAnsi="Georgia" w:cs="Helvetica"/>
                                  <w:color w:val="202020"/>
                                  <w:sz w:val="24"/>
                                  <w:szCs w:val="24"/>
                                </w:rPr>
                                <w:t>We</w:t>
                              </w:r>
                              <w:proofErr w:type="gramEnd"/>
                              <w:r w:rsidRPr="00007FB3">
                                <w:rPr>
                                  <w:rFonts w:ascii="Georgia" w:eastAsia="Times New Roman" w:hAnsi="Georgia" w:cs="Helvetica"/>
                                  <w:color w:val="202020"/>
                                  <w:sz w:val="24"/>
                                  <w:szCs w:val="24"/>
                                </w:rPr>
                                <w:t xml:space="preserve"> just published videos on the Department of Revenue’s [DOR]</w:t>
                              </w:r>
                              <w:hyperlink r:id="rId7" w:history="1">
                                <w:r w:rsidRPr="00007FB3">
                                  <w:rPr>
                                    <w:rFonts w:ascii="Georgia" w:eastAsia="Times New Roman" w:hAnsi="Georgia" w:cs="Helvetica"/>
                                    <w:color w:val="007C89"/>
                                    <w:sz w:val="24"/>
                                    <w:szCs w:val="24"/>
                                    <w:u w:val="single"/>
                                  </w:rPr>
                                  <w:t> Paid Family and Medical Leave information page</w:t>
                                </w:r>
                              </w:hyperlink>
                              <w:bookmarkStart w:id="0" w:name="_GoBack"/>
                              <w:bookmarkEnd w:id="0"/>
                              <w:r w:rsidRPr="00007FB3">
                                <w:rPr>
                                  <w:rFonts w:ascii="Georgia" w:eastAsia="Times New Roman" w:hAnsi="Georgia" w:cs="Helvetica"/>
                                  <w:color w:val="202020"/>
                                  <w:sz w:val="24"/>
                                  <w:szCs w:val="24"/>
                                </w:rPr>
                                <w:t> covering exemption requests, registration, filing returns, remitting contributions and more topics as we head toward the October 1 start date for contributions. Check out the videos.  DOR is responsible for exemption requests, registration, contributions, and payments for Paid Family and Medical Leave and works closely with the </w:t>
                              </w:r>
                              <w:hyperlink r:id="rId8" w:history="1">
                                <w:r w:rsidRPr="00007FB3">
                                  <w:rPr>
                                    <w:rFonts w:ascii="Georgia" w:eastAsia="Times New Roman" w:hAnsi="Georgia" w:cs="Helvetica"/>
                                    <w:color w:val="007C89"/>
                                    <w:sz w:val="24"/>
                                    <w:szCs w:val="24"/>
                                    <w:u w:val="single"/>
                                  </w:rPr>
                                  <w:t>Department of Family and Medical Leave</w:t>
                                </w:r>
                              </w:hyperlink>
                              <w:r w:rsidRPr="00007FB3">
                                <w:rPr>
                                  <w:rFonts w:ascii="Georgia" w:eastAsia="Times New Roman" w:hAnsi="Georgia" w:cs="Helvetica"/>
                                  <w:color w:val="202020"/>
                                  <w:sz w:val="24"/>
                                  <w:szCs w:val="24"/>
                                </w:rPr>
                                <w:t> [DFML], which oversees the entire program for the Commonwealth. If you haven’t already visited it, be sure to check out DFML’s page for comprehensive information for employees and employers. </w:t>
                              </w:r>
                              <w:r w:rsidRPr="00007FB3">
                                <w:rPr>
                                  <w:rFonts w:ascii="Georgia" w:eastAsia="Times New Roman" w:hAnsi="Georgia" w:cs="Helvetica"/>
                                  <w:color w:val="202020"/>
                                  <w:sz w:val="24"/>
                                  <w:szCs w:val="24"/>
                                </w:rPr>
                                <w:br/>
                                <w:t> </w:t>
                              </w:r>
                              <w:r w:rsidRPr="00007FB3">
                                <w:rPr>
                                  <w:rFonts w:ascii="Georgia" w:eastAsia="Times New Roman" w:hAnsi="Georgia" w:cs="Helvetica"/>
                                  <w:color w:val="202020"/>
                                  <w:sz w:val="24"/>
                                  <w:szCs w:val="24"/>
                                </w:rPr>
                                <w:br/>
                              </w:r>
                              <w:r w:rsidRPr="00007FB3">
                                <w:rPr>
                                  <w:rFonts w:ascii="Georgia" w:eastAsia="Times New Roman" w:hAnsi="Georgia" w:cs="Helvetica"/>
                                  <w:b/>
                                  <w:bCs/>
                                  <w:color w:val="202020"/>
                                  <w:sz w:val="24"/>
                                  <w:szCs w:val="24"/>
                                </w:rPr>
                                <w:t>First tax return due August 20 for short-term rental excise and fees – if you haven’t registered, now’s the time</w:t>
                              </w:r>
                              <w:r w:rsidRPr="00007FB3">
                                <w:rPr>
                                  <w:rFonts w:ascii="Georgia" w:eastAsia="Times New Roman" w:hAnsi="Georgia" w:cs="Helvetica"/>
                                  <w:color w:val="202020"/>
                                  <w:sz w:val="24"/>
                                  <w:szCs w:val="24"/>
                                </w:rPr>
                                <w:br/>
                                <w:t>For short-term rentals that begin on July 1, 2019 or after, returns must be filed on August 20 and the 20</w:t>
                              </w:r>
                              <w:r w:rsidRPr="00007FB3">
                                <w:rPr>
                                  <w:rFonts w:ascii="Georgia" w:eastAsia="Times New Roman" w:hAnsi="Georgia" w:cs="Helvetica"/>
                                  <w:color w:val="202020"/>
                                  <w:sz w:val="24"/>
                                  <w:szCs w:val="24"/>
                                  <w:vertAlign w:val="superscript"/>
                                </w:rPr>
                                <w:t>th</w:t>
                              </w:r>
                              <w:r w:rsidRPr="00007FB3">
                                <w:rPr>
                                  <w:rFonts w:ascii="Georgia" w:eastAsia="Times New Roman" w:hAnsi="Georgia" w:cs="Helvetica"/>
                                  <w:color w:val="202020"/>
                                  <w:sz w:val="24"/>
                                  <w:szCs w:val="24"/>
                                </w:rPr>
                                <w:t> of the month thereafter. The property operator, and intermediary who’s responsible for collecting the rents, must first register on </w:t>
                              </w:r>
                              <w:proofErr w:type="spellStart"/>
                              <w:r w:rsidRPr="00007FB3">
                                <w:rPr>
                                  <w:rFonts w:ascii="Georgia" w:eastAsia="Times New Roman" w:hAnsi="Georgia" w:cs="Helvetica"/>
                                  <w:color w:val="202020"/>
                                  <w:sz w:val="24"/>
                                  <w:szCs w:val="24"/>
                                </w:rPr>
                                <w:fldChar w:fldCharType="begin"/>
                              </w:r>
                              <w:r w:rsidRPr="00007FB3">
                                <w:rPr>
                                  <w:rFonts w:ascii="Georgia" w:eastAsia="Times New Roman" w:hAnsi="Georgia" w:cs="Helvetica"/>
                                  <w:color w:val="202020"/>
                                  <w:sz w:val="24"/>
                                  <w:szCs w:val="24"/>
                                </w:rPr>
                                <w:instrText xml:space="preserve"> HYPERLINK "https://mtc.dor.state.ma.us/mtc/_/" </w:instrText>
                              </w:r>
                              <w:r w:rsidRPr="00007FB3">
                                <w:rPr>
                                  <w:rFonts w:ascii="Georgia" w:eastAsia="Times New Roman" w:hAnsi="Georgia" w:cs="Helvetica"/>
                                  <w:color w:val="202020"/>
                                  <w:sz w:val="24"/>
                                  <w:szCs w:val="24"/>
                                </w:rPr>
                                <w:fldChar w:fldCharType="separate"/>
                              </w:r>
                              <w:r w:rsidRPr="00007FB3">
                                <w:rPr>
                                  <w:rFonts w:ascii="Georgia" w:eastAsia="Times New Roman" w:hAnsi="Georgia" w:cs="Helvetica"/>
                                  <w:color w:val="007C89"/>
                                  <w:sz w:val="24"/>
                                  <w:szCs w:val="24"/>
                                  <w:u w:val="single"/>
                                </w:rPr>
                                <w:t>MassTaxConnect</w:t>
                              </w:r>
                              <w:proofErr w:type="spellEnd"/>
                              <w:r w:rsidRPr="00007FB3">
                                <w:rPr>
                                  <w:rFonts w:ascii="Georgia" w:eastAsia="Times New Roman" w:hAnsi="Georgia" w:cs="Helvetica"/>
                                  <w:color w:val="202020"/>
                                  <w:sz w:val="24"/>
                                  <w:szCs w:val="24"/>
                                </w:rPr>
                                <w:fldChar w:fldCharType="end"/>
                              </w:r>
                              <w:r w:rsidRPr="00007FB3">
                                <w:rPr>
                                  <w:rFonts w:ascii="Georgia" w:eastAsia="Times New Roman" w:hAnsi="Georgia" w:cs="Helvetica"/>
                                  <w:color w:val="202020"/>
                                  <w:sz w:val="24"/>
                                  <w:szCs w:val="24"/>
                                </w:rPr>
                                <w:t>.  The easiest way to remember this is –if you collect the rent for a short-term rental, you must also collect the taxes and fees associated with the rent, file a return and remit the taxes and fees to DOR. If you have an agreement with someone else to collect the rents on your property, then the responsibility for collecting the taxes and fees and filing returns shifts to them but all operators must still register with DOR. If you haven’t registered as an operator or intermediary, do that now. August 20 will also be the first date for a traditional lodging property, and/or their intermediary, to file a Room Occupancy Consolidated return.  </w:t>
                              </w:r>
                              <w:r w:rsidRPr="00007FB3">
                                <w:rPr>
                                  <w:rFonts w:ascii="Georgia" w:eastAsia="Times New Roman" w:hAnsi="Georgia" w:cs="Helvetica"/>
                                  <w:color w:val="202020"/>
                                  <w:sz w:val="24"/>
                                  <w:szCs w:val="24"/>
                                </w:rPr>
                                <w:br/>
                                <w:t> </w:t>
                              </w:r>
                              <w:r w:rsidRPr="00007FB3">
                                <w:rPr>
                                  <w:rFonts w:ascii="Georgia" w:eastAsia="Times New Roman" w:hAnsi="Georgia" w:cs="Helvetica"/>
                                  <w:color w:val="202020"/>
                                  <w:sz w:val="24"/>
                                  <w:szCs w:val="24"/>
                                </w:rPr>
                                <w:br/>
                                <w:t>So, unless your property is exempt – check out the</w:t>
                              </w:r>
                              <w:hyperlink r:id="rId9" w:anchor="-4-exemptions" w:history="1">
                                <w:r w:rsidRPr="00007FB3">
                                  <w:rPr>
                                    <w:rFonts w:ascii="Georgia" w:eastAsia="Times New Roman" w:hAnsi="Georgia" w:cs="Helvetica"/>
                                    <w:color w:val="007C89"/>
                                    <w:sz w:val="24"/>
                                    <w:szCs w:val="24"/>
                                    <w:u w:val="single"/>
                                  </w:rPr>
                                  <w:t> list of Exemptions</w:t>
                                </w:r>
                              </w:hyperlink>
                              <w:r w:rsidRPr="00007FB3">
                                <w:rPr>
                                  <w:rFonts w:ascii="Georgia" w:eastAsia="Times New Roman" w:hAnsi="Georgia" w:cs="Helvetica"/>
                                  <w:color w:val="202020"/>
                                  <w:sz w:val="24"/>
                                  <w:szCs w:val="24"/>
                                </w:rPr>
                                <w:t> to see if they apply – you are responsible for collecting and remitting appropriate taxes and fees from July 1 on and filing your first return by August 20. </w:t>
                              </w:r>
                              <w:r w:rsidRPr="00007FB3">
                                <w:rPr>
                                  <w:rFonts w:ascii="Georgia" w:eastAsia="Times New Roman" w:hAnsi="Georgia" w:cs="Helvetica"/>
                                  <w:color w:val="202020"/>
                                  <w:sz w:val="24"/>
                                  <w:szCs w:val="24"/>
                                </w:rPr>
                                <w:br/>
                                <w:t> </w:t>
                              </w:r>
                              <w:r w:rsidRPr="00007FB3">
                                <w:rPr>
                                  <w:rFonts w:ascii="Georgia" w:eastAsia="Times New Roman" w:hAnsi="Georgia" w:cs="Helvetica"/>
                                  <w:color w:val="202020"/>
                                  <w:sz w:val="24"/>
                                  <w:szCs w:val="24"/>
                                </w:rPr>
                                <w:br/>
                              </w:r>
                              <w:r w:rsidRPr="00007FB3">
                                <w:rPr>
                                  <w:rFonts w:ascii="Georgia" w:eastAsia="Times New Roman" w:hAnsi="Georgia" w:cs="Helvetica"/>
                                  <w:color w:val="202020"/>
                                  <w:sz w:val="24"/>
                                  <w:szCs w:val="24"/>
                                </w:rPr>
                                <w:lastRenderedPageBreak/>
                                <w:t>Check out the </w:t>
                              </w:r>
                              <w:hyperlink r:id="rId10" w:tgtFrame="_blank" w:history="1">
                                <w:r w:rsidRPr="00007FB3">
                                  <w:rPr>
                                    <w:rFonts w:ascii="Georgia" w:eastAsia="Times New Roman" w:hAnsi="Georgia" w:cs="Helvetica"/>
                                    <w:color w:val="007C89"/>
                                    <w:sz w:val="24"/>
                                    <w:szCs w:val="24"/>
                                    <w:u w:val="single"/>
                                  </w:rPr>
                                  <w:t>how-to videos</w:t>
                                </w:r>
                              </w:hyperlink>
                              <w:r w:rsidRPr="00007FB3">
                                <w:rPr>
                                  <w:rFonts w:ascii="Georgia" w:eastAsia="Times New Roman" w:hAnsi="Georgia" w:cs="Helvetica"/>
                                  <w:color w:val="202020"/>
                                  <w:sz w:val="24"/>
                                  <w:szCs w:val="24"/>
                                </w:rPr>
                                <w:t> on the information page. They cover a wide range of topics and will show you how to get things done. In addition to the videos, there’s lots of information covered on the </w:t>
                              </w:r>
                              <w:hyperlink r:id="rId11" w:history="1">
                                <w:r w:rsidRPr="00007FB3">
                                  <w:rPr>
                                    <w:rFonts w:ascii="Georgia" w:eastAsia="Times New Roman" w:hAnsi="Georgia" w:cs="Helvetica"/>
                                    <w:color w:val="007C89"/>
                                    <w:sz w:val="24"/>
                                    <w:szCs w:val="24"/>
                                    <w:u w:val="single"/>
                                  </w:rPr>
                                  <w:t>Room Occupancy information page</w:t>
                                </w:r>
                              </w:hyperlink>
                              <w:r w:rsidRPr="00007FB3">
                                <w:rPr>
                                  <w:rFonts w:ascii="Georgia" w:eastAsia="Times New Roman" w:hAnsi="Georgia" w:cs="Helvetica"/>
                                  <w:color w:val="202020"/>
                                  <w:sz w:val="24"/>
                                  <w:szCs w:val="24"/>
                                </w:rPr>
                                <w:t>, including a comprehensive set of FAQs and legal guidance.</w:t>
                              </w:r>
                              <w:r w:rsidRPr="00007FB3">
                                <w:rPr>
                                  <w:rFonts w:ascii="Georgia" w:eastAsia="Times New Roman" w:hAnsi="Georgia" w:cs="Helvetica"/>
                                  <w:color w:val="202020"/>
                                  <w:sz w:val="24"/>
                                  <w:szCs w:val="24"/>
                                </w:rPr>
                                <w:br/>
                                <w:t> </w:t>
                              </w:r>
                              <w:r w:rsidRPr="00007FB3">
                                <w:rPr>
                                  <w:rFonts w:ascii="Georgia" w:eastAsia="Times New Roman" w:hAnsi="Georgia" w:cs="Helvetica"/>
                                  <w:color w:val="202020"/>
                                  <w:sz w:val="24"/>
                                  <w:szCs w:val="24"/>
                                </w:rPr>
                                <w:br/>
                              </w:r>
                              <w:r w:rsidRPr="00007FB3">
                                <w:rPr>
                                  <w:rFonts w:ascii="Georgia" w:eastAsia="Times New Roman" w:hAnsi="Georgia" w:cs="Helvetica"/>
                                  <w:b/>
                                  <w:bCs/>
                                  <w:color w:val="202020"/>
                                  <w:sz w:val="24"/>
                                  <w:szCs w:val="24"/>
                                </w:rPr>
                                <w:t>Don’t forget that rents on properties you own is reported as income </w:t>
                              </w:r>
                              <w:r w:rsidRPr="00007FB3">
                                <w:rPr>
                                  <w:rFonts w:ascii="Georgia" w:eastAsia="Times New Roman" w:hAnsi="Georgia" w:cs="Helvetica"/>
                                  <w:color w:val="202020"/>
                                  <w:sz w:val="24"/>
                                  <w:szCs w:val="24"/>
                                </w:rPr>
                                <w:br/>
                                <w:t>It may seem elementary but we are finding that not everyone knows that income derived from rental properties should be reported on income tax returns by the owners – whether it’s a room or an entire property. As we get up to speed on how short-term rents and taxes are collected, reported and remitted under the new legislation, let’s not forget that rent must be reported as income on your income tax return.</w:t>
                              </w:r>
                              <w:r w:rsidRPr="00007FB3">
                                <w:rPr>
                                  <w:rFonts w:ascii="Georgia" w:eastAsia="Times New Roman" w:hAnsi="Georgia" w:cs="Helvetica"/>
                                  <w:color w:val="202020"/>
                                  <w:sz w:val="24"/>
                                  <w:szCs w:val="24"/>
                                </w:rPr>
                                <w:br/>
                                <w:t> </w:t>
                              </w:r>
                              <w:r w:rsidRPr="00007FB3">
                                <w:rPr>
                                  <w:rFonts w:ascii="Georgia" w:eastAsia="Times New Roman" w:hAnsi="Georgia" w:cs="Helvetica"/>
                                  <w:color w:val="202020"/>
                                  <w:sz w:val="24"/>
                                  <w:szCs w:val="24"/>
                                </w:rPr>
                                <w:br/>
                                <w:t>You can find previous </w:t>
                              </w:r>
                              <w:hyperlink r:id="rId12" w:history="1">
                                <w:r w:rsidRPr="00007FB3">
                                  <w:rPr>
                                    <w:rFonts w:ascii="Georgia" w:eastAsia="Times New Roman" w:hAnsi="Georgia" w:cs="Helvetica"/>
                                    <w:color w:val="007C89"/>
                                    <w:sz w:val="24"/>
                                    <w:szCs w:val="24"/>
                                    <w:u w:val="single"/>
                                  </w:rPr>
                                  <w:t>DOR News</w:t>
                                </w:r>
                              </w:hyperlink>
                              <w:r w:rsidRPr="00007FB3">
                                <w:rPr>
                                  <w:rFonts w:ascii="Georgia" w:eastAsia="Times New Roman" w:hAnsi="Georgia" w:cs="Helvetica"/>
                                  <w:color w:val="202020"/>
                                  <w:sz w:val="24"/>
                                  <w:szCs w:val="24"/>
                                </w:rPr>
                                <w:t> on the DOR website.</w:t>
                              </w:r>
                            </w:p>
                          </w:tc>
                        </w:tr>
                      </w:tbl>
                      <w:p w:rsidR="00007FB3" w:rsidRPr="00007FB3" w:rsidRDefault="00007FB3" w:rsidP="00007FB3">
                        <w:pPr>
                          <w:rPr>
                            <w:rFonts w:ascii="Times New Roman" w:eastAsia="Times New Roman" w:hAnsi="Times New Roman" w:cs="Times New Roman"/>
                            <w:sz w:val="24"/>
                            <w:szCs w:val="24"/>
                          </w:rPr>
                        </w:pPr>
                      </w:p>
                    </w:tc>
                  </w:tr>
                </w:tbl>
                <w:p w:rsidR="00007FB3" w:rsidRPr="00007FB3" w:rsidRDefault="00007FB3" w:rsidP="00007FB3">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007FB3" w:rsidRPr="00007FB3">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007FB3" w:rsidRPr="00007FB3">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007FB3" w:rsidRPr="00007FB3">
                                <w:tc>
                                  <w:tcPr>
                                    <w:tcW w:w="0" w:type="auto"/>
                                    <w:shd w:val="clear" w:color="auto" w:fill="1A7097"/>
                                    <w:tcMar>
                                      <w:top w:w="270" w:type="dxa"/>
                                      <w:left w:w="270" w:type="dxa"/>
                                      <w:bottom w:w="270" w:type="dxa"/>
                                      <w:right w:w="270" w:type="dxa"/>
                                    </w:tcMar>
                                    <w:hideMark/>
                                  </w:tcPr>
                                  <w:p w:rsidR="00007FB3" w:rsidRPr="00007FB3" w:rsidRDefault="00007FB3" w:rsidP="00007FB3">
                                    <w:pPr>
                                      <w:spacing w:line="315" w:lineRule="atLeast"/>
                                      <w:jc w:val="center"/>
                                      <w:rPr>
                                        <w:rFonts w:ascii="Helvetica" w:eastAsia="Times New Roman" w:hAnsi="Helvetica" w:cs="Helvetica"/>
                                        <w:color w:val="F2F2F2"/>
                                        <w:sz w:val="21"/>
                                        <w:szCs w:val="21"/>
                                      </w:rPr>
                                    </w:pPr>
                                    <w:r w:rsidRPr="00007FB3">
                                      <w:rPr>
                                        <w:rFonts w:ascii="Helvetica" w:eastAsia="Times New Roman" w:hAnsi="Helvetica" w:cs="Helvetica"/>
                                        <w:b/>
                                        <w:bCs/>
                                        <w:color w:val="F2F2F2"/>
                                        <w:sz w:val="27"/>
                                        <w:szCs w:val="27"/>
                                      </w:rPr>
                                      <w:t>DOR News - August 2019 </w:t>
                                    </w:r>
                                  </w:p>
                                </w:tc>
                              </w:tr>
                            </w:tbl>
                            <w:p w:rsidR="00007FB3" w:rsidRPr="00007FB3" w:rsidRDefault="00007FB3" w:rsidP="00007FB3">
                              <w:pPr>
                                <w:rPr>
                                  <w:rFonts w:ascii="Times New Roman" w:eastAsia="Times New Roman" w:hAnsi="Times New Roman" w:cs="Times New Roman"/>
                                  <w:sz w:val="24"/>
                                  <w:szCs w:val="24"/>
                                </w:rPr>
                              </w:pPr>
                            </w:p>
                          </w:tc>
                        </w:tr>
                      </w:tbl>
                      <w:p w:rsidR="00007FB3" w:rsidRPr="00007FB3" w:rsidRDefault="00007FB3" w:rsidP="00007FB3">
                        <w:pPr>
                          <w:rPr>
                            <w:rFonts w:ascii="Times New Roman" w:eastAsia="Times New Roman" w:hAnsi="Times New Roman" w:cs="Times New Roman"/>
                            <w:sz w:val="24"/>
                            <w:szCs w:val="24"/>
                          </w:rPr>
                        </w:pPr>
                      </w:p>
                    </w:tc>
                  </w:tr>
                </w:tbl>
                <w:p w:rsidR="00007FB3" w:rsidRPr="00007FB3" w:rsidRDefault="00007FB3" w:rsidP="00007FB3">
                  <w:pPr>
                    <w:rPr>
                      <w:rFonts w:ascii="Times New Roman" w:eastAsia="Times New Roman" w:hAnsi="Times New Roman" w:cs="Times New Roman"/>
                      <w:sz w:val="24"/>
                      <w:szCs w:val="24"/>
                    </w:rPr>
                  </w:pPr>
                </w:p>
              </w:tc>
            </w:tr>
            <w:tr w:rsidR="00007FB3" w:rsidRPr="00007FB3">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007FB3" w:rsidRPr="00007FB3">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007FB3" w:rsidRPr="00007FB3">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007FB3" w:rsidRPr="00007FB3">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56"/>
                                    </w:tblGrid>
                                    <w:tr w:rsidR="00007FB3" w:rsidRPr="00007FB3">
                                      <w:trPr>
                                        <w:jc w:val="center"/>
                                      </w:trPr>
                                      <w:tc>
                                        <w:tcPr>
                                          <w:tcW w:w="0" w:type="auto"/>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156"/>
                                          </w:tblGrid>
                                          <w:tr w:rsidR="00007FB3" w:rsidRPr="00007FB3">
                                            <w:tc>
                                              <w:tcPr>
                                                <w:tcW w:w="0" w:type="auto"/>
                                                <w:tcMar>
                                                  <w:top w:w="0" w:type="dxa"/>
                                                  <w:left w:w="0" w:type="dxa"/>
                                                  <w:bottom w:w="135" w:type="dxa"/>
                                                  <w:right w:w="150" w:type="dxa"/>
                                                </w:tcMar>
                                                <w:hideMark/>
                                              </w:tcPr>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vanish/>
                                              <w:sz w:val="24"/>
                                              <w:szCs w:val="24"/>
                                            </w:rPr>
                                          </w:pPr>
                                        </w:p>
                                        <w:tbl>
                                          <w:tblPr>
                                            <w:tblpPr w:leftFromText="36" w:rightFromText="36" w:vertAnchor="text"/>
                                            <w:tblW w:w="0" w:type="auto"/>
                                            <w:tblCellMar>
                                              <w:left w:w="0" w:type="dxa"/>
                                              <w:right w:w="0" w:type="dxa"/>
                                            </w:tblCellMar>
                                            <w:tblLook w:val="04A0" w:firstRow="1" w:lastRow="0" w:firstColumn="1" w:lastColumn="0" w:noHBand="0" w:noVBand="1"/>
                                          </w:tblPr>
                                          <w:tblGrid>
                                            <w:gridCol w:w="156"/>
                                          </w:tblGrid>
                                          <w:tr w:rsidR="00007FB3" w:rsidRPr="00007FB3">
                                            <w:tc>
                                              <w:tcPr>
                                                <w:tcW w:w="0" w:type="auto"/>
                                                <w:tcMar>
                                                  <w:top w:w="0" w:type="dxa"/>
                                                  <w:left w:w="0" w:type="dxa"/>
                                                  <w:bottom w:w="135" w:type="dxa"/>
                                                  <w:right w:w="150" w:type="dxa"/>
                                                </w:tcMar>
                                                <w:hideMark/>
                                              </w:tcPr>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vanish/>
                                              <w:sz w:val="24"/>
                                              <w:szCs w:val="24"/>
                                            </w:rPr>
                                          </w:pPr>
                                        </w:p>
                                        <w:tbl>
                                          <w:tblPr>
                                            <w:tblpPr w:leftFromText="36" w:rightFromText="36" w:vertAnchor="text"/>
                                            <w:tblW w:w="0" w:type="auto"/>
                                            <w:tblCellMar>
                                              <w:left w:w="0" w:type="dxa"/>
                                              <w:right w:w="0" w:type="dxa"/>
                                            </w:tblCellMar>
                                            <w:tblLook w:val="04A0" w:firstRow="1" w:lastRow="0" w:firstColumn="1" w:lastColumn="0" w:noHBand="0" w:noVBand="1"/>
                                          </w:tblPr>
                                          <w:tblGrid>
                                            <w:gridCol w:w="156"/>
                                          </w:tblGrid>
                                          <w:tr w:rsidR="00007FB3" w:rsidRPr="00007FB3">
                                            <w:tc>
                                              <w:tcPr>
                                                <w:tcW w:w="0" w:type="auto"/>
                                                <w:tcMar>
                                                  <w:top w:w="0" w:type="dxa"/>
                                                  <w:left w:w="0" w:type="dxa"/>
                                                  <w:bottom w:w="135" w:type="dxa"/>
                                                  <w:right w:w="150" w:type="dxa"/>
                                                </w:tcMar>
                                                <w:hideMark/>
                                              </w:tcPr>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vanish/>
                                              <w:sz w:val="24"/>
                                              <w:szCs w:val="24"/>
                                            </w:rPr>
                                          </w:pPr>
                                        </w:p>
                                        <w:tbl>
                                          <w:tblPr>
                                            <w:tblpPr w:leftFromText="36" w:rightFromText="36" w:vertAnchor="text"/>
                                            <w:tblW w:w="0" w:type="auto"/>
                                            <w:tblCellMar>
                                              <w:left w:w="0" w:type="dxa"/>
                                              <w:right w:w="0" w:type="dxa"/>
                                            </w:tblCellMar>
                                            <w:tblLook w:val="04A0" w:firstRow="1" w:lastRow="0" w:firstColumn="1" w:lastColumn="0" w:noHBand="0" w:noVBand="1"/>
                                          </w:tblPr>
                                          <w:tblGrid>
                                            <w:gridCol w:w="6"/>
                                          </w:tblGrid>
                                          <w:tr w:rsidR="00007FB3" w:rsidRPr="00007FB3">
                                            <w:tc>
                                              <w:tcPr>
                                                <w:tcW w:w="0" w:type="auto"/>
                                                <w:tcMar>
                                                  <w:top w:w="0" w:type="dxa"/>
                                                  <w:left w:w="0" w:type="dxa"/>
                                                  <w:bottom w:w="135" w:type="dxa"/>
                                                  <w:right w:w="0" w:type="dxa"/>
                                                </w:tcMar>
                                                <w:hideMark/>
                                              </w:tcPr>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sz w:val="24"/>
                            <w:szCs w:val="24"/>
                          </w:rPr>
                        </w:pPr>
                      </w:p>
                    </w:tc>
                  </w:tr>
                </w:tbl>
                <w:p w:rsidR="00007FB3" w:rsidRPr="00007FB3" w:rsidRDefault="00007FB3" w:rsidP="00007FB3">
                  <w:pPr>
                    <w:rPr>
                      <w:rFonts w:ascii="Times New Roman" w:eastAsia="Times New Roman" w:hAnsi="Times New Roman" w:cs="Times New Roman"/>
                      <w:sz w:val="24"/>
                      <w:szCs w:val="24"/>
                    </w:rPr>
                  </w:pPr>
                </w:p>
              </w:tc>
            </w:tr>
          </w:tbl>
          <w:p w:rsidR="00007FB3" w:rsidRPr="00007FB3" w:rsidRDefault="00007FB3" w:rsidP="00007FB3">
            <w:pPr>
              <w:jc w:val="center"/>
              <w:rPr>
                <w:rFonts w:ascii="Times New Roman" w:eastAsia="Times New Roman" w:hAnsi="Times New Roman" w:cs="Times New Roman"/>
                <w:sz w:val="24"/>
                <w:szCs w:val="24"/>
              </w:rPr>
            </w:pPr>
          </w:p>
        </w:tc>
      </w:tr>
    </w:tbl>
    <w:p w:rsidR="00C1115E" w:rsidRDefault="00C1115E"/>
    <w:sectPr w:rsidR="00C1115E" w:rsidSect="00007FB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D2A15"/>
    <w:multiLevelType w:val="multilevel"/>
    <w:tmpl w:val="3134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B3"/>
    <w:rsid w:val="00007FB3"/>
    <w:rsid w:val="00C1115E"/>
    <w:rsid w:val="00CC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Theme="minorHAnsi" w:hAnsi="Constant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FB3"/>
    <w:rPr>
      <w:rFonts w:ascii="Tahoma" w:hAnsi="Tahoma" w:cs="Tahoma"/>
      <w:sz w:val="16"/>
      <w:szCs w:val="16"/>
    </w:rPr>
  </w:style>
  <w:style w:type="character" w:customStyle="1" w:styleId="BalloonTextChar">
    <w:name w:val="Balloon Text Char"/>
    <w:basedOn w:val="DefaultParagraphFont"/>
    <w:link w:val="BalloonText"/>
    <w:uiPriority w:val="99"/>
    <w:semiHidden/>
    <w:rsid w:val="00007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Theme="minorHAnsi" w:hAnsi="Constant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FB3"/>
    <w:rPr>
      <w:rFonts w:ascii="Tahoma" w:hAnsi="Tahoma" w:cs="Tahoma"/>
      <w:sz w:val="16"/>
      <w:szCs w:val="16"/>
    </w:rPr>
  </w:style>
  <w:style w:type="character" w:customStyle="1" w:styleId="BalloonTextChar">
    <w:name w:val="Balloon Text Char"/>
    <w:basedOn w:val="DefaultParagraphFont"/>
    <w:link w:val="BalloonText"/>
    <w:uiPriority w:val="99"/>
    <w:semiHidden/>
    <w:rsid w:val="00007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4558">
      <w:bodyDiv w:val="1"/>
      <w:marLeft w:val="0"/>
      <w:marRight w:val="0"/>
      <w:marTop w:val="0"/>
      <w:marBottom w:val="0"/>
      <w:divBdr>
        <w:top w:val="none" w:sz="0" w:space="0" w:color="auto"/>
        <w:left w:val="none" w:sz="0" w:space="0" w:color="auto"/>
        <w:bottom w:val="none" w:sz="0" w:space="0" w:color="auto"/>
        <w:right w:val="none" w:sz="0" w:space="0" w:color="auto"/>
      </w:divBdr>
      <w:divsChild>
        <w:div w:id="1280991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department-of-family-and-medical-lea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info-details/paid-family-and-medical-leave-exemption-requests-registration-contributions-and" TargetMode="External"/><Relationship Id="rId12" Type="http://schemas.openxmlformats.org/officeDocument/2006/relationships/hyperlink" Target="https://www.mass.gov/lists/dor-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ss.gov/info-details/room-occupancy-frequently-asked-questions" TargetMode="External"/><Relationship Id="rId5" Type="http://schemas.openxmlformats.org/officeDocument/2006/relationships/webSettings" Target="webSettings.xml"/><Relationship Id="rId10" Type="http://schemas.openxmlformats.org/officeDocument/2006/relationships/hyperlink" Target="https://www.mass.gov/info-details/masstaxconnect-room-occupancy-excise-video-tutorials-for-operators-and-intermediaries" TargetMode="External"/><Relationship Id="rId4" Type="http://schemas.openxmlformats.org/officeDocument/2006/relationships/settings" Target="settings.xml"/><Relationship Id="rId9" Type="http://schemas.openxmlformats.org/officeDocument/2006/relationships/hyperlink" Target="https://www.mass.gov/regulations/830-CMR-64g11-massachusetts-room-occupancy-excise-proposed-regul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2020-04-23T13:33:00Z</dcterms:created>
  <dcterms:modified xsi:type="dcterms:W3CDTF">2020-04-23T13:33:00Z</dcterms:modified>
</cp:coreProperties>
</file>