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0"/>
      </w:tblGrid>
      <w:tr w:rsidR="00686391" w14:paraId="1EFC4423" w14:textId="77777777" w:rsidTr="00686391">
        <w:trPr>
          <w:jc w:val="center"/>
        </w:trPr>
        <w:tc>
          <w:tcPr>
            <w:tcW w:w="0" w:type="auto"/>
            <w:tcBorders>
              <w:top w:val="nil"/>
              <w:left w:val="nil"/>
              <w:bottom w:val="nil"/>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86391" w14:paraId="1DB2DAA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86391" w14:paraId="7CC46114" w14:textId="77777777">
                    <w:tc>
                      <w:tcPr>
                        <w:tcW w:w="9000" w:type="dxa"/>
                        <w:hideMark/>
                      </w:tcPr>
                      <w:p w14:paraId="395CA161" w14:textId="20EBAF08" w:rsidR="00686391" w:rsidRDefault="00686391">
                        <w:r>
                          <w:rPr>
                            <w:rFonts w:eastAsia="Times New Roman"/>
                            <w:noProof/>
                          </w:rPr>
                          <w:drawing>
                            <wp:inline distT="0" distB="0" distL="0" distR="0" wp14:anchorId="007C2078" wp14:editId="62E5B207">
                              <wp:extent cx="571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86391" w14:paraId="07B3CBF2" w14:textId="77777777">
                          <w:tc>
                            <w:tcPr>
                              <w:tcW w:w="0" w:type="auto"/>
                              <w:tcMar>
                                <w:top w:w="0" w:type="dxa"/>
                                <w:left w:w="270" w:type="dxa"/>
                                <w:bottom w:w="135" w:type="dxa"/>
                                <w:right w:w="270" w:type="dxa"/>
                              </w:tcMar>
                              <w:hideMark/>
                            </w:tcPr>
                            <w:p w14:paraId="4BD470CF" w14:textId="77777777" w:rsidR="00686391" w:rsidRDefault="00686391">
                              <w:pPr>
                                <w:spacing w:line="360" w:lineRule="auto"/>
                                <w:rPr>
                                  <w:rStyle w:val="Strong"/>
                                  <w:rFonts w:ascii="Georgia" w:eastAsia="Times New Roman" w:hAnsi="Georgia" w:cs="Helvetica"/>
                                  <w:color w:val="202020"/>
                                  <w:sz w:val="24"/>
                                  <w:szCs w:val="24"/>
                                </w:rPr>
                              </w:pPr>
                            </w:p>
                            <w:p w14:paraId="66C75279" w14:textId="3BB93935" w:rsidR="00686391" w:rsidRDefault="00686391">
                              <w:pPr>
                                <w:spacing w:line="360" w:lineRule="auto"/>
                                <w:rPr>
                                  <w:rFonts w:ascii="Helvetica" w:eastAsia="Times New Roman" w:hAnsi="Helvetica" w:cs="Helvetica"/>
                                  <w:color w:val="202020"/>
                                  <w:sz w:val="24"/>
                                  <w:szCs w:val="24"/>
                                </w:rPr>
                              </w:pPr>
                              <w:bookmarkStart w:id="0" w:name="_GoBack"/>
                              <w:bookmarkEnd w:id="0"/>
                              <w:r>
                                <w:rPr>
                                  <w:rStyle w:val="Strong"/>
                                  <w:rFonts w:ascii="Georgia" w:eastAsia="Times New Roman" w:hAnsi="Georgia" w:cs="Helvetica"/>
                                  <w:color w:val="202020"/>
                                  <w:sz w:val="24"/>
                                  <w:szCs w:val="24"/>
                                </w:rPr>
                                <w:t>How different was this tax filing season?</w:t>
                              </w:r>
                              <w:r>
                                <w:rPr>
                                  <w:rFonts w:ascii="Georgia" w:eastAsia="Times New Roman" w:hAnsi="Georgia" w:cs="Helvetica"/>
                                  <w:color w:val="202020"/>
                                  <w:sz w:val="24"/>
                                  <w:szCs w:val="24"/>
                                </w:rPr>
                                <w:br/>
                                <w:t>While things were clearly different with the extension of the filing date and many other accommodations, some things were surprisingly similar when comparing this income tax season with last. Just slightly more returns were filed this year. A tad more refunds were issued this year. The total refund dollars out the door was up noticeably, due in part to the increase in EITC. We always like to report an increase in electronic filing, and we can do that this year – up 2% to 89%. Look forward to reporting 100% one day!</w:t>
                              </w:r>
                              <w:r>
                                <w:rPr>
                                  <w:rFonts w:ascii="Georgia" w:eastAsia="Times New Roman" w:hAnsi="Georgia" w:cs="Helvetica"/>
                                  <w:color w:val="202020"/>
                                  <w:sz w:val="24"/>
                                  <w:szCs w:val="24"/>
                                </w:rPr>
                                <w:br/>
                                <w:t> </w:t>
                              </w:r>
                              <w:r>
                                <w:rPr>
                                  <w:rFonts w:ascii="Georgia" w:eastAsia="Times New Roman" w:hAnsi="Georgia" w:cs="Helvetica"/>
                                  <w:color w:val="202020"/>
                                  <w:sz w:val="24"/>
                                  <w:szCs w:val="24"/>
                                </w:rPr>
                                <w:br/>
                              </w:r>
                              <w:r>
                                <w:rPr>
                                  <w:rStyle w:val="Strong"/>
                                  <w:rFonts w:ascii="Georgia" w:eastAsia="Times New Roman" w:hAnsi="Georgia" w:cs="Helvetica"/>
                                  <w:color w:val="202020"/>
                                  <w:sz w:val="24"/>
                                  <w:szCs w:val="24"/>
                                </w:rPr>
                                <w:t>Sales tax holiday do’s and don’ts</w:t>
                              </w:r>
                              <w:r>
                                <w:rPr>
                                  <w:rFonts w:ascii="Georgia" w:eastAsia="Times New Roman" w:hAnsi="Georgia" w:cs="Helvetica"/>
                                  <w:color w:val="202020"/>
                                  <w:sz w:val="24"/>
                                  <w:szCs w:val="24"/>
                                </w:rPr>
                                <w:br/>
                                <w:t xml:space="preserve">With the sales tax-free weekend now an annual happening, shoppers and vendors can prepare for this year’s event on August 29-30 by knowing what’s included and what’s not. You’ll find lots of </w:t>
                              </w:r>
                              <w:hyperlink r:id="rId5" w:tgtFrame="_blank" w:history="1">
                                <w:r>
                                  <w:rPr>
                                    <w:rStyle w:val="Hyperlink"/>
                                    <w:rFonts w:ascii="Georgia" w:eastAsia="Times New Roman" w:hAnsi="Georgia" w:cs="Helvetica"/>
                                    <w:color w:val="007C89"/>
                                    <w:sz w:val="24"/>
                                    <w:szCs w:val="24"/>
                                  </w:rPr>
                                  <w:t>information on the sales tax holiday</w:t>
                                </w:r>
                              </w:hyperlink>
                              <w:r>
                                <w:rPr>
                                  <w:rFonts w:ascii="Georgia" w:eastAsia="Times New Roman" w:hAnsi="Georgia" w:cs="Helvetica"/>
                                  <w:color w:val="202020"/>
                                  <w:sz w:val="24"/>
                                  <w:szCs w:val="24"/>
                                </w:rPr>
                                <w:t xml:space="preserve"> on our website like what’s in and what’s out, if internet sales are included [they are], if vendors are required to participate [they are], how to report sales after the holiday, and much more. With so many small businesses facing challenges during the COVID-19 emergency, let’s hope this is a boon to our local economy.</w:t>
                              </w:r>
                              <w:r>
                                <w:rPr>
                                  <w:rFonts w:ascii="Georgia" w:eastAsia="Times New Roman" w:hAnsi="Georgia" w:cs="Helvetica"/>
                                  <w:color w:val="202020"/>
                                  <w:sz w:val="24"/>
                                  <w:szCs w:val="24"/>
                                </w:rPr>
                                <w:br/>
                                <w:t> </w:t>
                              </w:r>
                              <w:r>
                                <w:rPr>
                                  <w:rFonts w:ascii="Georgia" w:eastAsia="Times New Roman" w:hAnsi="Georgia" w:cs="Helvetica"/>
                                  <w:color w:val="202020"/>
                                  <w:sz w:val="24"/>
                                  <w:szCs w:val="24"/>
                                </w:rPr>
                                <w:br/>
                              </w:r>
                              <w:r>
                                <w:rPr>
                                  <w:rStyle w:val="Strong"/>
                                  <w:rFonts w:ascii="Georgia" w:eastAsia="Times New Roman" w:hAnsi="Georgia" w:cs="Helvetica"/>
                                  <w:color w:val="202020"/>
                                  <w:sz w:val="24"/>
                                  <w:szCs w:val="24"/>
                                </w:rPr>
                                <w:t>Income tax returns update triggered repeat notices</w:t>
                              </w:r>
                              <w:r>
                                <w:rPr>
                                  <w:rFonts w:ascii="Georgia" w:eastAsia="Times New Roman" w:hAnsi="Georgia" w:cs="Helvetica"/>
                                  <w:color w:val="202020"/>
                                  <w:sz w:val="24"/>
                                  <w:szCs w:val="24"/>
                                </w:rPr>
                                <w:br/>
                                <w:t>We were required [</w:t>
                              </w:r>
                              <w:hyperlink r:id="rId6" w:history="1">
                                <w:r>
                                  <w:rPr>
                                    <w:rStyle w:val="Hyperlink"/>
                                    <w:rFonts w:ascii="Georgia" w:eastAsia="Times New Roman" w:hAnsi="Georgia" w:cs="Helvetica"/>
                                    <w:color w:val="007C89"/>
                                    <w:sz w:val="24"/>
                                    <w:szCs w:val="24"/>
                                  </w:rPr>
                                  <w:t>TIR 20-4</w:t>
                                </w:r>
                              </w:hyperlink>
                              <w:r>
                                <w:rPr>
                                  <w:rFonts w:ascii="Georgia" w:eastAsia="Times New Roman" w:hAnsi="Georgia" w:cs="Helvetica"/>
                                  <w:color w:val="202020"/>
                                  <w:sz w:val="24"/>
                                  <w:szCs w:val="24"/>
                                </w:rPr>
                                <w:t xml:space="preserve">] to update 2019 returns already processed with the April 15 deadline to reflect the new due date of July 15. In early August these tax returns were reposted to accounts, along with transfers. A heads up that some </w:t>
                              </w:r>
                              <w:r>
                                <w:rPr>
                                  <w:rFonts w:ascii="Georgia" w:eastAsia="Times New Roman" w:hAnsi="Georgia" w:cs="Helvetica"/>
                                  <w:color w:val="202020"/>
                                  <w:sz w:val="24"/>
                                  <w:szCs w:val="24"/>
                                </w:rPr>
                                <w:lastRenderedPageBreak/>
                                <w:t>of the transfers that were reposted triggered the systematic issuance of Notices of Refund Applied to Debt…</w:t>
                              </w:r>
                              <w:r>
                                <w:rPr>
                                  <w:rStyle w:val="Emphasis"/>
                                  <w:rFonts w:ascii="Georgia" w:eastAsia="Times New Roman" w:hAnsi="Georgia" w:cs="Helvetica"/>
                                  <w:color w:val="202020"/>
                                  <w:sz w:val="24"/>
                                  <w:szCs w:val="24"/>
                                </w:rPr>
                                <w:t>again</w:t>
                              </w:r>
                              <w:r>
                                <w:rPr>
                                  <w:rFonts w:ascii="Georgia" w:eastAsia="Times New Roman" w:hAnsi="Georgia" w:cs="Helvetica"/>
                                  <w:color w:val="202020"/>
                                  <w:sz w:val="24"/>
                                  <w:szCs w:val="24"/>
                                </w:rPr>
                                <w:t>. A few fiduciary and non-resident composite accounts were affected as well.</w:t>
                              </w:r>
                              <w:r>
                                <w:rPr>
                                  <w:rFonts w:ascii="Georgia" w:eastAsia="Times New Roman" w:hAnsi="Georgia" w:cs="Helvetica"/>
                                  <w:color w:val="202020"/>
                                  <w:sz w:val="24"/>
                                  <w:szCs w:val="24"/>
                                </w:rPr>
                                <w:br/>
                                <w:t> </w:t>
                              </w:r>
                              <w:r>
                                <w:rPr>
                                  <w:rFonts w:ascii="Georgia" w:eastAsia="Times New Roman" w:hAnsi="Georgia" w:cs="Helvetica"/>
                                  <w:color w:val="202020"/>
                                  <w:sz w:val="24"/>
                                  <w:szCs w:val="24"/>
                                </w:rPr>
                                <w:br/>
                              </w:r>
                              <w:r>
                                <w:rPr>
                                  <w:rStyle w:val="Strong"/>
                                  <w:rFonts w:ascii="Georgia" w:eastAsia="Times New Roman" w:hAnsi="Georgia" w:cs="Helvetica"/>
                                  <w:color w:val="202020"/>
                                  <w:sz w:val="24"/>
                                  <w:szCs w:val="24"/>
                                </w:rPr>
                                <w:t>Guidance for telecommuters updated</w:t>
                              </w:r>
                              <w:r>
                                <w:rPr>
                                  <w:rFonts w:ascii="Georgia" w:eastAsia="Times New Roman" w:hAnsi="Georgia" w:cs="Helvetica"/>
                                  <w:color w:val="202020"/>
                                  <w:sz w:val="24"/>
                                  <w:szCs w:val="24"/>
                                </w:rPr>
                                <w:br/>
                                <w:t xml:space="preserve">Just a reminder that in July we revised our guidance on the Massachusetts personal income tax, withholding and nexus implications of an employee working remotely in a different state than where they had been working prior to the COVID-19 emergency. If you haven’t had a chance to review, you can learn more through the </w:t>
                              </w:r>
                              <w:hyperlink r:id="rId7" w:history="1">
                                <w:r>
                                  <w:rPr>
                                    <w:rStyle w:val="Hyperlink"/>
                                    <w:rFonts w:ascii="Georgia" w:eastAsia="Times New Roman" w:hAnsi="Georgia" w:cs="Helvetica"/>
                                    <w:color w:val="007C89"/>
                                    <w:sz w:val="24"/>
                                    <w:szCs w:val="24"/>
                                  </w:rPr>
                                  <w:t>Emergency</w:t>
                                </w:r>
                              </w:hyperlink>
                              <w:r>
                                <w:rPr>
                                  <w:rFonts w:ascii="Georgia" w:eastAsia="Times New Roman" w:hAnsi="Georgia" w:cs="Helvetica"/>
                                  <w:color w:val="202020"/>
                                  <w:sz w:val="24"/>
                                  <w:szCs w:val="24"/>
                                </w:rPr>
                                <w:t xml:space="preserve"> and </w:t>
                              </w:r>
                              <w:hyperlink r:id="rId8" w:history="1">
                                <w:r>
                                  <w:rPr>
                                    <w:rStyle w:val="Hyperlink"/>
                                    <w:rFonts w:ascii="Georgia" w:eastAsia="Times New Roman" w:hAnsi="Georgia" w:cs="Helvetica"/>
                                    <w:color w:val="007C89"/>
                                    <w:sz w:val="24"/>
                                    <w:szCs w:val="24"/>
                                  </w:rPr>
                                  <w:t>Proposed</w:t>
                                </w:r>
                              </w:hyperlink>
                              <w:r>
                                <w:rPr>
                                  <w:rFonts w:ascii="Georgia" w:eastAsia="Times New Roman" w:hAnsi="Georgia" w:cs="Helvetica"/>
                                  <w:color w:val="202020"/>
                                  <w:sz w:val="24"/>
                                  <w:szCs w:val="24"/>
                                </w:rPr>
                                <w:t xml:space="preserve"> regulations and the </w:t>
                              </w:r>
                              <w:hyperlink r:id="rId9" w:history="1">
                                <w:r>
                                  <w:rPr>
                                    <w:rStyle w:val="Hyperlink"/>
                                    <w:rFonts w:ascii="Georgia" w:eastAsia="Times New Roman" w:hAnsi="Georgia" w:cs="Helvetica"/>
                                    <w:color w:val="007C89"/>
                                    <w:sz w:val="24"/>
                                    <w:szCs w:val="24"/>
                                  </w:rPr>
                                  <w:t>Technical Information Release</w:t>
                                </w:r>
                              </w:hyperlink>
                              <w:r>
                                <w:rPr>
                                  <w:rFonts w:ascii="Georgia" w:eastAsia="Times New Roman" w:hAnsi="Georgia" w:cs="Helvetica"/>
                                  <w:color w:val="202020"/>
                                  <w:sz w:val="24"/>
                                  <w:szCs w:val="24"/>
                                </w:rPr>
                                <w:t>.</w:t>
                              </w:r>
                              <w:r>
                                <w:rPr>
                                  <w:rFonts w:ascii="Georgia" w:eastAsia="Times New Roman" w:hAnsi="Georgia" w:cs="Helvetica"/>
                                  <w:color w:val="202020"/>
                                  <w:sz w:val="24"/>
                                  <w:szCs w:val="24"/>
                                </w:rPr>
                                <w:br/>
                                <w:t> </w:t>
                              </w:r>
                              <w:r>
                                <w:rPr>
                                  <w:rFonts w:ascii="Georgia" w:eastAsia="Times New Roman" w:hAnsi="Georgia" w:cs="Helvetica"/>
                                  <w:color w:val="202020"/>
                                  <w:sz w:val="24"/>
                                  <w:szCs w:val="24"/>
                                </w:rPr>
                                <w:br/>
                              </w:r>
                              <w:r>
                                <w:rPr>
                                  <w:rStyle w:val="Strong"/>
                                  <w:rFonts w:ascii="Georgia" w:eastAsia="Times New Roman" w:hAnsi="Georgia" w:cs="Helvetica"/>
                                  <w:color w:val="202020"/>
                                  <w:sz w:val="24"/>
                                  <w:szCs w:val="24"/>
                                </w:rPr>
                                <w:t>Good recordkeeping is good business for lots of reasons</w:t>
                              </w:r>
                              <w:r>
                                <w:rPr>
                                  <w:rFonts w:ascii="Georgia" w:eastAsia="Times New Roman" w:hAnsi="Georgia" w:cs="Helvetica"/>
                                  <w:color w:val="202020"/>
                                  <w:sz w:val="24"/>
                                  <w:szCs w:val="24"/>
                                </w:rPr>
                                <w:br/>
                                <w:t xml:space="preserve">For so many reasons a business needs to have good recordkeeping systems in place. Just one of those reasons is that if you’re selected for audit, DOR will expect you to comply with our recordkeeping requirements. Whether your business is a sole proprietorship, a partnership or a corporate entity, it’s important to keep good records.  Good recordkeeping will not only help you prepare accurate sales or meals tax returns all year </w:t>
                              </w:r>
                              <w:r>
                                <w:rPr>
                                  <w:rFonts w:ascii="Georgia" w:eastAsia="Times New Roman" w:hAnsi="Georgia" w:cs="Helvetica"/>
                                  <w:color w:val="202020"/>
                                  <w:sz w:val="24"/>
                                  <w:szCs w:val="24"/>
                                </w:rPr>
                                <w:t>–</w:t>
                              </w:r>
                              <w:r>
                                <w:rPr>
                                  <w:rFonts w:ascii="Georgia" w:eastAsia="Times New Roman" w:hAnsi="Georgia" w:cs="Helvetica"/>
                                  <w:color w:val="202020"/>
                                  <w:sz w:val="24"/>
                                  <w:szCs w:val="24"/>
                                </w:rPr>
                                <w:t xml:space="preserve"> it will help you file an accurate year-end return to report your business income. We recommend keeping separate personal and business records and we strongly suggest you familiarize yourself with DOR’s </w:t>
                              </w:r>
                              <w:hyperlink r:id="rId10" w:history="1">
                                <w:r>
                                  <w:rPr>
                                    <w:rStyle w:val="Hyperlink"/>
                                    <w:rFonts w:ascii="Georgia" w:eastAsia="Times New Roman" w:hAnsi="Georgia" w:cs="Helvetica"/>
                                    <w:color w:val="007C89"/>
                                    <w:sz w:val="24"/>
                                    <w:szCs w:val="24"/>
                                  </w:rPr>
                                  <w:t>Record Retention Regulation</w:t>
                                </w:r>
                              </w:hyperlink>
                              <w:r>
                                <w:rPr>
                                  <w:rStyle w:val="Strong"/>
                                  <w:rFonts w:ascii="Georgia" w:eastAsia="Times New Roman" w:hAnsi="Georgia" w:cs="Helvetica"/>
                                  <w:color w:val="202020"/>
                                  <w:sz w:val="24"/>
                                  <w:szCs w:val="24"/>
                                </w:rPr>
                                <w:t xml:space="preserve">. </w:t>
                              </w:r>
                              <w:r>
                                <w:rPr>
                                  <w:rFonts w:ascii="Georgia" w:eastAsia="Times New Roman" w:hAnsi="Georgia" w:cs="Helvetica"/>
                                  <w:color w:val="202020"/>
                                  <w:sz w:val="24"/>
                                  <w:szCs w:val="24"/>
                                </w:rPr>
                                <w:t xml:space="preserve">If you’re a sales and meals tax filer, you’ll want to review </w:t>
                              </w:r>
                              <w:hyperlink r:id="rId11" w:history="1">
                                <w:r>
                                  <w:rPr>
                                    <w:rStyle w:val="Hyperlink"/>
                                    <w:rFonts w:ascii="Georgia" w:eastAsia="Times New Roman" w:hAnsi="Georgia" w:cs="Helvetica"/>
                                    <w:color w:val="007C89"/>
                                    <w:sz w:val="24"/>
                                    <w:szCs w:val="24"/>
                                  </w:rPr>
                                  <w:t>Directive 16-1</w:t>
                                </w:r>
                              </w:hyperlink>
                              <w:r>
                                <w:rPr>
                                  <w:rFonts w:ascii="Georgia" w:eastAsia="Times New Roman" w:hAnsi="Georgia" w:cs="Helvetica"/>
                                  <w:color w:val="202020"/>
                                  <w:sz w:val="24"/>
                                  <w:szCs w:val="24"/>
                                </w:rPr>
                                <w:t xml:space="preserve">  about electronic recordkeeping. For those of you who use a Point of Sale [POS] system, you’ll want to verify that it meets the criteria outlined in Directive 16-1, such as providing sequentially numbered invoices or guest checks.  Good records will generally reduce the amount of time needed to complete a sales or meals tax audit.  Consider discussing your recordkeeping methods with a tax professional </w:t>
                              </w:r>
                              <w:r>
                                <w:rPr>
                                  <w:rFonts w:ascii="Georgia" w:eastAsia="Times New Roman" w:hAnsi="Georgia" w:cs="Helvetica"/>
                                  <w:color w:val="202020"/>
                                  <w:sz w:val="24"/>
                                  <w:szCs w:val="24"/>
                                </w:rPr>
                                <w:t>–</w:t>
                              </w:r>
                              <w:r>
                                <w:rPr>
                                  <w:rFonts w:ascii="Georgia" w:eastAsia="Times New Roman" w:hAnsi="Georgia" w:cs="Helvetica"/>
                                  <w:color w:val="202020"/>
                                  <w:sz w:val="24"/>
                                  <w:szCs w:val="24"/>
                                </w:rPr>
                                <w:t xml:space="preserve"> getting your records in order now could save you time and money later.</w:t>
                              </w:r>
                            </w:p>
                          </w:tc>
                        </w:tr>
                      </w:tbl>
                      <w:p w14:paraId="17A3AA2E" w14:textId="77777777" w:rsidR="00686391" w:rsidRDefault="00686391">
                        <w:pPr>
                          <w:rPr>
                            <w:rFonts w:ascii="Times New Roman" w:eastAsia="Times New Roman" w:hAnsi="Times New Roman" w:cs="Times New Roman"/>
                            <w:sz w:val="20"/>
                            <w:szCs w:val="20"/>
                          </w:rPr>
                        </w:pPr>
                      </w:p>
                    </w:tc>
                  </w:tr>
                </w:tbl>
                <w:p w14:paraId="14CD2937" w14:textId="77777777" w:rsidR="00686391" w:rsidRDefault="00686391">
                  <w:pPr>
                    <w:rPr>
                      <w:rFonts w:ascii="Times New Roman" w:eastAsia="Times New Roman" w:hAnsi="Times New Roman" w:cs="Times New Roman"/>
                      <w:sz w:val="20"/>
                      <w:szCs w:val="20"/>
                    </w:rPr>
                  </w:pPr>
                </w:p>
              </w:tc>
            </w:tr>
          </w:tbl>
          <w:p w14:paraId="717B10EE" w14:textId="77777777" w:rsidR="00686391" w:rsidRDefault="0068639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686391" w14:paraId="18307F64"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5"/>
                    <w:gridCol w:w="8985"/>
                  </w:tblGrid>
                  <w:tr w:rsidR="00686391" w14:paraId="56E1A368" w14:textId="77777777">
                    <w:trPr>
                      <w:jc w:val="center"/>
                      <w:hidden/>
                    </w:trPr>
                    <w:tc>
                      <w:tcPr>
                        <w:tcW w:w="0" w:type="auto"/>
                        <w:hideMark/>
                      </w:tcPr>
                      <w:p w14:paraId="1945799E" w14:textId="77777777" w:rsidR="00686391" w:rsidRDefault="00686391">
                        <w:pPr>
                          <w:rPr>
                            <w:rFonts w:eastAsia="Times New Roman"/>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85"/>
                        </w:tblGrid>
                        <w:tr w:rsidR="00686391" w14:paraId="77286285" w14:textId="77777777">
                          <w:tc>
                            <w:tcPr>
                              <w:tcW w:w="0" w:type="auto"/>
                              <w:tcMar>
                                <w:top w:w="135" w:type="dxa"/>
                                <w:left w:w="270" w:type="dxa"/>
                                <w:bottom w:w="135" w:type="dxa"/>
                                <w:right w:w="270" w:type="dxa"/>
                              </w:tcMar>
                              <w:vAlign w:val="center"/>
                              <w:hideMark/>
                            </w:tcPr>
                            <w:tbl>
                              <w:tblPr>
                                <w:tblW w:w="5000" w:type="pct"/>
                                <w:shd w:val="clear" w:color="auto" w:fill="1A7097"/>
                                <w:tblLook w:val="04A0" w:firstRow="1" w:lastRow="0" w:firstColumn="1" w:lastColumn="0" w:noHBand="0" w:noVBand="1"/>
                              </w:tblPr>
                              <w:tblGrid>
                                <w:gridCol w:w="8445"/>
                              </w:tblGrid>
                              <w:tr w:rsidR="00686391" w14:paraId="47F073C0" w14:textId="77777777">
                                <w:tc>
                                  <w:tcPr>
                                    <w:tcW w:w="0" w:type="auto"/>
                                    <w:shd w:val="clear" w:color="auto" w:fill="1A7097"/>
                                    <w:tcMar>
                                      <w:top w:w="270" w:type="dxa"/>
                                      <w:left w:w="270" w:type="dxa"/>
                                      <w:bottom w:w="270" w:type="dxa"/>
                                      <w:right w:w="270" w:type="dxa"/>
                                    </w:tcMar>
                                    <w:hideMark/>
                                  </w:tcPr>
                                  <w:p w14:paraId="19575F51" w14:textId="52590247" w:rsidR="00686391" w:rsidRDefault="00686391">
                                    <w:pPr>
                                      <w:spacing w:line="36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F2F2F2"/>
                                        <w:sz w:val="21"/>
                                        <w:szCs w:val="21"/>
                                      </w:rPr>
                                      <w:t xml:space="preserve">DOR News </w:t>
                                    </w:r>
                                    <w:r>
                                      <w:rPr>
                                        <w:rStyle w:val="Strong"/>
                                        <w:rFonts w:ascii="Helvetica" w:eastAsia="Times New Roman" w:hAnsi="Helvetica" w:cs="Helvetica"/>
                                        <w:color w:val="F2F2F2"/>
                                        <w:sz w:val="21"/>
                                        <w:szCs w:val="21"/>
                                      </w:rPr>
                                      <w:t>–</w:t>
                                    </w:r>
                                    <w:r>
                                      <w:rPr>
                                        <w:rStyle w:val="Strong"/>
                                        <w:rFonts w:ascii="Helvetica" w:eastAsia="Times New Roman" w:hAnsi="Helvetica" w:cs="Helvetica"/>
                                        <w:color w:val="F2F2F2"/>
                                        <w:sz w:val="21"/>
                                        <w:szCs w:val="21"/>
                                      </w:rPr>
                                      <w:t xml:space="preserve"> August 2020</w:t>
                                    </w:r>
                                    <w:r>
                                      <w:rPr>
                                        <w:rFonts w:ascii="Helvetica" w:eastAsia="Times New Roman" w:hAnsi="Helvetica" w:cs="Helvetica"/>
                                        <w:color w:val="F2F2F2"/>
                                        <w:sz w:val="21"/>
                                        <w:szCs w:val="21"/>
                                      </w:rPr>
                                      <w:t xml:space="preserve"> </w:t>
                                    </w:r>
                                  </w:p>
                                </w:tc>
                              </w:tr>
                            </w:tbl>
                            <w:p w14:paraId="6E9577F8" w14:textId="77777777" w:rsidR="00686391" w:rsidRDefault="00686391">
                              <w:pPr>
                                <w:rPr>
                                  <w:rFonts w:ascii="Times New Roman" w:eastAsia="Times New Roman" w:hAnsi="Times New Roman" w:cs="Times New Roman"/>
                                  <w:sz w:val="20"/>
                                  <w:szCs w:val="20"/>
                                </w:rPr>
                              </w:pPr>
                            </w:p>
                          </w:tc>
                        </w:tr>
                      </w:tbl>
                      <w:p w14:paraId="63588B37" w14:textId="77777777" w:rsidR="00686391" w:rsidRDefault="00686391">
                        <w:pPr>
                          <w:rPr>
                            <w:rFonts w:ascii="Times New Roman" w:eastAsia="Times New Roman" w:hAnsi="Times New Roman" w:cs="Times New Roman"/>
                            <w:sz w:val="20"/>
                            <w:szCs w:val="20"/>
                          </w:rPr>
                        </w:pPr>
                      </w:p>
                    </w:tc>
                  </w:tr>
                </w:tbl>
                <w:p w14:paraId="2946B23C" w14:textId="77777777" w:rsidR="00686391" w:rsidRDefault="00686391">
                  <w:pPr>
                    <w:jc w:val="center"/>
                    <w:rPr>
                      <w:rFonts w:ascii="Times New Roman" w:eastAsia="Times New Roman" w:hAnsi="Times New Roman" w:cs="Times New Roman"/>
                      <w:sz w:val="20"/>
                      <w:szCs w:val="20"/>
                    </w:rPr>
                  </w:pPr>
                </w:p>
              </w:tc>
            </w:tr>
          </w:tbl>
          <w:p w14:paraId="1793DFC5" w14:textId="77777777" w:rsidR="00686391" w:rsidRDefault="00686391">
            <w:pPr>
              <w:rPr>
                <w:rFonts w:ascii="Times New Roman" w:eastAsia="Times New Roman" w:hAnsi="Times New Roman" w:cs="Times New Roman"/>
                <w:sz w:val="20"/>
                <w:szCs w:val="20"/>
              </w:rPr>
            </w:pPr>
          </w:p>
        </w:tc>
      </w:tr>
      <w:tr w:rsidR="00686391" w14:paraId="6145C072" w14:textId="77777777" w:rsidTr="00686391">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p w14:paraId="69FE7119" w14:textId="4BF4B2A0" w:rsidR="00686391" w:rsidRDefault="00686391">
            <w:pPr>
              <w:rPr>
                <w:rFonts w:eastAsia="Times New Roman"/>
                <w:noProof/>
              </w:rPr>
            </w:pPr>
          </w:p>
        </w:tc>
      </w:tr>
    </w:tbl>
    <w:p w14:paraId="4ECEB5B3" w14:textId="05B5E601" w:rsidR="005579EC" w:rsidRDefault="00686391" w:rsidP="00686391"/>
    <w:p w14:paraId="2E457314" w14:textId="77777777" w:rsidR="00686391" w:rsidRDefault="00686391" w:rsidP="00686391"/>
    <w:sectPr w:rsidR="00686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91"/>
    <w:rsid w:val="00272C83"/>
    <w:rsid w:val="00686391"/>
    <w:rsid w:val="00C7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D915"/>
  <w15:chartTrackingRefBased/>
  <w15:docId w15:val="{4696FFD0-0BDE-453A-B9A1-CF82155F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391"/>
    <w:rPr>
      <w:b/>
      <w:bCs/>
    </w:rPr>
  </w:style>
  <w:style w:type="character" w:styleId="Hyperlink">
    <w:name w:val="Hyperlink"/>
    <w:basedOn w:val="DefaultParagraphFont"/>
    <w:uiPriority w:val="99"/>
    <w:semiHidden/>
    <w:unhideWhenUsed/>
    <w:rsid w:val="00686391"/>
    <w:rPr>
      <w:color w:val="0000FF"/>
      <w:u w:val="single"/>
    </w:rPr>
  </w:style>
  <w:style w:type="character" w:styleId="Emphasis">
    <w:name w:val="Emphasis"/>
    <w:basedOn w:val="DefaultParagraphFont"/>
    <w:uiPriority w:val="20"/>
    <w:qFormat/>
    <w:rsid w:val="00686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8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us11.list-manage.com/track/click?u=0e9e2209abd5f7062568d9a19&amp;id=16439e6f90&amp;e=7d79ed05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ss.us11.list-manage.com/track/click?u=0e9e2209abd5f7062568d9a19&amp;id=447df7b4c2&amp;e=7d79ed05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s.us11.list-manage.com/track/click?u=0e9e2209abd5f7062568d9a19&amp;id=3de16dd346&amp;e=7d79ed0572" TargetMode="External"/><Relationship Id="rId11" Type="http://schemas.openxmlformats.org/officeDocument/2006/relationships/hyperlink" Target="https://mass.us11.list-manage.com/track/click?u=0e9e2209abd5f7062568d9a19&amp;id=9a5b2a8351&amp;e=7d79ed0572" TargetMode="External"/><Relationship Id="rId5" Type="http://schemas.openxmlformats.org/officeDocument/2006/relationships/hyperlink" Target="https://mass.us11.list-manage.com/track/click?u=0e9e2209abd5f7062568d9a19&amp;id=1b7697797e&amp;e=7d79ed0572" TargetMode="External"/><Relationship Id="rId10" Type="http://schemas.openxmlformats.org/officeDocument/2006/relationships/hyperlink" Target="https://mass.us11.list-manage.com/track/click?u=0e9e2209abd5f7062568d9a19&amp;id=c6e82f33d0&amp;e=7d79ed0572" TargetMode="External"/><Relationship Id="rId4" Type="http://schemas.openxmlformats.org/officeDocument/2006/relationships/image" Target="media/image1.png"/><Relationship Id="rId9" Type="http://schemas.openxmlformats.org/officeDocument/2006/relationships/hyperlink" Target="https://mass.us11.list-manage.com/track/click?u=0e9e2209abd5f7062568d9a19&amp;id=c5070a5bf3&amp;e=7d79ed0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3586</Characters>
  <Application>Microsoft Office Word</Application>
  <DocSecurity>0</DocSecurity>
  <Lines>29</Lines>
  <Paragraphs>8</Paragraphs>
  <ScaleCrop>false</ScaleCrop>
  <Company>Commonwealth of Massachusetts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Ellen M. (DOR)</dc:creator>
  <cp:keywords/>
  <dc:description/>
  <cp:lastModifiedBy>Cummings, Ellen M. (DOR)</cp:lastModifiedBy>
  <cp:revision>1</cp:revision>
  <dcterms:created xsi:type="dcterms:W3CDTF">2020-08-20T17:05:00Z</dcterms:created>
  <dcterms:modified xsi:type="dcterms:W3CDTF">2020-08-20T17:06:00Z</dcterms:modified>
</cp:coreProperties>
</file>