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4A0" w:firstRow="1" w:lastRow="0" w:firstColumn="1" w:lastColumn="0" w:noHBand="0" w:noVBand="1"/>
      </w:tblPr>
      <w:tblGrid>
        <w:gridCol w:w="9000"/>
      </w:tblGrid>
      <w:tr w:rsidR="008D5C8B" w14:paraId="62DF684D" w14:textId="77777777" w:rsidTr="008D5C8B">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D5C8B" w14:paraId="477A6ED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C8B" w14:paraId="1FC3AB6E" w14:textId="77777777">
                    <w:tc>
                      <w:tcPr>
                        <w:tcW w:w="0" w:type="auto"/>
                        <w:hideMark/>
                      </w:tcPr>
                      <w:p w14:paraId="39056A16" w14:textId="429CC8A0" w:rsidR="008D5C8B" w:rsidRDefault="008D5C8B">
                        <w:pPr>
                          <w:jc w:val="center"/>
                        </w:pPr>
                        <w:r>
                          <w:rPr>
                            <w:noProof/>
                          </w:rPr>
                          <w:drawing>
                            <wp:inline distT="0" distB="0" distL="0" distR="0" wp14:anchorId="7250AB6A" wp14:editId="2FDCBF1F">
                              <wp:extent cx="5713095" cy="19069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095" cy="1906905"/>
                                      </a:xfrm>
                                      <a:prstGeom prst="rect">
                                        <a:avLst/>
                                      </a:prstGeom>
                                      <a:noFill/>
                                      <a:ln>
                                        <a:noFill/>
                                      </a:ln>
                                    </pic:spPr>
                                  </pic:pic>
                                </a:graphicData>
                              </a:graphic>
                            </wp:inline>
                          </w:drawing>
                        </w:r>
                      </w:p>
                    </w:tc>
                  </w:tr>
                </w:tbl>
                <w:p w14:paraId="309461D8" w14:textId="77777777" w:rsidR="008D5C8B" w:rsidRDefault="008D5C8B">
                  <w:pPr>
                    <w:rPr>
                      <w:rFonts w:ascii="Times New Roman" w:eastAsia="Times New Roman" w:hAnsi="Times New Roman" w:cs="Times New Roman"/>
                      <w:sz w:val="20"/>
                      <w:szCs w:val="20"/>
                    </w:rPr>
                  </w:pPr>
                </w:p>
              </w:tc>
            </w:tr>
          </w:tbl>
          <w:p w14:paraId="3EFBF47E" w14:textId="77777777" w:rsidR="008D5C8B" w:rsidRDefault="008D5C8B">
            <w:pPr>
              <w:rPr>
                <w:rFonts w:ascii="Times New Roman" w:eastAsia="Times New Roman" w:hAnsi="Times New Roman" w:cs="Times New Roman"/>
                <w:sz w:val="20"/>
                <w:szCs w:val="20"/>
              </w:rPr>
            </w:pPr>
          </w:p>
        </w:tc>
      </w:tr>
      <w:tr w:rsidR="008D5C8B" w14:paraId="3FD88376" w14:textId="77777777" w:rsidTr="008D5C8B">
        <w:trPr>
          <w:jc w:val="center"/>
        </w:trPr>
        <w:tc>
          <w:tcPr>
            <w:tcW w:w="0" w:type="auto"/>
            <w:shd w:val="clear" w:color="auto" w:fill="FFFFFF"/>
            <w:tcMar>
              <w:top w:w="135" w:type="dxa"/>
              <w:left w:w="0" w:type="dxa"/>
              <w:bottom w:w="0" w:type="dxa"/>
              <w:right w:w="0" w:type="dxa"/>
            </w:tcMar>
            <w:hideMark/>
          </w:tcPr>
          <w:p w14:paraId="2FB14CB5" w14:textId="77777777" w:rsidR="008D5C8B" w:rsidRDefault="008D5C8B">
            <w:pPr>
              <w:rPr>
                <w:rFonts w:ascii="Times New Roman" w:eastAsia="Times New Roman" w:hAnsi="Times New Roman" w:cs="Times New Roman"/>
                <w:sz w:val="20"/>
                <w:szCs w:val="20"/>
              </w:rPr>
            </w:pPr>
          </w:p>
        </w:tc>
      </w:tr>
      <w:tr w:rsidR="008D5C8B" w14:paraId="2988FBA8" w14:textId="77777777" w:rsidTr="008D5C8B">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D5C8B" w14:paraId="632BCE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D5C8B" w14:paraId="5F4DE05D" w14:textId="77777777">
                    <w:tc>
                      <w:tcPr>
                        <w:tcW w:w="9000" w:type="dxa"/>
                        <w:hideMark/>
                      </w:tcPr>
                      <w:p w14:paraId="67169B58" w14:textId="77777777" w:rsidR="00CD0637" w:rsidRDefault="00CD0637"/>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C8B" w14:paraId="332B1FAE" w14:textId="77777777">
                          <w:tc>
                            <w:tcPr>
                              <w:tcW w:w="0" w:type="auto"/>
                              <w:tcMar>
                                <w:top w:w="0" w:type="dxa"/>
                                <w:left w:w="270" w:type="dxa"/>
                                <w:bottom w:w="135" w:type="dxa"/>
                                <w:right w:w="270" w:type="dxa"/>
                              </w:tcMar>
                              <w:hideMark/>
                            </w:tcPr>
                            <w:p w14:paraId="7038192F" w14:textId="77777777" w:rsidR="008D5C8B" w:rsidRDefault="008D5C8B">
                              <w:pPr>
                                <w:spacing w:line="360" w:lineRule="auto"/>
                                <w:rPr>
                                  <w:rFonts w:ascii="Helvetica" w:hAnsi="Helvetica" w:cs="Helvetica"/>
                                  <w:color w:val="202020"/>
                                  <w:sz w:val="24"/>
                                  <w:szCs w:val="24"/>
                                </w:rPr>
                              </w:pPr>
                              <w:r>
                                <w:rPr>
                                  <w:rStyle w:val="Strong"/>
                                  <w:rFonts w:ascii="Georgia" w:hAnsi="Georgia"/>
                                  <w:color w:val="202020"/>
                                  <w:sz w:val="24"/>
                                  <w:szCs w:val="24"/>
                                </w:rPr>
                                <w:t>Filing season is on the way - make it an electronic one</w:t>
                              </w:r>
                              <w:r>
                                <w:rPr>
                                  <w:rFonts w:ascii="Georgia" w:hAnsi="Georgia"/>
                                  <w:color w:val="202020"/>
                                  <w:sz w:val="24"/>
                                  <w:szCs w:val="24"/>
                                </w:rPr>
                                <w:br/>
                              </w:r>
                              <w:proofErr w:type="gramStart"/>
                              <w:r>
                                <w:rPr>
                                  <w:rFonts w:ascii="Georgia" w:hAnsi="Georgia"/>
                                  <w:color w:val="202020"/>
                                  <w:sz w:val="24"/>
                                  <w:szCs w:val="24"/>
                                </w:rPr>
                                <w:t>We’ll</w:t>
                              </w:r>
                              <w:proofErr w:type="gramEnd"/>
                              <w:r>
                                <w:rPr>
                                  <w:rFonts w:ascii="Georgia" w:hAnsi="Georgia"/>
                                  <w:color w:val="202020"/>
                                  <w:sz w:val="24"/>
                                  <w:szCs w:val="24"/>
                                </w:rPr>
                                <w:t xml:space="preserve"> begin accepting electronic income tax filings when the IRS opens in January. Once we know the date, </w:t>
                              </w:r>
                              <w:proofErr w:type="gramStart"/>
                              <w:r>
                                <w:rPr>
                                  <w:rFonts w:ascii="Georgia" w:hAnsi="Georgia"/>
                                  <w:color w:val="202020"/>
                                  <w:sz w:val="24"/>
                                  <w:szCs w:val="24"/>
                                </w:rPr>
                                <w:t>we’ll</w:t>
                              </w:r>
                              <w:proofErr w:type="gramEnd"/>
                              <w:r>
                                <w:rPr>
                                  <w:rFonts w:ascii="Georgia" w:hAnsi="Georgia"/>
                                  <w:color w:val="202020"/>
                                  <w:sz w:val="24"/>
                                  <w:szCs w:val="24"/>
                                </w:rPr>
                                <w:t xml:space="preserve"> post it on our website.  Of course, we continue to accept paper returns, but for so many reasons we urge taxpayers to submit electronically. Returns can be done through a </w:t>
                              </w:r>
                              <w:hyperlink r:id="rId5" w:history="1">
                                <w:r>
                                  <w:rPr>
                                    <w:rStyle w:val="Hyperlink"/>
                                    <w:rFonts w:ascii="Georgia" w:hAnsi="Georgia"/>
                                    <w:color w:val="007C89"/>
                                    <w:sz w:val="24"/>
                                    <w:szCs w:val="24"/>
                                  </w:rPr>
                                  <w:t>tax practitioner</w:t>
                                </w:r>
                              </w:hyperlink>
                              <w:r>
                                <w:rPr>
                                  <w:rFonts w:ascii="Georgia" w:hAnsi="Georgia"/>
                                  <w:color w:val="202020"/>
                                  <w:sz w:val="24"/>
                                  <w:szCs w:val="24"/>
                                </w:rPr>
                                <w:t xml:space="preserve"> or using one of the </w:t>
                              </w:r>
                              <w:hyperlink r:id="rId6" w:history="1">
                                <w:r>
                                  <w:rPr>
                                    <w:rStyle w:val="Hyperlink"/>
                                    <w:rFonts w:ascii="Georgia" w:hAnsi="Georgia"/>
                                    <w:color w:val="007C89"/>
                                    <w:sz w:val="24"/>
                                    <w:szCs w:val="24"/>
                                  </w:rPr>
                                  <w:t>free options</w:t>
                                </w:r>
                              </w:hyperlink>
                              <w:r>
                                <w:rPr>
                                  <w:rFonts w:ascii="Georgia" w:hAnsi="Georgia"/>
                                  <w:color w:val="202020"/>
                                  <w:sz w:val="24"/>
                                  <w:szCs w:val="24"/>
                                </w:rPr>
                                <w:t xml:space="preserve"> available, refunds are faster, it’s secure, no trip to the post office, electronic receipt…I’ll stop there but there are more.</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Electronic signatures – yes, you can</w:t>
                              </w:r>
                              <w:r>
                                <w:rPr>
                                  <w:rFonts w:ascii="Georgia" w:hAnsi="Georgia"/>
                                  <w:color w:val="202020"/>
                                  <w:sz w:val="24"/>
                                  <w:szCs w:val="24"/>
                                </w:rPr>
                                <w:br/>
                                <w:t xml:space="preserve">The submission of an electronic signature is a convenience that is particularly important these days. When a taxpayer submits an electronic signature to DOR, whether it’s for a Power of Attorney, related to an abatement or for some other reason, they will include a statement in the email or an attached letter </w:t>
                              </w:r>
                              <w:hyperlink r:id="rId7" w:history="1">
                                <w:r>
                                  <w:rPr>
                                    <w:rStyle w:val="Hyperlink"/>
                                    <w:rFonts w:ascii="Georgia" w:hAnsi="Georgia"/>
                                    <w:color w:val="007C89"/>
                                    <w:sz w:val="24"/>
                                    <w:szCs w:val="24"/>
                                  </w:rPr>
                                  <w:t>as outlined by DOR</w:t>
                                </w:r>
                              </w:hyperlink>
                              <w:r>
                                <w:rPr>
                                  <w:rFonts w:ascii="Georgia" w:hAnsi="Georgia"/>
                                  <w:color w:val="202020"/>
                                  <w:sz w:val="24"/>
                                  <w:szCs w:val="24"/>
                                </w:rPr>
                                <w:t xml:space="preserve"> before submitting it.</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Reminder about PPP loans forgiveness</w:t>
                              </w:r>
                              <w:r>
                                <w:rPr>
                                  <w:rFonts w:ascii="Georgia" w:hAnsi="Georgia"/>
                                  <w:color w:val="202020"/>
                                  <w:sz w:val="24"/>
                                  <w:szCs w:val="24"/>
                                </w:rPr>
                                <w:br/>
                                <w:t xml:space="preserve">Just a reminder that the Federal CARES Act provides loan forgiveness to small businesses for certain Paycheck Protection Program (PPP) loans. For individual taxpayers, PPP loan forgiveness is taxable income on your Massachusetts return.  Take a look at the </w:t>
                              </w:r>
                              <w:hyperlink r:id="rId8" w:history="1">
                                <w:r>
                                  <w:rPr>
                                    <w:rStyle w:val="Hyperlink"/>
                                    <w:rFonts w:ascii="Georgia" w:hAnsi="Georgia"/>
                                    <w:color w:val="007C89"/>
                                    <w:sz w:val="24"/>
                                    <w:szCs w:val="24"/>
                                  </w:rPr>
                                  <w:t>DOR guidance</w:t>
                                </w:r>
                              </w:hyperlink>
                              <w:r>
                                <w:rPr>
                                  <w:rFonts w:ascii="Georgia" w:hAnsi="Georgia"/>
                                  <w:color w:val="202020"/>
                                  <w:sz w:val="24"/>
                                  <w:szCs w:val="24"/>
                                </w:rPr>
                                <w:t xml:space="preserve"> on this issue and more.</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lastRenderedPageBreak/>
                                <w:t>One more reminder – 1099s</w:t>
                              </w:r>
                              <w:r>
                                <w:rPr>
                                  <w:rFonts w:ascii="Georgia" w:hAnsi="Georgia"/>
                                  <w:color w:val="202020"/>
                                  <w:sz w:val="24"/>
                                  <w:szCs w:val="24"/>
                                </w:rPr>
                                <w:br/>
                                <w:t xml:space="preserve">It’s worth noting that beginning with tax year 2020, Form 1099-NEC is used when reporting nonemployee compensation. There’s </w:t>
                              </w:r>
                              <w:hyperlink r:id="rId9" w:history="1">
                                <w:r>
                                  <w:rPr>
                                    <w:rStyle w:val="Hyperlink"/>
                                    <w:rFonts w:ascii="Georgia" w:hAnsi="Georgia"/>
                                    <w:color w:val="007C89"/>
                                    <w:sz w:val="24"/>
                                    <w:szCs w:val="24"/>
                                  </w:rPr>
                                  <w:t>more information</w:t>
                                </w:r>
                              </w:hyperlink>
                              <w:r>
                                <w:rPr>
                                  <w:rFonts w:ascii="Georgia" w:hAnsi="Georgia"/>
                                  <w:color w:val="202020"/>
                                  <w:sz w:val="24"/>
                                  <w:szCs w:val="24"/>
                                </w:rPr>
                                <w:t xml:space="preserve"> about Massachusetts filing requirements for Form 1099 on our website. </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Have short-term rental property or lodging on Cape Cod?</w:t>
                              </w:r>
                              <w:r>
                                <w:rPr>
                                  <w:rFonts w:ascii="Georgia" w:hAnsi="Georgia"/>
                                  <w:color w:val="202020"/>
                                  <w:sz w:val="24"/>
                                  <w:szCs w:val="24"/>
                                </w:rPr>
                                <w:br/>
                                <w:t xml:space="preserve">There’s new legislation that gives eligible operators until January 15, 2021 to file a claim for abatement. The abatement is for the payment of the Cape Cod and Islands Water Protection Fund excise for an occupancy on a reservation that was made before January 1, 2019. You can </w:t>
                              </w:r>
                              <w:hyperlink r:id="rId10" w:history="1">
                                <w:r>
                                  <w:rPr>
                                    <w:rStyle w:val="Hyperlink"/>
                                    <w:rFonts w:ascii="Georgia" w:hAnsi="Georgia"/>
                                    <w:color w:val="007C89"/>
                                    <w:sz w:val="24"/>
                                    <w:szCs w:val="24"/>
                                  </w:rPr>
                                  <w:t>check out the eligibility requirements and the process</w:t>
                                </w:r>
                              </w:hyperlink>
                              <w:r>
                                <w:rPr>
                                  <w:rFonts w:ascii="Georgia" w:hAnsi="Georgia"/>
                                  <w:color w:val="202020"/>
                                  <w:sz w:val="24"/>
                                  <w:szCs w:val="24"/>
                                </w:rPr>
                                <w:t xml:space="preserve"> for getting the money back.</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t>Upgrade communications are out to taxpayers and third parties</w:t>
                              </w:r>
                              <w:r>
                                <w:rPr>
                                  <w:rFonts w:ascii="Georgia" w:hAnsi="Georgia"/>
                                  <w:color w:val="202020"/>
                                  <w:sz w:val="24"/>
                                  <w:szCs w:val="24"/>
                                </w:rPr>
                                <w:br/>
                                <w:t xml:space="preserve">Last month we announced that an upgrade to MassTaxConnect (MTC) is coming on January 19, 2021 with a new look and new functions. We are alerting taxpayers and third parties with MTC logons by email about the change. In all, three emails will go out in December and January. Each one will highlight a different feature of the upgrade. Information is available on the upgrade </w:t>
                              </w:r>
                              <w:hyperlink r:id="rId11" w:history="1">
                                <w:r>
                                  <w:rPr>
                                    <w:rStyle w:val="Hyperlink"/>
                                    <w:rFonts w:ascii="Georgia" w:hAnsi="Georgia"/>
                                    <w:color w:val="007C89"/>
                                    <w:sz w:val="24"/>
                                    <w:szCs w:val="24"/>
                                  </w:rPr>
                                  <w:t>webpage</w:t>
                                </w:r>
                              </w:hyperlink>
                              <w:r>
                                <w:rPr>
                                  <w:rFonts w:ascii="Georgia" w:hAnsi="Georgia"/>
                                  <w:color w:val="202020"/>
                                  <w:sz w:val="24"/>
                                  <w:szCs w:val="24"/>
                                </w:rPr>
                                <w:t xml:space="preserve">, including FAQs and a </w:t>
                              </w:r>
                              <w:hyperlink r:id="rId12" w:history="1">
                                <w:r>
                                  <w:rPr>
                                    <w:rStyle w:val="Hyperlink"/>
                                    <w:rFonts w:ascii="Georgia" w:hAnsi="Georgia"/>
                                    <w:color w:val="007C89"/>
                                    <w:sz w:val="24"/>
                                    <w:szCs w:val="24"/>
                                  </w:rPr>
                                  <w:t>sneak preview</w:t>
                                </w:r>
                              </w:hyperlink>
                              <w:r>
                                <w:rPr>
                                  <w:rFonts w:ascii="Georgia" w:hAnsi="Georgia"/>
                                  <w:color w:val="202020"/>
                                  <w:sz w:val="24"/>
                                  <w:szCs w:val="24"/>
                                </w:rPr>
                                <w:t xml:space="preserve"> of some of the changes. Current </w:t>
                              </w:r>
                              <w:hyperlink r:id="rId13" w:history="1">
                                <w:r>
                                  <w:rPr>
                                    <w:rStyle w:val="Hyperlink"/>
                                    <w:rFonts w:ascii="Georgia" w:hAnsi="Georgia"/>
                                    <w:color w:val="007C89"/>
                                    <w:sz w:val="24"/>
                                    <w:szCs w:val="24"/>
                                  </w:rPr>
                                  <w:t>video tutorials</w:t>
                                </w:r>
                              </w:hyperlink>
                              <w:r>
                                <w:rPr>
                                  <w:rFonts w:ascii="Georgia" w:hAnsi="Georgia"/>
                                  <w:color w:val="202020"/>
                                  <w:sz w:val="24"/>
                                  <w:szCs w:val="24"/>
                                </w:rPr>
                                <w:t xml:space="preserve"> are being updated and new ones will be available on January 19.</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Software vendor testing has begun</w:t>
                              </w:r>
                              <w:r>
                                <w:rPr>
                                  <w:rFonts w:ascii="Georgia" w:hAnsi="Georgia"/>
                                  <w:color w:val="202020"/>
                                  <w:sz w:val="24"/>
                                  <w:szCs w:val="24"/>
                                </w:rPr>
                                <w:br/>
                                <w:t xml:space="preserve">Early birds have already begun showing up to start the software vendor process – for 2D as well. You can </w:t>
                              </w:r>
                              <w:hyperlink r:id="rId14" w:history="1">
                                <w:r>
                                  <w:rPr>
                                    <w:rStyle w:val="Hyperlink"/>
                                    <w:rFonts w:ascii="Georgia" w:hAnsi="Georgia"/>
                                    <w:color w:val="007C89"/>
                                    <w:sz w:val="24"/>
                                    <w:szCs w:val="24"/>
                                  </w:rPr>
                                  <w:t>follow their progress</w:t>
                                </w:r>
                              </w:hyperlink>
                              <w:r>
                                <w:rPr>
                                  <w:rFonts w:ascii="Georgia" w:hAnsi="Georgia"/>
                                  <w:color w:val="202020"/>
                                  <w:sz w:val="24"/>
                                  <w:szCs w:val="24"/>
                                </w:rPr>
                                <w:t xml:space="preserve"> to know when software developers have completed the process. </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Shutdown for business returns</w:t>
                              </w:r>
                              <w:r>
                                <w:rPr>
                                  <w:rFonts w:ascii="Georgia" w:hAnsi="Georgia"/>
                                  <w:color w:val="202020"/>
                                  <w:sz w:val="24"/>
                                  <w:szCs w:val="24"/>
                                </w:rPr>
                                <w:br/>
                                <w:t xml:space="preserve">The annual shutdown of the IRS’s MeF system for businesses to “Send Submissions” will start at 11:59 a.m. EST on Saturday, December 26, 2020. Since Massachusetts receives electronically filed forms through the MeF </w:t>
                              </w:r>
                              <w:r>
                                <w:rPr>
                                  <w:rFonts w:ascii="Georgia" w:hAnsi="Georgia"/>
                                  <w:color w:val="202020"/>
                                  <w:sz w:val="24"/>
                                  <w:szCs w:val="24"/>
                                </w:rPr>
                                <w:lastRenderedPageBreak/>
                                <w:t xml:space="preserve">system, no returns can be filed until the IRS reopens to allow businesses to send submissions. You’ll find </w:t>
                              </w:r>
                              <w:hyperlink r:id="rId15" w:history="1">
                                <w:r>
                                  <w:rPr>
                                    <w:rStyle w:val="Hyperlink"/>
                                    <w:rFonts w:ascii="Georgia" w:hAnsi="Georgia"/>
                                    <w:color w:val="007C89"/>
                                    <w:sz w:val="24"/>
                                    <w:szCs w:val="24"/>
                                  </w:rPr>
                                  <w:t>more information</w:t>
                                </w:r>
                              </w:hyperlink>
                              <w:r>
                                <w:rPr>
                                  <w:rFonts w:ascii="Georgia" w:hAnsi="Georgia"/>
                                  <w:color w:val="202020"/>
                                  <w:sz w:val="24"/>
                                  <w:szCs w:val="24"/>
                                </w:rPr>
                                <w:t xml:space="preserve"> on the IRS website.</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t>Our best wishes to you and your family for health and happiness in the coming year.</w:t>
                              </w:r>
                            </w:p>
                          </w:tc>
                        </w:tr>
                      </w:tbl>
                      <w:p w14:paraId="186B1694" w14:textId="77777777" w:rsidR="008D5C8B" w:rsidRDefault="008D5C8B">
                        <w:pPr>
                          <w:rPr>
                            <w:rFonts w:ascii="Times New Roman" w:eastAsia="Times New Roman" w:hAnsi="Times New Roman" w:cs="Times New Roman"/>
                            <w:sz w:val="20"/>
                            <w:szCs w:val="20"/>
                          </w:rPr>
                        </w:pPr>
                      </w:p>
                    </w:tc>
                  </w:tr>
                </w:tbl>
                <w:p w14:paraId="49A53D41" w14:textId="77777777" w:rsidR="008D5C8B" w:rsidRDefault="008D5C8B">
                  <w:pPr>
                    <w:rPr>
                      <w:rFonts w:ascii="Times New Roman" w:eastAsia="Times New Roman" w:hAnsi="Times New Roman" w:cs="Times New Roman"/>
                      <w:sz w:val="20"/>
                      <w:szCs w:val="20"/>
                    </w:rPr>
                  </w:pPr>
                </w:p>
              </w:tc>
            </w:tr>
          </w:tbl>
          <w:p w14:paraId="22ADBADB" w14:textId="77777777" w:rsidR="008D5C8B" w:rsidRDefault="008D5C8B"/>
          <w:tbl>
            <w:tblPr>
              <w:tblW w:w="5000" w:type="pct"/>
              <w:tblCellMar>
                <w:left w:w="0" w:type="dxa"/>
                <w:right w:w="0" w:type="dxa"/>
              </w:tblCellMar>
              <w:tblLook w:val="04A0" w:firstRow="1" w:lastRow="0" w:firstColumn="1" w:lastColumn="0" w:noHBand="0" w:noVBand="1"/>
            </w:tblPr>
            <w:tblGrid>
              <w:gridCol w:w="9000"/>
            </w:tblGrid>
            <w:tr w:rsidR="008D5C8B" w14:paraId="410EE84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8D5C8B" w14:paraId="78040CFF" w14:textId="77777777">
                    <w:trPr>
                      <w:jc w:val="center"/>
                    </w:trPr>
                    <w:tc>
                      <w:tcPr>
                        <w:tcW w:w="0" w:type="auto"/>
                        <w:hideMark/>
                      </w:tcPr>
                      <w:p w14:paraId="7DE620D9" w14:textId="77777777" w:rsidR="008D5C8B" w:rsidRDefault="008D5C8B"/>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7"/>
                        </w:tblGrid>
                        <w:tr w:rsidR="008D5C8B" w14:paraId="0CA666BE" w14:textId="77777777">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447"/>
                              </w:tblGrid>
                              <w:tr w:rsidR="008D5C8B" w14:paraId="593D77B1" w14:textId="77777777">
                                <w:tc>
                                  <w:tcPr>
                                    <w:tcW w:w="0" w:type="auto"/>
                                    <w:shd w:val="clear" w:color="auto" w:fill="1A7097"/>
                                    <w:tcMar>
                                      <w:top w:w="270" w:type="dxa"/>
                                      <w:left w:w="270" w:type="dxa"/>
                                      <w:bottom w:w="270" w:type="dxa"/>
                                      <w:right w:w="270" w:type="dxa"/>
                                    </w:tcMar>
                                    <w:hideMark/>
                                  </w:tcPr>
                                  <w:p w14:paraId="00871501" w14:textId="77777777" w:rsidR="008D5C8B" w:rsidRDefault="008D5C8B">
                                    <w:pPr>
                                      <w:spacing w:line="360" w:lineRule="auto"/>
                                      <w:jc w:val="center"/>
                                      <w:rPr>
                                        <w:rFonts w:ascii="Helvetica" w:hAnsi="Helvetica" w:cs="Helvetica"/>
                                        <w:color w:val="F2F2F2"/>
                                        <w:sz w:val="21"/>
                                        <w:szCs w:val="21"/>
                                      </w:rPr>
                                    </w:pPr>
                                    <w:r>
                                      <w:rPr>
                                        <w:rStyle w:val="Strong"/>
                                        <w:rFonts w:ascii="Helvetica" w:hAnsi="Helvetica" w:cs="Helvetica"/>
                                        <w:color w:val="F2F2F2"/>
                                        <w:sz w:val="23"/>
                                        <w:szCs w:val="23"/>
                                      </w:rPr>
                                      <w:t>DOR News - December 2020 </w:t>
                                    </w:r>
                                    <w:r>
                                      <w:rPr>
                                        <w:rFonts w:ascii="Helvetica" w:hAnsi="Helvetica" w:cs="Helvetica"/>
                                        <w:color w:val="F2F2F2"/>
                                        <w:sz w:val="21"/>
                                        <w:szCs w:val="21"/>
                                      </w:rPr>
                                      <w:t xml:space="preserve"> </w:t>
                                    </w:r>
                                  </w:p>
                                </w:tc>
                              </w:tr>
                            </w:tbl>
                            <w:p w14:paraId="2625A136" w14:textId="77777777" w:rsidR="008D5C8B" w:rsidRDefault="008D5C8B">
                              <w:pPr>
                                <w:rPr>
                                  <w:rFonts w:ascii="Times New Roman" w:eastAsia="Times New Roman" w:hAnsi="Times New Roman" w:cs="Times New Roman"/>
                                  <w:sz w:val="20"/>
                                  <w:szCs w:val="20"/>
                                </w:rPr>
                              </w:pPr>
                            </w:p>
                          </w:tc>
                        </w:tr>
                      </w:tbl>
                      <w:p w14:paraId="66C03D7F" w14:textId="77777777" w:rsidR="008D5C8B" w:rsidRDefault="008D5C8B">
                        <w:pPr>
                          <w:rPr>
                            <w:rFonts w:ascii="Times New Roman" w:eastAsia="Times New Roman" w:hAnsi="Times New Roman" w:cs="Times New Roman"/>
                            <w:sz w:val="20"/>
                            <w:szCs w:val="20"/>
                          </w:rPr>
                        </w:pPr>
                      </w:p>
                    </w:tc>
                  </w:tr>
                </w:tbl>
                <w:p w14:paraId="4E738700" w14:textId="77777777" w:rsidR="008D5C8B" w:rsidRDefault="008D5C8B">
                  <w:pPr>
                    <w:jc w:val="center"/>
                    <w:rPr>
                      <w:rFonts w:ascii="Times New Roman" w:eastAsia="Times New Roman" w:hAnsi="Times New Roman" w:cs="Times New Roman"/>
                      <w:sz w:val="20"/>
                      <w:szCs w:val="20"/>
                    </w:rPr>
                  </w:pPr>
                </w:p>
              </w:tc>
            </w:tr>
          </w:tbl>
          <w:p w14:paraId="73F217D3" w14:textId="77777777" w:rsidR="008D5C8B" w:rsidRDefault="008D5C8B">
            <w:pPr>
              <w:rPr>
                <w:rFonts w:ascii="Times New Roman" w:hAnsi="Times New Roman" w:cs="Times New Roman"/>
                <w:sz w:val="24"/>
                <w:szCs w:val="24"/>
              </w:rPr>
            </w:pPr>
          </w:p>
        </w:tc>
      </w:tr>
      <w:tr w:rsidR="008D5C8B" w14:paraId="0E88B47E" w14:textId="77777777" w:rsidTr="008D5C8B">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D5C8B" w14:paraId="629A532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D5C8B" w14:paraId="6E54FCB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D5C8B" w14:paraId="645A231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54"/>
                              </w:tblGrid>
                              <w:tr w:rsidR="008D5C8B" w14:paraId="0B5697C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6"/>
                                      <w:gridCol w:w="876"/>
                                      <w:gridCol w:w="876"/>
                                      <w:gridCol w:w="726"/>
                                    </w:tblGrid>
                                    <w:tr w:rsidR="008D5C8B" w14:paraId="64E521F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8D5C8B" w14:paraId="1AD93612" w14:textId="77777777">
                                            <w:tc>
                                              <w:tcPr>
                                                <w:tcW w:w="0" w:type="auto"/>
                                                <w:tcMar>
                                                  <w:top w:w="0" w:type="dxa"/>
                                                  <w:left w:w="0" w:type="dxa"/>
                                                  <w:bottom w:w="135" w:type="dxa"/>
                                                  <w:right w:w="150" w:type="dxa"/>
                                                </w:tcMar>
                                                <w:hideMark/>
                                              </w:tcPr>
                                              <w:p w14:paraId="072B1535" w14:textId="7497B132" w:rsidR="008D5C8B" w:rsidRDefault="008D5C8B">
                                                <w:pPr>
                                                  <w:jc w:val="center"/>
                                                </w:pPr>
                                                <w:r>
                                                  <w:rPr>
                                                    <w:noProof/>
                                                    <w:color w:val="0000FF"/>
                                                  </w:rPr>
                                                  <w:lastRenderedPageBreak/>
                                                  <w:drawing>
                                                    <wp:inline distT="0" distB="0" distL="0" distR="0" wp14:anchorId="1BCCF7D2" wp14:editId="65512224">
                                                      <wp:extent cx="461010" cy="461010"/>
                                                      <wp:effectExtent l="0" t="0" r="0" b="0"/>
                                                      <wp:docPr id="5" name="Picture 5"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14:paraId="19FC23A3" w14:textId="77777777" w:rsidR="008D5C8B" w:rsidRDefault="008D5C8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8D5C8B" w14:paraId="26B935E0" w14:textId="77777777">
                                            <w:tc>
                                              <w:tcPr>
                                                <w:tcW w:w="0" w:type="auto"/>
                                                <w:tcMar>
                                                  <w:top w:w="0" w:type="dxa"/>
                                                  <w:left w:w="0" w:type="dxa"/>
                                                  <w:bottom w:w="135" w:type="dxa"/>
                                                  <w:right w:w="150" w:type="dxa"/>
                                                </w:tcMar>
                                                <w:hideMark/>
                                              </w:tcPr>
                                              <w:p w14:paraId="78EFE88C" w14:textId="41BC7862" w:rsidR="008D5C8B" w:rsidRDefault="008D5C8B">
                                                <w:pPr>
                                                  <w:jc w:val="center"/>
                                                </w:pPr>
                                                <w:r>
                                                  <w:rPr>
                                                    <w:noProof/>
                                                    <w:color w:val="0000FF"/>
                                                  </w:rPr>
                                                  <w:drawing>
                                                    <wp:inline distT="0" distB="0" distL="0" distR="0" wp14:anchorId="214C05F0" wp14:editId="65246ED3">
                                                      <wp:extent cx="461010" cy="461010"/>
                                                      <wp:effectExtent l="0" t="0" r="0" b="0"/>
                                                      <wp:docPr id="4"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14:paraId="2A54A553" w14:textId="77777777" w:rsidR="008D5C8B" w:rsidRDefault="008D5C8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8D5C8B" w14:paraId="042F511F" w14:textId="77777777">
                                            <w:tc>
                                              <w:tcPr>
                                                <w:tcW w:w="0" w:type="auto"/>
                                                <w:tcMar>
                                                  <w:top w:w="0" w:type="dxa"/>
                                                  <w:left w:w="0" w:type="dxa"/>
                                                  <w:bottom w:w="135" w:type="dxa"/>
                                                  <w:right w:w="150" w:type="dxa"/>
                                                </w:tcMar>
                                                <w:hideMark/>
                                              </w:tcPr>
                                              <w:p w14:paraId="0C57178E" w14:textId="6180D3E4" w:rsidR="008D5C8B" w:rsidRDefault="008D5C8B">
                                                <w:pPr>
                                                  <w:jc w:val="center"/>
                                                </w:pPr>
                                                <w:r>
                                                  <w:rPr>
                                                    <w:noProof/>
                                                    <w:color w:val="0000FF"/>
                                                  </w:rPr>
                                                  <w:drawing>
                                                    <wp:inline distT="0" distB="0" distL="0" distR="0" wp14:anchorId="7C8C8912" wp14:editId="759147EA">
                                                      <wp:extent cx="461010" cy="461010"/>
                                                      <wp:effectExtent l="0" t="0" r="0" b="0"/>
                                                      <wp:docPr id="3" name="Picture 3" descr="Websit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14:paraId="2647BE06" w14:textId="77777777" w:rsidR="008D5C8B" w:rsidRDefault="008D5C8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6"/>
                                          </w:tblGrid>
                                          <w:tr w:rsidR="008D5C8B" w14:paraId="3BD9BC88" w14:textId="77777777">
                                            <w:tc>
                                              <w:tcPr>
                                                <w:tcW w:w="0" w:type="auto"/>
                                                <w:tcMar>
                                                  <w:top w:w="0" w:type="dxa"/>
                                                  <w:left w:w="0" w:type="dxa"/>
                                                  <w:bottom w:w="135" w:type="dxa"/>
                                                  <w:right w:w="0" w:type="dxa"/>
                                                </w:tcMar>
                                                <w:hideMark/>
                                              </w:tcPr>
                                              <w:p w14:paraId="2951A2A7" w14:textId="7929F584" w:rsidR="008D5C8B" w:rsidRDefault="008D5C8B">
                                                <w:pPr>
                                                  <w:jc w:val="center"/>
                                                </w:pPr>
                                                <w:r>
                                                  <w:rPr>
                                                    <w:noProof/>
                                                    <w:color w:val="0000FF"/>
                                                  </w:rPr>
                                                  <w:drawing>
                                                    <wp:inline distT="0" distB="0" distL="0" distR="0" wp14:anchorId="36738348" wp14:editId="7209B321">
                                                      <wp:extent cx="461010" cy="461010"/>
                                                      <wp:effectExtent l="0" t="0" r="0" b="0"/>
                                                      <wp:docPr id="2" name="Picture 2" descr="Instagram">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14:paraId="2B227B68" w14:textId="77777777" w:rsidR="008D5C8B" w:rsidRDefault="008D5C8B">
                                          <w:pPr>
                                            <w:rPr>
                                              <w:rFonts w:ascii="Times New Roman" w:eastAsia="Times New Roman" w:hAnsi="Times New Roman" w:cs="Times New Roman"/>
                                              <w:sz w:val="20"/>
                                              <w:szCs w:val="20"/>
                                            </w:rPr>
                                          </w:pPr>
                                        </w:p>
                                      </w:tc>
                                    </w:tr>
                                  </w:tbl>
                                  <w:p w14:paraId="4555E59D" w14:textId="77777777" w:rsidR="008D5C8B" w:rsidRDefault="008D5C8B">
                                    <w:pPr>
                                      <w:jc w:val="center"/>
                                      <w:rPr>
                                        <w:rFonts w:ascii="Times New Roman" w:eastAsia="Times New Roman" w:hAnsi="Times New Roman" w:cs="Times New Roman"/>
                                        <w:sz w:val="20"/>
                                        <w:szCs w:val="20"/>
                                      </w:rPr>
                                    </w:pPr>
                                  </w:p>
                                </w:tc>
                              </w:tr>
                            </w:tbl>
                            <w:p w14:paraId="140A25D5" w14:textId="77777777" w:rsidR="008D5C8B" w:rsidRDefault="008D5C8B">
                              <w:pPr>
                                <w:jc w:val="center"/>
                                <w:rPr>
                                  <w:rFonts w:ascii="Times New Roman" w:eastAsia="Times New Roman" w:hAnsi="Times New Roman" w:cs="Times New Roman"/>
                                  <w:sz w:val="20"/>
                                  <w:szCs w:val="20"/>
                                </w:rPr>
                              </w:pPr>
                            </w:p>
                          </w:tc>
                        </w:tr>
                      </w:tbl>
                      <w:p w14:paraId="7101D4FE" w14:textId="77777777" w:rsidR="008D5C8B" w:rsidRDefault="008D5C8B">
                        <w:pPr>
                          <w:jc w:val="center"/>
                          <w:rPr>
                            <w:rFonts w:ascii="Times New Roman" w:eastAsia="Times New Roman" w:hAnsi="Times New Roman" w:cs="Times New Roman"/>
                            <w:sz w:val="20"/>
                            <w:szCs w:val="20"/>
                          </w:rPr>
                        </w:pPr>
                      </w:p>
                    </w:tc>
                  </w:tr>
                </w:tbl>
                <w:p w14:paraId="4D702723" w14:textId="77777777" w:rsidR="008D5C8B" w:rsidRDefault="008D5C8B">
                  <w:pPr>
                    <w:jc w:val="center"/>
                    <w:rPr>
                      <w:rFonts w:ascii="Times New Roman" w:eastAsia="Times New Roman" w:hAnsi="Times New Roman" w:cs="Times New Roman"/>
                      <w:sz w:val="20"/>
                      <w:szCs w:val="20"/>
                    </w:rPr>
                  </w:pPr>
                </w:p>
              </w:tc>
            </w:tr>
          </w:tbl>
          <w:p w14:paraId="5574555B" w14:textId="77777777" w:rsidR="008D5C8B" w:rsidRDefault="008D5C8B"/>
          <w:tbl>
            <w:tblPr>
              <w:tblW w:w="5000" w:type="pct"/>
              <w:tblCellMar>
                <w:left w:w="0" w:type="dxa"/>
                <w:right w:w="0" w:type="dxa"/>
              </w:tblCellMar>
              <w:tblLook w:val="04A0" w:firstRow="1" w:lastRow="0" w:firstColumn="1" w:lastColumn="0" w:noHBand="0" w:noVBand="1"/>
            </w:tblPr>
            <w:tblGrid>
              <w:gridCol w:w="9000"/>
            </w:tblGrid>
            <w:tr w:rsidR="008D5C8B" w14:paraId="3B632401" w14:textId="77777777">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D5C8B" w14:paraId="4C02A78C" w14:textId="77777777">
                    <w:tc>
                      <w:tcPr>
                        <w:tcW w:w="0" w:type="auto"/>
                        <w:tcBorders>
                          <w:top w:val="single" w:sz="12" w:space="0" w:color="EEEEEE"/>
                          <w:left w:val="nil"/>
                          <w:bottom w:val="nil"/>
                          <w:right w:val="nil"/>
                        </w:tcBorders>
                        <w:vAlign w:val="center"/>
                        <w:hideMark/>
                      </w:tcPr>
                      <w:p w14:paraId="6AFB769F" w14:textId="77777777" w:rsidR="008D5C8B" w:rsidRDefault="008D5C8B"/>
                    </w:tc>
                  </w:tr>
                </w:tbl>
                <w:p w14:paraId="1CE29462" w14:textId="77777777" w:rsidR="008D5C8B" w:rsidRDefault="008D5C8B">
                  <w:pPr>
                    <w:rPr>
                      <w:rFonts w:ascii="Times New Roman" w:eastAsia="Times New Roman" w:hAnsi="Times New Roman" w:cs="Times New Roman"/>
                      <w:sz w:val="20"/>
                      <w:szCs w:val="20"/>
                    </w:rPr>
                  </w:pPr>
                </w:p>
              </w:tc>
            </w:tr>
          </w:tbl>
          <w:p w14:paraId="6569213D" w14:textId="77777777" w:rsidR="008D5C8B" w:rsidRDefault="008D5C8B"/>
          <w:tbl>
            <w:tblPr>
              <w:tblW w:w="5000" w:type="pct"/>
              <w:tblCellMar>
                <w:left w:w="0" w:type="dxa"/>
                <w:right w:w="0" w:type="dxa"/>
              </w:tblCellMar>
              <w:tblLook w:val="04A0" w:firstRow="1" w:lastRow="0" w:firstColumn="1" w:lastColumn="0" w:noHBand="0" w:noVBand="1"/>
            </w:tblPr>
            <w:tblGrid>
              <w:gridCol w:w="9000"/>
            </w:tblGrid>
            <w:tr w:rsidR="008D5C8B" w14:paraId="5DE333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D5C8B" w14:paraId="02B06F3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C8B" w14:paraId="3F6489F3" w14:textId="77777777">
                          <w:tc>
                            <w:tcPr>
                              <w:tcW w:w="0" w:type="auto"/>
                              <w:tcMar>
                                <w:top w:w="0" w:type="dxa"/>
                                <w:left w:w="270" w:type="dxa"/>
                                <w:bottom w:w="135" w:type="dxa"/>
                                <w:right w:w="270" w:type="dxa"/>
                              </w:tcMar>
                              <w:hideMark/>
                            </w:tcPr>
                            <w:p w14:paraId="0D2D0A10" w14:textId="77777777" w:rsidR="008D5C8B" w:rsidRDefault="008D5C8B">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 xml:space="preserve">Copyright © 2020 Massachusetts Department of Revenue, </w:t>
                              </w:r>
                              <w:proofErr w:type="gramStart"/>
                              <w:r>
                                <w:rPr>
                                  <w:rStyle w:val="Emphasis"/>
                                  <w:rFonts w:ascii="Helvetica" w:hAnsi="Helvetica" w:cs="Helvetica"/>
                                  <w:color w:val="656565"/>
                                  <w:sz w:val="18"/>
                                  <w:szCs w:val="18"/>
                                </w:rPr>
                                <w:t>All</w:t>
                              </w:r>
                              <w:proofErr w:type="gramEnd"/>
                              <w:r>
                                <w:rPr>
                                  <w:rStyle w:val="Emphasis"/>
                                  <w:rFonts w:ascii="Helvetica" w:hAnsi="Helvetica" w:cs="Helvetica"/>
                                  <w:color w:val="656565"/>
                                  <w:sz w:val="18"/>
                                  <w:szCs w:val="18"/>
                                </w:rPr>
                                <w:t xml:space="preserve"> rights reserved.</w:t>
                              </w:r>
                              <w:r>
                                <w:rPr>
                                  <w:rFonts w:ascii="Helvetica" w:hAnsi="Helvetica" w:cs="Helvetica"/>
                                  <w:color w:val="656565"/>
                                  <w:sz w:val="18"/>
                                  <w:szCs w:val="18"/>
                                </w:rPr>
                                <w:t xml:space="preserve"> </w:t>
                              </w:r>
                              <w:r>
                                <w:rPr>
                                  <w:rFonts w:ascii="Helvetica" w:hAnsi="Helvetica" w:cs="Helvetica"/>
                                  <w:color w:val="656565"/>
                                  <w:sz w:val="18"/>
                                  <w:szCs w:val="18"/>
                                </w:rPr>
                                <w:br/>
                                <w:t xml:space="preserve">You are a subscriber to the DOR Rulings &amp; Regulations Mailing List. </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r>
                                <w:rPr>
                                  <w:rFonts w:ascii="Helvetica" w:hAnsi="Helvetica" w:cs="Helvetica"/>
                                  <w:color w:val="656565"/>
                                  <w:sz w:val="18"/>
                                  <w:szCs w:val="18"/>
                                </w:rPr>
                                <w:t xml:space="preserve"> </w:t>
                              </w:r>
                            </w:p>
                            <w:p w14:paraId="13E7C6AE" w14:textId="77777777" w:rsidR="008D5C8B" w:rsidRDefault="008D5C8B">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Massachusetts Department of Revenue</w:t>
                              </w:r>
                            </w:p>
                            <w:p w14:paraId="3DBDC3E6" w14:textId="77777777" w:rsidR="008D5C8B" w:rsidRDefault="008D5C8B">
                              <w:pPr>
                                <w:spacing w:line="360" w:lineRule="auto"/>
                                <w:jc w:val="center"/>
                                <w:rPr>
                                  <w:rFonts w:ascii="Helvetica" w:hAnsi="Helvetica" w:cs="Helvetica"/>
                                  <w:color w:val="656565"/>
                                  <w:sz w:val="18"/>
                                  <w:szCs w:val="18"/>
                                </w:rPr>
                              </w:pPr>
                              <w:r>
                                <w:rPr>
                                  <w:rFonts w:ascii="Helvetica" w:hAnsi="Helvetica" w:cs="Helvetica"/>
                                  <w:color w:val="656565"/>
                                  <w:sz w:val="18"/>
                                  <w:szCs w:val="18"/>
                                </w:rPr>
                                <w:t>100 Cambridge Street</w:t>
                              </w:r>
                            </w:p>
                            <w:p w14:paraId="34111B5B" w14:textId="77777777" w:rsidR="008D5C8B" w:rsidRDefault="008D5C8B">
                              <w:pPr>
                                <w:spacing w:line="360" w:lineRule="auto"/>
                                <w:jc w:val="center"/>
                                <w:rPr>
                                  <w:rFonts w:ascii="Helvetica" w:hAnsi="Helvetica" w:cs="Helvetica"/>
                                  <w:color w:val="656565"/>
                                  <w:sz w:val="18"/>
                                  <w:szCs w:val="18"/>
                                </w:rPr>
                              </w:pPr>
                              <w:r>
                                <w:rPr>
                                  <w:rFonts w:ascii="Helvetica" w:hAnsi="Helvetica" w:cs="Helvetica"/>
                                  <w:color w:val="656565"/>
                                  <w:sz w:val="18"/>
                                  <w:szCs w:val="18"/>
                                </w:rPr>
                                <w:t>8th Floor, Web and Media Services</w:t>
                              </w:r>
                            </w:p>
                            <w:p w14:paraId="0F5352DF" w14:textId="77777777" w:rsidR="008D5C8B" w:rsidRDefault="008D5C8B">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Boston</w:t>
                              </w:r>
                              <w:r>
                                <w:rPr>
                                  <w:rFonts w:ascii="Helvetica" w:hAnsi="Helvetica" w:cs="Helvetica"/>
                                  <w:color w:val="656565"/>
                                  <w:sz w:val="18"/>
                                  <w:szCs w:val="18"/>
                                </w:rPr>
                                <w:t xml:space="preserve">, </w:t>
                              </w:r>
                              <w:r>
                                <w:rPr>
                                  <w:rStyle w:val="region"/>
                                  <w:rFonts w:ascii="Helvetica" w:hAnsi="Helvetica" w:cs="Helvetica"/>
                                  <w:color w:val="656565"/>
                                  <w:sz w:val="18"/>
                                  <w:szCs w:val="18"/>
                                </w:rPr>
                                <w:t>MA</w:t>
                              </w:r>
                              <w:r>
                                <w:rPr>
                                  <w:rFonts w:ascii="Helvetica" w:hAnsi="Helvetica" w:cs="Helvetica"/>
                                  <w:color w:val="656565"/>
                                  <w:sz w:val="18"/>
                                  <w:szCs w:val="18"/>
                                </w:rPr>
                                <w:t xml:space="preserve"> </w:t>
                              </w:r>
                              <w:r>
                                <w:rPr>
                                  <w:rStyle w:val="postal-code"/>
                                  <w:rFonts w:ascii="Helvetica" w:hAnsi="Helvetica" w:cs="Helvetica"/>
                                  <w:color w:val="656565"/>
                                  <w:sz w:val="18"/>
                                  <w:szCs w:val="18"/>
                                </w:rPr>
                                <w:t>02114</w:t>
                              </w:r>
                            </w:p>
                            <w:p w14:paraId="0A9EDC34" w14:textId="77777777" w:rsidR="008D5C8B" w:rsidRDefault="008D5C8B">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24" w:history="1">
                                <w:r>
                                  <w:rPr>
                                    <w:rStyle w:val="Hyperlink"/>
                                    <w:rFonts w:ascii="Helvetica" w:hAnsi="Helvetica" w:cs="Helvetica"/>
                                    <w:color w:val="656565"/>
                                    <w:sz w:val="18"/>
                                    <w:szCs w:val="18"/>
                                  </w:rPr>
                                  <w:t>Add us to your address book</w:t>
                                </w:r>
                              </w:hyperlink>
                            </w:p>
                            <w:p w14:paraId="0B726A4C" w14:textId="6C6BA999" w:rsidR="008D5C8B" w:rsidRDefault="008D5C8B">
                              <w:pPr>
                                <w:spacing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r:id="rId25" w:history="1">
                                <w:r>
                                  <w:rPr>
                                    <w:rStyle w:val="Hyperlink"/>
                                    <w:rFonts w:ascii="Helvetica" w:hAnsi="Helvetica" w:cs="Helvetica"/>
                                    <w:color w:val="656565"/>
                                    <w:sz w:val="18"/>
                                    <w:szCs w:val="18"/>
                                  </w:rPr>
                                  <w:t>update your preferences</w:t>
                                </w:r>
                              </w:hyperlink>
                              <w:r>
                                <w:rPr>
                                  <w:rFonts w:ascii="Helvetica" w:hAnsi="Helvetica" w:cs="Helvetica"/>
                                  <w:color w:val="656565"/>
                                  <w:sz w:val="18"/>
                                  <w:szCs w:val="18"/>
                                </w:rPr>
                                <w:t xml:space="preserve"> or </w:t>
                              </w:r>
                              <w:hyperlink r:id="rId26" w:history="1">
                                <w:r>
                                  <w:rPr>
                                    <w:rStyle w:val="Hyperlink"/>
                                    <w:rFonts w:ascii="Helvetica" w:hAnsi="Helvetica" w:cs="Helvetica"/>
                                    <w:color w:val="656565"/>
                                    <w:sz w:val="18"/>
                                    <w:szCs w:val="18"/>
                                  </w:rPr>
                                  <w:t>unsubscribe from this list</w:t>
                                </w:r>
                              </w:hyperlink>
                              <w:r>
                                <w:rPr>
                                  <w:rFonts w:ascii="Helvetica" w:hAnsi="Helvetica" w:cs="Helvetica"/>
                                  <w:color w:val="656565"/>
                                  <w:sz w:val="18"/>
                                  <w:szCs w:val="18"/>
                                </w:rPr>
                                <w:t xml:space="preserve"> </w:t>
                              </w:r>
                              <w:r>
                                <w:rPr>
                                  <w:rFonts w:ascii="Helvetica" w:hAnsi="Helvetica" w:cs="Helvetica"/>
                                  <w:color w:val="656565"/>
                                  <w:sz w:val="18"/>
                                  <w:szCs w:val="18"/>
                                </w:rPr>
                                <w:br/>
                              </w:r>
                              <w:r>
                                <w:rPr>
                                  <w:rFonts w:ascii="Helvetica" w:hAnsi="Helvetica" w:cs="Helvetica"/>
                                  <w:color w:val="656565"/>
                                  <w:sz w:val="18"/>
                                  <w:szCs w:val="18"/>
                                </w:rPr>
                                <w:br/>
                              </w:r>
                              <w:r>
                                <w:rPr>
                                  <w:rFonts w:ascii="Helvetica" w:hAnsi="Helvetica" w:cs="Helvetica"/>
                                  <w:noProof/>
                                  <w:color w:val="656565"/>
                                  <w:sz w:val="18"/>
                                  <w:szCs w:val="18"/>
                                </w:rPr>
                                <w:drawing>
                                  <wp:inline distT="0" distB="0" distL="0" distR="0" wp14:anchorId="088031DC" wp14:editId="63FC984D">
                                    <wp:extent cx="1325245" cy="517525"/>
                                    <wp:effectExtent l="0" t="0" r="8255" b="0"/>
                                    <wp:docPr id="1" name="Picture 1" descr="Email Marketing Powered by Mailchim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5245" cy="517525"/>
                                            </a:xfrm>
                                            <a:prstGeom prst="rect">
                                              <a:avLst/>
                                            </a:prstGeom>
                                            <a:noFill/>
                                            <a:ln>
                                              <a:noFill/>
                                            </a:ln>
                                          </pic:spPr>
                                        </pic:pic>
                                      </a:graphicData>
                                    </a:graphic>
                                  </wp:inline>
                                </w:drawing>
                              </w:r>
                            </w:p>
                          </w:tc>
                        </w:tr>
                      </w:tbl>
                      <w:p w14:paraId="0F0D0CCB" w14:textId="77777777" w:rsidR="008D5C8B" w:rsidRDefault="008D5C8B">
                        <w:pPr>
                          <w:rPr>
                            <w:rFonts w:ascii="Times New Roman" w:eastAsia="Times New Roman" w:hAnsi="Times New Roman" w:cs="Times New Roman"/>
                            <w:sz w:val="20"/>
                            <w:szCs w:val="20"/>
                          </w:rPr>
                        </w:pPr>
                      </w:p>
                    </w:tc>
                  </w:tr>
                </w:tbl>
                <w:p w14:paraId="45A82012" w14:textId="77777777" w:rsidR="008D5C8B" w:rsidRDefault="008D5C8B">
                  <w:pPr>
                    <w:rPr>
                      <w:rFonts w:ascii="Times New Roman" w:eastAsia="Times New Roman" w:hAnsi="Times New Roman" w:cs="Times New Roman"/>
                      <w:sz w:val="20"/>
                      <w:szCs w:val="20"/>
                    </w:rPr>
                  </w:pPr>
                </w:p>
              </w:tc>
            </w:tr>
          </w:tbl>
          <w:p w14:paraId="702D2245" w14:textId="77777777" w:rsidR="008D5C8B" w:rsidRDefault="008D5C8B">
            <w:pPr>
              <w:rPr>
                <w:rFonts w:ascii="Times New Roman" w:hAnsi="Times New Roman" w:cs="Times New Roman"/>
                <w:sz w:val="24"/>
                <w:szCs w:val="24"/>
              </w:rPr>
            </w:pPr>
          </w:p>
        </w:tc>
      </w:tr>
    </w:tbl>
    <w:p w14:paraId="7843FF10" w14:textId="77777777" w:rsidR="009938F0" w:rsidRDefault="009938F0"/>
    <w:sectPr w:rsidR="00993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8B"/>
    <w:rsid w:val="008D5C8B"/>
    <w:rsid w:val="009938F0"/>
    <w:rsid w:val="00CD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0871"/>
  <w15:chartTrackingRefBased/>
  <w15:docId w15:val="{0B5CE799-7FD2-4DDA-9A5C-BE11B590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tantia" w:eastAsiaTheme="minorHAnsi" w:hAnsi="Constant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C8B"/>
    <w:rPr>
      <w:color w:val="0000FF"/>
      <w:u w:val="single"/>
    </w:rPr>
  </w:style>
  <w:style w:type="character" w:customStyle="1" w:styleId="org">
    <w:name w:val="org"/>
    <w:basedOn w:val="DefaultParagraphFont"/>
    <w:rsid w:val="008D5C8B"/>
  </w:style>
  <w:style w:type="character" w:customStyle="1" w:styleId="locality">
    <w:name w:val="locality"/>
    <w:basedOn w:val="DefaultParagraphFont"/>
    <w:rsid w:val="008D5C8B"/>
  </w:style>
  <w:style w:type="character" w:customStyle="1" w:styleId="region">
    <w:name w:val="region"/>
    <w:basedOn w:val="DefaultParagraphFont"/>
    <w:rsid w:val="008D5C8B"/>
  </w:style>
  <w:style w:type="character" w:customStyle="1" w:styleId="postal-code">
    <w:name w:val="postal-code"/>
    <w:basedOn w:val="DefaultParagraphFont"/>
    <w:rsid w:val="008D5C8B"/>
  </w:style>
  <w:style w:type="character" w:styleId="Strong">
    <w:name w:val="Strong"/>
    <w:basedOn w:val="DefaultParagraphFont"/>
    <w:uiPriority w:val="22"/>
    <w:qFormat/>
    <w:rsid w:val="008D5C8B"/>
    <w:rPr>
      <w:b/>
      <w:bCs/>
    </w:rPr>
  </w:style>
  <w:style w:type="character" w:styleId="Emphasis">
    <w:name w:val="Emphasis"/>
    <w:basedOn w:val="DefaultParagraphFont"/>
    <w:uiPriority w:val="20"/>
    <w:qFormat/>
    <w:rsid w:val="008D5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76e9a2ca0b&amp;e=9521af11b2" TargetMode="External"/><Relationship Id="rId13" Type="http://schemas.openxmlformats.org/officeDocument/2006/relationships/hyperlink" Target="https://mass.us11.list-manage.com/track/click?u=0e9e2209abd5f7062568d9a19&amp;id=7faffe5eed&amp;e=9521af11b2" TargetMode="External"/><Relationship Id="rId18" Type="http://schemas.openxmlformats.org/officeDocument/2006/relationships/hyperlink" Target="https://mass.us11.list-manage.com/track/click?u=0e9e2209abd5f7062568d9a19&amp;id=10b975cf4b&amp;e=9521af11b2" TargetMode="External"/><Relationship Id="rId26" Type="http://schemas.openxmlformats.org/officeDocument/2006/relationships/hyperlink" Target="https://mass.us11.list-manage.com/unsubscribe?u=0e9e2209abd5f7062568d9a19&amp;id=9ac8b63e31&amp;e=9521af11b2&amp;c=89a091f4f6"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mass.us11.list-manage.com/track/click?u=0e9e2209abd5f7062568d9a19&amp;id=01a1b8f44d&amp;e=9521af11b2" TargetMode="External"/><Relationship Id="rId12" Type="http://schemas.openxmlformats.org/officeDocument/2006/relationships/hyperlink" Target="https://mass.us11.list-manage.com/track/click?u=0e9e2209abd5f7062568d9a19&amp;id=22276db524&amp;e=9521af11b2" TargetMode="External"/><Relationship Id="rId17" Type="http://schemas.openxmlformats.org/officeDocument/2006/relationships/image" Target="media/image2.png"/><Relationship Id="rId25" Type="http://schemas.openxmlformats.org/officeDocument/2006/relationships/hyperlink" Target="https://mass.us11.list-manage.com/profile?u=0e9e2209abd5f7062568d9a19&amp;id=9ac8b63e31&amp;e=9521af11b2" TargetMode="External"/><Relationship Id="rId2" Type="http://schemas.openxmlformats.org/officeDocument/2006/relationships/settings" Target="settings.xml"/><Relationship Id="rId16" Type="http://schemas.openxmlformats.org/officeDocument/2006/relationships/hyperlink" Target="https://mass.us11.list-manage.com/track/click?u=0e9e2209abd5f7062568d9a19&amp;id=6697e6e5e1&amp;e=9521af11b2" TargetMode="External"/><Relationship Id="rId20" Type="http://schemas.openxmlformats.org/officeDocument/2006/relationships/hyperlink" Target="https://mass.us11.list-manage.com/track/click?u=0e9e2209abd5f7062568d9a19&amp;id=b0514088ab&amp;e=9521af11b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ss.us11.list-manage.com/track/click?u=0e9e2209abd5f7062568d9a19&amp;id=f0efb6b65f&amp;e=9521af11b2" TargetMode="External"/><Relationship Id="rId11" Type="http://schemas.openxmlformats.org/officeDocument/2006/relationships/hyperlink" Target="https://mass.us11.list-manage.com/track/click?u=0e9e2209abd5f7062568d9a19&amp;id=7222723752&amp;e=9521af11b2" TargetMode="External"/><Relationship Id="rId24" Type="http://schemas.openxmlformats.org/officeDocument/2006/relationships/hyperlink" Target="https://mass.us11.list-manage.com/vcard?u=0e9e2209abd5f7062568d9a19&amp;id=9ac8b63e31" TargetMode="External"/><Relationship Id="rId5" Type="http://schemas.openxmlformats.org/officeDocument/2006/relationships/hyperlink" Target="https://mass.us11.list-manage.com/track/click?u=0e9e2209abd5f7062568d9a19&amp;id=52f06a2407&amp;e=9521af11b2" TargetMode="External"/><Relationship Id="rId15" Type="http://schemas.openxmlformats.org/officeDocument/2006/relationships/hyperlink" Target="https://mass.us11.list-manage.com/track/click?u=0e9e2209abd5f7062568d9a19&amp;id=0b326129ca&amp;e=9521af11b2" TargetMode="External"/><Relationship Id="rId23" Type="http://schemas.openxmlformats.org/officeDocument/2006/relationships/image" Target="media/image5.png"/><Relationship Id="rId28" Type="http://schemas.openxmlformats.org/officeDocument/2006/relationships/image" Target="media/image6.png"/><Relationship Id="rId10" Type="http://schemas.openxmlformats.org/officeDocument/2006/relationships/hyperlink" Target="https://mass.us11.list-manage.com/track/click?u=0e9e2209abd5f7062568d9a19&amp;id=c5be2fd444&amp;e=9521af11b2" TargetMode="External"/><Relationship Id="rId19"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mass.us11.list-manage.com/track/click?u=0e9e2209abd5f7062568d9a19&amp;id=7f818784bd&amp;e=9521af11b2" TargetMode="External"/><Relationship Id="rId14" Type="http://schemas.openxmlformats.org/officeDocument/2006/relationships/hyperlink" Target="https://mass.us11.list-manage.com/track/click?u=0e9e2209abd5f7062568d9a19&amp;id=de6f7d1726&amp;e=9521af11b2" TargetMode="External"/><Relationship Id="rId22" Type="http://schemas.openxmlformats.org/officeDocument/2006/relationships/hyperlink" Target="https://mass.us11.list-manage.com/track/click?u=0e9e2209abd5f7062568d9a19&amp;id=d03cde1639&amp;e=9521af11b2" TargetMode="External"/><Relationship Id="rId27" Type="http://schemas.openxmlformats.org/officeDocument/2006/relationships/hyperlink" Target="http://www.mailchimp.com/email-referral/?utm_source=freemium_newsletter&amp;utm_medium=email&amp;utm_campaign=referral_marketing&amp;aid=0e9e2209abd5f7062568d9a19&amp;afl=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Merigan, Maryann (DOR)</dc:creator>
  <cp:keywords/>
  <dc:description/>
  <cp:lastModifiedBy>Merigan, Maryann (DOR)</cp:lastModifiedBy>
  <cp:revision>2</cp:revision>
  <dcterms:created xsi:type="dcterms:W3CDTF">2020-12-22T20:33:00Z</dcterms:created>
  <dcterms:modified xsi:type="dcterms:W3CDTF">2020-12-22T20:36:00Z</dcterms:modified>
</cp:coreProperties>
</file>