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11100"/>
      </w:tblGrid>
      <w:tr w:rsidR="00267C9F" w:rsidTr="00267C9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67C9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67C9F">
                    <w:trPr>
                      <w:jc w:val="center"/>
                    </w:trPr>
                    <w:tc>
                      <w:tcPr>
                        <w:tcW w:w="0" w:type="auto"/>
                        <w:shd w:val="clear" w:color="auto" w:fill="FAFAFA"/>
                        <w:tcMar>
                          <w:top w:w="135" w:type="dxa"/>
                          <w:left w:w="0" w:type="dxa"/>
                          <w:bottom w:w="135" w:type="dxa"/>
                          <w:right w:w="0" w:type="dxa"/>
                        </w:tcMar>
                        <w:hideMark/>
                      </w:tcPr>
                      <w:p w:rsidR="00267C9F" w:rsidRDefault="00267C9F">
                        <w:pPr>
                          <w:rPr>
                            <w:rFonts w:eastAsia="Times New Roman"/>
                            <w:sz w:val="20"/>
                            <w:szCs w:val="20"/>
                          </w:rPr>
                        </w:pPr>
                      </w:p>
                    </w:tc>
                  </w:tr>
                  <w:tr w:rsidR="00267C9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67C9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67C9F">
                                <w:tc>
                                  <w:tcPr>
                                    <w:tcW w:w="0" w:type="auto"/>
                                    <w:tcMar>
                                      <w:top w:w="0" w:type="dxa"/>
                                      <w:left w:w="135" w:type="dxa"/>
                                      <w:bottom w:w="0" w:type="dxa"/>
                                      <w:right w:w="135" w:type="dxa"/>
                                    </w:tcMar>
                                    <w:hideMark/>
                                  </w:tcPr>
                                  <w:p w:rsidR="00267C9F" w:rsidRDefault="00267C9F">
                                    <w:pPr>
                                      <w:jc w:val="center"/>
                                      <w:rPr>
                                        <w:rFonts w:eastAsia="Times New Roman"/>
                                      </w:rPr>
                                    </w:pPr>
                                    <w:r>
                                      <w:rPr>
                                        <w:rFonts w:eastAsia="Times New Roman"/>
                                        <w:noProof/>
                                      </w:rPr>
                                      <w:drawing>
                                        <wp:inline distT="0" distB="0" distL="0" distR="0">
                                          <wp:extent cx="5367655" cy="1151890"/>
                                          <wp:effectExtent l="0" t="0" r="4445" b="0"/>
                                          <wp:docPr id="9" name="Picture 9"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7655" cy="1151890"/>
                                                  </a:xfrm>
                                                  <a:prstGeom prst="rect">
                                                    <a:avLst/>
                                                  </a:prstGeom>
                                                  <a:noFill/>
                                                  <a:ln>
                                                    <a:noFill/>
                                                  </a:ln>
                                                </pic:spPr>
                                              </pic:pic>
                                            </a:graphicData>
                                          </a:graphic>
                                        </wp:inline>
                                      </w:drawing>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r w:rsidR="00267C9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67C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67C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7C9F">
                                      <w:tc>
                                        <w:tcPr>
                                          <w:tcW w:w="0" w:type="auto"/>
                                          <w:tcMar>
                                            <w:top w:w="0" w:type="dxa"/>
                                            <w:left w:w="270" w:type="dxa"/>
                                            <w:bottom w:w="135" w:type="dxa"/>
                                            <w:right w:w="270" w:type="dxa"/>
                                          </w:tcMar>
                                          <w:hideMark/>
                                        </w:tcPr>
                                        <w:p w:rsidR="00267C9F" w:rsidRDefault="00267C9F">
                                          <w:pPr>
                                            <w:spacing w:line="360" w:lineRule="auto"/>
                                            <w:rPr>
                                              <w:rFonts w:ascii="Helvetica" w:eastAsia="Times New Roman" w:hAnsi="Helvetica" w:cs="Helvetica"/>
                                              <w:color w:val="202020"/>
                                            </w:rPr>
                                          </w:pPr>
                                          <w:r>
                                            <w:rPr>
                                              <w:rStyle w:val="Strong"/>
                                              <w:rFonts w:ascii="Georgia" w:eastAsia="Times New Roman" w:hAnsi="Georgia"/>
                                              <w:color w:val="202020"/>
                                            </w:rPr>
                                            <w:t>1099-K questions</w:t>
                                          </w:r>
                                          <w:r>
                                            <w:rPr>
                                              <w:rFonts w:ascii="Georgia" w:eastAsia="Times New Roman" w:hAnsi="Georgia"/>
                                              <w:color w:val="202020"/>
                                            </w:rPr>
                                            <w:br/>
                                            <w:t xml:space="preserve">With the recent change to reporting requirements for third party settlement organizations, more taxpayers will be receiving 1099-Ks and may have questions. We have </w:t>
                                          </w:r>
                                          <w:hyperlink r:id="rId6" w:history="1">
                                            <w:r>
                                              <w:rPr>
                                                <w:rStyle w:val="Hyperlink"/>
                                                <w:rFonts w:ascii="Georgia" w:eastAsia="Times New Roman" w:hAnsi="Georgia"/>
                                                <w:color w:val="2BAADF"/>
                                              </w:rPr>
                                              <w:t>answers</w:t>
                                            </w:r>
                                          </w:hyperlink>
                                          <w:r>
                                            <w:rPr>
                                              <w:rFonts w:ascii="Georgia" w:eastAsia="Times New Roman" w:hAnsi="Georgia"/>
                                              <w:color w:val="202020"/>
                                            </w:rPr>
                                            <w:t xml:space="preserve"> to a couple of questions that might come up this year from taxpayers who receive the form. </w:t>
                                          </w:r>
                                          <w:r>
                                            <w:rPr>
                                              <w:rStyle w:val="Strong"/>
                                              <w:rFonts w:ascii="Georgia" w:eastAsia="Times New Roman" w:hAnsi="Georgia"/>
                                              <w:color w:val="202020"/>
                                            </w:rPr>
                                            <w:t xml:space="preserve"> </w:t>
                                          </w:r>
                                          <w:r>
                                            <w:rPr>
                                              <w:rFonts w:ascii="Georgia" w:eastAsia="Times New Roman" w:hAnsi="Georgia"/>
                                              <w:color w:val="202020"/>
                                            </w:rPr>
                                            <w:br/>
                                          </w:r>
                                          <w:r>
                                            <w:rPr>
                                              <w:rFonts w:ascii="Georgia" w:eastAsia="Times New Roman" w:hAnsi="Georgia"/>
                                              <w:color w:val="202020"/>
                                            </w:rPr>
                                            <w:br/>
                                            <w:t> </w:t>
                                          </w:r>
                                          <w:r>
                                            <w:rPr>
                                              <w:rStyle w:val="Strong"/>
                                              <w:rFonts w:ascii="Georgia" w:eastAsia="Times New Roman" w:hAnsi="Georgia"/>
                                              <w:color w:val="0000FF"/>
                                            </w:rPr>
                                            <w:t>New! </w:t>
                                          </w:r>
                                          <w:r>
                                            <w:rPr>
                                              <w:rStyle w:val="Strong"/>
                                              <w:rFonts w:ascii="Georgia" w:eastAsia="Times New Roman" w:hAnsi="Georgia"/>
                                              <w:color w:val="202020"/>
                                            </w:rPr>
                                            <w:t xml:space="preserve">Respond to certain notices through </w:t>
                                          </w:r>
                                          <w:proofErr w:type="spellStart"/>
                                          <w:r>
                                            <w:rPr>
                                              <w:rStyle w:val="Strong"/>
                                              <w:rFonts w:ascii="Georgia" w:eastAsia="Times New Roman" w:hAnsi="Georgia"/>
                                              <w:color w:val="202020"/>
                                            </w:rPr>
                                            <w:t>MassTaxConnect</w:t>
                                          </w:r>
                                          <w:proofErr w:type="spellEnd"/>
                                          <w:r>
                                            <w:rPr>
                                              <w:rFonts w:ascii="Georgia" w:eastAsia="Times New Roman" w:hAnsi="Georgia"/>
                                              <w:color w:val="202020"/>
                                            </w:rPr>
                                            <w:br/>
                                            <w:t xml:space="preserve">As early as next week, two DOR notices will give taxpayers the option of responding through </w:t>
                                          </w:r>
                                          <w:proofErr w:type="spellStart"/>
                                          <w:r>
                                            <w:rPr>
                                              <w:rFonts w:ascii="Georgia" w:eastAsia="Times New Roman" w:hAnsi="Georgia"/>
                                              <w:color w:val="202020"/>
                                            </w:rPr>
                                            <w:t>MassTaxConnect</w:t>
                                          </w:r>
                                          <w:proofErr w:type="spellEnd"/>
                                          <w:r>
                                            <w:rPr>
                                              <w:rFonts w:ascii="Georgia" w:eastAsia="Times New Roman" w:hAnsi="Georgia"/>
                                              <w:color w:val="202020"/>
                                            </w:rPr>
                                            <w:t xml:space="preserve">. The </w:t>
                                          </w:r>
                                          <w:r>
                                            <w:rPr>
                                              <w:rStyle w:val="Emphasis"/>
                                              <w:rFonts w:ascii="Georgia" w:eastAsia="Times New Roman" w:hAnsi="Georgia"/>
                                              <w:color w:val="202020"/>
                                            </w:rPr>
                                            <w:t>Notice of Intent to Assess -</w:t>
                                          </w:r>
                                          <w:r>
                                            <w:rPr>
                                              <w:rFonts w:ascii="Georgia" w:eastAsia="Times New Roman" w:hAnsi="Georgia"/>
                                              <w:color w:val="202020"/>
                                            </w:rPr>
                                            <w:t xml:space="preserve"> </w:t>
                                          </w:r>
                                          <w:r>
                                            <w:rPr>
                                              <w:rStyle w:val="Emphasis"/>
                                              <w:rFonts w:ascii="Georgia" w:eastAsia="Times New Roman" w:hAnsi="Georgia"/>
                                              <w:color w:val="202020"/>
                                            </w:rPr>
                                            <w:t>Request for ID Verification</w:t>
                                          </w:r>
                                          <w:r>
                                            <w:rPr>
                                              <w:rFonts w:ascii="Georgia" w:eastAsia="Times New Roman" w:hAnsi="Georgia"/>
                                              <w:color w:val="202020"/>
                                            </w:rPr>
                                            <w:t xml:space="preserve"> and the </w:t>
                                          </w:r>
                                          <w:r>
                                            <w:rPr>
                                              <w:rStyle w:val="Emphasis"/>
                                              <w:rFonts w:ascii="Georgia" w:eastAsia="Times New Roman" w:hAnsi="Georgia"/>
                                              <w:color w:val="202020"/>
                                            </w:rPr>
                                            <w:t xml:space="preserve">Notice of Intent to Assess - Request for Information </w:t>
                                          </w:r>
                                          <w:r>
                                            <w:rPr>
                                              <w:rFonts w:ascii="Georgia" w:eastAsia="Times New Roman" w:hAnsi="Georgia"/>
                                              <w:color w:val="202020"/>
                                            </w:rPr>
                                            <w:t xml:space="preserve">will have that provision. The Request for Information notice is sent out to verify information related to withholding, or Circuit Breaker and EITC credits. No need to log in to </w:t>
                                          </w:r>
                                          <w:hyperlink r:id="rId7" w:tgtFrame="_blank" w:history="1">
                                            <w:r>
                                              <w:rPr>
                                                <w:rStyle w:val="Hyperlink"/>
                                                <w:rFonts w:ascii="Georgia" w:eastAsia="Times New Roman" w:hAnsi="Georgia"/>
                                                <w:color w:val="2BAADF"/>
                                              </w:rPr>
                                              <w:t>MassTaxConnect</w:t>
                                            </w:r>
                                          </w:hyperlink>
                                          <w:r>
                                            <w:rPr>
                                              <w:rFonts w:ascii="Georgia" w:eastAsia="Times New Roman" w:hAnsi="Georgia"/>
                                              <w:color w:val="202020"/>
                                            </w:rPr>
                                            <w:t>, the response can be completed by choosing “Submit documentation” under Quick Links.</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0000FF"/>
                                            </w:rPr>
                                            <w:t>New!</w:t>
                                          </w:r>
                                          <w:r>
                                            <w:rPr>
                                              <w:rStyle w:val="Strong"/>
                                              <w:rFonts w:ascii="Georgia" w:eastAsia="Times New Roman" w:hAnsi="Georgia"/>
                                              <w:color w:val="202020"/>
                                            </w:rPr>
                                            <w:t xml:space="preserve"> Hot Topics – keep up with any issues du</w:t>
                                          </w:r>
                                          <w:bookmarkStart w:id="0" w:name="_GoBack"/>
                                          <w:r>
                                            <w:rPr>
                                              <w:rStyle w:val="Strong"/>
                                              <w:rFonts w:ascii="Georgia" w:eastAsia="Times New Roman" w:hAnsi="Georgia"/>
                                              <w:color w:val="202020"/>
                                            </w:rPr>
                                            <w:t>r</w:t>
                                          </w:r>
                                          <w:bookmarkEnd w:id="0"/>
                                          <w:r>
                                            <w:rPr>
                                              <w:rStyle w:val="Strong"/>
                                              <w:rFonts w:ascii="Georgia" w:eastAsia="Times New Roman" w:hAnsi="Georgia"/>
                                              <w:color w:val="202020"/>
                                            </w:rPr>
                                            <w:t>ing filing season</w:t>
                                          </w:r>
                                          <w:r>
                                            <w:rPr>
                                              <w:rFonts w:ascii="Georgia" w:eastAsia="Times New Roman" w:hAnsi="Georgia"/>
                                              <w:color w:val="202020"/>
                                            </w:rPr>
                                            <w:br/>
                                          </w:r>
                                          <w:hyperlink r:id="rId8" w:history="1">
                                            <w:r>
                                              <w:rPr>
                                                <w:rStyle w:val="Hyperlink"/>
                                                <w:rFonts w:ascii="Georgia" w:eastAsia="Times New Roman" w:hAnsi="Georgia"/>
                                                <w:color w:val="2BAADF"/>
                                              </w:rPr>
                                              <w:t>Hot Topics</w:t>
                                            </w:r>
                                          </w:hyperlink>
                                          <w:r>
                                            <w:rPr>
                                              <w:rFonts w:ascii="Georgia" w:eastAsia="Times New Roman" w:hAnsi="Georgia"/>
                                              <w:color w:val="202020"/>
                                            </w:rPr>
                                            <w:t xml:space="preserve"> can be followed from the </w:t>
                                          </w:r>
                                          <w:hyperlink r:id="rId9" w:history="1">
                                            <w:r>
                                              <w:rPr>
                                                <w:rStyle w:val="Hyperlink"/>
                                                <w:rFonts w:ascii="Georgia" w:eastAsia="Times New Roman" w:hAnsi="Georgia"/>
                                                <w:color w:val="2BAADF"/>
                                              </w:rPr>
                                              <w:t>Tax Professionals</w:t>
                                            </w:r>
                                          </w:hyperlink>
                                          <w:r>
                                            <w:rPr>
                                              <w:rFonts w:ascii="Georgia" w:eastAsia="Times New Roman" w:hAnsi="Georgia"/>
                                              <w:color w:val="202020"/>
                                            </w:rPr>
                                            <w:t xml:space="preserve"> or </w:t>
                                          </w:r>
                                          <w:hyperlink r:id="rId10" w:history="1">
                                            <w:r>
                                              <w:rPr>
                                                <w:rStyle w:val="Hyperlink"/>
                                                <w:rFonts w:ascii="Georgia" w:eastAsia="Times New Roman" w:hAnsi="Georgia"/>
                                                <w:color w:val="2BAADF"/>
                                              </w:rPr>
                                              <w:t>Filing Season Overview</w:t>
                                            </w:r>
                                          </w:hyperlink>
                                          <w:r>
                                            <w:rPr>
                                              <w:rFonts w:ascii="Georgia" w:eastAsia="Times New Roman" w:hAnsi="Georgia"/>
                                              <w:color w:val="202020"/>
                                            </w:rPr>
                                            <w:t xml:space="preserve"> pages during filing season. It’s a way to track any issues that might impact multiple taxpayers. Updates will be added until the issue is resolved. Let us know if you hear of any issues that might impact multiple taxpayers at </w:t>
                                          </w:r>
                                          <w:hyperlink r:id="rId11" w:history="1">
                                            <w:r>
                                              <w:rPr>
                                                <w:rStyle w:val="Hyperlink"/>
                                                <w:rFonts w:ascii="Georgia" w:eastAsia="Times New Roman" w:hAnsi="Georgia"/>
                                                <w:color w:val="2BAADF"/>
                                              </w:rPr>
                                              <w:t>taxprofeedback@dor.state.ma.us</w:t>
                                            </w:r>
                                          </w:hyperlink>
                                          <w:r>
                                            <w:rPr>
                                              <w:rFonts w:ascii="Georgia" w:eastAsia="Times New Roman" w:hAnsi="Georgia"/>
                                              <w:color w:val="202020"/>
                                            </w:rPr>
                                            <w:t>.</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The Don’ts</w:t>
                                          </w:r>
                                          <w:r>
                                            <w:rPr>
                                              <w:rFonts w:ascii="Georgia" w:eastAsia="Times New Roman" w:hAnsi="Georgia"/>
                                              <w:color w:val="202020"/>
                                            </w:rPr>
                                            <w:br/>
                                            <w:t xml:space="preserve">Electronic filing is the standard, because it’s required or just because it’s easier. Some income returns still come in on paper. If you file a paper return for yourself or a client, please be sure to avoid the common mistakes that happen every year – it holds up processing and delays refunds. We published a list of </w:t>
                                          </w:r>
                                          <w:r>
                                            <w:rPr>
                                              <w:rFonts w:ascii="Georgia" w:eastAsia="Times New Roman" w:hAnsi="Georgia"/>
                                              <w:color w:val="202020"/>
                                            </w:rPr>
                                            <w:lastRenderedPageBreak/>
                                            <w:t xml:space="preserve">the </w:t>
                                          </w:r>
                                          <w:hyperlink r:id="rId12" w:history="1">
                                            <w:r>
                                              <w:rPr>
                                                <w:rStyle w:val="Hyperlink"/>
                                                <w:rFonts w:ascii="Georgia" w:eastAsia="Times New Roman" w:hAnsi="Georgia"/>
                                                <w:color w:val="2BAADF"/>
                                              </w:rPr>
                                              <w:t>most common mistakes</w:t>
                                            </w:r>
                                          </w:hyperlink>
                                          <w:r>
                                            <w:rPr>
                                              <w:rFonts w:ascii="Georgia" w:eastAsia="Times New Roman" w:hAnsi="Georgia"/>
                                              <w:color w:val="202020"/>
                                            </w:rPr>
                                            <w:t>.</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Amended returns should look like the original return</w:t>
                                          </w:r>
                                          <w:r>
                                            <w:rPr>
                                              <w:rFonts w:ascii="Georgia" w:eastAsia="Times New Roman" w:hAnsi="Georgia"/>
                                              <w:color w:val="202020"/>
                                            </w:rPr>
                                            <w:br/>
                                            <w:t xml:space="preserve">Good time for a reminder that when filing an </w:t>
                                          </w:r>
                                          <w:hyperlink r:id="rId13" w:history="1">
                                            <w:r>
                                              <w:rPr>
                                                <w:rStyle w:val="Hyperlink"/>
                                                <w:rFonts w:ascii="Georgia" w:eastAsia="Times New Roman" w:hAnsi="Georgia"/>
                                                <w:color w:val="2BAADF"/>
                                              </w:rPr>
                                              <w:t>amended income return</w:t>
                                            </w:r>
                                          </w:hyperlink>
                                          <w:r>
                                            <w:rPr>
                                              <w:rFonts w:ascii="Georgia" w:eastAsia="Times New Roman" w:hAnsi="Georgia"/>
                                              <w:color w:val="202020"/>
                                            </w:rPr>
                                            <w:t>, no special forms are needed, just file a revised tax return – but be sure to include all the schedules that were filed with the original return, even those without changes. Don’t file Form ABT with an amended return, and definitely don’t file the obsolete Form CA-6 for any reason.</w:t>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67C9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267C9F">
                                <w:trPr>
                                  <w:jc w:val="center"/>
                                </w:trPr>
                                <w:tc>
                                  <w:tcPr>
                                    <w:tcW w:w="0" w:type="auto"/>
                                    <w:hideMark/>
                                  </w:tcPr>
                                  <w:p w:rsidR="00267C9F" w:rsidRDefault="00267C9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267C9F">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8"/>
                                          </w:tblGrid>
                                          <w:tr w:rsidR="00267C9F">
                                            <w:tc>
                                              <w:tcPr>
                                                <w:tcW w:w="0" w:type="auto"/>
                                                <w:shd w:val="clear" w:color="auto" w:fill="1A7097"/>
                                                <w:tcMar>
                                                  <w:top w:w="270" w:type="dxa"/>
                                                  <w:left w:w="270" w:type="dxa"/>
                                                  <w:bottom w:w="270" w:type="dxa"/>
                                                  <w:right w:w="270" w:type="dxa"/>
                                                </w:tcMar>
                                                <w:hideMark/>
                                              </w:tcPr>
                                              <w:p w:rsidR="00267C9F" w:rsidRDefault="00267C9F">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February 2018</w:t>
                                                </w:r>
                                                <w:r>
                                                  <w:rPr>
                                                    <w:rFonts w:ascii="Helvetica" w:eastAsia="Times New Roman" w:hAnsi="Helvetica" w:cs="Helvetica"/>
                                                    <w:color w:val="F2F2F2"/>
                                                    <w:sz w:val="21"/>
                                                    <w:szCs w:val="21"/>
                                                  </w:rPr>
                                                  <w:t xml:space="preserve"> </w:t>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rPr>
                            <w:rFonts w:eastAsia="Times New Roman"/>
                            <w:sz w:val="20"/>
                            <w:szCs w:val="20"/>
                          </w:rPr>
                        </w:pPr>
                      </w:p>
                    </w:tc>
                  </w:tr>
                  <w:tr w:rsidR="00267C9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67C9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67C9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67C9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267C9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267C9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67C9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67C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67C9F">
                                                                    <w:tc>
                                                                      <w:tcPr>
                                                                        <w:tcW w:w="360" w:type="dxa"/>
                                                                        <w:vAlign w:val="center"/>
                                                                        <w:hideMark/>
                                                                      </w:tcPr>
                                                                      <w:p w:rsidR="00267C9F" w:rsidRDefault="00267C9F">
                                                                        <w:pPr>
                                                                          <w:jc w:val="center"/>
                                                                          <w:rPr>
                                                                            <w:rFonts w:eastAsia="Times New Roman"/>
                                                                          </w:rPr>
                                                                        </w:pPr>
                                                                        <w:r>
                                                                          <w:rPr>
                                                                            <w:rFonts w:eastAsia="Times New Roman"/>
                                                                            <w:noProof/>
                                                                            <w:color w:val="0000FF"/>
                                                                          </w:rPr>
                                                                          <w:lastRenderedPageBreak/>
                                                                          <w:drawing>
                                                                            <wp:inline distT="0" distB="0" distL="0" distR="0">
                                                                              <wp:extent cx="225425" cy="225425"/>
                                                                              <wp:effectExtent l="0" t="0" r="3175" b="3175"/>
                                                                              <wp:docPr id="8" name="Picture 8" descr="https://cdn-images.mailchimp.com/icons/social-block-v2/color-twitter-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67C9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67C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67C9F">
                                                                    <w:tc>
                                                                      <w:tcPr>
                                                                        <w:tcW w:w="360" w:type="dxa"/>
                                                                        <w:vAlign w:val="center"/>
                                                                        <w:hideMark/>
                                                                      </w:tcPr>
                                                                      <w:p w:rsidR="00267C9F" w:rsidRDefault="00267C9F">
                                                                        <w:pPr>
                                                                          <w:jc w:val="center"/>
                                                                          <w:rPr>
                                                                            <w:rFonts w:eastAsia="Times New Roman"/>
                                                                          </w:rPr>
                                                                        </w:pPr>
                                                                        <w:r>
                                                                          <w:rPr>
                                                                            <w:rFonts w:eastAsia="Times New Roman"/>
                                                                            <w:noProof/>
                                                                            <w:color w:val="0000FF"/>
                                                                          </w:rPr>
                                                                          <w:drawing>
                                                                            <wp:inline distT="0" distB="0" distL="0" distR="0">
                                                                              <wp:extent cx="225425" cy="225425"/>
                                                                              <wp:effectExtent l="0" t="0" r="3175" b="3175"/>
                                                                              <wp:docPr id="7" name="Picture 7" descr="https://cdn-images.mailchimp.com/icons/social-block-v2/color-facebook-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67C9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67C9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67C9F">
                                                                    <w:tc>
                                                                      <w:tcPr>
                                                                        <w:tcW w:w="360" w:type="dxa"/>
                                                                        <w:vAlign w:val="center"/>
                                                                        <w:hideMark/>
                                                                      </w:tcPr>
                                                                      <w:p w:rsidR="00267C9F" w:rsidRDefault="00267C9F">
                                                                        <w:pPr>
                                                                          <w:jc w:val="center"/>
                                                                          <w:rPr>
                                                                            <w:rFonts w:eastAsia="Times New Roman"/>
                                                                          </w:rPr>
                                                                        </w:pPr>
                                                                        <w:r>
                                                                          <w:rPr>
                                                                            <w:rFonts w:eastAsia="Times New Roman"/>
                                                                            <w:noProof/>
                                                                            <w:color w:val="0000FF"/>
                                                                          </w:rPr>
                                                                          <w:drawing>
                                                                            <wp:inline distT="0" distB="0" distL="0" distR="0">
                                                                              <wp:extent cx="225425" cy="225425"/>
                                                                              <wp:effectExtent l="0" t="0" r="3175" b="3175"/>
                                                                              <wp:docPr id="6" name="Picture 6" descr="https://cdn-images.mailchimp.com/icons/social-block-v2/color-link-48.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67C9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267C9F">
                                <w:tc>
                                  <w:tcPr>
                                    <w:tcW w:w="0" w:type="auto"/>
                                    <w:tcBorders>
                                      <w:top w:val="single" w:sz="12" w:space="0" w:color="EEEEEE"/>
                                      <w:left w:val="nil"/>
                                      <w:bottom w:val="nil"/>
                                      <w:right w:val="nil"/>
                                    </w:tcBorders>
                                    <w:vAlign w:val="center"/>
                                    <w:hideMark/>
                                  </w:tcPr>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67C9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67C9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7C9F">
                                      <w:tc>
                                        <w:tcPr>
                                          <w:tcW w:w="0" w:type="auto"/>
                                          <w:tcMar>
                                            <w:top w:w="0" w:type="dxa"/>
                                            <w:left w:w="270" w:type="dxa"/>
                                            <w:bottom w:w="135" w:type="dxa"/>
                                            <w:right w:w="270" w:type="dxa"/>
                                          </w:tcMar>
                                          <w:hideMark/>
                                        </w:tcPr>
                                        <w:p w:rsidR="00267C9F" w:rsidRDefault="00267C9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2018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267C9F" w:rsidRDefault="00267C9F">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267C9F" w:rsidRDefault="00267C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267C9F" w:rsidRDefault="00267C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267C9F" w:rsidRDefault="00267C9F">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267C9F" w:rsidRDefault="00267C9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0" w:history="1">
                                            <w:r>
                                              <w:rPr>
                                                <w:rStyle w:val="Hyperlink"/>
                                                <w:rFonts w:ascii="Helvetica" w:eastAsia="Times New Roman" w:hAnsi="Helvetica" w:cs="Helvetica"/>
                                                <w:color w:val="656565"/>
                                                <w:sz w:val="18"/>
                                                <w:szCs w:val="18"/>
                                              </w:rPr>
                                              <w:t>Add us to your address book</w:t>
                                            </w:r>
                                          </w:hyperlink>
                                        </w:p>
                                        <w:p w:rsidR="00267C9F" w:rsidRDefault="00267C9F">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1"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2"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rPr>
                            <w:rFonts w:eastAsia="Times New Roman"/>
                            <w:sz w:val="20"/>
                            <w:szCs w:val="20"/>
                          </w:rPr>
                        </w:pPr>
                      </w:p>
                    </w:tc>
                  </w:tr>
                </w:tbl>
                <w:p w:rsidR="00267C9F" w:rsidRDefault="00267C9F">
                  <w:pPr>
                    <w:jc w:val="center"/>
                    <w:rPr>
                      <w:rFonts w:eastAsia="Times New Roman"/>
                      <w:sz w:val="20"/>
                      <w:szCs w:val="20"/>
                    </w:rPr>
                  </w:pPr>
                </w:p>
              </w:tc>
            </w:tr>
          </w:tbl>
          <w:p w:rsidR="00267C9F" w:rsidRDefault="00267C9F">
            <w:pPr>
              <w:jc w:val="center"/>
              <w:rPr>
                <w:rFonts w:eastAsia="Times New Roman"/>
                <w:sz w:val="20"/>
                <w:szCs w:val="20"/>
              </w:rPr>
            </w:pPr>
          </w:p>
        </w:tc>
      </w:tr>
    </w:tbl>
    <w:p w:rsidR="00133D37" w:rsidRPr="00267C9F" w:rsidRDefault="00267C9F" w:rsidP="00267C9F"/>
    <w:sectPr w:rsidR="00133D37" w:rsidRPr="00267C9F" w:rsidSect="007B7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0A"/>
    <w:rsid w:val="00267C9F"/>
    <w:rsid w:val="007B7E0A"/>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E0A"/>
    <w:rPr>
      <w:color w:val="0000FF"/>
      <w:u w:val="single"/>
    </w:rPr>
  </w:style>
  <w:style w:type="character" w:customStyle="1" w:styleId="org">
    <w:name w:val="org"/>
    <w:basedOn w:val="DefaultParagraphFont"/>
    <w:rsid w:val="007B7E0A"/>
  </w:style>
  <w:style w:type="character" w:customStyle="1" w:styleId="locality">
    <w:name w:val="locality"/>
    <w:basedOn w:val="DefaultParagraphFont"/>
    <w:rsid w:val="007B7E0A"/>
  </w:style>
  <w:style w:type="character" w:customStyle="1" w:styleId="region">
    <w:name w:val="region"/>
    <w:basedOn w:val="DefaultParagraphFont"/>
    <w:rsid w:val="007B7E0A"/>
  </w:style>
  <w:style w:type="character" w:customStyle="1" w:styleId="postal-code">
    <w:name w:val="postal-code"/>
    <w:basedOn w:val="DefaultParagraphFont"/>
    <w:rsid w:val="007B7E0A"/>
  </w:style>
  <w:style w:type="character" w:styleId="Strong">
    <w:name w:val="Strong"/>
    <w:basedOn w:val="DefaultParagraphFont"/>
    <w:uiPriority w:val="22"/>
    <w:qFormat/>
    <w:rsid w:val="007B7E0A"/>
    <w:rPr>
      <w:b/>
      <w:bCs/>
    </w:rPr>
  </w:style>
  <w:style w:type="character" w:styleId="Emphasis">
    <w:name w:val="Emphasis"/>
    <w:basedOn w:val="DefaultParagraphFont"/>
    <w:uiPriority w:val="20"/>
    <w:qFormat/>
    <w:rsid w:val="007B7E0A"/>
    <w:rPr>
      <w:i/>
      <w:iCs/>
    </w:rPr>
  </w:style>
  <w:style w:type="paragraph" w:styleId="BalloonText">
    <w:name w:val="Balloon Text"/>
    <w:basedOn w:val="Normal"/>
    <w:link w:val="BalloonTextChar"/>
    <w:uiPriority w:val="99"/>
    <w:semiHidden/>
    <w:unhideWhenUsed/>
    <w:rsid w:val="007B7E0A"/>
    <w:rPr>
      <w:rFonts w:ascii="Tahoma" w:hAnsi="Tahoma" w:cs="Tahoma"/>
      <w:sz w:val="16"/>
      <w:szCs w:val="16"/>
    </w:rPr>
  </w:style>
  <w:style w:type="character" w:customStyle="1" w:styleId="BalloonTextChar">
    <w:name w:val="Balloon Text Char"/>
    <w:basedOn w:val="DefaultParagraphFont"/>
    <w:link w:val="BalloonText"/>
    <w:uiPriority w:val="99"/>
    <w:semiHidden/>
    <w:rsid w:val="007B7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E0A"/>
    <w:rPr>
      <w:color w:val="0000FF"/>
      <w:u w:val="single"/>
    </w:rPr>
  </w:style>
  <w:style w:type="character" w:customStyle="1" w:styleId="org">
    <w:name w:val="org"/>
    <w:basedOn w:val="DefaultParagraphFont"/>
    <w:rsid w:val="007B7E0A"/>
  </w:style>
  <w:style w:type="character" w:customStyle="1" w:styleId="locality">
    <w:name w:val="locality"/>
    <w:basedOn w:val="DefaultParagraphFont"/>
    <w:rsid w:val="007B7E0A"/>
  </w:style>
  <w:style w:type="character" w:customStyle="1" w:styleId="region">
    <w:name w:val="region"/>
    <w:basedOn w:val="DefaultParagraphFont"/>
    <w:rsid w:val="007B7E0A"/>
  </w:style>
  <w:style w:type="character" w:customStyle="1" w:styleId="postal-code">
    <w:name w:val="postal-code"/>
    <w:basedOn w:val="DefaultParagraphFont"/>
    <w:rsid w:val="007B7E0A"/>
  </w:style>
  <w:style w:type="character" w:styleId="Strong">
    <w:name w:val="Strong"/>
    <w:basedOn w:val="DefaultParagraphFont"/>
    <w:uiPriority w:val="22"/>
    <w:qFormat/>
    <w:rsid w:val="007B7E0A"/>
    <w:rPr>
      <w:b/>
      <w:bCs/>
    </w:rPr>
  </w:style>
  <w:style w:type="character" w:styleId="Emphasis">
    <w:name w:val="Emphasis"/>
    <w:basedOn w:val="DefaultParagraphFont"/>
    <w:uiPriority w:val="20"/>
    <w:qFormat/>
    <w:rsid w:val="007B7E0A"/>
    <w:rPr>
      <w:i/>
      <w:iCs/>
    </w:rPr>
  </w:style>
  <w:style w:type="paragraph" w:styleId="BalloonText">
    <w:name w:val="Balloon Text"/>
    <w:basedOn w:val="Normal"/>
    <w:link w:val="BalloonTextChar"/>
    <w:uiPriority w:val="99"/>
    <w:semiHidden/>
    <w:unhideWhenUsed/>
    <w:rsid w:val="007B7E0A"/>
    <w:rPr>
      <w:rFonts w:ascii="Tahoma" w:hAnsi="Tahoma" w:cs="Tahoma"/>
      <w:sz w:val="16"/>
      <w:szCs w:val="16"/>
    </w:rPr>
  </w:style>
  <w:style w:type="character" w:customStyle="1" w:styleId="BalloonTextChar">
    <w:name w:val="Balloon Text Char"/>
    <w:basedOn w:val="DefaultParagraphFont"/>
    <w:link w:val="BalloonText"/>
    <w:uiPriority w:val="99"/>
    <w:semiHidden/>
    <w:rsid w:val="007B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8036">
      <w:bodyDiv w:val="1"/>
      <w:marLeft w:val="0"/>
      <w:marRight w:val="0"/>
      <w:marTop w:val="0"/>
      <w:marBottom w:val="0"/>
      <w:divBdr>
        <w:top w:val="none" w:sz="0" w:space="0" w:color="auto"/>
        <w:left w:val="none" w:sz="0" w:space="0" w:color="auto"/>
        <w:bottom w:val="none" w:sz="0" w:space="0" w:color="auto"/>
        <w:right w:val="none" w:sz="0" w:space="0" w:color="auto"/>
      </w:divBdr>
    </w:div>
    <w:div w:id="21428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8fa1543760-26e-3D7e58768395&amp;d=DwMFaQ&amp;c=Xhn9KFvv0VrhnMFbYtQjTGdTU13Xl3cIMh34YNGAA48&amp;r=qsJfHyzAinbdVNM8vfXlCzg66oB4pGCCUQ-wC1smnWY&amp;m=ytLqw_ccDJP80GYZuXpVhsJVBcEgXdOx1ZWbjL7yJwY&amp;s=Ebj3Hosc6Hj5c_RZWASgnLAqChSDOa1dYeKgDcUTZ_0&amp;e=" TargetMode="External"/><Relationship Id="rId13" Type="http://schemas.openxmlformats.org/officeDocument/2006/relationships/hyperlink" Target="https://urldefense.proofpoint.com/v2/url?u=https-3A__mass.us11.list-2Dmanage.com_track_click-3Fu-3D0e9e2209abd5f7062568d9a19-26id-3D4b69750a65-26e-3D7e58768395&amp;d=DwMFaQ&amp;c=Xhn9KFvv0VrhnMFbYtQjTGdTU13Xl3cIMh34YNGAA48&amp;r=qsJfHyzAinbdVNM8vfXlCzg66oB4pGCCUQ-wC1smnWY&amp;m=ytLqw_ccDJP80GYZuXpVhsJVBcEgXdOx1ZWbjL7yJwY&amp;s=sJO66M2hX9uLtSnSES5p548j0IBJqfxYDXGO4iSSEjo&amp;e=" TargetMode="External"/><Relationship Id="rId18" Type="http://schemas.openxmlformats.org/officeDocument/2006/relationships/hyperlink" Target="https://urldefense.proofpoint.com/v2/url?u=https-3A__mass.us11.list-2Dmanage.com_track_click-3Fu-3D0e9e2209abd5f7062568d9a19-26id-3Db088c44d9e-26e-3D7e58768395&amp;d=DwMFaQ&amp;c=Xhn9KFvv0VrhnMFbYtQjTGdTU13Xl3cIMh34YNGAA48&amp;r=qsJfHyzAinbdVNM8vfXlCzg66oB4pGCCUQ-wC1smnWY&amp;m=ytLqw_ccDJP80GYZuXpVhsJVBcEgXdOx1ZWbjL7yJwY&amp;s=LtiqOf4OMaqbJvpJ7rvYIcnh10GSG34ieP9h9YLkNMI&amp;e=" TargetMode="External"/><Relationship Id="rId3" Type="http://schemas.openxmlformats.org/officeDocument/2006/relationships/settings" Target="settings.xml"/><Relationship Id="rId21"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ytLqw_ccDJP80GYZuXpVhsJVBcEgXdOx1ZWbjL7yJwY&amp;s=yepfzxEFpI0E1iI94HjySF2PGWPZeQZrSqs5UFspaY8&amp;e=" TargetMode="External"/><Relationship Id="rId7" Type="http://schemas.openxmlformats.org/officeDocument/2006/relationships/hyperlink" Target="https://urldefense.proofpoint.com/v2/url?u=https-3A__mass.us11.list-2Dmanage.com_track_click-3Fu-3D0e9e2209abd5f7062568d9a19-26id-3D11e8f273b4-26e-3D7e58768395&amp;d=DwMFaQ&amp;c=Xhn9KFvv0VrhnMFbYtQjTGdTU13Xl3cIMh34YNGAA48&amp;r=qsJfHyzAinbdVNM8vfXlCzg66oB4pGCCUQ-wC1smnWY&amp;m=ytLqw_ccDJP80GYZuXpVhsJVBcEgXdOx1ZWbjL7yJwY&amp;s=GewqFpw_pg_NbChg4gggeNnpea6Baw7cKTx0go6GRWI&amp;e=" TargetMode="External"/><Relationship Id="rId12" Type="http://schemas.openxmlformats.org/officeDocument/2006/relationships/hyperlink" Target="https://urldefense.proofpoint.com/v2/url?u=https-3A__mass.us11.list-2Dmanage.com_track_click-3Fu-3D0e9e2209abd5f7062568d9a19-26id-3D338146db42-26e-3D7e58768395&amp;d=DwMFaQ&amp;c=Xhn9KFvv0VrhnMFbYtQjTGdTU13Xl3cIMh34YNGAA48&amp;r=qsJfHyzAinbdVNM8vfXlCzg66oB4pGCCUQ-wC1smnWY&amp;m=ytLqw_ccDJP80GYZuXpVhsJVBcEgXdOx1ZWbjL7yJwY&amp;s=rOTgk9y3XlU9_hZ7qeUguL9XSvnM5wwVam5vcYS9OsA&amp;e="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858702f2e4-26e-3D7e58768395&amp;d=DwMFaQ&amp;c=Xhn9KFvv0VrhnMFbYtQjTGdTU13Xl3cIMh34YNGAA48&amp;r=qsJfHyzAinbdVNM8vfXlCzg66oB4pGCCUQ-wC1smnWY&amp;m=ytLqw_ccDJP80GYZuXpVhsJVBcEgXdOx1ZWbjL7yJwY&amp;s=LGsEC8GIjBvYyF42jt--HiOuE1Tz_CJeq9nSVni0tt8&amp;e=" TargetMode="External"/><Relationship Id="rId20" Type="http://schemas.openxmlformats.org/officeDocument/2006/relationships/hyperlink" Target="//mass.us11.list-manage.com/vcard?u=0e9e2209abd5f7062568d9a19&amp;id=9ac8b63e31"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c82167c5bb-26e-3D7e58768395&amp;d=DwMFaQ&amp;c=Xhn9KFvv0VrhnMFbYtQjTGdTU13Xl3cIMh34YNGAA48&amp;r=qsJfHyzAinbdVNM8vfXlCzg66oB4pGCCUQ-wC1smnWY&amp;m=ytLqw_ccDJP80GYZuXpVhsJVBcEgXdOx1ZWbjL7yJwY&amp;s=6gnTk7eAQ-MyC7UrLPk39ysU-ilBuwpPwnhBIbmxYAo&amp;e=" TargetMode="External"/><Relationship Id="rId11" Type="http://schemas.openxmlformats.org/officeDocument/2006/relationships/hyperlink" Target="mailto:taxprofeedback@dor.state.ma.u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urldefense.proofpoint.com/v2/url?u=https-3A__mass.us11.list-2Dmanage.com_track_click-3Fu-3D0e9e2209abd5f7062568d9a19-26id-3D4473d136c2-26e-3D7e58768395&amp;d=DwMFaQ&amp;c=Xhn9KFvv0VrhnMFbYtQjTGdTU13Xl3cIMh34YNGAA48&amp;r=qsJfHyzAinbdVNM8vfXlCzg66oB4pGCCUQ-wC1smnWY&amp;m=ytLqw_ccDJP80GYZuXpVhsJVBcEgXdOx1ZWbjL7yJwY&amp;s=jsJmyJA5wQ1ADifEipsqjaIRcrgP-JW2UJfHwOJC2Aw&amp;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88f84938ad-26e-3D7e58768395&amp;d=DwMFaQ&amp;c=Xhn9KFvv0VrhnMFbYtQjTGdTU13Xl3cIMh34YNGAA48&amp;r=qsJfHyzAinbdVNM8vfXlCzg66oB4pGCCUQ-wC1smnWY&amp;m=ytLqw_ccDJP80GYZuXpVhsJVBcEgXdOx1ZWbjL7yJwY&amp;s=zmaeO_AraooD0mjE9nAw6ESWtwHr9gEMWwQCuIH6JS0&amp;e=" TargetMode="External"/><Relationship Id="rId14" Type="http://schemas.openxmlformats.org/officeDocument/2006/relationships/hyperlink" Target="https://urldefense.proofpoint.com/v2/url?u=https-3A__mass.us11.list-2Dmanage.com_track_click-3Fu-3D0e9e2209abd5f7062568d9a19-26id-3D956f43c5f7-26e-3D7e58768395&amp;d=DwMFaQ&amp;c=Xhn9KFvv0VrhnMFbYtQjTGdTU13Xl3cIMh34YNGAA48&amp;r=qsJfHyzAinbdVNM8vfXlCzg66oB4pGCCUQ-wC1smnWY&amp;m=ytLqw_ccDJP80GYZuXpVhsJVBcEgXdOx1ZWbjL7yJwY&amp;s=QyayUhNzgYZH7oQcfkOdyqc3ZZaeYP4YDvwoq7pg44s&amp;e=" TargetMode="External"/><Relationship Id="rId22" Type="http://schemas.openxmlformats.org/officeDocument/2006/relationships/hyperlink" Target="https://urldefense.proofpoint.com/v2/url?u=https-3A__mass.us11.list-2Dmanage.com_unsubscribe-3Fu-3D0e9e2209abd5f7062568d9a19-26id-3D9ac8b63e31-26e-3D7e58768395-26c-3D42987dbd6c&amp;d=DwMFaQ&amp;c=Xhn9KFvv0VrhnMFbYtQjTGdTU13Xl3cIMh34YNGAA48&amp;r=qsJfHyzAinbdVNM8vfXlCzg66oB4pGCCUQ-wC1smnWY&amp;m=ytLqw_ccDJP80GYZuXpVhsJVBcEgXdOx1ZWbjL7yJwY&amp;s=MSLF63ioOTP7rNoAYcxnjcI2wDD-cIxHq3n6SSbHZY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2</cp:revision>
  <dcterms:created xsi:type="dcterms:W3CDTF">2018-02-14T15:18:00Z</dcterms:created>
  <dcterms:modified xsi:type="dcterms:W3CDTF">2018-02-14T15:18:00Z</dcterms:modified>
</cp:coreProperties>
</file>