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7E4B66" w:rsidTr="007E4B66">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7E4B66">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E4B66">
                    <w:tc>
                      <w:tcPr>
                        <w:tcW w:w="0" w:type="auto"/>
                        <w:tcMar>
                          <w:top w:w="0" w:type="dxa"/>
                          <w:left w:w="135" w:type="dxa"/>
                          <w:bottom w:w="0" w:type="dxa"/>
                          <w:right w:w="135" w:type="dxa"/>
                        </w:tcMar>
                        <w:hideMark/>
                      </w:tcPr>
                      <w:p w:rsidR="007E4B66" w:rsidRDefault="007E4B66">
                        <w:pPr>
                          <w:jc w:val="center"/>
                        </w:pPr>
                        <w:r>
                          <w:rPr>
                            <w:noProof/>
                          </w:rPr>
                          <w:drawing>
                            <wp:inline distT="0" distB="0" distL="0" distR="0">
                              <wp:extent cx="5372100" cy="1149350"/>
                              <wp:effectExtent l="0" t="0" r="0" b="0"/>
                              <wp:docPr id="5" name="Picture 5" descr="https://gallery.mailchimp.com/0e9e2209abd5f7062568d9a19/images/d90bf80c-1cab-40d9-9245-8385b4fa6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0e9e2209abd5f7062568d9a19/images/d90bf80c-1cab-40d9-9245-8385b4fa63b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1149350"/>
                                      </a:xfrm>
                                      <a:prstGeom prst="rect">
                                        <a:avLst/>
                                      </a:prstGeom>
                                      <a:noFill/>
                                      <a:ln>
                                        <a:noFill/>
                                      </a:ln>
                                    </pic:spPr>
                                  </pic:pic>
                                </a:graphicData>
                              </a:graphic>
                            </wp:inline>
                          </w:drawing>
                        </w:r>
                      </w:p>
                    </w:tc>
                  </w:tr>
                </w:tbl>
                <w:p w:rsidR="007E4B66" w:rsidRDefault="007E4B66">
                  <w:pPr>
                    <w:rPr>
                      <w:rFonts w:eastAsia="Times New Roman"/>
                      <w:sz w:val="20"/>
                      <w:szCs w:val="20"/>
                    </w:rPr>
                  </w:pPr>
                </w:p>
              </w:tc>
            </w:tr>
          </w:tbl>
          <w:p w:rsidR="007E4B66" w:rsidRDefault="007E4B66">
            <w:pPr>
              <w:rPr>
                <w:rFonts w:eastAsia="Times New Roman"/>
                <w:sz w:val="20"/>
                <w:szCs w:val="20"/>
              </w:rPr>
            </w:pPr>
          </w:p>
        </w:tc>
      </w:tr>
      <w:tr w:rsidR="007E4B66" w:rsidTr="007E4B6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7E4B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7E4B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E4B66">
                          <w:tc>
                            <w:tcPr>
                              <w:tcW w:w="0" w:type="auto"/>
                              <w:tcMar>
                                <w:top w:w="0" w:type="dxa"/>
                                <w:left w:w="270" w:type="dxa"/>
                                <w:bottom w:w="135" w:type="dxa"/>
                                <w:right w:w="270" w:type="dxa"/>
                              </w:tcMar>
                              <w:hideMark/>
                            </w:tcPr>
                            <w:p w:rsidR="007E4B66" w:rsidRDefault="007E4B66">
                              <w:pPr>
                                <w:spacing w:line="360" w:lineRule="auto"/>
                                <w:rPr>
                                  <w:rFonts w:ascii="Helvetica" w:hAnsi="Helvetica" w:cs="Helvetica"/>
                                  <w:color w:val="202020"/>
                                </w:rPr>
                              </w:pPr>
                              <w:r>
                                <w:rPr>
                                  <w:rStyle w:val="Strong"/>
                                  <w:rFonts w:ascii="Georgia" w:hAnsi="Georgia"/>
                                  <w:color w:val="202020"/>
                                </w:rPr>
                                <w:t>Tax refunds</w:t>
                              </w:r>
                              <w:r>
                                <w:rPr>
                                  <w:rFonts w:ascii="Georgia" w:hAnsi="Georgia"/>
                                  <w:color w:val="202020"/>
                                </w:rPr>
                                <w:br/>
                                <w:t>Over 383,000 refunds have already gone out to taxpayers for this filing season. In general, taxpayers should anticipate a refund within 4-6 weeks after filing online, and 8-10 weeks after filing a paper return. </w:t>
                              </w:r>
                              <w:hyperlink r:id="rId6" w:history="1">
                                <w:r>
                                  <w:rPr>
                                    <w:rStyle w:val="Hyperlink"/>
                                    <w:rFonts w:ascii="Georgia" w:hAnsi="Georgia"/>
                                    <w:color w:val="007C89"/>
                                  </w:rPr>
                                  <w:t>Where’s My Refund</w:t>
                                </w:r>
                              </w:hyperlink>
                              <w:hyperlink r:id="rId7" w:tgtFrame="_blank" w:history="1">
                                <w:r>
                                  <w:rPr>
                                    <w:rStyle w:val="Hyperlink"/>
                                    <w:rFonts w:ascii="Georgia" w:hAnsi="Georgia"/>
                                    <w:color w:val="007C89"/>
                                  </w:rPr>
                                  <w:t>?</w:t>
                                </w:r>
                              </w:hyperlink>
                              <w:r>
                                <w:rPr>
                                  <w:rFonts w:ascii="Georgia" w:hAnsi="Georgia"/>
                                  <w:color w:val="202020"/>
                                </w:rPr>
                                <w:t xml:space="preserve"> </w:t>
                              </w:r>
                              <w:proofErr w:type="gramStart"/>
                              <w:r>
                                <w:rPr>
                                  <w:rFonts w:ascii="Georgia" w:hAnsi="Georgia"/>
                                  <w:color w:val="202020"/>
                                </w:rPr>
                                <w:t>gives</w:t>
                              </w:r>
                              <w:proofErr w:type="gramEnd"/>
                              <w:r>
                                <w:rPr>
                                  <w:rFonts w:ascii="Georgia" w:hAnsi="Georgia"/>
                                  <w:color w:val="202020"/>
                                </w:rPr>
                                <w:t xml:space="preserve"> taxpayers the status of their refund. If taxpayer information has changed from last year, such as address or bank account information, additional steps may be taken for verification and could add some time to the wait for a refund.</w:t>
                              </w:r>
                              <w:r>
                                <w:rPr>
                                  <w:rFonts w:ascii="Georgia" w:hAnsi="Georgia"/>
                                  <w:color w:val="202020"/>
                                </w:rPr>
                                <w:br/>
                                <w:t> </w:t>
                              </w:r>
                              <w:r>
                                <w:rPr>
                                  <w:rFonts w:ascii="Georgia" w:hAnsi="Georgia"/>
                                  <w:color w:val="202020"/>
                                </w:rPr>
                                <w:br/>
                              </w:r>
                              <w:r>
                                <w:rPr>
                                  <w:rStyle w:val="Strong"/>
                                  <w:rFonts w:ascii="Georgia" w:hAnsi="Georgia"/>
                                  <w:color w:val="202020"/>
                                </w:rPr>
                                <w:t>Third parties may now register for client’s energy exemption</w:t>
                              </w:r>
                              <w:r>
                                <w:rPr>
                                  <w:rFonts w:ascii="Georgia" w:hAnsi="Georgia"/>
                                  <w:color w:val="202020"/>
                                </w:rPr>
                                <w:br/>
                                <w:t xml:space="preserve">A third party, with access rights to a client’s </w:t>
                              </w:r>
                              <w:proofErr w:type="spellStart"/>
                              <w:r>
                                <w:rPr>
                                  <w:rFonts w:ascii="Georgia" w:hAnsi="Georgia"/>
                                  <w:color w:val="202020"/>
                                </w:rPr>
                                <w:t>MassTaxConnect</w:t>
                              </w:r>
                              <w:proofErr w:type="spellEnd"/>
                              <w:r>
                                <w:rPr>
                                  <w:rFonts w:ascii="Georgia" w:hAnsi="Georgia"/>
                                  <w:color w:val="202020"/>
                                </w:rPr>
                                <w:t xml:space="preserve"> account for at least one tax type, can now register for the small business energy exemption on behalf of the client. The certificate will be mailed to the client. Only the client will be able to obtain a copy of the exemption certificate or view the certificate through </w:t>
                              </w:r>
                              <w:proofErr w:type="spellStart"/>
                              <w:r>
                                <w:rPr>
                                  <w:rFonts w:ascii="Georgia" w:hAnsi="Georgia"/>
                                  <w:color w:val="202020"/>
                                </w:rPr>
                                <w:t>MassTaxConnect</w:t>
                              </w:r>
                              <w:proofErr w:type="spellEnd"/>
                              <w:r>
                                <w:rPr>
                                  <w:rFonts w:ascii="Georgia" w:hAnsi="Georgia"/>
                                  <w:color w:val="202020"/>
                                </w:rPr>
                                <w:t xml:space="preserve">. Learn more about the </w:t>
                              </w:r>
                              <w:hyperlink r:id="rId8" w:history="1">
                                <w:r>
                                  <w:rPr>
                                    <w:rStyle w:val="Hyperlink"/>
                                    <w:rFonts w:ascii="Georgia" w:hAnsi="Georgia"/>
                                    <w:color w:val="007C89"/>
                                  </w:rPr>
                                  <w:t>small business energy exemption</w:t>
                                </w:r>
                              </w:hyperlink>
                              <w:r>
                                <w:rPr>
                                  <w:rFonts w:ascii="Georgia" w:hAnsi="Georgia"/>
                                  <w:color w:val="202020"/>
                                </w:rPr>
                                <w:t>.</w:t>
                              </w:r>
                              <w:r>
                                <w:rPr>
                                  <w:rFonts w:ascii="Georgia" w:hAnsi="Georgia"/>
                                  <w:color w:val="202020"/>
                                </w:rPr>
                                <w:br/>
                                <w:t> </w:t>
                              </w:r>
                              <w:r>
                                <w:rPr>
                                  <w:rFonts w:ascii="Georgia" w:hAnsi="Georgia"/>
                                  <w:color w:val="202020"/>
                                </w:rPr>
                                <w:br/>
                              </w:r>
                              <w:r>
                                <w:rPr>
                                  <w:rStyle w:val="Strong"/>
                                  <w:rFonts w:ascii="Georgia" w:hAnsi="Georgia"/>
                                  <w:color w:val="202020"/>
                                </w:rPr>
                                <w:t>Short-term rental room occupancy excise</w:t>
                              </w:r>
                              <w:r>
                                <w:rPr>
                                  <w:rFonts w:ascii="Georgia" w:hAnsi="Georgia"/>
                                  <w:color w:val="202020"/>
                                </w:rPr>
                                <w:br/>
                                <w:t xml:space="preserve">Legislation was signed late last year that expanded the application of the room occupancy excise to short-term rentals as of July 1, 2019. We have posted information that includes </w:t>
                              </w:r>
                              <w:hyperlink r:id="rId9" w:history="1">
                                <w:r>
                                  <w:rPr>
                                    <w:rStyle w:val="Hyperlink"/>
                                    <w:rFonts w:ascii="Georgia" w:hAnsi="Georgia"/>
                                    <w:color w:val="007C89"/>
                                  </w:rPr>
                                  <w:t>detailed frequently asked questions</w:t>
                                </w:r>
                              </w:hyperlink>
                              <w:r>
                                <w:rPr>
                                  <w:rFonts w:ascii="Georgia" w:hAnsi="Georgia"/>
                                  <w:color w:val="202020"/>
                                </w:rPr>
                                <w:t xml:space="preserve"> and a link to the </w:t>
                              </w:r>
                              <w:hyperlink r:id="rId10" w:history="1">
                                <w:r>
                                  <w:rPr>
                                    <w:rStyle w:val="Hyperlink"/>
                                    <w:rFonts w:ascii="Georgia" w:hAnsi="Georgia"/>
                                    <w:color w:val="007C89"/>
                                  </w:rPr>
                                  <w:t>draft technical information release</w:t>
                                </w:r>
                              </w:hyperlink>
                              <w:r>
                                <w:rPr>
                                  <w:rFonts w:ascii="Georgia" w:hAnsi="Georgia"/>
                                  <w:color w:val="202020"/>
                                </w:rPr>
                                <w:t>. Be sure to check back for updates.</w:t>
                              </w:r>
                              <w:r>
                                <w:rPr>
                                  <w:rFonts w:ascii="Georgia" w:hAnsi="Georgia"/>
                                  <w:color w:val="202020"/>
                                </w:rPr>
                                <w:br/>
                                <w:t> </w:t>
                              </w:r>
                              <w:r>
                                <w:rPr>
                                  <w:rFonts w:ascii="Georgia" w:hAnsi="Georgia"/>
                                  <w:color w:val="202020"/>
                                </w:rPr>
                                <w:br/>
                              </w:r>
                              <w:r>
                                <w:rPr>
                                  <w:rStyle w:val="Strong"/>
                                  <w:rFonts w:ascii="Georgia" w:hAnsi="Georgia"/>
                                  <w:color w:val="202020"/>
                                </w:rPr>
                                <w:t>Paid Family Medical Leave</w:t>
                              </w:r>
                              <w:r>
                                <w:rPr>
                                  <w:rFonts w:ascii="Georgia" w:hAnsi="Georgia"/>
                                  <w:color w:val="202020"/>
                                </w:rPr>
                                <w:br/>
                                <w:t xml:space="preserve">We provided some information on this last month, and will continue to push out news on this important initiative to you. The </w:t>
                              </w:r>
                              <w:hyperlink r:id="rId11" w:history="1">
                                <w:r>
                                  <w:rPr>
                                    <w:rStyle w:val="Hyperlink"/>
                                    <w:rFonts w:ascii="Georgia" w:hAnsi="Georgia"/>
                                    <w:color w:val="007C89"/>
                                  </w:rPr>
                                  <w:t>draft regulations</w:t>
                                </w:r>
                              </w:hyperlink>
                              <w:r>
                                <w:rPr>
                                  <w:rFonts w:ascii="Georgia" w:hAnsi="Georgia"/>
                                  <w:color w:val="202020"/>
                                </w:rPr>
                                <w:t xml:space="preserve"> have now been posted on the DFML website and two additional </w:t>
                              </w:r>
                              <w:hyperlink r:id="rId12" w:history="1">
                                <w:r>
                                  <w:rPr>
                                    <w:rStyle w:val="Hyperlink"/>
                                    <w:rFonts w:ascii="Georgia" w:hAnsi="Georgia"/>
                                    <w:color w:val="007C89"/>
                                  </w:rPr>
                                  <w:t>listening sessions</w:t>
                                </w:r>
                              </w:hyperlink>
                              <w:r>
                                <w:rPr>
                                  <w:rFonts w:ascii="Georgia" w:hAnsi="Georgia"/>
                                  <w:color w:val="202020"/>
                                </w:rPr>
                                <w:t xml:space="preserve"> were added.</w:t>
                              </w:r>
                              <w:r>
                                <w:rPr>
                                  <w:rFonts w:ascii="Georgia" w:hAnsi="Georgia"/>
                                  <w:color w:val="202020"/>
                                </w:rPr>
                                <w:br/>
                              </w:r>
                              <w:r>
                                <w:rPr>
                                  <w:rFonts w:ascii="Georgia" w:hAnsi="Georgia"/>
                                  <w:color w:val="202020"/>
                                </w:rPr>
                                <w:lastRenderedPageBreak/>
                                <w:t> </w:t>
                              </w:r>
                              <w:r>
                                <w:rPr>
                                  <w:rFonts w:ascii="Georgia" w:hAnsi="Georgia"/>
                                  <w:color w:val="202020"/>
                                </w:rPr>
                                <w:br/>
                              </w:r>
                              <w:r>
                                <w:rPr>
                                  <w:rStyle w:val="Strong"/>
                                  <w:rFonts w:ascii="Georgia" w:hAnsi="Georgia"/>
                                  <w:color w:val="202020"/>
                                </w:rPr>
                                <w:t>Low Income Taxpayer Clinic Grants Awarded</w:t>
                              </w:r>
                              <w:r>
                                <w:rPr>
                                  <w:rFonts w:ascii="Georgia" w:hAnsi="Georgia"/>
                                  <w:color w:val="202020"/>
                                </w:rPr>
                                <w:br/>
                                <w:t xml:space="preserve">DOR recently awarded grants for low income taxpayer clinics to Greater Boston Legal Services, Legal Services Center of Harvard Law School in Jamaica Plain, and Springfield Partners LITC in Springfield. These clinics offer assistance to qualified taxpayers with collection issues, audits, appeals and responses to DOR notices. They do not prepare current year tax returns. Check our </w:t>
                              </w:r>
                              <w:hyperlink r:id="rId13" w:history="1">
                                <w:r>
                                  <w:rPr>
                                    <w:rStyle w:val="Hyperlink"/>
                                    <w:rFonts w:ascii="Georgia" w:hAnsi="Georgia"/>
                                    <w:color w:val="007C89"/>
                                  </w:rPr>
                                  <w:t>Find a Tax Professional page</w:t>
                                </w:r>
                              </w:hyperlink>
                              <w:r>
                                <w:rPr>
                                  <w:rFonts w:ascii="Georgia" w:hAnsi="Georgia"/>
                                  <w:color w:val="202020"/>
                                </w:rPr>
                                <w:t xml:space="preserve"> for contact information.</w:t>
                              </w:r>
                              <w:r>
                                <w:rPr>
                                  <w:rFonts w:ascii="Georgia" w:hAnsi="Georgia"/>
                                  <w:color w:val="202020"/>
                                </w:rPr>
                                <w:br/>
                                <w:t> </w:t>
                              </w:r>
                              <w:r>
                                <w:rPr>
                                  <w:rFonts w:ascii="Georgia" w:hAnsi="Georgia"/>
                                  <w:color w:val="202020"/>
                                </w:rPr>
                                <w:br/>
                              </w:r>
                              <w:r>
                                <w:rPr>
                                  <w:rStyle w:val="Strong"/>
                                  <w:rFonts w:ascii="Georgia" w:hAnsi="Georgia"/>
                                  <w:color w:val="202020"/>
                                </w:rPr>
                                <w:t>Circuit Breaker</w:t>
                              </w:r>
                              <w:r>
                                <w:rPr>
                                  <w:rFonts w:ascii="Georgia" w:hAnsi="Georgia"/>
                                  <w:color w:val="202020"/>
                                </w:rPr>
                                <w:br/>
                                <w:t xml:space="preserve">Criteria for sending out notices for more information on the </w:t>
                              </w:r>
                              <w:hyperlink r:id="rId14" w:history="1">
                                <w:r>
                                  <w:rPr>
                                    <w:rStyle w:val="Hyperlink"/>
                                    <w:rFonts w:ascii="Georgia" w:hAnsi="Georgia"/>
                                    <w:color w:val="007C89"/>
                                  </w:rPr>
                                  <w:t>Senior Circuit Breaker Tax Credit</w:t>
                                </w:r>
                              </w:hyperlink>
                              <w:r>
                                <w:rPr>
                                  <w:rFonts w:ascii="Georgia" w:hAnsi="Georgia"/>
                                  <w:color w:val="202020"/>
                                </w:rPr>
                                <w:t xml:space="preserve"> got a long hard look over the summer and we expect to reduce the number of requests for more information this tax season. Taxpayers who file for this credit for the first time may be asked for a real estate tax bill, so tax professionals may want to give clients a heads-up. You’ll find information on the webpage about the most common mistakes when filing for this credit.</w:t>
                              </w:r>
                              <w:r>
                                <w:rPr>
                                  <w:rFonts w:ascii="Helvetica" w:hAnsi="Helvetica" w:cs="Helvetica"/>
                                  <w:color w:val="202020"/>
                                </w:rPr>
                                <w:br/>
                              </w:r>
                              <w:r>
                                <w:rPr>
                                  <w:rFonts w:ascii="Georgia" w:hAnsi="Georgia"/>
                                  <w:color w:val="202020"/>
                                </w:rPr>
                                <w:t> </w:t>
                              </w:r>
                              <w:r>
                                <w:rPr>
                                  <w:rFonts w:ascii="Georgia" w:hAnsi="Georgia"/>
                                  <w:color w:val="202020"/>
                                </w:rPr>
                                <w:br/>
                              </w:r>
                              <w:r>
                                <w:rPr>
                                  <w:rStyle w:val="Strong"/>
                                  <w:rFonts w:ascii="Georgia" w:hAnsi="Georgia"/>
                                  <w:color w:val="202020"/>
                                </w:rPr>
                                <w:t>Make payments electronically</w:t>
                              </w:r>
                              <w:r>
                                <w:rPr>
                                  <w:rFonts w:ascii="Georgia" w:hAnsi="Georgia"/>
                                  <w:color w:val="202020"/>
                                </w:rPr>
                                <w:br/>
                                <w:t>It’s safe and secure, there’s instant confirmation, you can choose a bank account or credit card payment and you will eliminate 4-6 weeks of paper check processing. If a paper check is submitted separately from the tax return, be sure to use a current updated payment voucher for efficiency.</w:t>
                              </w:r>
                              <w:r>
                                <w:rPr>
                                  <w:rFonts w:ascii="Georgia" w:hAnsi="Georgia"/>
                                  <w:color w:val="202020"/>
                                </w:rPr>
                                <w:br/>
                                <w:t> </w:t>
                              </w:r>
                              <w:r>
                                <w:rPr>
                                  <w:rFonts w:ascii="Georgia" w:hAnsi="Georgia"/>
                                  <w:color w:val="202020"/>
                                </w:rPr>
                                <w:br/>
                              </w:r>
                              <w:r>
                                <w:rPr>
                                  <w:rStyle w:val="Strong"/>
                                  <w:rFonts w:ascii="Georgia" w:hAnsi="Georgia"/>
                                  <w:color w:val="202020"/>
                                </w:rPr>
                                <w:t>Fillable forms</w:t>
                              </w:r>
                              <w:r>
                                <w:rPr>
                                  <w:rFonts w:ascii="Georgia" w:hAnsi="Georgia"/>
                                  <w:color w:val="202020"/>
                                </w:rPr>
                                <w:br/>
                                <w:t xml:space="preserve">Taxpayers asked for </w:t>
                              </w:r>
                              <w:hyperlink r:id="rId15" w:history="1">
                                <w:r>
                                  <w:rPr>
                                    <w:rStyle w:val="Hyperlink"/>
                                    <w:rFonts w:ascii="Georgia" w:hAnsi="Georgia"/>
                                    <w:color w:val="007C89"/>
                                  </w:rPr>
                                  <w:t>fillable forms</w:t>
                                </w:r>
                              </w:hyperlink>
                              <w:r>
                                <w:rPr>
                                  <w:rFonts w:ascii="Georgia" w:hAnsi="Georgia"/>
                                  <w:color w:val="202020"/>
                                </w:rPr>
                                <w:t xml:space="preserve"> as an online filing choice for Massachusetts and that option is now available for this filing season. An initial hiccup in the submission of fillable forms was resolved.</w:t>
                              </w:r>
                            </w:p>
                          </w:tc>
                        </w:tr>
                      </w:tbl>
                      <w:p w:rsidR="007E4B66" w:rsidRDefault="007E4B66">
                        <w:pPr>
                          <w:rPr>
                            <w:rFonts w:eastAsia="Times New Roman"/>
                            <w:sz w:val="20"/>
                            <w:szCs w:val="20"/>
                          </w:rPr>
                        </w:pPr>
                      </w:p>
                    </w:tc>
                  </w:tr>
                </w:tbl>
                <w:p w:rsidR="007E4B66" w:rsidRDefault="007E4B66">
                  <w:pPr>
                    <w:rPr>
                      <w:rFonts w:eastAsia="Times New Roman"/>
                      <w:sz w:val="20"/>
                      <w:szCs w:val="20"/>
                    </w:rPr>
                  </w:pPr>
                </w:p>
              </w:tc>
            </w:tr>
          </w:tbl>
          <w:p w:rsidR="007E4B66" w:rsidRDefault="007E4B66"/>
          <w:tbl>
            <w:tblPr>
              <w:tblW w:w="5000" w:type="pct"/>
              <w:tblCellMar>
                <w:left w:w="0" w:type="dxa"/>
                <w:right w:w="0" w:type="dxa"/>
              </w:tblCellMar>
              <w:tblLook w:val="04A0" w:firstRow="1" w:lastRow="0" w:firstColumn="1" w:lastColumn="0" w:noHBand="0" w:noVBand="1"/>
            </w:tblPr>
            <w:tblGrid>
              <w:gridCol w:w="9360"/>
            </w:tblGrid>
            <w:tr w:rsidR="007E4B66">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2"/>
                    <w:gridCol w:w="9348"/>
                  </w:tblGrid>
                  <w:tr w:rsidR="007E4B66">
                    <w:trPr>
                      <w:jc w:val="center"/>
                    </w:trPr>
                    <w:tc>
                      <w:tcPr>
                        <w:tcW w:w="0" w:type="auto"/>
                        <w:hideMark/>
                      </w:tcPr>
                      <w:p w:rsidR="007E4B66" w:rsidRDefault="007E4B66">
                        <w:pPr>
                          <w:rPr>
                            <w:rFonts w:eastAsia="Times New Roman"/>
                            <w:sz w:val="20"/>
                            <w:szCs w:val="20"/>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48"/>
                        </w:tblGrid>
                        <w:tr w:rsidR="007E4B66">
                          <w:tc>
                            <w:tcPr>
                              <w:tcW w:w="0" w:type="auto"/>
                              <w:tcMar>
                                <w:top w:w="135" w:type="dxa"/>
                                <w:left w:w="270" w:type="dxa"/>
                                <w:bottom w:w="135" w:type="dxa"/>
                                <w:right w:w="270" w:type="dxa"/>
                              </w:tcMar>
                              <w:vAlign w:val="center"/>
                              <w:hideMark/>
                            </w:tcPr>
                            <w:tbl>
                              <w:tblPr>
                                <w:tblW w:w="5000" w:type="pct"/>
                                <w:shd w:val="clear" w:color="auto" w:fill="1A7097"/>
                                <w:tblCellMar>
                                  <w:left w:w="0" w:type="dxa"/>
                                  <w:right w:w="0" w:type="dxa"/>
                                </w:tblCellMar>
                                <w:tblLook w:val="04A0" w:firstRow="1" w:lastRow="0" w:firstColumn="1" w:lastColumn="0" w:noHBand="0" w:noVBand="1"/>
                              </w:tblPr>
                              <w:tblGrid>
                                <w:gridCol w:w="8808"/>
                              </w:tblGrid>
                              <w:tr w:rsidR="007E4B66">
                                <w:tc>
                                  <w:tcPr>
                                    <w:tcW w:w="0" w:type="auto"/>
                                    <w:shd w:val="clear" w:color="auto" w:fill="1A7097"/>
                                    <w:tcMar>
                                      <w:top w:w="270" w:type="dxa"/>
                                      <w:left w:w="270" w:type="dxa"/>
                                      <w:bottom w:w="270" w:type="dxa"/>
                                      <w:right w:w="270" w:type="dxa"/>
                                    </w:tcMar>
                                    <w:hideMark/>
                                  </w:tcPr>
                                  <w:p w:rsidR="007E4B66" w:rsidRDefault="007E4B66">
                                    <w:pPr>
                                      <w:spacing w:line="360" w:lineRule="auto"/>
                                      <w:jc w:val="center"/>
                                      <w:rPr>
                                        <w:rFonts w:ascii="Helvetica" w:hAnsi="Helvetica" w:cs="Helvetica"/>
                                        <w:color w:val="F2F2F2"/>
                                        <w:sz w:val="21"/>
                                        <w:szCs w:val="21"/>
                                      </w:rPr>
                                    </w:pPr>
                                    <w:bookmarkStart w:id="0" w:name="_GoBack"/>
                                    <w:r>
                                      <w:rPr>
                                        <w:rStyle w:val="Strong"/>
                                        <w:rFonts w:ascii="Helvetica" w:hAnsi="Helvetica" w:cs="Helvetica"/>
                                        <w:color w:val="F2F2F2"/>
                                        <w:sz w:val="27"/>
                                        <w:szCs w:val="27"/>
                                      </w:rPr>
                                      <w:t>DOR News - February 2019 </w:t>
                                    </w:r>
                                    <w:r>
                                      <w:rPr>
                                        <w:rFonts w:ascii="Helvetica" w:hAnsi="Helvetica" w:cs="Helvetica"/>
                                        <w:color w:val="F2F2F2"/>
                                        <w:sz w:val="21"/>
                                        <w:szCs w:val="21"/>
                                      </w:rPr>
                                      <w:t xml:space="preserve"> </w:t>
                                    </w:r>
                                    <w:bookmarkEnd w:id="0"/>
                                  </w:p>
                                </w:tc>
                              </w:tr>
                            </w:tbl>
                            <w:p w:rsidR="007E4B66" w:rsidRDefault="007E4B66">
                              <w:pPr>
                                <w:rPr>
                                  <w:rFonts w:eastAsia="Times New Roman"/>
                                  <w:sz w:val="20"/>
                                  <w:szCs w:val="20"/>
                                </w:rPr>
                              </w:pPr>
                            </w:p>
                          </w:tc>
                        </w:tr>
                      </w:tbl>
                      <w:p w:rsidR="007E4B66" w:rsidRDefault="007E4B66">
                        <w:pPr>
                          <w:rPr>
                            <w:rFonts w:eastAsia="Times New Roman"/>
                            <w:sz w:val="20"/>
                            <w:szCs w:val="20"/>
                          </w:rPr>
                        </w:pPr>
                      </w:p>
                    </w:tc>
                  </w:tr>
                </w:tbl>
                <w:p w:rsidR="007E4B66" w:rsidRDefault="007E4B66">
                  <w:pPr>
                    <w:jc w:val="center"/>
                    <w:rPr>
                      <w:rFonts w:eastAsia="Times New Roman"/>
                      <w:sz w:val="20"/>
                      <w:szCs w:val="20"/>
                    </w:rPr>
                  </w:pPr>
                </w:p>
              </w:tc>
            </w:tr>
          </w:tbl>
          <w:p w:rsidR="007E4B66" w:rsidRDefault="007E4B66">
            <w:pPr>
              <w:rPr>
                <w:rFonts w:eastAsia="Times New Roman"/>
              </w:rPr>
            </w:pPr>
          </w:p>
        </w:tc>
      </w:tr>
      <w:tr w:rsidR="007E4B66" w:rsidTr="007E4B66">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7E4B66">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7E4B66">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7E4B66">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330"/>
                              </w:tblGrid>
                              <w:tr w:rsidR="007E4B66">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70"/>
                                      <w:gridCol w:w="870"/>
                                      <w:gridCol w:w="870"/>
                                      <w:gridCol w:w="720"/>
                                    </w:tblGrid>
                                    <w:tr w:rsidR="007E4B66">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7E4B66">
                                            <w:tc>
                                              <w:tcPr>
                                                <w:tcW w:w="0" w:type="auto"/>
                                                <w:tcMar>
                                                  <w:top w:w="0" w:type="dxa"/>
                                                  <w:left w:w="0" w:type="dxa"/>
                                                  <w:bottom w:w="135" w:type="dxa"/>
                                                  <w:right w:w="150" w:type="dxa"/>
                                                </w:tcMar>
                                                <w:hideMark/>
                                              </w:tcPr>
                                              <w:p w:rsidR="007E4B66" w:rsidRDefault="007E4B66">
                                                <w:pPr>
                                                  <w:jc w:val="center"/>
                                                </w:pPr>
                                                <w:r>
                                                  <w:rPr>
                                                    <w:noProof/>
                                                    <w:color w:val="0000FF"/>
                                                  </w:rPr>
                                                  <w:lastRenderedPageBreak/>
                                                  <w:drawing>
                                                    <wp:inline distT="0" distB="0" distL="0" distR="0">
                                                      <wp:extent cx="457200" cy="457200"/>
                                                      <wp:effectExtent l="0" t="0" r="0" b="0"/>
                                                      <wp:docPr id="4" name="Picture 4"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7E4B66" w:rsidRDefault="007E4B6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7E4B66">
                                            <w:tc>
                                              <w:tcPr>
                                                <w:tcW w:w="0" w:type="auto"/>
                                                <w:tcMar>
                                                  <w:top w:w="0" w:type="dxa"/>
                                                  <w:left w:w="0" w:type="dxa"/>
                                                  <w:bottom w:w="135" w:type="dxa"/>
                                                  <w:right w:w="150" w:type="dxa"/>
                                                </w:tcMar>
                                                <w:hideMark/>
                                              </w:tcPr>
                                              <w:p w:rsidR="007E4B66" w:rsidRDefault="007E4B66">
                                                <w:pPr>
                                                  <w:jc w:val="center"/>
                                                </w:pPr>
                                                <w:r>
                                                  <w:rPr>
                                                    <w:noProof/>
                                                    <w:color w:val="0000FF"/>
                                                  </w:rPr>
                                                  <w:drawing>
                                                    <wp:inline distT="0" distB="0" distL="0" distR="0">
                                                      <wp:extent cx="457200" cy="457200"/>
                                                      <wp:effectExtent l="0" t="0" r="0" b="0"/>
                                                      <wp:docPr id="3" name="Picture 3"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7E4B66" w:rsidRDefault="007E4B6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7E4B66">
                                            <w:tc>
                                              <w:tcPr>
                                                <w:tcW w:w="0" w:type="auto"/>
                                                <w:tcMar>
                                                  <w:top w:w="0" w:type="dxa"/>
                                                  <w:left w:w="0" w:type="dxa"/>
                                                  <w:bottom w:w="135" w:type="dxa"/>
                                                  <w:right w:w="150" w:type="dxa"/>
                                                </w:tcMar>
                                                <w:hideMark/>
                                              </w:tcPr>
                                              <w:p w:rsidR="007E4B66" w:rsidRDefault="007E4B66">
                                                <w:pPr>
                                                  <w:jc w:val="center"/>
                                                </w:pPr>
                                                <w:r>
                                                  <w:rPr>
                                                    <w:noProof/>
                                                    <w:color w:val="0000FF"/>
                                                  </w:rPr>
                                                  <w:drawing>
                                                    <wp:inline distT="0" distB="0" distL="0" distR="0">
                                                      <wp:extent cx="457200" cy="457200"/>
                                                      <wp:effectExtent l="0" t="0" r="0" b="0"/>
                                                      <wp:docPr id="2" name="Picture 2" descr="Websit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7E4B66" w:rsidRDefault="007E4B66">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7E4B66">
                                            <w:tc>
                                              <w:tcPr>
                                                <w:tcW w:w="0" w:type="auto"/>
                                                <w:tcMar>
                                                  <w:top w:w="0" w:type="dxa"/>
                                                  <w:left w:w="0" w:type="dxa"/>
                                                  <w:bottom w:w="135" w:type="dxa"/>
                                                  <w:right w:w="0" w:type="dxa"/>
                                                </w:tcMar>
                                                <w:hideMark/>
                                              </w:tcPr>
                                              <w:p w:rsidR="007E4B66" w:rsidRDefault="007E4B66">
                                                <w:pPr>
                                                  <w:jc w:val="center"/>
                                                </w:pPr>
                                                <w:r>
                                                  <w:rPr>
                                                    <w:noProof/>
                                                    <w:color w:val="0000FF"/>
                                                  </w:rPr>
                                                  <w:drawing>
                                                    <wp:inline distT="0" distB="0" distL="0" distR="0">
                                                      <wp:extent cx="457200" cy="457200"/>
                                                      <wp:effectExtent l="0" t="0" r="0" b="0"/>
                                                      <wp:docPr id="1" name="Picture 1" descr="Instagram">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rsidR="007E4B66" w:rsidRDefault="007E4B66">
                                          <w:pPr>
                                            <w:rPr>
                                              <w:rFonts w:eastAsia="Times New Roman"/>
                                              <w:sz w:val="20"/>
                                              <w:szCs w:val="20"/>
                                            </w:rPr>
                                          </w:pPr>
                                        </w:p>
                                      </w:tc>
                                    </w:tr>
                                  </w:tbl>
                                  <w:p w:rsidR="007E4B66" w:rsidRDefault="007E4B66">
                                    <w:pPr>
                                      <w:jc w:val="center"/>
                                      <w:rPr>
                                        <w:rFonts w:eastAsia="Times New Roman"/>
                                        <w:sz w:val="20"/>
                                        <w:szCs w:val="20"/>
                                      </w:rPr>
                                    </w:pPr>
                                  </w:p>
                                </w:tc>
                              </w:tr>
                            </w:tbl>
                            <w:p w:rsidR="007E4B66" w:rsidRDefault="007E4B66">
                              <w:pPr>
                                <w:jc w:val="center"/>
                                <w:rPr>
                                  <w:rFonts w:eastAsia="Times New Roman"/>
                                  <w:sz w:val="20"/>
                                  <w:szCs w:val="20"/>
                                </w:rPr>
                              </w:pPr>
                            </w:p>
                          </w:tc>
                        </w:tr>
                      </w:tbl>
                      <w:p w:rsidR="007E4B66" w:rsidRDefault="007E4B66">
                        <w:pPr>
                          <w:jc w:val="center"/>
                          <w:rPr>
                            <w:rFonts w:eastAsia="Times New Roman"/>
                            <w:sz w:val="20"/>
                            <w:szCs w:val="20"/>
                          </w:rPr>
                        </w:pPr>
                      </w:p>
                    </w:tc>
                  </w:tr>
                </w:tbl>
                <w:p w:rsidR="007E4B66" w:rsidRDefault="007E4B66">
                  <w:pPr>
                    <w:jc w:val="center"/>
                    <w:rPr>
                      <w:rFonts w:eastAsia="Times New Roman"/>
                      <w:sz w:val="20"/>
                      <w:szCs w:val="20"/>
                    </w:rPr>
                  </w:pPr>
                </w:p>
              </w:tc>
            </w:tr>
          </w:tbl>
          <w:p w:rsidR="007E4B66" w:rsidRDefault="007E4B66"/>
          <w:tbl>
            <w:tblPr>
              <w:tblW w:w="5000" w:type="pct"/>
              <w:tblCellMar>
                <w:left w:w="0" w:type="dxa"/>
                <w:right w:w="0" w:type="dxa"/>
              </w:tblCellMar>
              <w:tblLook w:val="04A0" w:firstRow="1" w:lastRow="0" w:firstColumn="1" w:lastColumn="0" w:noHBand="0" w:noVBand="1"/>
            </w:tblPr>
            <w:tblGrid>
              <w:gridCol w:w="9360"/>
            </w:tblGrid>
            <w:tr w:rsidR="007E4B66">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7E4B66">
                    <w:tc>
                      <w:tcPr>
                        <w:tcW w:w="0" w:type="auto"/>
                        <w:tcBorders>
                          <w:top w:val="single" w:sz="12" w:space="0" w:color="EEEEEE"/>
                          <w:left w:val="nil"/>
                          <w:bottom w:val="nil"/>
                          <w:right w:val="nil"/>
                        </w:tcBorders>
                        <w:vAlign w:val="center"/>
                        <w:hideMark/>
                      </w:tcPr>
                      <w:p w:rsidR="007E4B66" w:rsidRDefault="007E4B66">
                        <w:pPr>
                          <w:rPr>
                            <w:rFonts w:eastAsia="Times New Roman"/>
                            <w:sz w:val="20"/>
                            <w:szCs w:val="20"/>
                          </w:rPr>
                        </w:pPr>
                      </w:p>
                    </w:tc>
                  </w:tr>
                </w:tbl>
                <w:p w:rsidR="007E4B66" w:rsidRDefault="007E4B66">
                  <w:pPr>
                    <w:rPr>
                      <w:rFonts w:eastAsia="Times New Roman"/>
                      <w:sz w:val="20"/>
                      <w:szCs w:val="20"/>
                    </w:rPr>
                  </w:pPr>
                </w:p>
              </w:tc>
            </w:tr>
          </w:tbl>
          <w:p w:rsidR="007E4B66" w:rsidRDefault="007E4B66"/>
          <w:tbl>
            <w:tblPr>
              <w:tblW w:w="5000" w:type="pct"/>
              <w:tblCellMar>
                <w:left w:w="0" w:type="dxa"/>
                <w:right w:w="0" w:type="dxa"/>
              </w:tblCellMar>
              <w:tblLook w:val="04A0" w:firstRow="1" w:lastRow="0" w:firstColumn="1" w:lastColumn="0" w:noHBand="0" w:noVBand="1"/>
            </w:tblPr>
            <w:tblGrid>
              <w:gridCol w:w="9360"/>
            </w:tblGrid>
            <w:tr w:rsidR="007E4B66">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7E4B66">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E4B66">
                          <w:tc>
                            <w:tcPr>
                              <w:tcW w:w="0" w:type="auto"/>
                              <w:tcMar>
                                <w:top w:w="0" w:type="dxa"/>
                                <w:left w:w="270" w:type="dxa"/>
                                <w:bottom w:w="135" w:type="dxa"/>
                                <w:right w:w="270" w:type="dxa"/>
                              </w:tcMar>
                              <w:hideMark/>
                            </w:tcPr>
                            <w:p w:rsidR="007E4B66" w:rsidRDefault="007E4B66">
                              <w:pPr>
                                <w:spacing w:line="360" w:lineRule="auto"/>
                                <w:jc w:val="center"/>
                                <w:rPr>
                                  <w:rFonts w:ascii="Helvetica" w:hAnsi="Helvetica" w:cs="Helvetica"/>
                                  <w:color w:val="656565"/>
                                  <w:sz w:val="18"/>
                                  <w:szCs w:val="18"/>
                                </w:rPr>
                              </w:pPr>
                              <w:r>
                                <w:rPr>
                                  <w:rStyle w:val="Emphasis"/>
                                  <w:rFonts w:ascii="Helvetica" w:hAnsi="Helvetica" w:cs="Helvetica"/>
                                  <w:color w:val="656565"/>
                                  <w:sz w:val="18"/>
                                  <w:szCs w:val="18"/>
                                </w:rPr>
                                <w:t>Copyright © 2019 Massachusetts Department of Revenue, All rights reserved.</w:t>
                              </w:r>
                              <w:r>
                                <w:rPr>
                                  <w:rFonts w:ascii="Helvetica" w:hAnsi="Helvetica" w:cs="Helvetica"/>
                                  <w:color w:val="656565"/>
                                  <w:sz w:val="18"/>
                                  <w:szCs w:val="18"/>
                                </w:rPr>
                                <w:t xml:space="preserve"> </w:t>
                              </w:r>
                              <w:r>
                                <w:rPr>
                                  <w:rFonts w:ascii="Helvetica" w:hAnsi="Helvetica" w:cs="Helvetica"/>
                                  <w:color w:val="656565"/>
                                  <w:sz w:val="18"/>
                                  <w:szCs w:val="18"/>
                                </w:rPr>
                                <w:br/>
                                <w:t xml:space="preserve">You are a subscriber to the DOR Rulings &amp; Regulations Mailing List. </w:t>
                              </w:r>
                              <w:r>
                                <w:rPr>
                                  <w:rFonts w:ascii="Helvetica" w:hAnsi="Helvetica" w:cs="Helvetica"/>
                                  <w:color w:val="656565"/>
                                  <w:sz w:val="18"/>
                                  <w:szCs w:val="18"/>
                                </w:rPr>
                                <w:br/>
                              </w:r>
                              <w:r>
                                <w:rPr>
                                  <w:rFonts w:ascii="Helvetica" w:hAnsi="Helvetica" w:cs="Helvetica"/>
                                  <w:color w:val="656565"/>
                                  <w:sz w:val="18"/>
                                  <w:szCs w:val="18"/>
                                </w:rPr>
                                <w:br/>
                              </w:r>
                              <w:r>
                                <w:rPr>
                                  <w:rStyle w:val="Strong"/>
                                  <w:rFonts w:ascii="Helvetica" w:hAnsi="Helvetica" w:cs="Helvetica"/>
                                  <w:color w:val="656565"/>
                                  <w:sz w:val="18"/>
                                  <w:szCs w:val="18"/>
                                </w:rPr>
                                <w:t>Our mailing address is:</w:t>
                              </w:r>
                              <w:r>
                                <w:rPr>
                                  <w:rFonts w:ascii="Helvetica" w:hAnsi="Helvetica" w:cs="Helvetica"/>
                                  <w:color w:val="656565"/>
                                  <w:sz w:val="18"/>
                                  <w:szCs w:val="18"/>
                                </w:rPr>
                                <w:t xml:space="preserve"> </w:t>
                              </w:r>
                            </w:p>
                            <w:p w:rsidR="007E4B66" w:rsidRDefault="007E4B66">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Massachusetts Department of Revenue</w:t>
                              </w:r>
                            </w:p>
                            <w:p w:rsidR="007E4B66" w:rsidRDefault="007E4B66">
                              <w:pPr>
                                <w:spacing w:line="360" w:lineRule="auto"/>
                                <w:jc w:val="center"/>
                                <w:rPr>
                                  <w:rFonts w:ascii="Helvetica" w:hAnsi="Helvetica" w:cs="Helvetica"/>
                                  <w:color w:val="656565"/>
                                  <w:sz w:val="18"/>
                                  <w:szCs w:val="18"/>
                                </w:rPr>
                              </w:pPr>
                              <w:r>
                                <w:rPr>
                                  <w:rFonts w:ascii="Helvetica" w:hAnsi="Helvetica" w:cs="Helvetica"/>
                                  <w:color w:val="656565"/>
                                  <w:sz w:val="18"/>
                                  <w:szCs w:val="18"/>
                                </w:rPr>
                                <w:t>100 Cambridge Street</w:t>
                              </w:r>
                            </w:p>
                            <w:p w:rsidR="007E4B66" w:rsidRDefault="007E4B66">
                              <w:pPr>
                                <w:spacing w:line="360" w:lineRule="auto"/>
                                <w:jc w:val="center"/>
                                <w:rPr>
                                  <w:rFonts w:ascii="Helvetica" w:hAnsi="Helvetica" w:cs="Helvetica"/>
                                  <w:color w:val="656565"/>
                                  <w:sz w:val="18"/>
                                  <w:szCs w:val="18"/>
                                </w:rPr>
                              </w:pPr>
                              <w:r>
                                <w:rPr>
                                  <w:rFonts w:ascii="Helvetica" w:hAnsi="Helvetica" w:cs="Helvetica"/>
                                  <w:color w:val="656565"/>
                                  <w:sz w:val="18"/>
                                  <w:szCs w:val="18"/>
                                </w:rPr>
                                <w:t>8th Floor, Web and Media Services</w:t>
                              </w:r>
                            </w:p>
                            <w:p w:rsidR="007E4B66" w:rsidRDefault="007E4B66">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Boston</w:t>
                              </w:r>
                              <w:r>
                                <w:rPr>
                                  <w:rFonts w:ascii="Helvetica" w:hAnsi="Helvetica" w:cs="Helvetica"/>
                                  <w:color w:val="656565"/>
                                  <w:sz w:val="18"/>
                                  <w:szCs w:val="18"/>
                                </w:rPr>
                                <w:t xml:space="preserve">, </w:t>
                              </w:r>
                              <w:r>
                                <w:rPr>
                                  <w:rStyle w:val="region"/>
                                  <w:rFonts w:ascii="Helvetica" w:hAnsi="Helvetica" w:cs="Helvetica"/>
                                  <w:color w:val="656565"/>
                                  <w:sz w:val="18"/>
                                  <w:szCs w:val="18"/>
                                </w:rPr>
                                <w:t>MA</w:t>
                              </w:r>
                              <w:r>
                                <w:rPr>
                                  <w:rFonts w:ascii="Helvetica" w:hAnsi="Helvetica" w:cs="Helvetica"/>
                                  <w:color w:val="656565"/>
                                  <w:sz w:val="18"/>
                                  <w:szCs w:val="18"/>
                                </w:rPr>
                                <w:t xml:space="preserve"> </w:t>
                              </w:r>
                              <w:r>
                                <w:rPr>
                                  <w:rStyle w:val="postal-code"/>
                                  <w:rFonts w:ascii="Helvetica" w:hAnsi="Helvetica" w:cs="Helvetica"/>
                                  <w:color w:val="656565"/>
                                  <w:sz w:val="18"/>
                                  <w:szCs w:val="18"/>
                                </w:rPr>
                                <w:t>02114</w:t>
                              </w:r>
                            </w:p>
                            <w:p w:rsidR="007E4B66" w:rsidRDefault="007E4B66">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r:id="rId24" w:history="1">
                                <w:r>
                                  <w:rPr>
                                    <w:rStyle w:val="Hyperlink"/>
                                    <w:rFonts w:ascii="Helvetica" w:hAnsi="Helvetica" w:cs="Helvetica"/>
                                    <w:color w:val="656565"/>
                                    <w:sz w:val="18"/>
                                    <w:szCs w:val="18"/>
                                  </w:rPr>
                                  <w:t>Add us to your address book</w:t>
                                </w:r>
                              </w:hyperlink>
                            </w:p>
                            <w:p w:rsidR="007E4B66" w:rsidRDefault="007E4B66">
                              <w:pPr>
                                <w:spacing w:after="240" w:line="360" w:lineRule="auto"/>
                                <w:jc w:val="center"/>
                                <w:rPr>
                                  <w:rFonts w:ascii="Helvetica" w:hAnsi="Helvetica" w:cs="Helvetica"/>
                                  <w:color w:val="656565"/>
                                  <w:sz w:val="18"/>
                                  <w:szCs w:val="18"/>
                                </w:rPr>
                              </w:pPr>
                              <w:r>
                                <w:rPr>
                                  <w:rFonts w:ascii="Helvetica" w:hAnsi="Helvetica" w:cs="Helvetica"/>
                                  <w:color w:val="656565"/>
                                  <w:sz w:val="18"/>
                                  <w:szCs w:val="18"/>
                                </w:rPr>
                                <w:br/>
                              </w:r>
                              <w:r>
                                <w:rPr>
                                  <w:rFonts w:ascii="Helvetica" w:hAnsi="Helvetica" w:cs="Helvetica"/>
                                  <w:color w:val="656565"/>
                                  <w:sz w:val="18"/>
                                  <w:szCs w:val="18"/>
                                </w:rPr>
                                <w:br/>
                                <w:t>Want to change how you receive these emails?</w:t>
                              </w:r>
                              <w:r>
                                <w:rPr>
                                  <w:rFonts w:ascii="Helvetica" w:hAnsi="Helvetica" w:cs="Helvetica"/>
                                  <w:color w:val="656565"/>
                                  <w:sz w:val="18"/>
                                  <w:szCs w:val="18"/>
                                </w:rPr>
                                <w:br/>
                                <w:t xml:space="preserve">You can </w:t>
                              </w:r>
                              <w:hyperlink r:id="rId25" w:history="1">
                                <w:r>
                                  <w:rPr>
                                    <w:rStyle w:val="Hyperlink"/>
                                    <w:rFonts w:ascii="Helvetica" w:hAnsi="Helvetica" w:cs="Helvetica"/>
                                    <w:color w:val="656565"/>
                                    <w:sz w:val="18"/>
                                    <w:szCs w:val="18"/>
                                  </w:rPr>
                                  <w:t>update your preferences</w:t>
                                </w:r>
                              </w:hyperlink>
                              <w:r>
                                <w:rPr>
                                  <w:rFonts w:ascii="Helvetica" w:hAnsi="Helvetica" w:cs="Helvetica"/>
                                  <w:color w:val="656565"/>
                                  <w:sz w:val="18"/>
                                  <w:szCs w:val="18"/>
                                </w:rPr>
                                <w:t xml:space="preserve"> or </w:t>
                              </w:r>
                              <w:hyperlink r:id="rId26" w:history="1">
                                <w:r>
                                  <w:rPr>
                                    <w:rStyle w:val="Hyperlink"/>
                                    <w:rFonts w:ascii="Helvetica" w:hAnsi="Helvetica" w:cs="Helvetica"/>
                                    <w:color w:val="656565"/>
                                    <w:sz w:val="18"/>
                                    <w:szCs w:val="18"/>
                                  </w:rPr>
                                  <w:t>unsubscribe from this list</w:t>
                                </w:r>
                              </w:hyperlink>
                              <w:r>
                                <w:rPr>
                                  <w:rFonts w:ascii="Helvetica" w:hAnsi="Helvetica" w:cs="Helvetica"/>
                                  <w:color w:val="656565"/>
                                  <w:sz w:val="18"/>
                                  <w:szCs w:val="18"/>
                                </w:rPr>
                                <w:t xml:space="preserve"> </w:t>
                              </w:r>
                            </w:p>
                          </w:tc>
                        </w:tr>
                      </w:tbl>
                      <w:p w:rsidR="007E4B66" w:rsidRDefault="007E4B66">
                        <w:pPr>
                          <w:rPr>
                            <w:rFonts w:eastAsia="Times New Roman"/>
                            <w:sz w:val="20"/>
                            <w:szCs w:val="20"/>
                          </w:rPr>
                        </w:pPr>
                      </w:p>
                    </w:tc>
                  </w:tr>
                </w:tbl>
                <w:p w:rsidR="007E4B66" w:rsidRDefault="007E4B66">
                  <w:pPr>
                    <w:rPr>
                      <w:rFonts w:eastAsia="Times New Roman"/>
                      <w:sz w:val="20"/>
                      <w:szCs w:val="20"/>
                    </w:rPr>
                  </w:pPr>
                </w:p>
              </w:tc>
            </w:tr>
          </w:tbl>
          <w:p w:rsidR="007E4B66" w:rsidRDefault="007E4B66">
            <w:pPr>
              <w:rPr>
                <w:rFonts w:eastAsia="Times New Roman"/>
              </w:rPr>
            </w:pPr>
          </w:p>
        </w:tc>
      </w:tr>
    </w:tbl>
    <w:p w:rsidR="00133D37" w:rsidRDefault="007E4B66"/>
    <w:sectPr w:rsidR="00133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66"/>
    <w:rsid w:val="007E4B66"/>
    <w:rsid w:val="00892C15"/>
    <w:rsid w:val="00B2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B66"/>
    <w:rPr>
      <w:color w:val="0000FF"/>
      <w:u w:val="single"/>
    </w:rPr>
  </w:style>
  <w:style w:type="character" w:customStyle="1" w:styleId="org">
    <w:name w:val="org"/>
    <w:basedOn w:val="DefaultParagraphFont"/>
    <w:rsid w:val="007E4B66"/>
  </w:style>
  <w:style w:type="character" w:customStyle="1" w:styleId="locality">
    <w:name w:val="locality"/>
    <w:basedOn w:val="DefaultParagraphFont"/>
    <w:rsid w:val="007E4B66"/>
  </w:style>
  <w:style w:type="character" w:customStyle="1" w:styleId="region">
    <w:name w:val="region"/>
    <w:basedOn w:val="DefaultParagraphFont"/>
    <w:rsid w:val="007E4B66"/>
  </w:style>
  <w:style w:type="character" w:customStyle="1" w:styleId="postal-code">
    <w:name w:val="postal-code"/>
    <w:basedOn w:val="DefaultParagraphFont"/>
    <w:rsid w:val="007E4B66"/>
  </w:style>
  <w:style w:type="character" w:styleId="Strong">
    <w:name w:val="Strong"/>
    <w:basedOn w:val="DefaultParagraphFont"/>
    <w:uiPriority w:val="22"/>
    <w:qFormat/>
    <w:rsid w:val="007E4B66"/>
    <w:rPr>
      <w:b/>
      <w:bCs/>
    </w:rPr>
  </w:style>
  <w:style w:type="character" w:styleId="Emphasis">
    <w:name w:val="Emphasis"/>
    <w:basedOn w:val="DefaultParagraphFont"/>
    <w:uiPriority w:val="20"/>
    <w:qFormat/>
    <w:rsid w:val="007E4B66"/>
    <w:rPr>
      <w:i/>
      <w:iCs/>
    </w:rPr>
  </w:style>
  <w:style w:type="paragraph" w:styleId="BalloonText">
    <w:name w:val="Balloon Text"/>
    <w:basedOn w:val="Normal"/>
    <w:link w:val="BalloonTextChar"/>
    <w:uiPriority w:val="99"/>
    <w:semiHidden/>
    <w:unhideWhenUsed/>
    <w:rsid w:val="007E4B66"/>
    <w:rPr>
      <w:rFonts w:ascii="Tahoma" w:hAnsi="Tahoma" w:cs="Tahoma"/>
      <w:sz w:val="16"/>
      <w:szCs w:val="16"/>
    </w:rPr>
  </w:style>
  <w:style w:type="character" w:customStyle="1" w:styleId="BalloonTextChar">
    <w:name w:val="Balloon Text Char"/>
    <w:basedOn w:val="DefaultParagraphFont"/>
    <w:link w:val="BalloonText"/>
    <w:uiPriority w:val="99"/>
    <w:semiHidden/>
    <w:rsid w:val="007E4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B66"/>
    <w:rPr>
      <w:color w:val="0000FF"/>
      <w:u w:val="single"/>
    </w:rPr>
  </w:style>
  <w:style w:type="character" w:customStyle="1" w:styleId="org">
    <w:name w:val="org"/>
    <w:basedOn w:val="DefaultParagraphFont"/>
    <w:rsid w:val="007E4B66"/>
  </w:style>
  <w:style w:type="character" w:customStyle="1" w:styleId="locality">
    <w:name w:val="locality"/>
    <w:basedOn w:val="DefaultParagraphFont"/>
    <w:rsid w:val="007E4B66"/>
  </w:style>
  <w:style w:type="character" w:customStyle="1" w:styleId="region">
    <w:name w:val="region"/>
    <w:basedOn w:val="DefaultParagraphFont"/>
    <w:rsid w:val="007E4B66"/>
  </w:style>
  <w:style w:type="character" w:customStyle="1" w:styleId="postal-code">
    <w:name w:val="postal-code"/>
    <w:basedOn w:val="DefaultParagraphFont"/>
    <w:rsid w:val="007E4B66"/>
  </w:style>
  <w:style w:type="character" w:styleId="Strong">
    <w:name w:val="Strong"/>
    <w:basedOn w:val="DefaultParagraphFont"/>
    <w:uiPriority w:val="22"/>
    <w:qFormat/>
    <w:rsid w:val="007E4B66"/>
    <w:rPr>
      <w:b/>
      <w:bCs/>
    </w:rPr>
  </w:style>
  <w:style w:type="character" w:styleId="Emphasis">
    <w:name w:val="Emphasis"/>
    <w:basedOn w:val="DefaultParagraphFont"/>
    <w:uiPriority w:val="20"/>
    <w:qFormat/>
    <w:rsid w:val="007E4B66"/>
    <w:rPr>
      <w:i/>
      <w:iCs/>
    </w:rPr>
  </w:style>
  <w:style w:type="paragraph" w:styleId="BalloonText">
    <w:name w:val="Balloon Text"/>
    <w:basedOn w:val="Normal"/>
    <w:link w:val="BalloonTextChar"/>
    <w:uiPriority w:val="99"/>
    <w:semiHidden/>
    <w:unhideWhenUsed/>
    <w:rsid w:val="007E4B66"/>
    <w:rPr>
      <w:rFonts w:ascii="Tahoma" w:hAnsi="Tahoma" w:cs="Tahoma"/>
      <w:sz w:val="16"/>
      <w:szCs w:val="16"/>
    </w:rPr>
  </w:style>
  <w:style w:type="character" w:customStyle="1" w:styleId="BalloonTextChar">
    <w:name w:val="Balloon Text Char"/>
    <w:basedOn w:val="DefaultParagraphFont"/>
    <w:link w:val="BalloonText"/>
    <w:uiPriority w:val="99"/>
    <w:semiHidden/>
    <w:rsid w:val="007E4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mass.us11.list-2Dmanage.com_track_click-3Fu-3D0e9e2209abd5f7062568d9a19-26id-3De7197002b1-26e-3D2a7ed48087&amp;d=DwMFaQ&amp;c=Xhn9KFvv0VrhnMFbYtQjTGdTU13Xl3cIMh34YNGAA48&amp;r=znZheQL4dwmzTjySvgY3yrYA6gXooZqN9NJaTVXHH-8&amp;m=YN_H443F-qGgVxy7fCECK5ZfXt-BWkJh-JuvkpSAGqY&amp;s=7sN25FeCtjA1o8oNfIYOUNXB1RUkA-v_hdPpw9FfZfU&amp;e=" TargetMode="External"/><Relationship Id="rId13" Type="http://schemas.openxmlformats.org/officeDocument/2006/relationships/hyperlink" Target="https://urldefense.proofpoint.com/v2/url?u=https-3A__mass.us11.list-2Dmanage.com_track_click-3Fu-3D0e9e2209abd5f7062568d9a19-26id-3D03dd9c1daa-26e-3D2a7ed48087&amp;d=DwMFaQ&amp;c=Xhn9KFvv0VrhnMFbYtQjTGdTU13Xl3cIMh34YNGAA48&amp;r=znZheQL4dwmzTjySvgY3yrYA6gXooZqN9NJaTVXHH-8&amp;m=YN_H443F-qGgVxy7fCECK5ZfXt-BWkJh-JuvkpSAGqY&amp;s=QDigX6E5Vyqhr3gYKWHMo_d8EjwV2SH6ZkByBwJ6QmY&amp;e=" TargetMode="External"/><Relationship Id="rId18" Type="http://schemas.openxmlformats.org/officeDocument/2006/relationships/hyperlink" Target="https://urldefense.proofpoint.com/v2/url?u=https-3A__mass.us11.list-2Dmanage.com_track_click-3Fu-3D0e9e2209abd5f7062568d9a19-26id-3D2be5ab4e5b-26e-3D2a7ed48087&amp;d=DwMFaQ&amp;c=Xhn9KFvv0VrhnMFbYtQjTGdTU13Xl3cIMh34YNGAA48&amp;r=znZheQL4dwmzTjySvgY3yrYA6gXooZqN9NJaTVXHH-8&amp;m=YN_H443F-qGgVxy7fCECK5ZfXt-BWkJh-JuvkpSAGqY&amp;s=sieysBuKQy8HrXnv8ejnv30rlm9xe68hGTKptX030VQ&amp;e=" TargetMode="External"/><Relationship Id="rId26" Type="http://schemas.openxmlformats.org/officeDocument/2006/relationships/hyperlink" Target="https://urldefense.proofpoint.com/v2/url?u=https-3A__mass.us11.list-2Dmanage.com_unsubscribe-3Fu-3D0e9e2209abd5f7062568d9a19-26id-3D9ac8b63e31-26e-3D2a7ed48087-26c-3D553b1a8768&amp;d=DwMFaQ&amp;c=Xhn9KFvv0VrhnMFbYtQjTGdTU13Xl3cIMh34YNGAA48&amp;r=znZheQL4dwmzTjySvgY3yrYA6gXooZqN9NJaTVXHH-8&amp;m=YN_H443F-qGgVxy7fCECK5ZfXt-BWkJh-JuvkpSAGqY&amp;s=8w8Fo6HrHy4Lfw7eoRIniMwhe8vhgE8f8r8f_fXEDLk&amp;e="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urldefense.proofpoint.com/v2/url?u=https-3A__mass.us11.list-2Dmanage.com_track_click-3Fu-3D0e9e2209abd5f7062568d9a19-26id-3D1787212141-26e-3D2a7ed48087&amp;d=DwMFaQ&amp;c=Xhn9KFvv0VrhnMFbYtQjTGdTU13Xl3cIMh34YNGAA48&amp;r=znZheQL4dwmzTjySvgY3yrYA6gXooZqN9NJaTVXHH-8&amp;m=YN_H443F-qGgVxy7fCECK5ZfXt-BWkJh-JuvkpSAGqY&amp;s=fIlLRJzMxlAevGrv9pJOAzOo6s3hJaUglaDfQSYjII0&amp;e=" TargetMode="External"/><Relationship Id="rId12" Type="http://schemas.openxmlformats.org/officeDocument/2006/relationships/hyperlink" Target="https://urldefense.proofpoint.com/v2/url?u=https-3A__mass.us11.list-2Dmanage.com_track_click-3Fu-3D0e9e2209abd5f7062568d9a19-26id-3D8898942a82-26e-3D2a7ed48087&amp;d=DwMFaQ&amp;c=Xhn9KFvv0VrhnMFbYtQjTGdTU13Xl3cIMh34YNGAA48&amp;r=znZheQL4dwmzTjySvgY3yrYA6gXooZqN9NJaTVXHH-8&amp;m=YN_H443F-qGgVxy7fCECK5ZfXt-BWkJh-JuvkpSAGqY&amp;s=MWHxq3XlMCzaRWjMcIgOGScCrc0nR0kMwUPyrNbUvOA&amp;e=" TargetMode="External"/><Relationship Id="rId17" Type="http://schemas.openxmlformats.org/officeDocument/2006/relationships/image" Target="media/image2.png"/><Relationship Id="rId25" Type="http://schemas.openxmlformats.org/officeDocument/2006/relationships/hyperlink" Target="https://urldefense.proofpoint.com/v2/url?u=https-3A__mass.us11.list-2Dmanage.com_profile-3Fu-3D0e9e2209abd5f7062568d9a19-26id-3D9ac8b63e31-26e-3D2a7ed48087&amp;d=DwMFaQ&amp;c=Xhn9KFvv0VrhnMFbYtQjTGdTU13Xl3cIMh34YNGAA48&amp;r=znZheQL4dwmzTjySvgY3yrYA6gXooZqN9NJaTVXHH-8&amp;m=YN_H443F-qGgVxy7fCECK5ZfXt-BWkJh-JuvkpSAGqY&amp;s=SsHL-1HOujAMVlgg9_EnUPQgyRJYSAC5URAaIrB0ptA&amp;e=" TargetMode="External"/><Relationship Id="rId2" Type="http://schemas.microsoft.com/office/2007/relationships/stylesWithEffects" Target="stylesWithEffects.xml"/><Relationship Id="rId16" Type="http://schemas.openxmlformats.org/officeDocument/2006/relationships/hyperlink" Target="https://urldefense.proofpoint.com/v2/url?u=https-3A__mass.us11.list-2Dmanage.com_track_click-3Fu-3D0e9e2209abd5f7062568d9a19-26id-3Df350475dc6-26e-3D2a7ed48087&amp;d=DwMFaQ&amp;c=Xhn9KFvv0VrhnMFbYtQjTGdTU13Xl3cIMh34YNGAA48&amp;r=znZheQL4dwmzTjySvgY3yrYA6gXooZqN9NJaTVXHH-8&amp;m=YN_H443F-qGgVxy7fCECK5ZfXt-BWkJh-JuvkpSAGqY&amp;s=CkKuKe5UQXxwVRUhv__4luAj18Z23_OZoJtSX1f-wA8&amp;e=" TargetMode="External"/><Relationship Id="rId20" Type="http://schemas.openxmlformats.org/officeDocument/2006/relationships/hyperlink" Target="https://urldefense.proofpoint.com/v2/url?u=https-3A__mass.us11.list-2Dmanage.com_track_click-3Fu-3D0e9e2209abd5f7062568d9a19-26id-3D46b46f29a1-26e-3D2a7ed48087&amp;d=DwMFaQ&amp;c=Xhn9KFvv0VrhnMFbYtQjTGdTU13Xl3cIMh34YNGAA48&amp;r=znZheQL4dwmzTjySvgY3yrYA6gXooZqN9NJaTVXHH-8&amp;m=YN_H443F-qGgVxy7fCECK5ZfXt-BWkJh-JuvkpSAGqY&amp;s=LxeIS4EKnD28hNwe9TbmwqAk60ieIbXSO83T4FQJn7s&amp;e=" TargetMode="External"/><Relationship Id="rId1" Type="http://schemas.openxmlformats.org/officeDocument/2006/relationships/styles" Target="styles.xml"/><Relationship Id="rId6" Type="http://schemas.openxmlformats.org/officeDocument/2006/relationships/hyperlink" Target="https://urldefense.proofpoint.com/v2/url?u=https-3A__mass.us11.list-2Dmanage.com_track_click-3Fu-3D0e9e2209abd5f7062568d9a19-26id-3D0d5352f6ad-26e-3D2a7ed48087&amp;d=DwMFaQ&amp;c=Xhn9KFvv0VrhnMFbYtQjTGdTU13Xl3cIMh34YNGAA48&amp;r=znZheQL4dwmzTjySvgY3yrYA6gXooZqN9NJaTVXHH-8&amp;m=YN_H443F-qGgVxy7fCECK5ZfXt-BWkJh-JuvkpSAGqY&amp;s=S-gHtg7beWxbLKzmsl-M7mIEZYSIuqOxUB8zI531_9o&amp;e=" TargetMode="External"/><Relationship Id="rId11" Type="http://schemas.openxmlformats.org/officeDocument/2006/relationships/hyperlink" Target="https://urldefense.proofpoint.com/v2/url?u=https-3A__mass.us11.list-2Dmanage.com_track_click-3Fu-3D0e9e2209abd5f7062568d9a19-26id-3D77b93e5c74-26e-3D2a7ed48087&amp;d=DwMFaQ&amp;c=Xhn9KFvv0VrhnMFbYtQjTGdTU13Xl3cIMh34YNGAA48&amp;r=znZheQL4dwmzTjySvgY3yrYA6gXooZqN9NJaTVXHH-8&amp;m=YN_H443F-qGgVxy7fCECK5ZfXt-BWkJh-JuvkpSAGqY&amp;s=xdjVu-ml48khMSgah8piUUeZ8_3f_C8BJvh9Nfj4vnU&amp;e=" TargetMode="External"/><Relationship Id="rId24" Type="http://schemas.openxmlformats.org/officeDocument/2006/relationships/hyperlink" Target="https://urldefense.proofpoint.com/v2/url?u=https-3A__mass.us11.list-2Dmanage.com_vcard-3Fu-3D0e9e2209abd5f7062568d9a19-26id-3D9ac8b63e31&amp;d=DwMFaQ&amp;c=Xhn9KFvv0VrhnMFbYtQjTGdTU13Xl3cIMh34YNGAA48&amp;r=znZheQL4dwmzTjySvgY3yrYA6gXooZqN9NJaTVXHH-8&amp;m=YN_H443F-qGgVxy7fCECK5ZfXt-BWkJh-JuvkpSAGqY&amp;s=XAdwdG8Y5BJw4zdpZuxfHWDGwtsRPS27POyHTZ32yN8&amp;e=" TargetMode="External"/><Relationship Id="rId5" Type="http://schemas.openxmlformats.org/officeDocument/2006/relationships/image" Target="media/image1.jpeg"/><Relationship Id="rId15" Type="http://schemas.openxmlformats.org/officeDocument/2006/relationships/hyperlink" Target="https://urldefense.proofpoint.com/v2/url?u=https-3A__mass.us11.list-2Dmanage.com_track_click-3Fu-3D0e9e2209abd5f7062568d9a19-26id-3D36fe45d318-26e-3D2a7ed48087&amp;d=DwMFaQ&amp;c=Xhn9KFvv0VrhnMFbYtQjTGdTU13Xl3cIMh34YNGAA48&amp;r=znZheQL4dwmzTjySvgY3yrYA6gXooZqN9NJaTVXHH-8&amp;m=YN_H443F-qGgVxy7fCECK5ZfXt-BWkJh-JuvkpSAGqY&amp;s=XUF_er6qtoNlJ0D9_IGqObDfIgsB-5JSh13BDUUjKHM&amp;e="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urldefense.proofpoint.com/v2/url?u=https-3A__mass.us11.list-2Dmanage.com_track_click-3Fu-3D0e9e2209abd5f7062568d9a19-26id-3D7447411d67-26e-3D2a7ed48087&amp;d=DwMFaQ&amp;c=Xhn9KFvv0VrhnMFbYtQjTGdTU13Xl3cIMh34YNGAA48&amp;r=znZheQL4dwmzTjySvgY3yrYA6gXooZqN9NJaTVXHH-8&amp;m=YN_H443F-qGgVxy7fCECK5ZfXt-BWkJh-JuvkpSAGqY&amp;s=Dz638j4o0FChB5awCvzD3WZx-JekvVl_w1k_lIxO6Zg&amp;e="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urldefense.proofpoint.com/v2/url?u=https-3A__mass.us11.list-2Dmanage.com_track_click-3Fu-3D0e9e2209abd5f7062568d9a19-26id-3D61f41a08bb-26e-3D2a7ed48087&amp;d=DwMFaQ&amp;c=Xhn9KFvv0VrhnMFbYtQjTGdTU13Xl3cIMh34YNGAA48&amp;r=znZheQL4dwmzTjySvgY3yrYA6gXooZqN9NJaTVXHH-8&amp;m=YN_H443F-qGgVxy7fCECK5ZfXt-BWkJh-JuvkpSAGqY&amp;s=HkBE80xJdDaXmCsvMS6A7xOaK0yCoIRGF_e580i_KjQ&amp;e=" TargetMode="External"/><Relationship Id="rId14" Type="http://schemas.openxmlformats.org/officeDocument/2006/relationships/hyperlink" Target="https://urldefense.proofpoint.com/v2/url?u=https-3A__mass.us11.list-2Dmanage.com_track_click-3Fu-3D0e9e2209abd5f7062568d9a19-26id-3D9c416e8ab1-26e-3D2a7ed48087&amp;d=DwMFaQ&amp;c=Xhn9KFvv0VrhnMFbYtQjTGdTU13Xl3cIMh34YNGAA48&amp;r=znZheQL4dwmzTjySvgY3yrYA6gXooZqN9NJaTVXHH-8&amp;m=YN_H443F-qGgVxy7fCECK5ZfXt-BWkJh-JuvkpSAGqY&amp;s=96_Np9ccmwA6W0lzNzAbA1ZhOeKbHM5ktemfiK9yl74&amp;e=" TargetMode="External"/><Relationship Id="rId22" Type="http://schemas.openxmlformats.org/officeDocument/2006/relationships/hyperlink" Target="https://urldefense.proofpoint.com/v2/url?u=https-3A__mass.us11.list-2Dmanage.com_track_click-3Fu-3D0e9e2209abd5f7062568d9a19-26id-3Db7870112e5-26e-3D2a7ed48087&amp;d=DwMFaQ&amp;c=Xhn9KFvv0VrhnMFbYtQjTGdTU13Xl3cIMh34YNGAA48&amp;r=znZheQL4dwmzTjySvgY3yrYA6gXooZqN9NJaTVXHH-8&amp;m=YN_H443F-qGgVxy7fCECK5ZfXt-BWkJh-JuvkpSAGqY&amp;s=Rdo20dV8C3_p0NwrIm1cIUhI7GpOB-QHA3uxnUiCWKA&amp;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1255</Words>
  <Characters>7158</Characters>
  <Application>Microsoft Office Word</Application>
  <DocSecurity>0</DocSecurity>
  <Lines>59</Lines>
  <Paragraphs>16</Paragraphs>
  <ScaleCrop>false</ScaleCrop>
  <Company>Commonwealth of MA</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1</cp:revision>
  <dcterms:created xsi:type="dcterms:W3CDTF">2019-03-11T18:35:00Z</dcterms:created>
  <dcterms:modified xsi:type="dcterms:W3CDTF">2019-03-11T18:40:00Z</dcterms:modified>
</cp:coreProperties>
</file>