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9360"/>
      </w:tblGrid>
      <w:tr w:rsidR="00D53F5C" w:rsidTr="00D53F5C">
        <w:trPr>
          <w:jc w:val="center"/>
        </w:trPr>
        <w:tc>
          <w:tcPr>
            <w:tcW w:w="0" w:type="auto"/>
            <w:shd w:val="clear" w:color="auto" w:fill="FAFAFA"/>
            <w:tcMar>
              <w:top w:w="135" w:type="dxa"/>
              <w:left w:w="0" w:type="dxa"/>
              <w:bottom w:w="135" w:type="dxa"/>
              <w:right w:w="0" w:type="dxa"/>
            </w:tcMar>
            <w:hideMark/>
          </w:tcPr>
          <w:p w:rsidR="00D53F5C" w:rsidRDefault="00D53F5C">
            <w:pPr>
              <w:rPr>
                <w:rFonts w:eastAsia="Times New Roman"/>
                <w:sz w:val="20"/>
                <w:szCs w:val="20"/>
              </w:rPr>
            </w:pPr>
          </w:p>
        </w:tc>
      </w:tr>
      <w:tr w:rsidR="00D53F5C" w:rsidTr="00D53F5C">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D53F5C">
              <w:tc>
                <w:tcPr>
                  <w:tcW w:w="0" w:type="auto"/>
                  <w:tcMar>
                    <w:top w:w="135" w:type="dxa"/>
                    <w:left w:w="135" w:type="dxa"/>
                    <w:bottom w:w="135" w:type="dxa"/>
                    <w:right w:w="135"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90"/>
                  </w:tblGrid>
                  <w:tr w:rsidR="00D53F5C">
                    <w:tc>
                      <w:tcPr>
                        <w:tcW w:w="0" w:type="auto"/>
                        <w:tcMar>
                          <w:top w:w="0" w:type="dxa"/>
                          <w:left w:w="135" w:type="dxa"/>
                          <w:bottom w:w="0" w:type="dxa"/>
                          <w:right w:w="135" w:type="dxa"/>
                        </w:tcMar>
                        <w:hideMark/>
                      </w:tcPr>
                      <w:p w:rsidR="00D53F5C" w:rsidRDefault="00D53F5C">
                        <w:pPr>
                          <w:jc w:val="center"/>
                          <w:rPr>
                            <w:rFonts w:eastAsia="Times New Roman"/>
                          </w:rPr>
                        </w:pPr>
                        <w:r>
                          <w:rPr>
                            <w:rFonts w:eastAsia="Times New Roman"/>
                            <w:noProof/>
                          </w:rPr>
                          <w:drawing>
                            <wp:inline distT="0" distB="0" distL="0" distR="0">
                              <wp:extent cx="5367655" cy="1185545"/>
                              <wp:effectExtent l="0" t="0" r="4445" b="0"/>
                              <wp:docPr id="1" name="Picture 1" descr="https://gallery.mailchimp.com/0e9e2209abd5f7062568d9a19/images/bce7c2b0-f05b-4c46-b935-d4ae4f007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0e9e2209abd5f7062568d9a19/images/bce7c2b0-f05b-4c46-b935-d4ae4f00767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7655" cy="1185545"/>
                                      </a:xfrm>
                                      <a:prstGeom prst="rect">
                                        <a:avLst/>
                                      </a:prstGeom>
                                      <a:noFill/>
                                      <a:ln>
                                        <a:noFill/>
                                      </a:ln>
                                    </pic:spPr>
                                  </pic:pic>
                                </a:graphicData>
                              </a:graphic>
                            </wp:inline>
                          </w:drawing>
                        </w:r>
                      </w:p>
                    </w:tc>
                  </w:tr>
                </w:tbl>
                <w:p w:rsidR="00D53F5C" w:rsidRDefault="00D53F5C">
                  <w:pPr>
                    <w:rPr>
                      <w:rFonts w:eastAsia="Times New Roman"/>
                      <w:sz w:val="20"/>
                      <w:szCs w:val="20"/>
                    </w:rPr>
                  </w:pPr>
                </w:p>
              </w:tc>
            </w:tr>
          </w:tbl>
          <w:p w:rsidR="00D53F5C" w:rsidRDefault="00D53F5C">
            <w:pPr>
              <w:rPr>
                <w:rFonts w:eastAsia="Times New Roman"/>
                <w:sz w:val="20"/>
                <w:szCs w:val="20"/>
              </w:rPr>
            </w:pPr>
          </w:p>
        </w:tc>
      </w:tr>
      <w:tr w:rsidR="00D53F5C" w:rsidTr="00D53F5C">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360"/>
            </w:tblGrid>
            <w:tr w:rsidR="00D53F5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D53F5C">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360"/>
                        </w:tblGrid>
                        <w:tr w:rsidR="00D53F5C">
                          <w:tc>
                            <w:tcPr>
                              <w:tcW w:w="0" w:type="auto"/>
                              <w:tcMar>
                                <w:top w:w="0" w:type="dxa"/>
                                <w:left w:w="270" w:type="dxa"/>
                                <w:bottom w:w="135" w:type="dxa"/>
                                <w:right w:w="270" w:type="dxa"/>
                              </w:tcMar>
                              <w:hideMark/>
                            </w:tcPr>
                            <w:p w:rsidR="00D53F5C" w:rsidRDefault="00D53F5C">
                              <w:pPr>
                                <w:spacing w:line="360" w:lineRule="auto"/>
                                <w:rPr>
                                  <w:rFonts w:ascii="Helvetica" w:eastAsia="Times New Roman" w:hAnsi="Helvetica" w:cs="Helvetica"/>
                                  <w:color w:val="202020"/>
                                </w:rPr>
                              </w:pPr>
                              <w:r>
                                <w:rPr>
                                  <w:rStyle w:val="Strong"/>
                                  <w:rFonts w:ascii="Georgia" w:eastAsia="Times New Roman" w:hAnsi="Georgia" w:cs="Helvetica"/>
                                  <w:color w:val="202020"/>
                                </w:rPr>
                                <w:t>Check out the major changes for TY2019</w:t>
                              </w:r>
                              <w:r>
                                <w:rPr>
                                  <w:rFonts w:ascii="Georgia" w:eastAsia="Times New Roman" w:hAnsi="Georgia" w:cs="Helvetica"/>
                                  <w:color w:val="202020"/>
                                </w:rPr>
                                <w:br/>
                                <w:t xml:space="preserve">In addition to learning about the filing dates for this tax season, the change in the income tax rate, and an update on the Circuit Breaker Tax Credit for Tax Year 2019, you’ll find information on the Paid Family and Medical Leave contributions and Internal Revenue Code provisions that Massachusetts does and does not adopt in </w:t>
                              </w:r>
                              <w:hyperlink r:id="rId6" w:history="1">
                                <w:r>
                                  <w:rPr>
                                    <w:rStyle w:val="Hyperlink"/>
                                    <w:rFonts w:ascii="Georgia" w:eastAsia="Times New Roman" w:hAnsi="Georgia" w:cs="Helvetica"/>
                                    <w:color w:val="007C89"/>
                                  </w:rPr>
                                  <w:t>Major 2019 Tax Changes</w:t>
                                </w:r>
                              </w:hyperlink>
                              <w:r>
                                <w:rPr>
                                  <w:rFonts w:ascii="Georgia" w:eastAsia="Times New Roman" w:hAnsi="Georgia" w:cs="Helvetica"/>
                                  <w:color w:val="202020"/>
                                </w:rPr>
                                <w:t>.</w:t>
                              </w:r>
                              <w:r>
                                <w:rPr>
                                  <w:rFonts w:ascii="Georgia" w:eastAsia="Times New Roman" w:hAnsi="Georgia" w:cs="Helvetica"/>
                                  <w:color w:val="202020"/>
                                </w:rPr>
                                <w:br/>
                                <w:t> </w:t>
                              </w:r>
                              <w:r>
                                <w:rPr>
                                  <w:rFonts w:ascii="Georgia" w:eastAsia="Times New Roman" w:hAnsi="Georgia" w:cs="Helvetica"/>
                                  <w:color w:val="202020"/>
                                </w:rPr>
                                <w:br/>
                              </w:r>
                              <w:r>
                                <w:rPr>
                                  <w:rStyle w:val="Strong"/>
                                  <w:rFonts w:ascii="Georgia" w:eastAsia="Times New Roman" w:hAnsi="Georgia" w:cs="Helvetica"/>
                                  <w:color w:val="202020"/>
                                </w:rPr>
                                <w:t>Treatment of alimony income</w:t>
                              </w:r>
                              <w:r>
                                <w:rPr>
                                  <w:rFonts w:ascii="Georgia" w:eastAsia="Times New Roman" w:hAnsi="Georgia" w:cs="Helvetica"/>
                                  <w:color w:val="202020"/>
                                </w:rPr>
                                <w:br/>
                                <w:t xml:space="preserve">Speaking of changes to the Internal Revenue Code that Massachusetts does not adopt, it’s worth noting that as a result of tax reform, alimony may no longer be deductible by the payer federally, nor included in federal gross income by the recipient. Massachusetts </w:t>
                              </w:r>
                              <w:r>
                                <w:rPr>
                                  <w:rStyle w:val="Emphasis"/>
                                  <w:rFonts w:ascii="Georgia" w:eastAsia="Times New Roman" w:hAnsi="Georgia" w:cs="Helvetica"/>
                                  <w:color w:val="202020"/>
                                </w:rPr>
                                <w:t>does not</w:t>
                              </w:r>
                              <w:r>
                                <w:rPr>
                                  <w:rFonts w:ascii="Georgia" w:eastAsia="Times New Roman" w:hAnsi="Georgia" w:cs="Helvetica"/>
                                  <w:color w:val="202020"/>
                                </w:rPr>
                                <w:t xml:space="preserve"> adopt this change and alimony continues to be deductible by the payer and included in the recipient’s gross income on the state return.</w:t>
                              </w:r>
                              <w:r>
                                <w:rPr>
                                  <w:rFonts w:ascii="Georgia" w:eastAsia="Times New Roman" w:hAnsi="Georgia" w:cs="Helvetica"/>
                                  <w:color w:val="202020"/>
                                </w:rPr>
                                <w:br/>
                                <w:t> </w:t>
                              </w:r>
                              <w:r>
                                <w:rPr>
                                  <w:rFonts w:ascii="Georgia" w:eastAsia="Times New Roman" w:hAnsi="Georgia" w:cs="Helvetica"/>
                                  <w:color w:val="202020"/>
                                </w:rPr>
                                <w:br/>
                              </w:r>
                              <w:r>
                                <w:rPr>
                                  <w:rStyle w:val="Strong"/>
                                  <w:rFonts w:ascii="Georgia" w:eastAsia="Times New Roman" w:hAnsi="Georgia" w:cs="Helvetica"/>
                                  <w:color w:val="202020"/>
                                </w:rPr>
                                <w:t>Refunds going out</w:t>
                              </w:r>
                              <w:r>
                                <w:rPr>
                                  <w:rFonts w:ascii="Georgia" w:eastAsia="Times New Roman" w:hAnsi="Georgia" w:cs="Helvetica"/>
                                  <w:color w:val="202020"/>
                                </w:rPr>
                                <w:br/>
                                <w:t xml:space="preserve">More than 500,000 refunds have gone out to taxpayers so far. Timing expectations are generally the same - allow 4-6 weeks if filing online and 8-10 weeks if filing on paper. </w:t>
                              </w:r>
                              <w:hyperlink r:id="rId7" w:history="1">
                                <w:proofErr w:type="gramStart"/>
                                <w:r>
                                  <w:rPr>
                                    <w:rStyle w:val="Hyperlink"/>
                                    <w:rFonts w:ascii="Georgia" w:eastAsia="Times New Roman" w:hAnsi="Georgia" w:cs="Helvetica"/>
                                    <w:color w:val="007C89"/>
                                  </w:rPr>
                                  <w:t>Where’s My Refund</w:t>
                                </w:r>
                                <w:proofErr w:type="gramEnd"/>
                              </w:hyperlink>
                              <w:r>
                                <w:rPr>
                                  <w:rFonts w:ascii="Georgia" w:eastAsia="Times New Roman" w:hAnsi="Georgia" w:cs="Helvetica"/>
                                  <w:color w:val="202020"/>
                                </w:rPr>
                                <w:t xml:space="preserve"> will provide taxpayers with a current status. Major information changes from last year, like address and bank information, may delay some refunds while taxpayers provide some verification.</w:t>
                              </w:r>
                              <w:r>
                                <w:rPr>
                                  <w:rFonts w:ascii="Georgia" w:eastAsia="Times New Roman" w:hAnsi="Georgia" w:cs="Helvetica"/>
                                  <w:color w:val="202020"/>
                                </w:rPr>
                                <w:br/>
                                <w:t>  </w:t>
                              </w:r>
                              <w:r>
                                <w:rPr>
                                  <w:rFonts w:ascii="Georgia" w:eastAsia="Times New Roman" w:hAnsi="Georgia" w:cs="Helvetica"/>
                                  <w:color w:val="202020"/>
                                </w:rPr>
                                <w:br/>
                              </w:r>
                              <w:r>
                                <w:rPr>
                                  <w:rStyle w:val="Strong"/>
                                  <w:rFonts w:ascii="Georgia" w:eastAsia="Times New Roman" w:hAnsi="Georgia" w:cs="Helvetica"/>
                                  <w:color w:val="202020"/>
                                </w:rPr>
                                <w:t>Don’t leave anything on the table - credits and exemptions</w:t>
                              </w:r>
                              <w:r>
                                <w:rPr>
                                  <w:rFonts w:ascii="Georgia" w:eastAsia="Times New Roman" w:hAnsi="Georgia" w:cs="Helvetica"/>
                                  <w:color w:val="202020"/>
                                </w:rPr>
                                <w:br/>
                                <w:t xml:space="preserve">April 1, 2020 is the application deadline for filing the </w:t>
                              </w:r>
                              <w:hyperlink r:id="rId8" w:history="1">
                                <w:r>
                                  <w:rPr>
                                    <w:rStyle w:val="Hyperlink"/>
                                    <w:rFonts w:ascii="Georgia" w:eastAsia="Times New Roman" w:hAnsi="Georgia" w:cs="Helvetica"/>
                                    <w:color w:val="007C89"/>
                                  </w:rPr>
                                  <w:t xml:space="preserve">Annual Certification of Entity </w:t>
                                </w:r>
                                <w:r>
                                  <w:rPr>
                                    <w:rStyle w:val="Hyperlink"/>
                                    <w:rFonts w:ascii="Georgia" w:eastAsia="Times New Roman" w:hAnsi="Georgia" w:cs="Helvetica"/>
                                    <w:color w:val="007C89"/>
                                  </w:rPr>
                                  <w:lastRenderedPageBreak/>
                                  <w:t>Tax Status</w:t>
                                </w:r>
                              </w:hyperlink>
                              <w:r>
                                <w:rPr>
                                  <w:rFonts w:ascii="Georgia" w:eastAsia="Times New Roman" w:hAnsi="Georgia" w:cs="Helvetica"/>
                                  <w:color w:val="202020"/>
                                </w:rPr>
                                <w:t xml:space="preserve"> for specific property tax exemptions for legal entities that are treated as corporations. Businesses should also keep up with </w:t>
                              </w:r>
                              <w:hyperlink r:id="rId9" w:history="1">
                                <w:r>
                                  <w:rPr>
                                    <w:rStyle w:val="Hyperlink"/>
                                    <w:rFonts w:ascii="Georgia" w:eastAsia="Times New Roman" w:hAnsi="Georgia" w:cs="Helvetica"/>
                                    <w:color w:val="007C89"/>
                                  </w:rPr>
                                  <w:t>business tax credits</w:t>
                                </w:r>
                              </w:hyperlink>
                              <w:r>
                                <w:rPr>
                                  <w:rFonts w:ascii="Georgia" w:eastAsia="Times New Roman" w:hAnsi="Georgia" w:cs="Helvetica"/>
                                  <w:color w:val="202020"/>
                                </w:rPr>
                                <w:t xml:space="preserve"> and income taxpayers can consider </w:t>
                              </w:r>
                              <w:hyperlink r:id="rId10" w:history="1">
                                <w:r>
                                  <w:rPr>
                                    <w:rStyle w:val="Hyperlink"/>
                                    <w:rFonts w:ascii="Georgia" w:eastAsia="Times New Roman" w:hAnsi="Georgia" w:cs="Helvetica"/>
                                    <w:color w:val="007C89"/>
                                  </w:rPr>
                                  <w:t>personal income tax credits</w:t>
                                </w:r>
                              </w:hyperlink>
                              <w:r>
                                <w:rPr>
                                  <w:rFonts w:ascii="Georgia" w:eastAsia="Times New Roman" w:hAnsi="Georgia" w:cs="Helvetica"/>
                                  <w:color w:val="202020"/>
                                </w:rPr>
                                <w:t xml:space="preserve">, including the Senior Circuit Breaker. Don’t forget about </w:t>
                              </w:r>
                              <w:hyperlink r:id="rId11" w:history="1">
                                <w:r>
                                  <w:rPr>
                                    <w:rStyle w:val="Hyperlink"/>
                                    <w:rFonts w:ascii="Georgia" w:eastAsia="Times New Roman" w:hAnsi="Georgia" w:cs="Helvetica"/>
                                    <w:color w:val="007C89"/>
                                  </w:rPr>
                                  <w:t>residential property tax credits</w:t>
                                </w:r>
                              </w:hyperlink>
                              <w:r>
                                <w:rPr>
                                  <w:rFonts w:ascii="Georgia" w:eastAsia="Times New Roman" w:hAnsi="Georgia" w:cs="Helvetica"/>
                                  <w:color w:val="202020"/>
                                </w:rPr>
                                <w:t xml:space="preserve"> for the removal of lead paint, replacement or repair of a septic tank, and installation of solar, wind and energy systems.</w:t>
                              </w:r>
                              <w:r>
                                <w:rPr>
                                  <w:rFonts w:ascii="Georgia" w:eastAsia="Times New Roman" w:hAnsi="Georgia" w:cs="Helvetica"/>
                                  <w:color w:val="202020"/>
                                </w:rPr>
                                <w:br/>
                                <w:t> </w:t>
                              </w:r>
                              <w:r>
                                <w:rPr>
                                  <w:rFonts w:ascii="Georgia" w:eastAsia="Times New Roman" w:hAnsi="Georgia" w:cs="Helvetica"/>
                                  <w:color w:val="202020"/>
                                </w:rPr>
                                <w:br/>
                              </w:r>
                              <w:r>
                                <w:rPr>
                                  <w:rStyle w:val="Strong"/>
                                  <w:rFonts w:ascii="Georgia" w:eastAsia="Times New Roman" w:hAnsi="Georgia" w:cs="Helvetica"/>
                                  <w:color w:val="202020"/>
                                </w:rPr>
                                <w:t>Responding to DOR for more information on credits? Do it online.</w:t>
                              </w:r>
                              <w:r>
                                <w:rPr>
                                  <w:rFonts w:ascii="Georgia" w:eastAsia="Times New Roman" w:hAnsi="Georgia" w:cs="Helvetica"/>
                                  <w:color w:val="202020"/>
                                </w:rPr>
                                <w:br/>
                                <w:t xml:space="preserve">You may receive a Notice of Intent to Assess-Information Request for more information to verify some credits on a tax return. Don’t worry, it doesn’t mean the return wasn’t prepared correctly. It may be that more information is needed for a withholding credit, the Earned Income Credit or the Circuit Breaker Credit. Respond online through </w:t>
                              </w:r>
                              <w:hyperlink r:id="rId12" w:history="1">
                                <w:proofErr w:type="spellStart"/>
                                <w:r>
                                  <w:rPr>
                                    <w:rStyle w:val="Hyperlink"/>
                                    <w:rFonts w:ascii="Georgia" w:eastAsia="Times New Roman" w:hAnsi="Georgia" w:cs="Helvetica"/>
                                    <w:color w:val="007C89"/>
                                  </w:rPr>
                                  <w:t>MassTaxConnect</w:t>
                                </w:r>
                                <w:proofErr w:type="spellEnd"/>
                              </w:hyperlink>
                              <w:r>
                                <w:rPr>
                                  <w:rFonts w:ascii="Georgia" w:eastAsia="Times New Roman" w:hAnsi="Georgia" w:cs="Helvetica"/>
                                  <w:color w:val="202020"/>
                                </w:rPr>
                                <w:t xml:space="preserve"> - choose “Submit documentation” and follow the prompts. No account is needed. Include page 2 of the notice so information can be matched to your account quickly. It’s very important to respond on time.</w:t>
                              </w:r>
                              <w:r>
                                <w:rPr>
                                  <w:rFonts w:ascii="Georgia" w:eastAsia="Times New Roman" w:hAnsi="Georgia" w:cs="Helvetica"/>
                                  <w:color w:val="202020"/>
                                </w:rPr>
                                <w:br/>
                                <w:t> </w:t>
                              </w:r>
                              <w:r>
                                <w:rPr>
                                  <w:rFonts w:ascii="Georgia" w:eastAsia="Times New Roman" w:hAnsi="Georgia" w:cs="Helvetica"/>
                                  <w:color w:val="202020"/>
                                </w:rPr>
                                <w:br/>
                              </w:r>
                              <w:r>
                                <w:rPr>
                                  <w:rStyle w:val="Strong"/>
                                  <w:rFonts w:ascii="Georgia" w:eastAsia="Times New Roman" w:hAnsi="Georgia" w:cs="Helvetica"/>
                                  <w:color w:val="202020"/>
                                </w:rPr>
                                <w:t>New! Flavored tobacco and vaping products excise</w:t>
                              </w:r>
                              <w:r>
                                <w:rPr>
                                  <w:rFonts w:ascii="Georgia" w:eastAsia="Times New Roman" w:hAnsi="Georgia" w:cs="Helvetica"/>
                                  <w:color w:val="202020"/>
                                </w:rPr>
                                <w:br/>
                                <w:t xml:space="preserve">As of June 2020, a 75% excise tax must be collected on all vaping products, in addition to the state’s 6.25% sales tax. New rules will be in place as of June 1 for retailers, smoking bars and distributors, including licensing requirements. </w:t>
                              </w:r>
                              <w:proofErr w:type="spellStart"/>
                              <w:r>
                                <w:rPr>
                                  <w:rFonts w:ascii="Georgia" w:eastAsia="Times New Roman" w:hAnsi="Georgia" w:cs="Helvetica"/>
                                  <w:color w:val="202020"/>
                                </w:rPr>
                                <w:t>MassTaxConnect</w:t>
                              </w:r>
                              <w:proofErr w:type="spellEnd"/>
                              <w:r>
                                <w:rPr>
                                  <w:rFonts w:ascii="Georgia" w:eastAsia="Times New Roman" w:hAnsi="Georgia" w:cs="Helvetica"/>
                                  <w:color w:val="202020"/>
                                </w:rPr>
                                <w:t xml:space="preserve"> will open for license registrants on May 1, 2020, and the deadline for having a license is June 1, 2020. </w:t>
                              </w:r>
                              <w:hyperlink r:id="rId13" w:history="1">
                                <w:r>
                                  <w:rPr>
                                    <w:rStyle w:val="Hyperlink"/>
                                    <w:rFonts w:ascii="Georgia" w:eastAsia="Times New Roman" w:hAnsi="Georgia" w:cs="Helvetica"/>
                                    <w:color w:val="007C89"/>
                                  </w:rPr>
                                  <w:t>Frequently Asked Questions</w:t>
                                </w:r>
                              </w:hyperlink>
                              <w:r>
                                <w:rPr>
                                  <w:rFonts w:ascii="Georgia" w:eastAsia="Times New Roman" w:hAnsi="Georgia" w:cs="Helvetica"/>
                                  <w:color w:val="202020"/>
                                </w:rPr>
                                <w:t xml:space="preserve"> were just added to the Cigarette &amp; Tobacco information page. See “Flavored Tobacco and Vaping Products.”</w:t>
                              </w:r>
                              <w:r>
                                <w:rPr>
                                  <w:rFonts w:ascii="Georgia" w:eastAsia="Times New Roman" w:hAnsi="Georgia" w:cs="Helvetica"/>
                                  <w:color w:val="202020"/>
                                </w:rPr>
                                <w:br/>
                                <w:t> </w:t>
                              </w:r>
                              <w:r>
                                <w:rPr>
                                  <w:rFonts w:ascii="Georgia" w:eastAsia="Times New Roman" w:hAnsi="Georgia" w:cs="Helvetica"/>
                                  <w:color w:val="202020"/>
                                </w:rPr>
                                <w:br/>
                              </w:r>
                              <w:r>
                                <w:rPr>
                                  <w:rStyle w:val="Strong"/>
                                  <w:rFonts w:ascii="Georgia" w:eastAsia="Times New Roman" w:hAnsi="Georgia" w:cs="Helvetica"/>
                                  <w:color w:val="202020"/>
                                </w:rPr>
                                <w:t>Paid Family &amp; Medical Leave updates - third party, bulk submissions</w:t>
                              </w:r>
                              <w:r>
                                <w:rPr>
                                  <w:rFonts w:ascii="Georgia" w:eastAsia="Times New Roman" w:hAnsi="Georgia" w:cs="Helvetica"/>
                                  <w:color w:val="202020"/>
                                </w:rPr>
                                <w:br/>
                                <w:t xml:space="preserve">We continue to update the </w:t>
                              </w:r>
                              <w:hyperlink r:id="rId14" w:history="1">
                                <w:r>
                                  <w:rPr>
                                    <w:rStyle w:val="Hyperlink"/>
                                    <w:rFonts w:ascii="Georgia" w:eastAsia="Times New Roman" w:hAnsi="Georgia" w:cs="Helvetica"/>
                                    <w:color w:val="007C89"/>
                                  </w:rPr>
                                  <w:t>PFML information page</w:t>
                                </w:r>
                              </w:hyperlink>
                              <w:r>
                                <w:rPr>
                                  <w:rFonts w:ascii="Georgia" w:eastAsia="Times New Roman" w:hAnsi="Georgia" w:cs="Helvetica"/>
                                  <w:color w:val="202020"/>
                                </w:rPr>
                                <w:t xml:space="preserve"> to help you navigate the new program. For example, did you know that there’s third party access to a PFML account with the taxpayer’s approval? And, bulk file submissions might be rejected </w:t>
                              </w:r>
                              <w:r>
                                <w:rPr>
                                  <w:rFonts w:ascii="Georgia" w:eastAsia="Times New Roman" w:hAnsi="Georgia" w:cs="Helvetica"/>
                                  <w:color w:val="202020"/>
                                </w:rPr>
                                <w:lastRenderedPageBreak/>
                                <w:t>if all the information isn’t there, but it’s easy to repair and resubmit. Catch up on the latest.</w:t>
                              </w:r>
                              <w:r>
                                <w:rPr>
                                  <w:rFonts w:ascii="Georgia" w:eastAsia="Times New Roman" w:hAnsi="Georgia" w:cs="Helvetica"/>
                                  <w:color w:val="202020"/>
                                </w:rPr>
                                <w:br/>
                                <w:t> </w:t>
                              </w:r>
                              <w:r>
                                <w:rPr>
                                  <w:rFonts w:ascii="Georgia" w:eastAsia="Times New Roman" w:hAnsi="Georgia" w:cs="Helvetica"/>
                                  <w:color w:val="202020"/>
                                </w:rPr>
                                <w:br/>
                              </w:r>
                              <w:r>
                                <w:rPr>
                                  <w:rStyle w:val="Strong"/>
                                  <w:rFonts w:ascii="Georgia" w:eastAsia="Times New Roman" w:hAnsi="Georgia" w:cs="Helvetica"/>
                                  <w:color w:val="202020"/>
                                </w:rPr>
                                <w:t xml:space="preserve">Pass-through </w:t>
                              </w:r>
                              <w:proofErr w:type="gramStart"/>
                              <w:r>
                                <w:rPr>
                                  <w:rStyle w:val="Strong"/>
                                  <w:rFonts w:ascii="Georgia" w:eastAsia="Times New Roman" w:hAnsi="Georgia" w:cs="Helvetica"/>
                                  <w:color w:val="202020"/>
                                </w:rPr>
                                <w:t>entity</w:t>
                              </w:r>
                              <w:proofErr w:type="gramEnd"/>
                              <w:r>
                                <w:rPr>
                                  <w:rStyle w:val="Strong"/>
                                  <w:rFonts w:ascii="Georgia" w:eastAsia="Times New Roman" w:hAnsi="Georgia" w:cs="Helvetica"/>
                                  <w:color w:val="202020"/>
                                </w:rPr>
                                <w:t xml:space="preserve"> annual withholding return due March 31</w:t>
                              </w:r>
                              <w:r>
                                <w:rPr>
                                  <w:rFonts w:ascii="Georgia" w:eastAsia="Times New Roman" w:hAnsi="Georgia" w:cs="Helvetica"/>
                                  <w:color w:val="202020"/>
                                </w:rPr>
                                <w:br/>
                                <w:t xml:space="preserve">Pass-through entities, which are typically partnerships and S Corps, have an annual return filing obligation if they pay pass-through entity withholding. Mark your calendars for March 31, the due date for annual filers. Fiscal filers file their returns on the last day of the third month following the close of the fiscal year. You can find </w:t>
                              </w:r>
                              <w:hyperlink r:id="rId15" w:history="1">
                                <w:r>
                                  <w:rPr>
                                    <w:rStyle w:val="Hyperlink"/>
                                    <w:rFonts w:ascii="Georgia" w:eastAsia="Times New Roman" w:hAnsi="Georgia" w:cs="Helvetica"/>
                                    <w:color w:val="007C89"/>
                                  </w:rPr>
                                  <w:t>more information for filing this return</w:t>
                                </w:r>
                              </w:hyperlink>
                              <w:r>
                                <w:rPr>
                                  <w:rFonts w:ascii="Georgia" w:eastAsia="Times New Roman" w:hAnsi="Georgia" w:cs="Helvetica"/>
                                  <w:color w:val="202020"/>
                                </w:rPr>
                                <w:t xml:space="preserve"> on the DOR website.</w:t>
                              </w:r>
                              <w:r>
                                <w:rPr>
                                  <w:rFonts w:ascii="Georgia" w:eastAsia="Times New Roman" w:hAnsi="Georgia" w:cs="Helvetica"/>
                                  <w:color w:val="202020"/>
                                </w:rPr>
                                <w:br/>
                                <w:t> </w:t>
                              </w:r>
                              <w:r>
                                <w:rPr>
                                  <w:rFonts w:ascii="Georgia" w:eastAsia="Times New Roman" w:hAnsi="Georgia" w:cs="Helvetica"/>
                                  <w:color w:val="202020"/>
                                </w:rPr>
                                <w:br/>
                                <w:t xml:space="preserve">Look for previous </w:t>
                              </w:r>
                              <w:hyperlink r:id="rId16" w:history="1">
                                <w:r>
                                  <w:rPr>
                                    <w:rStyle w:val="Hyperlink"/>
                                    <w:rFonts w:ascii="Georgia" w:eastAsia="Times New Roman" w:hAnsi="Georgia" w:cs="Helvetica"/>
                                    <w:color w:val="007C89"/>
                                  </w:rPr>
                                  <w:t>DOR News</w:t>
                                </w:r>
                              </w:hyperlink>
                              <w:r>
                                <w:rPr>
                                  <w:rFonts w:ascii="Georgia" w:eastAsia="Times New Roman" w:hAnsi="Georgia" w:cs="Helvetica"/>
                                  <w:color w:val="202020"/>
                                </w:rPr>
                                <w:t xml:space="preserve"> on the DOR website.</w:t>
                              </w:r>
                            </w:p>
                          </w:tc>
                        </w:tr>
                      </w:tbl>
                      <w:p w:rsidR="00D53F5C" w:rsidRDefault="00D53F5C">
                        <w:pPr>
                          <w:rPr>
                            <w:rFonts w:eastAsia="Times New Roman"/>
                            <w:sz w:val="20"/>
                            <w:szCs w:val="20"/>
                          </w:rPr>
                        </w:pPr>
                      </w:p>
                    </w:tc>
                  </w:tr>
                </w:tbl>
                <w:p w:rsidR="00D53F5C" w:rsidRDefault="00D53F5C">
                  <w:pPr>
                    <w:rPr>
                      <w:rFonts w:eastAsia="Times New Roman"/>
                      <w:sz w:val="20"/>
                      <w:szCs w:val="20"/>
                    </w:rPr>
                  </w:pPr>
                </w:p>
              </w:tc>
            </w:tr>
          </w:tbl>
          <w:p w:rsidR="00D53F5C" w:rsidRDefault="00D53F5C">
            <w:pPr>
              <w:rPr>
                <w:rFonts w:eastAsia="Times New Roman"/>
                <w:vanish/>
              </w:rPr>
            </w:pPr>
          </w:p>
          <w:tbl>
            <w:tblPr>
              <w:tblW w:w="5000" w:type="pct"/>
              <w:tblCellMar>
                <w:left w:w="0" w:type="dxa"/>
                <w:right w:w="0" w:type="dxa"/>
              </w:tblCellMar>
              <w:tblLook w:val="04A0" w:firstRow="1" w:lastRow="0" w:firstColumn="1" w:lastColumn="0" w:noHBand="0" w:noVBand="1"/>
            </w:tblPr>
            <w:tblGrid>
              <w:gridCol w:w="9360"/>
            </w:tblGrid>
            <w:tr w:rsidR="00D53F5C">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2"/>
                    <w:gridCol w:w="9348"/>
                  </w:tblGrid>
                  <w:tr w:rsidR="00D53F5C">
                    <w:trPr>
                      <w:jc w:val="center"/>
                    </w:trPr>
                    <w:tc>
                      <w:tcPr>
                        <w:tcW w:w="0" w:type="auto"/>
                        <w:hideMark/>
                      </w:tcPr>
                      <w:p w:rsidR="00D53F5C" w:rsidRDefault="00D53F5C">
                        <w:pPr>
                          <w:rPr>
                            <w:rFonts w:eastAsia="Times New Roman"/>
                            <w:sz w:val="20"/>
                            <w:szCs w:val="20"/>
                          </w:rPr>
                        </w:pPr>
                      </w:p>
                    </w:tc>
                    <w:tc>
                      <w:tcPr>
                        <w:tcW w:w="0" w:type="auto"/>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348"/>
                        </w:tblGrid>
                        <w:tr w:rsidR="00D53F5C">
                          <w:tc>
                            <w:tcPr>
                              <w:tcW w:w="0" w:type="auto"/>
                              <w:tcMar>
                                <w:top w:w="135" w:type="dxa"/>
                                <w:left w:w="270" w:type="dxa"/>
                                <w:bottom w:w="135" w:type="dxa"/>
                                <w:right w:w="270" w:type="dxa"/>
                              </w:tcMar>
                              <w:vAlign w:val="center"/>
                              <w:hideMark/>
                            </w:tcPr>
                            <w:tbl>
                              <w:tblPr>
                                <w:tblW w:w="5000" w:type="pct"/>
                                <w:shd w:val="clear" w:color="auto" w:fill="1A7097"/>
                                <w:tblLook w:val="04A0" w:firstRow="1" w:lastRow="0" w:firstColumn="1" w:lastColumn="0" w:noHBand="0" w:noVBand="1"/>
                              </w:tblPr>
                              <w:tblGrid>
                                <w:gridCol w:w="8808"/>
                              </w:tblGrid>
                              <w:tr w:rsidR="00D53F5C">
                                <w:tc>
                                  <w:tcPr>
                                    <w:tcW w:w="0" w:type="auto"/>
                                    <w:shd w:val="clear" w:color="auto" w:fill="1A7097"/>
                                    <w:tcMar>
                                      <w:top w:w="270" w:type="dxa"/>
                                      <w:left w:w="270" w:type="dxa"/>
                                      <w:bottom w:w="270" w:type="dxa"/>
                                      <w:right w:w="270" w:type="dxa"/>
                                    </w:tcMar>
                                    <w:hideMark/>
                                  </w:tcPr>
                                  <w:p w:rsidR="00D53F5C" w:rsidRDefault="00D53F5C">
                                    <w:pPr>
                                      <w:spacing w:line="360" w:lineRule="auto"/>
                                      <w:jc w:val="center"/>
                                      <w:rPr>
                                        <w:rFonts w:ascii="Helvetica" w:eastAsia="Times New Roman" w:hAnsi="Helvetica" w:cs="Helvetica"/>
                                        <w:color w:val="F2F2F2"/>
                                        <w:sz w:val="21"/>
                                        <w:szCs w:val="21"/>
                                      </w:rPr>
                                    </w:pPr>
                                    <w:r>
                                      <w:rPr>
                                        <w:rStyle w:val="Strong"/>
                                        <w:rFonts w:ascii="Helvetica" w:eastAsia="Times New Roman" w:hAnsi="Helvetica" w:cs="Helvetica"/>
                                        <w:color w:val="F2F2F2"/>
                                        <w:sz w:val="27"/>
                                        <w:szCs w:val="27"/>
                                      </w:rPr>
                                      <w:t>DOR News - February 2020 </w:t>
                                    </w:r>
                                    <w:r>
                                      <w:rPr>
                                        <w:rFonts w:ascii="Helvetica" w:eastAsia="Times New Roman" w:hAnsi="Helvetica" w:cs="Helvetica"/>
                                        <w:color w:val="F2F2F2"/>
                                        <w:sz w:val="21"/>
                                        <w:szCs w:val="21"/>
                                      </w:rPr>
                                      <w:t xml:space="preserve"> </w:t>
                                    </w:r>
                                  </w:p>
                                </w:tc>
                              </w:tr>
                            </w:tbl>
                            <w:p w:rsidR="00D53F5C" w:rsidRDefault="00D53F5C">
                              <w:pPr>
                                <w:rPr>
                                  <w:rFonts w:eastAsia="Times New Roman"/>
                                  <w:sz w:val="20"/>
                                  <w:szCs w:val="20"/>
                                </w:rPr>
                              </w:pPr>
                            </w:p>
                          </w:tc>
                        </w:tr>
                      </w:tbl>
                      <w:p w:rsidR="00D53F5C" w:rsidRDefault="00D53F5C">
                        <w:pPr>
                          <w:rPr>
                            <w:rFonts w:eastAsia="Times New Roman"/>
                            <w:sz w:val="20"/>
                            <w:szCs w:val="20"/>
                          </w:rPr>
                        </w:pPr>
                      </w:p>
                    </w:tc>
                  </w:tr>
                </w:tbl>
                <w:p w:rsidR="00D53F5C" w:rsidRDefault="00D53F5C">
                  <w:pPr>
                    <w:jc w:val="center"/>
                    <w:rPr>
                      <w:rFonts w:eastAsia="Times New Roman"/>
                      <w:sz w:val="20"/>
                      <w:szCs w:val="20"/>
                    </w:rPr>
                  </w:pPr>
                </w:p>
              </w:tc>
            </w:tr>
          </w:tbl>
          <w:p w:rsidR="00D53F5C" w:rsidRDefault="00D53F5C">
            <w:pPr>
              <w:rPr>
                <w:rFonts w:eastAsia="Times New Roman"/>
                <w:sz w:val="20"/>
                <w:szCs w:val="20"/>
              </w:rPr>
            </w:pPr>
          </w:p>
        </w:tc>
      </w:tr>
    </w:tbl>
    <w:p w:rsidR="00626430" w:rsidRDefault="00626430">
      <w:bookmarkStart w:id="0" w:name="_GoBack"/>
      <w:bookmarkEnd w:id="0"/>
    </w:p>
    <w:sectPr w:rsidR="00626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F5C"/>
    <w:rsid w:val="00626430"/>
    <w:rsid w:val="00D53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F5C"/>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53F5C"/>
    <w:rPr>
      <w:b/>
      <w:bCs/>
    </w:rPr>
  </w:style>
  <w:style w:type="character" w:styleId="Hyperlink">
    <w:name w:val="Hyperlink"/>
    <w:basedOn w:val="DefaultParagraphFont"/>
    <w:uiPriority w:val="99"/>
    <w:semiHidden/>
    <w:unhideWhenUsed/>
    <w:rsid w:val="00D53F5C"/>
    <w:rPr>
      <w:color w:val="0000FF"/>
      <w:u w:val="single"/>
    </w:rPr>
  </w:style>
  <w:style w:type="character" w:styleId="Emphasis">
    <w:name w:val="Emphasis"/>
    <w:basedOn w:val="DefaultParagraphFont"/>
    <w:uiPriority w:val="20"/>
    <w:qFormat/>
    <w:rsid w:val="00D53F5C"/>
    <w:rPr>
      <w:i/>
      <w:iCs/>
    </w:rPr>
  </w:style>
  <w:style w:type="paragraph" w:styleId="BalloonText">
    <w:name w:val="Balloon Text"/>
    <w:basedOn w:val="Normal"/>
    <w:link w:val="BalloonTextChar"/>
    <w:uiPriority w:val="99"/>
    <w:semiHidden/>
    <w:unhideWhenUsed/>
    <w:rsid w:val="00D53F5C"/>
    <w:rPr>
      <w:rFonts w:ascii="Tahoma" w:hAnsi="Tahoma" w:cs="Tahoma"/>
      <w:sz w:val="16"/>
      <w:szCs w:val="16"/>
    </w:rPr>
  </w:style>
  <w:style w:type="character" w:customStyle="1" w:styleId="BalloonTextChar">
    <w:name w:val="Balloon Text Char"/>
    <w:basedOn w:val="DefaultParagraphFont"/>
    <w:link w:val="BalloonText"/>
    <w:uiPriority w:val="99"/>
    <w:semiHidden/>
    <w:rsid w:val="00D53F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F5C"/>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53F5C"/>
    <w:rPr>
      <w:b/>
      <w:bCs/>
    </w:rPr>
  </w:style>
  <w:style w:type="character" w:styleId="Hyperlink">
    <w:name w:val="Hyperlink"/>
    <w:basedOn w:val="DefaultParagraphFont"/>
    <w:uiPriority w:val="99"/>
    <w:semiHidden/>
    <w:unhideWhenUsed/>
    <w:rsid w:val="00D53F5C"/>
    <w:rPr>
      <w:color w:val="0000FF"/>
      <w:u w:val="single"/>
    </w:rPr>
  </w:style>
  <w:style w:type="character" w:styleId="Emphasis">
    <w:name w:val="Emphasis"/>
    <w:basedOn w:val="DefaultParagraphFont"/>
    <w:uiPriority w:val="20"/>
    <w:qFormat/>
    <w:rsid w:val="00D53F5C"/>
    <w:rPr>
      <w:i/>
      <w:iCs/>
    </w:rPr>
  </w:style>
  <w:style w:type="paragraph" w:styleId="BalloonText">
    <w:name w:val="Balloon Text"/>
    <w:basedOn w:val="Normal"/>
    <w:link w:val="BalloonTextChar"/>
    <w:uiPriority w:val="99"/>
    <w:semiHidden/>
    <w:unhideWhenUsed/>
    <w:rsid w:val="00D53F5C"/>
    <w:rPr>
      <w:rFonts w:ascii="Tahoma" w:hAnsi="Tahoma" w:cs="Tahoma"/>
      <w:sz w:val="16"/>
      <w:szCs w:val="16"/>
    </w:rPr>
  </w:style>
  <w:style w:type="character" w:customStyle="1" w:styleId="BalloonTextChar">
    <w:name w:val="Balloon Text Char"/>
    <w:basedOn w:val="DefaultParagraphFont"/>
    <w:link w:val="BalloonText"/>
    <w:uiPriority w:val="99"/>
    <w:semiHidden/>
    <w:rsid w:val="00D53F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86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us11.list-manage.com/track/click?u=0e9e2209abd5f7062568d9a19&amp;id=6018e6bfef&amp;e=7d79ed0572" TargetMode="External"/><Relationship Id="rId13" Type="http://schemas.openxmlformats.org/officeDocument/2006/relationships/hyperlink" Target="https://mass.us11.list-manage.com/track/click?u=0e9e2209abd5f7062568d9a19&amp;id=320847f590&amp;e=7d79ed057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ss.us11.list-manage.com/track/click?u=0e9e2209abd5f7062568d9a19&amp;id=e913453b09&amp;e=7d79ed0572" TargetMode="External"/><Relationship Id="rId12" Type="http://schemas.openxmlformats.org/officeDocument/2006/relationships/hyperlink" Target="https://mass.us11.list-manage.com/track/click?u=0e9e2209abd5f7062568d9a19&amp;id=b1f70ef835&amp;e=7d79ed0572"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mass.us11.list-manage.com/track/click?u=0e9e2209abd5f7062568d9a19&amp;id=2671439158&amp;e=7d79ed0572" TargetMode="External"/><Relationship Id="rId1" Type="http://schemas.openxmlformats.org/officeDocument/2006/relationships/styles" Target="styles.xml"/><Relationship Id="rId6" Type="http://schemas.openxmlformats.org/officeDocument/2006/relationships/hyperlink" Target="https://mass.us11.list-manage.com/track/click?u=0e9e2209abd5f7062568d9a19&amp;id=b1ee3ad4dd&amp;e=7d79ed0572" TargetMode="External"/><Relationship Id="rId11" Type="http://schemas.openxmlformats.org/officeDocument/2006/relationships/hyperlink" Target="https://mass.us11.list-manage.com/track/click?u=0e9e2209abd5f7062568d9a19&amp;id=5e9245ff88&amp;e=7d79ed0572" TargetMode="External"/><Relationship Id="rId5" Type="http://schemas.openxmlformats.org/officeDocument/2006/relationships/image" Target="media/image1.png"/><Relationship Id="rId15" Type="http://schemas.openxmlformats.org/officeDocument/2006/relationships/hyperlink" Target="https://mass.us11.list-manage.com/track/click?u=0e9e2209abd5f7062568d9a19&amp;id=e0f38c60d1&amp;e=7d79ed0572" TargetMode="External"/><Relationship Id="rId10" Type="http://schemas.openxmlformats.org/officeDocument/2006/relationships/hyperlink" Target="https://mass.us11.list-manage.com/track/click?u=0e9e2209abd5f7062568d9a19&amp;id=8250a383b6&amp;e=7d79ed0572" TargetMode="External"/><Relationship Id="rId4" Type="http://schemas.openxmlformats.org/officeDocument/2006/relationships/webSettings" Target="webSettings.xml"/><Relationship Id="rId9" Type="http://schemas.openxmlformats.org/officeDocument/2006/relationships/hyperlink" Target="https://mass.us11.list-manage.com/track/click?u=0e9e2209abd5f7062568d9a19&amp;id=57e35cf625&amp;e=7d79ed0572" TargetMode="External"/><Relationship Id="rId14" Type="http://schemas.openxmlformats.org/officeDocument/2006/relationships/hyperlink" Target="https://mass.us11.list-manage.com/track/click?u=0e9e2209abd5f7062568d9a19&amp;id=b77659da90&amp;e=7d79ed05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Administration and Finance</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1</cp:revision>
  <dcterms:created xsi:type="dcterms:W3CDTF">2020-02-20T15:48:00Z</dcterms:created>
  <dcterms:modified xsi:type="dcterms:W3CDTF">2020-02-20T15:49:00Z</dcterms:modified>
</cp:coreProperties>
</file>