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00"/>
      </w:tblGrid>
      <w:tr w:rsidR="007B7E0A" w:rsidTr="007B7E0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800"/>
            </w:tblGrid>
            <w:tr w:rsidR="007B7E0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0"/>
                  </w:tblGrid>
                  <w:tr w:rsidR="007B7E0A">
                    <w:tc>
                      <w:tcPr>
                        <w:tcW w:w="0" w:type="auto"/>
                        <w:tcMar>
                          <w:top w:w="0" w:type="dxa"/>
                          <w:left w:w="135" w:type="dxa"/>
                          <w:bottom w:w="0" w:type="dxa"/>
                          <w:right w:w="135" w:type="dxa"/>
                        </w:tcMar>
                        <w:hideMark/>
                      </w:tcPr>
                      <w:p w:rsidR="007B7E0A" w:rsidRDefault="007B7E0A">
                        <w:pPr>
                          <w:jc w:val="center"/>
                        </w:pPr>
                        <w:r>
                          <w:rPr>
                            <w:noProof/>
                          </w:rPr>
                          <w:drawing>
                            <wp:inline distT="0" distB="0" distL="0" distR="0" wp14:anchorId="3A865C43" wp14:editId="4F8E52E0">
                              <wp:extent cx="5368290" cy="1149985"/>
                              <wp:effectExtent l="0" t="0" r="3810" b="0"/>
                              <wp:docPr id="4" name="Picture 4"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8290" cy="1149985"/>
                                      </a:xfrm>
                                      <a:prstGeom prst="rect">
                                        <a:avLst/>
                                      </a:prstGeom>
                                      <a:noFill/>
                                      <a:ln>
                                        <a:noFill/>
                                      </a:ln>
                                    </pic:spPr>
                                  </pic:pic>
                                </a:graphicData>
                              </a:graphic>
                            </wp:inline>
                          </w:drawing>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r w:rsidR="007B7E0A" w:rsidTr="007B7E0A">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0800"/>
            </w:tblGrid>
            <w:tr w:rsidR="007B7E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7B7E0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B7E0A">
                          <w:tc>
                            <w:tcPr>
                              <w:tcW w:w="0" w:type="auto"/>
                              <w:tcMar>
                                <w:top w:w="0" w:type="dxa"/>
                                <w:left w:w="270" w:type="dxa"/>
                                <w:bottom w:w="135" w:type="dxa"/>
                                <w:right w:w="270" w:type="dxa"/>
                              </w:tcMar>
                              <w:hideMark/>
                            </w:tcPr>
                            <w:p w:rsidR="007B7E0A" w:rsidRDefault="007B7E0A">
                              <w:pPr>
                                <w:spacing w:line="360" w:lineRule="auto"/>
                                <w:rPr>
                                  <w:rFonts w:ascii="Helvetica" w:hAnsi="Helvetica" w:cs="Helvetica"/>
                                  <w:color w:val="202020"/>
                                </w:rPr>
                              </w:pPr>
                              <w:r>
                                <w:rPr>
                                  <w:rStyle w:val="Strong"/>
                                  <w:rFonts w:ascii="Georgia" w:hAnsi="Georgia"/>
                                  <w:color w:val="202020"/>
                                </w:rPr>
                                <w:t>Tax filing season dates</w:t>
                              </w:r>
                              <w:r>
                                <w:rPr>
                                  <w:rFonts w:ascii="Georgia" w:hAnsi="Georgia"/>
                                  <w:color w:val="202020"/>
                                </w:rPr>
                                <w:br/>
                                <w:t xml:space="preserve">DOR will begin accepting current year electronic filings on January 29. The filing deadline is set for Tuesday, April 17. Taxpayers and tax professionals alike can find information from DOR at the </w:t>
                              </w:r>
                              <w:hyperlink r:id="rId6" w:history="1">
                                <w:r>
                                  <w:rPr>
                                    <w:rStyle w:val="Hyperlink"/>
                                    <w:rFonts w:ascii="Georgia" w:hAnsi="Georgia"/>
                                    <w:color w:val="2BAADF"/>
                                  </w:rPr>
                                  <w:t>Filing Season Overview</w:t>
                                </w:r>
                              </w:hyperlink>
                              <w:r>
                                <w:rPr>
                                  <w:rFonts w:ascii="Georgia" w:hAnsi="Georgia"/>
                                  <w:color w:val="202020"/>
                                </w:rPr>
                                <w:t> throughout tax filing season.</w:t>
                              </w:r>
                              <w:r>
                                <w:rPr>
                                  <w:rFonts w:ascii="Georgia" w:hAnsi="Georgia"/>
                                  <w:color w:val="202020"/>
                                </w:rPr>
                                <w:br/>
                              </w:r>
                              <w:r>
                                <w:rPr>
                                  <w:rFonts w:ascii="Georgia" w:hAnsi="Georgia"/>
                                  <w:color w:val="202020"/>
                                </w:rPr>
                                <w:br/>
                              </w:r>
                              <w:r>
                                <w:rPr>
                                  <w:rStyle w:val="Strong"/>
                                  <w:rFonts w:ascii="Georgia" w:hAnsi="Georgia"/>
                                  <w:color w:val="202020"/>
                                </w:rPr>
                                <w:t>Turnaround times for refunds</w:t>
                              </w:r>
                              <w:r>
                                <w:rPr>
                                  <w:rFonts w:ascii="Georgia" w:hAnsi="Georgia"/>
                                  <w:color w:val="202020"/>
                                </w:rPr>
                                <w:br/>
                                <w:t>DOR estimates that, like last filing season, 75% of online returns will continue to be processed in 2-3 days and most refunds will be issued in less than two weeks from the time returns are received. If additional information is needed to verify a filer’s identity to protect against refund fraud, refund turnaround times for e-filed returns could take up to 4-6 weeks. For taxpayers who file on paper, refunds could take up to 8-10 weeks to process.</w:t>
                              </w:r>
                              <w:r>
                                <w:rPr>
                                  <w:rFonts w:ascii="Georgia" w:hAnsi="Georgia"/>
                                  <w:color w:val="202020"/>
                                </w:rPr>
                                <w:br/>
                              </w:r>
                              <w:r>
                                <w:rPr>
                                  <w:rFonts w:ascii="Georgia" w:hAnsi="Georgia"/>
                                  <w:color w:val="202020"/>
                                </w:rPr>
                                <w:br/>
                              </w:r>
                              <w:r>
                                <w:rPr>
                                  <w:rStyle w:val="Strong"/>
                                  <w:rFonts w:ascii="Georgia" w:hAnsi="Georgia"/>
                                  <w:color w:val="202020"/>
                                </w:rPr>
                                <w:t>Wrong form = processing delays</w:t>
                              </w:r>
                              <w:r>
                                <w:rPr>
                                  <w:rFonts w:ascii="Georgia" w:hAnsi="Georgia"/>
                                  <w:b/>
                                  <w:bCs/>
                                  <w:color w:val="202020"/>
                                </w:rPr>
                                <w:br/>
                              </w:r>
                              <w:r>
                                <w:rPr>
                                  <w:noProof/>
                                </w:rPr>
                                <w:drawing>
                                  <wp:anchor distT="0" distB="0" distL="0" distR="0" simplePos="0" relativeHeight="251659264" behindDoc="0" locked="0" layoutInCell="1" allowOverlap="0" wp14:anchorId="220E41BB" wp14:editId="17FC5B0F">
                                    <wp:simplePos x="0" y="0"/>
                                    <wp:positionH relativeFrom="column">
                                      <wp:align>left</wp:align>
                                    </wp:positionH>
                                    <wp:positionV relativeFrom="line">
                                      <wp:posOffset>0</wp:posOffset>
                                    </wp:positionV>
                                    <wp:extent cx="2619375" cy="1771650"/>
                                    <wp:effectExtent l="0" t="0" r="9525" b="0"/>
                                    <wp:wrapSquare wrapText="bothSides"/>
                                    <wp:docPr id="5" name="Picture 5" descr="https://gallery.mailchimp.com/0e9e2209abd5f7062568d9a19/images/26be3196-0057-4201-9be4-f07dbc8c4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e9e2209abd5f7062568d9a19/images/26be3196-0057-4201-9be4-f07dbc8c4a3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19375" cy="17716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olor w:val="202020"/>
                                </w:rPr>
                                <w:br/>
                                <w:t xml:space="preserve">If you file on paper forms, please be sure to follow a few simple guidelines. Don’t use a form with a </w:t>
                              </w:r>
                              <w:r>
                                <w:rPr>
                                  <w:rStyle w:val="Emphasis"/>
                                  <w:rFonts w:ascii="Georgia" w:hAnsi="Georgia"/>
                                  <w:color w:val="202020"/>
                                </w:rPr>
                                <w:t>Draft</w:t>
                              </w:r>
                              <w:r>
                                <w:rPr>
                                  <w:rFonts w:ascii="Georgia" w:hAnsi="Georgia"/>
                                  <w:color w:val="202020"/>
                                </w:rPr>
                                <w:t xml:space="preserve"> or </w:t>
                              </w:r>
                              <w:r>
                                <w:rPr>
                                  <w:rStyle w:val="Emphasis"/>
                                  <w:rFonts w:ascii="Georgia" w:hAnsi="Georgia"/>
                                  <w:color w:val="202020"/>
                                </w:rPr>
                                <w:t xml:space="preserve">Do Not </w:t>
                              </w:r>
                              <w:bookmarkStart w:id="0" w:name="_GoBack"/>
                              <w:bookmarkEnd w:id="0"/>
                              <w:r>
                                <w:rPr>
                                  <w:rStyle w:val="Emphasis"/>
                                  <w:rFonts w:ascii="Georgia" w:hAnsi="Georgia"/>
                                  <w:color w:val="202020"/>
                                </w:rPr>
                                <w:t>File</w:t>
                              </w:r>
                              <w:r>
                                <w:rPr>
                                  <w:rFonts w:ascii="Georgia" w:hAnsi="Georgia"/>
                                  <w:color w:val="202020"/>
                                </w:rPr>
                                <w:t xml:space="preserve"> watermark. The forms will not be processed and will have to be refiled with the correct form. Prior year returns should be filed on the correct form for that year – you can find them on the DOR website. Please trim payment vouchers to size as shown on the forms to avoid processing delays – and don’t alter any pre-populated fields to avoid misapplication of the payment. </w:t>
                              </w:r>
                              <w:r>
                                <w:rPr>
                                  <w:rFonts w:ascii="Georgia" w:hAnsi="Georgia"/>
                                  <w:color w:val="202020"/>
                                </w:rPr>
                                <w:br/>
                                <w:t> </w:t>
                              </w:r>
                              <w:r>
                                <w:rPr>
                                  <w:rFonts w:ascii="Georgia" w:hAnsi="Georgia"/>
                                  <w:color w:val="202020"/>
                                </w:rPr>
                                <w:br/>
                              </w:r>
                              <w:r>
                                <w:rPr>
                                  <w:rStyle w:val="Strong"/>
                                  <w:rFonts w:ascii="Georgia" w:hAnsi="Georgia"/>
                                  <w:color w:val="202020"/>
                                </w:rPr>
                                <w:t>Revised Estimated Tax Payment Vouchers</w:t>
                              </w:r>
                              <w:r>
                                <w:rPr>
                                  <w:rFonts w:ascii="Georgia" w:hAnsi="Georgia"/>
                                  <w:color w:val="202020"/>
                                </w:rPr>
                                <w:br/>
                                <w:t xml:space="preserve">A heads up </w:t>
                              </w:r>
                              <w:proofErr w:type="gramStart"/>
                              <w:r>
                                <w:rPr>
                                  <w:rFonts w:ascii="Georgia" w:hAnsi="Georgia"/>
                                  <w:color w:val="202020"/>
                                </w:rPr>
                                <w:t>that vouchers</w:t>
                              </w:r>
                              <w:proofErr w:type="gramEnd"/>
                              <w:r>
                                <w:rPr>
                                  <w:rFonts w:ascii="Georgia" w:hAnsi="Georgia"/>
                                  <w:color w:val="202020"/>
                                </w:rPr>
                                <w:t xml:space="preserve"> have changed for this filing season. Form 2-ES is now only for estimated payments for Forms 2 and 2G filers. A new voucher, Form UBI-ES, will be used for payments from 3M, M990-T and M990T-62 filers. Don’t forget, payments can be made through </w:t>
                              </w:r>
                              <w:hyperlink r:id="rId8" w:history="1">
                                <w:proofErr w:type="spellStart"/>
                                <w:r>
                                  <w:rPr>
                                    <w:rStyle w:val="Hyperlink"/>
                                    <w:rFonts w:ascii="Georgia" w:hAnsi="Georgia"/>
                                    <w:color w:val="2BAADF"/>
                                  </w:rPr>
                                  <w:t>MassTaxConnect</w:t>
                                </w:r>
                                <w:proofErr w:type="spellEnd"/>
                              </w:hyperlink>
                              <w:r>
                                <w:rPr>
                                  <w:rFonts w:ascii="Georgia" w:hAnsi="Georgia"/>
                                  <w:color w:val="202020"/>
                                </w:rPr>
                                <w:t xml:space="preserve"> quickly and easily.</w:t>
                              </w:r>
                              <w:r>
                                <w:rPr>
                                  <w:rFonts w:ascii="Georgia" w:hAnsi="Georgia"/>
                                  <w:color w:val="202020"/>
                                </w:rPr>
                                <w:br/>
                                <w:t> </w:t>
                              </w:r>
                              <w:r>
                                <w:rPr>
                                  <w:rFonts w:ascii="Georgia" w:hAnsi="Georgia"/>
                                  <w:color w:val="202020"/>
                                </w:rPr>
                                <w:br/>
                              </w:r>
                              <w:r>
                                <w:rPr>
                                  <w:rStyle w:val="Strong"/>
                                  <w:rFonts w:ascii="Georgia" w:hAnsi="Georgia"/>
                                  <w:color w:val="202020"/>
                                </w:rPr>
                                <w:lastRenderedPageBreak/>
                                <w:t>Additional guidance on 1099K changes</w:t>
                              </w:r>
                              <w:r>
                                <w:rPr>
                                  <w:rFonts w:ascii="Georgia" w:hAnsi="Georgia"/>
                                  <w:color w:val="202020"/>
                                </w:rPr>
                                <w:br/>
                                <w:t xml:space="preserve">Take a look at the new Massachusetts </w:t>
                              </w:r>
                              <w:hyperlink r:id="rId9" w:history="1">
                                <w:r>
                                  <w:rPr>
                                    <w:rStyle w:val="Hyperlink"/>
                                    <w:rFonts w:ascii="Georgia" w:hAnsi="Georgia"/>
                                    <w:color w:val="2BAADF"/>
                                  </w:rPr>
                                  <w:t>reporting requirements</w:t>
                                </w:r>
                              </w:hyperlink>
                              <w:r>
                                <w:rPr>
                                  <w:rFonts w:ascii="Georgia" w:hAnsi="Georgia"/>
                                  <w:color w:val="202020"/>
                                </w:rPr>
                                <w:t xml:space="preserve"> for third party settlement organizations – Form 1099-K - to learn about the recent changes. This is in addition to the TIR.</w:t>
                              </w:r>
                              <w:r>
                                <w:rPr>
                                  <w:rFonts w:ascii="Georgia" w:hAnsi="Georgia"/>
                                  <w:color w:val="202020"/>
                                </w:rPr>
                                <w:br/>
                                <w:t> </w:t>
                              </w:r>
                              <w:r>
                                <w:rPr>
                                  <w:rFonts w:ascii="Georgia" w:hAnsi="Georgia"/>
                                  <w:color w:val="202020"/>
                                </w:rPr>
                                <w:br/>
                              </w:r>
                              <w:r>
                                <w:rPr>
                                  <w:rStyle w:val="Strong"/>
                                  <w:rFonts w:ascii="Georgia" w:hAnsi="Georgia"/>
                                  <w:color w:val="202020"/>
                                </w:rPr>
                                <w:t>PO Box 7007 will be closed – time to stop using it</w:t>
                              </w:r>
                              <w:r>
                                <w:rPr>
                                  <w:rFonts w:ascii="Georgia" w:hAnsi="Georgia"/>
                                  <w:color w:val="202020"/>
                                </w:rPr>
                                <w:br/>
                                <w:t>It’s not a big group but some continue to send estimated payments to PO Box 7007. The PO Box will be closed soon and payments will be returned for having a bad address by the Post Office. Avoid processing delays by sending estimated payments to the correct addresses. Form 1-ES should be sent to PO Box 419540, Boston 02241-9540. Form 2-ES is sent to PO Box 419544, Boston 02241-9544.</w:t>
                              </w:r>
                              <w:r>
                                <w:rPr>
                                  <w:rFonts w:ascii="Helvetica" w:hAnsi="Helvetica" w:cs="Helvetica"/>
                                  <w:color w:val="202020"/>
                                </w:rPr>
                                <w:br/>
                                <w:t> </w:t>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tbl>
            <w:tblPr>
              <w:tblW w:w="5000" w:type="pct"/>
              <w:tblCellMar>
                <w:left w:w="0" w:type="dxa"/>
                <w:right w:w="0" w:type="dxa"/>
              </w:tblCellMar>
              <w:tblLook w:val="04A0" w:firstRow="1" w:lastRow="0" w:firstColumn="1" w:lastColumn="0" w:noHBand="0" w:noVBand="1"/>
            </w:tblPr>
            <w:tblGrid>
              <w:gridCol w:w="10800"/>
            </w:tblGrid>
            <w:tr w:rsidR="007B7E0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
                    <w:gridCol w:w="10785"/>
                  </w:tblGrid>
                  <w:tr w:rsidR="007B7E0A">
                    <w:trPr>
                      <w:jc w:val="center"/>
                    </w:trPr>
                    <w:tc>
                      <w:tcPr>
                        <w:tcW w:w="0" w:type="auto"/>
                        <w:hideMark/>
                      </w:tcPr>
                      <w:p w:rsidR="007B7E0A" w:rsidRDefault="007B7E0A">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85"/>
                        </w:tblGrid>
                        <w:tr w:rsidR="007B7E0A">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10245"/>
                              </w:tblGrid>
                              <w:tr w:rsidR="007B7E0A">
                                <w:tc>
                                  <w:tcPr>
                                    <w:tcW w:w="0" w:type="auto"/>
                                    <w:shd w:val="clear" w:color="auto" w:fill="1A7097"/>
                                    <w:tcMar>
                                      <w:top w:w="270" w:type="dxa"/>
                                      <w:left w:w="270" w:type="dxa"/>
                                      <w:bottom w:w="270" w:type="dxa"/>
                                      <w:right w:w="270" w:type="dxa"/>
                                    </w:tcMar>
                                    <w:hideMark/>
                                  </w:tcPr>
                                  <w:p w:rsidR="007B7E0A" w:rsidRDefault="007B7E0A">
                                    <w:pPr>
                                      <w:spacing w:line="360" w:lineRule="auto"/>
                                      <w:jc w:val="center"/>
                                      <w:rPr>
                                        <w:rFonts w:ascii="Helvetica" w:hAnsi="Helvetica" w:cs="Helvetica"/>
                                        <w:color w:val="F2F2F2"/>
                                        <w:sz w:val="21"/>
                                        <w:szCs w:val="21"/>
                                      </w:rPr>
                                    </w:pPr>
                                    <w:r>
                                      <w:rPr>
                                        <w:rStyle w:val="Strong"/>
                                        <w:rFonts w:ascii="Helvetica" w:hAnsi="Helvetica" w:cs="Helvetica"/>
                                        <w:color w:val="F2F2F2"/>
                                        <w:sz w:val="26"/>
                                        <w:szCs w:val="26"/>
                                      </w:rPr>
                                      <w:t>DOR News - January 2018</w:t>
                                    </w:r>
                                    <w:r>
                                      <w:rPr>
                                        <w:rFonts w:ascii="Helvetica" w:hAnsi="Helvetica" w:cs="Helvetica"/>
                                        <w:color w:val="F2F2F2"/>
                                        <w:sz w:val="21"/>
                                        <w:szCs w:val="21"/>
                                      </w:rPr>
                                      <w:t xml:space="preserve"> </w:t>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pPr>
                    <w:jc w:val="center"/>
                    <w:rPr>
                      <w:rFonts w:eastAsia="Times New Roman"/>
                      <w:sz w:val="20"/>
                      <w:szCs w:val="20"/>
                    </w:rPr>
                  </w:pPr>
                </w:p>
              </w:tc>
            </w:tr>
          </w:tbl>
          <w:p w:rsidR="007B7E0A" w:rsidRDefault="007B7E0A">
            <w:pPr>
              <w:rPr>
                <w:rFonts w:eastAsia="Times New Roman"/>
              </w:rPr>
            </w:pPr>
          </w:p>
        </w:tc>
      </w:tr>
      <w:tr w:rsidR="007B7E0A" w:rsidTr="007B7E0A">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0800"/>
            </w:tblGrid>
            <w:tr w:rsidR="007B7E0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530"/>
                  </w:tblGrid>
                  <w:tr w:rsidR="007B7E0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260"/>
                        </w:tblGrid>
                        <w:tr w:rsidR="007B7E0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41"/>
                              </w:tblGrid>
                              <w:tr w:rsidR="007B7E0A">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7"/>
                                      <w:gridCol w:w="797"/>
                                      <w:gridCol w:w="647"/>
                                    </w:tblGrid>
                                    <w:tr w:rsidR="007B7E0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7"/>
                                          </w:tblGrid>
                                          <w:tr w:rsidR="007B7E0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7"/>
                                                </w:tblGrid>
                                                <w:tr w:rsidR="007B7E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2"/>
                                                      </w:tblGrid>
                                                      <w:tr w:rsidR="007B7E0A">
                                                        <w:tc>
                                                          <w:tcPr>
                                                            <w:tcW w:w="360" w:type="dxa"/>
                                                            <w:vAlign w:val="center"/>
                                                            <w:hideMark/>
                                                          </w:tcPr>
                                                          <w:p w:rsidR="007B7E0A" w:rsidRDefault="007B7E0A">
                                                            <w:pPr>
                                                              <w:jc w:val="center"/>
                                                            </w:pPr>
                                                            <w:r>
                                                              <w:rPr>
                                                                <w:noProof/>
                                                                <w:color w:val="0000FF"/>
                                                              </w:rPr>
                                                              <w:lastRenderedPageBreak/>
                                                              <w:drawing>
                                                                <wp:inline distT="0" distB="0" distL="0" distR="0" wp14:anchorId="473E03CC" wp14:editId="31248F8A">
                                                                  <wp:extent cx="229870" cy="229870"/>
                                                                  <wp:effectExtent l="0" t="0" r="0" b="0"/>
                                                                  <wp:docPr id="3" name="Picture 3" descr="https://cdn-images.mailchimp.com/icons/social-block-v2/color-twitter-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7"/>
                                          </w:tblGrid>
                                          <w:tr w:rsidR="007B7E0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7"/>
                                                </w:tblGrid>
                                                <w:tr w:rsidR="007B7E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2"/>
                                                      </w:tblGrid>
                                                      <w:tr w:rsidR="007B7E0A">
                                                        <w:tc>
                                                          <w:tcPr>
                                                            <w:tcW w:w="360" w:type="dxa"/>
                                                            <w:vAlign w:val="center"/>
                                                            <w:hideMark/>
                                                          </w:tcPr>
                                                          <w:p w:rsidR="007B7E0A" w:rsidRDefault="007B7E0A">
                                                            <w:pPr>
                                                              <w:jc w:val="center"/>
                                                            </w:pPr>
                                                            <w:r>
                                                              <w:rPr>
                                                                <w:noProof/>
                                                                <w:color w:val="0000FF"/>
                                                              </w:rPr>
                                                              <w:drawing>
                                                                <wp:inline distT="0" distB="0" distL="0" distR="0" wp14:anchorId="62A36038" wp14:editId="30AF424D">
                                                                  <wp:extent cx="229870" cy="229870"/>
                                                                  <wp:effectExtent l="0" t="0" r="0" b="0"/>
                                                                  <wp:docPr id="2" name="Picture 2" descr="https://cdn-images.mailchimp.com/icons/social-block-v2/color-facebook-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7"/>
                                          </w:tblGrid>
                                          <w:tr w:rsidR="007B7E0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7"/>
                                                </w:tblGrid>
                                                <w:tr w:rsidR="007B7E0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2"/>
                                                      </w:tblGrid>
                                                      <w:tr w:rsidR="007B7E0A">
                                                        <w:tc>
                                                          <w:tcPr>
                                                            <w:tcW w:w="360" w:type="dxa"/>
                                                            <w:vAlign w:val="center"/>
                                                            <w:hideMark/>
                                                          </w:tcPr>
                                                          <w:p w:rsidR="007B7E0A" w:rsidRDefault="007B7E0A">
                                                            <w:pPr>
                                                              <w:jc w:val="center"/>
                                                            </w:pPr>
                                                            <w:r>
                                                              <w:rPr>
                                                                <w:noProof/>
                                                                <w:color w:val="0000FF"/>
                                                              </w:rPr>
                                                              <w:drawing>
                                                                <wp:inline distT="0" distB="0" distL="0" distR="0" wp14:anchorId="4E8F4469" wp14:editId="69405213">
                                                                  <wp:extent cx="229870" cy="229870"/>
                                                                  <wp:effectExtent l="0" t="0" r="0" b="0"/>
                                                                  <wp:docPr id="1" name="Picture 1" descr="https://cdn-images.mailchimp.com/icons/social-block-v2/color-link-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pPr>
                                      <w:jc w:val="center"/>
                                      <w:rPr>
                                        <w:rFonts w:eastAsia="Times New Roman"/>
                                        <w:sz w:val="20"/>
                                        <w:szCs w:val="20"/>
                                      </w:rPr>
                                    </w:pPr>
                                  </w:p>
                                </w:tc>
                              </w:tr>
                            </w:tbl>
                            <w:p w:rsidR="007B7E0A" w:rsidRDefault="007B7E0A">
                              <w:pPr>
                                <w:jc w:val="center"/>
                                <w:rPr>
                                  <w:rFonts w:eastAsia="Times New Roman"/>
                                  <w:sz w:val="20"/>
                                  <w:szCs w:val="20"/>
                                </w:rPr>
                              </w:pPr>
                            </w:p>
                          </w:tc>
                        </w:tr>
                      </w:tbl>
                      <w:p w:rsidR="007B7E0A" w:rsidRDefault="007B7E0A">
                        <w:pPr>
                          <w:jc w:val="center"/>
                          <w:rPr>
                            <w:rFonts w:eastAsia="Times New Roman"/>
                            <w:sz w:val="20"/>
                            <w:szCs w:val="20"/>
                          </w:rPr>
                        </w:pPr>
                      </w:p>
                    </w:tc>
                  </w:tr>
                </w:tbl>
                <w:p w:rsidR="007B7E0A" w:rsidRDefault="007B7E0A">
                  <w:pPr>
                    <w:jc w:val="center"/>
                    <w:rPr>
                      <w:rFonts w:eastAsia="Times New Roman"/>
                      <w:sz w:val="20"/>
                      <w:szCs w:val="20"/>
                    </w:rPr>
                  </w:pPr>
                </w:p>
              </w:tc>
            </w:tr>
          </w:tbl>
          <w:p w:rsidR="007B7E0A" w:rsidRDefault="007B7E0A"/>
          <w:tbl>
            <w:tblPr>
              <w:tblW w:w="5000" w:type="pct"/>
              <w:tblCellMar>
                <w:left w:w="0" w:type="dxa"/>
                <w:right w:w="0" w:type="dxa"/>
              </w:tblCellMar>
              <w:tblLook w:val="04A0" w:firstRow="1" w:lastRow="0" w:firstColumn="1" w:lastColumn="0" w:noHBand="0" w:noVBand="1"/>
            </w:tblPr>
            <w:tblGrid>
              <w:gridCol w:w="10800"/>
            </w:tblGrid>
            <w:tr w:rsidR="007B7E0A">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0260"/>
                  </w:tblGrid>
                  <w:tr w:rsidR="007B7E0A">
                    <w:tc>
                      <w:tcPr>
                        <w:tcW w:w="0" w:type="auto"/>
                        <w:tcBorders>
                          <w:top w:val="single" w:sz="12" w:space="0" w:color="EEEEEE"/>
                          <w:left w:val="nil"/>
                          <w:bottom w:val="nil"/>
                          <w:right w:val="nil"/>
                        </w:tcBorders>
                        <w:vAlign w:val="center"/>
                        <w:hideMark/>
                      </w:tcPr>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tbl>
            <w:tblPr>
              <w:tblW w:w="5000" w:type="pct"/>
              <w:tblCellMar>
                <w:left w:w="0" w:type="dxa"/>
                <w:right w:w="0" w:type="dxa"/>
              </w:tblCellMar>
              <w:tblLook w:val="04A0" w:firstRow="1" w:lastRow="0" w:firstColumn="1" w:lastColumn="0" w:noHBand="0" w:noVBand="1"/>
            </w:tblPr>
            <w:tblGrid>
              <w:gridCol w:w="10800"/>
            </w:tblGrid>
            <w:tr w:rsidR="007B7E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7B7E0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B7E0A">
                          <w:tc>
                            <w:tcPr>
                              <w:tcW w:w="0" w:type="auto"/>
                              <w:tcMar>
                                <w:top w:w="0" w:type="dxa"/>
                                <w:left w:w="270" w:type="dxa"/>
                                <w:bottom w:w="135" w:type="dxa"/>
                                <w:right w:w="270" w:type="dxa"/>
                              </w:tcMar>
                              <w:hideMark/>
                            </w:tcPr>
                            <w:p w:rsidR="007B7E0A" w:rsidRDefault="007B7E0A">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2018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7B7E0A" w:rsidRDefault="007B7E0A">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rsidR="007B7E0A" w:rsidRDefault="007B7E0A">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7B7E0A" w:rsidRDefault="007B7E0A">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7B7E0A" w:rsidRDefault="007B7E0A">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7B7E0A" w:rsidRDefault="007B7E0A">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16" w:history="1">
                                <w:r>
                                  <w:rPr>
                                    <w:rStyle w:val="Hyperlink"/>
                                    <w:rFonts w:ascii="Helvetica" w:hAnsi="Helvetica" w:cs="Helvetica"/>
                                    <w:color w:val="656565"/>
                                    <w:sz w:val="18"/>
                                    <w:szCs w:val="18"/>
                                  </w:rPr>
                                  <w:t>Add us to your address book</w:t>
                                </w:r>
                              </w:hyperlink>
                            </w:p>
                            <w:p w:rsidR="007B7E0A" w:rsidRDefault="007B7E0A">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17"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18"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7B7E0A" w:rsidRDefault="007B7E0A">
                        <w:pPr>
                          <w:rPr>
                            <w:rFonts w:eastAsia="Times New Roman"/>
                            <w:sz w:val="20"/>
                            <w:szCs w:val="20"/>
                          </w:rPr>
                        </w:pPr>
                      </w:p>
                    </w:tc>
                  </w:tr>
                </w:tbl>
                <w:p w:rsidR="007B7E0A" w:rsidRDefault="007B7E0A">
                  <w:pPr>
                    <w:rPr>
                      <w:rFonts w:eastAsia="Times New Roman"/>
                      <w:sz w:val="20"/>
                      <w:szCs w:val="20"/>
                    </w:rPr>
                  </w:pPr>
                </w:p>
              </w:tc>
            </w:tr>
          </w:tbl>
          <w:p w:rsidR="007B7E0A" w:rsidRDefault="007B7E0A">
            <w:pPr>
              <w:rPr>
                <w:rFonts w:eastAsia="Times New Roman"/>
              </w:rPr>
            </w:pPr>
          </w:p>
        </w:tc>
      </w:tr>
    </w:tbl>
    <w:p w:rsidR="00133D37" w:rsidRDefault="007B7E0A"/>
    <w:sectPr w:rsidR="00133D37" w:rsidSect="007B7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0A"/>
    <w:rsid w:val="007B7E0A"/>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E0A"/>
    <w:rPr>
      <w:color w:val="0000FF"/>
      <w:u w:val="single"/>
    </w:rPr>
  </w:style>
  <w:style w:type="character" w:customStyle="1" w:styleId="org">
    <w:name w:val="org"/>
    <w:basedOn w:val="DefaultParagraphFont"/>
    <w:rsid w:val="007B7E0A"/>
  </w:style>
  <w:style w:type="character" w:customStyle="1" w:styleId="locality">
    <w:name w:val="locality"/>
    <w:basedOn w:val="DefaultParagraphFont"/>
    <w:rsid w:val="007B7E0A"/>
  </w:style>
  <w:style w:type="character" w:customStyle="1" w:styleId="region">
    <w:name w:val="region"/>
    <w:basedOn w:val="DefaultParagraphFont"/>
    <w:rsid w:val="007B7E0A"/>
  </w:style>
  <w:style w:type="character" w:customStyle="1" w:styleId="postal-code">
    <w:name w:val="postal-code"/>
    <w:basedOn w:val="DefaultParagraphFont"/>
    <w:rsid w:val="007B7E0A"/>
  </w:style>
  <w:style w:type="character" w:styleId="Strong">
    <w:name w:val="Strong"/>
    <w:basedOn w:val="DefaultParagraphFont"/>
    <w:uiPriority w:val="22"/>
    <w:qFormat/>
    <w:rsid w:val="007B7E0A"/>
    <w:rPr>
      <w:b/>
      <w:bCs/>
    </w:rPr>
  </w:style>
  <w:style w:type="character" w:styleId="Emphasis">
    <w:name w:val="Emphasis"/>
    <w:basedOn w:val="DefaultParagraphFont"/>
    <w:uiPriority w:val="20"/>
    <w:qFormat/>
    <w:rsid w:val="007B7E0A"/>
    <w:rPr>
      <w:i/>
      <w:iCs/>
    </w:rPr>
  </w:style>
  <w:style w:type="paragraph" w:styleId="BalloonText">
    <w:name w:val="Balloon Text"/>
    <w:basedOn w:val="Normal"/>
    <w:link w:val="BalloonTextChar"/>
    <w:uiPriority w:val="99"/>
    <w:semiHidden/>
    <w:unhideWhenUsed/>
    <w:rsid w:val="007B7E0A"/>
    <w:rPr>
      <w:rFonts w:ascii="Tahoma" w:hAnsi="Tahoma" w:cs="Tahoma"/>
      <w:sz w:val="16"/>
      <w:szCs w:val="16"/>
    </w:rPr>
  </w:style>
  <w:style w:type="character" w:customStyle="1" w:styleId="BalloonTextChar">
    <w:name w:val="Balloon Text Char"/>
    <w:basedOn w:val="DefaultParagraphFont"/>
    <w:link w:val="BalloonText"/>
    <w:uiPriority w:val="99"/>
    <w:semiHidden/>
    <w:rsid w:val="007B7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E0A"/>
    <w:rPr>
      <w:color w:val="0000FF"/>
      <w:u w:val="single"/>
    </w:rPr>
  </w:style>
  <w:style w:type="character" w:customStyle="1" w:styleId="org">
    <w:name w:val="org"/>
    <w:basedOn w:val="DefaultParagraphFont"/>
    <w:rsid w:val="007B7E0A"/>
  </w:style>
  <w:style w:type="character" w:customStyle="1" w:styleId="locality">
    <w:name w:val="locality"/>
    <w:basedOn w:val="DefaultParagraphFont"/>
    <w:rsid w:val="007B7E0A"/>
  </w:style>
  <w:style w:type="character" w:customStyle="1" w:styleId="region">
    <w:name w:val="region"/>
    <w:basedOn w:val="DefaultParagraphFont"/>
    <w:rsid w:val="007B7E0A"/>
  </w:style>
  <w:style w:type="character" w:customStyle="1" w:styleId="postal-code">
    <w:name w:val="postal-code"/>
    <w:basedOn w:val="DefaultParagraphFont"/>
    <w:rsid w:val="007B7E0A"/>
  </w:style>
  <w:style w:type="character" w:styleId="Strong">
    <w:name w:val="Strong"/>
    <w:basedOn w:val="DefaultParagraphFont"/>
    <w:uiPriority w:val="22"/>
    <w:qFormat/>
    <w:rsid w:val="007B7E0A"/>
    <w:rPr>
      <w:b/>
      <w:bCs/>
    </w:rPr>
  </w:style>
  <w:style w:type="character" w:styleId="Emphasis">
    <w:name w:val="Emphasis"/>
    <w:basedOn w:val="DefaultParagraphFont"/>
    <w:uiPriority w:val="20"/>
    <w:qFormat/>
    <w:rsid w:val="007B7E0A"/>
    <w:rPr>
      <w:i/>
      <w:iCs/>
    </w:rPr>
  </w:style>
  <w:style w:type="paragraph" w:styleId="BalloonText">
    <w:name w:val="Balloon Text"/>
    <w:basedOn w:val="Normal"/>
    <w:link w:val="BalloonTextChar"/>
    <w:uiPriority w:val="99"/>
    <w:semiHidden/>
    <w:unhideWhenUsed/>
    <w:rsid w:val="007B7E0A"/>
    <w:rPr>
      <w:rFonts w:ascii="Tahoma" w:hAnsi="Tahoma" w:cs="Tahoma"/>
      <w:sz w:val="16"/>
      <w:szCs w:val="16"/>
    </w:rPr>
  </w:style>
  <w:style w:type="character" w:customStyle="1" w:styleId="BalloonTextChar">
    <w:name w:val="Balloon Text Char"/>
    <w:basedOn w:val="DefaultParagraphFont"/>
    <w:link w:val="BalloonText"/>
    <w:uiPriority w:val="99"/>
    <w:semiHidden/>
    <w:rsid w:val="007B7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a1207227c4-26e-3D9521af11b2&amp;d=DwMFaQ&amp;c=Xhn9KFvv0VrhnMFbYtQjTGdTU13Xl3cIMh34YNGAA48&amp;r=d89QJLLxuwMMW8H2cPHM1rQMwL_8z2jmLRr1OQdopJA&amp;m=epTMyxxj8DW8Pp5pU5BM1uZ7jGcEDkLTGLtTv3DmebE&amp;s=KvhI1vrbDcdawxqWt8iuqt3wyDC8gXCdHTNQIYObEW8&amp;e=" TargetMode="External"/><Relationship Id="rId13" Type="http://schemas.openxmlformats.org/officeDocument/2006/relationships/image" Target="media/image3.png"/><Relationship Id="rId18" Type="http://schemas.openxmlformats.org/officeDocument/2006/relationships/hyperlink" Target="https://urldefense.proofpoint.com/v2/url?u=https-3A__mass.us11.list-2Dmanage.com_unsubscribe-3Fu-3D0e9e2209abd5f7062568d9a19-26id-3D9ac8b63e31-26e-3D9521af11b2-26c-3D19947521c4&amp;d=DwMFaQ&amp;c=Xhn9KFvv0VrhnMFbYtQjTGdTU13Xl3cIMh34YNGAA48&amp;r=d89QJLLxuwMMW8H2cPHM1rQMwL_8z2jmLRr1OQdopJA&amp;m=epTMyxxj8DW8Pp5pU5BM1uZ7jGcEDkLTGLtTv3DmebE&amp;s=PAmJj6P4qtkOYV9gQETTn3j89E9Bw7otQcYaiSirI8M&amp;e=" TargetMode="External"/><Relationship Id="rId3" Type="http://schemas.openxmlformats.org/officeDocument/2006/relationships/settings" Target="settings.xml"/><Relationship Id="rId7" Type="http://schemas.openxmlformats.org/officeDocument/2006/relationships/image" Target="https://gallery.mailchimp.com/0e9e2209abd5f7062568d9a19/images/26be3196-0057-4201-9be4-f07dbc8c4a35.jpg" TargetMode="External"/><Relationship Id="rId12" Type="http://schemas.openxmlformats.org/officeDocument/2006/relationships/hyperlink" Target="https://urldefense.proofpoint.com/v2/url?u=https-3A__mass.us11.list-2Dmanage.com_track_click-3Fu-3D0e9e2209abd5f7062568d9a19-26id-3D044a1256b7-26e-3D9521af11b2&amp;d=DwMFaQ&amp;c=Xhn9KFvv0VrhnMFbYtQjTGdTU13Xl3cIMh34YNGAA48&amp;r=d89QJLLxuwMMW8H2cPHM1rQMwL_8z2jmLRr1OQdopJA&amp;m=epTMyxxj8DW8Pp5pU5BM1uZ7jGcEDkLTGLtTv3DmebE&amp;s=8a2oYTpKH3v3iPMtD3VH6Prrham1LcJoI-i02sWJbcs&amp;e=" TargetMode="External"/><Relationship Id="rId17" Type="http://schemas.openxmlformats.org/officeDocument/2006/relationships/hyperlink" Target="https://urldefense.proofpoint.com/v2/url?u=https-3A__mass.us11.list-2Dmanage.com_profile-3Fu-3D0e9e2209abd5f7062568d9a19-26id-3D9ac8b63e31-26e-3D9521af11b2&amp;d=DwMFaQ&amp;c=Xhn9KFvv0VrhnMFbYtQjTGdTU13Xl3cIMh34YNGAA48&amp;r=d89QJLLxuwMMW8H2cPHM1rQMwL_8z2jmLRr1OQdopJA&amp;m=epTMyxxj8DW8Pp5pU5BM1uZ7jGcEDkLTGLtTv3DmebE&amp;s=jV0zMBg-JC85BeuibiRdDEsIz1PBT3bxSSeabfny8hE&amp;e=" TargetMode="External"/><Relationship Id="rId2" Type="http://schemas.microsoft.com/office/2007/relationships/stylesWithEffects" Target="stylesWithEffects.xml"/><Relationship Id="rId16" Type="http://schemas.openxmlformats.org/officeDocument/2006/relationships/hyperlink" Target="//mass.us11.list-manage.com/vcard?u=0e9e2209abd5f7062568d9a19&amp;id=9ac8b63e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1eb808e0c4-26e-3D9521af11b2&amp;d=DwMFaQ&amp;c=Xhn9KFvv0VrhnMFbYtQjTGdTU13Xl3cIMh34YNGAA48&amp;r=d89QJLLxuwMMW8H2cPHM1rQMwL_8z2jmLRr1OQdopJA&amp;m=epTMyxxj8DW8Pp5pU5BM1uZ7jGcEDkLTGLtTv3DmebE&amp;s=GNxhNsioOP4NtlJtBQzkeRTs7LoRCbbz2-8Tsb0LtTM&amp;e="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urldefense.proofpoint.com/v2/url?u=https-3A__mass.us11.list-2Dmanage.com_track_click-3Fu-3D0e9e2209abd5f7062568d9a19-26id-3De8015f5030-26e-3D9521af11b2&amp;d=DwMFaQ&amp;c=Xhn9KFvv0VrhnMFbYtQjTGdTU13Xl3cIMh34YNGAA48&amp;r=d89QJLLxuwMMW8H2cPHM1rQMwL_8z2jmLRr1OQdopJA&amp;m=epTMyxxj8DW8Pp5pU5BM1uZ7jGcEDkLTGLtTv3DmebE&amp;s=R16XbNNKJfzmP1TBgIaffuL95Tn1EXSoCEcgLQcfz-w&am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755bad2de2-26e-3D9521af11b2&amp;d=DwMFaQ&amp;c=Xhn9KFvv0VrhnMFbYtQjTGdTU13Xl3cIMh34YNGAA48&amp;r=d89QJLLxuwMMW8H2cPHM1rQMwL_8z2jmLRr1OQdopJA&amp;m=epTMyxxj8DW8Pp5pU5BM1uZ7jGcEDkLTGLtTv3DmebE&amp;s=wrDecIO7w2NOzbt73fKePqa8fDrR1hQJMoOjDlV4HEY&amp;e=" TargetMode="External"/><Relationship Id="rId14" Type="http://schemas.openxmlformats.org/officeDocument/2006/relationships/hyperlink" Target="https://urldefense.proofpoint.com/v2/url?u=https-3A__mass.us11.list-2Dmanage.com_track_click-3Fu-3D0e9e2209abd5f7062568d9a19-26id-3D657b94a193-26e-3D9521af11b2&amp;d=DwMFaQ&amp;c=Xhn9KFvv0VrhnMFbYtQjTGdTU13Xl3cIMh34YNGAA48&amp;r=d89QJLLxuwMMW8H2cPHM1rQMwL_8z2jmLRr1OQdopJA&amp;m=epTMyxxj8DW8Pp5pU5BM1uZ7jGcEDkLTGLtTv3DmebE&amp;s=L9nEZOOUMUK_M_fJYJjLazRkRV_qjuNe2-N7arEYiA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2018-01-24T14:33:00Z</dcterms:created>
  <dcterms:modified xsi:type="dcterms:W3CDTF">2018-01-24T14:34:00Z</dcterms:modified>
</cp:coreProperties>
</file>