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AB5617" w:rsidTr="00AB561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AB561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AB5617">
                    <w:tc>
                      <w:tcPr>
                        <w:tcW w:w="0" w:type="auto"/>
                        <w:tcMar>
                          <w:top w:w="0" w:type="dxa"/>
                          <w:left w:w="135" w:type="dxa"/>
                          <w:bottom w:w="0" w:type="dxa"/>
                          <w:right w:w="135" w:type="dxa"/>
                        </w:tcMar>
                        <w:hideMark/>
                      </w:tcPr>
                      <w:p w:rsidR="00AB5617" w:rsidRDefault="00AB5617">
                        <w:pPr>
                          <w:jc w:val="center"/>
                        </w:pPr>
                        <w:r>
                          <w:rPr>
                            <w:noProof/>
                          </w:rPr>
                          <w:drawing>
                            <wp:inline distT="0" distB="0" distL="0" distR="0">
                              <wp:extent cx="5368290" cy="1149985"/>
                              <wp:effectExtent l="0" t="0" r="3810" b="0"/>
                              <wp:docPr id="5" name="Picture 5" descr="https://gallery.mailchimp.com/0e9e2209abd5f7062568d9a19/images/d90bf80c-1cab-40d9-9245-8385b4fa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e9e2209abd5f7062568d9a19/images/d90bf80c-1cab-40d9-9245-8385b4fa63b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8290" cy="1149985"/>
                                      </a:xfrm>
                                      <a:prstGeom prst="rect">
                                        <a:avLst/>
                                      </a:prstGeom>
                                      <a:noFill/>
                                      <a:ln>
                                        <a:noFill/>
                                      </a:ln>
                                    </pic:spPr>
                                  </pic:pic>
                                </a:graphicData>
                              </a:graphic>
                            </wp:inline>
                          </w:drawing>
                        </w:r>
                      </w:p>
                    </w:tc>
                  </w:tr>
                </w:tbl>
                <w:p w:rsidR="00AB5617" w:rsidRDefault="00AB5617">
                  <w:pPr>
                    <w:rPr>
                      <w:rFonts w:eastAsia="Times New Roman"/>
                      <w:sz w:val="20"/>
                      <w:szCs w:val="20"/>
                    </w:rPr>
                  </w:pPr>
                </w:p>
              </w:tc>
            </w:tr>
          </w:tbl>
          <w:p w:rsidR="00AB5617" w:rsidRDefault="00AB5617">
            <w:pPr>
              <w:rPr>
                <w:rFonts w:eastAsia="Times New Roman"/>
                <w:sz w:val="20"/>
                <w:szCs w:val="20"/>
              </w:rPr>
            </w:pPr>
          </w:p>
        </w:tc>
      </w:tr>
      <w:tr w:rsidR="00AB5617" w:rsidTr="00AB561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AB561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AB561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B5617">
                          <w:tc>
                            <w:tcPr>
                              <w:tcW w:w="0" w:type="auto"/>
                              <w:tcMar>
                                <w:top w:w="0" w:type="dxa"/>
                                <w:left w:w="270" w:type="dxa"/>
                                <w:bottom w:w="135" w:type="dxa"/>
                                <w:right w:w="270" w:type="dxa"/>
                              </w:tcMar>
                              <w:hideMark/>
                            </w:tcPr>
                            <w:p w:rsidR="00AB5617" w:rsidRDefault="00AB5617">
                              <w:pPr>
                                <w:spacing w:line="360" w:lineRule="auto"/>
                                <w:rPr>
                                  <w:rFonts w:ascii="Helvetica" w:hAnsi="Helvetica" w:cs="Helvetica"/>
                                  <w:color w:val="202020"/>
                                </w:rPr>
                              </w:pPr>
                              <w:r>
                                <w:rPr>
                                  <w:rStyle w:val="Strong"/>
                                  <w:rFonts w:ascii="Georgia" w:hAnsi="Georgia"/>
                                  <w:color w:val="202020"/>
                                  <w:sz w:val="23"/>
                                  <w:szCs w:val="23"/>
                                </w:rPr>
                                <w:t>March 31 deadline for small business energy exemptions</w:t>
                              </w:r>
                              <w:r>
                                <w:rPr>
                                  <w:rFonts w:ascii="Georgia" w:hAnsi="Georgia"/>
                                  <w:color w:val="202020"/>
                                </w:rPr>
                                <w:br/>
                                <w:t xml:space="preserve">All 2018 small business energy exemptions were automatically extended to March 31, 2019 to give small businesses time to become familiar with the new electronic exemption process. It’s important that taxpayers with 2018 exemptions request the new exemption by March 31 to avoid being subject to sales tax. Learn more about the </w:t>
                              </w:r>
                              <w:hyperlink r:id="rId6" w:history="1">
                                <w:r>
                                  <w:rPr>
                                    <w:rStyle w:val="Hyperlink"/>
                                    <w:rFonts w:ascii="Georgia" w:hAnsi="Georgia"/>
                                    <w:color w:val="007C89"/>
                                  </w:rPr>
                                  <w:t>small business energy exemption</w:t>
                                </w:r>
                              </w:hyperlink>
                              <w:r>
                                <w:rPr>
                                  <w:rFonts w:ascii="Georgia" w:hAnsi="Georgia"/>
                                  <w:color w:val="202020"/>
                                  <w:u w:val="single"/>
                                </w:rPr>
                                <w:t>,</w:t>
                              </w:r>
                              <w:r>
                                <w:rPr>
                                  <w:rFonts w:ascii="Georgia" w:hAnsi="Georgia"/>
                                  <w:color w:val="202020"/>
                                </w:rPr>
                                <w:t xml:space="preserve"> including that new exemptions will now be good for two years instead of one.</w:t>
                              </w:r>
                              <w:r>
                                <w:rPr>
                                  <w:rFonts w:ascii="Georgia" w:hAnsi="Georgia"/>
                                  <w:color w:val="202020"/>
                                </w:rPr>
                                <w:br/>
                                <w:t> </w:t>
                              </w:r>
                              <w:r>
                                <w:rPr>
                                  <w:rFonts w:ascii="Georgia" w:hAnsi="Georgia"/>
                                  <w:color w:val="202020"/>
                                </w:rPr>
                                <w:br/>
                              </w:r>
                              <w:r>
                                <w:rPr>
                                  <w:rStyle w:val="Strong"/>
                                  <w:rFonts w:ascii="Georgia" w:hAnsi="Georgia"/>
                                  <w:color w:val="202020"/>
                                  <w:sz w:val="23"/>
                                  <w:szCs w:val="23"/>
                                </w:rPr>
                                <w:t>Processing of paid family and medical leave exemptions begins April 29</w:t>
                              </w:r>
                              <w:r>
                                <w:rPr>
                                  <w:rFonts w:ascii="Georgia" w:hAnsi="Georgia"/>
                                  <w:color w:val="202020"/>
                                </w:rPr>
                                <w:br/>
                                <w:t xml:space="preserve">Covered employers and business entities that provide paid family and medical leave benefits equaling or exceeding those offered under the Commonwealth’s plan can apply for Private Plan Exemptions starting April 29, 2019. Exemption requests will be processed through </w:t>
                              </w:r>
                              <w:proofErr w:type="spellStart"/>
                              <w:r>
                                <w:rPr>
                                  <w:rFonts w:ascii="Georgia" w:hAnsi="Georgia"/>
                                  <w:color w:val="202020"/>
                                </w:rPr>
                                <w:t>MassTaxConnect</w:t>
                              </w:r>
                              <w:proofErr w:type="spellEnd"/>
                              <w:r>
                                <w:rPr>
                                  <w:rFonts w:ascii="Georgia" w:hAnsi="Georgia"/>
                                  <w:color w:val="202020"/>
                                </w:rPr>
                                <w:t xml:space="preserve"> and be accepted on a rolling basis. If approved, Private Plan Exemptions will be valid for one year. There’s </w:t>
                              </w:r>
                              <w:hyperlink r:id="rId7" w:history="1">
                                <w:r>
                                  <w:rPr>
                                    <w:rStyle w:val="Hyperlink"/>
                                    <w:rFonts w:ascii="Georgia" w:hAnsi="Georgia"/>
                                    <w:color w:val="007C89"/>
                                  </w:rPr>
                                  <w:t>more information about the new paid family and medical leave</w:t>
                                </w:r>
                              </w:hyperlink>
                              <w:r>
                                <w:rPr>
                                  <w:rFonts w:ascii="Georgia" w:hAnsi="Georgia"/>
                                  <w:color w:val="202020"/>
                                </w:rPr>
                                <w:t xml:space="preserve"> on the DFML website.</w:t>
                              </w:r>
                              <w:r>
                                <w:rPr>
                                  <w:rFonts w:ascii="Georgia" w:hAnsi="Georgia"/>
                                  <w:color w:val="202020"/>
                                </w:rPr>
                                <w:br/>
                                <w:t> </w:t>
                              </w:r>
                              <w:r>
                                <w:rPr>
                                  <w:rFonts w:ascii="Georgia" w:hAnsi="Georgia"/>
                                  <w:color w:val="202020"/>
                                </w:rPr>
                                <w:br/>
                              </w:r>
                              <w:r>
                                <w:rPr>
                                  <w:rStyle w:val="Strong"/>
                                  <w:rFonts w:ascii="Georgia" w:hAnsi="Georgia"/>
                                  <w:color w:val="202020"/>
                                  <w:sz w:val="23"/>
                                  <w:szCs w:val="23"/>
                                </w:rPr>
                                <w:t>Before faxing a POA, be sure the taxpayer is known to DOR</w:t>
                              </w:r>
                              <w:r>
                                <w:rPr>
                                  <w:rFonts w:ascii="Georgia" w:hAnsi="Georgia"/>
                                  <w:color w:val="202020"/>
                                </w:rPr>
                                <w:br/>
                                <w:t xml:space="preserve">As we reported in January, there is now a centralized fax number for attaching a power of attorney to a taxpayer’s account (Please continue to send the POA directly if you are working with a specific individual at DOR). Before faxing a POA to the centralized number at 617-887-3995, check to be sure the taxpayer has previously registered with DOR through </w:t>
                              </w:r>
                              <w:proofErr w:type="spellStart"/>
                              <w:r>
                                <w:rPr>
                                  <w:rFonts w:ascii="Georgia" w:hAnsi="Georgia"/>
                                  <w:color w:val="202020"/>
                                </w:rPr>
                                <w:t>MassTaxConnect</w:t>
                              </w:r>
                              <w:proofErr w:type="spellEnd"/>
                              <w:r>
                                <w:rPr>
                                  <w:rFonts w:ascii="Georgia" w:hAnsi="Georgia"/>
                                  <w:color w:val="202020"/>
                                </w:rPr>
                                <w:t xml:space="preserve"> or has filed a return with the state. Otherwise, there will be no account to update with the POA.</w:t>
                              </w:r>
                              <w:r>
                                <w:rPr>
                                  <w:rFonts w:ascii="Georgia" w:hAnsi="Georgia"/>
                                  <w:color w:val="202020"/>
                                </w:rPr>
                                <w:br/>
                                <w:t> </w:t>
                              </w:r>
                              <w:r>
                                <w:rPr>
                                  <w:rFonts w:ascii="Georgia" w:hAnsi="Georgia"/>
                                  <w:color w:val="202020"/>
                                </w:rPr>
                                <w:br/>
                              </w:r>
                              <w:r>
                                <w:rPr>
                                  <w:rStyle w:val="Strong"/>
                                  <w:rFonts w:ascii="Georgia" w:hAnsi="Georgia"/>
                                  <w:color w:val="202020"/>
                                  <w:sz w:val="23"/>
                                  <w:szCs w:val="23"/>
                                </w:rPr>
                                <w:t>Taxpayers push online response rate up to 80%</w:t>
                              </w:r>
                              <w:r>
                                <w:rPr>
                                  <w:rFonts w:ascii="Georgia" w:hAnsi="Georgia"/>
                                  <w:color w:val="202020"/>
                                </w:rPr>
                                <w:br/>
                              </w:r>
                              <w:r>
                                <w:rPr>
                                  <w:rFonts w:ascii="Georgia" w:hAnsi="Georgia"/>
                                  <w:color w:val="202020"/>
                                </w:rPr>
                                <w:lastRenderedPageBreak/>
                                <w:t>Shortly after the launch of the new online response option for taxpayers to respond to notices asking for more information or verification of identity, more than half of the taxpayers chose the electronic response route. That was just a year ago and the number continues to increase. Now, over 80% of responses come in electronically.  Who knows where this will go – a 100% response rate by next year? Taxpayers are also choosing to send Schedule HC electronically when it’s missing from their return. Responding electronically is convenient and makes for quicker return processing.</w:t>
                              </w:r>
                              <w:r>
                                <w:rPr>
                                  <w:rFonts w:ascii="Georgia" w:hAnsi="Georgia"/>
                                  <w:color w:val="202020"/>
                                </w:rPr>
                                <w:br/>
                              </w:r>
                              <w:r>
                                <w:rPr>
                                  <w:rFonts w:ascii="Georgia" w:hAnsi="Georgia"/>
                                  <w:color w:val="202020"/>
                                </w:rPr>
                                <w:br/>
                              </w:r>
                              <w:r>
                                <w:rPr>
                                  <w:rStyle w:val="Strong"/>
                                  <w:rFonts w:ascii="Georgia" w:hAnsi="Georgia"/>
                                  <w:color w:val="202020"/>
                                  <w:sz w:val="23"/>
                                  <w:szCs w:val="23"/>
                                </w:rPr>
                                <w:t xml:space="preserve">Taxpayers benefit from registering with </w:t>
                              </w:r>
                              <w:proofErr w:type="spellStart"/>
                              <w:r>
                                <w:rPr>
                                  <w:rStyle w:val="Strong"/>
                                  <w:rFonts w:ascii="Georgia" w:hAnsi="Georgia"/>
                                  <w:color w:val="202020"/>
                                  <w:sz w:val="23"/>
                                  <w:szCs w:val="23"/>
                                </w:rPr>
                                <w:t>MassTaxConnect</w:t>
                              </w:r>
                              <w:proofErr w:type="spellEnd"/>
                              <w:r>
                                <w:rPr>
                                  <w:rFonts w:ascii="Georgia" w:hAnsi="Georgia"/>
                                  <w:color w:val="202020"/>
                                </w:rPr>
                                <w:br/>
                                <w:t xml:space="preserve">Immediate notification of important information from DOR is just one of the reasons for income taxpayers to register with </w:t>
                              </w:r>
                              <w:hyperlink r:id="rId8" w:history="1">
                                <w:proofErr w:type="spellStart"/>
                                <w:r>
                                  <w:rPr>
                                    <w:rStyle w:val="Hyperlink"/>
                                    <w:rFonts w:ascii="Georgia" w:hAnsi="Georgia"/>
                                    <w:color w:val="007C89"/>
                                  </w:rPr>
                                  <w:t>MassTaxConnect</w:t>
                                </w:r>
                                <w:proofErr w:type="spellEnd"/>
                              </w:hyperlink>
                              <w:r>
                                <w:rPr>
                                  <w:rFonts w:ascii="Georgia" w:hAnsi="Georgia"/>
                                  <w:color w:val="202020"/>
                                </w:rPr>
                                <w:t>. Secure messages can be sent to DOR, which is even more convenient than calling – particularly during the busy tax season. To ensure that a tax professional is aware of their tax status, taxpayers can grant account access to a third party.</w:t>
                              </w:r>
                              <w:r>
                                <w:rPr>
                                  <w:rFonts w:ascii="Georgia" w:hAnsi="Georgia"/>
                                  <w:color w:val="202020"/>
                                </w:rPr>
                                <w:br/>
                                <w:t> </w:t>
                              </w:r>
                              <w:r>
                                <w:rPr>
                                  <w:rFonts w:ascii="Georgia" w:hAnsi="Georgia"/>
                                  <w:color w:val="202020"/>
                                </w:rPr>
                                <w:br/>
                              </w:r>
                              <w:r>
                                <w:rPr>
                                  <w:rStyle w:val="Strong"/>
                                  <w:rFonts w:ascii="Georgia" w:hAnsi="Georgia"/>
                                  <w:color w:val="202020"/>
                                  <w:sz w:val="23"/>
                                  <w:szCs w:val="23"/>
                                </w:rPr>
                                <w:t>In praise of e-messaging</w:t>
                              </w:r>
                              <w:r>
                                <w:rPr>
                                  <w:rFonts w:ascii="Georgia" w:hAnsi="Georgia"/>
                                  <w:color w:val="202020"/>
                                </w:rPr>
                                <w:br/>
                                <w:t xml:space="preserve">Now here’s a quote, “Who do you have answering the e-messages tax pros send regarding their clients? I don’t know who they are but I have to tell you that I am receiving responses so fast that I am honestly blown away.” From Dave, a tax professional </w:t>
                              </w:r>
                              <w:proofErr w:type="gramStart"/>
                              <w:r>
                                <w:rPr>
                                  <w:rFonts w:ascii="Georgia" w:hAnsi="Georgia"/>
                                  <w:color w:val="202020"/>
                                </w:rPr>
                                <w:t>who</w:t>
                              </w:r>
                              <w:proofErr w:type="gramEnd"/>
                              <w:r>
                                <w:rPr>
                                  <w:rFonts w:ascii="Georgia" w:hAnsi="Georgia"/>
                                  <w:color w:val="202020"/>
                                </w:rPr>
                                <w:t xml:space="preserve"> uses the e-message feature on </w:t>
                              </w:r>
                              <w:proofErr w:type="spellStart"/>
                              <w:r>
                                <w:rPr>
                                  <w:rFonts w:ascii="Georgia" w:hAnsi="Georgia"/>
                                  <w:color w:val="202020"/>
                                </w:rPr>
                                <w:t>MassTaxConnect</w:t>
                              </w:r>
                              <w:proofErr w:type="spellEnd"/>
                              <w:r>
                                <w:rPr>
                                  <w:rFonts w:ascii="Georgia" w:hAnsi="Georgia"/>
                                  <w:color w:val="202020"/>
                                </w:rPr>
                                <w:t>. </w:t>
                              </w:r>
                              <w:r>
                                <w:rPr>
                                  <w:rFonts w:ascii="Georgia" w:hAnsi="Georgia"/>
                                  <w:color w:val="202020"/>
                                </w:rPr>
                                <w:br/>
                                <w:t> </w:t>
                              </w:r>
                              <w:r>
                                <w:rPr>
                                  <w:rFonts w:ascii="Georgia" w:hAnsi="Georgia"/>
                                  <w:color w:val="202020"/>
                                </w:rPr>
                                <w:br/>
                              </w:r>
                              <w:r>
                                <w:rPr>
                                  <w:rStyle w:val="Strong"/>
                                  <w:rFonts w:ascii="Georgia" w:hAnsi="Georgia"/>
                                  <w:color w:val="202020"/>
                                  <w:sz w:val="23"/>
                                  <w:szCs w:val="23"/>
                                </w:rPr>
                                <w:t>Corporate estimated payment date reminder   </w:t>
                              </w:r>
                              <w:r>
                                <w:rPr>
                                  <w:rStyle w:val="Strong"/>
                                  <w:rFonts w:ascii="Georgia" w:hAnsi="Georgia"/>
                                  <w:color w:val="202020"/>
                                </w:rPr>
                                <w:t>  </w:t>
                              </w:r>
                              <w:r>
                                <w:rPr>
                                  <w:rStyle w:val="Strong"/>
                                  <w:rFonts w:ascii="Georgia" w:hAnsi="Georgia"/>
                                  <w:color w:val="202020"/>
                                  <w:sz w:val="21"/>
                                  <w:szCs w:val="21"/>
                                </w:rPr>
                                <w:t>   </w:t>
                              </w:r>
                              <w:r>
                                <w:rPr>
                                  <w:rFonts w:ascii="Georgia" w:hAnsi="Georgia"/>
                                  <w:color w:val="202020"/>
                                </w:rPr>
                                <w:br/>
                                <w:t xml:space="preserve">Last March’s </w:t>
                              </w:r>
                              <w:hyperlink r:id="rId9" w:history="1">
                                <w:r>
                                  <w:rPr>
                                    <w:rStyle w:val="Hyperlink"/>
                                    <w:rFonts w:ascii="Georgia" w:hAnsi="Georgia"/>
                                    <w:color w:val="007C89"/>
                                  </w:rPr>
                                  <w:t>message</w:t>
                                </w:r>
                              </w:hyperlink>
                              <w:r>
                                <w:rPr>
                                  <w:rFonts w:ascii="Georgia" w:hAnsi="Georgia"/>
                                  <w:color w:val="202020"/>
                                </w:rPr>
                                <w:t xml:space="preserve"> may be worth repeating as we come up on March 15.</w:t>
                              </w:r>
                              <w:r>
                                <w:rPr>
                                  <w:rFonts w:ascii="Georgia" w:hAnsi="Georgia"/>
                                  <w:color w:val="202020"/>
                                </w:rPr>
                                <w:br/>
                                <w:t> </w:t>
                              </w:r>
                              <w:r>
                                <w:rPr>
                                  <w:rFonts w:ascii="Georgia" w:hAnsi="Georgia"/>
                                  <w:color w:val="202020"/>
                                </w:rPr>
                                <w:br/>
                              </w:r>
                              <w:r>
                                <w:rPr>
                                  <w:rStyle w:val="Strong"/>
                                  <w:rFonts w:ascii="Georgia" w:hAnsi="Georgia"/>
                                  <w:color w:val="202020"/>
                                  <w:sz w:val="23"/>
                                  <w:szCs w:val="23"/>
                                </w:rPr>
                                <w:t>Important links</w:t>
                              </w:r>
                              <w:r>
                                <w:rPr>
                                  <w:rFonts w:ascii="Georgia" w:hAnsi="Georgia"/>
                                  <w:color w:val="202020"/>
                                </w:rPr>
                                <w:br/>
                                <w:t xml:space="preserve">Keep up with any changes to these new initiatives or programs: </w:t>
                              </w:r>
                              <w:hyperlink r:id="rId10" w:history="1">
                                <w:r>
                                  <w:rPr>
                                    <w:rStyle w:val="Hyperlink"/>
                                    <w:rFonts w:ascii="Georgia" w:hAnsi="Georgia"/>
                                    <w:color w:val="007C89"/>
                                  </w:rPr>
                                  <w:t>room occupancy excise on short-term rentals</w:t>
                                </w:r>
                              </w:hyperlink>
                              <w:r>
                                <w:rPr>
                                  <w:rFonts w:ascii="Georgia" w:hAnsi="Georgia"/>
                                  <w:color w:val="202020"/>
                                </w:rPr>
                                <w:t xml:space="preserve">, </w:t>
                              </w:r>
                              <w:hyperlink r:id="rId11" w:history="1">
                                <w:r>
                                  <w:rPr>
                                    <w:rStyle w:val="Hyperlink"/>
                                    <w:rFonts w:ascii="Georgia" w:hAnsi="Georgia"/>
                                    <w:color w:val="007C89"/>
                                  </w:rPr>
                                  <w:t>small business energy exemption</w:t>
                                </w:r>
                              </w:hyperlink>
                              <w:r>
                                <w:rPr>
                                  <w:rFonts w:ascii="Georgia" w:hAnsi="Georgia"/>
                                  <w:color w:val="202020"/>
                                </w:rPr>
                                <w:t xml:space="preserve">, </w:t>
                              </w:r>
                              <w:hyperlink r:id="rId12" w:history="1">
                                <w:r>
                                  <w:rPr>
                                    <w:rStyle w:val="Hyperlink"/>
                                    <w:rFonts w:ascii="Georgia" w:hAnsi="Georgia"/>
                                    <w:color w:val="007C89"/>
                                  </w:rPr>
                                  <w:t>surcharge on vehicle rental transactions</w:t>
                                </w:r>
                              </w:hyperlink>
                              <w:r>
                                <w:rPr>
                                  <w:rFonts w:ascii="Georgia" w:hAnsi="Georgia"/>
                                  <w:color w:val="202020"/>
                                </w:rPr>
                                <w:t xml:space="preserve">, </w:t>
                              </w:r>
                              <w:hyperlink r:id="rId13" w:history="1">
                                <w:r>
                                  <w:rPr>
                                    <w:rStyle w:val="Hyperlink"/>
                                    <w:rFonts w:ascii="Georgia" w:hAnsi="Georgia"/>
                                    <w:color w:val="007C89"/>
                                  </w:rPr>
                                  <w:t>paid family and medical leave</w:t>
                                </w:r>
                              </w:hyperlink>
                              <w:r>
                                <w:rPr>
                                  <w:rFonts w:ascii="Georgia" w:hAnsi="Georgia"/>
                                  <w:color w:val="202020"/>
                                </w:rPr>
                                <w:t xml:space="preserve">, </w:t>
                              </w:r>
                              <w:hyperlink r:id="rId14" w:history="1">
                                <w:r>
                                  <w:rPr>
                                    <w:rStyle w:val="Hyperlink"/>
                                    <w:rFonts w:ascii="Georgia" w:hAnsi="Georgia"/>
                                    <w:color w:val="007C89"/>
                                  </w:rPr>
                                  <w:t>Health Insurance Responsibility Disclosure</w:t>
                                </w:r>
                              </w:hyperlink>
                              <w:r>
                                <w:rPr>
                                  <w:rFonts w:ascii="Georgia" w:hAnsi="Georgia"/>
                                  <w:color w:val="202020"/>
                                </w:rPr>
                                <w:t xml:space="preserve"> (see FAQs @ top of page).</w:t>
                              </w:r>
                              <w:r>
                                <w:rPr>
                                  <w:rFonts w:ascii="Georgia" w:hAnsi="Georgia"/>
                                  <w:color w:val="202020"/>
                                </w:rPr>
                                <w:br/>
                              </w:r>
                              <w:r>
                                <w:rPr>
                                  <w:rFonts w:ascii="Georgia" w:hAnsi="Georgia"/>
                                  <w:color w:val="202020"/>
                                </w:rPr>
                                <w:lastRenderedPageBreak/>
                                <w:br/>
                                <w:t xml:space="preserve">Look for us on Instagram </w:t>
                              </w:r>
                              <w:r>
                                <w:rPr>
                                  <w:rStyle w:val="Strong"/>
                                  <w:rFonts w:ascii="Georgia" w:hAnsi="Georgia"/>
                                  <w:color w:val="202020"/>
                                </w:rPr>
                                <w:t>@</w:t>
                              </w:r>
                              <w:proofErr w:type="spellStart"/>
                              <w:r>
                                <w:rPr>
                                  <w:rStyle w:val="Strong"/>
                                  <w:rFonts w:ascii="Georgia" w:hAnsi="Georgia"/>
                                  <w:color w:val="202020"/>
                                </w:rPr>
                                <w:t>insidemassrevenue</w:t>
                              </w:r>
                              <w:proofErr w:type="spellEnd"/>
                              <w:r>
                                <w:rPr>
                                  <w:rFonts w:ascii="Georgia" w:hAnsi="Georgia"/>
                                  <w:color w:val="202020"/>
                                </w:rPr>
                                <w:t>.</w:t>
                              </w:r>
                              <w:r>
                                <w:rPr>
                                  <w:rFonts w:ascii="Georgia" w:hAnsi="Georgia"/>
                                  <w:color w:val="202020"/>
                                </w:rPr>
                                <w:br/>
                                <w:t> </w:t>
                              </w:r>
                              <w:r>
                                <w:rPr>
                                  <w:rFonts w:ascii="Georgia" w:hAnsi="Georgia"/>
                                  <w:color w:val="202020"/>
                                </w:rPr>
                                <w:br/>
                                <w:t xml:space="preserve">If you missed a </w:t>
                              </w:r>
                              <w:hyperlink r:id="rId15" w:history="1">
                                <w:r>
                                  <w:rPr>
                                    <w:rStyle w:val="Hyperlink"/>
                                    <w:rFonts w:ascii="Georgia" w:hAnsi="Georgia"/>
                                    <w:color w:val="007C89"/>
                                  </w:rPr>
                                  <w:t>prior DOR News</w:t>
                                </w:r>
                              </w:hyperlink>
                              <w:r>
                                <w:rPr>
                                  <w:rFonts w:ascii="Georgia" w:hAnsi="Georgia"/>
                                  <w:color w:val="202020"/>
                                </w:rPr>
                                <w:t xml:space="preserve"> issue, you can always find it on the </w:t>
                              </w:r>
                              <w:hyperlink r:id="rId16" w:history="1">
                                <w:r>
                                  <w:rPr>
                                    <w:rStyle w:val="Hyperlink"/>
                                    <w:rFonts w:ascii="Georgia" w:hAnsi="Georgia"/>
                                    <w:color w:val="007C89"/>
                                  </w:rPr>
                                  <w:t>Tax Professionals</w:t>
                                </w:r>
                              </w:hyperlink>
                              <w:r>
                                <w:rPr>
                                  <w:rFonts w:ascii="Georgia" w:hAnsi="Georgia"/>
                                  <w:color w:val="202020"/>
                                </w:rPr>
                                <w:t xml:space="preserve"> page.</w:t>
                              </w:r>
                            </w:p>
                          </w:tc>
                        </w:tr>
                      </w:tbl>
                      <w:p w:rsidR="00AB5617" w:rsidRDefault="00AB5617">
                        <w:pPr>
                          <w:rPr>
                            <w:rFonts w:eastAsia="Times New Roman"/>
                            <w:sz w:val="20"/>
                            <w:szCs w:val="20"/>
                          </w:rPr>
                        </w:pPr>
                      </w:p>
                    </w:tc>
                  </w:tr>
                </w:tbl>
                <w:p w:rsidR="00AB5617" w:rsidRDefault="00AB5617">
                  <w:pPr>
                    <w:rPr>
                      <w:rFonts w:eastAsia="Times New Roman"/>
                      <w:sz w:val="20"/>
                      <w:szCs w:val="20"/>
                    </w:rPr>
                  </w:pPr>
                </w:p>
              </w:tc>
            </w:tr>
          </w:tbl>
          <w:p w:rsidR="00AB5617" w:rsidRDefault="00AB5617"/>
          <w:tbl>
            <w:tblPr>
              <w:tblW w:w="5000" w:type="pct"/>
              <w:tblCellMar>
                <w:left w:w="0" w:type="dxa"/>
                <w:right w:w="0" w:type="dxa"/>
              </w:tblCellMar>
              <w:tblLook w:val="04A0" w:firstRow="1" w:lastRow="0" w:firstColumn="1" w:lastColumn="0" w:noHBand="0" w:noVBand="1"/>
            </w:tblPr>
            <w:tblGrid>
              <w:gridCol w:w="9360"/>
            </w:tblGrid>
            <w:tr w:rsidR="00AB561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6"/>
                    <w:gridCol w:w="9344"/>
                  </w:tblGrid>
                  <w:tr w:rsidR="00AB5617">
                    <w:trPr>
                      <w:jc w:val="center"/>
                    </w:trPr>
                    <w:tc>
                      <w:tcPr>
                        <w:tcW w:w="0" w:type="auto"/>
                        <w:hideMark/>
                      </w:tcPr>
                      <w:p w:rsidR="00AB5617" w:rsidRDefault="00AB5617">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44"/>
                        </w:tblGrid>
                        <w:tr w:rsidR="00AB5617">
                          <w:tc>
                            <w:tcPr>
                              <w:tcW w:w="0" w:type="auto"/>
                              <w:tcMar>
                                <w:top w:w="135" w:type="dxa"/>
                                <w:left w:w="270" w:type="dxa"/>
                                <w:bottom w:w="135" w:type="dxa"/>
                                <w:right w:w="270" w:type="dxa"/>
                              </w:tcMar>
                              <w:vAlign w:val="center"/>
                              <w:hideMark/>
                            </w:tcPr>
                            <w:tbl>
                              <w:tblPr>
                                <w:tblW w:w="5000" w:type="pct"/>
                                <w:shd w:val="clear" w:color="auto" w:fill="1A7097"/>
                                <w:tblCellMar>
                                  <w:left w:w="0" w:type="dxa"/>
                                  <w:right w:w="0" w:type="dxa"/>
                                </w:tblCellMar>
                                <w:tblLook w:val="04A0" w:firstRow="1" w:lastRow="0" w:firstColumn="1" w:lastColumn="0" w:noHBand="0" w:noVBand="1"/>
                              </w:tblPr>
                              <w:tblGrid>
                                <w:gridCol w:w="8804"/>
                              </w:tblGrid>
                              <w:tr w:rsidR="00AB5617">
                                <w:tc>
                                  <w:tcPr>
                                    <w:tcW w:w="0" w:type="auto"/>
                                    <w:shd w:val="clear" w:color="auto" w:fill="1A7097"/>
                                    <w:tcMar>
                                      <w:top w:w="270" w:type="dxa"/>
                                      <w:left w:w="270" w:type="dxa"/>
                                      <w:bottom w:w="270" w:type="dxa"/>
                                      <w:right w:w="270" w:type="dxa"/>
                                    </w:tcMar>
                                    <w:hideMark/>
                                  </w:tcPr>
                                  <w:p w:rsidR="00AB5617" w:rsidRDefault="00AB5617">
                                    <w:pPr>
                                      <w:spacing w:line="360" w:lineRule="auto"/>
                                      <w:jc w:val="center"/>
                                      <w:rPr>
                                        <w:rFonts w:ascii="Helvetica" w:hAnsi="Helvetica" w:cs="Helvetica"/>
                                        <w:color w:val="F2F2F2"/>
                                        <w:sz w:val="21"/>
                                        <w:szCs w:val="21"/>
                                      </w:rPr>
                                    </w:pPr>
                                    <w:r>
                                      <w:rPr>
                                        <w:rFonts w:ascii="Helvetica" w:hAnsi="Helvetica" w:cs="Helvetica"/>
                                        <w:color w:val="F2F2F2"/>
                                        <w:sz w:val="21"/>
                                        <w:szCs w:val="21"/>
                                      </w:rPr>
                                      <w:t xml:space="preserve">DOR News - March 2019  </w:t>
                                    </w:r>
                                  </w:p>
                                </w:tc>
                              </w:tr>
                            </w:tbl>
                            <w:p w:rsidR="00AB5617" w:rsidRDefault="00AB5617">
                              <w:pPr>
                                <w:rPr>
                                  <w:rFonts w:eastAsia="Times New Roman"/>
                                  <w:sz w:val="20"/>
                                  <w:szCs w:val="20"/>
                                </w:rPr>
                              </w:pPr>
                            </w:p>
                          </w:tc>
                        </w:tr>
                      </w:tbl>
                      <w:p w:rsidR="00AB5617" w:rsidRDefault="00AB5617">
                        <w:pPr>
                          <w:rPr>
                            <w:rFonts w:eastAsia="Times New Roman"/>
                            <w:sz w:val="20"/>
                            <w:szCs w:val="20"/>
                          </w:rPr>
                        </w:pPr>
                      </w:p>
                    </w:tc>
                  </w:tr>
                </w:tbl>
                <w:p w:rsidR="00AB5617" w:rsidRDefault="00AB5617">
                  <w:pPr>
                    <w:jc w:val="center"/>
                    <w:rPr>
                      <w:rFonts w:eastAsia="Times New Roman"/>
                      <w:sz w:val="20"/>
                      <w:szCs w:val="20"/>
                    </w:rPr>
                  </w:pPr>
                </w:p>
              </w:tc>
            </w:tr>
          </w:tbl>
          <w:p w:rsidR="00AB5617" w:rsidRDefault="00AB5617">
            <w:pPr>
              <w:rPr>
                <w:rFonts w:eastAsia="Times New Roman"/>
              </w:rPr>
            </w:pPr>
          </w:p>
        </w:tc>
      </w:tr>
      <w:tr w:rsidR="00AB5617" w:rsidTr="00AB5617">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AB561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90"/>
                  </w:tblGrid>
                  <w:tr w:rsidR="00AB561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20"/>
                        </w:tblGrid>
                        <w:tr w:rsidR="00AB561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346"/>
                              </w:tblGrid>
                              <w:tr w:rsidR="00AB561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4"/>
                                      <w:gridCol w:w="874"/>
                                      <w:gridCol w:w="874"/>
                                      <w:gridCol w:w="724"/>
                                    </w:tblGrid>
                                    <w:tr w:rsidR="00AB561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4"/>
                                          </w:tblGrid>
                                          <w:tr w:rsidR="00AB5617">
                                            <w:tc>
                                              <w:tcPr>
                                                <w:tcW w:w="0" w:type="auto"/>
                                                <w:tcMar>
                                                  <w:top w:w="0" w:type="dxa"/>
                                                  <w:left w:w="0" w:type="dxa"/>
                                                  <w:bottom w:w="135" w:type="dxa"/>
                                                  <w:right w:w="150" w:type="dxa"/>
                                                </w:tcMar>
                                                <w:hideMark/>
                                              </w:tcPr>
                                              <w:p w:rsidR="00AB5617" w:rsidRDefault="00AB5617">
                                                <w:pPr>
                                                  <w:jc w:val="center"/>
                                                </w:pPr>
                                                <w:r>
                                                  <w:rPr>
                                                    <w:noProof/>
                                                    <w:color w:val="0000FF"/>
                                                  </w:rPr>
                                                  <w:lastRenderedPageBreak/>
                                                  <w:drawing>
                                                    <wp:inline distT="0" distB="0" distL="0" distR="0">
                                                      <wp:extent cx="459740" cy="459740"/>
                                                      <wp:effectExtent l="0" t="0" r="0" b="0"/>
                                                      <wp:docPr id="4" name="Picture 4"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noFill/>
                                                              <a:ln>
                                                                <a:noFill/>
                                                              </a:ln>
                                                            </pic:spPr>
                                                          </pic:pic>
                                                        </a:graphicData>
                                                      </a:graphic>
                                                    </wp:inline>
                                                  </w:drawing>
                                                </w:r>
                                              </w:p>
                                            </w:tc>
                                          </w:tr>
                                        </w:tbl>
                                        <w:p w:rsidR="00AB5617" w:rsidRDefault="00AB5617">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4"/>
                                          </w:tblGrid>
                                          <w:tr w:rsidR="00AB5617">
                                            <w:tc>
                                              <w:tcPr>
                                                <w:tcW w:w="0" w:type="auto"/>
                                                <w:tcMar>
                                                  <w:top w:w="0" w:type="dxa"/>
                                                  <w:left w:w="0" w:type="dxa"/>
                                                  <w:bottom w:w="135" w:type="dxa"/>
                                                  <w:right w:w="150" w:type="dxa"/>
                                                </w:tcMar>
                                                <w:hideMark/>
                                              </w:tcPr>
                                              <w:p w:rsidR="00AB5617" w:rsidRDefault="00AB5617">
                                                <w:pPr>
                                                  <w:jc w:val="center"/>
                                                </w:pPr>
                                                <w:r>
                                                  <w:rPr>
                                                    <w:noProof/>
                                                    <w:color w:val="0000FF"/>
                                                  </w:rPr>
                                                  <w:drawing>
                                                    <wp:inline distT="0" distB="0" distL="0" distR="0">
                                                      <wp:extent cx="459740" cy="459740"/>
                                                      <wp:effectExtent l="0" t="0" r="0" b="0"/>
                                                      <wp:docPr id="3" name="Picture 3"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noFill/>
                                                              <a:ln>
                                                                <a:noFill/>
                                                              </a:ln>
                                                            </pic:spPr>
                                                          </pic:pic>
                                                        </a:graphicData>
                                                      </a:graphic>
                                                    </wp:inline>
                                                  </w:drawing>
                                                </w:r>
                                              </w:p>
                                            </w:tc>
                                          </w:tr>
                                        </w:tbl>
                                        <w:p w:rsidR="00AB5617" w:rsidRDefault="00AB5617">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4"/>
                                          </w:tblGrid>
                                          <w:tr w:rsidR="00AB5617">
                                            <w:tc>
                                              <w:tcPr>
                                                <w:tcW w:w="0" w:type="auto"/>
                                                <w:tcMar>
                                                  <w:top w:w="0" w:type="dxa"/>
                                                  <w:left w:w="0" w:type="dxa"/>
                                                  <w:bottom w:w="135" w:type="dxa"/>
                                                  <w:right w:w="150" w:type="dxa"/>
                                                </w:tcMar>
                                                <w:hideMark/>
                                              </w:tcPr>
                                              <w:p w:rsidR="00AB5617" w:rsidRDefault="00AB5617">
                                                <w:pPr>
                                                  <w:jc w:val="center"/>
                                                </w:pPr>
                                                <w:r>
                                                  <w:rPr>
                                                    <w:noProof/>
                                                    <w:color w:val="0000FF"/>
                                                  </w:rPr>
                                                  <w:drawing>
                                                    <wp:inline distT="0" distB="0" distL="0" distR="0">
                                                      <wp:extent cx="459740" cy="459740"/>
                                                      <wp:effectExtent l="0" t="0" r="0" b="0"/>
                                                      <wp:docPr id="2" name="Picture 2" descr="Websit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noFill/>
                                                              <a:ln>
                                                                <a:noFill/>
                                                              </a:ln>
                                                            </pic:spPr>
                                                          </pic:pic>
                                                        </a:graphicData>
                                                      </a:graphic>
                                                    </wp:inline>
                                                  </w:drawing>
                                                </w:r>
                                              </w:p>
                                            </w:tc>
                                          </w:tr>
                                        </w:tbl>
                                        <w:p w:rsidR="00AB5617" w:rsidRDefault="00AB5617">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4"/>
                                          </w:tblGrid>
                                          <w:tr w:rsidR="00AB5617">
                                            <w:tc>
                                              <w:tcPr>
                                                <w:tcW w:w="0" w:type="auto"/>
                                                <w:tcMar>
                                                  <w:top w:w="0" w:type="dxa"/>
                                                  <w:left w:w="0" w:type="dxa"/>
                                                  <w:bottom w:w="135" w:type="dxa"/>
                                                  <w:right w:w="0" w:type="dxa"/>
                                                </w:tcMar>
                                                <w:hideMark/>
                                              </w:tcPr>
                                              <w:p w:rsidR="00AB5617" w:rsidRDefault="00AB5617">
                                                <w:pPr>
                                                  <w:jc w:val="center"/>
                                                </w:pPr>
                                                <w:r>
                                                  <w:rPr>
                                                    <w:noProof/>
                                                    <w:color w:val="0000FF"/>
                                                  </w:rPr>
                                                  <w:drawing>
                                                    <wp:inline distT="0" distB="0" distL="0" distR="0">
                                                      <wp:extent cx="459740" cy="459740"/>
                                                      <wp:effectExtent l="0" t="0" r="0" b="0"/>
                                                      <wp:docPr id="1" name="Picture 1" descr="Instagram">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noFill/>
                                                              <a:ln>
                                                                <a:noFill/>
                                                              </a:ln>
                                                            </pic:spPr>
                                                          </pic:pic>
                                                        </a:graphicData>
                                                      </a:graphic>
                                                    </wp:inline>
                                                  </w:drawing>
                                                </w:r>
                                              </w:p>
                                            </w:tc>
                                          </w:tr>
                                        </w:tbl>
                                        <w:p w:rsidR="00AB5617" w:rsidRDefault="00AB5617">
                                          <w:pPr>
                                            <w:rPr>
                                              <w:rFonts w:eastAsia="Times New Roman"/>
                                              <w:sz w:val="20"/>
                                              <w:szCs w:val="20"/>
                                            </w:rPr>
                                          </w:pPr>
                                        </w:p>
                                      </w:tc>
                                    </w:tr>
                                  </w:tbl>
                                  <w:p w:rsidR="00AB5617" w:rsidRDefault="00AB5617">
                                    <w:pPr>
                                      <w:jc w:val="center"/>
                                      <w:rPr>
                                        <w:rFonts w:eastAsia="Times New Roman"/>
                                        <w:sz w:val="20"/>
                                        <w:szCs w:val="20"/>
                                      </w:rPr>
                                    </w:pPr>
                                  </w:p>
                                </w:tc>
                              </w:tr>
                            </w:tbl>
                            <w:p w:rsidR="00AB5617" w:rsidRDefault="00AB5617">
                              <w:pPr>
                                <w:jc w:val="center"/>
                                <w:rPr>
                                  <w:rFonts w:eastAsia="Times New Roman"/>
                                  <w:sz w:val="20"/>
                                  <w:szCs w:val="20"/>
                                </w:rPr>
                              </w:pPr>
                            </w:p>
                          </w:tc>
                        </w:tr>
                      </w:tbl>
                      <w:p w:rsidR="00AB5617" w:rsidRDefault="00AB5617">
                        <w:pPr>
                          <w:jc w:val="center"/>
                          <w:rPr>
                            <w:rFonts w:eastAsia="Times New Roman"/>
                            <w:sz w:val="20"/>
                            <w:szCs w:val="20"/>
                          </w:rPr>
                        </w:pPr>
                      </w:p>
                    </w:tc>
                  </w:tr>
                </w:tbl>
                <w:p w:rsidR="00AB5617" w:rsidRDefault="00AB5617">
                  <w:pPr>
                    <w:jc w:val="center"/>
                    <w:rPr>
                      <w:rFonts w:eastAsia="Times New Roman"/>
                      <w:sz w:val="20"/>
                      <w:szCs w:val="20"/>
                    </w:rPr>
                  </w:pPr>
                </w:p>
              </w:tc>
            </w:tr>
          </w:tbl>
          <w:p w:rsidR="00AB5617" w:rsidRDefault="00AB5617"/>
          <w:tbl>
            <w:tblPr>
              <w:tblW w:w="5000" w:type="pct"/>
              <w:tblCellMar>
                <w:left w:w="0" w:type="dxa"/>
                <w:right w:w="0" w:type="dxa"/>
              </w:tblCellMar>
              <w:tblLook w:val="04A0" w:firstRow="1" w:lastRow="0" w:firstColumn="1" w:lastColumn="0" w:noHBand="0" w:noVBand="1"/>
            </w:tblPr>
            <w:tblGrid>
              <w:gridCol w:w="9360"/>
            </w:tblGrid>
            <w:tr w:rsidR="00AB5617">
              <w:tc>
                <w:tcPr>
                  <w:tcW w:w="0" w:type="auto"/>
                  <w:tcMar>
                    <w:top w:w="150" w:type="dxa"/>
                    <w:left w:w="270" w:type="dxa"/>
                    <w:bottom w:w="3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AB5617">
                    <w:tc>
                      <w:tcPr>
                        <w:tcW w:w="0" w:type="auto"/>
                        <w:tcBorders>
                          <w:top w:val="single" w:sz="12" w:space="0" w:color="EEEEEE"/>
                          <w:left w:val="nil"/>
                          <w:bottom w:val="nil"/>
                          <w:right w:val="nil"/>
                        </w:tcBorders>
                        <w:vAlign w:val="center"/>
                        <w:hideMark/>
                      </w:tcPr>
                      <w:p w:rsidR="00AB5617" w:rsidRDefault="00AB5617">
                        <w:pPr>
                          <w:rPr>
                            <w:rFonts w:eastAsia="Times New Roman"/>
                            <w:sz w:val="20"/>
                            <w:szCs w:val="20"/>
                          </w:rPr>
                        </w:pPr>
                      </w:p>
                    </w:tc>
                  </w:tr>
                </w:tbl>
                <w:p w:rsidR="00AB5617" w:rsidRDefault="00AB5617">
                  <w:pPr>
                    <w:rPr>
                      <w:rFonts w:eastAsia="Times New Roman"/>
                      <w:sz w:val="20"/>
                      <w:szCs w:val="20"/>
                    </w:rPr>
                  </w:pPr>
                </w:p>
              </w:tc>
            </w:tr>
          </w:tbl>
          <w:p w:rsidR="00AB5617" w:rsidRDefault="00AB5617"/>
          <w:tbl>
            <w:tblPr>
              <w:tblW w:w="5000" w:type="pct"/>
              <w:tblCellMar>
                <w:left w:w="0" w:type="dxa"/>
                <w:right w:w="0" w:type="dxa"/>
              </w:tblCellMar>
              <w:tblLook w:val="04A0" w:firstRow="1" w:lastRow="0" w:firstColumn="1" w:lastColumn="0" w:noHBand="0" w:noVBand="1"/>
            </w:tblPr>
            <w:tblGrid>
              <w:gridCol w:w="9360"/>
            </w:tblGrid>
            <w:tr w:rsidR="00AB561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AB561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B5617">
                          <w:tc>
                            <w:tcPr>
                              <w:tcW w:w="0" w:type="auto"/>
                              <w:tcMar>
                                <w:top w:w="0" w:type="dxa"/>
                                <w:left w:w="270" w:type="dxa"/>
                                <w:bottom w:w="135" w:type="dxa"/>
                                <w:right w:w="270" w:type="dxa"/>
                              </w:tcMar>
                              <w:hideMark/>
                            </w:tcPr>
                            <w:p w:rsidR="00AB5617" w:rsidRDefault="00AB5617">
                              <w:pPr>
                                <w:spacing w:line="360" w:lineRule="auto"/>
                                <w:jc w:val="center"/>
                                <w:rPr>
                                  <w:rFonts w:ascii="Helvetica" w:hAnsi="Helvetica" w:cs="Helvetica"/>
                                  <w:color w:val="656565"/>
                                  <w:sz w:val="18"/>
                                  <w:szCs w:val="18"/>
                                </w:rPr>
                              </w:pPr>
                              <w:r>
                                <w:rPr>
                                  <w:rStyle w:val="Emphasis"/>
                                  <w:rFonts w:ascii="Helvetica" w:hAnsi="Helvetica" w:cs="Helvetica"/>
                                  <w:color w:val="656565"/>
                                  <w:sz w:val="18"/>
                                  <w:szCs w:val="18"/>
                                </w:rPr>
                                <w:t>Copyright © 2019 Massachusetts Department of Revenue, All rights reserved.</w:t>
                              </w:r>
                              <w:r>
                                <w:rPr>
                                  <w:rFonts w:ascii="Helvetica" w:hAnsi="Helvetica" w:cs="Helvetica"/>
                                  <w:color w:val="656565"/>
                                  <w:sz w:val="18"/>
                                  <w:szCs w:val="18"/>
                                </w:rPr>
                                <w:t xml:space="preserve"> </w:t>
                              </w:r>
                              <w:r>
                                <w:rPr>
                                  <w:rFonts w:ascii="Helvetica" w:hAnsi="Helvetica" w:cs="Helvetica"/>
                                  <w:color w:val="656565"/>
                                  <w:sz w:val="18"/>
                                  <w:szCs w:val="18"/>
                                </w:rPr>
                                <w:br/>
                                <w:t xml:space="preserve">You are a subscriber to the DOR Rulings &amp; Regulations Mailing List. </w:t>
                              </w:r>
                              <w:r>
                                <w:rPr>
                                  <w:rFonts w:ascii="Helvetica" w:hAnsi="Helvetica" w:cs="Helvetica"/>
                                  <w:color w:val="656565"/>
                                  <w:sz w:val="18"/>
                                  <w:szCs w:val="18"/>
                                </w:rPr>
                                <w:br/>
                              </w:r>
                              <w:r>
                                <w:rPr>
                                  <w:rFonts w:ascii="Helvetica" w:hAnsi="Helvetica" w:cs="Helvetica"/>
                                  <w:color w:val="656565"/>
                                  <w:sz w:val="18"/>
                                  <w:szCs w:val="18"/>
                                </w:rPr>
                                <w:br/>
                              </w:r>
                              <w:r>
                                <w:rPr>
                                  <w:rStyle w:val="Strong"/>
                                  <w:rFonts w:ascii="Helvetica" w:hAnsi="Helvetica" w:cs="Helvetica"/>
                                  <w:color w:val="656565"/>
                                  <w:sz w:val="18"/>
                                  <w:szCs w:val="18"/>
                                </w:rPr>
                                <w:t>Our mailing address is:</w:t>
                              </w:r>
                              <w:r>
                                <w:rPr>
                                  <w:rFonts w:ascii="Helvetica" w:hAnsi="Helvetica" w:cs="Helvetica"/>
                                  <w:color w:val="656565"/>
                                  <w:sz w:val="18"/>
                                  <w:szCs w:val="18"/>
                                </w:rPr>
                                <w:t xml:space="preserve"> </w:t>
                              </w:r>
                            </w:p>
                            <w:p w:rsidR="00AB5617" w:rsidRDefault="00AB5617">
                              <w:pPr>
                                <w:spacing w:line="360" w:lineRule="auto"/>
                                <w:jc w:val="center"/>
                                <w:rPr>
                                  <w:rFonts w:ascii="Helvetica" w:hAnsi="Helvetica" w:cs="Helvetica"/>
                                  <w:color w:val="656565"/>
                                  <w:sz w:val="18"/>
                                  <w:szCs w:val="18"/>
                                </w:rPr>
                              </w:pPr>
                              <w:r>
                                <w:rPr>
                                  <w:rStyle w:val="org"/>
                                  <w:rFonts w:ascii="Helvetica" w:hAnsi="Helvetica" w:cs="Helvetica"/>
                                  <w:color w:val="656565"/>
                                  <w:sz w:val="18"/>
                                  <w:szCs w:val="18"/>
                                </w:rPr>
                                <w:t>Massachusetts Department of Revenue</w:t>
                              </w:r>
                            </w:p>
                            <w:p w:rsidR="00AB5617" w:rsidRDefault="00AB5617">
                              <w:pPr>
                                <w:spacing w:line="360" w:lineRule="auto"/>
                                <w:jc w:val="center"/>
                                <w:rPr>
                                  <w:rFonts w:ascii="Helvetica" w:hAnsi="Helvetica" w:cs="Helvetica"/>
                                  <w:color w:val="656565"/>
                                  <w:sz w:val="18"/>
                                  <w:szCs w:val="18"/>
                                </w:rPr>
                              </w:pPr>
                              <w:r>
                                <w:rPr>
                                  <w:rFonts w:ascii="Helvetica" w:hAnsi="Helvetica" w:cs="Helvetica"/>
                                  <w:color w:val="656565"/>
                                  <w:sz w:val="18"/>
                                  <w:szCs w:val="18"/>
                                </w:rPr>
                                <w:t>100 Cambridge Street</w:t>
                              </w:r>
                            </w:p>
                            <w:p w:rsidR="00AB5617" w:rsidRDefault="00AB5617">
                              <w:pPr>
                                <w:spacing w:line="360" w:lineRule="auto"/>
                                <w:jc w:val="center"/>
                                <w:rPr>
                                  <w:rFonts w:ascii="Helvetica" w:hAnsi="Helvetica" w:cs="Helvetica"/>
                                  <w:color w:val="656565"/>
                                  <w:sz w:val="18"/>
                                  <w:szCs w:val="18"/>
                                </w:rPr>
                              </w:pPr>
                              <w:r>
                                <w:rPr>
                                  <w:rFonts w:ascii="Helvetica" w:hAnsi="Helvetica" w:cs="Helvetica"/>
                                  <w:color w:val="656565"/>
                                  <w:sz w:val="18"/>
                                  <w:szCs w:val="18"/>
                                </w:rPr>
                                <w:t>8th Floor, Web and Media Services</w:t>
                              </w:r>
                            </w:p>
                            <w:p w:rsidR="00AB5617" w:rsidRDefault="00AB5617">
                              <w:pPr>
                                <w:spacing w:line="360" w:lineRule="auto"/>
                                <w:jc w:val="center"/>
                                <w:rPr>
                                  <w:rFonts w:ascii="Helvetica" w:hAnsi="Helvetica" w:cs="Helvetica"/>
                                  <w:color w:val="656565"/>
                                  <w:sz w:val="18"/>
                                  <w:szCs w:val="18"/>
                                </w:rPr>
                              </w:pPr>
                              <w:r>
                                <w:rPr>
                                  <w:rStyle w:val="locality"/>
                                  <w:rFonts w:ascii="Helvetica" w:hAnsi="Helvetica" w:cs="Helvetica"/>
                                  <w:color w:val="656565"/>
                                  <w:sz w:val="18"/>
                                  <w:szCs w:val="18"/>
                                </w:rPr>
                                <w:t>Boston</w:t>
                              </w:r>
                              <w:r>
                                <w:rPr>
                                  <w:rFonts w:ascii="Helvetica" w:hAnsi="Helvetica" w:cs="Helvetica"/>
                                  <w:color w:val="656565"/>
                                  <w:sz w:val="18"/>
                                  <w:szCs w:val="18"/>
                                </w:rPr>
                                <w:t xml:space="preserve">, </w:t>
                              </w:r>
                              <w:r>
                                <w:rPr>
                                  <w:rStyle w:val="region"/>
                                  <w:rFonts w:ascii="Helvetica" w:hAnsi="Helvetica" w:cs="Helvetica"/>
                                  <w:color w:val="656565"/>
                                  <w:sz w:val="18"/>
                                  <w:szCs w:val="18"/>
                                </w:rPr>
                                <w:t>MA</w:t>
                              </w:r>
                              <w:r>
                                <w:rPr>
                                  <w:rFonts w:ascii="Helvetica" w:hAnsi="Helvetica" w:cs="Helvetica"/>
                                  <w:color w:val="656565"/>
                                  <w:sz w:val="18"/>
                                  <w:szCs w:val="18"/>
                                </w:rPr>
                                <w:t xml:space="preserve"> </w:t>
                              </w:r>
                              <w:r>
                                <w:rPr>
                                  <w:rStyle w:val="postal-code"/>
                                  <w:rFonts w:ascii="Helvetica" w:hAnsi="Helvetica" w:cs="Helvetica"/>
                                  <w:color w:val="656565"/>
                                  <w:sz w:val="18"/>
                                  <w:szCs w:val="18"/>
                                </w:rPr>
                                <w:t>02114</w:t>
                              </w:r>
                            </w:p>
                            <w:p w:rsidR="00AB5617" w:rsidRDefault="00AB5617">
                              <w:pPr>
                                <w:spacing w:line="360" w:lineRule="auto"/>
                                <w:jc w:val="center"/>
                                <w:rPr>
                                  <w:rFonts w:ascii="Helvetica" w:hAnsi="Helvetica" w:cs="Helvetica"/>
                                  <w:color w:val="656565"/>
                                  <w:sz w:val="18"/>
                                  <w:szCs w:val="18"/>
                                </w:rPr>
                              </w:pPr>
                              <w:r>
                                <w:rPr>
                                  <w:rFonts w:ascii="Helvetica" w:hAnsi="Helvetica" w:cs="Helvetica"/>
                                  <w:color w:val="656565"/>
                                  <w:sz w:val="18"/>
                                  <w:szCs w:val="18"/>
                                </w:rPr>
                                <w:br/>
                              </w:r>
                              <w:hyperlink r:id="rId25" w:history="1">
                                <w:r>
                                  <w:rPr>
                                    <w:rStyle w:val="Hyperlink"/>
                                    <w:rFonts w:ascii="Helvetica" w:hAnsi="Helvetica" w:cs="Helvetica"/>
                                    <w:color w:val="656565"/>
                                    <w:sz w:val="18"/>
                                    <w:szCs w:val="18"/>
                                  </w:rPr>
                                  <w:t>Add us to your address book</w:t>
                                </w:r>
                              </w:hyperlink>
                            </w:p>
                            <w:p w:rsidR="00AB5617" w:rsidRDefault="00AB5617">
                              <w:pPr>
                                <w:spacing w:after="240" w:line="360" w:lineRule="auto"/>
                                <w:jc w:val="center"/>
                                <w:rPr>
                                  <w:rFonts w:ascii="Helvetica" w:hAnsi="Helvetica" w:cs="Helvetica"/>
                                  <w:color w:val="656565"/>
                                  <w:sz w:val="18"/>
                                  <w:szCs w:val="18"/>
                                </w:rPr>
                              </w:pPr>
                              <w:r>
                                <w:rPr>
                                  <w:rFonts w:ascii="Helvetica" w:hAnsi="Helvetica" w:cs="Helvetica"/>
                                  <w:color w:val="656565"/>
                                  <w:sz w:val="18"/>
                                  <w:szCs w:val="18"/>
                                </w:rPr>
                                <w:br/>
                              </w:r>
                              <w:r>
                                <w:rPr>
                                  <w:rFonts w:ascii="Helvetica" w:hAnsi="Helvetica" w:cs="Helvetica"/>
                                  <w:color w:val="656565"/>
                                  <w:sz w:val="18"/>
                                  <w:szCs w:val="18"/>
                                </w:rPr>
                                <w:br/>
                                <w:t>Want to change how you receive these emails?</w:t>
                              </w:r>
                              <w:r>
                                <w:rPr>
                                  <w:rFonts w:ascii="Helvetica" w:hAnsi="Helvetica" w:cs="Helvetica"/>
                                  <w:color w:val="656565"/>
                                  <w:sz w:val="18"/>
                                  <w:szCs w:val="18"/>
                                </w:rPr>
                                <w:br/>
                                <w:t xml:space="preserve">You can </w:t>
                              </w:r>
                              <w:hyperlink r:id="rId26" w:history="1">
                                <w:r>
                                  <w:rPr>
                                    <w:rStyle w:val="Hyperlink"/>
                                    <w:rFonts w:ascii="Helvetica" w:hAnsi="Helvetica" w:cs="Helvetica"/>
                                    <w:color w:val="656565"/>
                                    <w:sz w:val="18"/>
                                    <w:szCs w:val="18"/>
                                  </w:rPr>
                                  <w:t>update your preferences</w:t>
                                </w:r>
                              </w:hyperlink>
                              <w:r>
                                <w:rPr>
                                  <w:rFonts w:ascii="Helvetica" w:hAnsi="Helvetica" w:cs="Helvetica"/>
                                  <w:color w:val="656565"/>
                                  <w:sz w:val="18"/>
                                  <w:szCs w:val="18"/>
                                </w:rPr>
                                <w:t xml:space="preserve"> or </w:t>
                              </w:r>
                              <w:hyperlink r:id="rId27" w:history="1">
                                <w:r>
                                  <w:rPr>
                                    <w:rStyle w:val="Hyperlink"/>
                                    <w:rFonts w:ascii="Helvetica" w:hAnsi="Helvetica" w:cs="Helvetica"/>
                                    <w:color w:val="656565"/>
                                    <w:sz w:val="18"/>
                                    <w:szCs w:val="18"/>
                                  </w:rPr>
                                  <w:t>unsubscribe from this list</w:t>
                                </w:r>
                              </w:hyperlink>
                              <w:r>
                                <w:rPr>
                                  <w:rFonts w:ascii="Helvetica" w:hAnsi="Helvetica" w:cs="Helvetica"/>
                                  <w:color w:val="656565"/>
                                  <w:sz w:val="18"/>
                                  <w:szCs w:val="18"/>
                                </w:rPr>
                                <w:t xml:space="preserve"> </w:t>
                              </w:r>
                            </w:p>
                          </w:tc>
                        </w:tr>
                      </w:tbl>
                      <w:p w:rsidR="00AB5617" w:rsidRDefault="00AB5617">
                        <w:pPr>
                          <w:rPr>
                            <w:rFonts w:eastAsia="Times New Roman"/>
                            <w:sz w:val="20"/>
                            <w:szCs w:val="20"/>
                          </w:rPr>
                        </w:pPr>
                      </w:p>
                    </w:tc>
                  </w:tr>
                </w:tbl>
                <w:p w:rsidR="00AB5617" w:rsidRDefault="00AB5617">
                  <w:pPr>
                    <w:rPr>
                      <w:rFonts w:eastAsia="Times New Roman"/>
                      <w:sz w:val="20"/>
                      <w:szCs w:val="20"/>
                    </w:rPr>
                  </w:pPr>
                </w:p>
              </w:tc>
            </w:tr>
          </w:tbl>
          <w:p w:rsidR="00AB5617" w:rsidRDefault="00AB5617">
            <w:pPr>
              <w:rPr>
                <w:rFonts w:eastAsia="Times New Roman"/>
              </w:rPr>
            </w:pPr>
          </w:p>
        </w:tc>
      </w:tr>
    </w:tbl>
    <w:p w:rsidR="00133D37" w:rsidRDefault="00AB5617">
      <w:bookmarkStart w:id="0" w:name="_GoBack"/>
      <w:bookmarkEnd w:id="0"/>
    </w:p>
    <w:sectPr w:rsidR="00133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17"/>
    <w:rsid w:val="00892C15"/>
    <w:rsid w:val="00AB5617"/>
    <w:rsid w:val="00B2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617"/>
    <w:rPr>
      <w:color w:val="0000FF"/>
      <w:u w:val="single"/>
    </w:rPr>
  </w:style>
  <w:style w:type="character" w:customStyle="1" w:styleId="org">
    <w:name w:val="org"/>
    <w:basedOn w:val="DefaultParagraphFont"/>
    <w:rsid w:val="00AB5617"/>
  </w:style>
  <w:style w:type="character" w:customStyle="1" w:styleId="locality">
    <w:name w:val="locality"/>
    <w:basedOn w:val="DefaultParagraphFont"/>
    <w:rsid w:val="00AB5617"/>
  </w:style>
  <w:style w:type="character" w:customStyle="1" w:styleId="region">
    <w:name w:val="region"/>
    <w:basedOn w:val="DefaultParagraphFont"/>
    <w:rsid w:val="00AB5617"/>
  </w:style>
  <w:style w:type="character" w:customStyle="1" w:styleId="postal-code">
    <w:name w:val="postal-code"/>
    <w:basedOn w:val="DefaultParagraphFont"/>
    <w:rsid w:val="00AB5617"/>
  </w:style>
  <w:style w:type="character" w:styleId="Strong">
    <w:name w:val="Strong"/>
    <w:basedOn w:val="DefaultParagraphFont"/>
    <w:uiPriority w:val="22"/>
    <w:qFormat/>
    <w:rsid w:val="00AB5617"/>
    <w:rPr>
      <w:b/>
      <w:bCs/>
    </w:rPr>
  </w:style>
  <w:style w:type="character" w:styleId="Emphasis">
    <w:name w:val="Emphasis"/>
    <w:basedOn w:val="DefaultParagraphFont"/>
    <w:uiPriority w:val="20"/>
    <w:qFormat/>
    <w:rsid w:val="00AB5617"/>
    <w:rPr>
      <w:i/>
      <w:iCs/>
    </w:rPr>
  </w:style>
  <w:style w:type="paragraph" w:styleId="BalloonText">
    <w:name w:val="Balloon Text"/>
    <w:basedOn w:val="Normal"/>
    <w:link w:val="BalloonTextChar"/>
    <w:uiPriority w:val="99"/>
    <w:semiHidden/>
    <w:unhideWhenUsed/>
    <w:rsid w:val="00AB5617"/>
    <w:rPr>
      <w:rFonts w:ascii="Tahoma" w:hAnsi="Tahoma" w:cs="Tahoma"/>
      <w:sz w:val="16"/>
      <w:szCs w:val="16"/>
    </w:rPr>
  </w:style>
  <w:style w:type="character" w:customStyle="1" w:styleId="BalloonTextChar">
    <w:name w:val="Balloon Text Char"/>
    <w:basedOn w:val="DefaultParagraphFont"/>
    <w:link w:val="BalloonText"/>
    <w:uiPriority w:val="99"/>
    <w:semiHidden/>
    <w:rsid w:val="00AB5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617"/>
    <w:rPr>
      <w:color w:val="0000FF"/>
      <w:u w:val="single"/>
    </w:rPr>
  </w:style>
  <w:style w:type="character" w:customStyle="1" w:styleId="org">
    <w:name w:val="org"/>
    <w:basedOn w:val="DefaultParagraphFont"/>
    <w:rsid w:val="00AB5617"/>
  </w:style>
  <w:style w:type="character" w:customStyle="1" w:styleId="locality">
    <w:name w:val="locality"/>
    <w:basedOn w:val="DefaultParagraphFont"/>
    <w:rsid w:val="00AB5617"/>
  </w:style>
  <w:style w:type="character" w:customStyle="1" w:styleId="region">
    <w:name w:val="region"/>
    <w:basedOn w:val="DefaultParagraphFont"/>
    <w:rsid w:val="00AB5617"/>
  </w:style>
  <w:style w:type="character" w:customStyle="1" w:styleId="postal-code">
    <w:name w:val="postal-code"/>
    <w:basedOn w:val="DefaultParagraphFont"/>
    <w:rsid w:val="00AB5617"/>
  </w:style>
  <w:style w:type="character" w:styleId="Strong">
    <w:name w:val="Strong"/>
    <w:basedOn w:val="DefaultParagraphFont"/>
    <w:uiPriority w:val="22"/>
    <w:qFormat/>
    <w:rsid w:val="00AB5617"/>
    <w:rPr>
      <w:b/>
      <w:bCs/>
    </w:rPr>
  </w:style>
  <w:style w:type="character" w:styleId="Emphasis">
    <w:name w:val="Emphasis"/>
    <w:basedOn w:val="DefaultParagraphFont"/>
    <w:uiPriority w:val="20"/>
    <w:qFormat/>
    <w:rsid w:val="00AB5617"/>
    <w:rPr>
      <w:i/>
      <w:iCs/>
    </w:rPr>
  </w:style>
  <w:style w:type="paragraph" w:styleId="BalloonText">
    <w:name w:val="Balloon Text"/>
    <w:basedOn w:val="Normal"/>
    <w:link w:val="BalloonTextChar"/>
    <w:uiPriority w:val="99"/>
    <w:semiHidden/>
    <w:unhideWhenUsed/>
    <w:rsid w:val="00AB5617"/>
    <w:rPr>
      <w:rFonts w:ascii="Tahoma" w:hAnsi="Tahoma" w:cs="Tahoma"/>
      <w:sz w:val="16"/>
      <w:szCs w:val="16"/>
    </w:rPr>
  </w:style>
  <w:style w:type="character" w:customStyle="1" w:styleId="BalloonTextChar">
    <w:name w:val="Balloon Text Char"/>
    <w:basedOn w:val="DefaultParagraphFont"/>
    <w:link w:val="BalloonText"/>
    <w:uiPriority w:val="99"/>
    <w:semiHidden/>
    <w:rsid w:val="00AB5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ass.us11.list-2Dmanage.com_track_click-3Fu-3D0e9e2209abd5f7062568d9a19-26id-3Da17e4e183a-26e-3D9521af11b2&amp;d=DwMFaQ&amp;c=Xhn9KFvv0VrhnMFbYtQjTGdTU13Xl3cIMh34YNGAA48&amp;r=d89QJLLxuwMMW8H2cPHM1rQMwL_8z2jmLRr1OQdopJA&amp;m=kQT-UutiO2-xiTH__WJIjx5rSMinJncbGW3G-Hfm3A0&amp;s=C9sTuc1IgdEF1ZGIRiLKWb-xOHgRWhOwdmTNRWDkiFM&amp;e=" TargetMode="External"/><Relationship Id="rId13" Type="http://schemas.openxmlformats.org/officeDocument/2006/relationships/hyperlink" Target="https://urldefense.proofpoint.com/v2/url?u=https-3A__mass.us11.list-2Dmanage.com_track_click-3Fu-3D0e9e2209abd5f7062568d9a19-26id-3D954f2086bc-26e-3D9521af11b2&amp;d=DwMFaQ&amp;c=Xhn9KFvv0VrhnMFbYtQjTGdTU13Xl3cIMh34YNGAA48&amp;r=d89QJLLxuwMMW8H2cPHM1rQMwL_8z2jmLRr1OQdopJA&amp;m=kQT-UutiO2-xiTH__WJIjx5rSMinJncbGW3G-Hfm3A0&amp;s=V3L72gPsh2rV3s_26aWE9O-HjVVpMRjlMhALh_7LA8o&amp;e=" TargetMode="External"/><Relationship Id="rId18" Type="http://schemas.openxmlformats.org/officeDocument/2006/relationships/image" Target="media/image2.png"/><Relationship Id="rId26" Type="http://schemas.openxmlformats.org/officeDocument/2006/relationships/hyperlink" Target="https://urldefense.proofpoint.com/v2/url?u=https-3A__mass.us11.list-2Dmanage.com_profile-3Fu-3D0e9e2209abd5f7062568d9a19-26id-3D9ac8b63e31-26e-3D9521af11b2&amp;d=DwMFaQ&amp;c=Xhn9KFvv0VrhnMFbYtQjTGdTU13Xl3cIMh34YNGAA48&amp;r=d89QJLLxuwMMW8H2cPHM1rQMwL_8z2jmLRr1OQdopJA&amp;m=kQT-UutiO2-xiTH__WJIjx5rSMinJncbGW3G-Hfm3A0&amp;s=30ABaStltuEteDmCDBd32L7IFizzp1tglOuO8NTbP70&amp;e=" TargetMode="External"/><Relationship Id="rId3" Type="http://schemas.openxmlformats.org/officeDocument/2006/relationships/settings" Target="settings.xml"/><Relationship Id="rId21" Type="http://schemas.openxmlformats.org/officeDocument/2006/relationships/hyperlink" Target="https://urldefense.proofpoint.com/v2/url?u=https-3A__mass.us11.list-2Dmanage.com_track_click-3Fu-3D0e9e2209abd5f7062568d9a19-26id-3D93e9175bd2-26e-3D9521af11b2&amp;d=DwMFaQ&amp;c=Xhn9KFvv0VrhnMFbYtQjTGdTU13Xl3cIMh34YNGAA48&amp;r=d89QJLLxuwMMW8H2cPHM1rQMwL_8z2jmLRr1OQdopJA&amp;m=kQT-UutiO2-xiTH__WJIjx5rSMinJncbGW3G-Hfm3A0&amp;s=Mrnlj091uidCkkJ6xCoucMMxzkKCuIuJryl_-fgyIUg&amp;e=" TargetMode="External"/><Relationship Id="rId7" Type="http://schemas.openxmlformats.org/officeDocument/2006/relationships/hyperlink" Target="https://urldefense.proofpoint.com/v2/url?u=https-3A__mass.us11.list-2Dmanage.com_track_click-3Fu-3D0e9e2209abd5f7062568d9a19-26id-3D0a131b96b8-26e-3D9521af11b2&amp;d=DwMFaQ&amp;c=Xhn9KFvv0VrhnMFbYtQjTGdTU13Xl3cIMh34YNGAA48&amp;r=d89QJLLxuwMMW8H2cPHM1rQMwL_8z2jmLRr1OQdopJA&amp;m=kQT-UutiO2-xiTH__WJIjx5rSMinJncbGW3G-Hfm3A0&amp;s=DgE0e3aY_na07nmjSuHQKoaHMYNQ5V2smR-LBF5EV8g&amp;e=" TargetMode="External"/><Relationship Id="rId12" Type="http://schemas.openxmlformats.org/officeDocument/2006/relationships/hyperlink" Target="https://urldefense.proofpoint.com/v2/url?u=https-3A__mass.us11.list-2Dmanage.com_track_click-3Fu-3D0e9e2209abd5f7062568d9a19-26id-3D3e72580ce0-26e-3D9521af11b2&amp;d=DwMFaQ&amp;c=Xhn9KFvv0VrhnMFbYtQjTGdTU13Xl3cIMh34YNGAA48&amp;r=d89QJLLxuwMMW8H2cPHM1rQMwL_8z2jmLRr1OQdopJA&amp;m=kQT-UutiO2-xiTH__WJIjx5rSMinJncbGW3G-Hfm3A0&amp;s=0f33dbto4UsMv9QK8tu-qTrhfpAZN1AewcZY_6xmqyQ&amp;e=" TargetMode="External"/><Relationship Id="rId17" Type="http://schemas.openxmlformats.org/officeDocument/2006/relationships/hyperlink" Target="https://urldefense.proofpoint.com/v2/url?u=https-3A__mass.us11.list-2Dmanage.com_track_click-3Fu-3D0e9e2209abd5f7062568d9a19-26id-3Dc4358f6505-26e-3D9521af11b2&amp;d=DwMFaQ&amp;c=Xhn9KFvv0VrhnMFbYtQjTGdTU13Xl3cIMh34YNGAA48&amp;r=d89QJLLxuwMMW8H2cPHM1rQMwL_8z2jmLRr1OQdopJA&amp;m=kQT-UutiO2-xiTH__WJIjx5rSMinJncbGW3G-Hfm3A0&amp;s=iDjsouDdVvJwAOsmMHscyKdXDwem5WltsbZY4jUwjJs&amp;e=" TargetMode="External"/><Relationship Id="rId25" Type="http://schemas.openxmlformats.org/officeDocument/2006/relationships/hyperlink" Target="https://urldefense.proofpoint.com/v2/url?u=https-3A__mass.us11.list-2Dmanage.com_vcard-3Fu-3D0e9e2209abd5f7062568d9a19-26id-3D9ac8b63e31&amp;d=DwMFaQ&amp;c=Xhn9KFvv0VrhnMFbYtQjTGdTU13Xl3cIMh34YNGAA48&amp;r=d89QJLLxuwMMW8H2cPHM1rQMwL_8z2jmLRr1OQdopJA&amp;m=kQT-UutiO2-xiTH__WJIjx5rSMinJncbGW3G-Hfm3A0&amp;s=kVvuGW-G3Fz4m-ft3XOB4Krjo8e7MUGFUrv5cJrOtrc&amp;e=" TargetMode="External"/><Relationship Id="rId2" Type="http://schemas.microsoft.com/office/2007/relationships/stylesWithEffects" Target="stylesWithEffects.xml"/><Relationship Id="rId16" Type="http://schemas.openxmlformats.org/officeDocument/2006/relationships/hyperlink" Target="https://urldefense.proofpoint.com/v2/url?u=https-3A__mass.us11.list-2Dmanage.com_track_click-3Fu-3D0e9e2209abd5f7062568d9a19-26id-3D602eed82e3-26e-3D9521af11b2&amp;d=DwMFaQ&amp;c=Xhn9KFvv0VrhnMFbYtQjTGdTU13Xl3cIMh34YNGAA48&amp;r=d89QJLLxuwMMW8H2cPHM1rQMwL_8z2jmLRr1OQdopJA&amp;m=kQT-UutiO2-xiTH__WJIjx5rSMinJncbGW3G-Hfm3A0&amp;s=AwP6CkcGKUgfAazw4MV1P_pHYOKOAWA66m-Esk_JJNo&amp;e="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ldefense.proofpoint.com/v2/url?u=https-3A__mass.us11.list-2Dmanage.com_track_click-3Fu-3D0e9e2209abd5f7062568d9a19-26id-3Dbdcf873f1f-26e-3D9521af11b2&amp;d=DwMFaQ&amp;c=Xhn9KFvv0VrhnMFbYtQjTGdTU13Xl3cIMh34YNGAA48&amp;r=d89QJLLxuwMMW8H2cPHM1rQMwL_8z2jmLRr1OQdopJA&amp;m=kQT-UutiO2-xiTH__WJIjx5rSMinJncbGW3G-Hfm3A0&amp;s=LnK4QFexS-DdELFVTuNvlRRm1qsWa6YS40JjfoK5NEk&amp;e=" TargetMode="External"/><Relationship Id="rId11" Type="http://schemas.openxmlformats.org/officeDocument/2006/relationships/hyperlink" Target="https://urldefense.proofpoint.com/v2/url?u=https-3A__mass.us11.list-2Dmanage.com_track_click-3Fu-3D0e9e2209abd5f7062568d9a19-26id-3Dde5d93ac30-26e-3D9521af11b2&amp;d=DwMFaQ&amp;c=Xhn9KFvv0VrhnMFbYtQjTGdTU13Xl3cIMh34YNGAA48&amp;r=d89QJLLxuwMMW8H2cPHM1rQMwL_8z2jmLRr1OQdopJA&amp;m=kQT-UutiO2-xiTH__WJIjx5rSMinJncbGW3G-Hfm3A0&amp;s=HaqNNx7s6jRg2ZwNvEWHGh7_VoAsqeb6hvevtJ9gKtk&amp;e=" TargetMode="External"/><Relationship Id="rId24"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urldefense.proofpoint.com/v2/url?u=https-3A__mass.us11.list-2Dmanage.com_track_click-3Fu-3D0e9e2209abd5f7062568d9a19-26id-3D0f11161b19-26e-3D9521af11b2&amp;d=DwMFaQ&amp;c=Xhn9KFvv0VrhnMFbYtQjTGdTU13Xl3cIMh34YNGAA48&amp;r=d89QJLLxuwMMW8H2cPHM1rQMwL_8z2jmLRr1OQdopJA&amp;m=kQT-UutiO2-xiTH__WJIjx5rSMinJncbGW3G-Hfm3A0&amp;s=x21q6eFippwInS3PqC_6on1BPhk0dZ3cmf1-R_u4RdI&amp;e=" TargetMode="External"/><Relationship Id="rId23" Type="http://schemas.openxmlformats.org/officeDocument/2006/relationships/hyperlink" Target="https://urldefense.proofpoint.com/v2/url?u=https-3A__mass.us11.list-2Dmanage.com_track_click-3Fu-3D0e9e2209abd5f7062568d9a19-26id-3Dce89707bea-26e-3D9521af11b2&amp;d=DwMFaQ&amp;c=Xhn9KFvv0VrhnMFbYtQjTGdTU13Xl3cIMh34YNGAA48&amp;r=d89QJLLxuwMMW8H2cPHM1rQMwL_8z2jmLRr1OQdopJA&amp;m=kQT-UutiO2-xiTH__WJIjx5rSMinJncbGW3G-Hfm3A0&amp;s=s5Vn1Fqpqf47xFI6oCiQgslomNnLfbUYbjg65oMPQaM&amp;e=" TargetMode="External"/><Relationship Id="rId28" Type="http://schemas.openxmlformats.org/officeDocument/2006/relationships/fontTable" Target="fontTable.xml"/><Relationship Id="rId10" Type="http://schemas.openxmlformats.org/officeDocument/2006/relationships/hyperlink" Target="https://urldefense.proofpoint.com/v2/url?u=https-3A__mass.us11.list-2Dmanage.com_track_click-3Fu-3D0e9e2209abd5f7062568d9a19-26id-3D526b008802-26e-3D9521af11b2&amp;d=DwMFaQ&amp;c=Xhn9KFvv0VrhnMFbYtQjTGdTU13Xl3cIMh34YNGAA48&amp;r=d89QJLLxuwMMW8H2cPHM1rQMwL_8z2jmLRr1OQdopJA&amp;m=kQT-UutiO2-xiTH__WJIjx5rSMinJncbGW3G-Hfm3A0&amp;s=wHfz0w0Inaks664ma5EEQ1OCnzzXWxmPdm8k6X3GrQk&amp;e=" TargetMode="External"/><Relationship Id="rId19" Type="http://schemas.openxmlformats.org/officeDocument/2006/relationships/hyperlink" Target="https://urldefense.proofpoint.com/v2/url?u=https-3A__mass.us11.list-2Dmanage.com_track_click-3Fu-3D0e9e2209abd5f7062568d9a19-26id-3D2fde5c71b1-26e-3D9521af11b2&amp;d=DwMFaQ&amp;c=Xhn9KFvv0VrhnMFbYtQjTGdTU13Xl3cIMh34YNGAA48&amp;r=d89QJLLxuwMMW8H2cPHM1rQMwL_8z2jmLRr1OQdopJA&amp;m=kQT-UutiO2-xiTH__WJIjx5rSMinJncbGW3G-Hfm3A0&amp;s=86OSlwpSoQb5Aac8OgIlQzx7sB5kSqi3daRdNNhLuGA&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mass.us11.list-2Dmanage.com_track_click-3Fu-3D0e9e2209abd5f7062568d9a19-26id-3D599fb24fe8-26e-3D9521af11b2&amp;d=DwMFaQ&amp;c=Xhn9KFvv0VrhnMFbYtQjTGdTU13Xl3cIMh34YNGAA48&amp;r=d89QJLLxuwMMW8H2cPHM1rQMwL_8z2jmLRr1OQdopJA&amp;m=kQT-UutiO2-xiTH__WJIjx5rSMinJncbGW3G-Hfm3A0&amp;s=36fU7xG5jFEmJREV8SGHxD1-w57HtWv836QKVHAxQTw&amp;e=" TargetMode="External"/><Relationship Id="rId14" Type="http://schemas.openxmlformats.org/officeDocument/2006/relationships/hyperlink" Target="https://urldefense.proofpoint.com/v2/url?u=https-3A__mass.us11.list-2Dmanage.com_track_click-3Fu-3D0e9e2209abd5f7062568d9a19-26id-3D2035009828-26e-3D9521af11b2&amp;d=DwMFaQ&amp;c=Xhn9KFvv0VrhnMFbYtQjTGdTU13Xl3cIMh34YNGAA48&amp;r=d89QJLLxuwMMW8H2cPHM1rQMwL_8z2jmLRr1OQdopJA&amp;m=kQT-UutiO2-xiTH__WJIjx5rSMinJncbGW3G-Hfm3A0&amp;s=7FjA-f5_fMIsCSe_iVb76jzuQ4vNwsUniiKQr3p6E2c&amp;e=" TargetMode="External"/><Relationship Id="rId22" Type="http://schemas.openxmlformats.org/officeDocument/2006/relationships/image" Target="media/image4.png"/><Relationship Id="rId27" Type="http://schemas.openxmlformats.org/officeDocument/2006/relationships/hyperlink" Target="https://urldefense.proofpoint.com/v2/url?u=https-3A__mass.us11.list-2Dmanage.com_unsubscribe-3Fu-3D0e9e2209abd5f7062568d9a19-26id-3D9ac8b63e31-26e-3D9521af11b2-26c-3D6f387368bf&amp;d=DwMFaQ&amp;c=Xhn9KFvv0VrhnMFbYtQjTGdTU13Xl3cIMh34YNGAA48&amp;r=d89QJLLxuwMMW8H2cPHM1rQMwL_8z2jmLRr1OQdopJA&amp;m=kQT-UutiO2-xiTH__WJIjx5rSMinJncbGW3G-Hfm3A0&amp;s=3DKYKlwFO0Oi4D4kayWIseORoXuruYT0a6Z2UE4s0s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1376</Words>
  <Characters>7848</Characters>
  <Application>Microsoft Office Word</Application>
  <DocSecurity>0</DocSecurity>
  <Lines>65</Lines>
  <Paragraphs>18</Paragraphs>
  <ScaleCrop>false</ScaleCrop>
  <Company>Commonwealth of MA</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Commonwealth of Massachusetts</cp:lastModifiedBy>
  <cp:revision>1</cp:revision>
  <dcterms:created xsi:type="dcterms:W3CDTF">2019-04-19T15:46:00Z</dcterms:created>
  <dcterms:modified xsi:type="dcterms:W3CDTF">2019-04-19T15:47:00Z</dcterms:modified>
</cp:coreProperties>
</file>