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9000"/>
      </w:tblGrid>
      <w:tr w:rsidR="00E11B5F" w:rsidTr="00E11B5F">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E11B5F">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11B5F">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11B5F">
                          <w:tc>
                            <w:tcPr>
                              <w:tcW w:w="0" w:type="auto"/>
                              <w:tcMar>
                                <w:top w:w="0" w:type="dxa"/>
                                <w:left w:w="135" w:type="dxa"/>
                                <w:bottom w:w="0" w:type="dxa"/>
                                <w:right w:w="135" w:type="dxa"/>
                              </w:tcMar>
                              <w:hideMark/>
                            </w:tcPr>
                            <w:p w:rsidR="00E11B5F" w:rsidRDefault="00E11B5F">
                              <w:pPr>
                                <w:jc w:val="center"/>
                              </w:pPr>
                              <w:bookmarkStart w:id="0" w:name="_GoBack"/>
                              <w:r>
                                <w:rPr>
                                  <w:noProof/>
                                </w:rPr>
                                <w:drawing>
                                  <wp:inline distT="0" distB="0" distL="0" distR="0" wp14:anchorId="4599734E" wp14:editId="2AE949D5">
                                    <wp:extent cx="5370195" cy="1152525"/>
                                    <wp:effectExtent l="0" t="0" r="1905" b="9525"/>
                                    <wp:docPr id="7" name="Picture 7" descr="https://gallery.mailchimp.com/0e9e2209abd5f7062568d9a19/images/d90bf80c-1cab-40d9-9245-8385b4fa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e9e2209abd5f7062568d9a19/images/d90bf80c-1cab-40d9-9245-8385b4fa63b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0195" cy="1152525"/>
                                            </a:xfrm>
                                            <a:prstGeom prst="rect">
                                              <a:avLst/>
                                            </a:prstGeom>
                                            <a:noFill/>
                                            <a:ln>
                                              <a:noFill/>
                                            </a:ln>
                                          </pic:spPr>
                                        </pic:pic>
                                      </a:graphicData>
                                    </a:graphic>
                                  </wp:inline>
                                </w:drawing>
                              </w:r>
                            </w:p>
                          </w:tc>
                        </w:tr>
                      </w:tbl>
                      <w:p w:rsidR="00E11B5F" w:rsidRDefault="00E11B5F">
                        <w:pPr>
                          <w:rPr>
                            <w:rFonts w:eastAsia="Times New Roman"/>
                            <w:sz w:val="20"/>
                            <w:szCs w:val="20"/>
                          </w:rPr>
                        </w:pPr>
                      </w:p>
                    </w:tc>
                  </w:tr>
                </w:tbl>
                <w:p w:rsidR="00E11B5F" w:rsidRDefault="00E11B5F">
                  <w:pPr>
                    <w:rPr>
                      <w:rFonts w:eastAsia="Times New Roman"/>
                      <w:sz w:val="20"/>
                      <w:szCs w:val="20"/>
                    </w:rPr>
                  </w:pPr>
                </w:p>
              </w:tc>
            </w:tr>
            <w:tr w:rsidR="00E11B5F">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E11B5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11B5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11B5F">
                                <w:tc>
                                  <w:tcPr>
                                    <w:tcW w:w="0" w:type="auto"/>
                                    <w:tcMar>
                                      <w:top w:w="0" w:type="dxa"/>
                                      <w:left w:w="270" w:type="dxa"/>
                                      <w:bottom w:w="135" w:type="dxa"/>
                                      <w:right w:w="270" w:type="dxa"/>
                                    </w:tcMar>
                                    <w:hideMark/>
                                  </w:tcPr>
                                  <w:p w:rsidR="00E11B5F" w:rsidRDefault="00E11B5F">
                                    <w:pPr>
                                      <w:spacing w:line="360" w:lineRule="auto"/>
                                      <w:rPr>
                                        <w:rFonts w:ascii="Helvetica" w:hAnsi="Helvetica" w:cs="Helvetica"/>
                                        <w:color w:val="202020"/>
                                      </w:rPr>
                                    </w:pPr>
                                    <w:r>
                                      <w:rPr>
                                        <w:rStyle w:val="Strong"/>
                                        <w:rFonts w:ascii="Georgia" w:hAnsi="Georgia"/>
                                        <w:color w:val="202020"/>
                                      </w:rPr>
                                      <w:t>Understanding the 14-day exemption for room occupancy tax</w:t>
                                    </w:r>
                                    <w:r>
                                      <w:rPr>
                                        <w:rFonts w:ascii="Georgia" w:hAnsi="Georgia"/>
                                        <w:color w:val="202020"/>
                                      </w:rPr>
                                      <w:br/>
                                      <w:t xml:space="preserve">First, it doesn’t matter how many days each year you rent out a short-term rental, you still have to register on </w:t>
                                    </w:r>
                                    <w:proofErr w:type="spellStart"/>
                                    <w:r>
                                      <w:rPr>
                                        <w:rFonts w:ascii="Georgia" w:hAnsi="Georgia"/>
                                        <w:color w:val="202020"/>
                                      </w:rPr>
                                      <w:t>MassTaxConnect</w:t>
                                    </w:r>
                                    <w:proofErr w:type="spellEnd"/>
                                    <w:r>
                                      <w:rPr>
                                        <w:rFonts w:ascii="Georgia" w:hAnsi="Georgia"/>
                                        <w:color w:val="202020"/>
                                      </w:rPr>
                                      <w:t xml:space="preserve">. However, if you believe the property will be rented for only 14 days or less in a calendar year, choose the exemption when registering and no one will be required to collect taxes and excise on the rental of the property.  Just be sure that the exemption really does apply to the property. The 14 days or less includes rental by anyone including the owner, manager, intermediary online services and others combined. If your property is rented for more than 14 days after claiming the exemption, you will be responsible for paying the room occupancy excise for the first 14 days. Your registration can be corrected on </w:t>
                                    </w:r>
                                    <w:proofErr w:type="spellStart"/>
                                    <w:r>
                                      <w:rPr>
                                        <w:rFonts w:ascii="Georgia" w:hAnsi="Georgia"/>
                                        <w:color w:val="202020"/>
                                      </w:rPr>
                                      <w:t>MassTaxConnect</w:t>
                                    </w:r>
                                    <w:proofErr w:type="spellEnd"/>
                                    <w:r>
                                      <w:rPr>
                                        <w:rFonts w:ascii="Georgia" w:hAnsi="Georgia"/>
                                        <w:color w:val="202020"/>
                                      </w:rPr>
                                      <w:t xml:space="preserve"> if the 14-day exemption will not apply.  </w:t>
                                    </w:r>
                                    <w:hyperlink r:id="rId6" w:history="1">
                                      <w:r>
                                        <w:rPr>
                                          <w:rStyle w:val="Hyperlink"/>
                                          <w:rFonts w:ascii="Georgia" w:hAnsi="Georgia"/>
                                          <w:color w:val="007C89"/>
                                        </w:rPr>
                                        <w:t>More information on room occupancy excise, including FAQs</w:t>
                                      </w:r>
                                    </w:hyperlink>
                                    <w:r>
                                      <w:rPr>
                                        <w:rFonts w:ascii="Georgia" w:hAnsi="Georgia"/>
                                        <w:color w:val="202020"/>
                                      </w:rPr>
                                      <w:br/>
                                      <w:t> </w:t>
                                    </w:r>
                                    <w:r>
                                      <w:rPr>
                                        <w:rFonts w:ascii="Georgia" w:hAnsi="Georgia"/>
                                        <w:color w:val="202020"/>
                                      </w:rPr>
                                      <w:br/>
                                    </w:r>
                                    <w:r>
                                      <w:rPr>
                                        <w:rStyle w:val="Strong"/>
                                        <w:rFonts w:ascii="Georgia" w:hAnsi="Georgia"/>
                                        <w:color w:val="202020"/>
                                      </w:rPr>
                                      <w:t>Intermediaries require certificate info from property operators</w:t>
                                    </w:r>
                                    <w:r>
                                      <w:rPr>
                                        <w:rFonts w:ascii="Georgia" w:hAnsi="Georgia"/>
                                        <w:color w:val="202020"/>
                                      </w:rPr>
                                      <w:br/>
                                      <w:t>For an intermediary, defined as anyone but the operator of a short-term rental (such as a real estate agent or intermediary online service), to rent and report on a short-term rental property, it’s essential to have the operator’s certificate number. An operator can be proactive and provide the certificate when they engage an intermediary, or be responsive when it’s requested by the intermediary.</w:t>
                                    </w:r>
                                    <w:r>
                                      <w:rPr>
                                        <w:rFonts w:ascii="Georgia" w:hAnsi="Georgia"/>
                                        <w:color w:val="202020"/>
                                      </w:rPr>
                                      <w:br/>
                                      <w:t> </w:t>
                                    </w:r>
                                    <w:r>
                                      <w:rPr>
                                        <w:rFonts w:ascii="Georgia" w:hAnsi="Georgia"/>
                                        <w:color w:val="202020"/>
                                      </w:rPr>
                                      <w:br/>
                                    </w:r>
                                    <w:r>
                                      <w:rPr>
                                        <w:rStyle w:val="Strong"/>
                                        <w:rFonts w:ascii="Georgia" w:hAnsi="Georgia"/>
                                        <w:color w:val="202020"/>
                                      </w:rPr>
                                      <w:t>Change in filing period for the HIRD</w:t>
                                    </w:r>
                                    <w:r>
                                      <w:rPr>
                                        <w:rFonts w:ascii="Georgia" w:hAnsi="Georgia"/>
                                        <w:color w:val="202020"/>
                                      </w:rPr>
                                      <w:br/>
                                      <w:t xml:space="preserve">The Health Insurance Responsibility Disclosure launched last year is a required annual filing for employers to report on employer-sponsored insurance offerings. The filing period was moved back a couple of weeks this year to </w:t>
                                    </w:r>
                                    <w:r>
                                      <w:rPr>
                                        <w:rFonts w:ascii="Georgia" w:hAnsi="Georgia"/>
                                        <w:color w:val="202020"/>
                                      </w:rPr>
                                      <w:lastRenderedPageBreak/>
                                      <w:t xml:space="preserve">November 15 through December 15.  You will find FAQs that will answer your questions on what’s required, how to submit the form and much more </w:t>
                                    </w:r>
                                    <w:hyperlink r:id="rId7" w:tgtFrame="_blank" w:history="1">
                                      <w:r>
                                        <w:rPr>
                                          <w:rStyle w:val="Hyperlink"/>
                                          <w:rFonts w:ascii="Georgia" w:hAnsi="Georgia"/>
                                          <w:color w:val="007C89"/>
                                        </w:rPr>
                                        <w:t>here</w:t>
                                      </w:r>
                                    </w:hyperlink>
                                    <w:r>
                                      <w:rPr>
                                        <w:rFonts w:ascii="Georgia" w:hAnsi="Georgia"/>
                                        <w:color w:val="202020"/>
                                      </w:rPr>
                                      <w:t>.</w:t>
                                    </w:r>
                                    <w:r>
                                      <w:rPr>
                                        <w:rFonts w:ascii="Helvetica" w:hAnsi="Helvetica" w:cs="Helvetica"/>
                                        <w:color w:val="202020"/>
                                      </w:rPr>
                                      <w:br/>
                                    </w:r>
                                    <w:r>
                                      <w:rPr>
                                        <w:rFonts w:ascii="Georgia" w:hAnsi="Georgia"/>
                                        <w:color w:val="202020"/>
                                      </w:rPr>
                                      <w:t> </w:t>
                                    </w:r>
                                    <w:r>
                                      <w:rPr>
                                        <w:rFonts w:ascii="Georgia" w:hAnsi="Georgia"/>
                                        <w:color w:val="202020"/>
                                      </w:rPr>
                                      <w:br/>
                                    </w:r>
                                    <w:r>
                                      <w:rPr>
                                        <w:rStyle w:val="Strong"/>
                                        <w:rFonts w:ascii="Georgia" w:hAnsi="Georgia"/>
                                        <w:color w:val="202020"/>
                                      </w:rPr>
                                      <w:t>DRAFT 2019 tax forms are ready for review</w:t>
                                    </w:r>
                                    <w:r>
                                      <w:rPr>
                                        <w:rFonts w:ascii="Georgia" w:hAnsi="Georgia"/>
                                        <w:color w:val="202020"/>
                                      </w:rPr>
                                      <w:br/>
                                      <w:t xml:space="preserve">The 2019 </w:t>
                                    </w:r>
                                    <w:hyperlink r:id="rId8" w:history="1">
                                      <w:r>
                                        <w:rPr>
                                          <w:rStyle w:val="Hyperlink"/>
                                          <w:rFonts w:ascii="Georgia" w:hAnsi="Georgia"/>
                                          <w:color w:val="007C89"/>
                                        </w:rPr>
                                        <w:t>draft personal income tax forms</w:t>
                                      </w:r>
                                    </w:hyperlink>
                                    <w:r>
                                      <w:rPr>
                                        <w:rFonts w:ascii="Georgia" w:hAnsi="Georgia"/>
                                        <w:color w:val="202020"/>
                                      </w:rPr>
                                      <w:t xml:space="preserve"> are posted on the DOR website, as are the </w:t>
                                    </w:r>
                                    <w:hyperlink r:id="rId9" w:history="1">
                                      <w:r>
                                        <w:rPr>
                                          <w:rStyle w:val="Hyperlink"/>
                                          <w:rFonts w:ascii="Georgia" w:hAnsi="Georgia"/>
                                          <w:color w:val="007C89"/>
                                        </w:rPr>
                                        <w:t>draft corporate tax forms</w:t>
                                      </w:r>
                                    </w:hyperlink>
                                    <w:r>
                                      <w:rPr>
                                        <w:rFonts w:ascii="Georgia" w:hAnsi="Georgia"/>
                                        <w:color w:val="202020"/>
                                      </w:rPr>
                                      <w:t xml:space="preserve"> for 2019. Please take a look and, if you want to weigh in, send your comments or questions to </w:t>
                                    </w:r>
                                    <w:hyperlink r:id="rId10" w:history="1">
                                      <w:r>
                                        <w:rPr>
                                          <w:rStyle w:val="Hyperlink"/>
                                          <w:rFonts w:ascii="Georgia" w:hAnsi="Georgia"/>
                                          <w:color w:val="007C89"/>
                                        </w:rPr>
                                        <w:t>dorforms@dor.state.ma.us</w:t>
                                      </w:r>
                                    </w:hyperlink>
                                    <w:r>
                                      <w:rPr>
                                        <w:rFonts w:ascii="Georgia" w:hAnsi="Georgia"/>
                                        <w:color w:val="202020"/>
                                      </w:rPr>
                                      <w:t>. Tax form instructions will be posted later this fall.</w:t>
                                    </w:r>
                                    <w:r>
                                      <w:rPr>
                                        <w:rFonts w:ascii="Georgia" w:hAnsi="Georgia"/>
                                        <w:color w:val="202020"/>
                                      </w:rPr>
                                      <w:br/>
                                    </w:r>
                                    <w:r>
                                      <w:rPr>
                                        <w:rFonts w:ascii="Georgia" w:hAnsi="Georgia"/>
                                        <w:color w:val="202020"/>
                                      </w:rPr>
                                      <w:br/>
                                    </w:r>
                                    <w:r>
                                      <w:rPr>
                                        <w:rStyle w:val="Strong"/>
                                        <w:rFonts w:ascii="Georgia" w:hAnsi="Georgia"/>
                                        <w:color w:val="202020"/>
                                      </w:rPr>
                                      <w:t>Looking for a few good women and men</w:t>
                                    </w:r>
                                    <w:r>
                                      <w:rPr>
                                        <w:rFonts w:ascii="Georgia" w:hAnsi="Georgia"/>
                                        <w:color w:val="202020"/>
                                      </w:rPr>
                                      <w:br/>
                                      <w:t xml:space="preserve">Interviews have already started for DOR seasonal staff.  It’s part-time from March to June with options available for shift hours. The pay is respectable at $17 an hour and Saturdays could be available for extra pay. No experience is necessary, training is provided. If you know of anyone who may be interested, direct them to the </w:t>
                                    </w:r>
                                    <w:hyperlink r:id="rId11" w:history="1">
                                      <w:r>
                                        <w:rPr>
                                          <w:rStyle w:val="Hyperlink"/>
                                          <w:rFonts w:ascii="Georgia" w:hAnsi="Georgia"/>
                                          <w:color w:val="007C89"/>
                                        </w:rPr>
                                        <w:t>online application</w:t>
                                      </w:r>
                                    </w:hyperlink>
                                    <w:r>
                                      <w:rPr>
                                        <w:rFonts w:ascii="Georgia" w:hAnsi="Georgia"/>
                                        <w:color w:val="202020"/>
                                      </w:rPr>
                                      <w:t>. They will filter by choosing Chelsea to review the Seasonal Tax Examiner and Seasonal Clerk descriptions.</w:t>
                                    </w:r>
                                    <w:r>
                                      <w:rPr>
                                        <w:rFonts w:ascii="Georgia" w:hAnsi="Georgia"/>
                                        <w:color w:val="202020"/>
                                      </w:rPr>
                                      <w:br/>
                                      <w:t> </w:t>
                                    </w:r>
                                    <w:r>
                                      <w:rPr>
                                        <w:rFonts w:ascii="Georgia" w:hAnsi="Georgia"/>
                                        <w:color w:val="202020"/>
                                      </w:rPr>
                                      <w:br/>
                                    </w:r>
                                    <w:r>
                                      <w:rPr>
                                        <w:rStyle w:val="Strong"/>
                                        <w:rFonts w:ascii="Georgia" w:hAnsi="Georgia"/>
                                        <w:color w:val="202020"/>
                                      </w:rPr>
                                      <w:t>Plan ahead for property tax exemptions</w:t>
                                    </w:r>
                                    <w:r>
                                      <w:rPr>
                                        <w:rFonts w:ascii="Georgia" w:hAnsi="Georgia"/>
                                        <w:color w:val="202020"/>
                                      </w:rPr>
                                      <w:br/>
                                      <w:t xml:space="preserve">The application deadline is not until April 1 so you have time. But, be sure that you or your clients file the Annual Certification of Entity Tax Status by the deadline to qualify for specific property tax exemptions. DOR compiles a list annually from the applications of corporations, and businesses treated as corporations, for review by Boards of Assessors throughout the state to determine specific property tax exemptions. The application is now open and you can learn more about the exemption on the </w:t>
                                    </w:r>
                                    <w:hyperlink r:id="rId12" w:history="1">
                                      <w:r>
                                        <w:rPr>
                                          <w:rStyle w:val="Hyperlink"/>
                                          <w:rFonts w:ascii="Georgia" w:hAnsi="Georgia"/>
                                          <w:color w:val="007C89"/>
                                        </w:rPr>
                                        <w:t>information page</w:t>
                                      </w:r>
                                    </w:hyperlink>
                                    <w:r>
                                      <w:rPr>
                                        <w:rFonts w:ascii="Georgia" w:hAnsi="Georgia"/>
                                        <w:color w:val="202020"/>
                                      </w:rPr>
                                      <w:t>.</w:t>
                                    </w:r>
                                    <w:r>
                                      <w:rPr>
                                        <w:rFonts w:ascii="Georgia" w:hAnsi="Georgia"/>
                                        <w:color w:val="202020"/>
                                      </w:rPr>
                                      <w:br/>
                                      <w:t> </w:t>
                                    </w:r>
                                    <w:r>
                                      <w:rPr>
                                        <w:rFonts w:ascii="Georgia" w:hAnsi="Georgia"/>
                                        <w:color w:val="202020"/>
                                      </w:rPr>
                                      <w:br/>
                                    </w:r>
                                    <w:r>
                                      <w:rPr>
                                        <w:rStyle w:val="Strong"/>
                                        <w:rFonts w:ascii="Georgia" w:hAnsi="Georgia"/>
                                        <w:color w:val="202020"/>
                                      </w:rPr>
                                      <w:t xml:space="preserve">Additional funding for low income taxpayer clinics </w:t>
                                    </w:r>
                                    <w:r>
                                      <w:rPr>
                                        <w:rFonts w:ascii="Georgia" w:hAnsi="Georgia"/>
                                        <w:color w:val="202020"/>
                                      </w:rPr>
                                      <w:br/>
                                      <w:t xml:space="preserve">Additional FY20 funding was made available for low income taxpayer clinics to assist taxpayers with Massachusetts tax issues like collection matters, abatements and appeals to the ATB. Applications can be made on </w:t>
                                    </w:r>
                                    <w:hyperlink r:id="rId13" w:history="1">
                                      <w:r>
                                        <w:rPr>
                                          <w:rStyle w:val="Hyperlink"/>
                                          <w:rFonts w:ascii="Georgia" w:hAnsi="Georgia"/>
                                          <w:color w:val="007C89"/>
                                        </w:rPr>
                                        <w:t>COMMBUYS</w:t>
                                      </w:r>
                                    </w:hyperlink>
                                    <w:r>
                                      <w:rPr>
                                        <w:rFonts w:ascii="Georgia" w:hAnsi="Georgia"/>
                                        <w:color w:val="202020"/>
                                      </w:rPr>
                                      <w:t>, the state’s procurement website. Applications will be reviewed by DOR for possible funding.</w:t>
                                    </w:r>
                                    <w:r>
                                      <w:rPr>
                                        <w:rFonts w:ascii="Georgia" w:hAnsi="Georgia"/>
                                        <w:color w:val="202020"/>
                                      </w:rPr>
                                      <w:br/>
                                      <w:t> </w:t>
                                    </w:r>
                                    <w:r>
                                      <w:rPr>
                                        <w:rFonts w:ascii="Georgia" w:hAnsi="Georgia"/>
                                        <w:color w:val="202020"/>
                                      </w:rPr>
                                      <w:br/>
                                      <w:t xml:space="preserve">You can find previous </w:t>
                                    </w:r>
                                    <w:hyperlink r:id="rId14" w:history="1">
                                      <w:r>
                                        <w:rPr>
                                          <w:rStyle w:val="Hyperlink"/>
                                          <w:rFonts w:ascii="Georgia" w:hAnsi="Georgia"/>
                                          <w:color w:val="007C89"/>
                                        </w:rPr>
                                        <w:t>DOR News</w:t>
                                      </w:r>
                                    </w:hyperlink>
                                    <w:r>
                                      <w:rPr>
                                        <w:rFonts w:ascii="Georgia" w:hAnsi="Georgia"/>
                                        <w:color w:val="202020"/>
                                      </w:rPr>
                                      <w:t xml:space="preserve"> on the DOR website.</w:t>
                                    </w:r>
                                  </w:p>
                                </w:tc>
                              </w:tr>
                            </w:tbl>
                            <w:p w:rsidR="00E11B5F" w:rsidRDefault="00E11B5F">
                              <w:pPr>
                                <w:rPr>
                                  <w:rFonts w:eastAsia="Times New Roman"/>
                                  <w:sz w:val="20"/>
                                  <w:szCs w:val="20"/>
                                </w:rPr>
                              </w:pPr>
                            </w:p>
                          </w:tc>
                        </w:tr>
                      </w:tbl>
                      <w:p w:rsidR="00E11B5F" w:rsidRDefault="00E11B5F">
                        <w:pPr>
                          <w:rPr>
                            <w:rFonts w:eastAsia="Times New Roman"/>
                            <w:sz w:val="20"/>
                            <w:szCs w:val="20"/>
                          </w:rPr>
                        </w:pPr>
                      </w:p>
                    </w:tc>
                  </w:tr>
                </w:tbl>
                <w:p w:rsidR="00E11B5F" w:rsidRDefault="00E11B5F"/>
                <w:tbl>
                  <w:tblPr>
                    <w:tblW w:w="5000" w:type="pct"/>
                    <w:tblCellMar>
                      <w:left w:w="0" w:type="dxa"/>
                      <w:right w:w="0" w:type="dxa"/>
                    </w:tblCellMar>
                    <w:tblLook w:val="04A0" w:firstRow="1" w:lastRow="0" w:firstColumn="1" w:lastColumn="0" w:noHBand="0" w:noVBand="1"/>
                  </w:tblPr>
                  <w:tblGrid>
                    <w:gridCol w:w="9000"/>
                  </w:tblGrid>
                  <w:tr w:rsidR="00E11B5F">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2"/>
                          <w:gridCol w:w="8988"/>
                        </w:tblGrid>
                        <w:tr w:rsidR="00E11B5F">
                          <w:trPr>
                            <w:jc w:val="center"/>
                          </w:trPr>
                          <w:tc>
                            <w:tcPr>
                              <w:tcW w:w="0" w:type="auto"/>
                              <w:hideMark/>
                            </w:tcPr>
                            <w:p w:rsidR="00E11B5F" w:rsidRDefault="00E11B5F">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88"/>
                              </w:tblGrid>
                              <w:tr w:rsidR="00E11B5F">
                                <w:tc>
                                  <w:tcPr>
                                    <w:tcW w:w="0" w:type="auto"/>
                                    <w:tcMar>
                                      <w:top w:w="135" w:type="dxa"/>
                                      <w:left w:w="270" w:type="dxa"/>
                                      <w:bottom w:w="135" w:type="dxa"/>
                                      <w:right w:w="270" w:type="dxa"/>
                                    </w:tcMar>
                                    <w:vAlign w:val="center"/>
                                    <w:hideMark/>
                                  </w:tcPr>
                                  <w:tbl>
                                    <w:tblPr>
                                      <w:tblW w:w="5000" w:type="pct"/>
                                      <w:shd w:val="clear" w:color="auto" w:fill="1A7097"/>
                                      <w:tblCellMar>
                                        <w:left w:w="0" w:type="dxa"/>
                                        <w:right w:w="0" w:type="dxa"/>
                                      </w:tblCellMar>
                                      <w:tblLook w:val="04A0" w:firstRow="1" w:lastRow="0" w:firstColumn="1" w:lastColumn="0" w:noHBand="0" w:noVBand="1"/>
                                    </w:tblPr>
                                    <w:tblGrid>
                                      <w:gridCol w:w="8448"/>
                                    </w:tblGrid>
                                    <w:tr w:rsidR="00E11B5F">
                                      <w:tc>
                                        <w:tcPr>
                                          <w:tcW w:w="0" w:type="auto"/>
                                          <w:shd w:val="clear" w:color="auto" w:fill="1A7097"/>
                                          <w:tcMar>
                                            <w:top w:w="270" w:type="dxa"/>
                                            <w:left w:w="270" w:type="dxa"/>
                                            <w:bottom w:w="270" w:type="dxa"/>
                                            <w:right w:w="270" w:type="dxa"/>
                                          </w:tcMar>
                                          <w:hideMark/>
                                        </w:tcPr>
                                        <w:p w:rsidR="00E11B5F" w:rsidRDefault="00E11B5F">
                                          <w:pPr>
                                            <w:spacing w:line="360" w:lineRule="auto"/>
                                            <w:jc w:val="center"/>
                                            <w:rPr>
                                              <w:rFonts w:ascii="Helvetica" w:hAnsi="Helvetica" w:cs="Helvetica"/>
                                              <w:color w:val="F2F2F2"/>
                                              <w:sz w:val="21"/>
                                              <w:szCs w:val="21"/>
                                            </w:rPr>
                                          </w:pPr>
                                          <w:r>
                                            <w:rPr>
                                              <w:rStyle w:val="Strong"/>
                                              <w:rFonts w:ascii="Helvetica" w:hAnsi="Helvetica" w:cs="Helvetica"/>
                                              <w:color w:val="F2F2F2"/>
                                              <w:sz w:val="27"/>
                                              <w:szCs w:val="27"/>
                                            </w:rPr>
                                            <w:t>DOR News - October 2019</w:t>
                                          </w:r>
                                          <w:r>
                                            <w:rPr>
                                              <w:rFonts w:ascii="Helvetica" w:hAnsi="Helvetica" w:cs="Helvetica"/>
                                              <w:color w:val="F2F2F2"/>
                                              <w:sz w:val="21"/>
                                              <w:szCs w:val="21"/>
                                            </w:rPr>
                                            <w:t xml:space="preserve"> </w:t>
                                          </w:r>
                                        </w:p>
                                      </w:tc>
                                    </w:tr>
                                  </w:tbl>
                                  <w:p w:rsidR="00E11B5F" w:rsidRDefault="00E11B5F">
                                    <w:pPr>
                                      <w:rPr>
                                        <w:rFonts w:eastAsia="Times New Roman"/>
                                        <w:sz w:val="20"/>
                                        <w:szCs w:val="20"/>
                                      </w:rPr>
                                    </w:pPr>
                                  </w:p>
                                </w:tc>
                              </w:tr>
                            </w:tbl>
                            <w:p w:rsidR="00E11B5F" w:rsidRDefault="00E11B5F">
                              <w:pPr>
                                <w:rPr>
                                  <w:rFonts w:eastAsia="Times New Roman"/>
                                  <w:sz w:val="20"/>
                                  <w:szCs w:val="20"/>
                                </w:rPr>
                              </w:pPr>
                            </w:p>
                          </w:tc>
                        </w:tr>
                      </w:tbl>
                      <w:p w:rsidR="00E11B5F" w:rsidRDefault="00E11B5F">
                        <w:pPr>
                          <w:jc w:val="center"/>
                          <w:rPr>
                            <w:rFonts w:eastAsia="Times New Roman"/>
                            <w:sz w:val="20"/>
                            <w:szCs w:val="20"/>
                          </w:rPr>
                        </w:pPr>
                      </w:p>
                    </w:tc>
                  </w:tr>
                </w:tbl>
                <w:p w:rsidR="00E11B5F" w:rsidRDefault="00E11B5F">
                  <w:pPr>
                    <w:rPr>
                      <w:rFonts w:eastAsia="Times New Roman"/>
                    </w:rPr>
                  </w:pPr>
                </w:p>
              </w:tc>
            </w:tr>
          </w:tbl>
          <w:p w:rsidR="00E11B5F" w:rsidRDefault="00E11B5F">
            <w:pPr>
              <w:jc w:val="center"/>
              <w:rPr>
                <w:rFonts w:eastAsia="Times New Roman"/>
                <w:sz w:val="20"/>
                <w:szCs w:val="20"/>
              </w:rPr>
            </w:pPr>
          </w:p>
        </w:tc>
      </w:tr>
      <w:bookmarkEnd w:id="0"/>
    </w:tbl>
    <w:p w:rsidR="008E11D0" w:rsidRDefault="008E11D0"/>
    <w:sectPr w:rsidR="008E1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5F"/>
    <w:rsid w:val="008E11D0"/>
    <w:rsid w:val="00E1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5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1B5F"/>
    <w:rPr>
      <w:color w:val="0000FF"/>
      <w:u w:val="single"/>
    </w:rPr>
  </w:style>
  <w:style w:type="character" w:customStyle="1" w:styleId="org">
    <w:name w:val="org"/>
    <w:basedOn w:val="DefaultParagraphFont"/>
    <w:rsid w:val="00E11B5F"/>
  </w:style>
  <w:style w:type="character" w:customStyle="1" w:styleId="locality">
    <w:name w:val="locality"/>
    <w:basedOn w:val="DefaultParagraphFont"/>
    <w:rsid w:val="00E11B5F"/>
  </w:style>
  <w:style w:type="character" w:customStyle="1" w:styleId="region">
    <w:name w:val="region"/>
    <w:basedOn w:val="DefaultParagraphFont"/>
    <w:rsid w:val="00E11B5F"/>
  </w:style>
  <w:style w:type="character" w:customStyle="1" w:styleId="postal-code">
    <w:name w:val="postal-code"/>
    <w:basedOn w:val="DefaultParagraphFont"/>
    <w:rsid w:val="00E11B5F"/>
  </w:style>
  <w:style w:type="character" w:styleId="Strong">
    <w:name w:val="Strong"/>
    <w:basedOn w:val="DefaultParagraphFont"/>
    <w:uiPriority w:val="22"/>
    <w:qFormat/>
    <w:rsid w:val="00E11B5F"/>
    <w:rPr>
      <w:b/>
      <w:bCs/>
    </w:rPr>
  </w:style>
  <w:style w:type="character" w:styleId="Emphasis">
    <w:name w:val="Emphasis"/>
    <w:basedOn w:val="DefaultParagraphFont"/>
    <w:uiPriority w:val="20"/>
    <w:qFormat/>
    <w:rsid w:val="00E11B5F"/>
    <w:rPr>
      <w:i/>
      <w:iCs/>
    </w:rPr>
  </w:style>
  <w:style w:type="paragraph" w:styleId="BalloonText">
    <w:name w:val="Balloon Text"/>
    <w:basedOn w:val="Normal"/>
    <w:link w:val="BalloonTextChar"/>
    <w:uiPriority w:val="99"/>
    <w:semiHidden/>
    <w:unhideWhenUsed/>
    <w:rsid w:val="00E11B5F"/>
    <w:rPr>
      <w:rFonts w:ascii="Tahoma" w:hAnsi="Tahoma" w:cs="Tahoma"/>
      <w:sz w:val="16"/>
      <w:szCs w:val="16"/>
    </w:rPr>
  </w:style>
  <w:style w:type="character" w:customStyle="1" w:styleId="BalloonTextChar">
    <w:name w:val="Balloon Text Char"/>
    <w:basedOn w:val="DefaultParagraphFont"/>
    <w:link w:val="BalloonText"/>
    <w:uiPriority w:val="99"/>
    <w:semiHidden/>
    <w:rsid w:val="00E11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5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1B5F"/>
    <w:rPr>
      <w:color w:val="0000FF"/>
      <w:u w:val="single"/>
    </w:rPr>
  </w:style>
  <w:style w:type="character" w:customStyle="1" w:styleId="org">
    <w:name w:val="org"/>
    <w:basedOn w:val="DefaultParagraphFont"/>
    <w:rsid w:val="00E11B5F"/>
  </w:style>
  <w:style w:type="character" w:customStyle="1" w:styleId="locality">
    <w:name w:val="locality"/>
    <w:basedOn w:val="DefaultParagraphFont"/>
    <w:rsid w:val="00E11B5F"/>
  </w:style>
  <w:style w:type="character" w:customStyle="1" w:styleId="region">
    <w:name w:val="region"/>
    <w:basedOn w:val="DefaultParagraphFont"/>
    <w:rsid w:val="00E11B5F"/>
  </w:style>
  <w:style w:type="character" w:customStyle="1" w:styleId="postal-code">
    <w:name w:val="postal-code"/>
    <w:basedOn w:val="DefaultParagraphFont"/>
    <w:rsid w:val="00E11B5F"/>
  </w:style>
  <w:style w:type="character" w:styleId="Strong">
    <w:name w:val="Strong"/>
    <w:basedOn w:val="DefaultParagraphFont"/>
    <w:uiPriority w:val="22"/>
    <w:qFormat/>
    <w:rsid w:val="00E11B5F"/>
    <w:rPr>
      <w:b/>
      <w:bCs/>
    </w:rPr>
  </w:style>
  <w:style w:type="character" w:styleId="Emphasis">
    <w:name w:val="Emphasis"/>
    <w:basedOn w:val="DefaultParagraphFont"/>
    <w:uiPriority w:val="20"/>
    <w:qFormat/>
    <w:rsid w:val="00E11B5F"/>
    <w:rPr>
      <w:i/>
      <w:iCs/>
    </w:rPr>
  </w:style>
  <w:style w:type="paragraph" w:styleId="BalloonText">
    <w:name w:val="Balloon Text"/>
    <w:basedOn w:val="Normal"/>
    <w:link w:val="BalloonTextChar"/>
    <w:uiPriority w:val="99"/>
    <w:semiHidden/>
    <w:unhideWhenUsed/>
    <w:rsid w:val="00E11B5F"/>
    <w:rPr>
      <w:rFonts w:ascii="Tahoma" w:hAnsi="Tahoma" w:cs="Tahoma"/>
      <w:sz w:val="16"/>
      <w:szCs w:val="16"/>
    </w:rPr>
  </w:style>
  <w:style w:type="character" w:customStyle="1" w:styleId="BalloonTextChar">
    <w:name w:val="Balloon Text Char"/>
    <w:basedOn w:val="DefaultParagraphFont"/>
    <w:link w:val="BalloonText"/>
    <w:uiPriority w:val="99"/>
    <w:semiHidden/>
    <w:rsid w:val="00E1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us11.list-manage.com/track/click?u=0e9e2209abd5f7062568d9a19&amp;id=30f9407b54&amp;e=9521af11b2" TargetMode="External"/><Relationship Id="rId13" Type="http://schemas.openxmlformats.org/officeDocument/2006/relationships/hyperlink" Target="https://mass.us11.list-manage.com/track/click?u=0e9e2209abd5f7062568d9a19&amp;id=3dbf025f41&amp;e=9521af11b2" TargetMode="External"/><Relationship Id="rId3" Type="http://schemas.openxmlformats.org/officeDocument/2006/relationships/settings" Target="settings.xml"/><Relationship Id="rId7" Type="http://schemas.openxmlformats.org/officeDocument/2006/relationships/hyperlink" Target="https://mass.us11.list-manage.com/track/click?u=0e9e2209abd5f7062568d9a19&amp;id=32c57375d2&amp;e=9521af11b2" TargetMode="External"/><Relationship Id="rId12" Type="http://schemas.openxmlformats.org/officeDocument/2006/relationships/hyperlink" Target="https://mass.us11.list-manage.com/track/click?u=0e9e2209abd5f7062568d9a19&amp;id=e6237706ba&amp;e=9521af11b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ss.us11.list-manage.com/track/click?u=0e9e2209abd5f7062568d9a19&amp;id=76ebaa2ae3&amp;e=9521af11b2" TargetMode="External"/><Relationship Id="rId11" Type="http://schemas.openxmlformats.org/officeDocument/2006/relationships/hyperlink" Target="https://mass.us11.list-manage.com/track/click?u=0e9e2209abd5f7062568d9a19&amp;id=693da6f93c&amp;e=9521af11b2"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dorforms@dor.state.ma.us" TargetMode="External"/><Relationship Id="rId4" Type="http://schemas.openxmlformats.org/officeDocument/2006/relationships/webSettings" Target="webSettings.xml"/><Relationship Id="rId9" Type="http://schemas.openxmlformats.org/officeDocument/2006/relationships/hyperlink" Target="https://mass.us11.list-manage.com/track/click?u=0e9e2209abd5f7062568d9a19&amp;id=bf742eda0a&amp;e=9521af11b2" TargetMode="External"/><Relationship Id="rId14" Type="http://schemas.openxmlformats.org/officeDocument/2006/relationships/hyperlink" Target="https://mass.us11.list-manage.com/track/click?u=0e9e2209abd5f7062568d9a19&amp;id=7420a136d4&amp;e=9521af11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Administration &amp; Finance Information Technology</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Cummings</dc:creator>
  <cp:lastModifiedBy>Ellen Cummings</cp:lastModifiedBy>
  <cp:revision>1</cp:revision>
  <dcterms:created xsi:type="dcterms:W3CDTF">2019-11-08T14:47:00Z</dcterms:created>
  <dcterms:modified xsi:type="dcterms:W3CDTF">2019-11-08T14:50:00Z</dcterms:modified>
</cp:coreProperties>
</file>