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10800"/>
      </w:tblGrid>
      <w:tr w:rsidR="0003351E" w:rsidRPr="0003351E">
        <w:trPr>
          <w:jc w:val="center"/>
        </w:trPr>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10800"/>
            </w:tblGrid>
            <w:tr w:rsidR="0003351E" w:rsidRPr="0003351E">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530"/>
                  </w:tblGrid>
                  <w:tr w:rsidR="0003351E" w:rsidRPr="0003351E">
                    <w:tc>
                      <w:tcPr>
                        <w:tcW w:w="0" w:type="auto"/>
                        <w:tcMar>
                          <w:top w:w="0" w:type="dxa"/>
                          <w:left w:w="135" w:type="dxa"/>
                          <w:bottom w:w="0" w:type="dxa"/>
                          <w:right w:w="135" w:type="dxa"/>
                        </w:tcMar>
                        <w:hideMark/>
                      </w:tcPr>
                      <w:p w:rsidR="0003351E" w:rsidRPr="0003351E" w:rsidRDefault="0003351E" w:rsidP="0003351E">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5372100" cy="1152525"/>
                              <wp:effectExtent l="0" t="0" r="0" b="9525"/>
                              <wp:docPr id="1" name="Picture 1" descr="https://gallery.mailchimp.com/0e9e2209abd5f7062568d9a19/images/d90bf80c-1cab-40d9-9245-8385b4fa6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e9e2209abd5f7062568d9a19/images/d90bf80c-1cab-40d9-9245-8385b4fa63b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2100" cy="1152525"/>
                                      </a:xfrm>
                                      <a:prstGeom prst="rect">
                                        <a:avLst/>
                                      </a:prstGeom>
                                      <a:noFill/>
                                      <a:ln>
                                        <a:noFill/>
                                      </a:ln>
                                    </pic:spPr>
                                  </pic:pic>
                                </a:graphicData>
                              </a:graphic>
                            </wp:inline>
                          </w:drawing>
                        </w:r>
                      </w:p>
                    </w:tc>
                  </w:tr>
                </w:tbl>
                <w:p w:rsidR="0003351E" w:rsidRPr="0003351E" w:rsidRDefault="0003351E" w:rsidP="0003351E">
                  <w:pPr>
                    <w:spacing w:after="0" w:line="240" w:lineRule="auto"/>
                    <w:rPr>
                      <w:rFonts w:ascii="Times New Roman" w:eastAsia="Times New Roman" w:hAnsi="Times New Roman" w:cs="Times New Roman"/>
                      <w:sz w:val="24"/>
                      <w:szCs w:val="24"/>
                    </w:rPr>
                  </w:pPr>
                </w:p>
              </w:tc>
            </w:tr>
          </w:tbl>
          <w:p w:rsidR="0003351E" w:rsidRPr="0003351E" w:rsidRDefault="0003351E" w:rsidP="0003351E">
            <w:pPr>
              <w:spacing w:after="0" w:line="240" w:lineRule="auto"/>
              <w:rPr>
                <w:rFonts w:ascii="Times New Roman" w:eastAsia="Times New Roman" w:hAnsi="Times New Roman" w:cs="Times New Roman"/>
                <w:sz w:val="24"/>
                <w:szCs w:val="24"/>
              </w:rPr>
            </w:pPr>
          </w:p>
        </w:tc>
      </w:tr>
      <w:tr w:rsidR="0003351E" w:rsidRPr="0003351E">
        <w:trPr>
          <w:jc w:val="center"/>
        </w:trPr>
        <w:tc>
          <w:tcPr>
            <w:tcW w:w="0" w:type="auto"/>
            <w:tcBorders>
              <w:top w:val="nil"/>
              <w:bottom w:val="single" w:sz="12" w:space="0" w:color="EAEAEA"/>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10800"/>
            </w:tblGrid>
            <w:tr w:rsidR="0003351E" w:rsidRPr="0003351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800"/>
                  </w:tblGrid>
                  <w:tr w:rsidR="0003351E" w:rsidRPr="0003351E">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03351E" w:rsidRPr="0003351E">
                          <w:tc>
                            <w:tcPr>
                              <w:tcW w:w="0" w:type="auto"/>
                              <w:tcMar>
                                <w:top w:w="0" w:type="dxa"/>
                                <w:left w:w="270" w:type="dxa"/>
                                <w:bottom w:w="135" w:type="dxa"/>
                                <w:right w:w="270" w:type="dxa"/>
                              </w:tcMar>
                              <w:hideMark/>
                            </w:tcPr>
                            <w:p w:rsidR="0003351E" w:rsidRPr="0003351E" w:rsidRDefault="0003351E" w:rsidP="0003351E">
                              <w:pPr>
                                <w:spacing w:after="0" w:line="360" w:lineRule="auto"/>
                                <w:rPr>
                                  <w:rFonts w:ascii="Helvetica" w:eastAsia="Times New Roman" w:hAnsi="Helvetica" w:cs="Helvetica"/>
                                  <w:color w:val="202020"/>
                                  <w:sz w:val="24"/>
                                  <w:szCs w:val="24"/>
                                </w:rPr>
                              </w:pPr>
                              <w:r w:rsidRPr="0003351E">
                                <w:rPr>
                                  <w:rFonts w:ascii="Georgia" w:eastAsia="Times New Roman" w:hAnsi="Georgia" w:cs="Helvetica"/>
                                  <w:b/>
                                  <w:bCs/>
                                  <w:color w:val="202020"/>
                                  <w:sz w:val="24"/>
                                  <w:szCs w:val="24"/>
                                </w:rPr>
                                <w:t xml:space="preserve">Greater Boston Stand Down – terrific opportunity for veterans </w:t>
                              </w:r>
                              <w:r w:rsidRPr="0003351E">
                                <w:rPr>
                                  <w:rFonts w:ascii="Georgia" w:eastAsia="Times New Roman" w:hAnsi="Georgia" w:cs="Helvetica"/>
                                  <w:color w:val="202020"/>
                                  <w:sz w:val="24"/>
                                  <w:szCs w:val="24"/>
                                </w:rPr>
                                <w:br/>
                              </w:r>
                              <w:r>
                                <w:rPr>
                                  <w:rFonts w:ascii="Helvetica" w:eastAsia="Times New Roman" w:hAnsi="Helvetica" w:cs="Helvetica"/>
                                  <w:noProof/>
                                  <w:color w:val="20202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2266950"/>
                                    <wp:effectExtent l="0" t="0" r="0" b="0"/>
                                    <wp:wrapSquare wrapText="bothSides"/>
                                    <wp:docPr id="2" name="Picture 2" descr="https://gallery.mailchimp.com/0e9e2209abd5f7062568d9a19/_compresseds/58d3e17a-3027-46dc-b784-8bf9df6aa6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0e9e2209abd5f7062568d9a19/_compresseds/58d3e17a-3027-46dc-b784-8bf9df6aa67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51E">
                                <w:rPr>
                                  <w:rFonts w:ascii="Georgia" w:eastAsia="Times New Roman" w:hAnsi="Georgia" w:cs="Helvetica"/>
                                  <w:color w:val="202020"/>
                                  <w:sz w:val="24"/>
                                  <w:szCs w:val="24"/>
                                </w:rPr>
                                <w:t xml:space="preserve">If you have not heard about it, it’s worth passing on information to veterans to mark their calendars for next September. Every year the </w:t>
                              </w:r>
                              <w:hyperlink r:id="rId7" w:history="1">
                                <w:r w:rsidRPr="0003351E">
                                  <w:rPr>
                                    <w:rFonts w:ascii="Georgia" w:eastAsia="Times New Roman" w:hAnsi="Georgia" w:cs="Helvetica"/>
                                    <w:color w:val="007C89"/>
                                    <w:sz w:val="24"/>
                                    <w:szCs w:val="24"/>
                                    <w:u w:val="single"/>
                                  </w:rPr>
                                  <w:t>New England Center and Home for Veterans</w:t>
                                </w:r>
                              </w:hyperlink>
                              <w:r w:rsidRPr="0003351E">
                                <w:rPr>
                                  <w:rFonts w:ascii="Georgia" w:eastAsia="Times New Roman" w:hAnsi="Georgia" w:cs="Helvetica"/>
                                  <w:color w:val="202020"/>
                                  <w:sz w:val="24"/>
                                  <w:szCs w:val="24"/>
                                </w:rPr>
                                <w:t xml:space="preserve"> hosts an event on City Hall Plaza in Boston for veterans to take advantage of services and information resources. On September 6, the Commissioner, Chief of Staff Mauldin and a group of tax and child support experts from DOR offered their support at the Stand Down. If you know a veteran, tell them about it. What a great opportunity for veterans to learn about services, check in with experts – and enjoy lunch and entertainment. Of course, if a veteran has a question about child support or taxes, they can call a DOR </w:t>
                              </w:r>
                              <w:hyperlink r:id="rId8" w:history="1">
                                <w:r w:rsidRPr="0003351E">
                                  <w:rPr>
                                    <w:rFonts w:ascii="Georgia" w:eastAsia="Times New Roman" w:hAnsi="Georgia" w:cs="Helvetica"/>
                                    <w:color w:val="007C89"/>
                                    <w:sz w:val="24"/>
                                    <w:szCs w:val="24"/>
                                    <w:u w:val="single"/>
                                  </w:rPr>
                                  <w:t>contact center</w:t>
                                </w:r>
                              </w:hyperlink>
                              <w:r w:rsidRPr="0003351E">
                                <w:rPr>
                                  <w:rFonts w:ascii="Georgia" w:eastAsia="Times New Roman" w:hAnsi="Georgia" w:cs="Helvetica"/>
                                  <w:color w:val="202020"/>
                                  <w:sz w:val="24"/>
                                  <w:szCs w:val="24"/>
                                </w:rPr>
                                <w:t xml:space="preserve"> for assistance.</w:t>
                              </w:r>
                              <w:r w:rsidRPr="0003351E">
                                <w:rPr>
                                  <w:rFonts w:ascii="Georgia" w:eastAsia="Times New Roman" w:hAnsi="Georgia" w:cs="Helvetica"/>
                                  <w:color w:val="202020"/>
                                  <w:sz w:val="24"/>
                                  <w:szCs w:val="24"/>
                                </w:rPr>
                                <w:br/>
                                <w:t> </w:t>
                              </w:r>
                              <w:r w:rsidRPr="0003351E">
                                <w:rPr>
                                  <w:rFonts w:ascii="Georgia" w:eastAsia="Times New Roman" w:hAnsi="Georgia" w:cs="Helvetica"/>
                                  <w:color w:val="202020"/>
                                  <w:sz w:val="24"/>
                                  <w:szCs w:val="24"/>
                                </w:rPr>
                                <w:br/>
                              </w:r>
                              <w:r w:rsidRPr="0003351E">
                                <w:rPr>
                                  <w:rFonts w:ascii="Georgia" w:eastAsia="Times New Roman" w:hAnsi="Georgia" w:cs="Helvetica"/>
                                  <w:b/>
                                  <w:bCs/>
                                  <w:color w:val="202020"/>
                                  <w:sz w:val="24"/>
                                  <w:szCs w:val="24"/>
                                </w:rPr>
                                <w:t>Latest on the Paid Family and Medical Leave program</w:t>
                              </w:r>
                              <w:r w:rsidRPr="0003351E">
                                <w:rPr>
                                  <w:rFonts w:ascii="Georgia" w:eastAsia="Times New Roman" w:hAnsi="Georgia" w:cs="Helvetica"/>
                                  <w:color w:val="202020"/>
                                  <w:sz w:val="24"/>
                                  <w:szCs w:val="24"/>
                                </w:rPr>
                                <w:br/>
                                <w:t xml:space="preserve">If you aren’t signed up to receive information from the </w:t>
                              </w:r>
                              <w:hyperlink r:id="rId9" w:history="1">
                                <w:r w:rsidRPr="0003351E">
                                  <w:rPr>
                                    <w:rFonts w:ascii="Georgia" w:eastAsia="Times New Roman" w:hAnsi="Georgia" w:cs="Helvetica"/>
                                    <w:color w:val="007C89"/>
                                    <w:sz w:val="24"/>
                                    <w:szCs w:val="24"/>
                                    <w:u w:val="single"/>
                                  </w:rPr>
                                  <w:t>Department of Family and Medical Leave</w:t>
                                </w:r>
                              </w:hyperlink>
                              <w:r w:rsidRPr="0003351E">
                                <w:rPr>
                                  <w:rFonts w:ascii="Georgia" w:eastAsia="Times New Roman" w:hAnsi="Georgia" w:cs="Helvetica"/>
                                  <w:color w:val="202020"/>
                                  <w:sz w:val="24"/>
                                  <w:szCs w:val="24"/>
                                </w:rPr>
                                <w:t xml:space="preserve"> on the new state program, we strongly suggest doing that. It’s easy to </w:t>
                              </w:r>
                              <w:hyperlink r:id="rId10" w:history="1">
                                <w:r w:rsidRPr="0003351E">
                                  <w:rPr>
                                    <w:rFonts w:ascii="Georgia" w:eastAsia="Times New Roman" w:hAnsi="Georgia" w:cs="Helvetica"/>
                                    <w:color w:val="007C89"/>
                                    <w:sz w:val="24"/>
                                    <w:szCs w:val="24"/>
                                    <w:u w:val="single"/>
                                  </w:rPr>
                                  <w:t>sign up here</w:t>
                                </w:r>
                              </w:hyperlink>
                              <w:r w:rsidRPr="0003351E">
                                <w:rPr>
                                  <w:rFonts w:ascii="Georgia" w:eastAsia="Times New Roman" w:hAnsi="Georgia" w:cs="Helvetica"/>
                                  <w:color w:val="202020"/>
                                  <w:sz w:val="24"/>
                                  <w:szCs w:val="24"/>
                                </w:rPr>
                                <w:t xml:space="preserve">. They have some important </w:t>
                              </w:r>
                              <w:hyperlink r:id="rId11" w:anchor="counting-ma-1099-misc-contractors-as-covered-individuals-" w:history="1">
                                <w:r w:rsidRPr="0003351E">
                                  <w:rPr>
                                    <w:rFonts w:ascii="Georgia" w:eastAsia="Times New Roman" w:hAnsi="Georgia" w:cs="Helvetica"/>
                                    <w:color w:val="007C89"/>
                                    <w:sz w:val="24"/>
                                    <w:szCs w:val="24"/>
                                    <w:u w:val="single"/>
                                  </w:rPr>
                                  <w:t>guidance</w:t>
                                </w:r>
                              </w:hyperlink>
                              <w:r w:rsidRPr="0003351E">
                                <w:rPr>
                                  <w:rFonts w:ascii="Georgia" w:eastAsia="Times New Roman" w:hAnsi="Georgia" w:cs="Helvetica"/>
                                  <w:color w:val="202020"/>
                                  <w:sz w:val="24"/>
                                  <w:szCs w:val="24"/>
                                </w:rPr>
                                <w:t xml:space="preserve"> on when 1099-MISC workers should be included in a business’s workforce count totals and when they shouldn’t. As you know, DOR has a role in the new state program and you can find information on exemption requests, registration, contributions and payments </w:t>
                              </w:r>
                              <w:hyperlink r:id="rId12" w:history="1">
                                <w:r w:rsidRPr="0003351E">
                                  <w:rPr>
                                    <w:rFonts w:ascii="Georgia" w:eastAsia="Times New Roman" w:hAnsi="Georgia" w:cs="Helvetica"/>
                                    <w:color w:val="007C89"/>
                                    <w:sz w:val="24"/>
                                    <w:szCs w:val="24"/>
                                    <w:u w:val="single"/>
                                  </w:rPr>
                                  <w:t>here</w:t>
                                </w:r>
                              </w:hyperlink>
                              <w:r w:rsidRPr="0003351E">
                                <w:rPr>
                                  <w:rFonts w:ascii="Georgia" w:eastAsia="Times New Roman" w:hAnsi="Georgia" w:cs="Helvetica"/>
                                  <w:color w:val="202020"/>
                                  <w:sz w:val="24"/>
                                  <w:szCs w:val="24"/>
                                </w:rPr>
                                <w:t>.</w:t>
                              </w:r>
                              <w:r w:rsidRPr="0003351E">
                                <w:rPr>
                                  <w:rFonts w:ascii="Georgia" w:eastAsia="Times New Roman" w:hAnsi="Georgia" w:cs="Helvetica"/>
                                  <w:color w:val="202020"/>
                                  <w:sz w:val="24"/>
                                  <w:szCs w:val="24"/>
                                </w:rPr>
                                <w:br/>
                              </w:r>
                              <w:r w:rsidRPr="0003351E">
                                <w:rPr>
                                  <w:rFonts w:ascii="Georgia" w:eastAsia="Times New Roman" w:hAnsi="Georgia" w:cs="Helvetica"/>
                                  <w:color w:val="202020"/>
                                  <w:sz w:val="24"/>
                                  <w:szCs w:val="24"/>
                                </w:rPr>
                                <w:br/>
                              </w:r>
                              <w:r w:rsidRPr="0003351E">
                                <w:rPr>
                                  <w:rFonts w:ascii="Georgia" w:eastAsia="Times New Roman" w:hAnsi="Georgia" w:cs="Helvetica"/>
                                  <w:b/>
                                  <w:bCs/>
                                  <w:color w:val="202020"/>
                                  <w:sz w:val="24"/>
                                  <w:szCs w:val="24"/>
                                </w:rPr>
                                <w:t xml:space="preserve">Time to hit the books – </w:t>
                              </w:r>
                              <w:r w:rsidRPr="0003351E">
                                <w:rPr>
                                  <w:rFonts w:ascii="Georgia" w:eastAsia="Times New Roman" w:hAnsi="Georgia" w:cs="Helvetica"/>
                                  <w:b/>
                                  <w:bCs/>
                                  <w:i/>
                                  <w:iCs/>
                                  <w:color w:val="202020"/>
                                  <w:sz w:val="24"/>
                                  <w:szCs w:val="24"/>
                                </w:rPr>
                                <w:t>Tax School</w:t>
                              </w:r>
                              <w:r w:rsidRPr="0003351E">
                                <w:rPr>
                                  <w:rFonts w:ascii="Georgia" w:eastAsia="Times New Roman" w:hAnsi="Georgia" w:cs="Helvetica"/>
                                  <w:b/>
                                  <w:bCs/>
                                  <w:color w:val="202020"/>
                                  <w:sz w:val="24"/>
                                  <w:szCs w:val="24"/>
                                </w:rPr>
                                <w:t xml:space="preserve"> is back</w:t>
                              </w:r>
                              <w:r w:rsidRPr="0003351E">
                                <w:rPr>
                                  <w:rFonts w:ascii="Georgia" w:eastAsia="Times New Roman" w:hAnsi="Georgia" w:cs="Helvetica"/>
                                  <w:color w:val="202020"/>
                                  <w:sz w:val="24"/>
                                  <w:szCs w:val="24"/>
                                </w:rPr>
                                <w:br/>
                                <w:t xml:space="preserve">Send the kids off on the bus and plan your own curriculum – tax school is back. Dana Ackerman and Brian Lynch will be providing updates on the latest changes to tax laws and regulations. Practitioners will hear about any changes as they prepare for the upcoming filing season. Check out the schedule for the </w:t>
                              </w:r>
                              <w:hyperlink r:id="rId13" w:history="1">
                                <w:r w:rsidRPr="0003351E">
                                  <w:rPr>
                                    <w:rFonts w:ascii="Georgia" w:eastAsia="Times New Roman" w:hAnsi="Georgia" w:cs="Helvetica"/>
                                    <w:color w:val="007C89"/>
                                    <w:sz w:val="24"/>
                                    <w:szCs w:val="24"/>
                                    <w:u w:val="single"/>
                                  </w:rPr>
                                  <w:t>UMass Tax School for Practitioners</w:t>
                                </w:r>
                              </w:hyperlink>
                              <w:r w:rsidRPr="0003351E">
                                <w:rPr>
                                  <w:rFonts w:ascii="Georgia" w:eastAsia="Times New Roman" w:hAnsi="Georgia" w:cs="Helvetica"/>
                                  <w:color w:val="202020"/>
                                  <w:sz w:val="24"/>
                                  <w:szCs w:val="24"/>
                                </w:rPr>
                                <w:t xml:space="preserve">. You can also catch Brian and others at </w:t>
                              </w:r>
                              <w:hyperlink r:id="rId14" w:history="1">
                                <w:r w:rsidRPr="0003351E">
                                  <w:rPr>
                                    <w:rFonts w:ascii="Georgia" w:eastAsia="Times New Roman" w:hAnsi="Georgia" w:cs="Helvetica"/>
                                    <w:color w:val="007C89"/>
                                    <w:sz w:val="24"/>
                                    <w:szCs w:val="24"/>
                                    <w:u w:val="single"/>
                                  </w:rPr>
                                  <w:t>MAA’s New England Institute on Taxation</w:t>
                                </w:r>
                              </w:hyperlink>
                              <w:r w:rsidRPr="0003351E">
                                <w:rPr>
                                  <w:rFonts w:ascii="Georgia" w:eastAsia="Times New Roman" w:hAnsi="Georgia" w:cs="Helvetica"/>
                                  <w:color w:val="202020"/>
                                  <w:sz w:val="24"/>
                                  <w:szCs w:val="24"/>
                                </w:rPr>
                                <w:t xml:space="preserve"> where they will provide updates on short-term </w:t>
                              </w:r>
                              <w:r w:rsidRPr="0003351E">
                                <w:rPr>
                                  <w:rFonts w:ascii="Georgia" w:eastAsia="Times New Roman" w:hAnsi="Georgia" w:cs="Helvetica"/>
                                  <w:color w:val="202020"/>
                                  <w:sz w:val="24"/>
                                  <w:szCs w:val="24"/>
                                </w:rPr>
                                <w:lastRenderedPageBreak/>
                                <w:t>rentals, the paid family and medical leave program and tax season news.   </w:t>
                              </w:r>
                              <w:r w:rsidRPr="0003351E">
                                <w:rPr>
                                  <w:rFonts w:ascii="Georgia" w:eastAsia="Times New Roman" w:hAnsi="Georgia" w:cs="Helvetica"/>
                                  <w:color w:val="202020"/>
                                  <w:sz w:val="24"/>
                                  <w:szCs w:val="24"/>
                                </w:rPr>
                                <w:br/>
                              </w:r>
                              <w:r w:rsidRPr="0003351E">
                                <w:rPr>
                                  <w:rFonts w:ascii="Georgia" w:eastAsia="Times New Roman" w:hAnsi="Georgia" w:cs="Helvetica"/>
                                  <w:color w:val="202020"/>
                                  <w:sz w:val="24"/>
                                  <w:szCs w:val="24"/>
                                </w:rPr>
                                <w:br/>
                              </w:r>
                              <w:r w:rsidRPr="0003351E">
                                <w:rPr>
                                  <w:rFonts w:ascii="Georgia" w:eastAsia="Times New Roman" w:hAnsi="Georgia" w:cs="Helvetica"/>
                                  <w:b/>
                                  <w:bCs/>
                                  <w:color w:val="202020"/>
                                  <w:sz w:val="24"/>
                                  <w:szCs w:val="24"/>
                                </w:rPr>
                                <w:t>Reminder that the income tax extension deadline is October 15</w:t>
                              </w:r>
                              <w:r w:rsidRPr="0003351E">
                                <w:rPr>
                                  <w:rFonts w:ascii="Georgia" w:eastAsia="Times New Roman" w:hAnsi="Georgia" w:cs="Helvetica"/>
                                  <w:color w:val="202020"/>
                                  <w:sz w:val="24"/>
                                  <w:szCs w:val="24"/>
                                </w:rPr>
                                <w:br/>
                                <w:t xml:space="preserve">Six-month extensions are automatic provided that 80% of the income tax owed is paid by the April 17 deadline. Next month is the deadline for filing. The income tax return can be </w:t>
                              </w:r>
                              <w:hyperlink r:id="rId15" w:history="1">
                                <w:r w:rsidRPr="0003351E">
                                  <w:rPr>
                                    <w:rFonts w:ascii="Georgia" w:eastAsia="Times New Roman" w:hAnsi="Georgia" w:cs="Helvetica"/>
                                    <w:color w:val="007C89"/>
                                    <w:sz w:val="24"/>
                                    <w:szCs w:val="24"/>
                                    <w:u w:val="single"/>
                                  </w:rPr>
                                  <w:t>filed for free</w:t>
                                </w:r>
                              </w:hyperlink>
                              <w:r w:rsidRPr="0003351E">
                                <w:rPr>
                                  <w:rFonts w:ascii="Georgia" w:eastAsia="Times New Roman" w:hAnsi="Georgia" w:cs="Helvetica"/>
                                  <w:color w:val="202020"/>
                                  <w:sz w:val="24"/>
                                  <w:szCs w:val="24"/>
                                </w:rPr>
                                <w:t xml:space="preserve"> through commercially-available software or the Free Fillable forms offered by the Massachusetts Department of Revenue – or completed by a tax professional. Payment can easily be made through </w:t>
                              </w:r>
                              <w:hyperlink r:id="rId16" w:history="1">
                                <w:proofErr w:type="spellStart"/>
                                <w:r w:rsidRPr="0003351E">
                                  <w:rPr>
                                    <w:rFonts w:ascii="Georgia" w:eastAsia="Times New Roman" w:hAnsi="Georgia" w:cs="Helvetica"/>
                                    <w:color w:val="007C89"/>
                                    <w:sz w:val="24"/>
                                    <w:szCs w:val="24"/>
                                    <w:u w:val="single"/>
                                  </w:rPr>
                                  <w:t>MassTaxConnect</w:t>
                                </w:r>
                                <w:proofErr w:type="spellEnd"/>
                              </w:hyperlink>
                              <w:r w:rsidRPr="0003351E">
                                <w:rPr>
                                  <w:rFonts w:ascii="Georgia" w:eastAsia="Times New Roman" w:hAnsi="Georgia" w:cs="Helvetica"/>
                                  <w:color w:val="202020"/>
                                  <w:sz w:val="24"/>
                                  <w:szCs w:val="24"/>
                                </w:rPr>
                                <w:t>. If you don’t have the full payment now, pay as much as you can with the return. After receiving a bill, you can set up a payment plan. </w:t>
                              </w:r>
                              <w:r w:rsidRPr="0003351E">
                                <w:rPr>
                                  <w:rFonts w:ascii="Georgia" w:eastAsia="Times New Roman" w:hAnsi="Georgia" w:cs="Helvetica"/>
                                  <w:color w:val="202020"/>
                                  <w:sz w:val="24"/>
                                  <w:szCs w:val="24"/>
                                </w:rPr>
                                <w:br/>
                                <w:t> </w:t>
                              </w:r>
                              <w:r w:rsidRPr="0003351E">
                                <w:rPr>
                                  <w:rFonts w:ascii="Georgia" w:eastAsia="Times New Roman" w:hAnsi="Georgia" w:cs="Helvetica"/>
                                  <w:color w:val="202020"/>
                                  <w:sz w:val="24"/>
                                  <w:szCs w:val="24"/>
                                </w:rPr>
                                <w:br/>
                              </w:r>
                              <w:r w:rsidRPr="0003351E">
                                <w:rPr>
                                  <w:rFonts w:ascii="Georgia" w:eastAsia="Times New Roman" w:hAnsi="Georgia" w:cs="Helvetica"/>
                                  <w:b/>
                                  <w:bCs/>
                                  <w:color w:val="202020"/>
                                  <w:sz w:val="24"/>
                                  <w:szCs w:val="24"/>
                                </w:rPr>
                                <w:t>Out-of-state “remote” sellers will collect MA taxes as of October 1</w:t>
                              </w:r>
                              <w:r w:rsidRPr="0003351E">
                                <w:rPr>
                                  <w:rFonts w:ascii="Georgia" w:eastAsia="Times New Roman" w:hAnsi="Georgia" w:cs="Helvetica"/>
                                  <w:color w:val="202020"/>
                                  <w:sz w:val="24"/>
                                  <w:szCs w:val="24"/>
                                </w:rPr>
                                <w:br/>
                                <w:t xml:space="preserve">As of October 1, 2019, out-of-state, or remote, sellers will collect taxes on products and services that make their way to Massachusetts, provided their sales exceed $100,000 in a calendar year [a remote seller is located outside Massachusetts and sells product or services into the state].  Additionally, marketplace sellers must collect taxes on products sold through them into Massachusetts by vendors that use their services – if the total exceeds $100,000 in a calendar year. Check out the FAQs and guidance on the </w:t>
                              </w:r>
                              <w:hyperlink r:id="rId17" w:history="1">
                                <w:r w:rsidRPr="0003351E">
                                  <w:rPr>
                                    <w:rFonts w:ascii="Georgia" w:eastAsia="Times New Roman" w:hAnsi="Georgia" w:cs="Helvetica"/>
                                    <w:color w:val="007C89"/>
                                    <w:sz w:val="24"/>
                                    <w:szCs w:val="24"/>
                                    <w:u w:val="single"/>
                                  </w:rPr>
                                  <w:t>information page</w:t>
                                </w:r>
                              </w:hyperlink>
                              <w:r w:rsidRPr="0003351E">
                                <w:rPr>
                                  <w:rFonts w:ascii="Georgia" w:eastAsia="Times New Roman" w:hAnsi="Georgia" w:cs="Helvetica"/>
                                  <w:color w:val="202020"/>
                                  <w:sz w:val="24"/>
                                  <w:szCs w:val="24"/>
                                </w:rPr>
                                <w:t>.</w:t>
                              </w:r>
                              <w:r w:rsidRPr="0003351E">
                                <w:rPr>
                                  <w:rFonts w:ascii="Georgia" w:eastAsia="Times New Roman" w:hAnsi="Georgia" w:cs="Helvetica"/>
                                  <w:color w:val="202020"/>
                                  <w:sz w:val="24"/>
                                  <w:szCs w:val="24"/>
                                </w:rPr>
                                <w:br/>
                                <w:t> </w:t>
                              </w:r>
                              <w:r w:rsidRPr="0003351E">
                                <w:rPr>
                                  <w:rFonts w:ascii="Georgia" w:eastAsia="Times New Roman" w:hAnsi="Georgia" w:cs="Helvetica"/>
                                  <w:color w:val="202020"/>
                                  <w:sz w:val="24"/>
                                  <w:szCs w:val="24"/>
                                </w:rPr>
                                <w:br/>
                                <w:t xml:space="preserve">You can find previous </w:t>
                              </w:r>
                              <w:hyperlink r:id="rId18" w:history="1">
                                <w:r w:rsidRPr="0003351E">
                                  <w:rPr>
                                    <w:rFonts w:ascii="Georgia" w:eastAsia="Times New Roman" w:hAnsi="Georgia" w:cs="Helvetica"/>
                                    <w:color w:val="007C89"/>
                                    <w:sz w:val="24"/>
                                    <w:szCs w:val="24"/>
                                    <w:u w:val="single"/>
                                  </w:rPr>
                                  <w:t>DOR News</w:t>
                                </w:r>
                              </w:hyperlink>
                              <w:r w:rsidRPr="0003351E">
                                <w:rPr>
                                  <w:rFonts w:ascii="Georgia" w:eastAsia="Times New Roman" w:hAnsi="Georgia" w:cs="Helvetica"/>
                                  <w:color w:val="202020"/>
                                  <w:sz w:val="24"/>
                                  <w:szCs w:val="24"/>
                                </w:rPr>
                                <w:t xml:space="preserve"> on the DOR website.</w:t>
                              </w:r>
                              <w:r w:rsidRPr="0003351E">
                                <w:rPr>
                                  <w:rFonts w:ascii="Helvetica" w:eastAsia="Times New Roman" w:hAnsi="Helvetica" w:cs="Helvetica"/>
                                  <w:color w:val="202020"/>
                                  <w:sz w:val="24"/>
                                  <w:szCs w:val="24"/>
                                </w:rPr>
                                <w:br/>
                                <w:t> </w:t>
                              </w:r>
                            </w:p>
                          </w:tc>
                        </w:tr>
                      </w:tbl>
                      <w:p w:rsidR="0003351E" w:rsidRPr="0003351E" w:rsidRDefault="0003351E" w:rsidP="0003351E">
                        <w:pPr>
                          <w:spacing w:after="0" w:line="240" w:lineRule="auto"/>
                          <w:rPr>
                            <w:rFonts w:ascii="Times New Roman" w:eastAsia="Times New Roman" w:hAnsi="Times New Roman" w:cs="Times New Roman"/>
                            <w:sz w:val="24"/>
                            <w:szCs w:val="24"/>
                          </w:rPr>
                        </w:pPr>
                      </w:p>
                    </w:tc>
                  </w:tr>
                </w:tbl>
                <w:p w:rsidR="0003351E" w:rsidRPr="0003351E" w:rsidRDefault="0003351E" w:rsidP="0003351E">
                  <w:pPr>
                    <w:spacing w:after="0" w:line="240" w:lineRule="auto"/>
                    <w:rPr>
                      <w:rFonts w:ascii="Times New Roman" w:eastAsia="Times New Roman" w:hAnsi="Times New Roman" w:cs="Times New Roman"/>
                      <w:sz w:val="24"/>
                      <w:szCs w:val="24"/>
                    </w:rPr>
                  </w:pPr>
                </w:p>
              </w:tc>
            </w:tr>
          </w:tbl>
          <w:p w:rsidR="0003351E" w:rsidRPr="0003351E" w:rsidRDefault="0003351E" w:rsidP="0003351E">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800"/>
            </w:tblGrid>
            <w:tr w:rsidR="0003351E" w:rsidRPr="0003351E">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4"/>
                    <w:gridCol w:w="10786"/>
                  </w:tblGrid>
                  <w:tr w:rsidR="0003351E" w:rsidRPr="0003351E">
                    <w:trPr>
                      <w:jc w:val="center"/>
                    </w:trPr>
                    <w:tc>
                      <w:tcPr>
                        <w:tcW w:w="0" w:type="auto"/>
                        <w:hideMark/>
                      </w:tcPr>
                      <w:p w:rsidR="0003351E" w:rsidRPr="0003351E" w:rsidRDefault="0003351E" w:rsidP="0003351E">
                        <w:pPr>
                          <w:spacing w:after="0" w:line="240" w:lineRule="auto"/>
                          <w:rPr>
                            <w:rFonts w:ascii="Times New Roman" w:eastAsia="Times New Roman" w:hAnsi="Times New Roman" w:cs="Times New Roman"/>
                            <w:sz w:val="24"/>
                            <w:szCs w:val="24"/>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786"/>
                        </w:tblGrid>
                        <w:tr w:rsidR="0003351E" w:rsidRPr="0003351E">
                          <w:tc>
                            <w:tcPr>
                              <w:tcW w:w="0" w:type="auto"/>
                              <w:tcMar>
                                <w:top w:w="135" w:type="dxa"/>
                                <w:left w:w="270" w:type="dxa"/>
                                <w:bottom w:w="135" w:type="dxa"/>
                                <w:right w:w="270" w:type="dxa"/>
                              </w:tcMar>
                              <w:vAlign w:val="center"/>
                              <w:hideMark/>
                            </w:tcPr>
                            <w:tbl>
                              <w:tblPr>
                                <w:tblW w:w="5000" w:type="pct"/>
                                <w:shd w:val="clear" w:color="auto" w:fill="1A7097"/>
                                <w:tblCellMar>
                                  <w:top w:w="15" w:type="dxa"/>
                                  <w:left w:w="15" w:type="dxa"/>
                                  <w:bottom w:w="15" w:type="dxa"/>
                                  <w:right w:w="15" w:type="dxa"/>
                                </w:tblCellMar>
                                <w:tblLook w:val="04A0" w:firstRow="1" w:lastRow="0" w:firstColumn="1" w:lastColumn="0" w:noHBand="0" w:noVBand="1"/>
                              </w:tblPr>
                              <w:tblGrid>
                                <w:gridCol w:w="10246"/>
                              </w:tblGrid>
                              <w:tr w:rsidR="0003351E" w:rsidRPr="0003351E">
                                <w:tc>
                                  <w:tcPr>
                                    <w:tcW w:w="0" w:type="auto"/>
                                    <w:shd w:val="clear" w:color="auto" w:fill="1A7097"/>
                                    <w:tcMar>
                                      <w:top w:w="270" w:type="dxa"/>
                                      <w:left w:w="270" w:type="dxa"/>
                                      <w:bottom w:w="270" w:type="dxa"/>
                                      <w:right w:w="270" w:type="dxa"/>
                                    </w:tcMar>
                                    <w:hideMark/>
                                  </w:tcPr>
                                  <w:p w:rsidR="0003351E" w:rsidRPr="0003351E" w:rsidRDefault="0003351E" w:rsidP="0003351E">
                                    <w:pPr>
                                      <w:spacing w:after="0" w:line="360" w:lineRule="auto"/>
                                      <w:jc w:val="center"/>
                                      <w:rPr>
                                        <w:rFonts w:ascii="Helvetica" w:eastAsia="Times New Roman" w:hAnsi="Helvetica" w:cs="Helvetica"/>
                                        <w:color w:val="F2F2F2"/>
                                        <w:sz w:val="21"/>
                                        <w:szCs w:val="21"/>
                                      </w:rPr>
                                    </w:pPr>
                                    <w:r w:rsidRPr="0003351E">
                                      <w:rPr>
                                        <w:rFonts w:ascii="Helvetica" w:eastAsia="Times New Roman" w:hAnsi="Helvetica" w:cs="Helvetica"/>
                                        <w:b/>
                                        <w:bCs/>
                                        <w:color w:val="F2F2F2"/>
                                        <w:sz w:val="27"/>
                                        <w:szCs w:val="27"/>
                                      </w:rPr>
                                      <w:t>DOR News - September 2019</w:t>
                                    </w:r>
                                    <w:r w:rsidRPr="0003351E">
                                      <w:rPr>
                                        <w:rFonts w:ascii="Helvetica" w:eastAsia="Times New Roman" w:hAnsi="Helvetica" w:cs="Helvetica"/>
                                        <w:color w:val="F2F2F2"/>
                                        <w:sz w:val="21"/>
                                        <w:szCs w:val="21"/>
                                      </w:rPr>
                                      <w:t xml:space="preserve"> </w:t>
                                    </w:r>
                                  </w:p>
                                </w:tc>
                              </w:tr>
                            </w:tbl>
                            <w:p w:rsidR="0003351E" w:rsidRPr="0003351E" w:rsidRDefault="0003351E" w:rsidP="0003351E">
                              <w:pPr>
                                <w:spacing w:after="0" w:line="240" w:lineRule="auto"/>
                                <w:rPr>
                                  <w:rFonts w:ascii="Times New Roman" w:eastAsia="Times New Roman" w:hAnsi="Times New Roman" w:cs="Times New Roman"/>
                                  <w:sz w:val="24"/>
                                  <w:szCs w:val="24"/>
                                </w:rPr>
                              </w:pPr>
                            </w:p>
                          </w:tc>
                        </w:tr>
                      </w:tbl>
                      <w:p w:rsidR="0003351E" w:rsidRPr="0003351E" w:rsidRDefault="0003351E" w:rsidP="0003351E">
                        <w:pPr>
                          <w:spacing w:after="0" w:line="240" w:lineRule="auto"/>
                          <w:jc w:val="center"/>
                          <w:rPr>
                            <w:rFonts w:ascii="Times New Roman" w:eastAsia="Times New Roman" w:hAnsi="Times New Roman" w:cs="Times New Roman"/>
                            <w:sz w:val="24"/>
                            <w:szCs w:val="24"/>
                          </w:rPr>
                        </w:pPr>
                      </w:p>
                    </w:tc>
                  </w:tr>
                </w:tbl>
                <w:p w:rsidR="0003351E" w:rsidRPr="0003351E" w:rsidRDefault="0003351E" w:rsidP="0003351E">
                  <w:pPr>
                    <w:spacing w:after="0" w:line="240" w:lineRule="auto"/>
                    <w:rPr>
                      <w:rFonts w:ascii="Times New Roman" w:eastAsia="Times New Roman" w:hAnsi="Times New Roman" w:cs="Times New Roman"/>
                      <w:sz w:val="24"/>
                      <w:szCs w:val="24"/>
                    </w:rPr>
                  </w:pPr>
                </w:p>
              </w:tc>
            </w:tr>
          </w:tbl>
          <w:p w:rsidR="0003351E" w:rsidRPr="0003351E" w:rsidRDefault="0003351E" w:rsidP="0003351E">
            <w:pPr>
              <w:spacing w:after="0" w:line="240" w:lineRule="auto"/>
              <w:rPr>
                <w:rFonts w:ascii="Times New Roman" w:eastAsia="Times New Roman" w:hAnsi="Times New Roman" w:cs="Times New Roman"/>
                <w:sz w:val="24"/>
                <w:szCs w:val="24"/>
              </w:rPr>
            </w:pPr>
          </w:p>
        </w:tc>
      </w:tr>
    </w:tbl>
    <w:p w:rsidR="00C6700F" w:rsidRDefault="00C6700F"/>
    <w:sectPr w:rsidR="00C6700F" w:rsidSect="000335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1E"/>
    <w:rsid w:val="0003351E"/>
    <w:rsid w:val="002D5B13"/>
    <w:rsid w:val="00C6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351E"/>
    <w:rPr>
      <w:b/>
      <w:bCs/>
    </w:rPr>
  </w:style>
  <w:style w:type="character" w:styleId="Emphasis">
    <w:name w:val="Emphasis"/>
    <w:basedOn w:val="DefaultParagraphFont"/>
    <w:uiPriority w:val="20"/>
    <w:qFormat/>
    <w:rsid w:val="0003351E"/>
    <w:rPr>
      <w:i/>
      <w:iCs/>
    </w:rPr>
  </w:style>
  <w:style w:type="paragraph" w:styleId="BalloonText">
    <w:name w:val="Balloon Text"/>
    <w:basedOn w:val="Normal"/>
    <w:link w:val="BalloonTextChar"/>
    <w:uiPriority w:val="99"/>
    <w:semiHidden/>
    <w:unhideWhenUsed/>
    <w:rsid w:val="00033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5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351E"/>
    <w:rPr>
      <w:b/>
      <w:bCs/>
    </w:rPr>
  </w:style>
  <w:style w:type="character" w:styleId="Emphasis">
    <w:name w:val="Emphasis"/>
    <w:basedOn w:val="DefaultParagraphFont"/>
    <w:uiPriority w:val="20"/>
    <w:qFormat/>
    <w:rsid w:val="0003351E"/>
    <w:rPr>
      <w:i/>
      <w:iCs/>
    </w:rPr>
  </w:style>
  <w:style w:type="paragraph" w:styleId="BalloonText">
    <w:name w:val="Balloon Text"/>
    <w:basedOn w:val="Normal"/>
    <w:link w:val="BalloonTextChar"/>
    <w:uiPriority w:val="99"/>
    <w:semiHidden/>
    <w:unhideWhenUsed/>
    <w:rsid w:val="00033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dor-contact-us" TargetMode="External"/><Relationship Id="rId13" Type="http://schemas.openxmlformats.org/officeDocument/2006/relationships/hyperlink" Target="https://www.umass.edu/resec/taxschool" TargetMode="External"/><Relationship Id="rId18" Type="http://schemas.openxmlformats.org/officeDocument/2006/relationships/hyperlink" Target="https://www.mass.gov/lists/dor-news" TargetMode="External"/><Relationship Id="rId3" Type="http://schemas.openxmlformats.org/officeDocument/2006/relationships/settings" Target="settings.xml"/><Relationship Id="rId7" Type="http://schemas.openxmlformats.org/officeDocument/2006/relationships/hyperlink" Target="https://www.nechv.org/" TargetMode="External"/><Relationship Id="rId12" Type="http://schemas.openxmlformats.org/officeDocument/2006/relationships/hyperlink" Target="https://www.mass.gov/info-details/paid-family-and-medical-leave-exemption-requests-registration-contributions-and" TargetMode="External"/><Relationship Id="rId17" Type="http://schemas.openxmlformats.org/officeDocument/2006/relationships/hyperlink" Target="https://www.mass.gov/info-details/remote-seller-and-marketplace-facilitator-faqs" TargetMode="External"/><Relationship Id="rId2" Type="http://schemas.microsoft.com/office/2007/relationships/stylesWithEffects" Target="stylesWithEffects.xml"/><Relationship Id="rId16" Type="http://schemas.openxmlformats.org/officeDocument/2006/relationships/hyperlink" Target="https://mtc.dor.state.ma.us/mtc/_/"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mass.gov/info-details/whos-a-covered-individual-under-the-pfml-law" TargetMode="External"/><Relationship Id="rId5" Type="http://schemas.openxmlformats.org/officeDocument/2006/relationships/image" Target="media/image1.jpeg"/><Relationship Id="rId15" Type="http://schemas.openxmlformats.org/officeDocument/2006/relationships/hyperlink" Target="https://www.mass.gov/how-to/explore-filing-options-for-massachusetts-personal-income-tax-returns" TargetMode="External"/><Relationship Id="rId10" Type="http://schemas.openxmlformats.org/officeDocument/2006/relationships/hyperlink" Target="https://mass.us18.list-manage.com/subscribe?u=0757f7959581770082e8f2fd9&amp;id=c088ecb18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ss.gov/orgs/department-of-family-and-medical-leave" TargetMode="External"/><Relationship Id="rId14" Type="http://schemas.openxmlformats.org/officeDocument/2006/relationships/hyperlink" Target="http://www.maacct.org/ma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Administration &amp; Finance Information Technology</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Cummings</dc:creator>
  <cp:lastModifiedBy>Ellen Cummings</cp:lastModifiedBy>
  <cp:revision>2</cp:revision>
  <dcterms:created xsi:type="dcterms:W3CDTF">2019-09-19T17:47:00Z</dcterms:created>
  <dcterms:modified xsi:type="dcterms:W3CDTF">2019-09-19T17:47:00Z</dcterms:modified>
</cp:coreProperties>
</file>