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67387D64">
            <wp:extent cx="962025" cy="1152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40429A24" w:rsidR="009908FF" w:rsidRDefault="00201B41" w:rsidP="0072610D">
      <w:r>
        <w:rPr>
          <w:noProof/>
        </w:rPr>
        <mc:AlternateContent>
          <mc:Choice Requires="wps">
            <w:drawing>
              <wp:anchor distT="0" distB="0" distL="114300" distR="114300" simplePos="0" relativeHeight="251658240" behindDoc="0" locked="0" layoutInCell="1" allowOverlap="1" wp14:anchorId="5CC856F6" wp14:editId="7D2F54E5">
                <wp:simplePos x="0" y="0"/>
                <wp:positionH relativeFrom="column">
                  <wp:posOffset>-620395</wp:posOffset>
                </wp:positionH>
                <wp:positionV relativeFrom="paragraph">
                  <wp:posOffset>622300</wp:posOffset>
                </wp:positionV>
                <wp:extent cx="1572895" cy="802005"/>
                <wp:effectExtent l="0" t="0" r="8255"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_x0000_s1026" type="#_x0000_t202" alt="&quot;&quot;" style="position:absolute;margin-left:-48.85pt;margin-top:49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0B7D96">
        <w:rPr>
          <w:noProof/>
        </w:rPr>
        <mc:AlternateContent>
          <mc:Choice Requires="wps">
            <w:drawing>
              <wp:anchor distT="0" distB="0" distL="114300" distR="114300" simplePos="0" relativeHeight="251658241" behindDoc="0" locked="0" layoutInCell="1" allowOverlap="1" wp14:anchorId="593B8E20" wp14:editId="1BD8C0CA">
                <wp:simplePos x="0" y="0"/>
                <wp:positionH relativeFrom="column">
                  <wp:posOffset>5122545</wp:posOffset>
                </wp:positionH>
                <wp:positionV relativeFrom="paragraph">
                  <wp:posOffset>431800</wp:posOffset>
                </wp:positionV>
                <wp:extent cx="1814195" cy="1136015"/>
                <wp:effectExtent l="0" t="0" r="0" b="698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alt="&quot;&quot;" style="position:absolute;margin-left:403.35pt;margin-top:34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2FB33466" w14:textId="77777777" w:rsidR="00033154" w:rsidRPr="00B86DA4" w:rsidRDefault="00033154" w:rsidP="0072610D">
      <w:pPr>
        <w:rPr>
          <w:rFonts w:ascii="Arial" w:hAnsi="Arial" w:cs="Arial"/>
          <w:szCs w:val="24"/>
        </w:rPr>
      </w:pPr>
    </w:p>
    <w:p w14:paraId="0EE1C356" w14:textId="5C446308" w:rsidR="00B86DA4" w:rsidRPr="000B66E6" w:rsidRDefault="001C39F8" w:rsidP="00827A0D">
      <w:pPr>
        <w:jc w:val="center"/>
        <w:rPr>
          <w:rFonts w:ascii="Arial" w:hAnsi="Arial" w:cs="Arial"/>
          <w:b/>
          <w:bCs/>
          <w:sz w:val="26"/>
          <w:szCs w:val="26"/>
        </w:rPr>
      </w:pPr>
      <w:r w:rsidRPr="000B66E6">
        <w:rPr>
          <w:rFonts w:ascii="Arial" w:hAnsi="Arial" w:cs="Arial"/>
          <w:b/>
          <w:bCs/>
          <w:sz w:val="26"/>
          <w:szCs w:val="26"/>
        </w:rPr>
        <w:t>C</w:t>
      </w:r>
      <w:r w:rsidR="00B86DA4" w:rsidRPr="000B66E6">
        <w:rPr>
          <w:rFonts w:ascii="Arial" w:hAnsi="Arial" w:cs="Arial"/>
          <w:b/>
          <w:bCs/>
          <w:sz w:val="26"/>
          <w:szCs w:val="26"/>
        </w:rPr>
        <w:t>LINICAL ADVISORY:</w:t>
      </w:r>
    </w:p>
    <w:p w14:paraId="7B2E9928" w14:textId="36FF8BA1" w:rsidR="00BE1162" w:rsidRDefault="001C39F8" w:rsidP="00BE1162">
      <w:pPr>
        <w:jc w:val="center"/>
        <w:rPr>
          <w:rFonts w:ascii="Arial" w:hAnsi="Arial" w:cs="Arial"/>
          <w:b/>
          <w:bCs/>
          <w:sz w:val="26"/>
          <w:szCs w:val="26"/>
        </w:rPr>
      </w:pPr>
      <w:r w:rsidRPr="000B66E6">
        <w:rPr>
          <w:rFonts w:ascii="Arial" w:hAnsi="Arial" w:cs="Arial"/>
          <w:b/>
          <w:bCs/>
          <w:sz w:val="26"/>
          <w:szCs w:val="26"/>
        </w:rPr>
        <w:t xml:space="preserve">Doxycycline Post-Exposure Prophylaxis (PEP) for </w:t>
      </w:r>
    </w:p>
    <w:p w14:paraId="4C994361" w14:textId="33AFD296" w:rsidR="001C39F8" w:rsidRPr="000B66E6" w:rsidRDefault="001C39F8" w:rsidP="001C39F8">
      <w:pPr>
        <w:jc w:val="center"/>
        <w:rPr>
          <w:rFonts w:ascii="Arial" w:hAnsi="Arial" w:cs="Arial"/>
          <w:b/>
          <w:bCs/>
          <w:sz w:val="26"/>
          <w:szCs w:val="26"/>
        </w:rPr>
      </w:pPr>
      <w:r w:rsidRPr="000B66E6">
        <w:rPr>
          <w:rFonts w:ascii="Arial" w:hAnsi="Arial" w:cs="Arial"/>
          <w:b/>
          <w:bCs/>
          <w:sz w:val="26"/>
          <w:szCs w:val="26"/>
        </w:rPr>
        <w:t>Prevention of Bacterial Sexually Transmitted Infections (STIs)</w:t>
      </w:r>
    </w:p>
    <w:p w14:paraId="2EBAAB65" w14:textId="01FA827C" w:rsidR="001C39F8" w:rsidRDefault="001C39F8" w:rsidP="001C39F8">
      <w:pPr>
        <w:jc w:val="center"/>
        <w:rPr>
          <w:rFonts w:ascii="Arial" w:hAnsi="Arial" w:cs="Arial"/>
          <w:b/>
          <w:bCs/>
          <w:sz w:val="26"/>
          <w:szCs w:val="26"/>
        </w:rPr>
      </w:pPr>
      <w:r w:rsidRPr="0727A4F3">
        <w:rPr>
          <w:rFonts w:ascii="Arial" w:hAnsi="Arial" w:cs="Arial"/>
          <w:b/>
          <w:bCs/>
          <w:sz w:val="26"/>
          <w:szCs w:val="26"/>
        </w:rPr>
        <w:t xml:space="preserve">June </w:t>
      </w:r>
      <w:r w:rsidR="002D3294">
        <w:rPr>
          <w:rFonts w:ascii="Arial" w:hAnsi="Arial" w:cs="Arial"/>
          <w:b/>
          <w:bCs/>
          <w:sz w:val="26"/>
          <w:szCs w:val="26"/>
        </w:rPr>
        <w:t>5</w:t>
      </w:r>
      <w:r w:rsidRPr="0727A4F3">
        <w:rPr>
          <w:rFonts w:ascii="Arial" w:hAnsi="Arial" w:cs="Arial"/>
          <w:b/>
          <w:bCs/>
          <w:sz w:val="26"/>
          <w:szCs w:val="26"/>
        </w:rPr>
        <w:t>, 2024</w:t>
      </w:r>
    </w:p>
    <w:p w14:paraId="786C911A" w14:textId="77777777" w:rsidR="00727521" w:rsidRPr="000B66E6" w:rsidRDefault="00727521" w:rsidP="001C39F8">
      <w:pPr>
        <w:jc w:val="center"/>
        <w:rPr>
          <w:rFonts w:ascii="Arial" w:hAnsi="Arial" w:cs="Arial"/>
          <w:b/>
          <w:bCs/>
          <w:sz w:val="26"/>
          <w:szCs w:val="26"/>
        </w:rPr>
      </w:pPr>
    </w:p>
    <w:p w14:paraId="4A4DFC49" w14:textId="58CB5024" w:rsidR="001C39F8" w:rsidRPr="000B66E6" w:rsidRDefault="001C39F8" w:rsidP="0727A4F3">
      <w:pPr>
        <w:rPr>
          <w:rFonts w:ascii="Arial" w:hAnsi="Arial" w:cs="Arial"/>
          <w:sz w:val="22"/>
          <w:szCs w:val="22"/>
        </w:rPr>
      </w:pPr>
      <w:r>
        <w:rPr>
          <w:noProof/>
        </w:rPr>
        <mc:AlternateContent>
          <mc:Choice Requires="wps">
            <w:drawing>
              <wp:inline distT="45720" distB="45720" distL="114300" distR="114300" wp14:anchorId="0BCA1EB8" wp14:editId="218BE2B5">
                <wp:extent cx="6372225" cy="2028825"/>
                <wp:effectExtent l="0" t="0" r="28575" b="28575"/>
                <wp:docPr id="426348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028825"/>
                        </a:xfrm>
                        <a:prstGeom prst="rect">
                          <a:avLst/>
                        </a:prstGeom>
                        <a:solidFill>
                          <a:srgbClr val="FFFFFF"/>
                        </a:solidFill>
                        <a:ln w="9525">
                          <a:solidFill>
                            <a:srgbClr val="000000"/>
                          </a:solidFill>
                          <a:miter lim="800000"/>
                          <a:headEnd/>
                          <a:tailEnd/>
                        </a:ln>
                      </wps:spPr>
                      <wps:txbx>
                        <w:txbxContent>
                          <w:p w14:paraId="32E561AF" w14:textId="17FC64E0" w:rsidR="001C39F8" w:rsidRPr="00B86DA4" w:rsidRDefault="001C39F8" w:rsidP="001C39F8">
                            <w:pPr>
                              <w:pStyle w:val="ListParagraph"/>
                              <w:numPr>
                                <w:ilvl w:val="0"/>
                                <w:numId w:val="1"/>
                              </w:numPr>
                              <w:spacing w:after="120"/>
                              <w:ind w:left="360"/>
                              <w:contextualSpacing w:val="0"/>
                              <w:rPr>
                                <w:rFonts w:ascii="Arial" w:hAnsi="Arial" w:cs="Arial"/>
                              </w:rPr>
                            </w:pPr>
                            <w:r w:rsidRPr="00B86DA4">
                              <w:rPr>
                                <w:rFonts w:ascii="Arial" w:eastAsiaTheme="minorEastAsia" w:hAnsi="Arial" w:cs="Arial"/>
                              </w:rPr>
                              <w:t xml:space="preserve">Doxycycline 200 mg taken orally within 24-72 hours of condomless sex (doxycycline PEP) has been shown in randomized clinical trials and real-world settings to reduce acquisition of syphilis and chlamydia, and to a lesser extent, gonorrhea, among men who have sex with men (MSM) and transgender women with a recent history of these infections. </w:t>
                            </w:r>
                          </w:p>
                          <w:p w14:paraId="24E14806" w14:textId="27AFFAD7" w:rsidR="001C39F8" w:rsidRPr="00B86DA4" w:rsidRDefault="001C39F8" w:rsidP="001C39F8">
                            <w:pPr>
                              <w:pStyle w:val="ListParagraph"/>
                              <w:numPr>
                                <w:ilvl w:val="0"/>
                                <w:numId w:val="1"/>
                              </w:numPr>
                              <w:spacing w:after="120"/>
                              <w:ind w:left="360"/>
                              <w:contextualSpacing w:val="0"/>
                              <w:rPr>
                                <w:rFonts w:ascii="Arial" w:hAnsi="Arial" w:cs="Arial"/>
                              </w:rPr>
                            </w:pPr>
                            <w:r w:rsidRPr="00B86DA4">
                              <w:rPr>
                                <w:rFonts w:ascii="Arial" w:eastAsiaTheme="minorEastAsia" w:hAnsi="Arial" w:cs="Arial"/>
                              </w:rPr>
                              <w:t xml:space="preserve">To prevent further infections, </w:t>
                            </w:r>
                            <w:r w:rsidR="00B3060B">
                              <w:rPr>
                                <w:rFonts w:ascii="Arial" w:eastAsiaTheme="minorEastAsia" w:hAnsi="Arial" w:cs="Arial"/>
                              </w:rPr>
                              <w:t xml:space="preserve">the </w:t>
                            </w:r>
                            <w:r w:rsidRPr="00B86DA4">
                              <w:rPr>
                                <w:rFonts w:ascii="Arial" w:eastAsiaTheme="minorEastAsia" w:hAnsi="Arial" w:cs="Arial"/>
                              </w:rPr>
                              <w:t xml:space="preserve">Massachusetts Department of Public Health (MDPH) recommends providers offer doxycycline PEP to cis-gender MSM and transgender women who have a history of chlamydia, gonorrhea, or syphilis in the prior year, and prescribe medication ahead of episodic risk.  </w:t>
                            </w:r>
                          </w:p>
                          <w:p w14:paraId="75629E58" w14:textId="371162FE" w:rsidR="001C39F8" w:rsidRPr="00B86DA4" w:rsidRDefault="001C39F8" w:rsidP="000B66E6">
                            <w:pPr>
                              <w:pStyle w:val="ListParagraph"/>
                              <w:numPr>
                                <w:ilvl w:val="0"/>
                                <w:numId w:val="1"/>
                              </w:numPr>
                              <w:spacing w:after="0"/>
                              <w:ind w:left="360"/>
                              <w:contextualSpacing w:val="0"/>
                              <w:rPr>
                                <w:rFonts w:ascii="Arial" w:hAnsi="Arial" w:cs="Arial"/>
                              </w:rPr>
                            </w:pPr>
                            <w:r w:rsidRPr="000B66E6">
                              <w:rPr>
                                <w:rFonts w:ascii="Arial" w:eastAsiaTheme="minorEastAsia" w:hAnsi="Arial" w:cs="Arial"/>
                              </w:rPr>
                              <w:t>Providers should discuss effectiveness, benefits, and risks of doxycycline PEP, as well as other options to prevent STIs with patients at risk.</w:t>
                            </w:r>
                          </w:p>
                        </w:txbxContent>
                      </wps:txbx>
                      <wps:bodyPr rot="0" vert="horz" wrap="square" lIns="91440" tIns="45720" rIns="91440" bIns="45720" anchor="t" anchorCtr="0">
                        <a:noAutofit/>
                      </wps:bodyPr>
                    </wps:wsp>
                  </a:graphicData>
                </a:graphic>
              </wp:inline>
            </w:drawing>
          </mc:Choice>
          <mc:Fallback>
            <w:pict>
              <v:shape w14:anchorId="0BCA1EB8" id="Text Box 2" o:spid="_x0000_s1028" type="#_x0000_t202" style="width:501.7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">
                <v:textbox>
                  <w:txbxContent>
                    <w:p w14:paraId="32E561AF" w14:textId="17FC64E0" w:rsidR="001C39F8" w:rsidRPr="00B86DA4" w:rsidRDefault="001C39F8" w:rsidP="001C39F8">
                      <w:pPr>
                        <w:pStyle w:val="ListParagraph"/>
                        <w:numPr>
                          <w:ilvl w:val="0"/>
                          <w:numId w:val="1"/>
                        </w:numPr>
                        <w:spacing w:after="120"/>
                        <w:ind w:left="360"/>
                        <w:contextualSpacing w:val="0"/>
                        <w:rPr>
                          <w:rFonts w:ascii="Arial" w:hAnsi="Arial" w:cs="Arial"/>
                        </w:rPr>
                      </w:pPr>
                      <w:r w:rsidRPr="00B86DA4">
                        <w:rPr>
                          <w:rFonts w:ascii="Arial" w:eastAsiaTheme="minorEastAsia" w:hAnsi="Arial" w:cs="Arial"/>
                        </w:rPr>
                        <w:t xml:space="preserve">Doxycycline 200 mg taken orally within 24-72 hours of condomless sex (doxycycline PEP) has been shown in randomized clinical trials and real-world settings to reduce acquisition of syphilis and chlamydia, and to a lesser extent, gonorrhea, among men who have sex with men (MSM) and transgender women with a recent history of these infections. </w:t>
                      </w:r>
                    </w:p>
                    <w:p w14:paraId="24E14806" w14:textId="27AFFAD7" w:rsidR="001C39F8" w:rsidRPr="00B86DA4" w:rsidRDefault="001C39F8" w:rsidP="001C39F8">
                      <w:pPr>
                        <w:pStyle w:val="ListParagraph"/>
                        <w:numPr>
                          <w:ilvl w:val="0"/>
                          <w:numId w:val="1"/>
                        </w:numPr>
                        <w:spacing w:after="120"/>
                        <w:ind w:left="360"/>
                        <w:contextualSpacing w:val="0"/>
                        <w:rPr>
                          <w:rFonts w:ascii="Arial" w:hAnsi="Arial" w:cs="Arial"/>
                        </w:rPr>
                      </w:pPr>
                      <w:r w:rsidRPr="00B86DA4">
                        <w:rPr>
                          <w:rFonts w:ascii="Arial" w:eastAsiaTheme="minorEastAsia" w:hAnsi="Arial" w:cs="Arial"/>
                        </w:rPr>
                        <w:t xml:space="preserve">To prevent further infections, </w:t>
                      </w:r>
                      <w:r w:rsidR="00B3060B">
                        <w:rPr>
                          <w:rFonts w:ascii="Arial" w:eastAsiaTheme="minorEastAsia" w:hAnsi="Arial" w:cs="Arial"/>
                        </w:rPr>
                        <w:t xml:space="preserve">the </w:t>
                      </w:r>
                      <w:r w:rsidRPr="00B86DA4">
                        <w:rPr>
                          <w:rFonts w:ascii="Arial" w:eastAsiaTheme="minorEastAsia" w:hAnsi="Arial" w:cs="Arial"/>
                        </w:rPr>
                        <w:t xml:space="preserve">Massachusetts Department of Public Health (MDPH) recommends providers offer doxycycline PEP to cis-gender MSM and transgender women who have a history of chlamydia, gonorrhea, or syphilis in the prior year, and prescribe medication ahead of episodic risk.  </w:t>
                      </w:r>
                    </w:p>
                    <w:p w14:paraId="75629E58" w14:textId="371162FE" w:rsidR="001C39F8" w:rsidRPr="00B86DA4" w:rsidRDefault="001C39F8" w:rsidP="000B66E6">
                      <w:pPr>
                        <w:pStyle w:val="ListParagraph"/>
                        <w:numPr>
                          <w:ilvl w:val="0"/>
                          <w:numId w:val="1"/>
                        </w:numPr>
                        <w:spacing w:after="0"/>
                        <w:ind w:left="360"/>
                        <w:contextualSpacing w:val="0"/>
                        <w:rPr>
                          <w:rFonts w:ascii="Arial" w:hAnsi="Arial" w:cs="Arial"/>
                        </w:rPr>
                      </w:pPr>
                      <w:r w:rsidRPr="000B66E6">
                        <w:rPr>
                          <w:rFonts w:ascii="Arial" w:eastAsiaTheme="minorEastAsia" w:hAnsi="Arial" w:cs="Arial"/>
                        </w:rPr>
                        <w:t>Providers should discuss effectiveness, benefits, and risks of doxycycline PEP, as well as other options to prevent STIs with patients at risk.</w:t>
                      </w:r>
                    </w:p>
                  </w:txbxContent>
                </v:textbox>
                <w10:anchorlock/>
              </v:shape>
            </w:pict>
          </mc:Fallback>
        </mc:AlternateContent>
      </w:r>
    </w:p>
    <w:p w14:paraId="5FD8F03C" w14:textId="77777777" w:rsidR="00B86DA4" w:rsidRPr="000B66E6" w:rsidRDefault="00B86DA4" w:rsidP="001C39F8">
      <w:pPr>
        <w:rPr>
          <w:rFonts w:ascii="Arial" w:hAnsi="Arial" w:cs="Arial"/>
          <w:b/>
          <w:bCs/>
          <w:sz w:val="22"/>
          <w:szCs w:val="22"/>
        </w:rPr>
      </w:pPr>
    </w:p>
    <w:p w14:paraId="2B1ACB7C" w14:textId="3F162B26" w:rsidR="00827A0D" w:rsidRPr="000B66E6" w:rsidRDefault="001C39F8" w:rsidP="00827A0D">
      <w:pPr>
        <w:spacing w:after="120" w:line="259" w:lineRule="auto"/>
        <w:rPr>
          <w:rFonts w:ascii="Arial" w:hAnsi="Arial" w:cs="Arial"/>
          <w:b/>
          <w:bCs/>
          <w:sz w:val="22"/>
          <w:szCs w:val="22"/>
        </w:rPr>
      </w:pPr>
      <w:r w:rsidRPr="000B66E6">
        <w:rPr>
          <w:rFonts w:ascii="Arial" w:hAnsi="Arial" w:cs="Arial"/>
          <w:b/>
          <w:bCs/>
          <w:sz w:val="22"/>
          <w:szCs w:val="22"/>
        </w:rPr>
        <w:t xml:space="preserve">Background </w:t>
      </w:r>
    </w:p>
    <w:p w14:paraId="23CF7E67" w14:textId="56D20A23" w:rsidR="00827A0D" w:rsidRPr="000B66E6" w:rsidRDefault="001C39F8" w:rsidP="24E83749">
      <w:pPr>
        <w:spacing w:after="120" w:line="259" w:lineRule="auto"/>
        <w:rPr>
          <w:rFonts w:ascii="Arial" w:hAnsi="Arial" w:cs="Arial"/>
          <w:sz w:val="22"/>
          <w:szCs w:val="22"/>
        </w:rPr>
      </w:pPr>
      <w:r w:rsidRPr="0727A4F3">
        <w:rPr>
          <w:rFonts w:ascii="Arial" w:hAnsi="Arial" w:cs="Arial"/>
          <w:sz w:val="22"/>
          <w:szCs w:val="22"/>
        </w:rPr>
        <w:t xml:space="preserve">Given </w:t>
      </w:r>
      <w:r w:rsidR="006A7E49">
        <w:rPr>
          <w:rFonts w:ascii="Arial" w:hAnsi="Arial" w:cs="Arial"/>
          <w:sz w:val="22"/>
          <w:szCs w:val="22"/>
        </w:rPr>
        <w:t xml:space="preserve">high and increasing rates of chlamydia, </w:t>
      </w:r>
      <w:r w:rsidR="006C146F">
        <w:rPr>
          <w:rFonts w:ascii="Arial" w:hAnsi="Arial" w:cs="Arial"/>
          <w:sz w:val="22"/>
          <w:szCs w:val="22"/>
        </w:rPr>
        <w:t>gonorrhea, and syphilis</w:t>
      </w:r>
      <w:r w:rsidRPr="0727A4F3">
        <w:rPr>
          <w:rFonts w:ascii="Arial" w:hAnsi="Arial" w:cs="Arial"/>
          <w:sz w:val="22"/>
          <w:szCs w:val="22"/>
        </w:rPr>
        <w:t xml:space="preserve">, DPH aims to raise awareness about doxycycline </w:t>
      </w:r>
      <w:r w:rsidR="5F573C79" w:rsidRPr="0727A4F3">
        <w:rPr>
          <w:rFonts w:ascii="Arial" w:hAnsi="Arial" w:cs="Arial"/>
          <w:sz w:val="22"/>
          <w:szCs w:val="22"/>
        </w:rPr>
        <w:t>post-exposure prophylaxis (</w:t>
      </w:r>
      <w:r w:rsidRPr="0727A4F3">
        <w:rPr>
          <w:rFonts w:ascii="Arial" w:hAnsi="Arial" w:cs="Arial"/>
          <w:sz w:val="22"/>
          <w:szCs w:val="22"/>
        </w:rPr>
        <w:t>PEP</w:t>
      </w:r>
      <w:r w:rsidR="79020877" w:rsidRPr="0727A4F3">
        <w:rPr>
          <w:rFonts w:ascii="Arial" w:hAnsi="Arial" w:cs="Arial"/>
          <w:sz w:val="22"/>
          <w:szCs w:val="22"/>
        </w:rPr>
        <w:t>)</w:t>
      </w:r>
      <w:r w:rsidR="52806C31" w:rsidRPr="0727A4F3">
        <w:rPr>
          <w:rFonts w:ascii="Arial" w:hAnsi="Arial" w:cs="Arial"/>
          <w:sz w:val="22"/>
          <w:szCs w:val="22"/>
        </w:rPr>
        <w:t xml:space="preserve">, also referred to as </w:t>
      </w:r>
      <w:r w:rsidR="4B3C6C1B" w:rsidRPr="0727A4F3">
        <w:rPr>
          <w:rFonts w:ascii="Arial" w:hAnsi="Arial" w:cs="Arial"/>
          <w:sz w:val="22"/>
          <w:szCs w:val="22"/>
        </w:rPr>
        <w:t>“</w:t>
      </w:r>
      <w:r w:rsidR="645B713D" w:rsidRPr="0727A4F3">
        <w:rPr>
          <w:rFonts w:ascii="Arial" w:hAnsi="Arial" w:cs="Arial"/>
          <w:sz w:val="22"/>
          <w:szCs w:val="22"/>
        </w:rPr>
        <w:t xml:space="preserve">Doxy PEP.” </w:t>
      </w:r>
      <w:r w:rsidR="00814A35" w:rsidRPr="0727A4F3">
        <w:rPr>
          <w:rFonts w:ascii="Arial" w:hAnsi="Arial" w:cs="Arial"/>
          <w:sz w:val="22"/>
          <w:szCs w:val="22"/>
        </w:rPr>
        <w:t>Doxycycline PEP consists of 200 mg of doxycycline taken orally</w:t>
      </w:r>
      <w:r w:rsidR="55DD18A1" w:rsidRPr="0727A4F3">
        <w:rPr>
          <w:rFonts w:ascii="Arial" w:hAnsi="Arial" w:cs="Arial"/>
          <w:sz w:val="22"/>
          <w:szCs w:val="22"/>
        </w:rPr>
        <w:t>,</w:t>
      </w:r>
      <w:r w:rsidR="00814A35" w:rsidRPr="0727A4F3">
        <w:rPr>
          <w:rFonts w:ascii="Arial" w:hAnsi="Arial" w:cs="Arial"/>
          <w:sz w:val="22"/>
          <w:szCs w:val="22"/>
        </w:rPr>
        <w:t xml:space="preserve"> </w:t>
      </w:r>
      <w:r w:rsidR="72A27190" w:rsidRPr="0727A4F3">
        <w:rPr>
          <w:rFonts w:ascii="Arial" w:hAnsi="Arial" w:cs="Arial"/>
          <w:sz w:val="22"/>
          <w:szCs w:val="22"/>
        </w:rPr>
        <w:t xml:space="preserve">ideally </w:t>
      </w:r>
      <w:r w:rsidR="00814A35" w:rsidRPr="0727A4F3">
        <w:rPr>
          <w:rFonts w:ascii="Arial" w:hAnsi="Arial" w:cs="Arial"/>
          <w:sz w:val="22"/>
          <w:szCs w:val="22"/>
        </w:rPr>
        <w:t>within 24 hours, but no later than 72 hours, after condomless oral, anal, or vaginal/front hole sex</w:t>
      </w:r>
      <w:r w:rsidR="4AD38E7F" w:rsidRPr="1967AD7B">
        <w:rPr>
          <w:rFonts w:ascii="Arial" w:hAnsi="Arial" w:cs="Arial"/>
          <w:sz w:val="22"/>
          <w:szCs w:val="22"/>
        </w:rPr>
        <w:t>.</w:t>
      </w:r>
      <w:r w:rsidR="00DF4D60">
        <w:rPr>
          <w:rFonts w:ascii="Arial" w:hAnsi="Arial" w:cs="Arial"/>
          <w:sz w:val="22"/>
          <w:szCs w:val="22"/>
        </w:rPr>
        <w:t xml:space="preserve"> </w:t>
      </w:r>
      <w:r w:rsidR="6D725953" w:rsidRPr="1967AD7B">
        <w:rPr>
          <w:rFonts w:ascii="Arial" w:hAnsi="Arial" w:cs="Arial"/>
          <w:sz w:val="22"/>
          <w:szCs w:val="22"/>
        </w:rPr>
        <w:t xml:space="preserve">When taken as prescribed, </w:t>
      </w:r>
      <w:r w:rsidR="00517C54">
        <w:rPr>
          <w:rFonts w:ascii="Arial" w:hAnsi="Arial" w:cs="Arial"/>
          <w:sz w:val="22"/>
          <w:szCs w:val="22"/>
        </w:rPr>
        <w:t>doxycycline</w:t>
      </w:r>
      <w:r w:rsidR="34E00527" w:rsidRPr="1967AD7B">
        <w:rPr>
          <w:rFonts w:ascii="Arial" w:hAnsi="Arial" w:cs="Arial"/>
          <w:sz w:val="22"/>
          <w:szCs w:val="22"/>
        </w:rPr>
        <w:t xml:space="preserve"> PEP</w:t>
      </w:r>
      <w:r w:rsidR="00814A35" w:rsidRPr="0727A4F3">
        <w:rPr>
          <w:rFonts w:ascii="Arial" w:hAnsi="Arial" w:cs="Arial"/>
          <w:sz w:val="22"/>
          <w:szCs w:val="22"/>
        </w:rPr>
        <w:t xml:space="preserve"> is highly effective in preventing</w:t>
      </w:r>
      <w:r w:rsidR="00BA33FC" w:rsidRPr="0727A4F3">
        <w:rPr>
          <w:rFonts w:ascii="Arial" w:hAnsi="Arial" w:cs="Arial"/>
          <w:sz w:val="22"/>
          <w:szCs w:val="22"/>
        </w:rPr>
        <w:t xml:space="preserve"> </w:t>
      </w:r>
      <w:r w:rsidR="645B713D" w:rsidRPr="0727A4F3">
        <w:rPr>
          <w:rFonts w:ascii="Arial" w:hAnsi="Arial" w:cs="Arial"/>
          <w:sz w:val="22"/>
          <w:szCs w:val="22"/>
        </w:rPr>
        <w:t>STI acquisition following exposure.</w:t>
      </w:r>
      <w:r w:rsidR="07F6B427" w:rsidRPr="0727A4F3">
        <w:rPr>
          <w:rFonts w:ascii="Arial" w:hAnsi="Arial" w:cs="Arial"/>
          <w:sz w:val="22"/>
          <w:szCs w:val="22"/>
        </w:rPr>
        <w:t xml:space="preserve"> This advisory is intended</w:t>
      </w:r>
      <w:r w:rsidRPr="0727A4F3">
        <w:rPr>
          <w:rFonts w:ascii="Arial" w:hAnsi="Arial" w:cs="Arial"/>
          <w:sz w:val="22"/>
          <w:szCs w:val="22"/>
        </w:rPr>
        <w:t xml:space="preserve"> to ensure that health care providers and patients are aware of the </w:t>
      </w:r>
      <w:r w:rsidR="00494654">
        <w:rPr>
          <w:rFonts w:ascii="Arial" w:hAnsi="Arial" w:cs="Arial"/>
          <w:sz w:val="22"/>
          <w:szCs w:val="22"/>
        </w:rPr>
        <w:t xml:space="preserve">effectiveness of this </w:t>
      </w:r>
      <w:r w:rsidRPr="0727A4F3">
        <w:rPr>
          <w:rFonts w:ascii="Arial" w:hAnsi="Arial" w:cs="Arial"/>
          <w:sz w:val="22"/>
          <w:szCs w:val="22"/>
        </w:rPr>
        <w:t>intervention</w:t>
      </w:r>
      <w:r w:rsidRPr="1967AD7B">
        <w:rPr>
          <w:rFonts w:ascii="Arial" w:hAnsi="Arial" w:cs="Arial"/>
          <w:sz w:val="22"/>
          <w:szCs w:val="22"/>
        </w:rPr>
        <w:t xml:space="preserve">, </w:t>
      </w:r>
      <w:r w:rsidRPr="0727A4F3">
        <w:rPr>
          <w:rFonts w:ascii="Arial" w:hAnsi="Arial" w:cs="Arial"/>
          <w:sz w:val="22"/>
          <w:szCs w:val="22"/>
        </w:rPr>
        <w:t>and that access is equitable</w:t>
      </w:r>
      <w:r w:rsidR="5BB2E33E" w:rsidRPr="0727A4F3">
        <w:rPr>
          <w:rFonts w:ascii="Arial" w:hAnsi="Arial" w:cs="Arial"/>
          <w:sz w:val="22"/>
          <w:szCs w:val="22"/>
        </w:rPr>
        <w:t xml:space="preserve"> </w:t>
      </w:r>
      <w:r w:rsidR="00000C9D">
        <w:rPr>
          <w:rFonts w:ascii="Arial" w:hAnsi="Arial" w:cs="Arial"/>
          <w:sz w:val="22"/>
          <w:szCs w:val="22"/>
        </w:rPr>
        <w:t>for</w:t>
      </w:r>
      <w:r w:rsidR="5BB2E33E" w:rsidRPr="0727A4F3">
        <w:rPr>
          <w:rFonts w:ascii="Arial" w:hAnsi="Arial" w:cs="Arial"/>
          <w:sz w:val="22"/>
          <w:szCs w:val="22"/>
        </w:rPr>
        <w:t xml:space="preserve"> all individuals who may benefit </w:t>
      </w:r>
      <w:r w:rsidR="2F1CA92D" w:rsidRPr="0727A4F3">
        <w:rPr>
          <w:rFonts w:ascii="Arial" w:hAnsi="Arial" w:cs="Arial"/>
          <w:sz w:val="22"/>
          <w:szCs w:val="22"/>
        </w:rPr>
        <w:t xml:space="preserve">from this intervention </w:t>
      </w:r>
      <w:r w:rsidR="5BB2E33E" w:rsidRPr="0727A4F3">
        <w:rPr>
          <w:rFonts w:ascii="Arial" w:hAnsi="Arial" w:cs="Arial"/>
          <w:sz w:val="22"/>
          <w:szCs w:val="22"/>
        </w:rPr>
        <w:t>across the Commonwealth</w:t>
      </w:r>
      <w:r w:rsidRPr="0727A4F3">
        <w:rPr>
          <w:rFonts w:ascii="Arial" w:hAnsi="Arial" w:cs="Arial"/>
          <w:sz w:val="22"/>
          <w:szCs w:val="22"/>
        </w:rPr>
        <w:t>.</w:t>
      </w:r>
    </w:p>
    <w:p w14:paraId="04E9BB5A" w14:textId="45F470DF" w:rsidR="00BE1162" w:rsidRPr="00DE7D79" w:rsidRDefault="001C39F8" w:rsidP="00D172CD">
      <w:pPr>
        <w:rPr>
          <w:rFonts w:ascii="Arial" w:hAnsi="Arial" w:cs="Arial"/>
          <w:sz w:val="22"/>
          <w:szCs w:val="22"/>
        </w:rPr>
      </w:pPr>
      <w:r w:rsidRPr="7DF3D025">
        <w:rPr>
          <w:rFonts w:ascii="Arial" w:hAnsi="Arial" w:cs="Arial"/>
          <w:sz w:val="22"/>
          <w:szCs w:val="22"/>
        </w:rPr>
        <w:t xml:space="preserve">The Centers for Disease Control and Prevention has released </w:t>
      </w:r>
      <w:hyperlink r:id="rId12">
        <w:r w:rsidRPr="7DF3D025">
          <w:rPr>
            <w:rStyle w:val="Hyperlink"/>
            <w:rFonts w:ascii="Arial" w:hAnsi="Arial" w:cs="Arial"/>
            <w:sz w:val="22"/>
            <w:szCs w:val="22"/>
          </w:rPr>
          <w:t>guidelines</w:t>
        </w:r>
      </w:hyperlink>
      <w:r w:rsidRPr="7DF3D025">
        <w:rPr>
          <w:rFonts w:ascii="Arial" w:hAnsi="Arial" w:cs="Arial"/>
          <w:sz w:val="22"/>
          <w:szCs w:val="22"/>
        </w:rPr>
        <w:t xml:space="preserve"> for doxycycline PEP as an STI prevention strategy. Doxycycline PEP can help to reduce the risk of transmission of syphilis, chlamydia, and to a lesser extent, gonorrhea, among cisgender MSM and transgender women who have sex with men, especially those who have had and continue to acquire STIs that lead to substantial antibiotic treatment (Summary of Evidence, page 3). Doxycycline PEP has not been found to reduce incident STIs among cisgender women, but use of doxycycline PEP in the study population was low. There are currently no data on efficacy of doxycycline PEP</w:t>
      </w:r>
      <w:r w:rsidR="611E8DFE" w:rsidRPr="7DF3D025">
        <w:rPr>
          <w:rFonts w:ascii="Arial" w:hAnsi="Arial" w:cs="Arial"/>
          <w:sz w:val="22"/>
          <w:szCs w:val="22"/>
        </w:rPr>
        <w:t xml:space="preserve"> to prevent STIs</w:t>
      </w:r>
      <w:r w:rsidRPr="7DF3D025">
        <w:rPr>
          <w:rFonts w:ascii="Arial" w:hAnsi="Arial" w:cs="Arial"/>
          <w:sz w:val="22"/>
          <w:szCs w:val="22"/>
        </w:rPr>
        <w:t xml:space="preserve"> in cisgender heterosexual men, transgender men, and other queer and nonbinary individuals. </w:t>
      </w:r>
      <w:r w:rsidR="00C279E4">
        <w:rPr>
          <w:rFonts w:ascii="Arial" w:hAnsi="Arial" w:cs="Arial"/>
          <w:sz w:val="22"/>
          <w:szCs w:val="22"/>
        </w:rPr>
        <w:t>P</w:t>
      </w:r>
      <w:r w:rsidR="00D172CD" w:rsidRPr="00D172CD">
        <w:rPr>
          <w:rFonts w:ascii="Arial" w:hAnsi="Arial" w:cs="Arial"/>
          <w:sz w:val="22"/>
          <w:szCs w:val="22"/>
        </w:rPr>
        <w:t>otential</w:t>
      </w:r>
      <w:r w:rsidR="00D172CD">
        <w:rPr>
          <w:rFonts w:ascii="Arial" w:hAnsi="Arial" w:cs="Arial"/>
          <w:sz w:val="22"/>
          <w:szCs w:val="22"/>
        </w:rPr>
        <w:t xml:space="preserve"> </w:t>
      </w:r>
      <w:r w:rsidR="00D172CD" w:rsidRPr="00D172CD">
        <w:rPr>
          <w:rFonts w:ascii="Arial" w:hAnsi="Arial" w:cs="Arial"/>
          <w:sz w:val="22"/>
          <w:szCs w:val="22"/>
        </w:rPr>
        <w:t xml:space="preserve">risks related to the development of resistance and impacts on the microbiome </w:t>
      </w:r>
      <w:r w:rsidR="00735E42">
        <w:rPr>
          <w:rFonts w:ascii="Arial" w:hAnsi="Arial" w:cs="Arial"/>
          <w:sz w:val="22"/>
          <w:szCs w:val="22"/>
        </w:rPr>
        <w:t xml:space="preserve">from intermittent use of doxycycline PEP </w:t>
      </w:r>
      <w:r w:rsidR="00D172CD">
        <w:rPr>
          <w:rFonts w:ascii="Arial" w:hAnsi="Arial" w:cs="Arial"/>
          <w:sz w:val="22"/>
          <w:szCs w:val="22"/>
        </w:rPr>
        <w:t xml:space="preserve">are </w:t>
      </w:r>
      <w:r w:rsidR="003C21CB">
        <w:rPr>
          <w:rFonts w:ascii="Arial" w:hAnsi="Arial" w:cs="Arial"/>
          <w:sz w:val="22"/>
          <w:szCs w:val="22"/>
        </w:rPr>
        <w:t xml:space="preserve">currently </w:t>
      </w:r>
      <w:r w:rsidR="00D172CD">
        <w:rPr>
          <w:rFonts w:ascii="Arial" w:hAnsi="Arial" w:cs="Arial"/>
          <w:sz w:val="22"/>
          <w:szCs w:val="22"/>
        </w:rPr>
        <w:t xml:space="preserve">being </w:t>
      </w:r>
      <w:r w:rsidR="00D172CD" w:rsidRPr="00D172CD">
        <w:rPr>
          <w:rFonts w:ascii="Arial" w:hAnsi="Arial" w:cs="Arial"/>
          <w:sz w:val="22"/>
          <w:szCs w:val="22"/>
        </w:rPr>
        <w:t xml:space="preserve">monitored </w:t>
      </w:r>
      <w:r w:rsidR="00FF09CA">
        <w:rPr>
          <w:rFonts w:ascii="Arial" w:hAnsi="Arial" w:cs="Arial"/>
          <w:sz w:val="22"/>
          <w:szCs w:val="22"/>
        </w:rPr>
        <w:t>in study populations</w:t>
      </w:r>
      <w:r w:rsidR="00D172CD" w:rsidRPr="00D172CD">
        <w:rPr>
          <w:rFonts w:ascii="Arial" w:hAnsi="Arial" w:cs="Arial"/>
          <w:sz w:val="22"/>
          <w:szCs w:val="22"/>
        </w:rPr>
        <w:t xml:space="preserve">. </w:t>
      </w:r>
      <w:r w:rsidR="00BE1162">
        <w:rPr>
          <w:rFonts w:ascii="Arial" w:hAnsi="Arial" w:cs="Arial"/>
          <w:b/>
          <w:bCs/>
          <w:sz w:val="22"/>
          <w:szCs w:val="22"/>
        </w:rPr>
        <w:br w:type="page"/>
      </w:r>
    </w:p>
    <w:p w14:paraId="602DAFDB" w14:textId="0C4D19F6" w:rsidR="001C39F8" w:rsidRPr="000B66E6" w:rsidRDefault="001C39F8" w:rsidP="00827A0D">
      <w:pPr>
        <w:spacing w:after="120" w:line="259" w:lineRule="auto"/>
        <w:rPr>
          <w:rFonts w:ascii="Arial" w:hAnsi="Arial" w:cs="Arial"/>
          <w:sz w:val="22"/>
          <w:szCs w:val="22"/>
        </w:rPr>
      </w:pPr>
      <w:r w:rsidRPr="000B66E6">
        <w:rPr>
          <w:rFonts w:ascii="Arial" w:hAnsi="Arial" w:cs="Arial"/>
          <w:b/>
          <w:bCs/>
          <w:sz w:val="22"/>
          <w:szCs w:val="22"/>
        </w:rPr>
        <w:lastRenderedPageBreak/>
        <w:t>Recommendations for Health Care Providers</w:t>
      </w:r>
    </w:p>
    <w:p w14:paraId="53C055ED" w14:textId="5E5BE6FF" w:rsidR="001C39F8" w:rsidRPr="000B66E6" w:rsidRDefault="001C39F8" w:rsidP="00827A0D">
      <w:pPr>
        <w:pStyle w:val="ListParagraph"/>
        <w:numPr>
          <w:ilvl w:val="0"/>
          <w:numId w:val="2"/>
        </w:numPr>
        <w:spacing w:after="120"/>
        <w:ind w:left="360"/>
        <w:rPr>
          <w:rFonts w:ascii="Arial" w:hAnsi="Arial" w:cs="Arial"/>
        </w:rPr>
      </w:pPr>
      <w:r w:rsidRPr="17B121DB">
        <w:rPr>
          <w:rFonts w:ascii="Arial" w:hAnsi="Arial" w:cs="Arial"/>
        </w:rPr>
        <w:t xml:space="preserve">Take a </w:t>
      </w:r>
      <w:hyperlink r:id="rId13">
        <w:r w:rsidRPr="17B121DB">
          <w:rPr>
            <w:rStyle w:val="Hyperlink"/>
            <w:rFonts w:ascii="Arial" w:hAnsi="Arial" w:cs="Arial"/>
          </w:rPr>
          <w:t>sexual history</w:t>
        </w:r>
      </w:hyperlink>
      <w:r w:rsidRPr="17B121DB">
        <w:rPr>
          <w:rFonts w:ascii="Arial" w:hAnsi="Arial" w:cs="Arial"/>
        </w:rPr>
        <w:t xml:space="preserve"> as part of routine care for all patients.</w:t>
      </w:r>
      <w:r w:rsidRPr="000B66E6">
        <w:rPr>
          <w:rFonts w:ascii="Arial" w:hAnsi="Arial" w:cs="Arial"/>
        </w:rPr>
        <w:t xml:space="preserve"> </w:t>
      </w:r>
    </w:p>
    <w:p w14:paraId="14AD4396" w14:textId="10E61A5F" w:rsidR="001C39F8" w:rsidRPr="000B66E6" w:rsidRDefault="001C39F8" w:rsidP="00827A0D">
      <w:pPr>
        <w:pStyle w:val="ListParagraph"/>
        <w:numPr>
          <w:ilvl w:val="0"/>
          <w:numId w:val="2"/>
        </w:numPr>
        <w:spacing w:after="120"/>
        <w:ind w:left="360"/>
        <w:rPr>
          <w:rFonts w:ascii="Arial" w:hAnsi="Arial" w:cs="Arial"/>
        </w:rPr>
      </w:pPr>
      <w:r w:rsidRPr="000B66E6">
        <w:rPr>
          <w:rFonts w:ascii="Arial" w:hAnsi="Arial" w:cs="Arial"/>
        </w:rPr>
        <w:t>Examine, screen, and treat as indicated for STIs and HIV at baseline and follow-up visits.</w:t>
      </w:r>
    </w:p>
    <w:p w14:paraId="560686D7" w14:textId="2C7F1BC7" w:rsidR="001C39F8" w:rsidRPr="000B66E6" w:rsidRDefault="001C39F8" w:rsidP="00827A0D">
      <w:pPr>
        <w:pStyle w:val="ListParagraph"/>
        <w:numPr>
          <w:ilvl w:val="0"/>
          <w:numId w:val="2"/>
        </w:numPr>
        <w:spacing w:after="120"/>
        <w:ind w:left="360"/>
        <w:rPr>
          <w:rFonts w:ascii="Arial" w:hAnsi="Arial" w:cs="Arial"/>
        </w:rPr>
      </w:pPr>
      <w:r w:rsidRPr="3F9DC5A9">
        <w:rPr>
          <w:rFonts w:ascii="Arial" w:hAnsi="Arial" w:cs="Arial"/>
        </w:rPr>
        <w:t xml:space="preserve">Prescribe doxycycline PEP based on shared decision-making with the patient. Provide information on effectiveness and potential benefits and risks using tools such as the </w:t>
      </w:r>
      <w:hyperlink r:id="rId14" w:anchor="testing-and-other-resources-" w:history="1">
        <w:r w:rsidRPr="00E02AF3">
          <w:rPr>
            <w:rStyle w:val="Hyperlink"/>
            <w:rFonts w:ascii="Arial" w:hAnsi="Arial" w:cs="Arial"/>
          </w:rPr>
          <w:t>Doxy PEP Fact Sheet</w:t>
        </w:r>
      </w:hyperlink>
      <w:r w:rsidRPr="3F9DC5A9">
        <w:rPr>
          <w:rFonts w:ascii="Arial" w:hAnsi="Arial" w:cs="Arial"/>
        </w:rPr>
        <w:t>.</w:t>
      </w:r>
    </w:p>
    <w:p w14:paraId="536FCC88" w14:textId="173EACE3" w:rsidR="001C39F8" w:rsidRPr="000B66E6" w:rsidRDefault="001C39F8" w:rsidP="00827A0D">
      <w:pPr>
        <w:pStyle w:val="ListParagraph"/>
        <w:numPr>
          <w:ilvl w:val="0"/>
          <w:numId w:val="3"/>
        </w:numPr>
        <w:spacing w:after="120"/>
        <w:ind w:left="720"/>
        <w:rPr>
          <w:rFonts w:ascii="Arial" w:hAnsi="Arial" w:cs="Arial"/>
        </w:rPr>
      </w:pPr>
      <w:r w:rsidRPr="000B66E6">
        <w:rPr>
          <w:rFonts w:ascii="Arial" w:hAnsi="Arial" w:cs="Arial"/>
        </w:rPr>
        <w:t xml:space="preserve">Populations most likely to benefit from doxycycline PEP include MSM and transgender women </w:t>
      </w:r>
      <w:r w:rsidR="0D0F13EB" w:rsidRPr="3B3A9AC2">
        <w:rPr>
          <w:rFonts w:ascii="Arial" w:hAnsi="Arial" w:cs="Arial"/>
        </w:rPr>
        <w:t>who have sex with men</w:t>
      </w:r>
      <w:r w:rsidR="622EFBD7" w:rsidRPr="6668E545">
        <w:rPr>
          <w:rFonts w:ascii="Arial" w:hAnsi="Arial" w:cs="Arial"/>
        </w:rPr>
        <w:t xml:space="preserve"> who have</w:t>
      </w:r>
      <w:r w:rsidR="00AF79FE">
        <w:rPr>
          <w:rFonts w:ascii="Arial" w:hAnsi="Arial" w:cs="Arial"/>
        </w:rPr>
        <w:t xml:space="preserve"> </w:t>
      </w:r>
      <w:r w:rsidRPr="000B66E6">
        <w:rPr>
          <w:rFonts w:ascii="Arial" w:hAnsi="Arial" w:cs="Arial"/>
        </w:rPr>
        <w:t>a history of bacterial STIs in the prior year, especially those with a history of syphilis or multiple STIs who are at ongoing risk for acquisition of bacterial STIs.</w:t>
      </w:r>
    </w:p>
    <w:p w14:paraId="030662DD" w14:textId="2F6C42B2" w:rsidR="001C39F8" w:rsidRPr="000B66E6" w:rsidRDefault="001C39F8" w:rsidP="00827A0D">
      <w:pPr>
        <w:pStyle w:val="ListParagraph"/>
        <w:numPr>
          <w:ilvl w:val="0"/>
          <w:numId w:val="4"/>
        </w:numPr>
        <w:spacing w:after="120"/>
        <w:ind w:left="720"/>
        <w:rPr>
          <w:rFonts w:ascii="Arial" w:hAnsi="Arial" w:cs="Arial"/>
        </w:rPr>
      </w:pPr>
      <w:r w:rsidRPr="24E83749">
        <w:rPr>
          <w:rFonts w:ascii="Arial" w:hAnsi="Arial" w:cs="Arial"/>
        </w:rPr>
        <w:t xml:space="preserve">Consider prescribing doxycycline PEP in advance, for patients to have on hand, to be used episodically </w:t>
      </w:r>
      <w:r w:rsidR="1FBEA4F5" w:rsidRPr="24E83749">
        <w:rPr>
          <w:rFonts w:ascii="Arial" w:hAnsi="Arial" w:cs="Arial"/>
        </w:rPr>
        <w:t xml:space="preserve">following sexual exposure </w:t>
      </w:r>
      <w:r w:rsidRPr="24E83749">
        <w:rPr>
          <w:rFonts w:ascii="Arial" w:hAnsi="Arial" w:cs="Arial"/>
        </w:rPr>
        <w:t>when their STI acquisition risk may be higher (e.g., attendance at group sex events).</w:t>
      </w:r>
    </w:p>
    <w:p w14:paraId="3158EF33" w14:textId="52CC04C3" w:rsidR="00B86DA4" w:rsidRPr="000B66E6" w:rsidRDefault="001C39F8" w:rsidP="00827A0D">
      <w:pPr>
        <w:pStyle w:val="ListParagraph"/>
        <w:numPr>
          <w:ilvl w:val="0"/>
          <w:numId w:val="6"/>
        </w:numPr>
        <w:spacing w:after="120"/>
        <w:ind w:left="360"/>
        <w:rPr>
          <w:rFonts w:ascii="Arial" w:hAnsi="Arial" w:cs="Arial"/>
        </w:rPr>
      </w:pPr>
      <w:r w:rsidRPr="000B66E6">
        <w:rPr>
          <w:rFonts w:ascii="Arial" w:hAnsi="Arial" w:cs="Arial"/>
        </w:rPr>
        <w:t xml:space="preserve">Offer doxycycline PEP as part of comprehensive sexual health services, and support patients to make decisions about the full spectrum of prevention options available to them, including condom use, reducing numbers of </w:t>
      </w:r>
      <w:r w:rsidR="5CAB8FC0" w:rsidRPr="7E626CDE">
        <w:rPr>
          <w:rFonts w:ascii="Arial" w:hAnsi="Arial" w:cs="Arial"/>
        </w:rPr>
        <w:t xml:space="preserve">sex </w:t>
      </w:r>
      <w:r w:rsidRPr="000B66E6">
        <w:rPr>
          <w:rFonts w:ascii="Arial" w:hAnsi="Arial" w:cs="Arial"/>
        </w:rPr>
        <w:t xml:space="preserve">partners, STI </w:t>
      </w:r>
      <w:r w:rsidR="000B66E6" w:rsidRPr="000B66E6">
        <w:rPr>
          <w:rFonts w:ascii="Arial" w:hAnsi="Arial" w:cs="Arial"/>
        </w:rPr>
        <w:t xml:space="preserve">and HIV </w:t>
      </w:r>
      <w:r w:rsidRPr="000B66E6">
        <w:rPr>
          <w:rFonts w:ascii="Arial" w:hAnsi="Arial" w:cs="Arial"/>
        </w:rPr>
        <w:t xml:space="preserve">testing and treatment, HIV </w:t>
      </w:r>
      <w:r w:rsidR="001266FD">
        <w:rPr>
          <w:rFonts w:ascii="Arial" w:hAnsi="Arial" w:cs="Arial"/>
        </w:rPr>
        <w:t xml:space="preserve">PEP and </w:t>
      </w:r>
      <w:r w:rsidRPr="000B66E6">
        <w:rPr>
          <w:rFonts w:ascii="Arial" w:hAnsi="Arial" w:cs="Arial"/>
        </w:rPr>
        <w:t xml:space="preserve">pre-exposure prophylaxis (PrEP), and STI vaccines (e.g., human papillomavirus, hepatitis A, hepatitis B, and mpox vaccines). </w:t>
      </w:r>
    </w:p>
    <w:p w14:paraId="7BDBAD64" w14:textId="77777777" w:rsidR="001C39F8" w:rsidRPr="000B66E6" w:rsidRDefault="001C39F8" w:rsidP="00827A0D">
      <w:pPr>
        <w:spacing w:after="120" w:line="259" w:lineRule="auto"/>
        <w:rPr>
          <w:rFonts w:ascii="Arial" w:eastAsiaTheme="minorEastAsia" w:hAnsi="Arial" w:cs="Arial"/>
          <w:sz w:val="22"/>
          <w:szCs w:val="22"/>
        </w:rPr>
      </w:pPr>
      <w:r w:rsidRPr="000B66E6">
        <w:rPr>
          <w:rFonts w:ascii="Arial" w:eastAsiaTheme="minorEastAsia" w:hAnsi="Arial" w:cs="Arial"/>
          <w:b/>
          <w:bCs/>
          <w:sz w:val="22"/>
          <w:szCs w:val="22"/>
        </w:rPr>
        <w:t>Prescribing Guidance</w:t>
      </w:r>
    </w:p>
    <w:p w14:paraId="329CA118" w14:textId="0D2322A7" w:rsidR="00B86DA4" w:rsidRPr="000B66E6" w:rsidRDefault="001C39F8" w:rsidP="00827A0D">
      <w:pPr>
        <w:pStyle w:val="ListParagraph"/>
        <w:numPr>
          <w:ilvl w:val="0"/>
          <w:numId w:val="5"/>
        </w:numPr>
        <w:spacing w:after="120"/>
        <w:ind w:left="360"/>
        <w:rPr>
          <w:rFonts w:ascii="Arial" w:eastAsiaTheme="minorEastAsia" w:hAnsi="Arial" w:cs="Arial"/>
        </w:rPr>
      </w:pPr>
      <w:r w:rsidRPr="000B66E6">
        <w:rPr>
          <w:rFonts w:ascii="Arial" w:eastAsiaTheme="minorEastAsia" w:hAnsi="Arial" w:cs="Arial"/>
        </w:rPr>
        <w:t>200 mg of doxycycline should be taken as soon as possible after condomless oral, anal, or vaginal/front hole sex, ideally within 24 hours and no later than 72 hours after sex.</w:t>
      </w:r>
    </w:p>
    <w:p w14:paraId="5B950406" w14:textId="38FED6CF" w:rsidR="00B86DA4" w:rsidRPr="000B66E6" w:rsidRDefault="001C39F8" w:rsidP="00827A0D">
      <w:pPr>
        <w:pStyle w:val="ListParagraph"/>
        <w:numPr>
          <w:ilvl w:val="0"/>
          <w:numId w:val="5"/>
        </w:numPr>
        <w:spacing w:after="120"/>
        <w:ind w:left="360"/>
        <w:rPr>
          <w:rFonts w:ascii="Arial" w:eastAsiaTheme="minorEastAsia" w:hAnsi="Arial" w:cs="Arial"/>
        </w:rPr>
      </w:pPr>
      <w:r w:rsidRPr="000B66E6">
        <w:rPr>
          <w:rFonts w:ascii="Arial" w:eastAsiaTheme="minorEastAsia" w:hAnsi="Arial" w:cs="Arial"/>
        </w:rPr>
        <w:t>Either doxycycline hyclate or doxycycline monohydrate immediate release 100 mg tabs (two tablets taken simultaneously) are acceptable.</w:t>
      </w:r>
    </w:p>
    <w:p w14:paraId="6E55C289" w14:textId="180F0E99" w:rsidR="00B86DA4" w:rsidRPr="000B66E6" w:rsidRDefault="001C39F8" w:rsidP="00827A0D">
      <w:pPr>
        <w:pStyle w:val="ListParagraph"/>
        <w:numPr>
          <w:ilvl w:val="0"/>
          <w:numId w:val="5"/>
        </w:numPr>
        <w:spacing w:after="120"/>
        <w:ind w:left="360"/>
        <w:rPr>
          <w:rFonts w:ascii="Arial" w:eastAsiaTheme="minorEastAsia" w:hAnsi="Arial" w:cs="Arial"/>
        </w:rPr>
      </w:pPr>
      <w:r w:rsidRPr="000B66E6">
        <w:rPr>
          <w:rFonts w:ascii="Arial" w:eastAsiaTheme="minorEastAsia" w:hAnsi="Arial" w:cs="Arial"/>
        </w:rPr>
        <w:t>Doxycycline can be taken as often as every day, depending on frequency of condomless sexual exposure, but no more than 200 mg should be taken within a 24-hour period.</w:t>
      </w:r>
    </w:p>
    <w:p w14:paraId="7B0A193C" w14:textId="7588F93D" w:rsidR="00B86DA4" w:rsidRPr="000B66E6" w:rsidRDefault="001C39F8" w:rsidP="00827A0D">
      <w:pPr>
        <w:pStyle w:val="ListParagraph"/>
        <w:numPr>
          <w:ilvl w:val="0"/>
          <w:numId w:val="5"/>
        </w:numPr>
        <w:spacing w:after="120"/>
        <w:ind w:left="360"/>
        <w:rPr>
          <w:rFonts w:ascii="Arial" w:eastAsiaTheme="minorEastAsia" w:hAnsi="Arial" w:cs="Arial"/>
        </w:rPr>
      </w:pPr>
      <w:r w:rsidRPr="000B66E6">
        <w:rPr>
          <w:rFonts w:ascii="Arial" w:eastAsiaTheme="minorEastAsia" w:hAnsi="Arial" w:cs="Arial"/>
        </w:rPr>
        <w:t xml:space="preserve">Doxycycline should be taken with fluids and patients should remain upright for </w:t>
      </w:r>
      <w:r w:rsidR="008877CF">
        <w:rPr>
          <w:rFonts w:ascii="Arial" w:eastAsiaTheme="minorEastAsia" w:hAnsi="Arial" w:cs="Arial"/>
        </w:rPr>
        <w:t>1 hour</w:t>
      </w:r>
      <w:r w:rsidRPr="000B66E6">
        <w:rPr>
          <w:rFonts w:ascii="Arial" w:eastAsiaTheme="minorEastAsia" w:hAnsi="Arial" w:cs="Arial"/>
        </w:rPr>
        <w:t xml:space="preserve"> after the dose. Taking doxycycline with food may increase tolerability</w:t>
      </w:r>
      <w:r w:rsidR="00BE1162">
        <w:rPr>
          <w:rFonts w:ascii="Arial" w:eastAsiaTheme="minorEastAsia" w:hAnsi="Arial" w:cs="Arial"/>
        </w:rPr>
        <w:t>.</w:t>
      </w:r>
    </w:p>
    <w:p w14:paraId="30DA6058" w14:textId="77777777" w:rsidR="001C39F8" w:rsidRPr="000B66E6" w:rsidRDefault="001C39F8" w:rsidP="00827A0D">
      <w:pPr>
        <w:pStyle w:val="ListParagraph"/>
        <w:numPr>
          <w:ilvl w:val="0"/>
          <w:numId w:val="5"/>
        </w:numPr>
        <w:spacing w:after="120"/>
        <w:ind w:left="360"/>
        <w:rPr>
          <w:rFonts w:ascii="Arial" w:eastAsiaTheme="minorEastAsia" w:hAnsi="Arial" w:cs="Arial"/>
        </w:rPr>
      </w:pPr>
      <w:r w:rsidRPr="000B66E6">
        <w:rPr>
          <w:rFonts w:ascii="Arial" w:eastAsiaTheme="minorEastAsia" w:hAnsi="Arial" w:cs="Arial"/>
        </w:rPr>
        <w:t>Doxycycline PEP is not recommended for patients already on a doxycycline regimen (e.g., for acne).</w:t>
      </w:r>
    </w:p>
    <w:p w14:paraId="44AED8B9" w14:textId="35F826A6" w:rsidR="001C39F8" w:rsidRPr="000B66E6" w:rsidRDefault="001C39F8" w:rsidP="00827A0D">
      <w:pPr>
        <w:pStyle w:val="ListParagraph"/>
        <w:numPr>
          <w:ilvl w:val="0"/>
          <w:numId w:val="5"/>
        </w:numPr>
        <w:spacing w:after="120"/>
        <w:ind w:left="360"/>
        <w:rPr>
          <w:rFonts w:ascii="Arial" w:eastAsiaTheme="minorEastAsia" w:hAnsi="Arial" w:cs="Arial"/>
        </w:rPr>
      </w:pPr>
      <w:r w:rsidRPr="000B66E6">
        <w:rPr>
          <w:rFonts w:ascii="Arial" w:eastAsiaTheme="minorEastAsia" w:hAnsi="Arial" w:cs="Arial"/>
        </w:rPr>
        <w:t xml:space="preserve">Doxycycline should not be taken concurrently with polyvalent cations, such as iron and calcium carbonate. It should be taken at least </w:t>
      </w:r>
      <w:r w:rsidR="005750F3">
        <w:rPr>
          <w:rFonts w:ascii="Arial" w:eastAsiaTheme="minorEastAsia" w:hAnsi="Arial" w:cs="Arial"/>
        </w:rPr>
        <w:t>2</w:t>
      </w:r>
      <w:r w:rsidRPr="000B66E6">
        <w:rPr>
          <w:rFonts w:ascii="Arial" w:eastAsiaTheme="minorEastAsia" w:hAnsi="Arial" w:cs="Arial"/>
        </w:rPr>
        <w:t xml:space="preserve"> hour</w:t>
      </w:r>
      <w:r w:rsidR="005750F3">
        <w:rPr>
          <w:rFonts w:ascii="Arial" w:eastAsiaTheme="minorEastAsia" w:hAnsi="Arial" w:cs="Arial"/>
        </w:rPr>
        <w:t>s</w:t>
      </w:r>
      <w:r w:rsidRPr="000B66E6">
        <w:rPr>
          <w:rFonts w:ascii="Arial" w:eastAsiaTheme="minorEastAsia" w:hAnsi="Arial" w:cs="Arial"/>
        </w:rPr>
        <w:t xml:space="preserve"> before or after antacids, calcium, or iron-containing products.</w:t>
      </w:r>
    </w:p>
    <w:p w14:paraId="587AA96D" w14:textId="2DC4BDE8" w:rsidR="001C39F8" w:rsidRPr="000B66E6" w:rsidRDefault="001C39F8" w:rsidP="7DF3D025">
      <w:pPr>
        <w:pStyle w:val="ListParagraph"/>
        <w:numPr>
          <w:ilvl w:val="0"/>
          <w:numId w:val="5"/>
        </w:numPr>
        <w:spacing w:after="120"/>
        <w:ind w:left="360"/>
        <w:rPr>
          <w:rFonts w:ascii="Arial" w:eastAsiaTheme="minorEastAsia" w:hAnsi="Arial" w:cs="Arial"/>
        </w:rPr>
      </w:pPr>
      <w:r w:rsidRPr="7DF3D025">
        <w:rPr>
          <w:rFonts w:ascii="Arial" w:eastAsiaTheme="minorEastAsia" w:hAnsi="Arial" w:cs="Arial"/>
        </w:rPr>
        <w:t xml:space="preserve">There is no standard number of doxycycline pills and refills to prescribe. Some providers </w:t>
      </w:r>
      <w:r w:rsidR="00BE1162" w:rsidRPr="7DF3D025">
        <w:rPr>
          <w:rFonts w:ascii="Arial" w:eastAsiaTheme="minorEastAsia" w:hAnsi="Arial" w:cs="Arial"/>
        </w:rPr>
        <w:t>dispense</w:t>
      </w:r>
      <w:r w:rsidRPr="7DF3D025">
        <w:rPr>
          <w:rFonts w:ascii="Arial" w:eastAsiaTheme="minorEastAsia" w:hAnsi="Arial" w:cs="Arial"/>
        </w:rPr>
        <w:t xml:space="preserve"> 30 tabs with 1 refill, or the equivalent of 30 total doxycycline PEP courses. The decision about </w:t>
      </w:r>
      <w:r w:rsidR="00054F1D">
        <w:rPr>
          <w:rFonts w:ascii="Arial" w:eastAsiaTheme="minorEastAsia" w:hAnsi="Arial" w:cs="Arial"/>
        </w:rPr>
        <w:t>how much</w:t>
      </w:r>
      <w:r w:rsidRPr="7DF3D025">
        <w:rPr>
          <w:rFonts w:ascii="Arial" w:eastAsiaTheme="minorEastAsia" w:hAnsi="Arial" w:cs="Arial"/>
        </w:rPr>
        <w:t xml:space="preserve"> to prescribe is at the provider’s discretion and should be based on a discussion with the patient regarding expectations for frequency of refill requests.</w:t>
      </w:r>
    </w:p>
    <w:p w14:paraId="02BD195D" w14:textId="4187EB90" w:rsidR="001C39F8" w:rsidRPr="000B66E6" w:rsidRDefault="28C57E61" w:rsidP="5E234F12">
      <w:pPr>
        <w:pStyle w:val="ListParagraph"/>
        <w:numPr>
          <w:ilvl w:val="0"/>
          <w:numId w:val="5"/>
        </w:numPr>
        <w:spacing w:after="120"/>
        <w:ind w:left="360"/>
        <w:rPr>
          <w:rFonts w:ascii="Arial" w:eastAsiaTheme="minorEastAsia" w:hAnsi="Arial" w:cs="Arial"/>
        </w:rPr>
      </w:pPr>
      <w:r w:rsidRPr="5E234F12">
        <w:rPr>
          <w:rFonts w:ascii="Arial" w:eastAsiaTheme="minorEastAsia" w:hAnsi="Arial" w:cs="Arial"/>
        </w:rPr>
        <w:t xml:space="preserve">Providers should educate patients </w:t>
      </w:r>
      <w:r w:rsidR="32557862" w:rsidRPr="5E234F12">
        <w:rPr>
          <w:rFonts w:ascii="Arial" w:eastAsiaTheme="minorEastAsia" w:hAnsi="Arial" w:cs="Arial"/>
        </w:rPr>
        <w:t>that</w:t>
      </w:r>
      <w:r w:rsidR="73B09330" w:rsidRPr="5E234F12">
        <w:rPr>
          <w:rFonts w:ascii="Arial" w:eastAsiaTheme="minorEastAsia" w:hAnsi="Arial" w:cs="Arial"/>
        </w:rPr>
        <w:t xml:space="preserve"> </w:t>
      </w:r>
      <w:r w:rsidRPr="5E234F12">
        <w:rPr>
          <w:rFonts w:ascii="Arial" w:eastAsiaTheme="minorEastAsia" w:hAnsi="Arial" w:cs="Arial"/>
        </w:rPr>
        <w:t xml:space="preserve">doxycycline </w:t>
      </w:r>
      <w:r w:rsidR="22EB21B8" w:rsidRPr="5E234F12">
        <w:rPr>
          <w:rFonts w:ascii="Arial" w:eastAsiaTheme="minorEastAsia" w:hAnsi="Arial" w:cs="Arial"/>
        </w:rPr>
        <w:t xml:space="preserve">PEP </w:t>
      </w:r>
      <w:r w:rsidR="365FFAB9" w:rsidRPr="5E234F12">
        <w:rPr>
          <w:rFonts w:ascii="Arial" w:eastAsiaTheme="minorEastAsia" w:hAnsi="Arial" w:cs="Arial"/>
        </w:rPr>
        <w:t xml:space="preserve">taken </w:t>
      </w:r>
      <w:r w:rsidR="47A62BA8" w:rsidRPr="5E234F12">
        <w:rPr>
          <w:rFonts w:ascii="Arial" w:eastAsiaTheme="minorEastAsia" w:hAnsi="Arial" w:cs="Arial"/>
        </w:rPr>
        <w:t xml:space="preserve">for prolonged periods </w:t>
      </w:r>
      <w:r w:rsidRPr="5E234F12">
        <w:rPr>
          <w:rFonts w:ascii="Arial" w:eastAsiaTheme="minorEastAsia" w:hAnsi="Arial" w:cs="Arial"/>
        </w:rPr>
        <w:t>may cause skin to be more sensitive to sunlight and that precautions should be taken to minimize sun exposure</w:t>
      </w:r>
      <w:r w:rsidR="66E36668" w:rsidRPr="5E234F12">
        <w:rPr>
          <w:rFonts w:ascii="Arial" w:eastAsiaTheme="minorEastAsia" w:hAnsi="Arial" w:cs="Arial"/>
        </w:rPr>
        <w:t xml:space="preserve"> </w:t>
      </w:r>
      <w:r w:rsidR="2F2C14C5" w:rsidRPr="5E234F12">
        <w:rPr>
          <w:rFonts w:ascii="Arial" w:eastAsiaTheme="minorEastAsia" w:hAnsi="Arial" w:cs="Arial"/>
        </w:rPr>
        <w:t>while taking the medication.</w:t>
      </w:r>
      <w:r w:rsidR="001C39F8" w:rsidRPr="5E234F12">
        <w:rPr>
          <w:rFonts w:ascii="Arial" w:eastAsiaTheme="minorEastAsia" w:hAnsi="Arial" w:cs="Arial"/>
        </w:rPr>
        <w:t xml:space="preserve"> </w:t>
      </w:r>
    </w:p>
    <w:p w14:paraId="2B82A455" w14:textId="29D9E257" w:rsidR="001C39F8" w:rsidRPr="000B66E6" w:rsidRDefault="001C39F8" w:rsidP="00827A0D">
      <w:pPr>
        <w:spacing w:after="120" w:line="259" w:lineRule="auto"/>
        <w:rPr>
          <w:rFonts w:ascii="Arial" w:eastAsiaTheme="minorEastAsia" w:hAnsi="Arial" w:cs="Arial"/>
          <w:b/>
          <w:bCs/>
          <w:sz w:val="22"/>
          <w:szCs w:val="22"/>
        </w:rPr>
      </w:pPr>
      <w:r w:rsidRPr="000B66E6">
        <w:rPr>
          <w:rFonts w:ascii="Arial" w:eastAsiaTheme="minorEastAsia" w:hAnsi="Arial" w:cs="Arial"/>
          <w:b/>
          <w:bCs/>
          <w:sz w:val="22"/>
          <w:szCs w:val="22"/>
        </w:rPr>
        <w:t>Please contact the MDPH Division of STD Prevention and HIV/AIDS Surveillance for:</w:t>
      </w:r>
    </w:p>
    <w:p w14:paraId="4DE7166A" w14:textId="77777777" w:rsidR="001C39F8" w:rsidRPr="000B66E6" w:rsidRDefault="001C39F8" w:rsidP="00827A0D">
      <w:pPr>
        <w:pStyle w:val="ListParagraph"/>
        <w:numPr>
          <w:ilvl w:val="0"/>
          <w:numId w:val="7"/>
        </w:numPr>
        <w:spacing w:after="120"/>
        <w:ind w:left="360" w:hanging="360"/>
        <w:rPr>
          <w:rFonts w:ascii="Arial" w:eastAsiaTheme="minorEastAsia" w:hAnsi="Arial" w:cs="Arial"/>
        </w:rPr>
      </w:pPr>
      <w:r w:rsidRPr="000B66E6">
        <w:rPr>
          <w:rFonts w:ascii="Arial" w:eastAsiaTheme="minorEastAsia" w:hAnsi="Arial" w:cs="Arial"/>
        </w:rPr>
        <w:t xml:space="preserve">Clinical consultation on complex cases, available through the MDPH Division of STD Prevention clinical team or the </w:t>
      </w:r>
      <w:hyperlink r:id="rId15" w:history="1">
        <w:r w:rsidRPr="000B66E6">
          <w:rPr>
            <w:rStyle w:val="Hyperlink"/>
            <w:rFonts w:ascii="Arial" w:eastAsiaTheme="minorEastAsia" w:hAnsi="Arial" w:cs="Arial"/>
          </w:rPr>
          <w:t>STD Clinical Consultation Network</w:t>
        </w:r>
      </w:hyperlink>
      <w:r w:rsidRPr="000B66E6">
        <w:rPr>
          <w:rFonts w:ascii="Arial" w:eastAsiaTheme="minorEastAsia" w:hAnsi="Arial" w:cs="Arial"/>
        </w:rPr>
        <w:t xml:space="preserve">.  </w:t>
      </w:r>
    </w:p>
    <w:p w14:paraId="3553C091" w14:textId="159B229F" w:rsidR="001C39F8" w:rsidRPr="000B66E6" w:rsidRDefault="00000000" w:rsidP="00827A0D">
      <w:pPr>
        <w:pStyle w:val="ListParagraph"/>
        <w:numPr>
          <w:ilvl w:val="0"/>
          <w:numId w:val="7"/>
        </w:numPr>
        <w:spacing w:after="120"/>
        <w:ind w:left="360" w:hanging="360"/>
        <w:rPr>
          <w:rFonts w:ascii="Franklin Gothic Book" w:eastAsiaTheme="minorEastAsia" w:hAnsi="Franklin Gothic Book" w:cs="Arial"/>
        </w:rPr>
        <w:sectPr w:rsidR="001C39F8" w:rsidRPr="000B66E6" w:rsidSect="00FF69B2">
          <w:footerReference w:type="default" r:id="rId16"/>
          <w:type w:val="continuous"/>
          <w:pgSz w:w="12240" w:h="15840" w:code="1"/>
          <w:pgMar w:top="1440" w:right="1080" w:bottom="1440" w:left="1080" w:header="720" w:footer="720" w:gutter="0"/>
          <w:cols w:space="720"/>
          <w:docGrid w:linePitch="360"/>
        </w:sectPr>
      </w:pPr>
      <w:hyperlink r:id="rId17" w:history="1">
        <w:r w:rsidR="001C39F8" w:rsidRPr="000B66E6">
          <w:rPr>
            <w:rStyle w:val="Hyperlink"/>
            <w:rFonts w:ascii="Arial" w:eastAsiaTheme="minorEastAsia" w:hAnsi="Arial" w:cs="Arial"/>
          </w:rPr>
          <w:t>Partner services</w:t>
        </w:r>
      </w:hyperlink>
      <w:r w:rsidR="001C39F8" w:rsidRPr="000B66E6">
        <w:rPr>
          <w:rFonts w:ascii="Arial" w:eastAsiaTheme="minorEastAsia" w:hAnsi="Arial" w:cs="Arial"/>
        </w:rPr>
        <w:t xml:space="preserve"> – contact tracing </w:t>
      </w:r>
      <w:r w:rsidR="004411F2">
        <w:rPr>
          <w:rFonts w:ascii="Arial" w:eastAsiaTheme="minorEastAsia" w:hAnsi="Arial" w:cs="Arial"/>
        </w:rPr>
        <w:t xml:space="preserve">is performed </w:t>
      </w:r>
      <w:r w:rsidR="001C39F8" w:rsidRPr="000B66E6">
        <w:rPr>
          <w:rFonts w:ascii="Arial" w:eastAsiaTheme="minorEastAsia" w:hAnsi="Arial" w:cs="Arial"/>
        </w:rPr>
        <w:t>for new HIV infection, infectious syphilis cases, and cases of ceftriaxone-non-susceptible gonorrhea. For more information, please call the MDPH Reporting and Partner Services Line at 617-983-6999.</w:t>
      </w:r>
    </w:p>
    <w:p w14:paraId="690F4F45" w14:textId="77777777" w:rsidR="001C39F8" w:rsidRPr="00BE1162" w:rsidRDefault="001C39F8" w:rsidP="001C39F8">
      <w:pPr>
        <w:rPr>
          <w:rFonts w:ascii="Arial" w:eastAsiaTheme="minorEastAsia" w:hAnsi="Arial" w:cs="Arial"/>
          <w:b/>
          <w:bCs/>
          <w:szCs w:val="24"/>
        </w:rPr>
      </w:pPr>
      <w:r w:rsidRPr="00BE1162">
        <w:rPr>
          <w:rFonts w:ascii="Arial" w:eastAsiaTheme="minorEastAsia" w:hAnsi="Arial" w:cs="Arial"/>
          <w:b/>
          <w:bCs/>
          <w:szCs w:val="24"/>
        </w:rPr>
        <w:lastRenderedPageBreak/>
        <w:t>Summary of Evidence: Doxy-PEP Trials and Real-World Data</w:t>
      </w:r>
    </w:p>
    <w:tbl>
      <w:tblPr>
        <w:tblW w:w="13765" w:type="dxa"/>
        <w:tblLook w:val="04A0" w:firstRow="1" w:lastRow="0" w:firstColumn="1" w:lastColumn="0" w:noHBand="0" w:noVBand="1"/>
      </w:tblPr>
      <w:tblGrid>
        <w:gridCol w:w="895"/>
        <w:gridCol w:w="1800"/>
        <w:gridCol w:w="2250"/>
        <w:gridCol w:w="1170"/>
        <w:gridCol w:w="1080"/>
        <w:gridCol w:w="2340"/>
        <w:gridCol w:w="2160"/>
        <w:gridCol w:w="2070"/>
      </w:tblGrid>
      <w:tr w:rsidR="00BE1162" w:rsidRPr="00BE1162" w14:paraId="12FD8F9F" w14:textId="77777777" w:rsidTr="00BE1162">
        <w:trPr>
          <w:trHeight w:val="289"/>
        </w:trPr>
        <w:tc>
          <w:tcPr>
            <w:tcW w:w="895" w:type="dxa"/>
            <w:tcBorders>
              <w:top w:val="single" w:sz="4" w:space="0" w:color="auto"/>
              <w:left w:val="single" w:sz="4" w:space="0" w:color="auto"/>
              <w:bottom w:val="single" w:sz="4" w:space="0" w:color="auto"/>
              <w:right w:val="nil"/>
            </w:tcBorders>
            <w:shd w:val="clear" w:color="auto" w:fill="auto"/>
            <w:noWrap/>
            <w:hideMark/>
          </w:tcPr>
          <w:p w14:paraId="0B60E6AE"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 </w:t>
            </w:r>
          </w:p>
        </w:tc>
        <w:tc>
          <w:tcPr>
            <w:tcW w:w="1800" w:type="dxa"/>
            <w:tcBorders>
              <w:top w:val="single" w:sz="4" w:space="0" w:color="auto"/>
              <w:left w:val="nil"/>
              <w:bottom w:val="single" w:sz="4" w:space="0" w:color="auto"/>
              <w:right w:val="nil"/>
            </w:tcBorders>
            <w:shd w:val="clear" w:color="auto" w:fill="auto"/>
            <w:hideMark/>
          </w:tcPr>
          <w:p w14:paraId="1F7E682C"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 </w:t>
            </w:r>
          </w:p>
        </w:tc>
        <w:tc>
          <w:tcPr>
            <w:tcW w:w="2250" w:type="dxa"/>
            <w:tcBorders>
              <w:top w:val="single" w:sz="4" w:space="0" w:color="auto"/>
              <w:left w:val="nil"/>
              <w:bottom w:val="single" w:sz="4" w:space="0" w:color="auto"/>
              <w:right w:val="nil"/>
            </w:tcBorders>
            <w:shd w:val="clear" w:color="auto" w:fill="auto"/>
            <w:hideMark/>
          </w:tcPr>
          <w:p w14:paraId="4F6F13FC"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 </w:t>
            </w:r>
          </w:p>
        </w:tc>
        <w:tc>
          <w:tcPr>
            <w:tcW w:w="1170" w:type="dxa"/>
            <w:tcBorders>
              <w:top w:val="single" w:sz="4" w:space="0" w:color="auto"/>
              <w:left w:val="nil"/>
              <w:bottom w:val="single" w:sz="4" w:space="0" w:color="auto"/>
              <w:right w:val="nil"/>
            </w:tcBorders>
            <w:shd w:val="clear" w:color="auto" w:fill="auto"/>
            <w:noWrap/>
            <w:hideMark/>
          </w:tcPr>
          <w:p w14:paraId="735E86A2"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hideMark/>
          </w:tcPr>
          <w:p w14:paraId="0C5FD7C3"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 </w:t>
            </w:r>
          </w:p>
        </w:tc>
        <w:tc>
          <w:tcPr>
            <w:tcW w:w="6570" w:type="dxa"/>
            <w:gridSpan w:val="3"/>
            <w:tcBorders>
              <w:top w:val="single" w:sz="4" w:space="0" w:color="auto"/>
              <w:left w:val="nil"/>
              <w:bottom w:val="single" w:sz="4" w:space="0" w:color="auto"/>
              <w:right w:val="single" w:sz="4" w:space="0" w:color="auto"/>
            </w:tcBorders>
            <w:shd w:val="clear" w:color="auto" w:fill="auto"/>
            <w:noWrap/>
            <w:hideMark/>
          </w:tcPr>
          <w:p w14:paraId="53E4FE53" w14:textId="77777777" w:rsidR="001C39F8" w:rsidRPr="00BE1162" w:rsidRDefault="001C39F8" w:rsidP="00F83C79">
            <w:pPr>
              <w:rPr>
                <w:rFonts w:ascii="Arial" w:hAnsi="Arial" w:cs="Arial"/>
                <w:b/>
                <w:bCs/>
                <w:color w:val="000000"/>
                <w:sz w:val="18"/>
                <w:szCs w:val="18"/>
                <w:u w:val="single"/>
              </w:rPr>
            </w:pPr>
            <w:r w:rsidRPr="00BE1162">
              <w:rPr>
                <w:rFonts w:ascii="Arial" w:hAnsi="Arial" w:cs="Arial"/>
                <w:b/>
                <w:bCs/>
                <w:color w:val="000000"/>
                <w:sz w:val="18"/>
                <w:szCs w:val="18"/>
                <w:u w:val="single"/>
              </w:rPr>
              <w:t>Randomized Controlled Trials: No Doxy-PEP vs. Doxy-PEP (95% CI)</w:t>
            </w:r>
          </w:p>
        </w:tc>
      </w:tr>
      <w:tr w:rsidR="00BE1162" w:rsidRPr="00BE1162" w14:paraId="0A8B7553" w14:textId="77777777" w:rsidTr="00BE1162">
        <w:trPr>
          <w:trHeight w:val="289"/>
        </w:trPr>
        <w:tc>
          <w:tcPr>
            <w:tcW w:w="895" w:type="dxa"/>
            <w:tcBorders>
              <w:top w:val="nil"/>
              <w:left w:val="single" w:sz="4" w:space="0" w:color="auto"/>
              <w:bottom w:val="single" w:sz="4" w:space="0" w:color="auto"/>
              <w:right w:val="single" w:sz="4" w:space="0" w:color="auto"/>
            </w:tcBorders>
            <w:shd w:val="clear" w:color="auto" w:fill="auto"/>
            <w:noWrap/>
            <w:hideMark/>
          </w:tcPr>
          <w:p w14:paraId="247B7598"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Time Period</w:t>
            </w:r>
          </w:p>
        </w:tc>
        <w:tc>
          <w:tcPr>
            <w:tcW w:w="1800" w:type="dxa"/>
            <w:tcBorders>
              <w:top w:val="nil"/>
              <w:left w:val="nil"/>
              <w:bottom w:val="single" w:sz="4" w:space="0" w:color="auto"/>
              <w:right w:val="single" w:sz="4" w:space="0" w:color="auto"/>
            </w:tcBorders>
            <w:shd w:val="clear" w:color="auto" w:fill="auto"/>
            <w:hideMark/>
          </w:tcPr>
          <w:p w14:paraId="2F5B0FDA"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Country</w:t>
            </w:r>
          </w:p>
        </w:tc>
        <w:tc>
          <w:tcPr>
            <w:tcW w:w="2250" w:type="dxa"/>
            <w:tcBorders>
              <w:top w:val="nil"/>
              <w:left w:val="nil"/>
              <w:bottom w:val="single" w:sz="4" w:space="0" w:color="auto"/>
              <w:right w:val="single" w:sz="4" w:space="0" w:color="auto"/>
            </w:tcBorders>
            <w:shd w:val="clear" w:color="auto" w:fill="auto"/>
            <w:hideMark/>
          </w:tcPr>
          <w:p w14:paraId="537BEA8C"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Study Population</w:t>
            </w:r>
          </w:p>
        </w:tc>
        <w:tc>
          <w:tcPr>
            <w:tcW w:w="1170" w:type="dxa"/>
            <w:tcBorders>
              <w:top w:val="nil"/>
              <w:left w:val="nil"/>
              <w:bottom w:val="single" w:sz="4" w:space="0" w:color="auto"/>
              <w:right w:val="single" w:sz="4" w:space="0" w:color="auto"/>
            </w:tcBorders>
            <w:shd w:val="clear" w:color="auto" w:fill="auto"/>
            <w:noWrap/>
            <w:hideMark/>
          </w:tcPr>
          <w:p w14:paraId="53E1DA38"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Sample Size</w:t>
            </w:r>
          </w:p>
        </w:tc>
        <w:tc>
          <w:tcPr>
            <w:tcW w:w="1080" w:type="dxa"/>
            <w:tcBorders>
              <w:top w:val="nil"/>
              <w:left w:val="nil"/>
              <w:bottom w:val="single" w:sz="4" w:space="0" w:color="auto"/>
              <w:right w:val="single" w:sz="4" w:space="0" w:color="auto"/>
            </w:tcBorders>
            <w:shd w:val="clear" w:color="auto" w:fill="auto"/>
            <w:hideMark/>
          </w:tcPr>
          <w:p w14:paraId="1A7D7CA0"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Median Follow-up Time</w:t>
            </w:r>
          </w:p>
        </w:tc>
        <w:tc>
          <w:tcPr>
            <w:tcW w:w="2340" w:type="dxa"/>
            <w:tcBorders>
              <w:top w:val="nil"/>
              <w:left w:val="nil"/>
              <w:bottom w:val="single" w:sz="4" w:space="0" w:color="auto"/>
              <w:right w:val="single" w:sz="4" w:space="0" w:color="auto"/>
            </w:tcBorders>
            <w:shd w:val="clear" w:color="auto" w:fill="auto"/>
            <w:noWrap/>
            <w:hideMark/>
          </w:tcPr>
          <w:p w14:paraId="5B22B747"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Syphilis</w:t>
            </w:r>
          </w:p>
        </w:tc>
        <w:tc>
          <w:tcPr>
            <w:tcW w:w="2160" w:type="dxa"/>
            <w:tcBorders>
              <w:top w:val="nil"/>
              <w:left w:val="nil"/>
              <w:bottom w:val="single" w:sz="4" w:space="0" w:color="auto"/>
              <w:right w:val="single" w:sz="4" w:space="0" w:color="auto"/>
            </w:tcBorders>
            <w:shd w:val="clear" w:color="auto" w:fill="auto"/>
            <w:noWrap/>
            <w:hideMark/>
          </w:tcPr>
          <w:p w14:paraId="5DDDFEA0"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Chlamydia</w:t>
            </w:r>
          </w:p>
        </w:tc>
        <w:tc>
          <w:tcPr>
            <w:tcW w:w="2070" w:type="dxa"/>
            <w:tcBorders>
              <w:top w:val="nil"/>
              <w:left w:val="nil"/>
              <w:bottom w:val="single" w:sz="4" w:space="0" w:color="auto"/>
              <w:right w:val="single" w:sz="4" w:space="0" w:color="auto"/>
            </w:tcBorders>
            <w:shd w:val="clear" w:color="auto" w:fill="auto"/>
            <w:noWrap/>
            <w:hideMark/>
          </w:tcPr>
          <w:p w14:paraId="287E262E"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Gonorrhea</w:t>
            </w:r>
          </w:p>
        </w:tc>
      </w:tr>
      <w:tr w:rsidR="00BE1162" w:rsidRPr="00BE1162" w14:paraId="1C60D1E4" w14:textId="77777777" w:rsidTr="00BE1162">
        <w:trPr>
          <w:trHeight w:val="289"/>
        </w:trPr>
        <w:tc>
          <w:tcPr>
            <w:tcW w:w="895" w:type="dxa"/>
            <w:tcBorders>
              <w:top w:val="nil"/>
              <w:left w:val="single" w:sz="4" w:space="0" w:color="auto"/>
              <w:bottom w:val="single" w:sz="4" w:space="0" w:color="auto"/>
              <w:right w:val="single" w:sz="4" w:space="0" w:color="auto"/>
            </w:tcBorders>
            <w:shd w:val="clear" w:color="auto" w:fill="auto"/>
            <w:noWrap/>
            <w:hideMark/>
          </w:tcPr>
          <w:p w14:paraId="2320B6FD"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2015-16</w:t>
            </w:r>
          </w:p>
        </w:tc>
        <w:tc>
          <w:tcPr>
            <w:tcW w:w="1800" w:type="dxa"/>
            <w:tcBorders>
              <w:top w:val="nil"/>
              <w:left w:val="nil"/>
              <w:bottom w:val="single" w:sz="4" w:space="0" w:color="auto"/>
              <w:right w:val="single" w:sz="4" w:space="0" w:color="auto"/>
            </w:tcBorders>
            <w:shd w:val="clear" w:color="auto" w:fill="auto"/>
            <w:hideMark/>
          </w:tcPr>
          <w:p w14:paraId="3918C67A" w14:textId="77777777" w:rsidR="001C39F8" w:rsidRPr="00BE1162" w:rsidRDefault="00000000" w:rsidP="00F83C79">
            <w:pPr>
              <w:rPr>
                <w:rFonts w:ascii="Arial" w:hAnsi="Arial" w:cs="Arial"/>
                <w:color w:val="467886"/>
                <w:sz w:val="18"/>
                <w:szCs w:val="18"/>
                <w:u w:val="single"/>
              </w:rPr>
            </w:pPr>
            <w:hyperlink r:id="rId18" w:history="1">
              <w:r w:rsidR="001C39F8" w:rsidRPr="00BE1162">
                <w:rPr>
                  <w:rFonts w:ascii="Arial" w:hAnsi="Arial" w:cs="Arial"/>
                  <w:color w:val="467886"/>
                  <w:sz w:val="18"/>
                  <w:szCs w:val="18"/>
                  <w:u w:val="single"/>
                </w:rPr>
                <w:t>France</w:t>
              </w:r>
            </w:hyperlink>
          </w:p>
        </w:tc>
        <w:tc>
          <w:tcPr>
            <w:tcW w:w="2250" w:type="dxa"/>
            <w:tcBorders>
              <w:top w:val="nil"/>
              <w:left w:val="nil"/>
              <w:bottom w:val="single" w:sz="4" w:space="0" w:color="auto"/>
              <w:right w:val="single" w:sz="4" w:space="0" w:color="auto"/>
            </w:tcBorders>
            <w:shd w:val="clear" w:color="auto" w:fill="auto"/>
            <w:hideMark/>
          </w:tcPr>
          <w:p w14:paraId="06830380"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MSM and TGW without HIV</w:t>
            </w:r>
          </w:p>
        </w:tc>
        <w:tc>
          <w:tcPr>
            <w:tcW w:w="1170" w:type="dxa"/>
            <w:tcBorders>
              <w:top w:val="nil"/>
              <w:left w:val="nil"/>
              <w:bottom w:val="single" w:sz="4" w:space="0" w:color="auto"/>
              <w:right w:val="single" w:sz="4" w:space="0" w:color="auto"/>
            </w:tcBorders>
            <w:shd w:val="clear" w:color="auto" w:fill="auto"/>
            <w:noWrap/>
            <w:hideMark/>
          </w:tcPr>
          <w:p w14:paraId="6B29FC6C"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232</w:t>
            </w:r>
          </w:p>
        </w:tc>
        <w:tc>
          <w:tcPr>
            <w:tcW w:w="1080" w:type="dxa"/>
            <w:tcBorders>
              <w:top w:val="nil"/>
              <w:left w:val="nil"/>
              <w:bottom w:val="single" w:sz="4" w:space="0" w:color="auto"/>
              <w:right w:val="single" w:sz="4" w:space="0" w:color="auto"/>
            </w:tcBorders>
            <w:shd w:val="clear" w:color="auto" w:fill="auto"/>
            <w:hideMark/>
          </w:tcPr>
          <w:p w14:paraId="44C59A8B"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8.7 months</w:t>
            </w:r>
          </w:p>
        </w:tc>
        <w:tc>
          <w:tcPr>
            <w:tcW w:w="2340" w:type="dxa"/>
            <w:tcBorders>
              <w:top w:val="nil"/>
              <w:left w:val="nil"/>
              <w:bottom w:val="single" w:sz="4" w:space="0" w:color="auto"/>
              <w:right w:val="single" w:sz="4" w:space="0" w:color="auto"/>
            </w:tcBorders>
            <w:shd w:val="clear" w:color="auto" w:fill="auto"/>
            <w:noWrap/>
            <w:hideMark/>
          </w:tcPr>
          <w:p w14:paraId="6BC6A222"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HR 0.27 (0.07 - 0.98)</w:t>
            </w:r>
          </w:p>
        </w:tc>
        <w:tc>
          <w:tcPr>
            <w:tcW w:w="2160" w:type="dxa"/>
            <w:tcBorders>
              <w:top w:val="nil"/>
              <w:left w:val="nil"/>
              <w:bottom w:val="single" w:sz="4" w:space="0" w:color="auto"/>
              <w:right w:val="single" w:sz="4" w:space="0" w:color="auto"/>
            </w:tcBorders>
            <w:shd w:val="clear" w:color="auto" w:fill="auto"/>
            <w:noWrap/>
            <w:hideMark/>
          </w:tcPr>
          <w:p w14:paraId="3E46D1D0"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HR 0.30 (0.13 - 0.70)</w:t>
            </w:r>
          </w:p>
        </w:tc>
        <w:tc>
          <w:tcPr>
            <w:tcW w:w="2070" w:type="dxa"/>
            <w:tcBorders>
              <w:top w:val="nil"/>
              <w:left w:val="nil"/>
              <w:bottom w:val="single" w:sz="4" w:space="0" w:color="auto"/>
              <w:right w:val="single" w:sz="4" w:space="0" w:color="auto"/>
            </w:tcBorders>
            <w:shd w:val="clear" w:color="auto" w:fill="auto"/>
            <w:noWrap/>
            <w:hideMark/>
          </w:tcPr>
          <w:p w14:paraId="3DEBDBEC"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HR 0.83 (0.47 - 1.47)</w:t>
            </w:r>
          </w:p>
        </w:tc>
      </w:tr>
      <w:tr w:rsidR="001C39F8" w:rsidRPr="00BE1162" w14:paraId="0E1A0852" w14:textId="77777777" w:rsidTr="00BE1162">
        <w:trPr>
          <w:trHeight w:val="289"/>
        </w:trPr>
        <w:tc>
          <w:tcPr>
            <w:tcW w:w="895" w:type="dxa"/>
            <w:tcBorders>
              <w:top w:val="nil"/>
              <w:left w:val="single" w:sz="4" w:space="0" w:color="auto"/>
              <w:bottom w:val="single" w:sz="4" w:space="0" w:color="auto"/>
              <w:right w:val="single" w:sz="4" w:space="0" w:color="auto"/>
            </w:tcBorders>
            <w:shd w:val="clear" w:color="auto" w:fill="auto"/>
            <w:noWrap/>
            <w:hideMark/>
          </w:tcPr>
          <w:p w14:paraId="4960D38C"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2019-23</w:t>
            </w:r>
          </w:p>
        </w:tc>
        <w:tc>
          <w:tcPr>
            <w:tcW w:w="1800" w:type="dxa"/>
            <w:tcBorders>
              <w:top w:val="nil"/>
              <w:left w:val="nil"/>
              <w:bottom w:val="single" w:sz="4" w:space="0" w:color="auto"/>
              <w:right w:val="single" w:sz="4" w:space="0" w:color="auto"/>
            </w:tcBorders>
            <w:shd w:val="clear" w:color="auto" w:fill="auto"/>
            <w:hideMark/>
          </w:tcPr>
          <w:p w14:paraId="22A072C9" w14:textId="77777777" w:rsidR="001C39F8" w:rsidRPr="00BE1162" w:rsidRDefault="00000000" w:rsidP="00F83C79">
            <w:pPr>
              <w:rPr>
                <w:rFonts w:ascii="Arial" w:hAnsi="Arial" w:cs="Arial"/>
                <w:color w:val="467886"/>
                <w:sz w:val="18"/>
                <w:szCs w:val="18"/>
                <w:u w:val="single"/>
              </w:rPr>
            </w:pPr>
            <w:hyperlink r:id="rId19" w:history="1">
              <w:r w:rsidR="001C39F8" w:rsidRPr="00BE1162">
                <w:rPr>
                  <w:rFonts w:ascii="Arial" w:hAnsi="Arial" w:cs="Arial"/>
                  <w:color w:val="467886"/>
                  <w:sz w:val="18"/>
                  <w:szCs w:val="18"/>
                  <w:u w:val="single"/>
                </w:rPr>
                <w:t>France</w:t>
              </w:r>
            </w:hyperlink>
          </w:p>
        </w:tc>
        <w:tc>
          <w:tcPr>
            <w:tcW w:w="2250" w:type="dxa"/>
            <w:tcBorders>
              <w:top w:val="nil"/>
              <w:left w:val="nil"/>
              <w:bottom w:val="nil"/>
              <w:right w:val="nil"/>
            </w:tcBorders>
            <w:shd w:val="clear" w:color="auto" w:fill="auto"/>
            <w:noWrap/>
            <w:hideMark/>
          </w:tcPr>
          <w:p w14:paraId="0060431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MSM on HIV PrEP</w:t>
            </w:r>
          </w:p>
        </w:tc>
        <w:tc>
          <w:tcPr>
            <w:tcW w:w="1170" w:type="dxa"/>
            <w:tcBorders>
              <w:top w:val="nil"/>
              <w:left w:val="single" w:sz="4" w:space="0" w:color="auto"/>
              <w:bottom w:val="single" w:sz="4" w:space="0" w:color="auto"/>
              <w:right w:val="single" w:sz="4" w:space="0" w:color="auto"/>
            </w:tcBorders>
            <w:shd w:val="clear" w:color="auto" w:fill="auto"/>
            <w:noWrap/>
            <w:hideMark/>
          </w:tcPr>
          <w:p w14:paraId="07FA9A6E"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545</w:t>
            </w:r>
          </w:p>
        </w:tc>
        <w:tc>
          <w:tcPr>
            <w:tcW w:w="1080" w:type="dxa"/>
            <w:tcBorders>
              <w:top w:val="nil"/>
              <w:left w:val="nil"/>
              <w:bottom w:val="single" w:sz="4" w:space="0" w:color="auto"/>
              <w:right w:val="single" w:sz="4" w:space="0" w:color="auto"/>
            </w:tcBorders>
            <w:shd w:val="clear" w:color="auto" w:fill="auto"/>
            <w:hideMark/>
          </w:tcPr>
          <w:p w14:paraId="340335F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14 months</w:t>
            </w:r>
          </w:p>
        </w:tc>
        <w:tc>
          <w:tcPr>
            <w:tcW w:w="2340" w:type="dxa"/>
            <w:tcBorders>
              <w:top w:val="nil"/>
              <w:left w:val="nil"/>
              <w:bottom w:val="single" w:sz="4" w:space="0" w:color="auto"/>
              <w:right w:val="single" w:sz="4" w:space="0" w:color="auto"/>
            </w:tcBorders>
            <w:shd w:val="clear" w:color="auto" w:fill="auto"/>
            <w:noWrap/>
            <w:hideMark/>
          </w:tcPr>
          <w:p w14:paraId="7A3A424C"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aHR 0.21 (0.11 - 0.41)</w:t>
            </w:r>
          </w:p>
        </w:tc>
        <w:tc>
          <w:tcPr>
            <w:tcW w:w="2160" w:type="dxa"/>
            <w:tcBorders>
              <w:top w:val="nil"/>
              <w:left w:val="nil"/>
              <w:bottom w:val="single" w:sz="4" w:space="0" w:color="auto"/>
              <w:right w:val="single" w:sz="4" w:space="0" w:color="auto"/>
            </w:tcBorders>
            <w:shd w:val="clear" w:color="auto" w:fill="auto"/>
            <w:noWrap/>
            <w:hideMark/>
          </w:tcPr>
          <w:p w14:paraId="280E5F0D"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aHR 0.14 (0.09 - 0.23)</w:t>
            </w:r>
          </w:p>
        </w:tc>
        <w:tc>
          <w:tcPr>
            <w:tcW w:w="2070" w:type="dxa"/>
            <w:tcBorders>
              <w:top w:val="nil"/>
              <w:left w:val="nil"/>
              <w:bottom w:val="single" w:sz="4" w:space="0" w:color="auto"/>
              <w:right w:val="single" w:sz="4" w:space="0" w:color="auto"/>
            </w:tcBorders>
            <w:shd w:val="clear" w:color="auto" w:fill="auto"/>
            <w:noWrap/>
            <w:hideMark/>
          </w:tcPr>
          <w:p w14:paraId="4A613423"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aHR 0.67 (0.52 - 0.87)</w:t>
            </w:r>
          </w:p>
        </w:tc>
      </w:tr>
      <w:tr w:rsidR="001C39F8" w:rsidRPr="00BE1162" w14:paraId="27955F4D" w14:textId="77777777" w:rsidTr="00BE1162">
        <w:trPr>
          <w:trHeight w:val="289"/>
        </w:trPr>
        <w:tc>
          <w:tcPr>
            <w:tcW w:w="895" w:type="dxa"/>
            <w:vMerge w:val="restart"/>
            <w:tcBorders>
              <w:top w:val="nil"/>
              <w:left w:val="single" w:sz="4" w:space="0" w:color="auto"/>
              <w:bottom w:val="single" w:sz="4" w:space="0" w:color="auto"/>
              <w:right w:val="single" w:sz="4" w:space="0" w:color="auto"/>
            </w:tcBorders>
            <w:shd w:val="clear" w:color="auto" w:fill="auto"/>
            <w:noWrap/>
            <w:hideMark/>
          </w:tcPr>
          <w:p w14:paraId="17BDF0F5"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2020-22</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14:paraId="6CD19F33" w14:textId="77777777" w:rsidR="001C39F8" w:rsidRPr="00BE1162" w:rsidRDefault="00000000" w:rsidP="00F83C79">
            <w:pPr>
              <w:rPr>
                <w:rFonts w:ascii="Arial" w:hAnsi="Arial" w:cs="Arial"/>
                <w:color w:val="467886"/>
                <w:sz w:val="18"/>
                <w:szCs w:val="18"/>
                <w:u w:val="single"/>
              </w:rPr>
            </w:pPr>
            <w:hyperlink r:id="rId20" w:history="1">
              <w:r w:rsidR="001C39F8" w:rsidRPr="00BE1162">
                <w:rPr>
                  <w:rFonts w:ascii="Arial" w:hAnsi="Arial" w:cs="Arial"/>
                  <w:color w:val="467886"/>
                  <w:sz w:val="18"/>
                  <w:szCs w:val="18"/>
                  <w:u w:val="single"/>
                </w:rPr>
                <w:t xml:space="preserve">United States </w:t>
              </w:r>
            </w:hyperlink>
          </w:p>
        </w:tc>
        <w:tc>
          <w:tcPr>
            <w:tcW w:w="2250" w:type="dxa"/>
            <w:tcBorders>
              <w:top w:val="single" w:sz="4" w:space="0" w:color="auto"/>
              <w:left w:val="nil"/>
              <w:bottom w:val="single" w:sz="4" w:space="0" w:color="auto"/>
              <w:right w:val="single" w:sz="4" w:space="0" w:color="auto"/>
            </w:tcBorders>
            <w:shd w:val="clear" w:color="auto" w:fill="auto"/>
            <w:hideMark/>
          </w:tcPr>
          <w:p w14:paraId="40D54A35"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MSM and TGW on HIV PrEP</w:t>
            </w:r>
          </w:p>
        </w:tc>
        <w:tc>
          <w:tcPr>
            <w:tcW w:w="1170" w:type="dxa"/>
            <w:tcBorders>
              <w:top w:val="nil"/>
              <w:left w:val="nil"/>
              <w:bottom w:val="single" w:sz="4" w:space="0" w:color="auto"/>
              <w:right w:val="single" w:sz="4" w:space="0" w:color="auto"/>
            </w:tcBorders>
            <w:shd w:val="clear" w:color="auto" w:fill="auto"/>
            <w:noWrap/>
            <w:hideMark/>
          </w:tcPr>
          <w:p w14:paraId="518CB5A2"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327</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14:paraId="1E20F4A6"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9 months</w:t>
            </w:r>
          </w:p>
        </w:tc>
        <w:tc>
          <w:tcPr>
            <w:tcW w:w="2340" w:type="dxa"/>
            <w:tcBorders>
              <w:top w:val="nil"/>
              <w:left w:val="nil"/>
              <w:bottom w:val="single" w:sz="4" w:space="0" w:color="auto"/>
              <w:right w:val="single" w:sz="4" w:space="0" w:color="auto"/>
            </w:tcBorders>
            <w:shd w:val="clear" w:color="auto" w:fill="auto"/>
            <w:noWrap/>
            <w:hideMark/>
          </w:tcPr>
          <w:p w14:paraId="71565440"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0.13 (0.03 - 0.59)</w:t>
            </w:r>
          </w:p>
        </w:tc>
        <w:tc>
          <w:tcPr>
            <w:tcW w:w="2160" w:type="dxa"/>
            <w:tcBorders>
              <w:top w:val="nil"/>
              <w:left w:val="nil"/>
              <w:bottom w:val="single" w:sz="4" w:space="0" w:color="auto"/>
              <w:right w:val="single" w:sz="4" w:space="0" w:color="auto"/>
            </w:tcBorders>
            <w:shd w:val="clear" w:color="auto" w:fill="auto"/>
            <w:noWrap/>
            <w:hideMark/>
          </w:tcPr>
          <w:p w14:paraId="17EB1430"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0.12 (0.05 - 0.25)</w:t>
            </w:r>
          </w:p>
        </w:tc>
        <w:tc>
          <w:tcPr>
            <w:tcW w:w="2070" w:type="dxa"/>
            <w:tcBorders>
              <w:top w:val="nil"/>
              <w:left w:val="nil"/>
              <w:bottom w:val="single" w:sz="4" w:space="0" w:color="auto"/>
              <w:right w:val="single" w:sz="4" w:space="0" w:color="auto"/>
            </w:tcBorders>
            <w:shd w:val="clear" w:color="auto" w:fill="auto"/>
            <w:noWrap/>
            <w:hideMark/>
          </w:tcPr>
          <w:p w14:paraId="30722F82"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0.45 (0.32 - 0.65)</w:t>
            </w:r>
          </w:p>
        </w:tc>
      </w:tr>
      <w:tr w:rsidR="001C39F8" w:rsidRPr="00BE1162" w14:paraId="22E2C95B" w14:textId="77777777" w:rsidTr="00BE1162">
        <w:trPr>
          <w:trHeight w:val="289"/>
        </w:trPr>
        <w:tc>
          <w:tcPr>
            <w:tcW w:w="895" w:type="dxa"/>
            <w:vMerge/>
            <w:tcBorders>
              <w:top w:val="nil"/>
              <w:left w:val="single" w:sz="4" w:space="0" w:color="auto"/>
              <w:bottom w:val="single" w:sz="4" w:space="0" w:color="auto"/>
              <w:right w:val="single" w:sz="4" w:space="0" w:color="auto"/>
            </w:tcBorders>
            <w:hideMark/>
          </w:tcPr>
          <w:p w14:paraId="2875D4FB" w14:textId="77777777" w:rsidR="001C39F8" w:rsidRPr="00BE1162" w:rsidRDefault="001C39F8" w:rsidP="00F83C79">
            <w:pPr>
              <w:rPr>
                <w:rFonts w:ascii="Arial" w:hAnsi="Arial" w:cs="Arial"/>
                <w:color w:val="000000"/>
                <w:sz w:val="18"/>
                <w:szCs w:val="18"/>
              </w:rPr>
            </w:pPr>
          </w:p>
        </w:tc>
        <w:tc>
          <w:tcPr>
            <w:tcW w:w="1800" w:type="dxa"/>
            <w:vMerge/>
            <w:tcBorders>
              <w:top w:val="nil"/>
              <w:left w:val="single" w:sz="4" w:space="0" w:color="auto"/>
              <w:bottom w:val="single" w:sz="4" w:space="0" w:color="auto"/>
              <w:right w:val="single" w:sz="4" w:space="0" w:color="auto"/>
            </w:tcBorders>
            <w:hideMark/>
          </w:tcPr>
          <w:p w14:paraId="4B786A03" w14:textId="77777777" w:rsidR="001C39F8" w:rsidRPr="00BE1162" w:rsidRDefault="001C39F8" w:rsidP="00F83C79">
            <w:pPr>
              <w:rPr>
                <w:rFonts w:ascii="Arial" w:hAnsi="Arial" w:cs="Arial"/>
                <w:color w:val="467886"/>
                <w:sz w:val="18"/>
                <w:szCs w:val="18"/>
                <w:u w:val="single"/>
              </w:rPr>
            </w:pPr>
          </w:p>
        </w:tc>
        <w:tc>
          <w:tcPr>
            <w:tcW w:w="2250" w:type="dxa"/>
            <w:tcBorders>
              <w:top w:val="nil"/>
              <w:left w:val="nil"/>
              <w:bottom w:val="single" w:sz="4" w:space="0" w:color="auto"/>
              <w:right w:val="nil"/>
            </w:tcBorders>
            <w:shd w:val="clear" w:color="auto" w:fill="auto"/>
            <w:noWrap/>
            <w:hideMark/>
          </w:tcPr>
          <w:p w14:paraId="6587E435"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MSM and TGW with HIV</w:t>
            </w:r>
          </w:p>
        </w:tc>
        <w:tc>
          <w:tcPr>
            <w:tcW w:w="1170" w:type="dxa"/>
            <w:tcBorders>
              <w:top w:val="nil"/>
              <w:left w:val="single" w:sz="4" w:space="0" w:color="auto"/>
              <w:bottom w:val="single" w:sz="4" w:space="0" w:color="auto"/>
              <w:right w:val="single" w:sz="4" w:space="0" w:color="auto"/>
            </w:tcBorders>
            <w:shd w:val="clear" w:color="auto" w:fill="auto"/>
            <w:noWrap/>
            <w:hideMark/>
          </w:tcPr>
          <w:p w14:paraId="294AAD6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124</w:t>
            </w:r>
          </w:p>
        </w:tc>
        <w:tc>
          <w:tcPr>
            <w:tcW w:w="1080" w:type="dxa"/>
            <w:vMerge/>
            <w:tcBorders>
              <w:top w:val="nil"/>
              <w:left w:val="single" w:sz="4" w:space="0" w:color="auto"/>
              <w:bottom w:val="single" w:sz="4" w:space="0" w:color="auto"/>
              <w:right w:val="single" w:sz="4" w:space="0" w:color="auto"/>
            </w:tcBorders>
            <w:hideMark/>
          </w:tcPr>
          <w:p w14:paraId="30EB34B1" w14:textId="77777777" w:rsidR="001C39F8" w:rsidRPr="00BE1162" w:rsidRDefault="001C39F8" w:rsidP="00F83C79">
            <w:pPr>
              <w:rPr>
                <w:rFonts w:ascii="Arial" w:hAnsi="Arial" w:cs="Arial"/>
                <w:color w:val="000000"/>
                <w:sz w:val="18"/>
                <w:szCs w:val="18"/>
              </w:rPr>
            </w:pPr>
          </w:p>
        </w:tc>
        <w:tc>
          <w:tcPr>
            <w:tcW w:w="2340" w:type="dxa"/>
            <w:tcBorders>
              <w:top w:val="nil"/>
              <w:left w:val="nil"/>
              <w:bottom w:val="single" w:sz="4" w:space="0" w:color="auto"/>
              <w:right w:val="single" w:sz="4" w:space="0" w:color="auto"/>
            </w:tcBorders>
            <w:shd w:val="clear" w:color="auto" w:fill="auto"/>
            <w:noWrap/>
            <w:hideMark/>
          </w:tcPr>
          <w:p w14:paraId="4A512FD5"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RR 0.23 (0.04 - 1.29)</w:t>
            </w:r>
          </w:p>
        </w:tc>
        <w:tc>
          <w:tcPr>
            <w:tcW w:w="2160" w:type="dxa"/>
            <w:tcBorders>
              <w:top w:val="nil"/>
              <w:left w:val="nil"/>
              <w:bottom w:val="single" w:sz="4" w:space="0" w:color="auto"/>
              <w:right w:val="single" w:sz="4" w:space="0" w:color="auto"/>
            </w:tcBorders>
            <w:shd w:val="clear" w:color="auto" w:fill="auto"/>
            <w:noWrap/>
            <w:hideMark/>
          </w:tcPr>
          <w:p w14:paraId="27A4EDCD"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0.26 (0.12 - 0.57)</w:t>
            </w:r>
          </w:p>
        </w:tc>
        <w:tc>
          <w:tcPr>
            <w:tcW w:w="2070" w:type="dxa"/>
            <w:tcBorders>
              <w:top w:val="nil"/>
              <w:left w:val="nil"/>
              <w:bottom w:val="single" w:sz="4" w:space="0" w:color="auto"/>
              <w:right w:val="single" w:sz="4" w:space="0" w:color="auto"/>
            </w:tcBorders>
            <w:shd w:val="clear" w:color="auto" w:fill="auto"/>
            <w:noWrap/>
            <w:hideMark/>
          </w:tcPr>
          <w:p w14:paraId="7D4388C4"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0.43 (0.26 - 0.71)</w:t>
            </w:r>
          </w:p>
        </w:tc>
      </w:tr>
      <w:tr w:rsidR="001C39F8" w:rsidRPr="00BE1162" w14:paraId="61671C9D" w14:textId="77777777" w:rsidTr="00BE1162">
        <w:trPr>
          <w:trHeight w:val="309"/>
        </w:trPr>
        <w:tc>
          <w:tcPr>
            <w:tcW w:w="895" w:type="dxa"/>
            <w:tcBorders>
              <w:top w:val="nil"/>
              <w:left w:val="single" w:sz="4" w:space="0" w:color="auto"/>
              <w:bottom w:val="single" w:sz="4" w:space="0" w:color="auto"/>
              <w:right w:val="single" w:sz="4" w:space="0" w:color="auto"/>
            </w:tcBorders>
            <w:shd w:val="clear" w:color="auto" w:fill="auto"/>
            <w:noWrap/>
            <w:hideMark/>
          </w:tcPr>
          <w:p w14:paraId="71536F2A"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2020-22</w:t>
            </w:r>
          </w:p>
        </w:tc>
        <w:tc>
          <w:tcPr>
            <w:tcW w:w="1800" w:type="dxa"/>
            <w:tcBorders>
              <w:top w:val="nil"/>
              <w:left w:val="nil"/>
              <w:bottom w:val="single" w:sz="4" w:space="0" w:color="auto"/>
              <w:right w:val="single" w:sz="4" w:space="0" w:color="auto"/>
            </w:tcBorders>
            <w:shd w:val="clear" w:color="auto" w:fill="auto"/>
            <w:hideMark/>
          </w:tcPr>
          <w:p w14:paraId="28DC868F" w14:textId="77777777" w:rsidR="001C39F8" w:rsidRPr="00BE1162" w:rsidRDefault="00000000" w:rsidP="00F83C79">
            <w:pPr>
              <w:rPr>
                <w:rFonts w:ascii="Arial" w:hAnsi="Arial" w:cs="Arial"/>
                <w:color w:val="467886"/>
                <w:sz w:val="18"/>
                <w:szCs w:val="18"/>
                <w:u w:val="single"/>
              </w:rPr>
            </w:pPr>
            <w:hyperlink r:id="rId21" w:history="1">
              <w:r w:rsidR="001C39F8" w:rsidRPr="00BE1162">
                <w:rPr>
                  <w:rFonts w:ascii="Arial" w:hAnsi="Arial" w:cs="Arial"/>
                  <w:color w:val="467886"/>
                  <w:sz w:val="18"/>
                  <w:szCs w:val="18"/>
                  <w:u w:val="single"/>
                </w:rPr>
                <w:t>Kenya</w:t>
              </w:r>
            </w:hyperlink>
          </w:p>
        </w:tc>
        <w:tc>
          <w:tcPr>
            <w:tcW w:w="2250" w:type="dxa"/>
            <w:tcBorders>
              <w:top w:val="single" w:sz="4" w:space="0" w:color="auto"/>
              <w:left w:val="nil"/>
              <w:bottom w:val="nil"/>
              <w:right w:val="nil"/>
            </w:tcBorders>
            <w:shd w:val="clear" w:color="auto" w:fill="auto"/>
            <w:noWrap/>
            <w:hideMark/>
          </w:tcPr>
          <w:p w14:paraId="2F22EFCC"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Non-pregnant Women on HIV PrEP</w:t>
            </w:r>
          </w:p>
        </w:tc>
        <w:tc>
          <w:tcPr>
            <w:tcW w:w="1170" w:type="dxa"/>
            <w:tcBorders>
              <w:top w:val="nil"/>
              <w:left w:val="single" w:sz="4" w:space="0" w:color="auto"/>
              <w:bottom w:val="single" w:sz="4" w:space="0" w:color="auto"/>
              <w:right w:val="single" w:sz="4" w:space="0" w:color="auto"/>
            </w:tcBorders>
            <w:shd w:val="clear" w:color="auto" w:fill="auto"/>
            <w:noWrap/>
            <w:hideMark/>
          </w:tcPr>
          <w:p w14:paraId="6A562266"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449</w:t>
            </w:r>
          </w:p>
        </w:tc>
        <w:tc>
          <w:tcPr>
            <w:tcW w:w="1080" w:type="dxa"/>
            <w:tcBorders>
              <w:top w:val="nil"/>
              <w:left w:val="nil"/>
              <w:bottom w:val="single" w:sz="4" w:space="0" w:color="auto"/>
              <w:right w:val="single" w:sz="4" w:space="0" w:color="auto"/>
            </w:tcBorders>
            <w:shd w:val="clear" w:color="auto" w:fill="auto"/>
            <w:hideMark/>
          </w:tcPr>
          <w:p w14:paraId="0572933A"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12 months</w:t>
            </w:r>
          </w:p>
        </w:tc>
        <w:tc>
          <w:tcPr>
            <w:tcW w:w="2340" w:type="dxa"/>
            <w:tcBorders>
              <w:top w:val="nil"/>
              <w:left w:val="nil"/>
              <w:bottom w:val="single" w:sz="4" w:space="0" w:color="auto"/>
              <w:right w:val="single" w:sz="4" w:space="0" w:color="auto"/>
            </w:tcBorders>
            <w:shd w:val="clear" w:color="auto" w:fill="auto"/>
            <w:noWrap/>
            <w:hideMark/>
          </w:tcPr>
          <w:p w14:paraId="1786C854"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Not calculated</w:t>
            </w:r>
          </w:p>
        </w:tc>
        <w:tc>
          <w:tcPr>
            <w:tcW w:w="2160" w:type="dxa"/>
            <w:tcBorders>
              <w:top w:val="nil"/>
              <w:left w:val="nil"/>
              <w:bottom w:val="single" w:sz="4" w:space="0" w:color="auto"/>
              <w:right w:val="single" w:sz="4" w:space="0" w:color="auto"/>
            </w:tcBorders>
            <w:shd w:val="clear" w:color="auto" w:fill="auto"/>
            <w:noWrap/>
            <w:hideMark/>
          </w:tcPr>
          <w:p w14:paraId="28BFF11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RR 0.73 (0.47 - 1.13)</w:t>
            </w:r>
          </w:p>
        </w:tc>
        <w:tc>
          <w:tcPr>
            <w:tcW w:w="2070" w:type="dxa"/>
            <w:tcBorders>
              <w:top w:val="nil"/>
              <w:left w:val="nil"/>
              <w:bottom w:val="single" w:sz="4" w:space="0" w:color="auto"/>
              <w:right w:val="single" w:sz="4" w:space="0" w:color="auto"/>
            </w:tcBorders>
            <w:shd w:val="clear" w:color="auto" w:fill="auto"/>
            <w:noWrap/>
            <w:hideMark/>
          </w:tcPr>
          <w:p w14:paraId="6690F07F"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RR 1.64 (0.78 - 3.47)</w:t>
            </w:r>
          </w:p>
        </w:tc>
      </w:tr>
      <w:tr w:rsidR="001C39F8" w:rsidRPr="00BE1162" w14:paraId="3F47F741" w14:textId="77777777" w:rsidTr="00BE1162">
        <w:trPr>
          <w:trHeight w:val="289"/>
        </w:trPr>
        <w:tc>
          <w:tcPr>
            <w:tcW w:w="895" w:type="dxa"/>
            <w:tcBorders>
              <w:top w:val="nil"/>
              <w:left w:val="single" w:sz="4" w:space="0" w:color="auto"/>
              <w:bottom w:val="nil"/>
              <w:right w:val="nil"/>
            </w:tcBorders>
            <w:shd w:val="clear" w:color="auto" w:fill="auto"/>
            <w:noWrap/>
            <w:hideMark/>
          </w:tcPr>
          <w:p w14:paraId="4BC1A321"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1800" w:type="dxa"/>
            <w:tcBorders>
              <w:top w:val="nil"/>
              <w:left w:val="nil"/>
              <w:bottom w:val="nil"/>
              <w:right w:val="nil"/>
            </w:tcBorders>
            <w:shd w:val="clear" w:color="auto" w:fill="auto"/>
            <w:hideMark/>
          </w:tcPr>
          <w:p w14:paraId="5E9BF8A3"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2250" w:type="dxa"/>
            <w:tcBorders>
              <w:top w:val="single" w:sz="4" w:space="0" w:color="auto"/>
              <w:left w:val="nil"/>
              <w:bottom w:val="nil"/>
              <w:right w:val="nil"/>
            </w:tcBorders>
            <w:shd w:val="clear" w:color="auto" w:fill="auto"/>
            <w:hideMark/>
          </w:tcPr>
          <w:p w14:paraId="209E6247"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1170" w:type="dxa"/>
            <w:tcBorders>
              <w:top w:val="nil"/>
              <w:left w:val="nil"/>
              <w:bottom w:val="nil"/>
              <w:right w:val="nil"/>
            </w:tcBorders>
            <w:shd w:val="clear" w:color="auto" w:fill="auto"/>
            <w:noWrap/>
            <w:hideMark/>
          </w:tcPr>
          <w:p w14:paraId="772D0832"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1080" w:type="dxa"/>
            <w:tcBorders>
              <w:top w:val="nil"/>
              <w:left w:val="nil"/>
              <w:bottom w:val="nil"/>
              <w:right w:val="single" w:sz="4" w:space="0" w:color="auto"/>
            </w:tcBorders>
            <w:shd w:val="clear" w:color="auto" w:fill="auto"/>
            <w:hideMark/>
          </w:tcPr>
          <w:p w14:paraId="15A04E2B"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2340" w:type="dxa"/>
            <w:tcBorders>
              <w:top w:val="nil"/>
              <w:left w:val="nil"/>
              <w:bottom w:val="nil"/>
              <w:right w:val="nil"/>
            </w:tcBorders>
            <w:shd w:val="clear" w:color="auto" w:fill="auto"/>
            <w:noWrap/>
            <w:hideMark/>
          </w:tcPr>
          <w:p w14:paraId="41E37F9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2160" w:type="dxa"/>
            <w:tcBorders>
              <w:top w:val="nil"/>
              <w:left w:val="nil"/>
              <w:bottom w:val="nil"/>
              <w:right w:val="nil"/>
            </w:tcBorders>
            <w:shd w:val="clear" w:color="auto" w:fill="auto"/>
            <w:noWrap/>
            <w:hideMark/>
          </w:tcPr>
          <w:p w14:paraId="4FA2B7FE"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2070" w:type="dxa"/>
            <w:tcBorders>
              <w:top w:val="nil"/>
              <w:left w:val="nil"/>
              <w:bottom w:val="nil"/>
              <w:right w:val="single" w:sz="4" w:space="0" w:color="auto"/>
            </w:tcBorders>
            <w:shd w:val="clear" w:color="auto" w:fill="auto"/>
            <w:noWrap/>
            <w:hideMark/>
          </w:tcPr>
          <w:p w14:paraId="307979F2"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r>
      <w:tr w:rsidR="00BE1162" w:rsidRPr="00BE1162" w14:paraId="76AA5F75" w14:textId="77777777" w:rsidTr="00BE1162">
        <w:trPr>
          <w:trHeight w:val="289"/>
        </w:trPr>
        <w:tc>
          <w:tcPr>
            <w:tcW w:w="895" w:type="dxa"/>
            <w:tcBorders>
              <w:top w:val="nil"/>
              <w:left w:val="single" w:sz="4" w:space="0" w:color="auto"/>
              <w:bottom w:val="single" w:sz="4" w:space="0" w:color="auto"/>
              <w:right w:val="nil"/>
            </w:tcBorders>
            <w:shd w:val="clear" w:color="auto" w:fill="auto"/>
            <w:noWrap/>
            <w:hideMark/>
          </w:tcPr>
          <w:p w14:paraId="46E5573F"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1800" w:type="dxa"/>
            <w:tcBorders>
              <w:top w:val="nil"/>
              <w:left w:val="nil"/>
              <w:bottom w:val="single" w:sz="4" w:space="0" w:color="auto"/>
              <w:right w:val="nil"/>
            </w:tcBorders>
            <w:shd w:val="clear" w:color="auto" w:fill="auto"/>
            <w:hideMark/>
          </w:tcPr>
          <w:p w14:paraId="6750F589"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2250" w:type="dxa"/>
            <w:tcBorders>
              <w:top w:val="nil"/>
              <w:left w:val="nil"/>
              <w:bottom w:val="single" w:sz="4" w:space="0" w:color="auto"/>
              <w:right w:val="nil"/>
            </w:tcBorders>
            <w:shd w:val="clear" w:color="auto" w:fill="auto"/>
            <w:hideMark/>
          </w:tcPr>
          <w:p w14:paraId="27E866F5"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1170" w:type="dxa"/>
            <w:tcBorders>
              <w:top w:val="nil"/>
              <w:left w:val="nil"/>
              <w:bottom w:val="single" w:sz="4" w:space="0" w:color="auto"/>
              <w:right w:val="nil"/>
            </w:tcBorders>
            <w:shd w:val="clear" w:color="auto" w:fill="auto"/>
            <w:noWrap/>
            <w:hideMark/>
          </w:tcPr>
          <w:p w14:paraId="19C284D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hideMark/>
          </w:tcPr>
          <w:p w14:paraId="566F2304"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 </w:t>
            </w:r>
          </w:p>
        </w:tc>
        <w:tc>
          <w:tcPr>
            <w:tcW w:w="6570" w:type="dxa"/>
            <w:gridSpan w:val="3"/>
            <w:tcBorders>
              <w:top w:val="nil"/>
              <w:left w:val="nil"/>
              <w:bottom w:val="single" w:sz="4" w:space="0" w:color="auto"/>
              <w:right w:val="single" w:sz="4" w:space="0" w:color="auto"/>
            </w:tcBorders>
            <w:shd w:val="clear" w:color="auto" w:fill="auto"/>
            <w:noWrap/>
            <w:hideMark/>
          </w:tcPr>
          <w:p w14:paraId="009F3469" w14:textId="77777777" w:rsidR="001C39F8" w:rsidRPr="00BE1162" w:rsidRDefault="001C39F8" w:rsidP="00F83C79">
            <w:pPr>
              <w:rPr>
                <w:rFonts w:ascii="Arial" w:hAnsi="Arial" w:cs="Arial"/>
                <w:b/>
                <w:bCs/>
                <w:color w:val="000000"/>
                <w:sz w:val="18"/>
                <w:szCs w:val="18"/>
                <w:u w:val="single"/>
              </w:rPr>
            </w:pPr>
            <w:r w:rsidRPr="00BE1162">
              <w:rPr>
                <w:rFonts w:ascii="Arial" w:hAnsi="Arial" w:cs="Arial"/>
                <w:b/>
                <w:bCs/>
                <w:color w:val="000000"/>
                <w:sz w:val="18"/>
                <w:szCs w:val="18"/>
                <w:u w:val="single"/>
              </w:rPr>
              <w:t>Real-World Settings: Pre- vs. Post-Doxy-PEP Time Period Comparisons (95% CI)</w:t>
            </w:r>
          </w:p>
        </w:tc>
      </w:tr>
      <w:tr w:rsidR="00BE1162" w:rsidRPr="00BE1162" w14:paraId="0538C746" w14:textId="77777777" w:rsidTr="00BE1162">
        <w:trPr>
          <w:trHeight w:val="289"/>
        </w:trPr>
        <w:tc>
          <w:tcPr>
            <w:tcW w:w="895" w:type="dxa"/>
            <w:tcBorders>
              <w:top w:val="nil"/>
              <w:left w:val="single" w:sz="4" w:space="0" w:color="auto"/>
              <w:bottom w:val="single" w:sz="4" w:space="0" w:color="auto"/>
              <w:right w:val="single" w:sz="4" w:space="0" w:color="auto"/>
            </w:tcBorders>
            <w:shd w:val="clear" w:color="auto" w:fill="auto"/>
            <w:noWrap/>
            <w:hideMark/>
          </w:tcPr>
          <w:p w14:paraId="011CF801"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Time Period</w:t>
            </w:r>
          </w:p>
        </w:tc>
        <w:tc>
          <w:tcPr>
            <w:tcW w:w="1800" w:type="dxa"/>
            <w:tcBorders>
              <w:top w:val="nil"/>
              <w:left w:val="nil"/>
              <w:bottom w:val="single" w:sz="4" w:space="0" w:color="auto"/>
              <w:right w:val="single" w:sz="4" w:space="0" w:color="auto"/>
            </w:tcBorders>
            <w:shd w:val="clear" w:color="auto" w:fill="auto"/>
            <w:hideMark/>
          </w:tcPr>
          <w:p w14:paraId="4F62FDFA"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Observation</w:t>
            </w:r>
          </w:p>
        </w:tc>
        <w:tc>
          <w:tcPr>
            <w:tcW w:w="2250" w:type="dxa"/>
            <w:tcBorders>
              <w:top w:val="nil"/>
              <w:left w:val="nil"/>
              <w:bottom w:val="single" w:sz="4" w:space="0" w:color="auto"/>
              <w:right w:val="single" w:sz="4" w:space="0" w:color="auto"/>
            </w:tcBorders>
            <w:shd w:val="clear" w:color="auto" w:fill="auto"/>
            <w:hideMark/>
          </w:tcPr>
          <w:p w14:paraId="23B641D4"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Population Size</w:t>
            </w:r>
          </w:p>
        </w:tc>
        <w:tc>
          <w:tcPr>
            <w:tcW w:w="1170" w:type="dxa"/>
            <w:tcBorders>
              <w:top w:val="nil"/>
              <w:left w:val="nil"/>
              <w:bottom w:val="single" w:sz="4" w:space="0" w:color="auto"/>
              <w:right w:val="single" w:sz="4" w:space="0" w:color="auto"/>
            </w:tcBorders>
            <w:shd w:val="clear" w:color="auto" w:fill="auto"/>
            <w:noWrap/>
            <w:hideMark/>
          </w:tcPr>
          <w:p w14:paraId="22083770"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Pre-period</w:t>
            </w:r>
          </w:p>
        </w:tc>
        <w:tc>
          <w:tcPr>
            <w:tcW w:w="1080" w:type="dxa"/>
            <w:tcBorders>
              <w:top w:val="nil"/>
              <w:left w:val="nil"/>
              <w:bottom w:val="single" w:sz="4" w:space="0" w:color="auto"/>
              <w:right w:val="single" w:sz="4" w:space="0" w:color="auto"/>
            </w:tcBorders>
            <w:shd w:val="clear" w:color="auto" w:fill="auto"/>
            <w:hideMark/>
          </w:tcPr>
          <w:p w14:paraId="304379DD"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Post-period</w:t>
            </w:r>
          </w:p>
        </w:tc>
        <w:tc>
          <w:tcPr>
            <w:tcW w:w="2340" w:type="dxa"/>
            <w:tcBorders>
              <w:top w:val="nil"/>
              <w:left w:val="nil"/>
              <w:bottom w:val="single" w:sz="4" w:space="0" w:color="auto"/>
              <w:right w:val="single" w:sz="4" w:space="0" w:color="auto"/>
            </w:tcBorders>
            <w:shd w:val="clear" w:color="auto" w:fill="auto"/>
            <w:noWrap/>
            <w:hideMark/>
          </w:tcPr>
          <w:p w14:paraId="27A6D347"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Syphilis</w:t>
            </w:r>
          </w:p>
        </w:tc>
        <w:tc>
          <w:tcPr>
            <w:tcW w:w="2160" w:type="dxa"/>
            <w:tcBorders>
              <w:top w:val="nil"/>
              <w:left w:val="nil"/>
              <w:bottom w:val="single" w:sz="4" w:space="0" w:color="auto"/>
              <w:right w:val="single" w:sz="4" w:space="0" w:color="auto"/>
            </w:tcBorders>
            <w:shd w:val="clear" w:color="auto" w:fill="auto"/>
            <w:noWrap/>
            <w:hideMark/>
          </w:tcPr>
          <w:p w14:paraId="460402EA"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Chlamydia</w:t>
            </w:r>
          </w:p>
        </w:tc>
        <w:tc>
          <w:tcPr>
            <w:tcW w:w="2070" w:type="dxa"/>
            <w:tcBorders>
              <w:top w:val="nil"/>
              <w:left w:val="nil"/>
              <w:bottom w:val="single" w:sz="4" w:space="0" w:color="auto"/>
              <w:right w:val="single" w:sz="4" w:space="0" w:color="auto"/>
            </w:tcBorders>
            <w:shd w:val="clear" w:color="auto" w:fill="auto"/>
            <w:noWrap/>
            <w:hideMark/>
          </w:tcPr>
          <w:p w14:paraId="22F0A6B9"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Gonorrhea</w:t>
            </w:r>
          </w:p>
        </w:tc>
      </w:tr>
      <w:tr w:rsidR="00BE1162" w:rsidRPr="00BE1162" w14:paraId="6CC43417" w14:textId="77777777" w:rsidTr="00BE1162">
        <w:trPr>
          <w:trHeight w:val="868"/>
        </w:trPr>
        <w:tc>
          <w:tcPr>
            <w:tcW w:w="895" w:type="dxa"/>
            <w:tcBorders>
              <w:top w:val="nil"/>
              <w:left w:val="single" w:sz="4" w:space="0" w:color="auto"/>
              <w:bottom w:val="single" w:sz="4" w:space="0" w:color="auto"/>
              <w:right w:val="single" w:sz="4" w:space="0" w:color="auto"/>
            </w:tcBorders>
            <w:shd w:val="clear" w:color="auto" w:fill="auto"/>
            <w:noWrap/>
            <w:hideMark/>
          </w:tcPr>
          <w:p w14:paraId="6E418784"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2021-23</w:t>
            </w:r>
          </w:p>
        </w:tc>
        <w:tc>
          <w:tcPr>
            <w:tcW w:w="1800" w:type="dxa"/>
            <w:tcBorders>
              <w:top w:val="nil"/>
              <w:left w:val="nil"/>
              <w:bottom w:val="single" w:sz="4" w:space="0" w:color="auto"/>
              <w:right w:val="single" w:sz="4" w:space="0" w:color="auto"/>
            </w:tcBorders>
            <w:shd w:val="clear" w:color="auto" w:fill="auto"/>
            <w:hideMark/>
          </w:tcPr>
          <w:p w14:paraId="62F8D0E8" w14:textId="77777777" w:rsidR="001C39F8" w:rsidRPr="00BE1162" w:rsidRDefault="00000000" w:rsidP="00F83C79">
            <w:pPr>
              <w:rPr>
                <w:rFonts w:ascii="Arial" w:hAnsi="Arial" w:cs="Arial"/>
                <w:color w:val="467886"/>
                <w:sz w:val="18"/>
                <w:szCs w:val="18"/>
                <w:u w:val="single"/>
              </w:rPr>
            </w:pPr>
            <w:hyperlink r:id="rId22" w:history="1">
              <w:r w:rsidR="001C39F8" w:rsidRPr="00BE1162">
                <w:rPr>
                  <w:rFonts w:ascii="Arial" w:hAnsi="Arial" w:cs="Arial"/>
                  <w:color w:val="467886"/>
                  <w:sz w:val="18"/>
                  <w:szCs w:val="18"/>
                  <w:u w:val="single"/>
                </w:rPr>
                <w:t>Reported STIs in San Francisco MSM and TGW</w:t>
              </w:r>
            </w:hyperlink>
          </w:p>
        </w:tc>
        <w:tc>
          <w:tcPr>
            <w:tcW w:w="2250" w:type="dxa"/>
            <w:tcBorders>
              <w:top w:val="nil"/>
              <w:left w:val="nil"/>
              <w:bottom w:val="single" w:sz="4" w:space="0" w:color="auto"/>
              <w:right w:val="single" w:sz="4" w:space="0" w:color="auto"/>
            </w:tcBorders>
            <w:shd w:val="clear" w:color="auto" w:fill="auto"/>
            <w:hideMark/>
          </w:tcPr>
          <w:p w14:paraId="7E733B2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Not estimated</w:t>
            </w:r>
          </w:p>
        </w:tc>
        <w:tc>
          <w:tcPr>
            <w:tcW w:w="1170" w:type="dxa"/>
            <w:tcBorders>
              <w:top w:val="nil"/>
              <w:left w:val="nil"/>
              <w:bottom w:val="single" w:sz="4" w:space="0" w:color="auto"/>
              <w:right w:val="single" w:sz="4" w:space="0" w:color="auto"/>
            </w:tcBorders>
            <w:shd w:val="clear" w:color="auto" w:fill="auto"/>
            <w:noWrap/>
            <w:hideMark/>
          </w:tcPr>
          <w:p w14:paraId="25B1566F"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7/1/21 - 10/31/22</w:t>
            </w:r>
          </w:p>
        </w:tc>
        <w:tc>
          <w:tcPr>
            <w:tcW w:w="1080" w:type="dxa"/>
            <w:tcBorders>
              <w:top w:val="nil"/>
              <w:left w:val="nil"/>
              <w:bottom w:val="single" w:sz="4" w:space="0" w:color="auto"/>
              <w:right w:val="single" w:sz="4" w:space="0" w:color="auto"/>
            </w:tcBorders>
            <w:shd w:val="clear" w:color="auto" w:fill="auto"/>
            <w:hideMark/>
          </w:tcPr>
          <w:p w14:paraId="1F4D9F31"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11/1/22 – 11/30/23</w:t>
            </w:r>
          </w:p>
        </w:tc>
        <w:tc>
          <w:tcPr>
            <w:tcW w:w="2340" w:type="dxa"/>
            <w:tcBorders>
              <w:top w:val="nil"/>
              <w:left w:val="nil"/>
              <w:bottom w:val="single" w:sz="4" w:space="0" w:color="auto"/>
              <w:right w:val="single" w:sz="4" w:space="0" w:color="auto"/>
            </w:tcBorders>
            <w:shd w:val="clear" w:color="auto" w:fill="auto"/>
            <w:noWrap/>
            <w:hideMark/>
          </w:tcPr>
          <w:p w14:paraId="7FE0DD7C"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51% decrease (43 - 58%)</w:t>
            </w:r>
          </w:p>
        </w:tc>
        <w:tc>
          <w:tcPr>
            <w:tcW w:w="2160" w:type="dxa"/>
            <w:tcBorders>
              <w:top w:val="nil"/>
              <w:left w:val="nil"/>
              <w:bottom w:val="single" w:sz="4" w:space="0" w:color="auto"/>
              <w:right w:val="single" w:sz="4" w:space="0" w:color="auto"/>
            </w:tcBorders>
            <w:shd w:val="clear" w:color="auto" w:fill="auto"/>
            <w:noWrap/>
            <w:hideMark/>
          </w:tcPr>
          <w:p w14:paraId="709DD136"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50% decrease (38 - 59%)</w:t>
            </w:r>
          </w:p>
        </w:tc>
        <w:tc>
          <w:tcPr>
            <w:tcW w:w="2070" w:type="dxa"/>
            <w:tcBorders>
              <w:top w:val="nil"/>
              <w:left w:val="nil"/>
              <w:bottom w:val="single" w:sz="4" w:space="0" w:color="auto"/>
              <w:right w:val="single" w:sz="4" w:space="0" w:color="auto"/>
            </w:tcBorders>
            <w:shd w:val="clear" w:color="auto" w:fill="auto"/>
            <w:noWrap/>
            <w:hideMark/>
          </w:tcPr>
          <w:p w14:paraId="716FE57F"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No significant change</w:t>
            </w:r>
          </w:p>
        </w:tc>
      </w:tr>
      <w:tr w:rsidR="00BE1162" w:rsidRPr="00BE1162" w14:paraId="2D2B8FC4" w14:textId="77777777" w:rsidTr="00BE1162">
        <w:trPr>
          <w:trHeight w:val="1447"/>
        </w:trPr>
        <w:tc>
          <w:tcPr>
            <w:tcW w:w="895" w:type="dxa"/>
            <w:tcBorders>
              <w:top w:val="nil"/>
              <w:left w:val="single" w:sz="4" w:space="0" w:color="auto"/>
              <w:bottom w:val="single" w:sz="4" w:space="0" w:color="auto"/>
              <w:right w:val="single" w:sz="4" w:space="0" w:color="auto"/>
            </w:tcBorders>
            <w:shd w:val="clear" w:color="auto" w:fill="auto"/>
            <w:noWrap/>
            <w:hideMark/>
          </w:tcPr>
          <w:p w14:paraId="3E0F596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2022-23</w:t>
            </w:r>
          </w:p>
        </w:tc>
        <w:tc>
          <w:tcPr>
            <w:tcW w:w="1800" w:type="dxa"/>
            <w:tcBorders>
              <w:top w:val="nil"/>
              <w:left w:val="nil"/>
              <w:bottom w:val="single" w:sz="4" w:space="0" w:color="auto"/>
              <w:right w:val="single" w:sz="4" w:space="0" w:color="auto"/>
            </w:tcBorders>
            <w:shd w:val="clear" w:color="auto" w:fill="auto"/>
            <w:hideMark/>
          </w:tcPr>
          <w:p w14:paraId="6DE5B8C7" w14:textId="77777777" w:rsidR="001C39F8" w:rsidRPr="00BE1162" w:rsidRDefault="00000000" w:rsidP="00F83C79">
            <w:pPr>
              <w:rPr>
                <w:rFonts w:ascii="Arial" w:hAnsi="Arial" w:cs="Arial"/>
                <w:color w:val="467886"/>
                <w:sz w:val="18"/>
                <w:szCs w:val="18"/>
                <w:u w:val="single"/>
              </w:rPr>
            </w:pPr>
            <w:hyperlink r:id="rId23" w:history="1">
              <w:r w:rsidR="001C39F8" w:rsidRPr="00BE1162">
                <w:rPr>
                  <w:rFonts w:ascii="Arial" w:hAnsi="Arial" w:cs="Arial"/>
                  <w:color w:val="467886"/>
                  <w:sz w:val="18"/>
                  <w:szCs w:val="18"/>
                  <w:u w:val="single"/>
                </w:rPr>
                <w:t>San Francisco AIDS Foundation Magnet Clinic @ Strut: doxy-PEP early adopters among HIV PrEP users</w:t>
              </w:r>
            </w:hyperlink>
          </w:p>
        </w:tc>
        <w:tc>
          <w:tcPr>
            <w:tcW w:w="2250" w:type="dxa"/>
            <w:tcBorders>
              <w:top w:val="nil"/>
              <w:left w:val="nil"/>
              <w:bottom w:val="single" w:sz="4" w:space="0" w:color="auto"/>
              <w:right w:val="single" w:sz="4" w:space="0" w:color="auto"/>
            </w:tcBorders>
            <w:shd w:val="clear" w:color="auto" w:fill="auto"/>
            <w:hideMark/>
          </w:tcPr>
          <w:p w14:paraId="20EEADDF"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1209</w:t>
            </w:r>
          </w:p>
        </w:tc>
        <w:tc>
          <w:tcPr>
            <w:tcW w:w="1170" w:type="dxa"/>
            <w:tcBorders>
              <w:top w:val="nil"/>
              <w:left w:val="nil"/>
              <w:bottom w:val="single" w:sz="4" w:space="0" w:color="auto"/>
              <w:right w:val="single" w:sz="4" w:space="0" w:color="auto"/>
            </w:tcBorders>
            <w:shd w:val="clear" w:color="auto" w:fill="auto"/>
            <w:noWrap/>
            <w:hideMark/>
          </w:tcPr>
          <w:p w14:paraId="7F90F5FC"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6/22 - 11/29/22</w:t>
            </w:r>
          </w:p>
        </w:tc>
        <w:tc>
          <w:tcPr>
            <w:tcW w:w="1080" w:type="dxa"/>
            <w:tcBorders>
              <w:top w:val="nil"/>
              <w:left w:val="nil"/>
              <w:bottom w:val="single" w:sz="4" w:space="0" w:color="auto"/>
              <w:right w:val="single" w:sz="4" w:space="0" w:color="auto"/>
            </w:tcBorders>
            <w:shd w:val="clear" w:color="auto" w:fill="auto"/>
            <w:hideMark/>
          </w:tcPr>
          <w:p w14:paraId="7739CAAA"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30 days after doxy-PEP initiation</w:t>
            </w:r>
          </w:p>
        </w:tc>
        <w:tc>
          <w:tcPr>
            <w:tcW w:w="2340" w:type="dxa"/>
            <w:tcBorders>
              <w:top w:val="nil"/>
              <w:left w:val="nil"/>
              <w:bottom w:val="single" w:sz="4" w:space="0" w:color="auto"/>
              <w:right w:val="single" w:sz="4" w:space="0" w:color="auto"/>
            </w:tcBorders>
            <w:shd w:val="clear" w:color="auto" w:fill="auto"/>
            <w:noWrap/>
            <w:hideMark/>
          </w:tcPr>
          <w:p w14:paraId="7F20E15A"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IRR 0.22 (0.09 - 0.54)</w:t>
            </w:r>
          </w:p>
        </w:tc>
        <w:tc>
          <w:tcPr>
            <w:tcW w:w="2160" w:type="dxa"/>
            <w:tcBorders>
              <w:top w:val="nil"/>
              <w:left w:val="nil"/>
              <w:bottom w:val="single" w:sz="4" w:space="0" w:color="auto"/>
              <w:right w:val="single" w:sz="4" w:space="0" w:color="auto"/>
            </w:tcBorders>
            <w:shd w:val="clear" w:color="auto" w:fill="auto"/>
            <w:noWrap/>
            <w:hideMark/>
          </w:tcPr>
          <w:p w14:paraId="2B7234CE"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IRR 0.33 (0.23 - 0.46)</w:t>
            </w:r>
          </w:p>
        </w:tc>
        <w:tc>
          <w:tcPr>
            <w:tcW w:w="2070" w:type="dxa"/>
            <w:tcBorders>
              <w:top w:val="nil"/>
              <w:left w:val="nil"/>
              <w:bottom w:val="single" w:sz="4" w:space="0" w:color="auto"/>
              <w:right w:val="single" w:sz="4" w:space="0" w:color="auto"/>
            </w:tcBorders>
            <w:shd w:val="clear" w:color="auto" w:fill="auto"/>
            <w:noWrap/>
            <w:hideMark/>
          </w:tcPr>
          <w:p w14:paraId="57608718"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IRR 0.89 (0.69 - 1.15)</w:t>
            </w:r>
          </w:p>
        </w:tc>
      </w:tr>
      <w:tr w:rsidR="00BE1162" w:rsidRPr="00BE1162" w14:paraId="7FF282E4" w14:textId="77777777" w:rsidTr="00BE1162">
        <w:trPr>
          <w:trHeight w:val="1157"/>
        </w:trPr>
        <w:tc>
          <w:tcPr>
            <w:tcW w:w="895" w:type="dxa"/>
            <w:tcBorders>
              <w:top w:val="nil"/>
              <w:left w:val="single" w:sz="4" w:space="0" w:color="auto"/>
              <w:bottom w:val="single" w:sz="4" w:space="0" w:color="auto"/>
              <w:right w:val="single" w:sz="4" w:space="0" w:color="auto"/>
            </w:tcBorders>
            <w:shd w:val="clear" w:color="auto" w:fill="auto"/>
            <w:noWrap/>
            <w:hideMark/>
          </w:tcPr>
          <w:p w14:paraId="7B372931"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2021-23</w:t>
            </w:r>
          </w:p>
        </w:tc>
        <w:tc>
          <w:tcPr>
            <w:tcW w:w="1800" w:type="dxa"/>
            <w:tcBorders>
              <w:top w:val="nil"/>
              <w:left w:val="nil"/>
              <w:bottom w:val="single" w:sz="4" w:space="0" w:color="auto"/>
              <w:right w:val="single" w:sz="4" w:space="0" w:color="auto"/>
            </w:tcBorders>
            <w:shd w:val="clear" w:color="auto" w:fill="auto"/>
            <w:hideMark/>
          </w:tcPr>
          <w:p w14:paraId="0E343896" w14:textId="77777777" w:rsidR="001C39F8" w:rsidRPr="00BE1162" w:rsidRDefault="00000000" w:rsidP="00F83C79">
            <w:pPr>
              <w:rPr>
                <w:rFonts w:ascii="Arial" w:hAnsi="Arial" w:cs="Arial"/>
                <w:color w:val="467886"/>
                <w:sz w:val="18"/>
                <w:szCs w:val="18"/>
                <w:u w:val="single"/>
              </w:rPr>
            </w:pPr>
            <w:hyperlink r:id="rId24" w:history="1">
              <w:r w:rsidR="001C39F8" w:rsidRPr="00BE1162">
                <w:rPr>
                  <w:rFonts w:ascii="Arial" w:hAnsi="Arial" w:cs="Arial"/>
                  <w:color w:val="467886"/>
                  <w:sz w:val="18"/>
                  <w:szCs w:val="18"/>
                  <w:u w:val="single"/>
                </w:rPr>
                <w:t>San Francisco City Clinic doxy-PEP adopters among MSM and TGW on HIV PrEP</w:t>
              </w:r>
            </w:hyperlink>
          </w:p>
        </w:tc>
        <w:tc>
          <w:tcPr>
            <w:tcW w:w="2250" w:type="dxa"/>
            <w:tcBorders>
              <w:top w:val="nil"/>
              <w:left w:val="nil"/>
              <w:bottom w:val="single" w:sz="4" w:space="0" w:color="auto"/>
              <w:right w:val="single" w:sz="4" w:space="0" w:color="auto"/>
            </w:tcBorders>
            <w:shd w:val="clear" w:color="auto" w:fill="auto"/>
            <w:hideMark/>
          </w:tcPr>
          <w:p w14:paraId="046B88AB"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~290</w:t>
            </w:r>
          </w:p>
        </w:tc>
        <w:tc>
          <w:tcPr>
            <w:tcW w:w="1170" w:type="dxa"/>
            <w:tcBorders>
              <w:top w:val="nil"/>
              <w:left w:val="nil"/>
              <w:bottom w:val="single" w:sz="4" w:space="0" w:color="auto"/>
              <w:right w:val="single" w:sz="4" w:space="0" w:color="auto"/>
            </w:tcBorders>
            <w:shd w:val="clear" w:color="auto" w:fill="auto"/>
            <w:noWrap/>
            <w:hideMark/>
          </w:tcPr>
          <w:p w14:paraId="2C66C81D"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11/3/21 - 11/2/22</w:t>
            </w:r>
          </w:p>
        </w:tc>
        <w:tc>
          <w:tcPr>
            <w:tcW w:w="1080" w:type="dxa"/>
            <w:tcBorders>
              <w:top w:val="nil"/>
              <w:left w:val="nil"/>
              <w:bottom w:val="single" w:sz="4" w:space="0" w:color="auto"/>
              <w:right w:val="single" w:sz="4" w:space="0" w:color="auto"/>
            </w:tcBorders>
            <w:shd w:val="clear" w:color="auto" w:fill="auto"/>
            <w:hideMark/>
          </w:tcPr>
          <w:p w14:paraId="7E17B8A7"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11/3/22 - 10/30/23</w:t>
            </w:r>
          </w:p>
        </w:tc>
        <w:tc>
          <w:tcPr>
            <w:tcW w:w="2340" w:type="dxa"/>
            <w:tcBorders>
              <w:top w:val="nil"/>
              <w:left w:val="nil"/>
              <w:bottom w:val="single" w:sz="4" w:space="0" w:color="auto"/>
              <w:right w:val="single" w:sz="4" w:space="0" w:color="auto"/>
            </w:tcBorders>
            <w:shd w:val="clear" w:color="auto" w:fill="auto"/>
            <w:noWrap/>
            <w:hideMark/>
          </w:tcPr>
          <w:p w14:paraId="6F13E0BE"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0.44 (0.21 - 0.92)</w:t>
            </w:r>
          </w:p>
        </w:tc>
        <w:tc>
          <w:tcPr>
            <w:tcW w:w="2160" w:type="dxa"/>
            <w:tcBorders>
              <w:top w:val="nil"/>
              <w:left w:val="nil"/>
              <w:bottom w:val="single" w:sz="4" w:space="0" w:color="auto"/>
              <w:right w:val="single" w:sz="4" w:space="0" w:color="auto"/>
            </w:tcBorders>
            <w:shd w:val="clear" w:color="auto" w:fill="auto"/>
            <w:noWrap/>
            <w:hideMark/>
          </w:tcPr>
          <w:p w14:paraId="68A1BF73" w14:textId="77777777" w:rsidR="001C39F8" w:rsidRPr="00BE1162" w:rsidRDefault="001C39F8" w:rsidP="00F83C79">
            <w:pPr>
              <w:rPr>
                <w:rFonts w:ascii="Arial" w:hAnsi="Arial" w:cs="Arial"/>
                <w:b/>
                <w:bCs/>
                <w:color w:val="000000"/>
                <w:sz w:val="18"/>
                <w:szCs w:val="18"/>
              </w:rPr>
            </w:pPr>
            <w:r w:rsidRPr="00BE1162">
              <w:rPr>
                <w:rFonts w:ascii="Arial" w:hAnsi="Arial" w:cs="Arial"/>
                <w:b/>
                <w:bCs/>
                <w:color w:val="000000"/>
                <w:sz w:val="18"/>
                <w:szCs w:val="18"/>
              </w:rPr>
              <w:t>RR 0.10 (0.05 - 0.21)</w:t>
            </w:r>
          </w:p>
        </w:tc>
        <w:tc>
          <w:tcPr>
            <w:tcW w:w="2070" w:type="dxa"/>
            <w:tcBorders>
              <w:top w:val="nil"/>
              <w:left w:val="nil"/>
              <w:bottom w:val="single" w:sz="4" w:space="0" w:color="auto"/>
              <w:right w:val="single" w:sz="4" w:space="0" w:color="auto"/>
            </w:tcBorders>
            <w:shd w:val="clear" w:color="auto" w:fill="auto"/>
            <w:noWrap/>
            <w:hideMark/>
          </w:tcPr>
          <w:p w14:paraId="203A844F" w14:textId="77777777" w:rsidR="001C39F8" w:rsidRPr="00BE1162" w:rsidRDefault="001C39F8" w:rsidP="00F83C79">
            <w:pPr>
              <w:rPr>
                <w:rFonts w:ascii="Arial" w:hAnsi="Arial" w:cs="Arial"/>
                <w:color w:val="000000"/>
                <w:sz w:val="18"/>
                <w:szCs w:val="18"/>
              </w:rPr>
            </w:pPr>
            <w:r w:rsidRPr="00BE1162">
              <w:rPr>
                <w:rFonts w:ascii="Arial" w:hAnsi="Arial" w:cs="Arial"/>
                <w:color w:val="000000"/>
                <w:sz w:val="18"/>
                <w:szCs w:val="18"/>
              </w:rPr>
              <w:t>RR 0.77 (0.58 - 1.02)</w:t>
            </w:r>
          </w:p>
        </w:tc>
      </w:tr>
    </w:tbl>
    <w:p w14:paraId="557A8B37" w14:textId="77777777" w:rsidR="00033154" w:rsidRPr="009908FF" w:rsidRDefault="00033154" w:rsidP="00BE1162"/>
    <w:sectPr w:rsidR="00033154" w:rsidRPr="009908FF" w:rsidSect="001C39F8">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FD26" w14:textId="77777777" w:rsidR="00453658" w:rsidRDefault="00453658">
      <w:r>
        <w:separator/>
      </w:r>
    </w:p>
  </w:endnote>
  <w:endnote w:type="continuationSeparator" w:id="0">
    <w:p w14:paraId="6052A112" w14:textId="77777777" w:rsidR="00453658" w:rsidRDefault="00453658">
      <w:r>
        <w:continuationSeparator/>
      </w:r>
    </w:p>
  </w:endnote>
  <w:endnote w:type="continuationNotice" w:id="1">
    <w:p w14:paraId="02181F74" w14:textId="77777777" w:rsidR="00453658" w:rsidRDefault="0045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298452"/>
      <w:docPartObj>
        <w:docPartGallery w:val="Page Numbers (Bottom of Page)"/>
        <w:docPartUnique/>
      </w:docPartObj>
    </w:sdtPr>
    <w:sdtContent>
      <w:sdt>
        <w:sdtPr>
          <w:id w:val="1728636285"/>
          <w:docPartObj>
            <w:docPartGallery w:val="Page Numbers (Top of Page)"/>
            <w:docPartUnique/>
          </w:docPartObj>
        </w:sdtPr>
        <w:sdtContent>
          <w:p w14:paraId="6B230BBD" w14:textId="77777777" w:rsidR="00F83C79" w:rsidRDefault="00F83C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863B29" w14:textId="77777777" w:rsidR="00F83C79" w:rsidRDefault="00F83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CD7D6" w14:textId="77777777" w:rsidR="00453658" w:rsidRDefault="00453658">
      <w:r>
        <w:separator/>
      </w:r>
    </w:p>
  </w:footnote>
  <w:footnote w:type="continuationSeparator" w:id="0">
    <w:p w14:paraId="78993812" w14:textId="77777777" w:rsidR="00453658" w:rsidRDefault="00453658">
      <w:r>
        <w:continuationSeparator/>
      </w:r>
    </w:p>
  </w:footnote>
  <w:footnote w:type="continuationNotice" w:id="1">
    <w:p w14:paraId="58B7A652" w14:textId="77777777" w:rsidR="00453658" w:rsidRDefault="00453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91017"/>
    <w:multiLevelType w:val="hybridMultilevel"/>
    <w:tmpl w:val="F59848E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74A69A5"/>
    <w:multiLevelType w:val="hybridMultilevel"/>
    <w:tmpl w:val="57527414"/>
    <w:lvl w:ilvl="0" w:tplc="F0FA375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D301D"/>
    <w:multiLevelType w:val="hybridMultilevel"/>
    <w:tmpl w:val="10D8A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7E7BCF"/>
    <w:multiLevelType w:val="hybridMultilevel"/>
    <w:tmpl w:val="210C24DE"/>
    <w:lvl w:ilvl="0" w:tplc="70DE4D26">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F4F1F"/>
    <w:multiLevelType w:val="hybridMultilevel"/>
    <w:tmpl w:val="1EB8FC3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9AE0925"/>
    <w:multiLevelType w:val="hybridMultilevel"/>
    <w:tmpl w:val="FAE4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72144"/>
    <w:multiLevelType w:val="hybridMultilevel"/>
    <w:tmpl w:val="D750943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36826159">
    <w:abstractNumId w:val="1"/>
  </w:num>
  <w:num w:numId="2" w16cid:durableId="903218782">
    <w:abstractNumId w:val="5"/>
  </w:num>
  <w:num w:numId="3" w16cid:durableId="1815684354">
    <w:abstractNumId w:val="0"/>
  </w:num>
  <w:num w:numId="4" w16cid:durableId="71658520">
    <w:abstractNumId w:val="2"/>
  </w:num>
  <w:num w:numId="5" w16cid:durableId="1677880219">
    <w:abstractNumId w:val="6"/>
  </w:num>
  <w:num w:numId="6" w16cid:durableId="384110262">
    <w:abstractNumId w:val="4"/>
  </w:num>
  <w:num w:numId="7" w16cid:durableId="1856190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C9D"/>
    <w:rsid w:val="0000218B"/>
    <w:rsid w:val="0000504A"/>
    <w:rsid w:val="00014ABE"/>
    <w:rsid w:val="00033154"/>
    <w:rsid w:val="00042048"/>
    <w:rsid w:val="0004229C"/>
    <w:rsid w:val="00044DAB"/>
    <w:rsid w:val="000516D9"/>
    <w:rsid w:val="000537DA"/>
    <w:rsid w:val="00054F1D"/>
    <w:rsid w:val="0006322E"/>
    <w:rsid w:val="00087288"/>
    <w:rsid w:val="000A1DE1"/>
    <w:rsid w:val="000A5B35"/>
    <w:rsid w:val="000B0914"/>
    <w:rsid w:val="000B0D26"/>
    <w:rsid w:val="000B66E6"/>
    <w:rsid w:val="000B7D96"/>
    <w:rsid w:val="000D7D9A"/>
    <w:rsid w:val="000F315B"/>
    <w:rsid w:val="000F630B"/>
    <w:rsid w:val="00102AA9"/>
    <w:rsid w:val="001125C0"/>
    <w:rsid w:val="001266FD"/>
    <w:rsid w:val="00145017"/>
    <w:rsid w:val="0015268B"/>
    <w:rsid w:val="00177C77"/>
    <w:rsid w:val="0018101C"/>
    <w:rsid w:val="00183D69"/>
    <w:rsid w:val="001942AA"/>
    <w:rsid w:val="00194D28"/>
    <w:rsid w:val="001A0895"/>
    <w:rsid w:val="001A7180"/>
    <w:rsid w:val="001B0A70"/>
    <w:rsid w:val="001B6693"/>
    <w:rsid w:val="001C39F8"/>
    <w:rsid w:val="001D4097"/>
    <w:rsid w:val="00201B41"/>
    <w:rsid w:val="0021698C"/>
    <w:rsid w:val="00240D5B"/>
    <w:rsid w:val="00246E3A"/>
    <w:rsid w:val="002478C5"/>
    <w:rsid w:val="00260D54"/>
    <w:rsid w:val="00264BC1"/>
    <w:rsid w:val="0027185B"/>
    <w:rsid w:val="00276957"/>
    <w:rsid w:val="00276DCC"/>
    <w:rsid w:val="0028700E"/>
    <w:rsid w:val="002A132F"/>
    <w:rsid w:val="002C08DA"/>
    <w:rsid w:val="002C1DA5"/>
    <w:rsid w:val="002C5BB3"/>
    <w:rsid w:val="002D1C21"/>
    <w:rsid w:val="002D3294"/>
    <w:rsid w:val="00301022"/>
    <w:rsid w:val="003234CC"/>
    <w:rsid w:val="00346FB7"/>
    <w:rsid w:val="00375EAD"/>
    <w:rsid w:val="00385812"/>
    <w:rsid w:val="00392D0B"/>
    <w:rsid w:val="00393DD1"/>
    <w:rsid w:val="003A014C"/>
    <w:rsid w:val="003A2DB5"/>
    <w:rsid w:val="003A627B"/>
    <w:rsid w:val="003A7AFC"/>
    <w:rsid w:val="003C21CB"/>
    <w:rsid w:val="003C54D1"/>
    <w:rsid w:val="003C60EF"/>
    <w:rsid w:val="003C7A7A"/>
    <w:rsid w:val="00417F33"/>
    <w:rsid w:val="004322AF"/>
    <w:rsid w:val="004362D0"/>
    <w:rsid w:val="00436782"/>
    <w:rsid w:val="004411F2"/>
    <w:rsid w:val="00452902"/>
    <w:rsid w:val="00453658"/>
    <w:rsid w:val="00474E27"/>
    <w:rsid w:val="004813AC"/>
    <w:rsid w:val="00484E72"/>
    <w:rsid w:val="0048506D"/>
    <w:rsid w:val="00493061"/>
    <w:rsid w:val="00494654"/>
    <w:rsid w:val="00497938"/>
    <w:rsid w:val="004B37A0"/>
    <w:rsid w:val="004B51E1"/>
    <w:rsid w:val="004B5CFB"/>
    <w:rsid w:val="004D6AAF"/>
    <w:rsid w:val="004D6B39"/>
    <w:rsid w:val="004E0C3F"/>
    <w:rsid w:val="00512956"/>
    <w:rsid w:val="00513829"/>
    <w:rsid w:val="00516AC2"/>
    <w:rsid w:val="00517C54"/>
    <w:rsid w:val="005202FD"/>
    <w:rsid w:val="0052465C"/>
    <w:rsid w:val="00530145"/>
    <w:rsid w:val="00537EE1"/>
    <w:rsid w:val="00540F3E"/>
    <w:rsid w:val="005448AA"/>
    <w:rsid w:val="005539AE"/>
    <w:rsid w:val="0056546E"/>
    <w:rsid w:val="005750F3"/>
    <w:rsid w:val="005922E0"/>
    <w:rsid w:val="005D0065"/>
    <w:rsid w:val="005E6561"/>
    <w:rsid w:val="0060401A"/>
    <w:rsid w:val="00604777"/>
    <w:rsid w:val="00622060"/>
    <w:rsid w:val="0063529E"/>
    <w:rsid w:val="00664CB7"/>
    <w:rsid w:val="006A7E49"/>
    <w:rsid w:val="006B6125"/>
    <w:rsid w:val="006C146F"/>
    <w:rsid w:val="006C6EC5"/>
    <w:rsid w:val="006C7B05"/>
    <w:rsid w:val="006D06D9"/>
    <w:rsid w:val="006D77A6"/>
    <w:rsid w:val="006E0221"/>
    <w:rsid w:val="006E63F7"/>
    <w:rsid w:val="006F3A0F"/>
    <w:rsid w:val="007011E6"/>
    <w:rsid w:val="00702109"/>
    <w:rsid w:val="00707AF1"/>
    <w:rsid w:val="00710724"/>
    <w:rsid w:val="00714AA3"/>
    <w:rsid w:val="0072610D"/>
    <w:rsid w:val="00727521"/>
    <w:rsid w:val="00735E42"/>
    <w:rsid w:val="00747113"/>
    <w:rsid w:val="00757006"/>
    <w:rsid w:val="00757799"/>
    <w:rsid w:val="00772E57"/>
    <w:rsid w:val="00794285"/>
    <w:rsid w:val="007A138D"/>
    <w:rsid w:val="007A5D16"/>
    <w:rsid w:val="007B3F4B"/>
    <w:rsid w:val="007B7347"/>
    <w:rsid w:val="007D10F3"/>
    <w:rsid w:val="007E33A1"/>
    <w:rsid w:val="007E33A6"/>
    <w:rsid w:val="007F3CDB"/>
    <w:rsid w:val="007F66DA"/>
    <w:rsid w:val="00814A35"/>
    <w:rsid w:val="00827A0D"/>
    <w:rsid w:val="00841623"/>
    <w:rsid w:val="0084641A"/>
    <w:rsid w:val="00846A76"/>
    <w:rsid w:val="008525F6"/>
    <w:rsid w:val="008820BC"/>
    <w:rsid w:val="008877CF"/>
    <w:rsid w:val="008A1847"/>
    <w:rsid w:val="008B05CF"/>
    <w:rsid w:val="008B4462"/>
    <w:rsid w:val="008D43CC"/>
    <w:rsid w:val="008D5BDC"/>
    <w:rsid w:val="008E22E8"/>
    <w:rsid w:val="008E359C"/>
    <w:rsid w:val="008F1B02"/>
    <w:rsid w:val="008F38DF"/>
    <w:rsid w:val="009159DA"/>
    <w:rsid w:val="0091751E"/>
    <w:rsid w:val="00932BB2"/>
    <w:rsid w:val="0095487D"/>
    <w:rsid w:val="00955B4E"/>
    <w:rsid w:val="0096444A"/>
    <w:rsid w:val="00966BB5"/>
    <w:rsid w:val="009730E5"/>
    <w:rsid w:val="00977428"/>
    <w:rsid w:val="009908FF"/>
    <w:rsid w:val="00995505"/>
    <w:rsid w:val="009C0405"/>
    <w:rsid w:val="009C2671"/>
    <w:rsid w:val="009C4428"/>
    <w:rsid w:val="009D48CD"/>
    <w:rsid w:val="009E160C"/>
    <w:rsid w:val="009F03E8"/>
    <w:rsid w:val="00A07A86"/>
    <w:rsid w:val="00A304C6"/>
    <w:rsid w:val="00A5130E"/>
    <w:rsid w:val="00A57B4D"/>
    <w:rsid w:val="00A65101"/>
    <w:rsid w:val="00A76BC6"/>
    <w:rsid w:val="00A90B64"/>
    <w:rsid w:val="00A96E32"/>
    <w:rsid w:val="00AB7A39"/>
    <w:rsid w:val="00AC4A3F"/>
    <w:rsid w:val="00AF79FE"/>
    <w:rsid w:val="00B053DC"/>
    <w:rsid w:val="00B11DC4"/>
    <w:rsid w:val="00B21269"/>
    <w:rsid w:val="00B23AFC"/>
    <w:rsid w:val="00B3060B"/>
    <w:rsid w:val="00B403BF"/>
    <w:rsid w:val="00B605EC"/>
    <w:rsid w:val="00B608D9"/>
    <w:rsid w:val="00B86DA4"/>
    <w:rsid w:val="00B9289D"/>
    <w:rsid w:val="00BA33FC"/>
    <w:rsid w:val="00BA4055"/>
    <w:rsid w:val="00BA4DF9"/>
    <w:rsid w:val="00BA7FB6"/>
    <w:rsid w:val="00BB0F6A"/>
    <w:rsid w:val="00BD226F"/>
    <w:rsid w:val="00BD4236"/>
    <w:rsid w:val="00BE1162"/>
    <w:rsid w:val="00C20BFE"/>
    <w:rsid w:val="00C253F5"/>
    <w:rsid w:val="00C279E4"/>
    <w:rsid w:val="00C32741"/>
    <w:rsid w:val="00C40623"/>
    <w:rsid w:val="00C40664"/>
    <w:rsid w:val="00C44800"/>
    <w:rsid w:val="00C46D29"/>
    <w:rsid w:val="00C71EF5"/>
    <w:rsid w:val="00C85C65"/>
    <w:rsid w:val="00CC1778"/>
    <w:rsid w:val="00CD0B44"/>
    <w:rsid w:val="00CE1F50"/>
    <w:rsid w:val="00CE575B"/>
    <w:rsid w:val="00CE5F48"/>
    <w:rsid w:val="00CF1978"/>
    <w:rsid w:val="00CF22A2"/>
    <w:rsid w:val="00CF3DE8"/>
    <w:rsid w:val="00CF4D80"/>
    <w:rsid w:val="00D0493F"/>
    <w:rsid w:val="00D1633E"/>
    <w:rsid w:val="00D172CD"/>
    <w:rsid w:val="00D17CC1"/>
    <w:rsid w:val="00D27805"/>
    <w:rsid w:val="00D32991"/>
    <w:rsid w:val="00D56F91"/>
    <w:rsid w:val="00D62116"/>
    <w:rsid w:val="00D7616A"/>
    <w:rsid w:val="00D8671C"/>
    <w:rsid w:val="00D91390"/>
    <w:rsid w:val="00DA57C3"/>
    <w:rsid w:val="00DA70AA"/>
    <w:rsid w:val="00DC3855"/>
    <w:rsid w:val="00DC6493"/>
    <w:rsid w:val="00DD6621"/>
    <w:rsid w:val="00DE4EFC"/>
    <w:rsid w:val="00DE7D79"/>
    <w:rsid w:val="00DF4D60"/>
    <w:rsid w:val="00E02AF3"/>
    <w:rsid w:val="00E04EF8"/>
    <w:rsid w:val="00E242A8"/>
    <w:rsid w:val="00E274B8"/>
    <w:rsid w:val="00E31147"/>
    <w:rsid w:val="00E52DFE"/>
    <w:rsid w:val="00E65414"/>
    <w:rsid w:val="00E7224B"/>
    <w:rsid w:val="00E72707"/>
    <w:rsid w:val="00E91106"/>
    <w:rsid w:val="00EA42A0"/>
    <w:rsid w:val="00EB06DB"/>
    <w:rsid w:val="00EB1ED3"/>
    <w:rsid w:val="00EB7588"/>
    <w:rsid w:val="00EC58C5"/>
    <w:rsid w:val="00ED44AB"/>
    <w:rsid w:val="00EF47F9"/>
    <w:rsid w:val="00F0586E"/>
    <w:rsid w:val="00F37DAE"/>
    <w:rsid w:val="00F43932"/>
    <w:rsid w:val="00F45ECF"/>
    <w:rsid w:val="00F53F00"/>
    <w:rsid w:val="00F73BF2"/>
    <w:rsid w:val="00F812FB"/>
    <w:rsid w:val="00F82A49"/>
    <w:rsid w:val="00F83C79"/>
    <w:rsid w:val="00F8420C"/>
    <w:rsid w:val="00F862DA"/>
    <w:rsid w:val="00FA0FD3"/>
    <w:rsid w:val="00FA575E"/>
    <w:rsid w:val="00FB627F"/>
    <w:rsid w:val="00FC6B42"/>
    <w:rsid w:val="00FD1F94"/>
    <w:rsid w:val="00FD2179"/>
    <w:rsid w:val="00FE6D18"/>
    <w:rsid w:val="00FF09CA"/>
    <w:rsid w:val="00FF65FC"/>
    <w:rsid w:val="00FF69B2"/>
    <w:rsid w:val="0419574F"/>
    <w:rsid w:val="04DABE33"/>
    <w:rsid w:val="04DC56BD"/>
    <w:rsid w:val="07220C44"/>
    <w:rsid w:val="0727A4F3"/>
    <w:rsid w:val="07C286E0"/>
    <w:rsid w:val="07F6B427"/>
    <w:rsid w:val="0BFBDB2F"/>
    <w:rsid w:val="0D0F13EB"/>
    <w:rsid w:val="0FDA4AB2"/>
    <w:rsid w:val="12FA1968"/>
    <w:rsid w:val="13CB9B76"/>
    <w:rsid w:val="17B121DB"/>
    <w:rsid w:val="1967AD7B"/>
    <w:rsid w:val="1E9F8EC5"/>
    <w:rsid w:val="1FBEA4F5"/>
    <w:rsid w:val="22EB21B8"/>
    <w:rsid w:val="24E83749"/>
    <w:rsid w:val="2528BD7C"/>
    <w:rsid w:val="28C57E61"/>
    <w:rsid w:val="28F59C48"/>
    <w:rsid w:val="2B58FC5E"/>
    <w:rsid w:val="2F1CA92D"/>
    <w:rsid w:val="2F2C14C5"/>
    <w:rsid w:val="2F8BF2E5"/>
    <w:rsid w:val="315A38CA"/>
    <w:rsid w:val="32557862"/>
    <w:rsid w:val="34E00527"/>
    <w:rsid w:val="3621B834"/>
    <w:rsid w:val="365FFAB9"/>
    <w:rsid w:val="399D18EB"/>
    <w:rsid w:val="3B3A9AC2"/>
    <w:rsid w:val="3F9DC5A9"/>
    <w:rsid w:val="43822405"/>
    <w:rsid w:val="46E267AA"/>
    <w:rsid w:val="472A6C57"/>
    <w:rsid w:val="47A62BA8"/>
    <w:rsid w:val="4AD38E7F"/>
    <w:rsid w:val="4B3C6C1B"/>
    <w:rsid w:val="4BBEA3A7"/>
    <w:rsid w:val="4C70F277"/>
    <w:rsid w:val="4DFEF0B5"/>
    <w:rsid w:val="52806C31"/>
    <w:rsid w:val="535F3412"/>
    <w:rsid w:val="54FB0473"/>
    <w:rsid w:val="55D1B9D8"/>
    <w:rsid w:val="55DD18A1"/>
    <w:rsid w:val="564FC6F1"/>
    <w:rsid w:val="5832A535"/>
    <w:rsid w:val="5BB2E33E"/>
    <w:rsid w:val="5CAB8FC0"/>
    <w:rsid w:val="5E234F12"/>
    <w:rsid w:val="5F573C79"/>
    <w:rsid w:val="60844D84"/>
    <w:rsid w:val="611E8DFE"/>
    <w:rsid w:val="6160E153"/>
    <w:rsid w:val="622EFBD7"/>
    <w:rsid w:val="623082F4"/>
    <w:rsid w:val="635BC7EB"/>
    <w:rsid w:val="6388C85A"/>
    <w:rsid w:val="645B713D"/>
    <w:rsid w:val="6668E545"/>
    <w:rsid w:val="66E36668"/>
    <w:rsid w:val="68577516"/>
    <w:rsid w:val="69F34577"/>
    <w:rsid w:val="6AB089CB"/>
    <w:rsid w:val="6B8DFB32"/>
    <w:rsid w:val="6D2AE639"/>
    <w:rsid w:val="6D725953"/>
    <w:rsid w:val="7005D45E"/>
    <w:rsid w:val="703B191F"/>
    <w:rsid w:val="70C3A53C"/>
    <w:rsid w:val="72A27190"/>
    <w:rsid w:val="73B09330"/>
    <w:rsid w:val="78485613"/>
    <w:rsid w:val="79020877"/>
    <w:rsid w:val="7ABC2F63"/>
    <w:rsid w:val="7CAE3BBF"/>
    <w:rsid w:val="7DF3D025"/>
    <w:rsid w:val="7E626CDE"/>
    <w:rsid w:val="7FB77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93CA71EF-8993-4B15-9FDB-FEFF304A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CommentText">
    <w:name w:val="annotation text"/>
    <w:basedOn w:val="Normal"/>
    <w:link w:val="CommentTextChar"/>
    <w:uiPriority w:val="99"/>
    <w:unhideWhenUsed/>
    <w:rsid w:val="001C39F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C39F8"/>
    <w:rPr>
      <w:rFonts w:asciiTheme="minorHAnsi" w:eastAsiaTheme="minorHAnsi" w:hAnsiTheme="minorHAnsi" w:cstheme="minorBidi"/>
    </w:rPr>
  </w:style>
  <w:style w:type="character" w:styleId="CommentReference">
    <w:name w:val="annotation reference"/>
    <w:basedOn w:val="DefaultParagraphFont"/>
    <w:uiPriority w:val="99"/>
    <w:unhideWhenUsed/>
    <w:rsid w:val="001C39F8"/>
    <w:rPr>
      <w:sz w:val="16"/>
      <w:szCs w:val="16"/>
    </w:rPr>
  </w:style>
  <w:style w:type="paragraph" w:styleId="ListParagraph">
    <w:name w:val="List Paragraph"/>
    <w:basedOn w:val="Normal"/>
    <w:uiPriority w:val="34"/>
    <w:qFormat/>
    <w:rsid w:val="001C39F8"/>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C39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39F8"/>
    <w:rPr>
      <w:rFonts w:asciiTheme="minorHAnsi" w:eastAsiaTheme="minorHAnsi" w:hAnsiTheme="minorHAnsi" w:cstheme="minorBidi"/>
      <w:sz w:val="22"/>
      <w:szCs w:val="22"/>
    </w:rPr>
  </w:style>
  <w:style w:type="character" w:styleId="FollowedHyperlink">
    <w:name w:val="FollowedHyperlink"/>
    <w:basedOn w:val="DefaultParagraphFont"/>
    <w:rsid w:val="001C39F8"/>
    <w:rPr>
      <w:color w:val="954F72" w:themeColor="followedHyperlink"/>
      <w:u w:val="single"/>
    </w:rPr>
  </w:style>
  <w:style w:type="paragraph" w:styleId="Revision">
    <w:name w:val="Revision"/>
    <w:hidden/>
    <w:uiPriority w:val="99"/>
    <w:semiHidden/>
    <w:rsid w:val="00B053DC"/>
    <w:rPr>
      <w:sz w:val="24"/>
    </w:rPr>
  </w:style>
  <w:style w:type="paragraph" w:styleId="Header">
    <w:name w:val="header"/>
    <w:basedOn w:val="Normal"/>
    <w:link w:val="HeaderChar"/>
    <w:rsid w:val="00B053DC"/>
    <w:pPr>
      <w:tabs>
        <w:tab w:val="center" w:pos="4680"/>
        <w:tab w:val="right" w:pos="9360"/>
      </w:tabs>
    </w:pPr>
  </w:style>
  <w:style w:type="character" w:customStyle="1" w:styleId="HeaderChar">
    <w:name w:val="Header Char"/>
    <w:basedOn w:val="DefaultParagraphFont"/>
    <w:link w:val="Header"/>
    <w:rsid w:val="00B053DC"/>
    <w:rPr>
      <w:sz w:val="24"/>
    </w:rPr>
  </w:style>
  <w:style w:type="paragraph" w:styleId="CommentSubject">
    <w:name w:val="annotation subject"/>
    <w:basedOn w:val="CommentText"/>
    <w:next w:val="CommentText"/>
    <w:link w:val="CommentSubjectChar"/>
    <w:rsid w:val="0091751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1751E"/>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8D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td/treatment/sexualhistory.htm" TargetMode="External"/><Relationship Id="rId18" Type="http://schemas.openxmlformats.org/officeDocument/2006/relationships/hyperlink" Target="https://www.thelancet.com/journals/laninf/article/PIIS1473-3099(17)30725-9/fulltex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ejm.org/doi/full/10.1056/NEJMoa2304007" TargetMode="External"/><Relationship Id="rId7" Type="http://schemas.openxmlformats.org/officeDocument/2006/relationships/settings" Target="settings.xml"/><Relationship Id="rId12" Type="http://schemas.openxmlformats.org/officeDocument/2006/relationships/hyperlink" Target="https://www.cdc.gov/mmwr/volumes/73/rr/rr7302a1.htm?_cid=rr7302a1_w" TargetMode="External"/><Relationship Id="rId17" Type="http://schemas.openxmlformats.org/officeDocument/2006/relationships/hyperlink" Target="https://www.mass.gov/info-details/partner-services-program-information-for-healthcare-provi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ejm.org/doi/full/10.1056/NEJMoa22119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roiconference.org/abstract/doxy-pep-effectiveness-in-men-who-have-sex-with-men-msm-and-transgender-women-tgw-on-hiv-prep/" TargetMode="External"/><Relationship Id="rId5" Type="http://schemas.openxmlformats.org/officeDocument/2006/relationships/numbering" Target="numbering.xml"/><Relationship Id="rId15" Type="http://schemas.openxmlformats.org/officeDocument/2006/relationships/hyperlink" Target="https://www.stdccn.org/render/Public" TargetMode="External"/><Relationship Id="rId23" Type="http://schemas.openxmlformats.org/officeDocument/2006/relationships/hyperlink" Target="https://www.croiconference.org/abstract/doxycycline-pep-high-uptake-and-significant-decline-in-stis-after-clinical-implementation/" TargetMode="External"/><Relationship Id="rId10" Type="http://schemas.openxmlformats.org/officeDocument/2006/relationships/endnotes" Target="endnotes.xml"/><Relationship Id="rId19" Type="http://schemas.openxmlformats.org/officeDocument/2006/relationships/hyperlink" Target="https://www.croiconference.org/abstract/final-results-of-anrs-174-doxyvac-a-randomized-trial-to-prevent-sti-in-msm-on-pre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std-information-for-the-public" TargetMode="External"/><Relationship Id="rId22" Type="http://schemas.openxmlformats.org/officeDocument/2006/relationships/hyperlink" Target="https://www.croiconference.org/abstract/doxy-pep-associated-with-declines-in-chlamydia-and-syphilis-in-msm-and-trans-women-in-san-fran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c6f5d22ba3893561546ceb690049296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e25432f288b951a63510e8a3137cf01"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DE43A-A073-4D49-8A7A-38486F3115B7}">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B6CFDB2-BAAC-4560-945C-3E8BAE57D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1223</Words>
  <Characters>6973</Characters>
  <Application>Microsoft Office Word</Application>
  <DocSecurity>0</DocSecurity>
  <Lines>58</Lines>
  <Paragraphs>16</Paragraphs>
  <ScaleCrop>false</ScaleCrop>
  <Company>Commonwealth of Massachusetts</Company>
  <LinksUpToDate>false</LinksUpToDate>
  <CharactersWithSpaces>8180</CharactersWithSpaces>
  <SharedDoc>false</SharedDoc>
  <HLinks>
    <vt:vector size="72" baseType="variant">
      <vt:variant>
        <vt:i4>2883701</vt:i4>
      </vt:variant>
      <vt:variant>
        <vt:i4>33</vt:i4>
      </vt:variant>
      <vt:variant>
        <vt:i4>0</vt:i4>
      </vt:variant>
      <vt:variant>
        <vt:i4>5</vt:i4>
      </vt:variant>
      <vt:variant>
        <vt:lpwstr>https://www.croiconference.org/abstract/doxy-pep-effectiveness-in-men-who-have-sex-with-men-msm-and-transgender-women-tgw-on-hiv-prep/</vt:lpwstr>
      </vt:variant>
      <vt:variant>
        <vt:lpwstr/>
      </vt:variant>
      <vt:variant>
        <vt:i4>2228340</vt:i4>
      </vt:variant>
      <vt:variant>
        <vt:i4>30</vt:i4>
      </vt:variant>
      <vt:variant>
        <vt:i4>0</vt:i4>
      </vt:variant>
      <vt:variant>
        <vt:i4>5</vt:i4>
      </vt:variant>
      <vt:variant>
        <vt:lpwstr>https://www.croiconference.org/abstract/doxycycline-pep-high-uptake-and-significant-decline-in-stis-after-clinical-implementation/</vt:lpwstr>
      </vt:variant>
      <vt:variant>
        <vt:lpwstr/>
      </vt:variant>
      <vt:variant>
        <vt:i4>262157</vt:i4>
      </vt:variant>
      <vt:variant>
        <vt:i4>27</vt:i4>
      </vt:variant>
      <vt:variant>
        <vt:i4>0</vt:i4>
      </vt:variant>
      <vt:variant>
        <vt:i4>5</vt:i4>
      </vt:variant>
      <vt:variant>
        <vt:lpwstr>https://www.croiconference.org/abstract/doxy-pep-associated-with-declines-in-chlamydia-and-syphilis-in-msm-and-trans-women-in-san-francisco/</vt:lpwstr>
      </vt:variant>
      <vt:variant>
        <vt:lpwstr/>
      </vt:variant>
      <vt:variant>
        <vt:i4>2424878</vt:i4>
      </vt:variant>
      <vt:variant>
        <vt:i4>24</vt:i4>
      </vt:variant>
      <vt:variant>
        <vt:i4>0</vt:i4>
      </vt:variant>
      <vt:variant>
        <vt:i4>5</vt:i4>
      </vt:variant>
      <vt:variant>
        <vt:lpwstr>https://www.nejm.org/doi/full/10.1056/NEJMoa2304007</vt:lpwstr>
      </vt:variant>
      <vt:variant>
        <vt:lpwstr/>
      </vt:variant>
      <vt:variant>
        <vt:i4>2228262</vt:i4>
      </vt:variant>
      <vt:variant>
        <vt:i4>21</vt:i4>
      </vt:variant>
      <vt:variant>
        <vt:i4>0</vt:i4>
      </vt:variant>
      <vt:variant>
        <vt:i4>5</vt:i4>
      </vt:variant>
      <vt:variant>
        <vt:lpwstr>https://www.nejm.org/doi/full/10.1056/NEJMoa2211934</vt:lpwstr>
      </vt:variant>
      <vt:variant>
        <vt:lpwstr/>
      </vt:variant>
      <vt:variant>
        <vt:i4>3145830</vt:i4>
      </vt:variant>
      <vt:variant>
        <vt:i4>18</vt:i4>
      </vt:variant>
      <vt:variant>
        <vt:i4>0</vt:i4>
      </vt:variant>
      <vt:variant>
        <vt:i4>5</vt:i4>
      </vt:variant>
      <vt:variant>
        <vt:lpwstr>https://www.croiconference.org/abstract/final-results-of-anrs-174-doxyvac-a-randomized-trial-to-prevent-sti-in-msm-on-prep/</vt:lpwstr>
      </vt:variant>
      <vt:variant>
        <vt:lpwstr/>
      </vt:variant>
      <vt:variant>
        <vt:i4>3866681</vt:i4>
      </vt:variant>
      <vt:variant>
        <vt:i4>15</vt:i4>
      </vt:variant>
      <vt:variant>
        <vt:i4>0</vt:i4>
      </vt:variant>
      <vt:variant>
        <vt:i4>5</vt:i4>
      </vt:variant>
      <vt:variant>
        <vt:lpwstr>https://www.thelancet.com/journals/laninf/article/PIIS1473-3099(17)30725-9/fulltext</vt:lpwstr>
      </vt:variant>
      <vt:variant>
        <vt:lpwstr/>
      </vt:variant>
      <vt:variant>
        <vt:i4>2883634</vt:i4>
      </vt:variant>
      <vt:variant>
        <vt:i4>12</vt:i4>
      </vt:variant>
      <vt:variant>
        <vt:i4>0</vt:i4>
      </vt:variant>
      <vt:variant>
        <vt:i4>5</vt:i4>
      </vt:variant>
      <vt:variant>
        <vt:lpwstr>https://www.mass.gov/info-details/partner-services-program-information-for-healthcare-providers</vt:lpwstr>
      </vt:variant>
      <vt:variant>
        <vt:lpwstr/>
      </vt:variant>
      <vt:variant>
        <vt:i4>1376335</vt:i4>
      </vt:variant>
      <vt:variant>
        <vt:i4>9</vt:i4>
      </vt:variant>
      <vt:variant>
        <vt:i4>0</vt:i4>
      </vt:variant>
      <vt:variant>
        <vt:i4>5</vt:i4>
      </vt:variant>
      <vt:variant>
        <vt:lpwstr>https://www.stdccn.org/render/Public</vt:lpwstr>
      </vt:variant>
      <vt:variant>
        <vt:lpwstr/>
      </vt:variant>
      <vt:variant>
        <vt:i4>5046356</vt:i4>
      </vt:variant>
      <vt:variant>
        <vt:i4>6</vt:i4>
      </vt:variant>
      <vt:variant>
        <vt:i4>0</vt:i4>
      </vt:variant>
      <vt:variant>
        <vt:i4>5</vt:i4>
      </vt:variant>
      <vt:variant>
        <vt:lpwstr>https://www.mass.gov/info-details/std-information-for-the-public</vt:lpwstr>
      </vt:variant>
      <vt:variant>
        <vt:lpwstr>testing-and-other-resources-</vt:lpwstr>
      </vt:variant>
      <vt:variant>
        <vt:i4>7274557</vt:i4>
      </vt:variant>
      <vt:variant>
        <vt:i4>3</vt:i4>
      </vt:variant>
      <vt:variant>
        <vt:i4>0</vt:i4>
      </vt:variant>
      <vt:variant>
        <vt:i4>5</vt:i4>
      </vt:variant>
      <vt:variant>
        <vt:lpwstr>https://www.cdc.gov/std/treatment/sexualhistory.htm</vt:lpwstr>
      </vt:variant>
      <vt:variant>
        <vt:lpwstr/>
      </vt:variant>
      <vt:variant>
        <vt:i4>917588</vt:i4>
      </vt:variant>
      <vt:variant>
        <vt:i4>0</vt:i4>
      </vt:variant>
      <vt:variant>
        <vt:i4>0</vt:i4>
      </vt:variant>
      <vt:variant>
        <vt:i4>5</vt:i4>
      </vt:variant>
      <vt:variant>
        <vt:lpwstr>https://www.cdc.gov/mmwr/volumes/73/rr/rr7302a1.htm?_cid=rr7302a1_w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ADVISORY:</dc:title>
  <dc:subject/>
  <dc:creator>MDPH</dc:creator>
  <cp:keywords/>
  <cp:lastModifiedBy>Yeaple, Jennifer (DPH)</cp:lastModifiedBy>
  <cp:revision>2</cp:revision>
  <cp:lastPrinted>2024-06-05T20:58:00Z</cp:lastPrinted>
  <dcterms:created xsi:type="dcterms:W3CDTF">2024-06-05T18:10:00Z</dcterms:created>
  <dcterms:modified xsi:type="dcterms:W3CDTF">2024-06-05T18:10:00Z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