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B61B" w14:textId="23A3EBBF" w:rsidR="00812C35" w:rsidRDefault="00812C35" w:rsidP="4385E08A">
      <w:pPr>
        <w:spacing w:line="240" w:lineRule="auto"/>
        <w:jc w:val="center"/>
      </w:pPr>
      <w:r>
        <w:t>Massachusetts Department of Public Health</w:t>
      </w:r>
    </w:p>
    <w:p w14:paraId="7FC2AE70" w14:textId="4C06B496" w:rsidR="007F6B66" w:rsidRDefault="00FA0EE5" w:rsidP="4385E08A">
      <w:pPr>
        <w:spacing w:line="240" w:lineRule="auto"/>
        <w:jc w:val="center"/>
      </w:pPr>
      <w:r>
        <w:t xml:space="preserve">Recommendations for the Use of </w:t>
      </w:r>
      <w:r w:rsidR="007F6B66">
        <w:t>COVID-19</w:t>
      </w:r>
      <w:r w:rsidR="000A58E2">
        <w:t xml:space="preserve"> </w:t>
      </w:r>
      <w:r w:rsidR="00E66D17">
        <w:t>Vaccine</w:t>
      </w:r>
      <w:r w:rsidR="00B83C35">
        <w:t>s</w:t>
      </w:r>
      <w:r w:rsidR="00EE6BF1">
        <w:t xml:space="preserve"> </w:t>
      </w:r>
      <w:r w:rsidR="00231271">
        <w:t>for the 2026-2027 Respiratory Season</w:t>
      </w:r>
    </w:p>
    <w:p w14:paraId="2519C14B" w14:textId="77777777" w:rsidR="007F6B66" w:rsidRDefault="007F6B66"/>
    <w:p w14:paraId="28355595" w14:textId="23326D40" w:rsidR="007F6B66" w:rsidRPr="005C7079" w:rsidRDefault="00A77D69" w:rsidP="4385E08A">
      <w:pPr>
        <w:pStyle w:val="Heading1"/>
        <w:rPr>
          <w:b/>
          <w:sz w:val="28"/>
          <w:szCs w:val="28"/>
        </w:rPr>
      </w:pPr>
      <w:r w:rsidRPr="4385E08A">
        <w:rPr>
          <w:sz w:val="28"/>
          <w:szCs w:val="28"/>
        </w:rPr>
        <w:t>Summary</w:t>
      </w:r>
    </w:p>
    <w:p w14:paraId="3AE54B4F" w14:textId="734B79B5" w:rsidR="007F6B66" w:rsidRDefault="2A682F16">
      <w:r>
        <w:t xml:space="preserve">COVID-19 is an easily transmitted and potentially dangerous respiratory disease caused by the SARS-CoV-2 virus.  COVID-19 vaccines are critical tools to reduce public health burden of COVID-19 disease.  COVID-19 vaccines have been proven to be safe and provide effective protection against serious outcomes, including hospitalization and death.  </w:t>
      </w:r>
      <w:r w:rsidR="002871D4" w:rsidRPr="002871D4">
        <w:t xml:space="preserve">Massachusetts Department of Public Health (DPH) has adopted the respiratory pathogen vaccine recommendations of </w:t>
      </w:r>
      <w:r w:rsidR="00DC2B5F" w:rsidRPr="00121ACE">
        <w:t>American Academy of Family Physicians</w:t>
      </w:r>
      <w:r w:rsidR="002871D4" w:rsidRPr="002871D4">
        <w:t xml:space="preserve">, </w:t>
      </w:r>
      <w:r w:rsidR="00DC2B5F" w:rsidRPr="00121ACE">
        <w:t>American Academy of Pediatrics</w:t>
      </w:r>
      <w:r w:rsidR="002871D4" w:rsidRPr="002871D4">
        <w:t xml:space="preserve">, </w:t>
      </w:r>
      <w:r w:rsidR="00DC2B5F" w:rsidRPr="00121ACE">
        <w:t>American College of Obstetricians and Gynecologists</w:t>
      </w:r>
      <w:r w:rsidR="002871D4" w:rsidRPr="002871D4">
        <w:t>,</w:t>
      </w:r>
      <w:r w:rsidR="00584147">
        <w:t xml:space="preserve"> </w:t>
      </w:r>
      <w:r w:rsidR="002871D4" w:rsidRPr="002871D4">
        <w:t xml:space="preserve">and </w:t>
      </w:r>
      <w:r w:rsidR="00DC2B5F" w:rsidRPr="00121ACE">
        <w:t>the Infectious Diseases Society of America</w:t>
      </w:r>
      <w:r w:rsidR="002871D4" w:rsidRPr="002871D4">
        <w:t>.</w:t>
      </w:r>
      <w:r w:rsidR="00121ACE">
        <w:t xml:space="preserve"> </w:t>
      </w:r>
      <w:r w:rsidR="00121ACE" w:rsidRPr="00155DBF">
        <w:t>The</w:t>
      </w:r>
      <w:r w:rsidR="00121ACE">
        <w:t xml:space="preserve"> </w:t>
      </w:r>
      <w:r w:rsidR="00121ACE" w:rsidRPr="00155DBF">
        <w:t>consolidated respiratory virus immunization recommendations from these medical societies</w:t>
      </w:r>
      <w:r w:rsidR="00121ACE">
        <w:t xml:space="preserve"> with links to evidence reviews are available </w:t>
      </w:r>
      <w:r w:rsidR="00121ACE" w:rsidRPr="00155DBF">
        <w:t>[</w:t>
      </w:r>
      <w:hyperlink r:id="rId9" w:history="1">
        <w:r w:rsidR="00121ACE" w:rsidRPr="00CD3F59">
          <w:rPr>
            <w:rStyle w:val="Hyperlink"/>
          </w:rPr>
          <w:t>here</w:t>
        </w:r>
      </w:hyperlink>
      <w:r w:rsidR="00121ACE" w:rsidRPr="00155DBF">
        <w:t>]. A [</w:t>
      </w:r>
      <w:hyperlink r:id="rId10" w:history="1">
        <w:r w:rsidR="00121ACE" w:rsidRPr="00CE7CD6">
          <w:rPr>
            <w:rStyle w:val="Hyperlink"/>
          </w:rPr>
          <w:t>one-page summary</w:t>
        </w:r>
      </w:hyperlink>
      <w:r w:rsidR="00684FBC" w:rsidRPr="00155DBF">
        <w:t>] of the recommendations is also available.</w:t>
      </w:r>
      <w:r w:rsidR="00121ACE" w:rsidRPr="00155DBF">
        <w:t>] of the recommendations is also available.</w:t>
      </w:r>
      <w:r w:rsidR="00121ACE">
        <w:rPr>
          <w:b/>
          <w:bC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2"/>
        <w:gridCol w:w="5648"/>
      </w:tblGrid>
      <w:tr w:rsidR="006468A9" w:rsidRPr="006468A9" w14:paraId="1D73361B" w14:textId="77777777" w:rsidTr="72759B2F">
        <w:trPr>
          <w:trHeight w:val="593"/>
          <w:tblHeader/>
          <w:tblCellSpacing w:w="15" w:type="dxa"/>
        </w:trPr>
        <w:tc>
          <w:tcPr>
            <w:tcW w:w="0" w:type="auto"/>
            <w:gridSpan w:val="2"/>
            <w:tcBorders>
              <w:top w:val="single" w:sz="4" w:space="0" w:color="auto"/>
              <w:bottom w:val="single" w:sz="4" w:space="0" w:color="auto"/>
            </w:tcBorders>
            <w:shd w:val="clear" w:color="auto" w:fill="E8E8E8" w:themeFill="background2"/>
          </w:tcPr>
          <w:p w14:paraId="02FC2063" w14:textId="67C0F33E" w:rsidR="006468A9" w:rsidRPr="006468A9" w:rsidRDefault="28BD5725" w:rsidP="006468A9">
            <w:pPr>
              <w:rPr>
                <w:b/>
                <w:bCs/>
              </w:rPr>
            </w:pPr>
            <w:r w:rsidRPr="72759B2F">
              <w:rPr>
                <w:b/>
                <w:bCs/>
              </w:rPr>
              <w:t>DPH Recommendations for use of the 2026-2027 COVID-19 Vaccines</w:t>
            </w:r>
            <w:r w:rsidR="16E283C4" w:rsidRPr="72759B2F">
              <w:rPr>
                <w:b/>
                <w:bCs/>
              </w:rPr>
              <w:t xml:space="preserve"> for Children and Adolescents</w:t>
            </w:r>
          </w:p>
        </w:tc>
      </w:tr>
      <w:tr w:rsidR="006468A9" w:rsidRPr="006468A9" w14:paraId="2C29A465" w14:textId="77777777" w:rsidTr="72759B2F">
        <w:trPr>
          <w:tblHeader/>
          <w:tblCellSpacing w:w="15" w:type="dxa"/>
        </w:trPr>
        <w:tc>
          <w:tcPr>
            <w:tcW w:w="3657" w:type="dxa"/>
            <w:tcBorders>
              <w:bottom w:val="single" w:sz="4" w:space="0" w:color="auto"/>
            </w:tcBorders>
            <w:vAlign w:val="center"/>
            <w:hideMark/>
          </w:tcPr>
          <w:p w14:paraId="7FDAAD12" w14:textId="6DAC14E3" w:rsidR="006468A9" w:rsidRPr="006468A9" w:rsidRDefault="00340DD0" w:rsidP="006468A9">
            <w:pPr>
              <w:rPr>
                <w:b/>
                <w:bCs/>
              </w:rPr>
            </w:pPr>
            <w:r>
              <w:rPr>
                <w:b/>
                <w:bCs/>
              </w:rPr>
              <w:t>Age Group</w:t>
            </w:r>
          </w:p>
        </w:tc>
        <w:tc>
          <w:tcPr>
            <w:tcW w:w="5613" w:type="dxa"/>
            <w:tcBorders>
              <w:bottom w:val="single" w:sz="4" w:space="0" w:color="auto"/>
            </w:tcBorders>
            <w:vAlign w:val="center"/>
            <w:hideMark/>
          </w:tcPr>
          <w:p w14:paraId="032E8ED1" w14:textId="77777777" w:rsidR="006468A9" w:rsidRPr="006468A9" w:rsidRDefault="006468A9" w:rsidP="006468A9">
            <w:pPr>
              <w:rPr>
                <w:b/>
                <w:bCs/>
              </w:rPr>
            </w:pPr>
            <w:r w:rsidRPr="006468A9">
              <w:rPr>
                <w:b/>
                <w:bCs/>
              </w:rPr>
              <w:t>Recommendation</w:t>
            </w:r>
          </w:p>
        </w:tc>
      </w:tr>
      <w:tr w:rsidR="006468A9" w:rsidRPr="006468A9" w14:paraId="3F463E1F" w14:textId="77777777" w:rsidTr="72759B2F">
        <w:trPr>
          <w:tblCellSpacing w:w="15" w:type="dxa"/>
        </w:trPr>
        <w:tc>
          <w:tcPr>
            <w:tcW w:w="3657" w:type="dxa"/>
            <w:tcBorders>
              <w:top w:val="single" w:sz="4" w:space="0" w:color="auto"/>
              <w:bottom w:val="single" w:sz="4" w:space="0" w:color="auto"/>
            </w:tcBorders>
            <w:vAlign w:val="center"/>
            <w:hideMark/>
          </w:tcPr>
          <w:p w14:paraId="0E088F81" w14:textId="77777777" w:rsidR="006468A9" w:rsidRPr="006468A9" w:rsidRDefault="006468A9" w:rsidP="006468A9">
            <w:r w:rsidRPr="006468A9">
              <w:rPr>
                <w:b/>
                <w:bCs/>
              </w:rPr>
              <w:t>Children 6–23 months of age</w:t>
            </w:r>
          </w:p>
        </w:tc>
        <w:tc>
          <w:tcPr>
            <w:tcW w:w="5613" w:type="dxa"/>
            <w:tcBorders>
              <w:top w:val="single" w:sz="4" w:space="0" w:color="auto"/>
              <w:bottom w:val="single" w:sz="4" w:space="0" w:color="auto"/>
            </w:tcBorders>
            <w:vAlign w:val="center"/>
            <w:hideMark/>
          </w:tcPr>
          <w:p w14:paraId="79760261" w14:textId="77777777" w:rsidR="006468A9" w:rsidRPr="006468A9" w:rsidRDefault="006468A9" w:rsidP="006468A9">
            <w:r w:rsidRPr="006468A9">
              <w:rPr>
                <w:b/>
                <w:bCs/>
              </w:rPr>
              <w:t>Should receive</w:t>
            </w:r>
            <w:r w:rsidRPr="006468A9">
              <w:t xml:space="preserve"> age-appropriate 2026–2027 COVID-19 vaccination. Children who are unvaccinated or did not complete an initial vaccination series should complete their initial series. Those who completed an initial series should receive </w:t>
            </w:r>
            <w:r w:rsidRPr="006468A9">
              <w:rPr>
                <w:b/>
                <w:bCs/>
              </w:rPr>
              <w:t>one dose</w:t>
            </w:r>
            <w:r w:rsidRPr="006468A9">
              <w:t xml:space="preserve"> of the 2026–2027 vaccine at least </w:t>
            </w:r>
            <w:r w:rsidRPr="006468A9">
              <w:rPr>
                <w:b/>
                <w:bCs/>
              </w:rPr>
              <w:t>8 weeks after the last dose</w:t>
            </w:r>
            <w:r w:rsidRPr="006468A9">
              <w:t>.</w:t>
            </w:r>
          </w:p>
        </w:tc>
      </w:tr>
      <w:tr w:rsidR="006468A9" w:rsidRPr="006468A9" w14:paraId="6F359668" w14:textId="77777777" w:rsidTr="72759B2F">
        <w:trPr>
          <w:tblCellSpacing w:w="15" w:type="dxa"/>
        </w:trPr>
        <w:tc>
          <w:tcPr>
            <w:tcW w:w="3657" w:type="dxa"/>
            <w:tcBorders>
              <w:top w:val="single" w:sz="4" w:space="0" w:color="auto"/>
              <w:bottom w:val="single" w:sz="4" w:space="0" w:color="auto"/>
            </w:tcBorders>
            <w:vAlign w:val="center"/>
            <w:hideMark/>
          </w:tcPr>
          <w:p w14:paraId="04CA00E9" w14:textId="6A0A43CB" w:rsidR="006468A9" w:rsidRPr="006468A9" w:rsidRDefault="006468A9" w:rsidP="006468A9">
            <w:r w:rsidRPr="006468A9">
              <w:rPr>
                <w:b/>
                <w:bCs/>
              </w:rPr>
              <w:t>Children and adolescents 2–18 years of age with medical conditions associated with higher risk</w:t>
            </w:r>
            <w:r w:rsidR="00BB0106">
              <w:rPr>
                <w:rFonts w:ascii="Arial" w:hAnsi="Arial" w:cs="Arial"/>
                <w:b/>
                <w:bCs/>
                <w:vertAlign w:val="superscript"/>
              </w:rPr>
              <w:t>b</w:t>
            </w:r>
            <w:r w:rsidRPr="006468A9">
              <w:rPr>
                <w:b/>
                <w:bCs/>
              </w:rPr>
              <w:t xml:space="preserve"> of severe COVID-19</w:t>
            </w:r>
          </w:p>
        </w:tc>
        <w:tc>
          <w:tcPr>
            <w:tcW w:w="5613" w:type="dxa"/>
            <w:tcBorders>
              <w:top w:val="single" w:sz="4" w:space="0" w:color="auto"/>
              <w:bottom w:val="single" w:sz="4" w:space="0" w:color="auto"/>
            </w:tcBorders>
            <w:vAlign w:val="center"/>
            <w:hideMark/>
          </w:tcPr>
          <w:p w14:paraId="54918F5C" w14:textId="77777777" w:rsidR="006468A9" w:rsidRPr="006468A9" w:rsidRDefault="006468A9" w:rsidP="006468A9">
            <w:r w:rsidRPr="006468A9">
              <w:rPr>
                <w:b/>
                <w:bCs/>
              </w:rPr>
              <w:t>Should receive</w:t>
            </w:r>
            <w:r w:rsidRPr="006468A9">
              <w:t xml:space="preserve"> one dose of an age-appropriate 2026–2027 COVID-19 vaccine. This recommendation also applies to those whose </w:t>
            </w:r>
            <w:r w:rsidRPr="006468A9">
              <w:rPr>
                <w:b/>
                <w:bCs/>
              </w:rPr>
              <w:t>household contacts are at higher risk</w:t>
            </w:r>
            <w:r w:rsidRPr="006468A9">
              <w:t xml:space="preserve"> for severe COVID-19.</w:t>
            </w:r>
          </w:p>
        </w:tc>
      </w:tr>
      <w:tr w:rsidR="006468A9" w:rsidRPr="006468A9" w14:paraId="636F2363" w14:textId="77777777" w:rsidTr="72759B2F">
        <w:trPr>
          <w:tblCellSpacing w:w="15" w:type="dxa"/>
        </w:trPr>
        <w:tc>
          <w:tcPr>
            <w:tcW w:w="3657" w:type="dxa"/>
            <w:tcBorders>
              <w:top w:val="single" w:sz="4" w:space="0" w:color="auto"/>
              <w:bottom w:val="single" w:sz="4" w:space="0" w:color="auto"/>
            </w:tcBorders>
            <w:vAlign w:val="center"/>
            <w:hideMark/>
          </w:tcPr>
          <w:p w14:paraId="75D819C0" w14:textId="78A991ED" w:rsidR="006468A9" w:rsidRPr="006468A9" w:rsidRDefault="28BD5725" w:rsidP="006468A9">
            <w:r w:rsidRPr="72759B2F">
              <w:rPr>
                <w:b/>
                <w:bCs/>
              </w:rPr>
              <w:t>Children and adolescents 2–18 years of age residing in long-term</w:t>
            </w:r>
            <w:r w:rsidR="69DEEF5A" w:rsidRPr="72759B2F">
              <w:rPr>
                <w:b/>
                <w:bCs/>
              </w:rPr>
              <w:t xml:space="preserve"> </w:t>
            </w:r>
            <w:r w:rsidRPr="72759B2F">
              <w:rPr>
                <w:b/>
                <w:bCs/>
              </w:rPr>
              <w:lastRenderedPageBreak/>
              <w:t>care facilities or other congregate settings</w:t>
            </w:r>
          </w:p>
        </w:tc>
        <w:tc>
          <w:tcPr>
            <w:tcW w:w="5613" w:type="dxa"/>
            <w:tcBorders>
              <w:top w:val="single" w:sz="4" w:space="0" w:color="auto"/>
              <w:bottom w:val="single" w:sz="4" w:space="0" w:color="auto"/>
            </w:tcBorders>
            <w:vAlign w:val="center"/>
            <w:hideMark/>
          </w:tcPr>
          <w:p w14:paraId="7E60D242" w14:textId="77777777" w:rsidR="006468A9" w:rsidRPr="006468A9" w:rsidRDefault="006468A9" w:rsidP="006468A9">
            <w:r w:rsidRPr="006468A9">
              <w:rPr>
                <w:b/>
                <w:bCs/>
              </w:rPr>
              <w:lastRenderedPageBreak/>
              <w:t>Should receive</w:t>
            </w:r>
            <w:r w:rsidRPr="006468A9">
              <w:t xml:space="preserve"> one dose of an age-appropriate 2026–2027 COVID-19 vaccine.</w:t>
            </w:r>
          </w:p>
        </w:tc>
      </w:tr>
      <w:tr w:rsidR="006468A9" w:rsidRPr="006468A9" w14:paraId="6EB05F30" w14:textId="77777777" w:rsidTr="72759B2F">
        <w:trPr>
          <w:tblCellSpacing w:w="15" w:type="dxa"/>
        </w:trPr>
        <w:tc>
          <w:tcPr>
            <w:tcW w:w="3657" w:type="dxa"/>
            <w:tcBorders>
              <w:top w:val="single" w:sz="4" w:space="0" w:color="auto"/>
              <w:bottom w:val="single" w:sz="4" w:space="0" w:color="auto"/>
            </w:tcBorders>
            <w:vAlign w:val="center"/>
            <w:hideMark/>
          </w:tcPr>
          <w:p w14:paraId="39AD7F15" w14:textId="77777777" w:rsidR="006468A9" w:rsidRPr="006468A9" w:rsidRDefault="006468A9" w:rsidP="006468A9">
            <w:r w:rsidRPr="006468A9">
              <w:rPr>
                <w:b/>
                <w:bCs/>
              </w:rPr>
              <w:t>Healthy children and adolescents 2–18 years of age who have never been vaccinated</w:t>
            </w:r>
          </w:p>
        </w:tc>
        <w:tc>
          <w:tcPr>
            <w:tcW w:w="5613" w:type="dxa"/>
            <w:tcBorders>
              <w:top w:val="single" w:sz="4" w:space="0" w:color="auto"/>
              <w:bottom w:val="single" w:sz="4" w:space="0" w:color="auto"/>
            </w:tcBorders>
            <w:vAlign w:val="center"/>
            <w:hideMark/>
          </w:tcPr>
          <w:p w14:paraId="4FF1149B" w14:textId="77777777" w:rsidR="006468A9" w:rsidRPr="006468A9" w:rsidRDefault="006468A9" w:rsidP="006468A9">
            <w:r w:rsidRPr="006468A9">
              <w:rPr>
                <w:b/>
                <w:bCs/>
              </w:rPr>
              <w:t>Should receive</w:t>
            </w:r>
            <w:r w:rsidRPr="006468A9">
              <w:t xml:space="preserve"> one dose of an age-appropriate 2026–2027 COVID-19 vaccine.</w:t>
            </w:r>
          </w:p>
        </w:tc>
      </w:tr>
      <w:tr w:rsidR="006468A9" w:rsidRPr="006468A9" w14:paraId="69D4177A" w14:textId="77777777" w:rsidTr="72759B2F">
        <w:trPr>
          <w:trHeight w:val="1464"/>
          <w:tblCellSpacing w:w="15" w:type="dxa"/>
        </w:trPr>
        <w:tc>
          <w:tcPr>
            <w:tcW w:w="3657" w:type="dxa"/>
            <w:tcBorders>
              <w:bottom w:val="single" w:sz="4" w:space="0" w:color="auto"/>
            </w:tcBorders>
            <w:vAlign w:val="center"/>
            <w:hideMark/>
          </w:tcPr>
          <w:p w14:paraId="7F40AF51" w14:textId="77777777" w:rsidR="006468A9" w:rsidRPr="006468A9" w:rsidRDefault="006468A9" w:rsidP="006468A9">
            <w:r w:rsidRPr="006468A9">
              <w:rPr>
                <w:b/>
                <w:bCs/>
              </w:rPr>
              <w:t>Healthy children and adolescents 2–18 years of age who do not fall into the categories above</w:t>
            </w:r>
          </w:p>
        </w:tc>
        <w:tc>
          <w:tcPr>
            <w:tcW w:w="5613" w:type="dxa"/>
            <w:tcBorders>
              <w:bottom w:val="single" w:sz="4" w:space="0" w:color="auto"/>
            </w:tcBorders>
            <w:vAlign w:val="center"/>
            <w:hideMark/>
          </w:tcPr>
          <w:p w14:paraId="6F92B26E" w14:textId="77777777" w:rsidR="006468A9" w:rsidRPr="006468A9" w:rsidRDefault="006468A9" w:rsidP="006468A9">
            <w:r w:rsidRPr="006468A9">
              <w:rPr>
                <w:b/>
                <w:bCs/>
              </w:rPr>
              <w:t>May receive</w:t>
            </w:r>
            <w:r w:rsidRPr="006468A9">
              <w:t xml:space="preserve"> one dose of an age-appropriate 2026–2027 COVID-19 vaccine.</w:t>
            </w:r>
          </w:p>
        </w:tc>
      </w:tr>
    </w:tbl>
    <w:p w14:paraId="79B96D64" w14:textId="3C4DCDBF" w:rsidR="00CE137A" w:rsidRPr="00EC2278" w:rsidRDefault="00895857">
      <w:pPr>
        <w:rPr>
          <w:sz w:val="18"/>
          <w:szCs w:val="18"/>
        </w:rPr>
      </w:pPr>
      <w:r>
        <w:rPr>
          <w:sz w:val="18"/>
          <w:szCs w:val="18"/>
          <w:vertAlign w:val="superscript"/>
        </w:rPr>
        <w:t>b</w:t>
      </w:r>
      <w:r w:rsidR="00EC2278" w:rsidRPr="00EC2278">
        <w:rPr>
          <w:sz w:val="18"/>
          <w:szCs w:val="18"/>
        </w:rPr>
        <w:t>Medical conditions associated with higher risk of severe COVID-19</w:t>
      </w:r>
      <w:r w:rsidR="00834C4D">
        <w:rPr>
          <w:sz w:val="18"/>
          <w:szCs w:val="18"/>
        </w:rPr>
        <w:t xml:space="preserve"> </w:t>
      </w:r>
      <w:r w:rsidR="00592B0C">
        <w:rPr>
          <w:sz w:val="18"/>
          <w:szCs w:val="18"/>
        </w:rPr>
        <w:t>in pediatric populations</w:t>
      </w:r>
      <w:r w:rsidR="00834C4D">
        <w:rPr>
          <w:sz w:val="18"/>
          <w:szCs w:val="18"/>
        </w:rPr>
        <w:t xml:space="preserve"> listed in Table </w:t>
      </w:r>
      <w:r>
        <w:rPr>
          <w:sz w:val="18"/>
          <w:szCs w:val="18"/>
        </w:rPr>
        <w:t>2</w:t>
      </w:r>
      <w:r w:rsidR="00EC2278" w:rsidRPr="00EC2278">
        <w:rPr>
          <w:sz w:val="18"/>
          <w:szCs w:val="18"/>
        </w:rPr>
        <w:t>.</w:t>
      </w:r>
    </w:p>
    <w:p w14:paraId="17AF0E2A" w14:textId="77777777" w:rsidR="001B6DD3" w:rsidRPr="001B6DD3" w:rsidRDefault="001B6DD3" w:rsidP="001B6DD3">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10"/>
        <w:gridCol w:w="5850"/>
      </w:tblGrid>
      <w:tr w:rsidR="00A66C7D" w:rsidRPr="001B6DD3" w14:paraId="3199EE74" w14:textId="77777777" w:rsidTr="72759B2F">
        <w:trPr>
          <w:trHeight w:val="476"/>
          <w:tblCellSpacing w:w="15" w:type="dxa"/>
        </w:trPr>
        <w:tc>
          <w:tcPr>
            <w:tcW w:w="0" w:type="auto"/>
            <w:gridSpan w:val="2"/>
            <w:tcBorders>
              <w:top w:val="single" w:sz="4" w:space="0" w:color="auto"/>
              <w:bottom w:val="single" w:sz="4" w:space="0" w:color="auto"/>
            </w:tcBorders>
            <w:shd w:val="clear" w:color="auto" w:fill="E8E8E8" w:themeFill="background2"/>
            <w:vAlign w:val="center"/>
          </w:tcPr>
          <w:p w14:paraId="1E90BC71" w14:textId="323F4E05" w:rsidR="00A66C7D" w:rsidRPr="001B6DD3" w:rsidRDefault="2C507E16" w:rsidP="001B6DD3">
            <w:pPr>
              <w:rPr>
                <w:b/>
                <w:bCs/>
              </w:rPr>
            </w:pPr>
            <w:r w:rsidRPr="72759B2F">
              <w:rPr>
                <w:b/>
                <w:bCs/>
              </w:rPr>
              <w:t xml:space="preserve">DPH Recommendations for use of the 2026-2027 COVID-19 Vaccines for </w:t>
            </w:r>
            <w:r w:rsidR="405A3596" w:rsidRPr="72759B2F">
              <w:rPr>
                <w:b/>
                <w:bCs/>
              </w:rPr>
              <w:t>Adults</w:t>
            </w:r>
          </w:p>
        </w:tc>
      </w:tr>
      <w:tr w:rsidR="008B5580" w:rsidRPr="001B6DD3" w14:paraId="7D0094C2" w14:textId="77777777" w:rsidTr="72759B2F">
        <w:trPr>
          <w:tblCellSpacing w:w="15" w:type="dxa"/>
        </w:trPr>
        <w:tc>
          <w:tcPr>
            <w:tcW w:w="3465" w:type="dxa"/>
            <w:tcBorders>
              <w:top w:val="single" w:sz="4" w:space="0" w:color="auto"/>
              <w:bottom w:val="single" w:sz="4" w:space="0" w:color="auto"/>
            </w:tcBorders>
            <w:shd w:val="clear" w:color="auto" w:fill="FFFFFF" w:themeFill="background1"/>
            <w:vAlign w:val="center"/>
          </w:tcPr>
          <w:p w14:paraId="76506B6C" w14:textId="77777777" w:rsidR="008B5580" w:rsidRDefault="008B5580" w:rsidP="001B6DD3">
            <w:pPr>
              <w:rPr>
                <w:b/>
                <w:bCs/>
              </w:rPr>
            </w:pPr>
            <w:r>
              <w:rPr>
                <w:b/>
                <w:bCs/>
              </w:rPr>
              <w:t>Age Group</w:t>
            </w:r>
          </w:p>
        </w:tc>
        <w:tc>
          <w:tcPr>
            <w:tcW w:w="5805" w:type="dxa"/>
            <w:tcBorders>
              <w:top w:val="single" w:sz="4" w:space="0" w:color="auto"/>
              <w:bottom w:val="single" w:sz="4" w:space="0" w:color="auto"/>
            </w:tcBorders>
            <w:shd w:val="clear" w:color="auto" w:fill="FFFFFF" w:themeFill="background1"/>
            <w:vAlign w:val="center"/>
          </w:tcPr>
          <w:p w14:paraId="19BCD9EA" w14:textId="3430F180" w:rsidR="008B5580" w:rsidRDefault="008B5580" w:rsidP="001B6DD3">
            <w:pPr>
              <w:rPr>
                <w:b/>
                <w:bCs/>
              </w:rPr>
            </w:pPr>
            <w:r>
              <w:rPr>
                <w:b/>
                <w:bCs/>
              </w:rPr>
              <w:t>Recommendation</w:t>
            </w:r>
          </w:p>
        </w:tc>
      </w:tr>
      <w:tr w:rsidR="003B5998" w:rsidRPr="001B6DD3" w14:paraId="024BBD35" w14:textId="77777777" w:rsidTr="72759B2F">
        <w:trPr>
          <w:tblCellSpacing w:w="15" w:type="dxa"/>
        </w:trPr>
        <w:tc>
          <w:tcPr>
            <w:tcW w:w="3465" w:type="dxa"/>
            <w:vAlign w:val="center"/>
          </w:tcPr>
          <w:p w14:paraId="64EA65DF" w14:textId="4E29A86A" w:rsidR="003B5998" w:rsidRPr="001B6DD3" w:rsidRDefault="003B5998" w:rsidP="00542D18">
            <w:pPr>
              <w:spacing w:after="0"/>
              <w:rPr>
                <w:b/>
                <w:bCs/>
              </w:rPr>
            </w:pPr>
            <w:r w:rsidRPr="001B6DD3">
              <w:rPr>
                <w:b/>
                <w:bCs/>
              </w:rPr>
              <w:t xml:space="preserve">Adults 19–64 years of age </w:t>
            </w:r>
          </w:p>
        </w:tc>
        <w:tc>
          <w:tcPr>
            <w:tcW w:w="5805" w:type="dxa"/>
            <w:vAlign w:val="center"/>
          </w:tcPr>
          <w:p w14:paraId="0F531B51" w14:textId="26DD0524" w:rsidR="003B5998" w:rsidRPr="001B6DD3" w:rsidRDefault="003B5998" w:rsidP="00542D18">
            <w:pPr>
              <w:spacing w:after="0"/>
              <w:rPr>
                <w:b/>
                <w:bCs/>
              </w:rPr>
            </w:pPr>
            <w:r w:rsidRPr="001B6DD3">
              <w:rPr>
                <w:b/>
                <w:bCs/>
              </w:rPr>
              <w:t>Should receive</w:t>
            </w:r>
            <w:r w:rsidRPr="001B6DD3">
              <w:t xml:space="preserve"> one dose of a 2026–2027 COVID-19 vaccine.</w:t>
            </w:r>
          </w:p>
        </w:tc>
      </w:tr>
      <w:tr w:rsidR="001B6DD3" w:rsidRPr="001B6DD3" w14:paraId="6C34C48F" w14:textId="77777777" w:rsidTr="00121ACE">
        <w:trPr>
          <w:tblCellSpacing w:w="15" w:type="dxa"/>
        </w:trPr>
        <w:tc>
          <w:tcPr>
            <w:tcW w:w="3465" w:type="dxa"/>
            <w:tcBorders>
              <w:bottom w:val="single" w:sz="4" w:space="0" w:color="auto"/>
            </w:tcBorders>
            <w:vAlign w:val="center"/>
            <w:hideMark/>
          </w:tcPr>
          <w:p w14:paraId="31BF1350" w14:textId="77777777" w:rsidR="001B6DD3" w:rsidRPr="001B6DD3" w:rsidRDefault="001B6DD3" w:rsidP="00542D18">
            <w:pPr>
              <w:spacing w:after="0"/>
            </w:pPr>
            <w:r w:rsidRPr="001B6DD3">
              <w:rPr>
                <w:b/>
                <w:bCs/>
              </w:rPr>
              <w:t>Adults 65 years of age and older</w:t>
            </w:r>
          </w:p>
        </w:tc>
        <w:tc>
          <w:tcPr>
            <w:tcW w:w="5805" w:type="dxa"/>
            <w:tcBorders>
              <w:bottom w:val="single" w:sz="4" w:space="0" w:color="auto"/>
            </w:tcBorders>
            <w:vAlign w:val="center"/>
            <w:hideMark/>
          </w:tcPr>
          <w:p w14:paraId="0A54A46E" w14:textId="77777777" w:rsidR="001B6DD3" w:rsidRPr="001B6DD3" w:rsidRDefault="001B6DD3" w:rsidP="00542D18">
            <w:pPr>
              <w:spacing w:after="0"/>
            </w:pPr>
            <w:r w:rsidRPr="001B6DD3">
              <w:rPr>
                <w:b/>
                <w:bCs/>
              </w:rPr>
              <w:t>Should receive</w:t>
            </w:r>
            <w:r w:rsidRPr="001B6DD3">
              <w:t xml:space="preserve"> two doses of a 2026–2027 COVID-19 vaccine, with the second dose administered </w:t>
            </w:r>
            <w:r w:rsidRPr="001B6DD3">
              <w:rPr>
                <w:b/>
                <w:bCs/>
              </w:rPr>
              <w:t>6 months after the first</w:t>
            </w:r>
            <w:r w:rsidRPr="001B6DD3">
              <w:t>.</w:t>
            </w:r>
          </w:p>
        </w:tc>
      </w:tr>
    </w:tbl>
    <w:p w14:paraId="3F658F6B" w14:textId="77777777" w:rsidR="001B6DD3" w:rsidRPr="001B6DD3" w:rsidRDefault="001B6DD3" w:rsidP="00542D18">
      <w:pPr>
        <w:spacing w:after="0"/>
        <w:rPr>
          <w:vanish/>
        </w:rPr>
      </w:pPr>
    </w:p>
    <w:p w14:paraId="657E82D7" w14:textId="77777777" w:rsidR="00CE137A" w:rsidRDefault="00CE137A"/>
    <w:p w14:paraId="54224149" w14:textId="77777777" w:rsidR="00F87A3A" w:rsidRPr="00F87A3A" w:rsidRDefault="00F87A3A" w:rsidP="00F87A3A">
      <w:pPr>
        <w:spacing w:line="240"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03"/>
        <w:gridCol w:w="5657"/>
      </w:tblGrid>
      <w:tr w:rsidR="00F3186C" w:rsidRPr="00F87A3A" w14:paraId="2BE96084" w14:textId="77777777" w:rsidTr="72759B2F">
        <w:trPr>
          <w:tblCellSpacing w:w="15" w:type="dxa"/>
        </w:trPr>
        <w:tc>
          <w:tcPr>
            <w:tcW w:w="0" w:type="auto"/>
            <w:gridSpan w:val="2"/>
            <w:tcBorders>
              <w:top w:val="single" w:sz="4" w:space="0" w:color="auto"/>
              <w:bottom w:val="single" w:sz="4" w:space="0" w:color="auto"/>
            </w:tcBorders>
            <w:shd w:val="clear" w:color="auto" w:fill="E8E8E8" w:themeFill="background2"/>
            <w:vAlign w:val="center"/>
          </w:tcPr>
          <w:p w14:paraId="0F257AEC" w14:textId="36F7CC14" w:rsidR="00F3186C" w:rsidRPr="00F87A3A" w:rsidRDefault="0F1A24F9" w:rsidP="00F3186C">
            <w:pPr>
              <w:spacing w:after="0" w:line="240" w:lineRule="auto"/>
              <w:rPr>
                <w:b/>
                <w:bCs/>
              </w:rPr>
            </w:pPr>
            <w:r w:rsidRPr="72759B2F">
              <w:rPr>
                <w:b/>
                <w:bCs/>
              </w:rPr>
              <w:t xml:space="preserve">DPH Recommendations for use of the 2026-2027 COVID-19 Vaccines for </w:t>
            </w:r>
            <w:r w:rsidR="042C3410" w:rsidRPr="72759B2F">
              <w:rPr>
                <w:b/>
                <w:bCs/>
              </w:rPr>
              <w:t>Special Populations</w:t>
            </w:r>
          </w:p>
        </w:tc>
      </w:tr>
      <w:tr w:rsidR="00FF14B9" w:rsidRPr="00F87A3A" w14:paraId="46C5A04B" w14:textId="77777777" w:rsidTr="0045022B">
        <w:trPr>
          <w:tblCellSpacing w:w="15" w:type="dxa"/>
        </w:trPr>
        <w:tc>
          <w:tcPr>
            <w:tcW w:w="3555" w:type="dxa"/>
            <w:tcBorders>
              <w:bottom w:val="single" w:sz="4" w:space="0" w:color="auto"/>
            </w:tcBorders>
            <w:vAlign w:val="center"/>
          </w:tcPr>
          <w:p w14:paraId="396E9192" w14:textId="77777777" w:rsidR="00FF14B9" w:rsidRDefault="00FF14B9" w:rsidP="00F3186C">
            <w:pPr>
              <w:spacing w:after="0" w:line="240" w:lineRule="auto"/>
              <w:rPr>
                <w:b/>
                <w:bCs/>
              </w:rPr>
            </w:pPr>
            <w:r>
              <w:rPr>
                <w:b/>
                <w:bCs/>
              </w:rPr>
              <w:t>Population</w:t>
            </w:r>
          </w:p>
        </w:tc>
        <w:tc>
          <w:tcPr>
            <w:tcW w:w="5715" w:type="dxa"/>
            <w:tcBorders>
              <w:bottom w:val="single" w:sz="4" w:space="0" w:color="auto"/>
            </w:tcBorders>
            <w:vAlign w:val="center"/>
          </w:tcPr>
          <w:p w14:paraId="65A35A21" w14:textId="71A065A7" w:rsidR="00FF14B9" w:rsidRDefault="00C16A82" w:rsidP="00F3186C">
            <w:pPr>
              <w:spacing w:after="0" w:line="240" w:lineRule="auto"/>
              <w:rPr>
                <w:b/>
                <w:bCs/>
              </w:rPr>
            </w:pPr>
            <w:r>
              <w:rPr>
                <w:b/>
                <w:bCs/>
              </w:rPr>
              <w:t>Recommendation</w:t>
            </w:r>
          </w:p>
        </w:tc>
      </w:tr>
      <w:tr w:rsidR="00F87A3A" w:rsidRPr="00F87A3A" w14:paraId="37374C3F" w14:textId="77777777" w:rsidTr="0045022B">
        <w:trPr>
          <w:tblCellSpacing w:w="15" w:type="dxa"/>
        </w:trPr>
        <w:tc>
          <w:tcPr>
            <w:tcW w:w="3555" w:type="dxa"/>
            <w:vAlign w:val="center"/>
            <w:hideMark/>
          </w:tcPr>
          <w:p w14:paraId="412F7FEF" w14:textId="1A8B4C71" w:rsidR="00F87A3A" w:rsidRPr="00F87A3A" w:rsidRDefault="00E11176" w:rsidP="00F3186C">
            <w:pPr>
              <w:spacing w:after="0" w:line="240" w:lineRule="auto"/>
            </w:pPr>
            <w:r w:rsidRPr="00E11176">
              <w:rPr>
                <w:b/>
                <w:bCs/>
              </w:rPr>
              <w:t>All immunocompromised</w:t>
            </w:r>
            <w:r w:rsidR="00136B45" w:rsidRPr="00121ACE">
              <w:rPr>
                <w:b/>
                <w:bCs/>
                <w:vertAlign w:val="superscript"/>
              </w:rPr>
              <w:t>d</w:t>
            </w:r>
            <w:r w:rsidRPr="00E11176">
              <w:rPr>
                <w:b/>
                <w:bCs/>
              </w:rPr>
              <w:t xml:space="preserve"> </w:t>
            </w:r>
            <w:r>
              <w:rPr>
                <w:b/>
                <w:bCs/>
              </w:rPr>
              <w:t>peo</w:t>
            </w:r>
            <w:r w:rsidR="00591D20">
              <w:rPr>
                <w:b/>
                <w:bCs/>
              </w:rPr>
              <w:t>ple</w:t>
            </w:r>
            <w:r w:rsidRPr="00E11176">
              <w:rPr>
                <w:b/>
                <w:bCs/>
              </w:rPr>
              <w:t xml:space="preserve"> aged ≥6 months</w:t>
            </w:r>
          </w:p>
        </w:tc>
        <w:tc>
          <w:tcPr>
            <w:tcW w:w="5715" w:type="dxa"/>
            <w:vAlign w:val="center"/>
            <w:hideMark/>
          </w:tcPr>
          <w:p w14:paraId="564BDBAC" w14:textId="2B49CD87" w:rsidR="00F87A3A" w:rsidRPr="00F87A3A" w:rsidRDefault="00D82613" w:rsidP="00121ACE">
            <w:r w:rsidRPr="00121ACE">
              <w:rPr>
                <w:b/>
                <w:bCs/>
              </w:rPr>
              <w:t>S</w:t>
            </w:r>
            <w:r w:rsidR="0074617F" w:rsidRPr="00121ACE">
              <w:rPr>
                <w:b/>
                <w:bCs/>
              </w:rPr>
              <w:t>hould</w:t>
            </w:r>
            <w:r w:rsidR="0074617F">
              <w:t xml:space="preserve"> </w:t>
            </w:r>
            <w:r w:rsidR="0074617F" w:rsidRPr="00121ACE">
              <w:rPr>
                <w:b/>
              </w:rPr>
              <w:t>receive</w:t>
            </w:r>
            <w:r w:rsidR="0074617F">
              <w:t xml:space="preserve"> one </w:t>
            </w:r>
            <w:r w:rsidR="0074617F" w:rsidRPr="00FF5AD0">
              <w:t xml:space="preserve">dose of </w:t>
            </w:r>
            <w:r w:rsidR="0074617F">
              <w:t xml:space="preserve">a 2026-2027 </w:t>
            </w:r>
            <w:r w:rsidR="0074617F" w:rsidRPr="00FF5AD0">
              <w:t xml:space="preserve">vaccine </w:t>
            </w:r>
            <w:r w:rsidR="0074617F">
              <w:t>COVID-19 vaccine</w:t>
            </w:r>
            <w:r w:rsidR="0074617F" w:rsidRPr="003F0AB4">
              <w:t>.</w:t>
            </w:r>
            <w:r w:rsidR="00736E16" w:rsidRPr="00121ACE">
              <w:rPr>
                <w:vertAlign w:val="superscript"/>
              </w:rPr>
              <w:t>c</w:t>
            </w:r>
            <w:r w:rsidR="0074617F">
              <w:t xml:space="preserve"> </w:t>
            </w:r>
          </w:p>
        </w:tc>
      </w:tr>
    </w:tbl>
    <w:p w14:paraId="5F74E2E7" w14:textId="77777777" w:rsidR="00F87A3A" w:rsidRPr="00F87A3A" w:rsidRDefault="00F87A3A" w:rsidP="00F3186C">
      <w:pPr>
        <w:spacing w:after="0" w:line="240" w:lineRule="auto"/>
        <w:rPr>
          <w:vanish/>
        </w:rPr>
      </w:pPr>
    </w:p>
    <w:p w14:paraId="69CE9ABA" w14:textId="77777777" w:rsidR="00F87A3A" w:rsidRPr="00F87A3A" w:rsidRDefault="00F87A3A" w:rsidP="00F3186C">
      <w:pPr>
        <w:spacing w:after="0" w:line="240"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0"/>
        <w:gridCol w:w="5670"/>
      </w:tblGrid>
      <w:tr w:rsidR="00F87A3A" w:rsidRPr="00F87A3A" w14:paraId="749B0D95" w14:textId="77777777" w:rsidTr="00F87A3A">
        <w:trPr>
          <w:tblCellSpacing w:w="15" w:type="dxa"/>
        </w:trPr>
        <w:tc>
          <w:tcPr>
            <w:tcW w:w="3645" w:type="dxa"/>
            <w:vAlign w:val="center"/>
            <w:hideMark/>
          </w:tcPr>
          <w:p w14:paraId="3612D2F9" w14:textId="77777777" w:rsidR="00F87A3A" w:rsidRPr="00F87A3A" w:rsidRDefault="00F87A3A" w:rsidP="00F3186C">
            <w:pPr>
              <w:spacing w:after="0" w:line="240" w:lineRule="auto"/>
            </w:pPr>
            <w:r w:rsidRPr="00F87A3A">
              <w:rPr>
                <w:b/>
                <w:bCs/>
              </w:rPr>
              <w:t>People who are pregnant, contemplating pregnancy, recently pregnant, or lactating</w:t>
            </w:r>
          </w:p>
        </w:tc>
        <w:tc>
          <w:tcPr>
            <w:tcW w:w="5625" w:type="dxa"/>
            <w:vAlign w:val="center"/>
            <w:hideMark/>
          </w:tcPr>
          <w:p w14:paraId="0B346889" w14:textId="77777777" w:rsidR="00F87A3A" w:rsidRPr="00F87A3A" w:rsidRDefault="00F87A3A" w:rsidP="00F3186C">
            <w:pPr>
              <w:spacing w:after="0" w:line="240" w:lineRule="auto"/>
            </w:pPr>
            <w:r w:rsidRPr="00F87A3A">
              <w:rPr>
                <w:b/>
                <w:bCs/>
              </w:rPr>
              <w:t>Should receive</w:t>
            </w:r>
            <w:r w:rsidRPr="00F87A3A">
              <w:t xml:space="preserve"> one dose of a 2026–2027 COVID-19 vaccine.</w:t>
            </w:r>
          </w:p>
        </w:tc>
      </w:tr>
    </w:tbl>
    <w:p w14:paraId="7B6507B5" w14:textId="77777777" w:rsidR="00F87A3A" w:rsidRPr="00F87A3A" w:rsidRDefault="00F87A3A" w:rsidP="00F3186C">
      <w:pPr>
        <w:spacing w:after="0" w:line="240" w:lineRule="auto"/>
        <w:rPr>
          <w:vanish/>
        </w:rPr>
      </w:pP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3690"/>
        <w:gridCol w:w="5670"/>
      </w:tblGrid>
      <w:tr w:rsidR="00F87A3A" w:rsidRPr="00F87A3A" w14:paraId="33474700" w14:textId="77777777" w:rsidTr="00C16A82">
        <w:trPr>
          <w:tblCellSpacing w:w="15" w:type="dxa"/>
        </w:trPr>
        <w:tc>
          <w:tcPr>
            <w:tcW w:w="3645" w:type="dxa"/>
            <w:vAlign w:val="center"/>
            <w:hideMark/>
          </w:tcPr>
          <w:p w14:paraId="6DE5B13F" w14:textId="0F8E7D4B" w:rsidR="00F87A3A" w:rsidRPr="00F87A3A" w:rsidRDefault="000437D3" w:rsidP="00F3186C">
            <w:pPr>
              <w:spacing w:after="0" w:line="240" w:lineRule="auto"/>
            </w:pPr>
            <w:r>
              <w:rPr>
                <w:b/>
                <w:bCs/>
              </w:rPr>
              <w:lastRenderedPageBreak/>
              <w:t>Healthcare personnel</w:t>
            </w:r>
          </w:p>
        </w:tc>
        <w:tc>
          <w:tcPr>
            <w:tcW w:w="5625" w:type="dxa"/>
            <w:vAlign w:val="center"/>
            <w:hideMark/>
          </w:tcPr>
          <w:p w14:paraId="1FCDBFE4" w14:textId="77777777" w:rsidR="00F87A3A" w:rsidRPr="00F87A3A" w:rsidRDefault="00F87A3A" w:rsidP="00F3186C">
            <w:pPr>
              <w:spacing w:after="0" w:line="240" w:lineRule="auto"/>
            </w:pPr>
            <w:r w:rsidRPr="00F87A3A">
              <w:rPr>
                <w:b/>
                <w:bCs/>
              </w:rPr>
              <w:t>Should receive</w:t>
            </w:r>
            <w:r w:rsidRPr="00F87A3A">
              <w:t xml:space="preserve"> one dose of a 2026–2027 COVID-19 vaccine, regardless of age or underlying medical conditions.</w:t>
            </w:r>
          </w:p>
        </w:tc>
      </w:tr>
    </w:tbl>
    <w:p w14:paraId="22D39880" w14:textId="04C5B9A3" w:rsidR="00E7726A" w:rsidRDefault="00736E16" w:rsidP="00E7726A">
      <w:pPr>
        <w:rPr>
          <w:sz w:val="18"/>
          <w:szCs w:val="18"/>
        </w:rPr>
      </w:pPr>
      <w:r>
        <w:rPr>
          <w:sz w:val="18"/>
          <w:szCs w:val="18"/>
          <w:vertAlign w:val="superscript"/>
        </w:rPr>
        <w:t>c</w:t>
      </w:r>
      <w:r w:rsidR="00E7726A" w:rsidRPr="00121ACE">
        <w:rPr>
          <w:sz w:val="18"/>
          <w:szCs w:val="18"/>
        </w:rPr>
        <w:t>A second booster dose can be given ≥2-6 months after dose one based on shared decision making and current levels of transmission. Additional doses beyond two can be given in a 12-month period with shared decision making; however, additional benefit at present is unknown.</w:t>
      </w:r>
    </w:p>
    <w:p w14:paraId="58EB6F79" w14:textId="77777777" w:rsidR="00BE213D" w:rsidRPr="003E1E81" w:rsidRDefault="00BE213D" w:rsidP="00BE213D">
      <w:pPr>
        <w:rPr>
          <w:sz w:val="18"/>
          <w:szCs w:val="18"/>
        </w:rPr>
      </w:pPr>
      <w:r w:rsidRPr="003E1E81">
        <w:rPr>
          <w:sz w:val="18"/>
          <w:szCs w:val="18"/>
          <w:vertAlign w:val="superscript"/>
        </w:rPr>
        <w:t>d</w:t>
      </w:r>
      <w:r>
        <w:rPr>
          <w:sz w:val="18"/>
          <w:szCs w:val="18"/>
        </w:rPr>
        <w:t xml:space="preserve">For this guidance, immunocompromised refers to people with </w:t>
      </w:r>
      <w:r w:rsidRPr="006B04FB">
        <w:rPr>
          <w:sz w:val="18"/>
          <w:szCs w:val="18"/>
        </w:rPr>
        <w:t xml:space="preserve">hematologic malignancy, primary immunodeficiency, autoimmune disease treated with immunosuppressants or biologics, HIV with severe immunosuppression (CD4 &lt;15% or &lt;200/mm³), </w:t>
      </w:r>
      <w:r>
        <w:rPr>
          <w:sz w:val="18"/>
          <w:szCs w:val="18"/>
        </w:rPr>
        <w:t xml:space="preserve">and </w:t>
      </w:r>
      <w:r w:rsidRPr="006B04FB">
        <w:rPr>
          <w:sz w:val="18"/>
          <w:szCs w:val="18"/>
        </w:rPr>
        <w:t>recipients</w:t>
      </w:r>
      <w:r w:rsidRPr="006B04FB">
        <w:rPr>
          <w:rFonts w:ascii="Arial" w:hAnsi="Arial" w:cs="Arial"/>
          <w:sz w:val="18"/>
          <w:szCs w:val="18"/>
        </w:rPr>
        <w:t> </w:t>
      </w:r>
      <w:r w:rsidRPr="006B04FB">
        <w:rPr>
          <w:sz w:val="18"/>
          <w:szCs w:val="18"/>
        </w:rPr>
        <w:t>of solid organ transplants (SOT), hematopoietic cell transplantation (HCT), chimeric antigen receptor T-cell therapy (CAR-T), or solid-tumor chemotherapy</w:t>
      </w:r>
    </w:p>
    <w:p w14:paraId="33E2CAC0" w14:textId="36E9BFD4" w:rsidR="00852BEA" w:rsidRDefault="002E2C99" w:rsidP="4385E08A">
      <w:pPr>
        <w:pStyle w:val="Heading1"/>
        <w:rPr>
          <w:b/>
          <w:sz w:val="28"/>
          <w:szCs w:val="28"/>
        </w:rPr>
      </w:pPr>
      <w:r w:rsidRPr="4385E08A">
        <w:rPr>
          <w:sz w:val="28"/>
          <w:szCs w:val="28"/>
        </w:rPr>
        <w:t>B</w:t>
      </w:r>
      <w:r w:rsidR="002246B3" w:rsidRPr="4385E08A">
        <w:rPr>
          <w:sz w:val="28"/>
          <w:szCs w:val="28"/>
        </w:rPr>
        <w:t>ackground</w:t>
      </w:r>
    </w:p>
    <w:p w14:paraId="48D14027" w14:textId="744F91D7" w:rsidR="000F3615" w:rsidRPr="00D62F51" w:rsidRDefault="003A15DC">
      <w:pPr>
        <w:rPr>
          <w:b/>
          <w:bCs/>
        </w:rPr>
      </w:pPr>
      <w:r w:rsidRPr="002246B3">
        <w:rPr>
          <w:u w:val="single"/>
        </w:rPr>
        <w:t>Public Health Burden</w:t>
      </w:r>
      <w:r w:rsidR="00D62F51" w:rsidRPr="002246B3">
        <w:rPr>
          <w:u w:val="single"/>
        </w:rPr>
        <w:t xml:space="preserve"> of COVID-19 </w:t>
      </w:r>
      <w:r w:rsidR="00EA60FB" w:rsidRPr="002246B3">
        <w:rPr>
          <w:u w:val="single"/>
        </w:rPr>
        <w:t>in the U.S</w:t>
      </w:r>
      <w:r w:rsidR="00EA60FB" w:rsidRPr="4385E08A">
        <w:rPr>
          <w:b/>
          <w:u w:val="single"/>
        </w:rPr>
        <w:t>.</w:t>
      </w:r>
    </w:p>
    <w:p w14:paraId="1FFC8A74" w14:textId="56174FC3" w:rsidR="00420605" w:rsidRDefault="00691C0E" w:rsidP="4385E08A">
      <w:r>
        <w:t xml:space="preserve">COVID-19 is an easily transmitted and potentially dangerous respiratory disease caused by the SARS-CoV-2 virus.  While the </w:t>
      </w:r>
      <w:r w:rsidR="006D1A88">
        <w:t>i</w:t>
      </w:r>
      <w:r w:rsidR="008B24C6">
        <w:t>mpact</w:t>
      </w:r>
      <w:r>
        <w:t xml:space="preserve"> of COVID-19 </w:t>
      </w:r>
      <w:r w:rsidR="00DE3B8F">
        <w:t xml:space="preserve">disease </w:t>
      </w:r>
      <w:r w:rsidR="008B24C6">
        <w:t xml:space="preserve">on serious health outcomes </w:t>
      </w:r>
      <w:r>
        <w:t>has decreased substantially since the onset of the pandemic,</w:t>
      </w:r>
      <w:r w:rsidR="00DE3B8F">
        <w:t xml:space="preserve"> illness</w:t>
      </w:r>
      <w:r w:rsidR="00DD4A3B">
        <w:t xml:space="preserve"> from</w:t>
      </w:r>
      <w:r>
        <w:t xml:space="preserve"> C</w:t>
      </w:r>
      <w:r w:rsidR="00DE3B8F">
        <w:t>OVID</w:t>
      </w:r>
      <w:r>
        <w:t xml:space="preserve">-19 continues to </w:t>
      </w:r>
      <w:r w:rsidR="0046744D">
        <w:t>i</w:t>
      </w:r>
      <w:r w:rsidR="00A94FB3" w:rsidRPr="00A94FB3">
        <w:t>mpose a substantial public health burden</w:t>
      </w:r>
      <w:r>
        <w:t xml:space="preserve">. </w:t>
      </w:r>
      <w:r w:rsidR="006E1908">
        <w:t>The Center</w:t>
      </w:r>
      <w:r w:rsidR="0046744D">
        <w:t>s</w:t>
      </w:r>
      <w:r w:rsidR="006E1908">
        <w:t xml:space="preserve"> for Disease Control and Prevention (CDC)</w:t>
      </w:r>
      <w:r w:rsidR="009917F8">
        <w:t xml:space="preserve"> </w:t>
      </w:r>
      <w:r w:rsidR="006E1908">
        <w:t xml:space="preserve">estimated that </w:t>
      </w:r>
      <w:r w:rsidR="009917F8">
        <w:t xml:space="preserve">COVID-19 </w:t>
      </w:r>
      <w:r w:rsidR="005025F0">
        <w:t xml:space="preserve">caused </w:t>
      </w:r>
      <w:r w:rsidR="00AF5ED0">
        <w:t>850</w:t>
      </w:r>
      <w:r w:rsidR="008D4A59">
        <w:t>,000 to 2.3 million</w:t>
      </w:r>
      <w:r w:rsidR="006E1908">
        <w:t xml:space="preserve"> outpatient medical visits, </w:t>
      </w:r>
      <w:r w:rsidR="006030DB">
        <w:t>130,</w:t>
      </w:r>
      <w:r w:rsidR="004F7C28">
        <w:t>000 to 240,000</w:t>
      </w:r>
      <w:r w:rsidR="006E1908">
        <w:t xml:space="preserve"> hospitalizations and </w:t>
      </w:r>
      <w:r w:rsidR="00217483">
        <w:t xml:space="preserve">14,000 to </w:t>
      </w:r>
      <w:r w:rsidR="002336E2">
        <w:t>41,000</w:t>
      </w:r>
      <w:r w:rsidR="006E1908">
        <w:t xml:space="preserve"> deaths</w:t>
      </w:r>
      <w:r w:rsidR="006B5FE9">
        <w:t xml:space="preserve"> in the U.S. during the 2025-2026 respiratory season</w:t>
      </w:r>
      <w:r w:rsidR="009917F8">
        <w:t>.</w:t>
      </w:r>
      <w:r w:rsidR="001431A9" w:rsidRPr="00FC1A7E">
        <w:rPr>
          <w:noProof/>
          <w:vertAlign w:val="superscript"/>
        </w:rPr>
        <w:t>1</w:t>
      </w:r>
    </w:p>
    <w:p w14:paraId="6C756CEA" w14:textId="52E838C4" w:rsidR="00FC1A7E" w:rsidRDefault="00667B08" w:rsidP="00FC1A7E">
      <w:r w:rsidRPr="001A7074">
        <w:t xml:space="preserve">The public health impact extends beyond acute illness. </w:t>
      </w:r>
      <w:r w:rsidR="009D7BAA">
        <w:t xml:space="preserve">In addition to the </w:t>
      </w:r>
      <w:r w:rsidR="00FE4D1A">
        <w:t xml:space="preserve">acute </w:t>
      </w:r>
      <w:r w:rsidR="00356D47">
        <w:t xml:space="preserve">manifestations </w:t>
      </w:r>
      <w:r w:rsidR="0046744D">
        <w:t xml:space="preserve">of </w:t>
      </w:r>
      <w:r w:rsidR="00356D47">
        <w:t>COVID</w:t>
      </w:r>
      <w:r w:rsidR="00FE4D1A">
        <w:t xml:space="preserve">-19, </w:t>
      </w:r>
      <w:r w:rsidR="00BF411E">
        <w:t xml:space="preserve">there </w:t>
      </w:r>
      <w:r>
        <w:t>can</w:t>
      </w:r>
      <w:r w:rsidR="00BF411E">
        <w:t xml:space="preserve"> also be chronic sequelae.  </w:t>
      </w:r>
      <w:r w:rsidR="00E41CA9">
        <w:t>Long COVID</w:t>
      </w:r>
      <w:r w:rsidR="00A10CC2">
        <w:t xml:space="preserve"> </w:t>
      </w:r>
      <w:r w:rsidR="00C3098B">
        <w:t xml:space="preserve">is </w:t>
      </w:r>
      <w:r w:rsidR="0046744D">
        <w:t xml:space="preserve">a </w:t>
      </w:r>
      <w:r w:rsidR="00A10CC2" w:rsidRPr="00A10CC2">
        <w:t xml:space="preserve">chronic </w:t>
      </w:r>
      <w:r w:rsidR="00356D47">
        <w:t>syndrome</w:t>
      </w:r>
      <w:r w:rsidR="00A10CC2" w:rsidRPr="00A10CC2">
        <w:t xml:space="preserve"> following SARS-CoV-2 infection that persists </w:t>
      </w:r>
      <w:r w:rsidR="001C3371">
        <w:t>for several weeks after the acute infection</w:t>
      </w:r>
      <w:r w:rsidR="00356D47">
        <w:t xml:space="preserve">. </w:t>
      </w:r>
      <w:r w:rsidR="001A7074" w:rsidRPr="001A7074">
        <w:t xml:space="preserve">CDC notes that Long COVID </w:t>
      </w:r>
      <w:r w:rsidR="00657271">
        <w:t>is</w:t>
      </w:r>
      <w:r w:rsidR="00B5579B">
        <w:t xml:space="preserve"> an</w:t>
      </w:r>
      <w:r w:rsidR="001A7074" w:rsidRPr="001A7074">
        <w:t xml:space="preserve"> important health concern. </w:t>
      </w:r>
      <w:r w:rsidR="005008E6">
        <w:t xml:space="preserve">A study </w:t>
      </w:r>
      <w:r w:rsidR="00D538EF">
        <w:t xml:space="preserve">using </w:t>
      </w:r>
      <w:r w:rsidR="00B55298">
        <w:t xml:space="preserve">self-reported </w:t>
      </w:r>
      <w:r w:rsidR="00D538EF">
        <w:t xml:space="preserve">data from </w:t>
      </w:r>
      <w:r w:rsidR="00B55298">
        <w:t xml:space="preserve">the </w:t>
      </w:r>
      <w:r w:rsidR="00B55298" w:rsidRPr="005008E6">
        <w:t>2023</w:t>
      </w:r>
      <w:r w:rsidR="005008E6" w:rsidRPr="005008E6">
        <w:t xml:space="preserve"> National Health Interview Survey found that 8.4% of U</w:t>
      </w:r>
      <w:r w:rsidR="00A404DB">
        <w:t>.</w:t>
      </w:r>
      <w:r w:rsidR="005008E6" w:rsidRPr="005008E6">
        <w:t>S</w:t>
      </w:r>
      <w:r w:rsidR="00A404DB">
        <w:t>.</w:t>
      </w:r>
      <w:r w:rsidR="005008E6" w:rsidRPr="005008E6">
        <w:t xml:space="preserve"> adults </w:t>
      </w:r>
      <w:r w:rsidR="00B55298" w:rsidRPr="005008E6">
        <w:t>reported</w:t>
      </w:r>
      <w:r w:rsidR="005008E6" w:rsidRPr="005008E6">
        <w:t xml:space="preserve"> </w:t>
      </w:r>
      <w:r w:rsidR="00B55298">
        <w:t xml:space="preserve">ever having </w:t>
      </w:r>
      <w:r w:rsidR="00D538EF">
        <w:t>L</w:t>
      </w:r>
      <w:r w:rsidR="005008E6" w:rsidRPr="005008E6">
        <w:t xml:space="preserve">ong COVID, with 3.6% </w:t>
      </w:r>
      <w:r w:rsidR="005F3286">
        <w:t xml:space="preserve">reporting symptoms at the time of the interview </w:t>
      </w:r>
      <w:r w:rsidR="005008E6" w:rsidRPr="005008E6">
        <w:t>and 2.3% experiencing activity-limiting symptoms</w:t>
      </w:r>
      <w:r w:rsidR="00642479">
        <w:t>.</w:t>
      </w:r>
      <w:r w:rsidR="006C04EF" w:rsidRPr="006C04EF">
        <w:rPr>
          <w:vertAlign w:val="superscript"/>
        </w:rPr>
        <w:t>2</w:t>
      </w:r>
      <w:r w:rsidR="00FC1A7E">
        <w:rPr>
          <w:vertAlign w:val="superscript"/>
        </w:rPr>
        <w:t xml:space="preserve"> </w:t>
      </w:r>
    </w:p>
    <w:p w14:paraId="37291874" w14:textId="2A39ACE4" w:rsidR="00C63138" w:rsidRPr="002246B3" w:rsidRDefault="00C63138">
      <w:pPr>
        <w:rPr>
          <w:u w:val="single"/>
        </w:rPr>
      </w:pPr>
      <w:r w:rsidRPr="002246B3">
        <w:rPr>
          <w:u w:val="single"/>
        </w:rPr>
        <w:t xml:space="preserve">COVID-19 Vaccine </w:t>
      </w:r>
      <w:r w:rsidR="00C23A78">
        <w:rPr>
          <w:u w:val="single"/>
        </w:rPr>
        <w:t>in the Context</w:t>
      </w:r>
      <w:r w:rsidR="00897796">
        <w:rPr>
          <w:u w:val="single"/>
        </w:rPr>
        <w:t xml:space="preserve"> of </w:t>
      </w:r>
      <w:r w:rsidR="00C7194C">
        <w:rPr>
          <w:u w:val="single"/>
        </w:rPr>
        <w:t>Current Epidemiology Trends</w:t>
      </w:r>
    </w:p>
    <w:p w14:paraId="357430C7" w14:textId="7808E6E1" w:rsidR="00691C0E" w:rsidRDefault="70696EDC" w:rsidP="4385E08A">
      <w:r>
        <w:t xml:space="preserve">COVID-19 vaccines </w:t>
      </w:r>
      <w:r w:rsidR="62A9875D">
        <w:t xml:space="preserve">continue to be </w:t>
      </w:r>
      <w:r>
        <w:t xml:space="preserve">critical tools to reduce public health burden of </w:t>
      </w:r>
      <w:r w:rsidR="6884B5AC">
        <w:t xml:space="preserve">both acute and chronic </w:t>
      </w:r>
      <w:r>
        <w:t xml:space="preserve">COVID-19 </w:t>
      </w:r>
      <w:r w:rsidR="71D70C5E">
        <w:t>outcomes</w:t>
      </w:r>
      <w:r>
        <w:t xml:space="preserve">.  </w:t>
      </w:r>
      <w:r w:rsidR="6F1013FA">
        <w:t>COVID-19 vaccines were instrumental in mitigating the impacts of disease through</w:t>
      </w:r>
      <w:r w:rsidR="4BF999D4">
        <w:t>out</w:t>
      </w:r>
      <w:r w:rsidR="6F1013FA">
        <w:t xml:space="preserve"> the pandemic.</w:t>
      </w:r>
      <w:r w:rsidR="2148A08F">
        <w:t xml:space="preserve"> COVID-19 disease burden is currently much lower </w:t>
      </w:r>
      <w:r w:rsidR="27317977">
        <w:t>than at</w:t>
      </w:r>
      <w:r w:rsidR="2148A08F">
        <w:t xml:space="preserve"> the height of the pandemic. Currently, the vast majority of U.S. residents have some level of immunity to SARS-CoV-2 either through vaccination, infection or both.</w:t>
      </w:r>
      <w:r w:rsidR="7112BB37">
        <w:t xml:space="preserve"> However</w:t>
      </w:r>
      <w:r w:rsidR="53EFD193">
        <w:t>, e</w:t>
      </w:r>
      <w:r w:rsidR="7112BB37">
        <w:t xml:space="preserve">ven in the current context of high levels of immunity to SARS-CoV-2 in the general population, </w:t>
      </w:r>
      <w:r w:rsidR="1DEFD3F4">
        <w:t xml:space="preserve">updated </w:t>
      </w:r>
      <w:r w:rsidR="7112BB37">
        <w:t>COVID-19 vaccin</w:t>
      </w:r>
      <w:r w:rsidR="188453DD">
        <w:t>ation</w:t>
      </w:r>
      <w:r w:rsidR="7112BB37">
        <w:t xml:space="preserve"> </w:t>
      </w:r>
      <w:r w:rsidR="338F72C1">
        <w:t>continue</w:t>
      </w:r>
      <w:r w:rsidR="6E971A14">
        <w:t>s</w:t>
      </w:r>
      <w:r w:rsidR="338F72C1">
        <w:t xml:space="preserve"> to </w:t>
      </w:r>
      <w:r w:rsidR="7112BB37">
        <w:t>show benefit in reducing illness, morbidity, and mortality</w:t>
      </w:r>
      <w:r w:rsidR="6C38FF44">
        <w:t xml:space="preserve"> </w:t>
      </w:r>
      <w:r w:rsidR="56DDC4AE">
        <w:t>in the context of</w:t>
      </w:r>
      <w:r w:rsidR="6C38FF44">
        <w:t xml:space="preserve"> an individuals’ existing </w:t>
      </w:r>
      <w:r w:rsidR="0C94DDA8">
        <w:t>immunity</w:t>
      </w:r>
      <w:r w:rsidR="7112BB37">
        <w:t>.</w:t>
      </w:r>
    </w:p>
    <w:p w14:paraId="60FC5332" w14:textId="4D84DE8B" w:rsidR="00223302" w:rsidRPr="00223302" w:rsidRDefault="00223302" w:rsidP="00223302">
      <w:pPr>
        <w:rPr>
          <w:u w:val="single"/>
        </w:rPr>
      </w:pPr>
      <w:r w:rsidRPr="002246B3">
        <w:rPr>
          <w:u w:val="single"/>
        </w:rPr>
        <w:lastRenderedPageBreak/>
        <w:t xml:space="preserve">COVID-19 </w:t>
      </w:r>
      <w:r>
        <w:rPr>
          <w:u w:val="single"/>
        </w:rPr>
        <w:t xml:space="preserve">Epidemiology and </w:t>
      </w:r>
      <w:r w:rsidRPr="002246B3">
        <w:rPr>
          <w:u w:val="single"/>
        </w:rPr>
        <w:t>Vaccine Effectiveness</w:t>
      </w:r>
      <w:r>
        <w:rPr>
          <w:u w:val="single"/>
        </w:rPr>
        <w:t xml:space="preserve"> by Age Group</w:t>
      </w:r>
    </w:p>
    <w:p w14:paraId="71EE6AF9" w14:textId="15334922" w:rsidR="00E24F03" w:rsidRDefault="2E070FCB" w:rsidP="4385E08A">
      <w:r w:rsidRPr="72759B2F">
        <w:rPr>
          <w:i/>
          <w:iCs/>
          <w:u w:val="single"/>
        </w:rPr>
        <w:t>Adult</w:t>
      </w:r>
      <w:r w:rsidR="130B088D" w:rsidRPr="72759B2F">
        <w:rPr>
          <w:i/>
          <w:iCs/>
          <w:u w:val="single"/>
        </w:rPr>
        <w:t>s</w:t>
      </w:r>
      <w:r w:rsidR="1024B878" w:rsidRPr="72759B2F">
        <w:rPr>
          <w:i/>
          <w:iCs/>
        </w:rPr>
        <w:t>-</w:t>
      </w:r>
      <w:r w:rsidR="07FA5900" w:rsidRPr="72759B2F">
        <w:rPr>
          <w:i/>
          <w:iCs/>
        </w:rPr>
        <w:t xml:space="preserve"> </w:t>
      </w:r>
      <w:r w:rsidR="58C13B15">
        <w:t xml:space="preserve">Among adults, older age is the strongest risk factor for COVID-19 hospitalization.  </w:t>
      </w:r>
      <w:r w:rsidR="28C3521E">
        <w:t xml:space="preserve">During the 2025-2026 </w:t>
      </w:r>
      <w:r w:rsidR="73BB9362">
        <w:t>respiratory season, a</w:t>
      </w:r>
      <w:r w:rsidR="647ADE91">
        <w:t xml:space="preserve">dults </w:t>
      </w:r>
      <w:r w:rsidR="28C3521E">
        <w:t>75 years of age and older ha</w:t>
      </w:r>
      <w:r w:rsidR="73BB9362">
        <w:t>d the highest</w:t>
      </w:r>
      <w:r w:rsidR="46A5BB82">
        <w:t xml:space="preserve"> rates of COVID-19 associated hos</w:t>
      </w:r>
      <w:r w:rsidR="6993419D">
        <w:t>pitalization.</w:t>
      </w:r>
      <w:r w:rsidR="4DE1F028" w:rsidRPr="72759B2F">
        <w:rPr>
          <w:vertAlign w:val="superscript"/>
        </w:rPr>
        <w:t>3</w:t>
      </w:r>
      <w:r w:rsidR="7F2B567D">
        <w:t xml:space="preserve"> </w:t>
      </w:r>
      <w:r w:rsidR="24466BA2">
        <w:t>Fortunately, u</w:t>
      </w:r>
      <w:r w:rsidR="182A605E">
        <w:t xml:space="preserve">pdated COVID-19 vaccines </w:t>
      </w:r>
      <w:r w:rsidR="452A0A36">
        <w:t>have been shown to be</w:t>
      </w:r>
      <w:r w:rsidR="182A605E">
        <w:t xml:space="preserve"> protective </w:t>
      </w:r>
      <w:r w:rsidR="55D4CAE6">
        <w:t>against severe C</w:t>
      </w:r>
      <w:r w:rsidR="4DE1F028">
        <w:t>OVI</w:t>
      </w:r>
      <w:r w:rsidR="55D4CAE6">
        <w:t>D-19 outcomes</w:t>
      </w:r>
      <w:r w:rsidR="6FA1F0B1">
        <w:t xml:space="preserve"> in older adults.  </w:t>
      </w:r>
      <w:r w:rsidR="7F2B567D">
        <w:t xml:space="preserve">CDC analysis of the </w:t>
      </w:r>
      <w:r w:rsidR="55A0051C">
        <w:t>Virtual SARS-CoV-2, Influenza, and Other Respiratory Viruses Network (</w:t>
      </w:r>
      <w:r w:rsidR="7F2B567D">
        <w:t>VISION</w:t>
      </w:r>
      <w:r w:rsidR="55A0051C">
        <w:t>)</w:t>
      </w:r>
      <w:r w:rsidR="44EB5931">
        <w:t>, an electronic medical record-based network of health care systems in 7 states across the U.S., from September</w:t>
      </w:r>
      <w:r w:rsidR="00F01E9E">
        <w:t xml:space="preserve"> 3,</w:t>
      </w:r>
      <w:r w:rsidR="44EB5931">
        <w:t xml:space="preserve"> 2025 through December 31, 2025</w:t>
      </w:r>
      <w:r w:rsidR="7F2B567D">
        <w:t xml:space="preserve"> found that among immunocompetent adults aged 65 years or older, the 2025-2026 COVID-19 vaccine was 48% effective (95% CI, 37-56%) against COVID-19–associated E</w:t>
      </w:r>
      <w:r w:rsidR="49CC2D1A">
        <w:t xml:space="preserve">mergency </w:t>
      </w:r>
      <w:r w:rsidR="7F2B567D">
        <w:t>D</w:t>
      </w:r>
      <w:r w:rsidR="365625BE">
        <w:t>epartment</w:t>
      </w:r>
      <w:r w:rsidR="7F2B567D">
        <w:t>/U</w:t>
      </w:r>
      <w:r w:rsidR="78F82F28">
        <w:t xml:space="preserve">rgent </w:t>
      </w:r>
      <w:r w:rsidR="7F2B567D">
        <w:t>C</w:t>
      </w:r>
      <w:r w:rsidR="7299018A">
        <w:t>are</w:t>
      </w:r>
      <w:r w:rsidR="7F2B567D">
        <w:t xml:space="preserve"> encounters and 53% effective (95% CI, 37-65%) against COVID-19</w:t>
      </w:r>
      <w:r w:rsidR="7F2B567D" w:rsidRPr="72759B2F">
        <w:rPr>
          <w:rFonts w:ascii="Aptos" w:hAnsi="Aptos" w:cs="Aptos"/>
        </w:rPr>
        <w:t>–</w:t>
      </w:r>
      <w:r w:rsidR="7F2B567D">
        <w:t>associated hospitalization (days since vaccination 7-118 days).</w:t>
      </w:r>
      <w:r w:rsidR="75801692" w:rsidRPr="72759B2F">
        <w:rPr>
          <w:vertAlign w:val="superscript"/>
        </w:rPr>
        <w:t>4</w:t>
      </w:r>
      <w:r w:rsidR="18079DB5">
        <w:t xml:space="preserve">  </w:t>
      </w:r>
      <w:r w:rsidR="7F2B567D">
        <w:t xml:space="preserve"> A European case-control study of older adults (60 years of age and older) provided similar estimates of vaccine effectiveness</w:t>
      </w:r>
      <w:r w:rsidR="00381645">
        <w:t xml:space="preserve"> (VE)</w:t>
      </w:r>
      <w:r w:rsidR="7F2B567D">
        <w:t xml:space="preserve"> for the 2025-2026 COVID-19 vaccine</w:t>
      </w:r>
      <w:r w:rsidR="18079DB5">
        <w:t>.</w:t>
      </w:r>
      <w:r w:rsidR="18079DB5" w:rsidRPr="72759B2F">
        <w:rPr>
          <w:vertAlign w:val="superscript"/>
        </w:rPr>
        <w:t>5</w:t>
      </w:r>
      <w:r w:rsidR="7F2B567D">
        <w:t xml:space="preserve">  Overall, COVID-19 VE was </w:t>
      </w:r>
      <w:r w:rsidR="6FFD2609">
        <w:t xml:space="preserve">estimated to </w:t>
      </w:r>
      <w:r w:rsidR="017BEFB2">
        <w:t xml:space="preserve">be </w:t>
      </w:r>
      <w:r w:rsidR="7F2B567D">
        <w:t>59% (95% CI, 14</w:t>
      </w:r>
      <w:r w:rsidR="00ED2A00">
        <w:t>-</w:t>
      </w:r>
      <w:r w:rsidR="7F2B567D">
        <w:t xml:space="preserve"> 83%) among older adults against medically attended COVID-19 visits.</w:t>
      </w:r>
      <w:r w:rsidR="7A420A5C">
        <w:t xml:space="preserve">  </w:t>
      </w:r>
      <w:r w:rsidR="1A24EE49">
        <w:t xml:space="preserve">Taken together, the evidence strongly supports the benefit of updated COVID-19 vaccination in protecting older adults, the population at highest risk for severe COVID-19. </w:t>
      </w:r>
      <w:r w:rsidR="0F1B6A84">
        <w:t>However, vaccine</w:t>
      </w:r>
      <w:r w:rsidR="1A24EE49">
        <w:t>-induced protection</w:t>
      </w:r>
      <w:r w:rsidR="70404E88">
        <w:t xml:space="preserve"> </w:t>
      </w:r>
      <w:r w:rsidR="1A24EE49">
        <w:t>wane</w:t>
      </w:r>
      <w:r w:rsidR="712243BB">
        <w:t>s</w:t>
      </w:r>
      <w:r w:rsidR="1A24EE49">
        <w:t xml:space="preserve"> over time, </w:t>
      </w:r>
      <w:r w:rsidR="70404E88">
        <w:t xml:space="preserve">therefore </w:t>
      </w:r>
      <w:r w:rsidR="1A24EE49">
        <w:t>periodic updated vaccination is needed to maintain protection.</w:t>
      </w:r>
      <w:r w:rsidR="70404E88">
        <w:t xml:space="preserve">  </w:t>
      </w:r>
      <w:r w:rsidR="061CD026">
        <w:t xml:space="preserve">Some data suggest that semi-annual dosing of COVID-19 vaccine is most cost-effective in older adults in whom </w:t>
      </w:r>
      <w:r w:rsidR="5B074182">
        <w:t xml:space="preserve">the </w:t>
      </w:r>
      <w:r w:rsidR="061CD026">
        <w:t>disease burden is highest.</w:t>
      </w:r>
      <w:r w:rsidR="726087D3" w:rsidRPr="72759B2F">
        <w:rPr>
          <w:vertAlign w:val="superscript"/>
        </w:rPr>
        <w:t>6,7</w:t>
      </w:r>
    </w:p>
    <w:p w14:paraId="1050C7DE" w14:textId="7A02A14D" w:rsidR="00582172" w:rsidRDefault="36195626" w:rsidP="4385E08A">
      <w:r>
        <w:t xml:space="preserve">Rates of COVID-19 associated hospitalizations and deaths are lower in </w:t>
      </w:r>
      <w:r w:rsidR="3C3F9544">
        <w:t>adults</w:t>
      </w:r>
      <w:r>
        <w:t xml:space="preserve"> age</w:t>
      </w:r>
      <w:r w:rsidR="3C3F9544">
        <w:t xml:space="preserve">d </w:t>
      </w:r>
      <w:r w:rsidR="4D25D063">
        <w:t xml:space="preserve">19-64 years </w:t>
      </w:r>
      <w:r>
        <w:t xml:space="preserve">when compared to older age groups, however severe disease and outcomes also continue to occur in this age group, especially in those with </w:t>
      </w:r>
      <w:r w:rsidR="3A7CBB8B">
        <w:t xml:space="preserve">underlying </w:t>
      </w:r>
      <w:r>
        <w:t xml:space="preserve">health conditions.  </w:t>
      </w:r>
      <w:r w:rsidR="534B8606">
        <w:t>Adults with ≥1 underlying medical condition</w:t>
      </w:r>
      <w:r w:rsidR="000A47B5">
        <w:rPr>
          <w:vertAlign w:val="superscript"/>
        </w:rPr>
        <w:t>a</w:t>
      </w:r>
      <w:r w:rsidR="534B8606">
        <w:t xml:space="preserve"> are at increased risk for COVID-19 hospitalization compared to those</w:t>
      </w:r>
      <w:r w:rsidR="3C4EC20D">
        <w:t xml:space="preserve"> with</w:t>
      </w:r>
      <w:r w:rsidR="534B8606">
        <w:t xml:space="preserve"> no conditions, regardless of age group.</w:t>
      </w:r>
      <w:r w:rsidR="726087D3" w:rsidRPr="72759B2F">
        <w:rPr>
          <w:vertAlign w:val="superscript"/>
        </w:rPr>
        <w:t>3</w:t>
      </w:r>
      <w:r w:rsidR="726087D3">
        <w:t xml:space="preserve">  </w:t>
      </w:r>
      <w:r w:rsidR="534B8606">
        <w:t xml:space="preserve"> </w:t>
      </w:r>
      <w:r>
        <w:t xml:space="preserve">While the absolute risk for severe outcomes is lower in younger adults, COVID-19 vaccines provide similar protection across </w:t>
      </w:r>
      <w:r w:rsidR="11CBABD7">
        <w:t xml:space="preserve">younger age </w:t>
      </w:r>
      <w:r w:rsidR="3AC8CC92">
        <w:t>groups.</w:t>
      </w:r>
      <w:r>
        <w:t xml:space="preserve"> Younger adults may also find benefit in reduction in time away from usual activities caused by COVID-19, reduced severity of symptoms, reduced risk of Long COVID and reduced </w:t>
      </w:r>
      <w:r w:rsidR="643B15B5">
        <w:t xml:space="preserve">household </w:t>
      </w:r>
      <w:r>
        <w:t xml:space="preserve">transmission of SARS-CoV-2 that may be associated with COVID-19 </w:t>
      </w:r>
      <w:r w:rsidR="452763E9">
        <w:t>vaccination.</w:t>
      </w:r>
      <w:r w:rsidR="73851110" w:rsidRPr="72759B2F">
        <w:rPr>
          <w:vertAlign w:val="superscript"/>
        </w:rPr>
        <w:t>8-10</w:t>
      </w:r>
    </w:p>
    <w:p w14:paraId="65254E89" w14:textId="25F599AF" w:rsidR="007F2CB0" w:rsidRDefault="38C34976" w:rsidP="4385E08A">
      <w:r w:rsidRPr="005A00A1">
        <w:t xml:space="preserve">The CDC analysis of </w:t>
      </w:r>
      <w:r w:rsidR="44EB5931">
        <w:t xml:space="preserve">the </w:t>
      </w:r>
      <w:r w:rsidR="31B54074">
        <w:t xml:space="preserve">adult </w:t>
      </w:r>
      <w:r w:rsidR="74D46AC8" w:rsidRPr="005A00A1">
        <w:t>VISION</w:t>
      </w:r>
      <w:r w:rsidR="70D15637">
        <w:t xml:space="preserve"> data </w:t>
      </w:r>
      <w:r w:rsidR="0F93D2BA" w:rsidRPr="005A00A1">
        <w:t>from September</w:t>
      </w:r>
      <w:r w:rsidR="00E07976">
        <w:t xml:space="preserve"> 3</w:t>
      </w:r>
      <w:r w:rsidR="000E6CD7">
        <w:t>,</w:t>
      </w:r>
      <w:r w:rsidR="0F93D2BA" w:rsidRPr="005A00A1">
        <w:t xml:space="preserve"> 2025</w:t>
      </w:r>
      <w:r w:rsidR="0F93D2BA">
        <w:t xml:space="preserve"> through </w:t>
      </w:r>
      <w:r w:rsidR="0F93D2BA" w:rsidRPr="005A00A1">
        <w:t xml:space="preserve">December 31, </w:t>
      </w:r>
      <w:r w:rsidR="28DF65F4" w:rsidRPr="005A00A1">
        <w:t>2025,</w:t>
      </w:r>
      <w:r w:rsidR="31B54074">
        <w:t xml:space="preserve"> </w:t>
      </w:r>
      <w:r w:rsidR="70D15637">
        <w:t xml:space="preserve">found </w:t>
      </w:r>
      <w:r w:rsidR="5F1DA6C4">
        <w:t>that t</w:t>
      </w:r>
      <w:r w:rsidR="4E027C1C" w:rsidRPr="005A00A1">
        <w:t xml:space="preserve">he </w:t>
      </w:r>
      <w:r w:rsidR="19482483" w:rsidRPr="4385E08A">
        <w:rPr>
          <w:kern w:val="0"/>
          <w14:ligatures w14:val="none"/>
        </w:rPr>
        <w:t>adjusted e</w:t>
      </w:r>
      <w:r w:rsidR="7298403B" w:rsidRPr="005A00A1">
        <w:t>stimated vaccine effectiveness</w:t>
      </w:r>
      <w:r w:rsidR="5C28A401" w:rsidRPr="4385E08A">
        <w:rPr>
          <w:rFonts w:ascii="Bahnschrift" w:eastAsia="Times New Roman" w:hAnsi="Bahnschrift" w:cs="Times New Roman"/>
          <w:color w:val="1B1B1B"/>
          <w:sz w:val="30"/>
          <w:szCs w:val="30"/>
        </w:rPr>
        <w:t xml:space="preserve"> </w:t>
      </w:r>
      <w:r w:rsidR="5C28A401" w:rsidRPr="005A00A1">
        <w:t xml:space="preserve">of 2025-2026 COVID-19 </w:t>
      </w:r>
      <w:r w:rsidR="6D38D8BC">
        <w:t>v</w:t>
      </w:r>
      <w:r w:rsidR="5C28A401" w:rsidRPr="005A00A1">
        <w:t xml:space="preserve">accination </w:t>
      </w:r>
      <w:r w:rsidR="6D38D8BC">
        <w:t>a</w:t>
      </w:r>
      <w:r w:rsidR="5C28A401" w:rsidRPr="005A00A1">
        <w:t>gainst COVID-19</w:t>
      </w:r>
      <w:r w:rsidR="5D340183">
        <w:t xml:space="preserve"> </w:t>
      </w:r>
      <w:r w:rsidR="6D38D8BC">
        <w:t>associated</w:t>
      </w:r>
      <w:r w:rsidR="5C28A401" w:rsidRPr="005A00A1">
        <w:t xml:space="preserve"> </w:t>
      </w:r>
      <w:r w:rsidR="6D38D8BC">
        <w:t>e</w:t>
      </w:r>
      <w:r w:rsidR="5C28A401" w:rsidRPr="005A00A1">
        <w:t xml:space="preserve">mergency </w:t>
      </w:r>
      <w:r w:rsidR="2CF31201">
        <w:t>d</w:t>
      </w:r>
      <w:r w:rsidR="5C28A401" w:rsidRPr="005A00A1">
        <w:t xml:space="preserve">epartment and </w:t>
      </w:r>
      <w:r w:rsidR="2CF31201">
        <w:t>u</w:t>
      </w:r>
      <w:r w:rsidR="5C28A401" w:rsidRPr="005A00A1">
        <w:t xml:space="preserve">rgent </w:t>
      </w:r>
      <w:r w:rsidR="2CF31201">
        <w:t>c</w:t>
      </w:r>
      <w:r w:rsidR="5C28A401" w:rsidRPr="005A00A1">
        <w:t xml:space="preserve">are </w:t>
      </w:r>
      <w:r w:rsidR="2CF31201">
        <w:t>e</w:t>
      </w:r>
      <w:r w:rsidR="5C28A401" w:rsidRPr="005A00A1">
        <w:t xml:space="preserve">ncounters </w:t>
      </w:r>
      <w:r w:rsidR="2CF31201">
        <w:t>a</w:t>
      </w:r>
      <w:r w:rsidR="5C28A401" w:rsidRPr="005A00A1">
        <w:t>mong</w:t>
      </w:r>
      <w:r w:rsidR="5C28A401" w:rsidRPr="00930E69">
        <w:t xml:space="preserve"> </w:t>
      </w:r>
      <w:r w:rsidR="18CABAB4">
        <w:t xml:space="preserve">all </w:t>
      </w:r>
      <w:r w:rsidR="2CF31201">
        <w:t>a</w:t>
      </w:r>
      <w:r w:rsidR="5C28A401" w:rsidRPr="00930E69">
        <w:t>dults</w:t>
      </w:r>
      <w:r w:rsidR="4E027C1C">
        <w:t xml:space="preserve"> </w:t>
      </w:r>
      <w:r w:rsidR="54B12AB0">
        <w:t xml:space="preserve">was </w:t>
      </w:r>
      <w:r w:rsidR="4E027C1C" w:rsidRPr="009914D5">
        <w:t>50</w:t>
      </w:r>
      <w:r w:rsidR="4E027C1C">
        <w:t>%</w:t>
      </w:r>
      <w:r w:rsidR="4E027C1C" w:rsidRPr="009914D5">
        <w:t xml:space="preserve"> (</w:t>
      </w:r>
      <w:r w:rsidR="54B12AB0">
        <w:t xml:space="preserve">95% CI </w:t>
      </w:r>
      <w:r w:rsidR="4E027C1C" w:rsidRPr="009914D5">
        <w:t>42-57</w:t>
      </w:r>
      <w:r w:rsidR="334FE335">
        <w:t>%</w:t>
      </w:r>
      <w:r w:rsidR="4E027C1C" w:rsidRPr="009914D5">
        <w:t>)</w:t>
      </w:r>
      <w:r w:rsidR="7D1DDA4F">
        <w:t xml:space="preserve"> and </w:t>
      </w:r>
      <w:r w:rsidR="590D43A4" w:rsidRPr="0083350E">
        <w:t>55</w:t>
      </w:r>
      <w:r w:rsidR="1911F063">
        <w:t>%</w:t>
      </w:r>
      <w:r w:rsidR="590D43A4" w:rsidRPr="0083350E">
        <w:t xml:space="preserve"> (41-66</w:t>
      </w:r>
      <w:r w:rsidR="76341DB6">
        <w:t>%</w:t>
      </w:r>
      <w:r w:rsidR="590D43A4" w:rsidRPr="0083350E">
        <w:t>)</w:t>
      </w:r>
      <w:r w:rsidR="590D43A4">
        <w:t xml:space="preserve"> for COVID-19 associated hospitalization.</w:t>
      </w:r>
      <w:r w:rsidR="243DD3EC">
        <w:t xml:space="preserve">  </w:t>
      </w:r>
      <w:r w:rsidR="49B068D6">
        <w:t>A</w:t>
      </w:r>
      <w:r w:rsidR="4083CFDB" w:rsidRPr="4385E08A">
        <w:rPr>
          <w:spacing w:val="5"/>
          <w:shd w:val="clear" w:color="auto" w:fill="FFFFFF"/>
        </w:rPr>
        <w:t>dditionally, a</w:t>
      </w:r>
      <w:r w:rsidR="49B068D6" w:rsidRPr="008F2AD4">
        <w:rPr>
          <w:rFonts w:eastAsia="OTNEJMQuadraat"/>
          <w:color w:val="000000" w:themeColor="text1"/>
          <w:spacing w:val="5"/>
          <w:shd w:val="clear" w:color="auto" w:fill="FFFFFF"/>
        </w:rPr>
        <w:t xml:space="preserve"> </w:t>
      </w:r>
      <w:r w:rsidR="55F37E4B" w:rsidRPr="008F2AD4">
        <w:rPr>
          <w:rFonts w:eastAsia="OTNEJMQuadraat"/>
          <w:color w:val="000000" w:themeColor="text1"/>
          <w:spacing w:val="5"/>
          <w:shd w:val="clear" w:color="auto" w:fill="FFFFFF"/>
        </w:rPr>
        <w:t>s</w:t>
      </w:r>
      <w:r w:rsidR="2085ED5C" w:rsidRPr="008F2AD4">
        <w:rPr>
          <w:rFonts w:eastAsia="OTNEJMQuadraat"/>
          <w:color w:val="000000" w:themeColor="text1"/>
          <w:spacing w:val="5"/>
          <w:shd w:val="clear" w:color="auto" w:fill="FFFFFF"/>
        </w:rPr>
        <w:t xml:space="preserve">ystematic </w:t>
      </w:r>
      <w:r w:rsidR="55F37E4B" w:rsidRPr="008F2AD4">
        <w:rPr>
          <w:rFonts w:eastAsia="OTNEJMQuadraat"/>
          <w:color w:val="000000" w:themeColor="text1"/>
          <w:spacing w:val="5"/>
          <w:shd w:val="clear" w:color="auto" w:fill="FFFFFF"/>
        </w:rPr>
        <w:t xml:space="preserve">review </w:t>
      </w:r>
      <w:r w:rsidR="494FA5E4">
        <w:rPr>
          <w:rFonts w:eastAsia="OTNEJMQuadraat"/>
          <w:color w:val="000000" w:themeColor="text1"/>
          <w:spacing w:val="5"/>
          <w:shd w:val="clear" w:color="auto" w:fill="FFFFFF"/>
        </w:rPr>
        <w:t>of the</w:t>
      </w:r>
      <w:r w:rsidR="6E7243FC">
        <w:rPr>
          <w:rFonts w:eastAsia="OTNEJMQuadraat"/>
          <w:color w:val="000000" w:themeColor="text1"/>
          <w:spacing w:val="5"/>
          <w:shd w:val="clear" w:color="auto" w:fill="FFFFFF"/>
        </w:rPr>
        <w:t xml:space="preserve"> research</w:t>
      </w:r>
      <w:r w:rsidR="494FA5E4">
        <w:rPr>
          <w:rFonts w:eastAsia="OTNEJMQuadraat"/>
          <w:color w:val="000000" w:themeColor="text1"/>
          <w:spacing w:val="5"/>
          <w:shd w:val="clear" w:color="auto" w:fill="FFFFFF"/>
        </w:rPr>
        <w:t xml:space="preserve"> published</w:t>
      </w:r>
      <w:r w:rsidR="34A9F252">
        <w:rPr>
          <w:rFonts w:eastAsia="OTNEJMQuadraat"/>
          <w:color w:val="000000" w:themeColor="text1"/>
          <w:spacing w:val="5"/>
          <w:shd w:val="clear" w:color="auto" w:fill="FFFFFF"/>
        </w:rPr>
        <w:t xml:space="preserve"> </w:t>
      </w:r>
      <w:r w:rsidR="34A9F252">
        <w:rPr>
          <w:rFonts w:eastAsia="OTNEJMQuadraat"/>
          <w:color w:val="000000" w:themeColor="text1"/>
          <w:spacing w:val="5"/>
          <w:shd w:val="clear" w:color="auto" w:fill="FFFFFF"/>
        </w:rPr>
        <w:lastRenderedPageBreak/>
        <w:t>between</w:t>
      </w:r>
      <w:r w:rsidR="37EF38DD" w:rsidRPr="00770DB2">
        <w:rPr>
          <w:rFonts w:eastAsia="OTNEJMQuadraat"/>
          <w:color w:val="000000" w:themeColor="text1"/>
          <w:spacing w:val="5"/>
          <w:shd w:val="clear" w:color="auto" w:fill="FFFFFF"/>
        </w:rPr>
        <w:t> June 2024</w:t>
      </w:r>
      <w:r w:rsidR="017F73DE">
        <w:rPr>
          <w:rFonts w:eastAsia="OTNEJMQuadraat"/>
          <w:color w:val="000000" w:themeColor="text1"/>
          <w:spacing w:val="5"/>
          <w:shd w:val="clear" w:color="auto" w:fill="FFFFFF"/>
        </w:rPr>
        <w:t xml:space="preserve"> </w:t>
      </w:r>
      <w:r w:rsidR="37EF38DD">
        <w:rPr>
          <w:rFonts w:eastAsia="OTNEJMQuadraat"/>
          <w:color w:val="000000" w:themeColor="text1"/>
          <w:spacing w:val="5"/>
          <w:shd w:val="clear" w:color="auto" w:fill="FFFFFF"/>
        </w:rPr>
        <w:t>through July 2025</w:t>
      </w:r>
      <w:r w:rsidR="494FA5E4">
        <w:rPr>
          <w:rFonts w:eastAsia="OTNEJMQuadraat"/>
          <w:color w:val="000000" w:themeColor="text1"/>
          <w:spacing w:val="5"/>
          <w:shd w:val="clear" w:color="auto" w:fill="FFFFFF"/>
        </w:rPr>
        <w:t xml:space="preserve"> </w:t>
      </w:r>
      <w:r w:rsidR="7A4006B2">
        <w:rPr>
          <w:rFonts w:eastAsia="OTNEJMQuadraat"/>
          <w:color w:val="000000" w:themeColor="text1"/>
          <w:spacing w:val="5"/>
          <w:shd w:val="clear" w:color="auto" w:fill="FFFFFF"/>
        </w:rPr>
        <w:t>examining</w:t>
      </w:r>
      <w:r w:rsidR="634BA32C">
        <w:rPr>
          <w:rFonts w:eastAsia="OTNEJMQuadraat"/>
          <w:color w:val="000000" w:themeColor="text1"/>
          <w:spacing w:val="5"/>
          <w:shd w:val="clear" w:color="auto" w:fill="FFFFFF"/>
        </w:rPr>
        <w:t xml:space="preserve"> the </w:t>
      </w:r>
      <w:r w:rsidR="27D93711">
        <w:rPr>
          <w:rFonts w:eastAsia="OTNEJMQuadraat"/>
          <w:color w:val="000000" w:themeColor="text1"/>
          <w:spacing w:val="5"/>
          <w:shd w:val="clear" w:color="auto" w:fill="FFFFFF"/>
        </w:rPr>
        <w:t xml:space="preserve">effectiveness </w:t>
      </w:r>
      <w:r w:rsidR="49374113">
        <w:rPr>
          <w:rFonts w:eastAsia="OTNEJMQuadraat"/>
          <w:color w:val="000000" w:themeColor="text1"/>
          <w:spacing w:val="5"/>
          <w:shd w:val="clear" w:color="auto" w:fill="FFFFFF"/>
        </w:rPr>
        <w:t xml:space="preserve">the </w:t>
      </w:r>
      <w:r w:rsidR="57BDA792">
        <w:rPr>
          <w:rFonts w:eastAsia="OTNEJMQuadraat"/>
          <w:color w:val="000000" w:themeColor="text1"/>
          <w:spacing w:val="5"/>
          <w:shd w:val="clear" w:color="auto" w:fill="FFFFFF"/>
        </w:rPr>
        <w:t>COVID-19 vaccin</w:t>
      </w:r>
      <w:r w:rsidR="49374113">
        <w:rPr>
          <w:rFonts w:eastAsia="OTNEJMQuadraat"/>
          <w:color w:val="000000" w:themeColor="text1"/>
          <w:spacing w:val="5"/>
          <w:shd w:val="clear" w:color="auto" w:fill="FFFFFF"/>
        </w:rPr>
        <w:t>e</w:t>
      </w:r>
      <w:r w:rsidR="17318654" w:rsidRPr="4385E08A">
        <w:rPr>
          <w:rFonts w:eastAsia="OTNEJMQuadraat"/>
          <w:color w:val="000000" w:themeColor="text1"/>
        </w:rPr>
        <w:t xml:space="preserve"> found </w:t>
      </w:r>
      <w:r w:rsidR="57BDA792" w:rsidRPr="4385E08A">
        <w:rPr>
          <w:rFonts w:eastAsia="OTNEJMQuadraat"/>
          <w:color w:val="000000" w:themeColor="text1"/>
        </w:rPr>
        <w:t xml:space="preserve">that </w:t>
      </w:r>
      <w:r w:rsidR="57BDA792">
        <w:t>a</w:t>
      </w:r>
      <w:r w:rsidR="2085ED5C" w:rsidRPr="008F2AD4">
        <w:t xml:space="preserve">mong all adults, </w:t>
      </w:r>
      <w:r w:rsidR="63BD1105">
        <w:t xml:space="preserve">the </w:t>
      </w:r>
      <w:r w:rsidR="2085ED5C" w:rsidRPr="008F2AD4">
        <w:t>pooled vaccine effectiveness against hospitalization for XBB.1.5 vaccine products was 46% (95% CI, 34</w:t>
      </w:r>
      <w:r w:rsidR="00C236B6">
        <w:t>-</w:t>
      </w:r>
      <w:r w:rsidR="2085ED5C" w:rsidRPr="008F2AD4">
        <w:t>55</w:t>
      </w:r>
      <w:r w:rsidR="57949609">
        <w:t>%</w:t>
      </w:r>
      <w:r w:rsidR="2085ED5C" w:rsidRPr="008F2AD4">
        <w:t>) across three cohort studies</w:t>
      </w:r>
      <w:r w:rsidR="63BD1105">
        <w:rPr>
          <w:vertAlign w:val="superscript"/>
        </w:rPr>
        <w:t xml:space="preserve"> </w:t>
      </w:r>
      <w:r w:rsidR="2085ED5C" w:rsidRPr="008F2AD4">
        <w:t>and 50% (95% CI, 43</w:t>
      </w:r>
      <w:r w:rsidR="00C236B6">
        <w:t>-</w:t>
      </w:r>
      <w:r w:rsidR="2085ED5C" w:rsidRPr="008F2AD4">
        <w:t>57</w:t>
      </w:r>
      <w:r w:rsidR="36F9F69B">
        <w:t>%</w:t>
      </w:r>
      <w:r w:rsidR="2085ED5C" w:rsidRPr="008F2AD4">
        <w:t xml:space="preserve">) across four case–control </w:t>
      </w:r>
      <w:r w:rsidR="0FE43A46" w:rsidRPr="008F2AD4">
        <w:t>studies.</w:t>
      </w:r>
      <w:r w:rsidR="13ABF3F0" w:rsidRPr="0000378E">
        <w:rPr>
          <w:vertAlign w:val="superscript"/>
        </w:rPr>
        <w:t>11</w:t>
      </w:r>
      <w:r w:rsidR="13ABF3F0">
        <w:t xml:space="preserve"> Of</w:t>
      </w:r>
      <w:r w:rsidR="3F27E1AA">
        <w:t xml:space="preserve"> note, </w:t>
      </w:r>
      <w:r w:rsidR="16D50C63">
        <w:t xml:space="preserve">in January </w:t>
      </w:r>
      <w:r w:rsidR="7BEE7A9C">
        <w:t>2024 the JN</w:t>
      </w:r>
      <w:r w:rsidR="4B443AC4">
        <w:t>.</w:t>
      </w:r>
      <w:r w:rsidR="7BEE7A9C">
        <w:t>1</w:t>
      </w:r>
      <w:r w:rsidR="429CBC26">
        <w:t xml:space="preserve"> variant </w:t>
      </w:r>
      <w:r w:rsidR="5C897C20">
        <w:t>became the predominant variant in the U.S. and across the globe</w:t>
      </w:r>
      <w:r w:rsidR="634BA32C">
        <w:t>.</w:t>
      </w:r>
      <w:r w:rsidR="27AD13F6">
        <w:t xml:space="preserve">  The </w:t>
      </w:r>
      <w:r w:rsidR="2085ED5C">
        <w:t>XBB.1.5 vaccines were generally associated with lower vaccine effectiveness (14</w:t>
      </w:r>
      <w:r w:rsidR="003C3ED3">
        <w:t>-</w:t>
      </w:r>
      <w:r w:rsidR="2085ED5C">
        <w:t xml:space="preserve"> 54%) during </w:t>
      </w:r>
      <w:r w:rsidR="70B84190">
        <w:t xml:space="preserve">the </w:t>
      </w:r>
      <w:r w:rsidR="2085ED5C">
        <w:t xml:space="preserve">periods when the JN.1 subvariant of the omicron variant </w:t>
      </w:r>
      <w:r w:rsidR="4317743A">
        <w:t>became</w:t>
      </w:r>
      <w:r w:rsidR="2085ED5C">
        <w:t xml:space="preserve"> predominant</w:t>
      </w:r>
      <w:r w:rsidR="70B84190">
        <w:t>.</w:t>
      </w:r>
      <w:r w:rsidR="2085ED5C">
        <w:t xml:space="preserve"> In a case–control study, </w:t>
      </w:r>
      <w:r w:rsidR="4317743A">
        <w:t xml:space="preserve">a </w:t>
      </w:r>
      <w:r w:rsidR="2085ED5C">
        <w:t xml:space="preserve">vaccine against the KP.2 subvariant </w:t>
      </w:r>
      <w:r w:rsidR="7AFAB38A">
        <w:t>of JN.1</w:t>
      </w:r>
      <w:r w:rsidR="0FA9154F">
        <w:t xml:space="preserve"> lineage</w:t>
      </w:r>
      <w:r w:rsidR="2085ED5C">
        <w:t xml:space="preserve"> was associated with a vaccine effectiveness of 68% (95% CI, 42</w:t>
      </w:r>
      <w:r w:rsidR="008D28D6">
        <w:t>-</w:t>
      </w:r>
      <w:r w:rsidR="2085ED5C">
        <w:t xml:space="preserve"> 82</w:t>
      </w:r>
      <w:r w:rsidR="77A82CC1">
        <w:t>%</w:t>
      </w:r>
      <w:r w:rsidR="2085ED5C">
        <w:t>).</w:t>
      </w:r>
      <w:r w:rsidR="3027D1F5" w:rsidRPr="72759B2F">
        <w:rPr>
          <w:vertAlign w:val="superscript"/>
        </w:rPr>
        <w:t>12</w:t>
      </w:r>
      <w:r w:rsidR="1FD20AEB">
        <w:t xml:space="preserve"> </w:t>
      </w:r>
    </w:p>
    <w:p w14:paraId="7BCA4F5B" w14:textId="571CF9BF" w:rsidR="00D23D03" w:rsidRDefault="005B7B8B" w:rsidP="4385E08A">
      <w:r w:rsidRPr="005B7B8B">
        <w:t xml:space="preserve">Another study was specifically designed to evaluate whether receipt of an updated COVID-19 vaccine confers meaningful additional protection in </w:t>
      </w:r>
      <w:r w:rsidR="00C741E8">
        <w:t>adults</w:t>
      </w:r>
      <w:r w:rsidRPr="005B7B8B">
        <w:t xml:space="preserve"> who had previously received the prior season's COVID-19 vaccine.</w:t>
      </w:r>
      <w:r w:rsidR="004E19FB" w:rsidRPr="004E19FB">
        <w:rPr>
          <w:vertAlign w:val="superscript"/>
        </w:rPr>
        <w:t>13</w:t>
      </w:r>
      <w:r w:rsidR="00CA3AEB">
        <w:t xml:space="preserve"> </w:t>
      </w:r>
      <w:r w:rsidR="007F7666" w:rsidRPr="0099651C">
        <w:t>In this</w:t>
      </w:r>
      <w:r w:rsidR="007F7666">
        <w:t xml:space="preserve"> study of a</w:t>
      </w:r>
      <w:r w:rsidR="007F7666" w:rsidRPr="0099651C">
        <w:t xml:space="preserve"> large cohort of U.S. veterans, receipt of the </w:t>
      </w:r>
      <w:r w:rsidR="00A00E62">
        <w:t xml:space="preserve">updated </w:t>
      </w:r>
      <w:r w:rsidR="007F7666" w:rsidRPr="0099651C">
        <w:t>2024–2025 C</w:t>
      </w:r>
      <w:r w:rsidR="00CA34FA">
        <w:t>OVID</w:t>
      </w:r>
      <w:r w:rsidR="007F7666" w:rsidRPr="0099651C">
        <w:t>-19 vaccine was</w:t>
      </w:r>
      <w:r w:rsidR="0098626B">
        <w:t xml:space="preserve"> found to be</w:t>
      </w:r>
      <w:r w:rsidR="007F7666" w:rsidRPr="0099651C">
        <w:t xml:space="preserve"> associated</w:t>
      </w:r>
      <w:r w:rsidR="007F7666">
        <w:t xml:space="preserve"> </w:t>
      </w:r>
      <w:r w:rsidR="007F7666" w:rsidRPr="0099651C">
        <w:t>with decreased risks of C</w:t>
      </w:r>
      <w:r w:rsidR="0098626B">
        <w:t>OVID</w:t>
      </w:r>
      <w:r w:rsidR="007F7666" w:rsidRPr="0099651C">
        <w:t>-19–associated emergency</w:t>
      </w:r>
      <w:r w:rsidR="007F7666">
        <w:t xml:space="preserve"> </w:t>
      </w:r>
      <w:r w:rsidR="007F7666" w:rsidRPr="0099651C">
        <w:t>department visits, hospitalizations, and</w:t>
      </w:r>
      <w:r w:rsidR="007F7666">
        <w:t xml:space="preserve"> </w:t>
      </w:r>
      <w:r w:rsidR="007F7666" w:rsidRPr="0099651C">
        <w:t>deaths during 6 months of follow-</w:t>
      </w:r>
      <w:r w:rsidR="0037529C" w:rsidRPr="0099651C">
        <w:t>up</w:t>
      </w:r>
      <w:r w:rsidR="0037529C">
        <w:t xml:space="preserve"> in</w:t>
      </w:r>
      <w:r w:rsidR="00D6488D">
        <w:t xml:space="preserve"> a population of individuals </w:t>
      </w:r>
      <w:r w:rsidR="0037529C">
        <w:t xml:space="preserve">who </w:t>
      </w:r>
      <w:r w:rsidR="007A1752">
        <w:t xml:space="preserve">had </w:t>
      </w:r>
      <w:r w:rsidR="0037529C">
        <w:t>received the prior season’s</w:t>
      </w:r>
      <w:r w:rsidR="00A00E62">
        <w:t xml:space="preserve"> </w:t>
      </w:r>
      <w:r w:rsidR="00DA0540">
        <w:t>(</w:t>
      </w:r>
      <w:r w:rsidR="001D02BC">
        <w:t>2023-24</w:t>
      </w:r>
      <w:r w:rsidR="00DA0540">
        <w:t>)</w:t>
      </w:r>
      <w:r w:rsidR="001D02BC">
        <w:t xml:space="preserve"> C</w:t>
      </w:r>
      <w:r w:rsidR="00A00E62">
        <w:t>O</w:t>
      </w:r>
      <w:r w:rsidR="001D02BC">
        <w:t>VID-19 vaccine</w:t>
      </w:r>
      <w:r w:rsidR="007F7666" w:rsidRPr="0099651C">
        <w:t xml:space="preserve">. </w:t>
      </w:r>
      <w:r w:rsidR="00E12DEA" w:rsidRPr="00E12DEA">
        <w:t xml:space="preserve">The </w:t>
      </w:r>
      <w:r w:rsidR="00CA3AEB">
        <w:t>receipt of an updated</w:t>
      </w:r>
      <w:r w:rsidR="00E12DEA" w:rsidRPr="00E12DEA">
        <w:t xml:space="preserve"> COVID-19 vaccine was associated with an estimated vaccine effectiveness of 29% against COVID-19–associated emergency department visits, 39% against COVID-19–associated hospitalizations, and 64% against COVID-19–associated mortality</w:t>
      </w:r>
      <w:r w:rsidR="00C019D4">
        <w:t xml:space="preserve"> compared to those </w:t>
      </w:r>
      <w:r w:rsidR="00BC64A1">
        <w:t>who had received the prior season’s (2023-24) COVID-19 vaccine</w:t>
      </w:r>
      <w:r w:rsidR="0036763D">
        <w:t xml:space="preserve"> but who</w:t>
      </w:r>
      <w:r w:rsidR="00C019D4">
        <w:t xml:space="preserve"> did not receive the updated vaccine</w:t>
      </w:r>
      <w:r w:rsidR="00E12DEA" w:rsidRPr="00E12DEA">
        <w:t>.</w:t>
      </w:r>
    </w:p>
    <w:p w14:paraId="54D1518D" w14:textId="05D93C15" w:rsidR="005F2B7F" w:rsidRDefault="0A1B07B5" w:rsidP="4385E08A">
      <w:r w:rsidRPr="72759B2F">
        <w:rPr>
          <w:i/>
          <w:iCs/>
          <w:u w:val="single"/>
        </w:rPr>
        <w:t>Children</w:t>
      </w:r>
      <w:r w:rsidR="3129C4FB" w:rsidRPr="72759B2F">
        <w:rPr>
          <w:i/>
          <w:iCs/>
        </w:rPr>
        <w:t xml:space="preserve"> </w:t>
      </w:r>
      <w:r w:rsidR="3129C4FB">
        <w:t xml:space="preserve">– </w:t>
      </w:r>
      <w:r w:rsidR="7128400E">
        <w:t xml:space="preserve">Severe COVID-19 disease can occur in children and is particularly prevalent in younger children. Rates of COVID-19-associated </w:t>
      </w:r>
      <w:r w:rsidR="1505EE3C">
        <w:t>hospitalizations</w:t>
      </w:r>
      <w:r w:rsidR="7128400E">
        <w:t xml:space="preserve"> among infants ages 6-23 months are comparable to rates among adults aged 50-64 years during the period of October 2025 to April </w:t>
      </w:r>
      <w:r w:rsidR="08A159EF">
        <w:t>2026.</w:t>
      </w:r>
      <w:r w:rsidR="08A159EF" w:rsidRPr="72759B2F">
        <w:rPr>
          <w:vertAlign w:val="superscript"/>
        </w:rPr>
        <w:t>3</w:t>
      </w:r>
      <w:r w:rsidR="08A159EF">
        <w:t xml:space="preserve"> The</w:t>
      </w:r>
      <w:r w:rsidR="7128400E">
        <w:t xml:space="preserve"> majority of children aged 6-23 months hospitalized for COVID-19 had no underlying medical conditions. Children aged 5-18</w:t>
      </w:r>
      <w:r w:rsidR="3639C4C5">
        <w:t xml:space="preserve"> </w:t>
      </w:r>
      <w:r w:rsidR="7128400E">
        <w:t>y</w:t>
      </w:r>
      <w:r w:rsidR="08894921">
        <w:t>ears</w:t>
      </w:r>
      <w:r w:rsidR="7128400E">
        <w:t xml:space="preserve"> are the age group with the lowest risk of severe COVID-19, but benefits to vaccination in this age group </w:t>
      </w:r>
      <w:r w:rsidR="5C1CF6D4">
        <w:t xml:space="preserve">may </w:t>
      </w:r>
      <w:r w:rsidR="7128400E">
        <w:t>include reduced time away from school and reduced risk of Long COVID.  Additionally, children frequently live and interact with people at higher risk for severe COVID-19 (e.</w:t>
      </w:r>
      <w:r w:rsidR="43A4E65D">
        <w:t>g.,</w:t>
      </w:r>
      <w:r w:rsidR="7128400E">
        <w:t xml:space="preserve"> family members and teachers).  Vaccination of children may lead to reduced transmission of SARS-CoV-2 to higher risk people in the community.</w:t>
      </w:r>
    </w:p>
    <w:p w14:paraId="51CE13CC" w14:textId="0E640A50" w:rsidR="006C57E5" w:rsidRDefault="00A65BE6" w:rsidP="4385E08A">
      <w:r>
        <w:t>C</w:t>
      </w:r>
      <w:r w:rsidR="001E76D2">
        <w:t xml:space="preserve">OVID-19 vaccines are effective </w:t>
      </w:r>
      <w:r w:rsidR="00B92283">
        <w:t xml:space="preserve">in protecting </w:t>
      </w:r>
      <w:r w:rsidR="00D9127F">
        <w:t>children from COVID-19</w:t>
      </w:r>
      <w:r w:rsidR="009314B3">
        <w:t xml:space="preserve">. </w:t>
      </w:r>
      <w:r w:rsidR="00472D8B" w:rsidRPr="00EA77A1">
        <w:t xml:space="preserve">CDC </w:t>
      </w:r>
      <w:r w:rsidR="00CA6E85" w:rsidRPr="00EA77A1">
        <w:t xml:space="preserve">analyzed the </w:t>
      </w:r>
      <w:r w:rsidR="00B76C4C" w:rsidRPr="00EA77A1">
        <w:t>VISION</w:t>
      </w:r>
      <w:r w:rsidR="004E4DFE" w:rsidRPr="00EA77A1">
        <w:t xml:space="preserve"> </w:t>
      </w:r>
      <w:r w:rsidR="00EB2693">
        <w:t>data</w:t>
      </w:r>
      <w:r w:rsidR="004E4DFE" w:rsidRPr="00EA77A1">
        <w:t xml:space="preserve"> </w:t>
      </w:r>
      <w:r w:rsidR="00CE4B11" w:rsidRPr="00EA77A1">
        <w:t>f</w:t>
      </w:r>
      <w:r w:rsidR="00C335E9">
        <w:t>inding</w:t>
      </w:r>
      <w:r w:rsidR="004E4DFE" w:rsidRPr="00EA77A1">
        <w:t xml:space="preserve"> that </w:t>
      </w:r>
      <w:r w:rsidR="00A157F7" w:rsidRPr="00EA77A1">
        <w:t>the</w:t>
      </w:r>
      <w:r w:rsidR="00B76C4C" w:rsidRPr="00EA77A1">
        <w:t xml:space="preserve"> </w:t>
      </w:r>
      <w:r w:rsidR="00472D8B" w:rsidRPr="00EA77A1">
        <w:t xml:space="preserve">2024–2025 COVID-19 vaccines </w:t>
      </w:r>
      <w:r w:rsidR="007D223C" w:rsidRPr="00EA77A1">
        <w:t>had a</w:t>
      </w:r>
      <w:r w:rsidR="00472D8B" w:rsidRPr="00EA77A1">
        <w:t xml:space="preserve"> </w:t>
      </w:r>
      <w:r w:rsidR="00A157F7" w:rsidRPr="00EA77A1">
        <w:t>76%</w:t>
      </w:r>
      <w:r w:rsidR="00707AFE">
        <w:t xml:space="preserve"> </w:t>
      </w:r>
      <w:r w:rsidR="00707AFE" w:rsidRPr="00707AFE">
        <w:t>(</w:t>
      </w:r>
      <w:r w:rsidR="009B18BB" w:rsidRPr="009618B8">
        <w:t xml:space="preserve">95% CI, </w:t>
      </w:r>
      <w:r w:rsidR="00707AFE" w:rsidRPr="00707AFE">
        <w:t>58–87%)</w:t>
      </w:r>
      <w:r w:rsidR="007D223C" w:rsidRPr="00EA77A1">
        <w:t xml:space="preserve"> </w:t>
      </w:r>
      <w:r w:rsidR="00CE4B11" w:rsidRPr="00EA77A1">
        <w:t>effectiveness</w:t>
      </w:r>
      <w:r w:rsidR="00A157F7" w:rsidRPr="00EA77A1">
        <w:t xml:space="preserve"> </w:t>
      </w:r>
      <w:r w:rsidR="00CE4B11" w:rsidRPr="00EA77A1">
        <w:t xml:space="preserve">against emergency department </w:t>
      </w:r>
      <w:r w:rsidR="00EA77A1" w:rsidRPr="00EA77A1">
        <w:t xml:space="preserve">or urgent care </w:t>
      </w:r>
      <w:r w:rsidR="00EA77A1" w:rsidRPr="00565059">
        <w:t>visits</w:t>
      </w:r>
      <w:r w:rsidR="00565059" w:rsidRPr="00565059">
        <w:t xml:space="preserve"> </w:t>
      </w:r>
      <w:r w:rsidR="00321A0B" w:rsidRPr="00321A0B">
        <w:t xml:space="preserve">among </w:t>
      </w:r>
      <w:r w:rsidR="00325026" w:rsidRPr="00321A0B">
        <w:t>children</w:t>
      </w:r>
      <w:r w:rsidR="00321A0B" w:rsidRPr="00321A0B">
        <w:t xml:space="preserve"> aged 9 months–4 years and 56% </w:t>
      </w:r>
      <w:r w:rsidR="00C75144">
        <w:t>(</w:t>
      </w:r>
      <w:r w:rsidR="009B18BB" w:rsidRPr="009618B8">
        <w:t xml:space="preserve">95% CI, </w:t>
      </w:r>
      <w:r w:rsidR="00C75144" w:rsidRPr="00C75144">
        <w:t>35–70%) </w:t>
      </w:r>
      <w:r w:rsidR="00321A0B" w:rsidRPr="00321A0B">
        <w:t xml:space="preserve">among children and </w:t>
      </w:r>
      <w:r w:rsidR="00321A0B" w:rsidRPr="00C75144">
        <w:t xml:space="preserve">adolescents aged 5–17 years, </w:t>
      </w:r>
      <w:r w:rsidR="00565059" w:rsidRPr="00C75144">
        <w:t>during the first 7–179 days after vaccination</w:t>
      </w:r>
      <w:r w:rsidR="00EA77A1" w:rsidRPr="00C75144">
        <w:t>.</w:t>
      </w:r>
      <w:r w:rsidR="00796C95" w:rsidRPr="00796C95">
        <w:rPr>
          <w:vertAlign w:val="superscript"/>
        </w:rPr>
        <w:t>14</w:t>
      </w:r>
      <w:r w:rsidR="00796C95">
        <w:t xml:space="preserve"> </w:t>
      </w:r>
      <w:r w:rsidR="00796C95" w:rsidRPr="00C75144">
        <w:t>Unfortunately</w:t>
      </w:r>
      <w:r w:rsidR="00C500DB">
        <w:t>, t</w:t>
      </w:r>
      <w:r w:rsidR="00A84989" w:rsidRPr="00C75144">
        <w:t>his</w:t>
      </w:r>
      <w:r w:rsidR="00CD4E06" w:rsidRPr="00C75144">
        <w:t xml:space="preserve"> study did not have </w:t>
      </w:r>
      <w:r w:rsidR="00CD4E06" w:rsidRPr="00C75144">
        <w:lastRenderedPageBreak/>
        <w:t>sufficient statistical power to measure VE by finer intervals of time since dose and for hospitalization.</w:t>
      </w:r>
      <w:r w:rsidR="00310BA3">
        <w:t xml:space="preserve"> </w:t>
      </w:r>
      <w:r w:rsidR="00FF5544">
        <w:t xml:space="preserve">A case control </w:t>
      </w:r>
      <w:r w:rsidR="00796C95">
        <w:t xml:space="preserve">study </w:t>
      </w:r>
      <w:r w:rsidR="008010C7">
        <w:t xml:space="preserve">conducted in a large </w:t>
      </w:r>
      <w:r w:rsidR="00452135">
        <w:t xml:space="preserve">health care network </w:t>
      </w:r>
      <w:r w:rsidR="003E1F50">
        <w:t xml:space="preserve">demonstrated that </w:t>
      </w:r>
      <w:r w:rsidR="00122F94">
        <w:t xml:space="preserve">a </w:t>
      </w:r>
      <w:r w:rsidR="00790496" w:rsidRPr="00790496">
        <w:t>2024-2025</w:t>
      </w:r>
      <w:r w:rsidR="00122F94">
        <w:t xml:space="preserve"> COVID-19 </w:t>
      </w:r>
      <w:r w:rsidR="007669F5">
        <w:t>vaccine</w:t>
      </w:r>
      <w:r w:rsidR="00F65326">
        <w:t xml:space="preserve"> </w:t>
      </w:r>
      <w:r w:rsidR="007669F5">
        <w:t>(</w:t>
      </w:r>
      <w:r w:rsidR="00D15CBB" w:rsidRPr="00D15CBB">
        <w:t>BNT162b2</w:t>
      </w:r>
      <w:r w:rsidR="00E378F9">
        <w:t xml:space="preserve"> Pfi</w:t>
      </w:r>
      <w:r w:rsidR="0079733C">
        <w:t>zer</w:t>
      </w:r>
      <w:r w:rsidR="007669F5">
        <w:t xml:space="preserve">) </w:t>
      </w:r>
      <w:r w:rsidR="000A47C5">
        <w:t xml:space="preserve">was found to have </w:t>
      </w:r>
      <w:r w:rsidR="00B42C03" w:rsidRPr="00B42C03">
        <w:t xml:space="preserve">effectiveness against </w:t>
      </w:r>
      <w:r w:rsidR="000A47C5">
        <w:t xml:space="preserve">the combined outcome of </w:t>
      </w:r>
      <w:r w:rsidR="00B42C03" w:rsidRPr="00B42C03">
        <w:t>hospitalization/emergency department/urgent care/outpatient</w:t>
      </w:r>
      <w:r w:rsidR="004E62AD">
        <w:t xml:space="preserve"> visit</w:t>
      </w:r>
      <w:r w:rsidR="00B42C03" w:rsidRPr="00B42C03">
        <w:t xml:space="preserve"> </w:t>
      </w:r>
      <w:r w:rsidR="000624EC">
        <w:t>of</w:t>
      </w:r>
      <w:r w:rsidR="00B42C03" w:rsidRPr="00B42C03">
        <w:t xml:space="preserve"> 36% (95% CI, -5</w:t>
      </w:r>
      <w:r w:rsidR="00A425EB">
        <w:t>-</w:t>
      </w:r>
      <w:r w:rsidR="00B42C03" w:rsidRPr="00B42C03">
        <w:t xml:space="preserve">61%) </w:t>
      </w:r>
      <w:r w:rsidR="000624EC">
        <w:t>in children</w:t>
      </w:r>
      <w:r w:rsidR="0018626E">
        <w:t xml:space="preserve"> aged</w:t>
      </w:r>
      <w:r w:rsidR="000624EC">
        <w:t xml:space="preserve"> 6 </w:t>
      </w:r>
      <w:r w:rsidR="0018626E">
        <w:t>months</w:t>
      </w:r>
      <w:r w:rsidR="000624EC">
        <w:t xml:space="preserve"> to 4 years </w:t>
      </w:r>
      <w:r w:rsidR="00B42C03" w:rsidRPr="00B42C03">
        <w:t>and 42% (-2</w:t>
      </w:r>
      <w:r w:rsidR="00A425EB">
        <w:t>-</w:t>
      </w:r>
      <w:r w:rsidR="00B42C03" w:rsidRPr="00B42C03">
        <w:t xml:space="preserve"> 67</w:t>
      </w:r>
      <w:r w:rsidR="007428CE">
        <w:t>%</w:t>
      </w:r>
      <w:r w:rsidR="000624EC">
        <w:t>) in children</w:t>
      </w:r>
      <w:r w:rsidR="0018626E">
        <w:t xml:space="preserve"> aged 5 years to 17 years</w:t>
      </w:r>
      <w:r w:rsidR="00A07FAB">
        <w:t>.</w:t>
      </w:r>
      <w:r w:rsidR="00A07FAB" w:rsidRPr="00A07FAB">
        <w:rPr>
          <w:vertAlign w:val="superscript"/>
        </w:rPr>
        <w:t>15</w:t>
      </w:r>
      <w:r w:rsidR="00A07FAB">
        <w:t xml:space="preserve"> </w:t>
      </w:r>
      <w:r w:rsidR="000624EC">
        <w:t xml:space="preserve"> </w:t>
      </w:r>
    </w:p>
    <w:p w14:paraId="51E6C817" w14:textId="77777777" w:rsidR="005B0516" w:rsidRDefault="005B0516" w:rsidP="009314B3"/>
    <w:p w14:paraId="10734C43" w14:textId="77777777" w:rsidR="00C21B6B" w:rsidRDefault="0055482C" w:rsidP="00C21B6B">
      <w:r w:rsidRPr="002246B3">
        <w:rPr>
          <w:u w:val="single"/>
        </w:rPr>
        <w:t xml:space="preserve">COVID-19 </w:t>
      </w:r>
      <w:r>
        <w:rPr>
          <w:u w:val="single"/>
        </w:rPr>
        <w:t xml:space="preserve">Epidemiology and </w:t>
      </w:r>
      <w:r w:rsidRPr="002246B3">
        <w:rPr>
          <w:u w:val="single"/>
        </w:rPr>
        <w:t>Vaccine Effectiveness</w:t>
      </w:r>
      <w:r>
        <w:rPr>
          <w:u w:val="single"/>
        </w:rPr>
        <w:t xml:space="preserve"> by </w:t>
      </w:r>
      <w:r w:rsidR="006C57E5">
        <w:rPr>
          <w:u w:val="single"/>
        </w:rPr>
        <w:t>Medical Condition</w:t>
      </w:r>
    </w:p>
    <w:p w14:paraId="7528545B" w14:textId="2EEC5B88" w:rsidR="00975748" w:rsidRDefault="00CC2E91" w:rsidP="00121ACE">
      <w:pPr>
        <w:spacing w:after="0" w:line="259" w:lineRule="auto"/>
      </w:pPr>
      <w:r w:rsidRPr="00A65643">
        <w:rPr>
          <w:i/>
          <w:iCs/>
          <w:u w:val="single"/>
        </w:rPr>
        <w:t>I</w:t>
      </w:r>
      <w:r w:rsidR="00DD745A" w:rsidRPr="00A65643">
        <w:rPr>
          <w:i/>
          <w:iCs/>
          <w:u w:val="single"/>
        </w:rPr>
        <w:t>mmunocompromised</w:t>
      </w:r>
      <w:r w:rsidR="006E69B0" w:rsidRPr="00A65643">
        <w:rPr>
          <w:i/>
          <w:iCs/>
          <w:u w:val="single"/>
        </w:rPr>
        <w:t xml:space="preserve"> </w:t>
      </w:r>
      <w:r w:rsidR="00D53AB1" w:rsidRPr="00A65643">
        <w:rPr>
          <w:i/>
          <w:iCs/>
          <w:u w:val="single"/>
        </w:rPr>
        <w:t>Individuals</w:t>
      </w:r>
      <w:r w:rsidR="006E69B0">
        <w:t xml:space="preserve">– </w:t>
      </w:r>
      <w:r w:rsidR="00555910">
        <w:t>Individuals</w:t>
      </w:r>
      <w:r w:rsidR="00555910" w:rsidRPr="00687D07">
        <w:t xml:space="preserve"> who are immunocompromised are at risk of </w:t>
      </w:r>
      <w:r w:rsidR="00555910">
        <w:t xml:space="preserve">more severe and protracted </w:t>
      </w:r>
      <w:r w:rsidR="00555910" w:rsidRPr="00687D07">
        <w:t xml:space="preserve">COVID-19 </w:t>
      </w:r>
      <w:r w:rsidR="00555910">
        <w:t xml:space="preserve">disease. </w:t>
      </w:r>
      <w:r w:rsidR="00555910" w:rsidRPr="00687D07">
        <w:t> </w:t>
      </w:r>
      <w:r w:rsidR="00555910" w:rsidRPr="00770F62">
        <w:t>COVID-19 vaccines</w:t>
      </w:r>
      <w:r w:rsidR="00555910">
        <w:t xml:space="preserve"> have been shown to</w:t>
      </w:r>
      <w:r w:rsidR="00555910" w:rsidRPr="00770F62">
        <w:t xml:space="preserve"> provide protection for both persons with and without immunocompromise. </w:t>
      </w:r>
      <w:r w:rsidR="006E69B0">
        <w:t xml:space="preserve">CDC VISION </w:t>
      </w:r>
      <w:r w:rsidR="009B7AF0">
        <w:t>data analysis</w:t>
      </w:r>
      <w:r w:rsidR="006E69B0">
        <w:t xml:space="preserve"> </w:t>
      </w:r>
      <w:r w:rsidR="005B0658">
        <w:t>found that</w:t>
      </w:r>
      <w:r w:rsidR="00DD5CFE" w:rsidRPr="00DD5CFE">
        <w:t xml:space="preserve"> </w:t>
      </w:r>
      <w:r w:rsidR="00DD5CFE">
        <w:t>r</w:t>
      </w:r>
      <w:r w:rsidR="00DD5CFE" w:rsidRPr="004410CC">
        <w:t>ecei</w:t>
      </w:r>
      <w:r w:rsidR="00DD5CFE">
        <w:t xml:space="preserve">pt of </w:t>
      </w:r>
      <w:r w:rsidR="004A166A">
        <w:t xml:space="preserve">a </w:t>
      </w:r>
      <w:r w:rsidR="004A166A" w:rsidRPr="004410CC">
        <w:t>2025</w:t>
      </w:r>
      <w:r w:rsidR="00DD5CFE" w:rsidRPr="004410CC">
        <w:t>-2026 COVID-19</w:t>
      </w:r>
      <w:r w:rsidR="00DD5CFE">
        <w:t xml:space="preserve"> vaccine</w:t>
      </w:r>
      <w:r w:rsidR="00DD5CFE" w:rsidRPr="004410CC">
        <w:t xml:space="preserve"> dose</w:t>
      </w:r>
      <w:r w:rsidR="005B0658">
        <w:t xml:space="preserve"> </w:t>
      </w:r>
      <w:r w:rsidR="00DD5CFE">
        <w:t xml:space="preserve">was associated with reduced </w:t>
      </w:r>
      <w:r w:rsidR="00216217">
        <w:t xml:space="preserve">COVID-19 outcomes among </w:t>
      </w:r>
      <w:r w:rsidR="00175274">
        <w:t xml:space="preserve">adults </w:t>
      </w:r>
      <w:r w:rsidR="000C79D2">
        <w:t>who are immunocompromised.</w:t>
      </w:r>
      <w:r w:rsidR="006372CA" w:rsidRPr="00A65643">
        <w:rPr>
          <w:vertAlign w:val="superscript"/>
        </w:rPr>
        <w:t xml:space="preserve">14 </w:t>
      </w:r>
      <w:r w:rsidR="000C79D2">
        <w:t xml:space="preserve">  </w:t>
      </w:r>
      <w:r w:rsidR="00E4007F">
        <w:t>Vaccine effectiveness a</w:t>
      </w:r>
      <w:r w:rsidR="0090263B">
        <w:t>mong immuno</w:t>
      </w:r>
      <w:r w:rsidR="007E7076">
        <w:t>compromised</w:t>
      </w:r>
      <w:r w:rsidR="003E470B">
        <w:t xml:space="preserve"> </w:t>
      </w:r>
      <w:r w:rsidR="00175274">
        <w:t>adults</w:t>
      </w:r>
      <w:r w:rsidR="004E5974">
        <w:t xml:space="preserve"> </w:t>
      </w:r>
      <w:r w:rsidR="00365CDF">
        <w:t>was</w:t>
      </w:r>
      <w:r w:rsidR="00655080" w:rsidRPr="00655080">
        <w:t xml:space="preserve"> 55</w:t>
      </w:r>
      <w:r w:rsidR="009D6BD1">
        <w:t>%</w:t>
      </w:r>
      <w:r w:rsidR="00655080" w:rsidRPr="00655080">
        <w:t xml:space="preserve"> (</w:t>
      </w:r>
      <w:r w:rsidR="00655080" w:rsidRPr="00790496">
        <w:t>95% CI,</w:t>
      </w:r>
      <w:r w:rsidR="00655080">
        <w:t xml:space="preserve"> </w:t>
      </w:r>
      <w:r w:rsidR="00655080" w:rsidRPr="00655080">
        <w:t>37</w:t>
      </w:r>
      <w:r w:rsidR="00FB1316">
        <w:t>-</w:t>
      </w:r>
      <w:r w:rsidR="00655080" w:rsidRPr="00655080">
        <w:t>67</w:t>
      </w:r>
      <w:r w:rsidR="00FF33E4">
        <w:t>%</w:t>
      </w:r>
      <w:r w:rsidR="00655080" w:rsidRPr="00655080">
        <w:t>)</w:t>
      </w:r>
      <w:r w:rsidR="00365CDF">
        <w:t xml:space="preserve"> </w:t>
      </w:r>
      <w:r w:rsidR="002217B5">
        <w:t xml:space="preserve">against COVID-19 </w:t>
      </w:r>
      <w:r w:rsidR="000B4402">
        <w:t>a</w:t>
      </w:r>
      <w:r w:rsidR="002217B5">
        <w:t>ssociated hospitalization</w:t>
      </w:r>
      <w:r w:rsidR="000B4402">
        <w:t xml:space="preserve">.  </w:t>
      </w:r>
      <w:r w:rsidR="009D6BD1">
        <w:t>Vaccine effectiveness in</w:t>
      </w:r>
      <w:r w:rsidR="007A2BF7">
        <w:t xml:space="preserve"> older</w:t>
      </w:r>
      <w:r w:rsidR="009D6BD1">
        <w:t xml:space="preserve"> immunocomp</w:t>
      </w:r>
      <w:r w:rsidR="00B660CF">
        <w:t>romised a</w:t>
      </w:r>
      <w:r w:rsidR="005C2DC2">
        <w:t>dults</w:t>
      </w:r>
      <w:r w:rsidR="00B660CF">
        <w:t xml:space="preserve"> </w:t>
      </w:r>
      <w:r w:rsidR="007A2BF7">
        <w:t>(</w:t>
      </w:r>
      <w:r w:rsidR="00B660CF">
        <w:t>aged 65 years and</w:t>
      </w:r>
      <w:r w:rsidR="00C21B6B">
        <w:t xml:space="preserve"> </w:t>
      </w:r>
      <w:r w:rsidR="00B660CF">
        <w:t>older</w:t>
      </w:r>
      <w:r w:rsidR="007A2BF7">
        <w:t>)</w:t>
      </w:r>
      <w:r w:rsidR="00B660CF">
        <w:t xml:space="preserve"> was estimated to be </w:t>
      </w:r>
      <w:r w:rsidR="007543CC" w:rsidRPr="007543CC">
        <w:t>52</w:t>
      </w:r>
      <w:r w:rsidR="007543CC">
        <w:t>%</w:t>
      </w:r>
      <w:r w:rsidR="007543CC" w:rsidRPr="007543CC">
        <w:t xml:space="preserve"> (</w:t>
      </w:r>
      <w:r w:rsidR="00FF33E4" w:rsidRPr="00790496">
        <w:t>95% CI,</w:t>
      </w:r>
      <w:r w:rsidR="00FF33E4">
        <w:t xml:space="preserve"> </w:t>
      </w:r>
      <w:r w:rsidR="007543CC" w:rsidRPr="007543CC">
        <w:t>32</w:t>
      </w:r>
      <w:r w:rsidR="00FB1316">
        <w:t>-</w:t>
      </w:r>
      <w:r w:rsidR="007543CC" w:rsidRPr="007543CC">
        <w:t>66</w:t>
      </w:r>
      <w:r w:rsidR="00FF33E4">
        <w:t>%</w:t>
      </w:r>
      <w:r w:rsidR="00BB40FD">
        <w:t>)</w:t>
      </w:r>
      <w:r w:rsidR="0023063D">
        <w:t xml:space="preserve"> against COVID-19 </w:t>
      </w:r>
      <w:r w:rsidR="00BB40FD">
        <w:t>hospitalization.</w:t>
      </w:r>
    </w:p>
    <w:p w14:paraId="0E86082E" w14:textId="77777777" w:rsidR="00230FA6" w:rsidRDefault="00230FA6" w:rsidP="00121ACE">
      <w:pPr>
        <w:pStyle w:val="ListParagraph"/>
        <w:spacing w:after="0" w:line="259" w:lineRule="auto"/>
        <w:ind w:left="0"/>
      </w:pPr>
    </w:p>
    <w:p w14:paraId="0B69440B" w14:textId="7E3CB629" w:rsidR="00524192" w:rsidRDefault="00524192" w:rsidP="00121ACE">
      <w:pPr>
        <w:spacing w:after="0"/>
      </w:pPr>
      <w:r>
        <w:t>However, some data suggest that people with immunocompromising conditions g</w:t>
      </w:r>
      <w:r w:rsidRPr="00770F62">
        <w:t>enerally</w:t>
      </w:r>
      <w:r>
        <w:t xml:space="preserve"> had</w:t>
      </w:r>
      <w:r w:rsidRPr="00770F62">
        <w:t xml:space="preserve"> lower </w:t>
      </w:r>
      <w:r>
        <w:t>vaccine effectiveness</w:t>
      </w:r>
      <w:r w:rsidRPr="00770F62">
        <w:t xml:space="preserve"> compared to non-immunocompromised</w:t>
      </w:r>
      <w:r>
        <w:t xml:space="preserve"> and that protection</w:t>
      </w:r>
      <w:r w:rsidRPr="00770F62">
        <w:t xml:space="preserve"> against hospitalization in immunocompromised </w:t>
      </w:r>
      <w:r w:rsidR="00D03818">
        <w:t xml:space="preserve">people </w:t>
      </w:r>
      <w:r w:rsidRPr="00770F62">
        <w:t xml:space="preserve">waned to 0 by </w:t>
      </w:r>
      <w:r>
        <w:t xml:space="preserve">about </w:t>
      </w:r>
      <w:r w:rsidRPr="00770F62">
        <w:t>4-6 months.</w:t>
      </w:r>
      <w:r w:rsidR="009706C0" w:rsidRPr="009706C0">
        <w:rPr>
          <w:vertAlign w:val="superscript"/>
        </w:rPr>
        <w:t>16</w:t>
      </w:r>
      <w:r w:rsidR="009706C0">
        <w:t xml:space="preserve"> </w:t>
      </w:r>
      <w:r w:rsidRPr="00A651BB">
        <w:t>Based on modeling data, annual and semiannual COVID-19 vaccine</w:t>
      </w:r>
      <w:r>
        <w:t xml:space="preserve"> </w:t>
      </w:r>
      <w:r w:rsidRPr="00A651BB">
        <w:t xml:space="preserve">doses </w:t>
      </w:r>
      <w:r>
        <w:t xml:space="preserve">are </w:t>
      </w:r>
      <w:r w:rsidRPr="00A651BB">
        <w:t>likely to have</w:t>
      </w:r>
      <w:r>
        <w:t xml:space="preserve"> the</w:t>
      </w:r>
      <w:r w:rsidRPr="00A651BB">
        <w:t xml:space="preserve"> largest benefit in people ages ≥65 years and </w:t>
      </w:r>
      <w:r>
        <w:t xml:space="preserve">for </w:t>
      </w:r>
      <w:r w:rsidRPr="00A651BB">
        <w:t>people who are immunocompromise</w:t>
      </w:r>
      <w:r>
        <w:t>d</w:t>
      </w:r>
      <w:r w:rsidRPr="00E06431">
        <w:t>.</w:t>
      </w:r>
      <w:r w:rsidR="000326BD" w:rsidRPr="000326BD">
        <w:rPr>
          <w:vertAlign w:val="superscript"/>
        </w:rPr>
        <w:t>7</w:t>
      </w:r>
      <w:r w:rsidR="000326BD">
        <w:t xml:space="preserve"> </w:t>
      </w:r>
    </w:p>
    <w:p w14:paraId="6B203107" w14:textId="77777777" w:rsidR="00A65643" w:rsidRDefault="00A65643" w:rsidP="00121ACE">
      <w:pPr>
        <w:spacing w:after="0"/>
      </w:pPr>
    </w:p>
    <w:p w14:paraId="31275BAA" w14:textId="349E48D6" w:rsidR="00A22E8A" w:rsidRDefault="00FA1B38" w:rsidP="00121ACE">
      <w:r w:rsidRPr="00A65643">
        <w:rPr>
          <w:i/>
          <w:iCs/>
          <w:u w:val="single"/>
        </w:rPr>
        <w:t>Preg</w:t>
      </w:r>
      <w:r w:rsidR="00674100" w:rsidRPr="00A65643">
        <w:rPr>
          <w:i/>
          <w:iCs/>
          <w:u w:val="single"/>
        </w:rPr>
        <w:t>nan</w:t>
      </w:r>
      <w:r w:rsidR="00A60F46" w:rsidRPr="00A65643">
        <w:rPr>
          <w:i/>
          <w:iCs/>
          <w:u w:val="single"/>
        </w:rPr>
        <w:t>t Individuals</w:t>
      </w:r>
      <w:r w:rsidR="006C687D">
        <w:t xml:space="preserve"> - While the absolute risk of severe COVID-19 outcomes is low in pregnant people, p</w:t>
      </w:r>
      <w:r w:rsidR="006C687D" w:rsidRPr="003A7AED">
        <w:t>regnant individuals have a</w:t>
      </w:r>
      <w:r w:rsidR="006C687D">
        <w:t>n elevated</w:t>
      </w:r>
      <w:r w:rsidR="006C687D" w:rsidRPr="003A7AED">
        <w:t xml:space="preserve"> </w:t>
      </w:r>
      <w:r w:rsidR="006C687D">
        <w:t>relative risk of COVID-19-associated</w:t>
      </w:r>
      <w:r w:rsidR="006C687D" w:rsidRPr="003A7AED">
        <w:t xml:space="preserve"> hospitalization </w:t>
      </w:r>
      <w:r w:rsidR="006C687D">
        <w:t>and ICU admission</w:t>
      </w:r>
      <w:r w:rsidR="006C687D" w:rsidRPr="003A7AED">
        <w:t xml:space="preserve"> compared to those</w:t>
      </w:r>
      <w:r w:rsidR="006C687D">
        <w:t xml:space="preserve"> who are</w:t>
      </w:r>
      <w:r w:rsidR="006C687D" w:rsidRPr="003A7AED">
        <w:t xml:space="preserve"> not pregnant</w:t>
      </w:r>
      <w:r w:rsidR="006C687D">
        <w:t>.</w:t>
      </w:r>
      <w:r w:rsidR="00402928" w:rsidRPr="00A65643">
        <w:rPr>
          <w:vertAlign w:val="superscript"/>
        </w:rPr>
        <w:t>17</w:t>
      </w:r>
      <w:r w:rsidR="006C687D">
        <w:t xml:space="preserve">  There are also data suggesting that SARS-CoV-2 infection is associated with increased risk of pregnancy complications such as preeclampsia and preterm birth</w:t>
      </w:r>
      <w:r w:rsidR="003258D6">
        <w:t>.</w:t>
      </w:r>
      <w:r w:rsidR="003258D6" w:rsidRPr="00A65643">
        <w:rPr>
          <w:vertAlign w:val="superscript"/>
        </w:rPr>
        <w:t>17-19</w:t>
      </w:r>
      <w:r w:rsidR="003258D6">
        <w:t xml:space="preserve"> </w:t>
      </w:r>
      <w:r w:rsidR="00FE6530" w:rsidRPr="009E77EC">
        <w:t>COVID-19 vaccines are effective at reducing morbidity from COVID-19 complications in pregnant patients and their infants (measured by emergency department/urgent care encounters)</w:t>
      </w:r>
      <w:r w:rsidR="007C6EC0">
        <w:t>.</w:t>
      </w:r>
      <w:r w:rsidR="00907CEC" w:rsidRPr="00A65643">
        <w:rPr>
          <w:vertAlign w:val="superscript"/>
        </w:rPr>
        <w:t>20</w:t>
      </w:r>
      <w:r w:rsidR="00907CEC">
        <w:t xml:space="preserve"> </w:t>
      </w:r>
      <w:r w:rsidR="00713134" w:rsidRPr="00713134">
        <w:t xml:space="preserve"> </w:t>
      </w:r>
      <w:r w:rsidR="006C687D">
        <w:t xml:space="preserve">Importantly, COVID-19 vaccination during pregnancy not only protects the pregnant person but also confers protection to the infant once born.  </w:t>
      </w:r>
      <w:r w:rsidR="006C687D" w:rsidRPr="007D4803">
        <w:t xml:space="preserve">Rates of COVID-19-associated hospitalizations </w:t>
      </w:r>
      <w:r w:rsidR="00656E9A">
        <w:t xml:space="preserve">during the 2025-2026 respiratory season </w:t>
      </w:r>
      <w:r w:rsidR="006C687D" w:rsidRPr="007D4803">
        <w:t xml:space="preserve">among infants ages &lt;6 months </w:t>
      </w:r>
      <w:r w:rsidR="006C687D">
        <w:t xml:space="preserve">are </w:t>
      </w:r>
      <w:r w:rsidR="00534A6F">
        <w:t>higher</w:t>
      </w:r>
      <w:r w:rsidR="00656E9A">
        <w:t xml:space="preserve"> than </w:t>
      </w:r>
      <w:r w:rsidR="00713134">
        <w:t xml:space="preserve">the </w:t>
      </w:r>
      <w:r w:rsidR="00713134" w:rsidRPr="007D4803">
        <w:t>rates</w:t>
      </w:r>
      <w:r w:rsidR="006C687D" w:rsidRPr="007D4803">
        <w:t xml:space="preserve"> among adults ages 65–74 year</w:t>
      </w:r>
      <w:r w:rsidR="006C687D">
        <w:t>s.</w:t>
      </w:r>
      <w:r w:rsidR="00907CEC" w:rsidRPr="00A65643">
        <w:rPr>
          <w:vertAlign w:val="superscript"/>
        </w:rPr>
        <w:t>3</w:t>
      </w:r>
      <w:r w:rsidR="00DA202E" w:rsidRPr="00A65643">
        <w:rPr>
          <w:rFonts w:ascii="Aptos" w:hAnsi="Aptos"/>
        </w:rPr>
        <w:t xml:space="preserve"> </w:t>
      </w:r>
      <w:r w:rsidR="006C687D">
        <w:t xml:space="preserve">The majority (71%) of infants &lt;6 months of age hospitalized for COVID-19 do not have underlying medical conditions.  </w:t>
      </w:r>
      <w:r w:rsidR="006C687D" w:rsidRPr="00A37F5D">
        <w:t xml:space="preserve">No </w:t>
      </w:r>
      <w:r w:rsidR="006C687D" w:rsidRPr="00A37F5D">
        <w:lastRenderedPageBreak/>
        <w:t xml:space="preserve">COVID-19 vaccine products are approved for infants ages &lt;6 months. </w:t>
      </w:r>
      <w:r w:rsidR="006C687D">
        <w:t>Thus, any immunologic</w:t>
      </w:r>
      <w:r w:rsidR="006C687D" w:rsidRPr="00A37F5D">
        <w:t xml:space="preserve"> protection must come from transfer of maternal antibodies, either from vaccination during pregnancy or prior infection</w:t>
      </w:r>
      <w:r w:rsidR="006C687D">
        <w:t>.  M</w:t>
      </w:r>
      <w:r w:rsidR="006C687D" w:rsidRPr="00760324">
        <w:t>aternal</w:t>
      </w:r>
      <w:r w:rsidR="006C687D">
        <w:t xml:space="preserve"> COVID-19</w:t>
      </w:r>
      <w:r w:rsidR="006C687D" w:rsidRPr="00760324">
        <w:t xml:space="preserve"> vaccination during pregnancy can reduce the risk of COVID-19-related hospitalization for infants by more than half during the first three months of life.</w:t>
      </w:r>
      <w:r w:rsidR="002055F0" w:rsidRPr="00A65643">
        <w:rPr>
          <w:vertAlign w:val="superscript"/>
        </w:rPr>
        <w:t>21,</w:t>
      </w:r>
      <w:r w:rsidR="00733967" w:rsidRPr="00A65643">
        <w:rPr>
          <w:vertAlign w:val="superscript"/>
        </w:rPr>
        <w:t>22</w:t>
      </w:r>
      <w:r w:rsidR="00733967">
        <w:t xml:space="preserve"> There</w:t>
      </w:r>
      <w:r w:rsidR="006C687D" w:rsidRPr="00231297">
        <w:t xml:space="preserve"> is no evidence of adverse maternal or fetal effects from vaccinating pregnant individuals with the COVID-19 vaccine</w:t>
      </w:r>
      <w:r w:rsidR="006C687D" w:rsidRPr="00FB000F">
        <w:t>.</w:t>
      </w:r>
      <w:r w:rsidR="007E492E" w:rsidRPr="00A65643">
        <w:rPr>
          <w:vertAlign w:val="superscript"/>
        </w:rPr>
        <w:t>23,24</w:t>
      </w:r>
      <w:r w:rsidR="007E492E" w:rsidRPr="00FB000F">
        <w:t xml:space="preserve"> </w:t>
      </w:r>
    </w:p>
    <w:p w14:paraId="531E4FCC" w14:textId="5A157BF3" w:rsidR="00027E51" w:rsidRDefault="00620696" w:rsidP="003878AA">
      <w:r>
        <w:rPr>
          <w:i/>
          <w:iCs/>
          <w:u w:val="single"/>
        </w:rPr>
        <w:t xml:space="preserve">COVID-19 </w:t>
      </w:r>
      <w:r w:rsidR="006256E2" w:rsidRPr="00B660CF">
        <w:rPr>
          <w:i/>
          <w:iCs/>
          <w:u w:val="single"/>
        </w:rPr>
        <w:t xml:space="preserve">Vaccine Effectiveness </w:t>
      </w:r>
      <w:r w:rsidR="006256E2">
        <w:rPr>
          <w:i/>
          <w:iCs/>
          <w:u w:val="single"/>
        </w:rPr>
        <w:t xml:space="preserve">against </w:t>
      </w:r>
      <w:r w:rsidR="00734D87" w:rsidRPr="004F7ABF">
        <w:rPr>
          <w:i/>
          <w:iCs/>
          <w:u w:val="single"/>
        </w:rPr>
        <w:t>Long COVID-19</w:t>
      </w:r>
      <w:r w:rsidR="00734D87">
        <w:t xml:space="preserve"> </w:t>
      </w:r>
    </w:p>
    <w:p w14:paraId="2FF697A5" w14:textId="77889430" w:rsidR="00CD6472" w:rsidRPr="002107B6" w:rsidRDefault="00CD6472" w:rsidP="00121ACE">
      <w:r w:rsidRPr="00A65643">
        <w:rPr>
          <w:rFonts w:ascii="Aptos" w:hAnsi="Aptos" w:cs="Aptos"/>
        </w:rPr>
        <w:t>The prevalence estimates of Long COVID vary because studies of Long COVID use differing study designs, with varying definitions of the syndrome</w:t>
      </w:r>
      <w:r w:rsidR="00D03818">
        <w:rPr>
          <w:rFonts w:ascii="Aptos" w:hAnsi="Aptos" w:cs="Aptos"/>
        </w:rPr>
        <w:t>,</w:t>
      </w:r>
      <w:r w:rsidRPr="00A65643">
        <w:rPr>
          <w:rFonts w:ascii="Aptos" w:hAnsi="Aptos" w:cs="Aptos"/>
        </w:rPr>
        <w:t xml:space="preserve"> and study different populations.  The CDC analysis of Long Covid prevalence in 2023 based on self-reporting of ongoing symptoms or electronic health records found that the estimate prevalence varied by state, with </w:t>
      </w:r>
      <w:r w:rsidR="009641DB">
        <w:rPr>
          <w:rFonts w:ascii="Aptos" w:hAnsi="Aptos" w:cs="Aptos"/>
        </w:rPr>
        <w:t>W</w:t>
      </w:r>
      <w:r w:rsidRPr="00A65643">
        <w:rPr>
          <w:rFonts w:ascii="Aptos" w:hAnsi="Aptos" w:cs="Aptos"/>
        </w:rPr>
        <w:t>est Virginia having the highest estimated prevalence at 9.7% and District of Columbia with the lowest at a prevalence of 3.8%.  Massachusetts had an estimated Long COVID prevalence of 5.3%.</w:t>
      </w:r>
      <w:r w:rsidR="00F575B3" w:rsidRPr="00A65643">
        <w:rPr>
          <w:rFonts w:ascii="Aptos" w:hAnsi="Aptos" w:cs="Aptos"/>
          <w:vertAlign w:val="superscript"/>
        </w:rPr>
        <w:t>25</w:t>
      </w:r>
      <w:r w:rsidR="00F575B3" w:rsidRPr="00A65643">
        <w:rPr>
          <w:rFonts w:ascii="Aptos" w:hAnsi="Aptos" w:cs="Aptos"/>
        </w:rPr>
        <w:t xml:space="preserve"> </w:t>
      </w:r>
      <w:r w:rsidRPr="00DB27AF">
        <w:t>However, a recent study suggests that previous case ascertainment strategies may have underestimated the true burden of Long COVID and that the condition may affect substantially more people in the United States than previously estimated.</w:t>
      </w:r>
      <w:r>
        <w:t xml:space="preserve"> This retrospective study analyzed electronic medical records from </w:t>
      </w:r>
      <w:r w:rsidRPr="00BC5C31">
        <w:t xml:space="preserve">hospitals and clinics in </w:t>
      </w:r>
      <w:r>
        <w:t>four</w:t>
      </w:r>
      <w:r w:rsidRPr="00BC5C31">
        <w:t xml:space="preserve"> U</w:t>
      </w:r>
      <w:r>
        <w:t>.</w:t>
      </w:r>
      <w:r w:rsidRPr="00BC5C31">
        <w:t>S</w:t>
      </w:r>
      <w:r>
        <w:t>.</w:t>
      </w:r>
      <w:r w:rsidRPr="00BC5C31">
        <w:t xml:space="preserve"> regions</w:t>
      </w:r>
      <w:r>
        <w:t xml:space="preserve"> using a </w:t>
      </w:r>
      <w:r w:rsidRPr="00B61052">
        <w:t>custom artificial intelligence algorithm</w:t>
      </w:r>
      <w:r>
        <w:t xml:space="preserve">. </w:t>
      </w:r>
      <w:r w:rsidRPr="00D61FA7">
        <w:t xml:space="preserve"> </w:t>
      </w:r>
      <w:r>
        <w:t xml:space="preserve">The researchers found that approximately one in </w:t>
      </w:r>
      <w:r w:rsidRPr="00D61FA7">
        <w:t>six people infected with SARS-CoV-2 develop the condition</w:t>
      </w:r>
      <w:r>
        <w:t xml:space="preserve"> which</w:t>
      </w:r>
      <w:r w:rsidRPr="00E850B3">
        <w:t xml:space="preserve"> translates to roughly 1</w:t>
      </w:r>
      <w:r>
        <w:t>6</w:t>
      </w:r>
      <w:r w:rsidRPr="00E850B3">
        <w:t xml:space="preserve"> million</w:t>
      </w:r>
      <w:r>
        <w:t xml:space="preserve"> U.S. residents</w:t>
      </w:r>
      <w:r w:rsidRPr="00D61FA7">
        <w:t>.</w:t>
      </w:r>
      <w:r w:rsidR="008A1B95" w:rsidRPr="00A65643">
        <w:rPr>
          <w:vertAlign w:val="superscript"/>
        </w:rPr>
        <w:t>26</w:t>
      </w:r>
      <w:r w:rsidR="008A1B95">
        <w:t xml:space="preserve"> </w:t>
      </w:r>
      <w:r>
        <w:t xml:space="preserve"> </w:t>
      </w:r>
    </w:p>
    <w:p w14:paraId="222461F8" w14:textId="04C8EECF" w:rsidR="00CD6472" w:rsidRDefault="00CD6472" w:rsidP="00121ACE">
      <w:r w:rsidRPr="00E21929">
        <w:t>Furthermore, Long COVID is likely to impose a substantial economic burden. Using computational modeling, one study estimated that each case of Long COVID results in annual costs of approximately $9,906 to $11,646 in the United States, with significantly higher costs among individuals with more severe disease.</w:t>
      </w:r>
      <w:r>
        <w:t xml:space="preserve"> T</w:t>
      </w:r>
      <w:r w:rsidRPr="00B3495D">
        <w:t xml:space="preserve">he total economic burden of </w:t>
      </w:r>
      <w:r w:rsidR="00D03818">
        <w:t>L</w:t>
      </w:r>
      <w:r w:rsidRPr="00B3495D">
        <w:t>ong COVID </w:t>
      </w:r>
      <w:r>
        <w:t>could cost the health care system and employers several billion dollars in the next several years.</w:t>
      </w:r>
      <w:r w:rsidR="00114137" w:rsidRPr="00114137">
        <w:rPr>
          <w:vertAlign w:val="superscript"/>
        </w:rPr>
        <w:t>27</w:t>
      </w:r>
      <w:r>
        <w:t xml:space="preserve"> </w:t>
      </w:r>
    </w:p>
    <w:p w14:paraId="746E4E85" w14:textId="063A6E61" w:rsidR="00F512BB" w:rsidRDefault="0097704E" w:rsidP="00121ACE">
      <w:r>
        <w:t xml:space="preserve">There is a </w:t>
      </w:r>
      <w:r w:rsidR="00FD7240">
        <w:t xml:space="preserve">growing body of evidence that </w:t>
      </w:r>
      <w:r w:rsidR="004C6AF9">
        <w:t>supports th</w:t>
      </w:r>
      <w:r w:rsidR="0066411F">
        <w:t>at there is a</w:t>
      </w:r>
      <w:r w:rsidR="004C6AF9">
        <w:t xml:space="preserve"> </w:t>
      </w:r>
      <w:r w:rsidR="00F83770">
        <w:t xml:space="preserve">protective </w:t>
      </w:r>
      <w:r w:rsidR="00DE5F4D">
        <w:t xml:space="preserve">benefit of COVID-19 </w:t>
      </w:r>
      <w:r w:rsidR="0066411F">
        <w:t xml:space="preserve">vaccine </w:t>
      </w:r>
      <w:r w:rsidR="006256E2">
        <w:t xml:space="preserve">against Long COVID. </w:t>
      </w:r>
      <w:r w:rsidR="0066411F">
        <w:t xml:space="preserve"> A </w:t>
      </w:r>
      <w:r w:rsidR="004F7ABF">
        <w:t>s</w:t>
      </w:r>
      <w:r w:rsidR="0066411F">
        <w:t xml:space="preserve">ystematic review </w:t>
      </w:r>
      <w:r w:rsidR="00387E0E">
        <w:t xml:space="preserve">and meta-analysis </w:t>
      </w:r>
      <w:r w:rsidR="0075416D">
        <w:t xml:space="preserve">found </w:t>
      </w:r>
      <w:r w:rsidR="004A0B58">
        <w:t xml:space="preserve">that the </w:t>
      </w:r>
      <w:r w:rsidR="004A6F87" w:rsidRPr="004A6F87">
        <w:t xml:space="preserve">pooled </w:t>
      </w:r>
      <w:r w:rsidR="00190A36">
        <w:t>odds ratio</w:t>
      </w:r>
      <w:r w:rsidR="004A6F87" w:rsidRPr="004A6F87">
        <w:t xml:space="preserve"> </w:t>
      </w:r>
      <w:r w:rsidR="00190A36">
        <w:t>for</w:t>
      </w:r>
      <w:r w:rsidR="004A6F87" w:rsidRPr="004A6F87">
        <w:t xml:space="preserve"> </w:t>
      </w:r>
      <w:r w:rsidR="00D03818">
        <w:t>L</w:t>
      </w:r>
      <w:r w:rsidR="004A6F87" w:rsidRPr="004A6F87">
        <w:t xml:space="preserve">ong COVID was 0.77 (95% CI 0.70–0.85) for </w:t>
      </w:r>
      <w:r w:rsidR="00A731A0">
        <w:t>adults</w:t>
      </w:r>
      <w:r w:rsidR="004A6F87" w:rsidRPr="004A6F87">
        <w:t xml:space="preserve"> receiving any vaccination compared with unvaccinated </w:t>
      </w:r>
      <w:r w:rsidR="004E765A">
        <w:t>adults.</w:t>
      </w:r>
      <w:r w:rsidR="00F87911" w:rsidRPr="00F87911">
        <w:rPr>
          <w:vertAlign w:val="superscript"/>
        </w:rPr>
        <w:t>28</w:t>
      </w:r>
      <w:r w:rsidR="00F87911">
        <w:t xml:space="preserve"> There</w:t>
      </w:r>
      <w:r w:rsidR="00354A0A" w:rsidRPr="00354A0A">
        <w:t xml:space="preserve"> may be a dose-response relationship between the number of COVID-19 vaccine doses received and protection against Long COVID, with estimated vaccine effectiveness of 21% after one dose, 59% after two doses, and 73% after three or more doses.</w:t>
      </w:r>
      <w:r w:rsidR="00CA6BD9">
        <w:t xml:space="preserve">  </w:t>
      </w:r>
      <w:r w:rsidR="00AB20B7">
        <w:t xml:space="preserve">COVID-19 vaccine </w:t>
      </w:r>
      <w:r w:rsidR="004D7DF5">
        <w:t xml:space="preserve">may also protect children from </w:t>
      </w:r>
      <w:r w:rsidR="00502CF1">
        <w:t xml:space="preserve">Long COVID. </w:t>
      </w:r>
      <w:r w:rsidR="005023F5">
        <w:t xml:space="preserve">One </w:t>
      </w:r>
      <w:r w:rsidR="002066B4">
        <w:t xml:space="preserve">case control </w:t>
      </w:r>
      <w:r w:rsidR="005023F5">
        <w:t>study</w:t>
      </w:r>
      <w:r w:rsidR="00F74A82">
        <w:t xml:space="preserve"> in children</w:t>
      </w:r>
      <w:r w:rsidR="005023F5">
        <w:t xml:space="preserve"> showed that </w:t>
      </w:r>
      <w:r w:rsidR="00234DCD" w:rsidRPr="00234DCD">
        <w:t xml:space="preserve">COVID-19 vaccination was associated with decreased odds of </w:t>
      </w:r>
      <w:r w:rsidR="007E1D27">
        <w:t>one</w:t>
      </w:r>
      <w:r w:rsidR="00234DCD" w:rsidRPr="00234DCD">
        <w:t xml:space="preserve"> or more</w:t>
      </w:r>
      <w:r w:rsidR="005023F5">
        <w:t xml:space="preserve"> Long COVID</w:t>
      </w:r>
      <w:r w:rsidR="00234DCD" w:rsidRPr="00234DCD">
        <w:t xml:space="preserve"> symptom </w:t>
      </w:r>
      <w:r w:rsidR="00234DCD" w:rsidRPr="00234DCD">
        <w:lastRenderedPageBreak/>
        <w:t>(odds ratio 0.43</w:t>
      </w:r>
      <w:r w:rsidR="003B0254">
        <w:t>,</w:t>
      </w:r>
      <w:r w:rsidR="00234DCD" w:rsidRPr="00234DCD">
        <w:t xml:space="preserve"> 95% CI, 0.19-0.98) and </w:t>
      </w:r>
      <w:r w:rsidR="007E1D27">
        <w:t>two</w:t>
      </w:r>
      <w:r w:rsidR="00234DCD" w:rsidRPr="00234DCD">
        <w:t xml:space="preserve"> or more </w:t>
      </w:r>
      <w:r w:rsidR="003B0254">
        <w:t>Long COVID</w:t>
      </w:r>
      <w:r w:rsidR="00234DCD" w:rsidRPr="00234DCD">
        <w:t xml:space="preserve"> symptoms (</w:t>
      </w:r>
      <w:r w:rsidR="003B0254">
        <w:t>odds ratio</w:t>
      </w:r>
      <w:r w:rsidR="00234DCD" w:rsidRPr="00234DCD">
        <w:t>, 0.27</w:t>
      </w:r>
      <w:r w:rsidR="003B0254">
        <w:t>,</w:t>
      </w:r>
      <w:r w:rsidR="00234DCD" w:rsidRPr="00234DCD">
        <w:t xml:space="preserve"> 95% CI, 0.10-0.69)</w:t>
      </w:r>
      <w:r w:rsidR="002066B4">
        <w:t>.</w:t>
      </w:r>
      <w:r w:rsidR="0071588A" w:rsidRPr="0071588A">
        <w:rPr>
          <w:vertAlign w:val="superscript"/>
        </w:rPr>
        <w:t xml:space="preserve">29 </w:t>
      </w:r>
    </w:p>
    <w:p w14:paraId="5E8EA3EF" w14:textId="41A4B48B" w:rsidR="00F512BB" w:rsidRPr="00002517" w:rsidRDefault="00F512BB" w:rsidP="00F512BB">
      <w:pPr>
        <w:rPr>
          <w:u w:val="single"/>
        </w:rPr>
      </w:pPr>
      <w:r w:rsidRPr="003A74AB">
        <w:rPr>
          <w:u w:val="single"/>
        </w:rPr>
        <w:t xml:space="preserve">COVID-19 </w:t>
      </w:r>
      <w:r w:rsidR="00AA6051">
        <w:rPr>
          <w:u w:val="single"/>
        </w:rPr>
        <w:t>V</w:t>
      </w:r>
      <w:r w:rsidRPr="003A74AB">
        <w:rPr>
          <w:u w:val="single"/>
        </w:rPr>
        <w:t>accines Available for Use in the United States</w:t>
      </w:r>
    </w:p>
    <w:p w14:paraId="67FC82BE" w14:textId="5A850435" w:rsidR="0000609E" w:rsidRDefault="0000609E" w:rsidP="0000609E">
      <w:pPr>
        <w:spacing w:after="0" w:line="240" w:lineRule="auto"/>
      </w:pPr>
      <w:r>
        <w:t>There are currently four COVID-19 vaccines licensed for use in the U.S. for 202</w:t>
      </w:r>
      <w:r w:rsidR="00002517">
        <w:t>6</w:t>
      </w:r>
      <w:r>
        <w:t>-202</w:t>
      </w:r>
      <w:r w:rsidR="002241BD">
        <w:t>7 respiratory season</w:t>
      </w:r>
      <w:r>
        <w:t>:</w:t>
      </w:r>
    </w:p>
    <w:p w14:paraId="4A078EAF" w14:textId="77777777" w:rsidR="002241BD" w:rsidRDefault="002241BD" w:rsidP="0000609E">
      <w:pPr>
        <w:spacing w:after="0" w:line="240" w:lineRule="auto"/>
      </w:pPr>
    </w:p>
    <w:p w14:paraId="5D30A31D" w14:textId="77777777" w:rsidR="0000609E" w:rsidRPr="0077040B" w:rsidRDefault="1BDDDCC1" w:rsidP="72759B2F">
      <w:pPr>
        <w:spacing w:after="0" w:line="240" w:lineRule="auto"/>
        <w:rPr>
          <w:u w:val="single"/>
        </w:rPr>
      </w:pPr>
      <w:r w:rsidRPr="0077040B">
        <w:rPr>
          <w:u w:val="single"/>
        </w:rPr>
        <w:t>mRNA vaccines</w:t>
      </w:r>
    </w:p>
    <w:p w14:paraId="2DEE858C" w14:textId="77777777" w:rsidR="0000609E" w:rsidRPr="000D4774" w:rsidRDefault="0000609E" w:rsidP="0000609E">
      <w:pPr>
        <w:spacing w:after="0" w:line="240" w:lineRule="auto"/>
      </w:pPr>
      <w:r>
        <w:tab/>
      </w:r>
      <w:r>
        <w:tab/>
        <w:t xml:space="preserve">Moderna – </w:t>
      </w:r>
      <w:r w:rsidRPr="000D4774">
        <w:t>SPIKEVAX</w:t>
      </w:r>
      <w:r>
        <w:t xml:space="preserve">  FDA approved for</w:t>
      </w:r>
      <w:r w:rsidRPr="000D4774">
        <w:t>:</w:t>
      </w:r>
    </w:p>
    <w:p w14:paraId="328628EC" w14:textId="77777777" w:rsidR="0000609E" w:rsidRDefault="0000609E" w:rsidP="0000609E">
      <w:pPr>
        <w:numPr>
          <w:ilvl w:val="0"/>
          <w:numId w:val="4"/>
        </w:numPr>
        <w:tabs>
          <w:tab w:val="num" w:pos="720"/>
        </w:tabs>
        <w:spacing w:after="0" w:line="240" w:lineRule="auto"/>
      </w:pPr>
      <w:r w:rsidRPr="000D4774">
        <w:t>65 years of age and older, or</w:t>
      </w:r>
    </w:p>
    <w:p w14:paraId="5FDCB023" w14:textId="77777777" w:rsidR="0000609E" w:rsidRDefault="0000609E" w:rsidP="0000609E">
      <w:pPr>
        <w:numPr>
          <w:ilvl w:val="0"/>
          <w:numId w:val="4"/>
        </w:numPr>
        <w:tabs>
          <w:tab w:val="num" w:pos="720"/>
        </w:tabs>
        <w:spacing w:after="0" w:line="240" w:lineRule="auto"/>
      </w:pPr>
      <w:r w:rsidRPr="000D4774">
        <w:t>6 months through 64 years of age at high risk for severe COVID-19.</w:t>
      </w:r>
    </w:p>
    <w:p w14:paraId="305E16B7" w14:textId="77777777" w:rsidR="0000609E" w:rsidRDefault="0000609E" w:rsidP="0000609E">
      <w:pPr>
        <w:spacing w:after="0" w:line="240" w:lineRule="auto"/>
        <w:ind w:left="1440"/>
      </w:pPr>
      <w:r>
        <w:t xml:space="preserve">Moderna – </w:t>
      </w:r>
      <w:r w:rsidRPr="00DE525E">
        <w:t>mNEXSPIKE</w:t>
      </w:r>
      <w:r>
        <w:t xml:space="preserve"> FDA approved for</w:t>
      </w:r>
      <w:r w:rsidRPr="000D4774">
        <w:t>:</w:t>
      </w:r>
    </w:p>
    <w:p w14:paraId="249A48D1" w14:textId="77777777" w:rsidR="0000609E" w:rsidRDefault="0000609E" w:rsidP="0000609E">
      <w:pPr>
        <w:numPr>
          <w:ilvl w:val="0"/>
          <w:numId w:val="4"/>
        </w:numPr>
        <w:tabs>
          <w:tab w:val="num" w:pos="720"/>
        </w:tabs>
        <w:spacing w:after="0" w:line="240" w:lineRule="auto"/>
      </w:pPr>
      <w:r w:rsidRPr="000D4774">
        <w:t>65 years of age and older, or</w:t>
      </w:r>
    </w:p>
    <w:p w14:paraId="4DE847B3" w14:textId="77777777" w:rsidR="0000609E" w:rsidRDefault="0000609E" w:rsidP="0000609E">
      <w:pPr>
        <w:pStyle w:val="ListParagraph"/>
        <w:numPr>
          <w:ilvl w:val="0"/>
          <w:numId w:val="4"/>
        </w:numPr>
        <w:spacing w:after="0" w:line="240" w:lineRule="auto"/>
      </w:pPr>
      <w:r>
        <w:t xml:space="preserve">12 years </w:t>
      </w:r>
      <w:r w:rsidRPr="000D4774">
        <w:t>through 64 years of age at high risk for severe COVID-19.</w:t>
      </w:r>
      <w:r>
        <w:t xml:space="preserve">  </w:t>
      </w:r>
    </w:p>
    <w:p w14:paraId="63138CB2" w14:textId="77777777" w:rsidR="0000609E" w:rsidRDefault="0000609E" w:rsidP="0000609E">
      <w:pPr>
        <w:spacing w:after="0" w:line="240" w:lineRule="auto"/>
      </w:pPr>
      <w:r>
        <w:tab/>
      </w:r>
      <w:r>
        <w:tab/>
        <w:t xml:space="preserve">Pfizer – </w:t>
      </w:r>
      <w:r w:rsidRPr="00B225BA">
        <w:t>COMIRNATY</w:t>
      </w:r>
      <w:r>
        <w:t xml:space="preserve"> FDA approved for:</w:t>
      </w:r>
    </w:p>
    <w:p w14:paraId="00096D5F" w14:textId="77777777" w:rsidR="0000609E" w:rsidRDefault="0000609E" w:rsidP="0000609E">
      <w:pPr>
        <w:numPr>
          <w:ilvl w:val="0"/>
          <w:numId w:val="4"/>
        </w:numPr>
        <w:tabs>
          <w:tab w:val="num" w:pos="720"/>
        </w:tabs>
        <w:spacing w:after="0" w:line="240" w:lineRule="auto"/>
      </w:pPr>
      <w:r w:rsidRPr="000D4774">
        <w:t>65 years of age and older, or</w:t>
      </w:r>
    </w:p>
    <w:p w14:paraId="04B58DC9" w14:textId="77777777" w:rsidR="0000609E" w:rsidRDefault="0000609E" w:rsidP="0000609E">
      <w:pPr>
        <w:pStyle w:val="ListParagraph"/>
        <w:numPr>
          <w:ilvl w:val="0"/>
          <w:numId w:val="4"/>
        </w:numPr>
        <w:spacing w:after="0" w:line="240" w:lineRule="auto"/>
      </w:pPr>
      <w:r>
        <w:t xml:space="preserve">5 years </w:t>
      </w:r>
      <w:r w:rsidRPr="000D4774">
        <w:t>through 64 years of age at high risk for severe COVID-19.</w:t>
      </w:r>
      <w:r>
        <w:t xml:space="preserve">  </w:t>
      </w:r>
    </w:p>
    <w:p w14:paraId="440D1B4E" w14:textId="77777777" w:rsidR="0000609E" w:rsidRDefault="0000609E" w:rsidP="0000609E">
      <w:pPr>
        <w:spacing w:after="0" w:line="240" w:lineRule="auto"/>
      </w:pPr>
      <w:r>
        <w:tab/>
      </w:r>
      <w:r>
        <w:tab/>
      </w:r>
    </w:p>
    <w:p w14:paraId="45DD6B2D" w14:textId="77777777" w:rsidR="0000609E" w:rsidRPr="0077040B" w:rsidRDefault="1BDDDCC1" w:rsidP="72759B2F">
      <w:pPr>
        <w:spacing w:after="0" w:line="240" w:lineRule="auto"/>
        <w:rPr>
          <w:u w:val="single"/>
        </w:rPr>
      </w:pPr>
      <w:r w:rsidRPr="0077040B">
        <w:rPr>
          <w:u w:val="single"/>
        </w:rPr>
        <w:t>Protein subunit</w:t>
      </w:r>
    </w:p>
    <w:p w14:paraId="5A657DEE" w14:textId="2172BBB0" w:rsidR="0000609E" w:rsidRDefault="0000609E" w:rsidP="0000609E">
      <w:pPr>
        <w:spacing w:after="0" w:line="240" w:lineRule="auto"/>
      </w:pPr>
      <w:r>
        <w:tab/>
      </w:r>
      <w:r>
        <w:tab/>
        <w:t xml:space="preserve">Novavax - </w:t>
      </w:r>
      <w:r w:rsidRPr="00F36DA6">
        <w:t>Nuvaxoid</w:t>
      </w:r>
      <w:r>
        <w:t xml:space="preserve"> </w:t>
      </w:r>
      <w:r w:rsidR="005474AC">
        <w:t xml:space="preserve">FDA </w:t>
      </w:r>
      <w:r w:rsidR="005474AC" w:rsidRPr="00F36DA6">
        <w:t>approved</w:t>
      </w:r>
      <w:r w:rsidRPr="00F36DA6">
        <w:t xml:space="preserve"> for</w:t>
      </w:r>
      <w:r>
        <w:t>:</w:t>
      </w:r>
    </w:p>
    <w:p w14:paraId="029CF279" w14:textId="77777777" w:rsidR="0000609E" w:rsidRDefault="0000609E" w:rsidP="0000609E">
      <w:pPr>
        <w:pStyle w:val="ListParagraph"/>
        <w:numPr>
          <w:ilvl w:val="0"/>
          <w:numId w:val="5"/>
        </w:numPr>
        <w:spacing w:after="0" w:line="240" w:lineRule="auto"/>
      </w:pPr>
      <w:r w:rsidRPr="00F36DA6">
        <w:t xml:space="preserve">adults 65 years and older </w:t>
      </w:r>
    </w:p>
    <w:p w14:paraId="4AD8EC0E" w14:textId="68DFBB67" w:rsidR="00B42B1D" w:rsidRDefault="0000609E" w:rsidP="0000609E">
      <w:pPr>
        <w:pStyle w:val="ListParagraph"/>
        <w:numPr>
          <w:ilvl w:val="0"/>
          <w:numId w:val="5"/>
        </w:numPr>
        <w:spacing w:after="0" w:line="240" w:lineRule="auto"/>
      </w:pPr>
      <w:r w:rsidRPr="00F36DA6">
        <w:t xml:space="preserve">12 to 64 years </w:t>
      </w:r>
      <w:r w:rsidRPr="000D4774">
        <w:t>at high risk for severe COVID-19</w:t>
      </w:r>
    </w:p>
    <w:p w14:paraId="7E22A4D9" w14:textId="77777777" w:rsidR="00CC2E91" w:rsidRDefault="00CC2E91" w:rsidP="00121ACE">
      <w:pPr>
        <w:pStyle w:val="ListParagraph"/>
        <w:spacing w:after="0" w:line="240" w:lineRule="auto"/>
        <w:ind w:left="2206"/>
      </w:pPr>
    </w:p>
    <w:p w14:paraId="32529AE7" w14:textId="7D1A36DD" w:rsidR="006601ED" w:rsidRDefault="00852BEA" w:rsidP="00121ACE">
      <w:r w:rsidRPr="00852BEA">
        <w:t>There is no preferential recommendation for the use of any one COVID-19 vaccine over another when more than one recommended and age-appropriate vaccine is available.</w:t>
      </w:r>
    </w:p>
    <w:p w14:paraId="653DFFF8" w14:textId="77777777" w:rsidR="00852BEA" w:rsidRPr="003A74AB" w:rsidRDefault="00852BEA" w:rsidP="00852BEA">
      <w:pPr>
        <w:rPr>
          <w:u w:val="single"/>
        </w:rPr>
      </w:pPr>
      <w:r w:rsidRPr="003A74AB">
        <w:rPr>
          <w:u w:val="single"/>
        </w:rPr>
        <w:t xml:space="preserve">COVID-19 vaccine composition </w:t>
      </w:r>
    </w:p>
    <w:p w14:paraId="07B38309" w14:textId="3FB9AF1D" w:rsidR="008B0D4F" w:rsidRDefault="00852BEA" w:rsidP="00807B7E">
      <w:r w:rsidRPr="004D6BA3">
        <w:t>The 202</w:t>
      </w:r>
      <w:r w:rsidR="00AE229D" w:rsidRPr="004D6BA3">
        <w:t>6</w:t>
      </w:r>
      <w:r w:rsidRPr="004D6BA3">
        <w:t>–202</w:t>
      </w:r>
      <w:r w:rsidR="00AE229D" w:rsidRPr="004D6BA3">
        <w:t>7</w:t>
      </w:r>
      <w:r w:rsidRPr="004D6BA3">
        <w:t xml:space="preserve"> formulations for COVID-19 vaccines approved </w:t>
      </w:r>
      <w:r w:rsidR="00FC1D96" w:rsidRPr="004D6BA3">
        <w:t>for use</w:t>
      </w:r>
      <w:r w:rsidRPr="004D6BA3">
        <w:t xml:space="preserve"> in the United States have been updated to a monovalent vaccine based on the </w:t>
      </w:r>
      <w:r w:rsidR="00636FA7" w:rsidRPr="004D6BA3">
        <w:t xml:space="preserve">JN.1-lineage XFG </w:t>
      </w:r>
      <w:r w:rsidR="00807B7E" w:rsidRPr="004D6BA3">
        <w:t xml:space="preserve">variant </w:t>
      </w:r>
      <w:r w:rsidRPr="004D6BA3">
        <w:t xml:space="preserve">of SARS-CoV-2, </w:t>
      </w:r>
      <w:r w:rsidR="00807B7E" w:rsidRPr="004D6BA3">
        <w:t>JN.1-lineage XFG.</w:t>
      </w:r>
    </w:p>
    <w:p w14:paraId="023DD243" w14:textId="79E297EA" w:rsidR="008B0D4F" w:rsidRPr="00F04EE6" w:rsidRDefault="7EA17F69" w:rsidP="00852BEA">
      <w:pPr>
        <w:rPr>
          <w:b/>
          <w:bCs/>
        </w:rPr>
      </w:pPr>
      <w:r w:rsidRPr="72759B2F">
        <w:rPr>
          <w:b/>
          <w:bCs/>
        </w:rPr>
        <w:t xml:space="preserve">DPH </w:t>
      </w:r>
      <w:r w:rsidR="248A9914" w:rsidRPr="72759B2F">
        <w:rPr>
          <w:b/>
          <w:bCs/>
        </w:rPr>
        <w:t xml:space="preserve">Recommendations for the </w:t>
      </w:r>
      <w:r w:rsidRPr="72759B2F">
        <w:rPr>
          <w:b/>
          <w:bCs/>
        </w:rPr>
        <w:t>U</w:t>
      </w:r>
      <w:r w:rsidR="248A9914" w:rsidRPr="72759B2F">
        <w:rPr>
          <w:b/>
          <w:bCs/>
        </w:rPr>
        <w:t xml:space="preserve">se of </w:t>
      </w:r>
      <w:r w:rsidR="6D736F49" w:rsidRPr="72759B2F">
        <w:rPr>
          <w:b/>
          <w:bCs/>
        </w:rPr>
        <w:t xml:space="preserve">2026-2027 </w:t>
      </w:r>
      <w:r w:rsidR="248A9914" w:rsidRPr="72759B2F">
        <w:rPr>
          <w:b/>
          <w:bCs/>
        </w:rPr>
        <w:t xml:space="preserve">COVID-19 </w:t>
      </w:r>
      <w:r w:rsidR="6D736F49" w:rsidRPr="72759B2F">
        <w:rPr>
          <w:b/>
          <w:bCs/>
        </w:rPr>
        <w:t>V</w:t>
      </w:r>
      <w:r w:rsidR="248A9914" w:rsidRPr="72759B2F">
        <w:rPr>
          <w:b/>
          <w:bCs/>
        </w:rPr>
        <w:t xml:space="preserve">accines </w:t>
      </w:r>
    </w:p>
    <w:p w14:paraId="050A6F94" w14:textId="6DABCF20" w:rsidR="00900A31" w:rsidRDefault="00C0527F" w:rsidP="00961F36">
      <w:r w:rsidRPr="002871D4">
        <w:t>Massachusetts Department of Public Health (DPH) has adopted the respiratory pathogen vaccine recommendations of American Academy of Family Physicians, American Academy of Pediatrics, American College of Obstetricians and Gynecologists, and the Infectious Diseases Society of America.</w:t>
      </w:r>
      <w:r w:rsidR="000677FA" w:rsidRPr="000677FA">
        <w:t xml:space="preserve"> </w:t>
      </w:r>
      <w:hyperlink r:id="rId11" w:history="1">
        <w:r w:rsidR="000677FA" w:rsidRPr="58BA4DC2">
          <w:rPr>
            <w:rStyle w:val="Hyperlink"/>
          </w:rPr>
          <w:t>https://www.ama-assn.org/amaone/vaccine-recommendations</w:t>
        </w:r>
      </w:hyperlink>
    </w:p>
    <w:p w14:paraId="5DBC5170" w14:textId="73485733" w:rsidR="00961F36" w:rsidRDefault="71196D45" w:rsidP="00961F36">
      <w:r>
        <w:t xml:space="preserve">These </w:t>
      </w:r>
      <w:r w:rsidR="6148D4EC">
        <w:t xml:space="preserve">vaccine </w:t>
      </w:r>
      <w:r w:rsidR="10C3E505">
        <w:t>recommendations</w:t>
      </w:r>
      <w:r w:rsidR="280290CF">
        <w:t xml:space="preserve"> are</w:t>
      </w:r>
      <w:r w:rsidR="10C3E505">
        <w:t xml:space="preserve"> to provide guidance to</w:t>
      </w:r>
      <w:r>
        <w:t xml:space="preserve"> healthcare professionals</w:t>
      </w:r>
      <w:r w:rsidR="0C91DC60">
        <w:t xml:space="preserve">, </w:t>
      </w:r>
      <w:r>
        <w:t xml:space="preserve">public health </w:t>
      </w:r>
      <w:r w:rsidR="26A6EB44">
        <w:t>officials and</w:t>
      </w:r>
      <w:r w:rsidR="0C91DC60">
        <w:t xml:space="preserve"> the public </w:t>
      </w:r>
      <w:r>
        <w:t xml:space="preserve">on </w:t>
      </w:r>
      <w:r w:rsidR="20A970A6">
        <w:t xml:space="preserve">DPH recommended </w:t>
      </w:r>
      <w:r>
        <w:t xml:space="preserve">use of COVID-19 vaccines. </w:t>
      </w:r>
    </w:p>
    <w:p w14:paraId="265C5B21" w14:textId="77777777" w:rsidR="005A4520" w:rsidRPr="00575537" w:rsidRDefault="005A4520" w:rsidP="005A4520">
      <w:pPr>
        <w:rPr>
          <w:u w:val="single"/>
        </w:rPr>
      </w:pPr>
      <w:r w:rsidRPr="00575537">
        <w:rPr>
          <w:u w:val="single"/>
        </w:rPr>
        <w:t>COVID-19 Vaccine Recommendations by Age:</w:t>
      </w:r>
    </w:p>
    <w:p w14:paraId="45588121" w14:textId="4954F0B8" w:rsidR="005A4520" w:rsidRDefault="005A4520" w:rsidP="00121ACE">
      <w:pPr>
        <w:pStyle w:val="ListParagraph"/>
        <w:numPr>
          <w:ilvl w:val="0"/>
          <w:numId w:val="6"/>
        </w:numPr>
        <w:ind w:left="360"/>
      </w:pPr>
      <w:r w:rsidRPr="00A64DF0">
        <w:lastRenderedPageBreak/>
        <w:t>Older Adults</w:t>
      </w:r>
      <w:r>
        <w:t xml:space="preserve"> (65 years and older) </w:t>
      </w:r>
      <w:r w:rsidR="001F1B9E">
        <w:t xml:space="preserve">- </w:t>
      </w:r>
      <w:r w:rsidRPr="00C67472">
        <w:t>DPH has the following recommendations for those 65 and older, independent of underlying conditions:</w:t>
      </w:r>
    </w:p>
    <w:p w14:paraId="6F5EB3FD" w14:textId="6A2D3B18" w:rsidR="005A4520" w:rsidRDefault="005A4520" w:rsidP="00121ACE">
      <w:pPr>
        <w:pStyle w:val="ListParagraph"/>
        <w:numPr>
          <w:ilvl w:val="2"/>
          <w:numId w:val="8"/>
        </w:numPr>
        <w:ind w:left="1080"/>
      </w:pPr>
      <w:r>
        <w:t>Adults ages 65 years and older should receive two doses of a 202</w:t>
      </w:r>
      <w:r w:rsidR="00FE34EC">
        <w:t>6</w:t>
      </w:r>
      <w:r>
        <w:t>-202</w:t>
      </w:r>
      <w:r w:rsidR="00FE34EC">
        <w:t>7</w:t>
      </w:r>
      <w:r>
        <w:t xml:space="preserve"> vaccine COVID-19 vaccine, with the second dose administered 6 months after the first. </w:t>
      </w:r>
    </w:p>
    <w:p w14:paraId="1F2BEB6C" w14:textId="77777777" w:rsidR="005A4520" w:rsidRDefault="005A4520" w:rsidP="00121ACE">
      <w:pPr>
        <w:pStyle w:val="ListParagraph"/>
        <w:ind w:left="1080"/>
      </w:pPr>
    </w:p>
    <w:p w14:paraId="50ED33CC" w14:textId="541B09BC" w:rsidR="005A4520" w:rsidRDefault="005A4520" w:rsidP="00121ACE">
      <w:pPr>
        <w:pStyle w:val="ListParagraph"/>
        <w:numPr>
          <w:ilvl w:val="0"/>
          <w:numId w:val="6"/>
        </w:numPr>
        <w:ind w:left="360"/>
      </w:pPr>
      <w:r w:rsidRPr="002F1152">
        <w:t xml:space="preserve">Adults (19-64 years) </w:t>
      </w:r>
      <w:r>
        <w:t>–</w:t>
      </w:r>
      <w:r w:rsidR="00FF017A">
        <w:t xml:space="preserve"> </w:t>
      </w:r>
      <w:r w:rsidRPr="00C67472">
        <w:t xml:space="preserve">DPH has the following recommendations for </w:t>
      </w:r>
      <w:r>
        <w:t xml:space="preserve">adults 19 to </w:t>
      </w:r>
      <w:r w:rsidRPr="00C67472">
        <w:t>6</w:t>
      </w:r>
      <w:r>
        <w:t>4 years of age</w:t>
      </w:r>
      <w:r w:rsidRPr="00C67472">
        <w:t>:</w:t>
      </w:r>
    </w:p>
    <w:p w14:paraId="344C1DDE" w14:textId="15789BCA" w:rsidR="000828EE" w:rsidRDefault="005A4520" w:rsidP="00121ACE">
      <w:pPr>
        <w:pStyle w:val="ListParagraph"/>
        <w:numPr>
          <w:ilvl w:val="1"/>
          <w:numId w:val="6"/>
        </w:numPr>
        <w:ind w:left="1080"/>
      </w:pPr>
      <w:r>
        <w:t xml:space="preserve">Adults </w:t>
      </w:r>
      <w:r w:rsidRPr="000E1A15">
        <w:t xml:space="preserve">19 to 64 years of age </w:t>
      </w:r>
      <w:r w:rsidR="000828EE" w:rsidRPr="00121ACE">
        <w:t>should</w:t>
      </w:r>
      <w:r w:rsidR="000828EE" w:rsidRPr="001B6DD3">
        <w:rPr>
          <w:b/>
          <w:bCs/>
        </w:rPr>
        <w:t xml:space="preserve"> </w:t>
      </w:r>
      <w:r w:rsidR="000828EE" w:rsidRPr="00121ACE">
        <w:t>receive</w:t>
      </w:r>
      <w:r w:rsidR="000828EE" w:rsidRPr="001B6DD3">
        <w:t xml:space="preserve"> one dose of a 2026–2027 COVID-19 vaccine.</w:t>
      </w:r>
      <w:r w:rsidR="00E06D1D">
        <w:t xml:space="preserve"> </w:t>
      </w:r>
      <w:r w:rsidR="00D03447">
        <w:t>People with medical conditions that put them at higher risk</w:t>
      </w:r>
      <w:r w:rsidR="00E60DD7" w:rsidRPr="00121ACE">
        <w:rPr>
          <w:vertAlign w:val="superscript"/>
        </w:rPr>
        <w:t>a</w:t>
      </w:r>
      <w:r w:rsidR="00D03447">
        <w:t xml:space="preserve"> for </w:t>
      </w:r>
      <w:r w:rsidR="0017247A">
        <w:t>severe COVID-19 disease</w:t>
      </w:r>
      <w:r w:rsidR="003C1AAF">
        <w:t xml:space="preserve"> should be prioritized for </w:t>
      </w:r>
      <w:r w:rsidR="005F7008">
        <w:t>COVID-19 vaccination.</w:t>
      </w:r>
    </w:p>
    <w:p w14:paraId="7E32658A" w14:textId="77777777" w:rsidR="005A4520" w:rsidRDefault="005A4520" w:rsidP="00121ACE">
      <w:pPr>
        <w:pStyle w:val="ListParagraph"/>
        <w:ind w:left="1080"/>
      </w:pPr>
    </w:p>
    <w:p w14:paraId="56673CCB" w14:textId="6FEA2EF1" w:rsidR="005A4520" w:rsidRDefault="005A4520" w:rsidP="00121ACE">
      <w:pPr>
        <w:pStyle w:val="ListParagraph"/>
        <w:numPr>
          <w:ilvl w:val="0"/>
          <w:numId w:val="7"/>
        </w:numPr>
        <w:ind w:left="360"/>
      </w:pPr>
      <w:r w:rsidRPr="00A64DF0">
        <w:t>Children (6 months to 18 years)</w:t>
      </w:r>
      <w:r>
        <w:t xml:space="preserve"> –</w:t>
      </w:r>
      <w:r w:rsidR="007655CC">
        <w:t xml:space="preserve"> </w:t>
      </w:r>
      <w:r w:rsidRPr="00C67472">
        <w:t xml:space="preserve">DPH has the following recommendations for </w:t>
      </w:r>
      <w:r>
        <w:t>children and adolescents 6 months to 18 years of age</w:t>
      </w:r>
      <w:r w:rsidRPr="00C67472">
        <w:t>:</w:t>
      </w:r>
    </w:p>
    <w:p w14:paraId="5194109C" w14:textId="69EE76FA" w:rsidR="005A4520" w:rsidRDefault="005A4520" w:rsidP="00121ACE">
      <w:pPr>
        <w:pStyle w:val="ListParagraph"/>
        <w:numPr>
          <w:ilvl w:val="1"/>
          <w:numId w:val="7"/>
        </w:numPr>
        <w:ind w:left="1080"/>
      </w:pPr>
      <w:r>
        <w:t xml:space="preserve">All children 6-23 months of age should receive </w:t>
      </w:r>
      <w:r w:rsidR="001D1FFD">
        <w:t>age-appropriate</w:t>
      </w:r>
      <w:r>
        <w:t xml:space="preserve"> 202</w:t>
      </w:r>
      <w:r w:rsidR="000B39AE">
        <w:t>6</w:t>
      </w:r>
      <w:r>
        <w:t>-202</w:t>
      </w:r>
      <w:r w:rsidR="000B39AE">
        <w:t xml:space="preserve">7 </w:t>
      </w:r>
      <w:r>
        <w:t xml:space="preserve">COVID-19 vaccination. Those who are unvaccinated or did not complete an initial vaccination series </w:t>
      </w:r>
      <w:r w:rsidRPr="00AB3F00">
        <w:t>should complete their initial vaccine series</w:t>
      </w:r>
      <w:r>
        <w:t xml:space="preserve">.  Those who have completed an initial vaccination series, </w:t>
      </w:r>
      <w:r w:rsidRPr="00D85E5E">
        <w:t>should receive a single dose</w:t>
      </w:r>
      <w:r>
        <w:t xml:space="preserve"> of </w:t>
      </w:r>
      <w:r w:rsidR="000B39AE">
        <w:t xml:space="preserve">2026-2027 </w:t>
      </w:r>
      <w:r>
        <w:t>COVID-19 vaccine</w:t>
      </w:r>
      <w:r w:rsidRPr="00D85E5E">
        <w:t xml:space="preserve">. This dose should be administered at least 8 weeks after the last dose was received.  </w:t>
      </w:r>
    </w:p>
    <w:p w14:paraId="384E1AD9" w14:textId="7C191223" w:rsidR="005A4520" w:rsidRDefault="005A4520" w:rsidP="00121ACE">
      <w:pPr>
        <w:pStyle w:val="ListParagraph"/>
        <w:numPr>
          <w:ilvl w:val="1"/>
          <w:numId w:val="7"/>
        </w:numPr>
        <w:ind w:left="1080"/>
      </w:pPr>
      <w:r>
        <w:t>Children and adolescents age 2 to 18 years of age with medical conditions associated with higher risk</w:t>
      </w:r>
      <w:r w:rsidR="00E06D1D">
        <w:rPr>
          <w:vertAlign w:val="superscript"/>
        </w:rPr>
        <w:t>b</w:t>
      </w:r>
      <w:r>
        <w:t xml:space="preserve"> of severe COVID-19 should receive one dose of an </w:t>
      </w:r>
      <w:r w:rsidR="00DE6F7C">
        <w:t>age-appropriate</w:t>
      </w:r>
      <w:r>
        <w:t xml:space="preserve"> </w:t>
      </w:r>
      <w:r w:rsidR="000B39AE">
        <w:t>2026-2027</w:t>
      </w:r>
      <w:r>
        <w:t xml:space="preserve"> COVID-19 vaccination.</w:t>
      </w:r>
    </w:p>
    <w:p w14:paraId="2768B912" w14:textId="7155DF32" w:rsidR="005A4520" w:rsidRDefault="005A4520" w:rsidP="00121ACE">
      <w:pPr>
        <w:pStyle w:val="ListParagraph"/>
        <w:numPr>
          <w:ilvl w:val="1"/>
          <w:numId w:val="7"/>
        </w:numPr>
        <w:ind w:left="1080"/>
      </w:pPr>
      <w:r>
        <w:t>Children and adolescents 2 to 18 years of age who are re</w:t>
      </w:r>
      <w:r w:rsidRPr="002A4E18">
        <w:t>sidents of long-term care facilities or other congregate settings</w:t>
      </w:r>
      <w:r>
        <w:t xml:space="preserve"> should receive one dose of an </w:t>
      </w:r>
      <w:r w:rsidR="001D1FFD">
        <w:t>age-appropriate</w:t>
      </w:r>
      <w:r>
        <w:t xml:space="preserve"> </w:t>
      </w:r>
      <w:r w:rsidR="000B39AE">
        <w:t>2026-2027</w:t>
      </w:r>
      <w:r>
        <w:t xml:space="preserve"> COVID-19 vaccination.</w:t>
      </w:r>
      <w:r w:rsidRPr="00AE273A">
        <w:t xml:space="preserve"> </w:t>
      </w:r>
    </w:p>
    <w:p w14:paraId="18D6A7CA" w14:textId="77777777" w:rsidR="00483BAE" w:rsidRDefault="005A4520" w:rsidP="00121ACE">
      <w:pPr>
        <w:pStyle w:val="ListParagraph"/>
        <w:numPr>
          <w:ilvl w:val="1"/>
          <w:numId w:val="7"/>
        </w:numPr>
        <w:ind w:left="1080"/>
      </w:pPr>
      <w:r>
        <w:t xml:space="preserve">Healthy children and adolescents 2 to18 years of age </w:t>
      </w:r>
      <w:r w:rsidRPr="002B6F17">
        <w:t xml:space="preserve">who have never been vaccinated against COVID-19 </w:t>
      </w:r>
      <w:r>
        <w:t xml:space="preserve">should receive one dose of an </w:t>
      </w:r>
      <w:r w:rsidR="001D1FFD">
        <w:t>age-appropriate</w:t>
      </w:r>
      <w:r>
        <w:t xml:space="preserve"> </w:t>
      </w:r>
      <w:r w:rsidR="000B39AE">
        <w:t>2026-2027 COVID</w:t>
      </w:r>
      <w:r>
        <w:t>-19 vaccination.</w:t>
      </w:r>
    </w:p>
    <w:p w14:paraId="04DF145E" w14:textId="0BE9866D" w:rsidR="005A4520" w:rsidRPr="00483BAE" w:rsidRDefault="005A4520" w:rsidP="00121ACE">
      <w:pPr>
        <w:pStyle w:val="ListParagraph"/>
        <w:numPr>
          <w:ilvl w:val="1"/>
          <w:numId w:val="7"/>
        </w:numPr>
        <w:ind w:left="1080"/>
      </w:pPr>
      <w:r>
        <w:t xml:space="preserve">Healthy children and adolescents 2 to 18 years of age, who do not fall into the categories above, may receive one dose of an </w:t>
      </w:r>
      <w:r w:rsidR="001D1FFD">
        <w:t>age-appropriate</w:t>
      </w:r>
      <w:r>
        <w:t xml:space="preserve"> </w:t>
      </w:r>
      <w:r w:rsidR="000B39AE">
        <w:t xml:space="preserve">2026-2027 </w:t>
      </w:r>
      <w:r>
        <w:t>COVID-19 vaccination.</w:t>
      </w:r>
    </w:p>
    <w:p w14:paraId="5C789DA0" w14:textId="1AFE11B4" w:rsidR="005A4520" w:rsidRDefault="000B39AE" w:rsidP="005A4520">
      <w:r w:rsidRPr="000B39AE">
        <w:rPr>
          <w:u w:val="single"/>
        </w:rPr>
        <w:t>2026-2027</w:t>
      </w:r>
      <w:r w:rsidRPr="00CA68AF">
        <w:rPr>
          <w:u w:val="single"/>
        </w:rPr>
        <w:t xml:space="preserve"> </w:t>
      </w:r>
      <w:r w:rsidR="005A4520">
        <w:rPr>
          <w:u w:val="single"/>
        </w:rPr>
        <w:t>Respiratory Illness Season</w:t>
      </w:r>
      <w:r w:rsidR="005A4520" w:rsidRPr="006073E1">
        <w:rPr>
          <w:u w:val="single"/>
        </w:rPr>
        <w:t xml:space="preserve"> COVID-19 Vaccine Recommendations by Medical Condition</w:t>
      </w:r>
      <w:r w:rsidR="005A4520" w:rsidRPr="006073E1">
        <w:t>:</w:t>
      </w:r>
    </w:p>
    <w:p w14:paraId="3C0D1889" w14:textId="128968D7" w:rsidR="005A4520" w:rsidRDefault="005A4520" w:rsidP="00121ACE">
      <w:pPr>
        <w:pStyle w:val="ListParagraph"/>
        <w:numPr>
          <w:ilvl w:val="0"/>
          <w:numId w:val="8"/>
        </w:numPr>
        <w:spacing w:line="259" w:lineRule="auto"/>
        <w:ind w:left="360"/>
      </w:pPr>
      <w:r>
        <w:t xml:space="preserve">Immunocompromising conditions - </w:t>
      </w:r>
      <w:r w:rsidRPr="00C67472">
        <w:t xml:space="preserve">DPH has the following recommendations for </w:t>
      </w:r>
      <w:r>
        <w:t>people who are immunocompromised:</w:t>
      </w:r>
    </w:p>
    <w:p w14:paraId="078F1218" w14:textId="0FBE3FCD" w:rsidR="004774B8" w:rsidRDefault="00100703" w:rsidP="00121ACE">
      <w:pPr>
        <w:pStyle w:val="ListParagraph"/>
        <w:numPr>
          <w:ilvl w:val="2"/>
          <w:numId w:val="8"/>
        </w:numPr>
        <w:ind w:left="1080"/>
      </w:pPr>
      <w:r>
        <w:t xml:space="preserve">People </w:t>
      </w:r>
      <w:r w:rsidR="003338A4">
        <w:t>who are immunocompromised</w:t>
      </w:r>
      <w:r w:rsidR="004D1243" w:rsidRPr="00121ACE">
        <w:rPr>
          <w:vertAlign w:val="superscript"/>
        </w:rPr>
        <w:t>d</w:t>
      </w:r>
      <w:r w:rsidR="003338A4">
        <w:t xml:space="preserve"> </w:t>
      </w:r>
      <w:r>
        <w:t>s</w:t>
      </w:r>
      <w:r w:rsidRPr="003E1E81">
        <w:t>hould</w:t>
      </w:r>
      <w:r>
        <w:t xml:space="preserve"> receive one </w:t>
      </w:r>
      <w:r w:rsidRPr="00FF5AD0">
        <w:t xml:space="preserve">dose of </w:t>
      </w:r>
      <w:r>
        <w:t xml:space="preserve">a 2026-2027 </w:t>
      </w:r>
      <w:r w:rsidRPr="00FF5AD0">
        <w:t xml:space="preserve">vaccine </w:t>
      </w:r>
      <w:r>
        <w:t>COVID-19 vaccine</w:t>
      </w:r>
      <w:r w:rsidRPr="003F0AB4">
        <w:t>.</w:t>
      </w:r>
      <w:r w:rsidR="00AE3296">
        <w:t xml:space="preserve"> </w:t>
      </w:r>
    </w:p>
    <w:p w14:paraId="32CAC6E2" w14:textId="7BEE7F1A" w:rsidR="00100703" w:rsidRPr="00AE3296" w:rsidRDefault="00100703" w:rsidP="00121ACE">
      <w:pPr>
        <w:pStyle w:val="ListParagraph"/>
        <w:numPr>
          <w:ilvl w:val="3"/>
          <w:numId w:val="8"/>
        </w:numPr>
        <w:ind w:left="2520"/>
      </w:pPr>
      <w:r w:rsidRPr="0074617F">
        <w:rPr>
          <w:vertAlign w:val="superscript"/>
        </w:rPr>
        <w:lastRenderedPageBreak/>
        <w:t xml:space="preserve"> </w:t>
      </w:r>
      <w:r w:rsidR="00AE3296" w:rsidRPr="00121ACE">
        <w:t>A second booster dose can be given ≥2-6 months after dose one based on shared decision making and current levels of transmission. Additional doses beyond two can be given in a 12-month period with shared decision making; however, additional benefit at present is unknown.</w:t>
      </w:r>
    </w:p>
    <w:p w14:paraId="508CEDF4" w14:textId="77777777" w:rsidR="005A4520" w:rsidRDefault="005A4520" w:rsidP="00121ACE">
      <w:pPr>
        <w:pStyle w:val="ListParagraph"/>
        <w:ind w:left="1080"/>
      </w:pPr>
    </w:p>
    <w:p w14:paraId="248AFA5F" w14:textId="4CC4B455" w:rsidR="005A4520" w:rsidRDefault="005A4520" w:rsidP="00121ACE">
      <w:pPr>
        <w:pStyle w:val="ListParagraph"/>
        <w:numPr>
          <w:ilvl w:val="0"/>
          <w:numId w:val="8"/>
        </w:numPr>
        <w:ind w:left="360"/>
      </w:pPr>
      <w:r>
        <w:t xml:space="preserve">Pregnancy – </w:t>
      </w:r>
      <w:r w:rsidRPr="00C67472">
        <w:t xml:space="preserve">DPH has the following recommendations for </w:t>
      </w:r>
      <w:r>
        <w:t>pregnant people:</w:t>
      </w:r>
    </w:p>
    <w:p w14:paraId="02B3CBE2" w14:textId="752B05CC" w:rsidR="005A4520" w:rsidRDefault="005A4520" w:rsidP="00121ACE">
      <w:pPr>
        <w:pStyle w:val="ListParagraph"/>
        <w:numPr>
          <w:ilvl w:val="2"/>
          <w:numId w:val="8"/>
        </w:numPr>
        <w:ind w:left="1080"/>
      </w:pPr>
      <w:r>
        <w:t xml:space="preserve">People who are pregnant, contemplating pregnancy or have recently been pregnant should receive a </w:t>
      </w:r>
      <w:r w:rsidRPr="00FF5AD0">
        <w:t xml:space="preserve">dose of </w:t>
      </w:r>
      <w:r>
        <w:t xml:space="preserve">a </w:t>
      </w:r>
      <w:r w:rsidRPr="00FF5AD0">
        <w:t>202</w:t>
      </w:r>
      <w:r w:rsidR="005C025F">
        <w:t>6</w:t>
      </w:r>
      <w:r w:rsidRPr="00FF5AD0">
        <w:t>-2</w:t>
      </w:r>
      <w:r>
        <w:t>0</w:t>
      </w:r>
      <w:r w:rsidRPr="00FF5AD0">
        <w:t>2</w:t>
      </w:r>
      <w:r w:rsidR="005C025F">
        <w:t>7</w:t>
      </w:r>
      <w:r w:rsidRPr="00FF5AD0">
        <w:t xml:space="preserve"> </w:t>
      </w:r>
      <w:r>
        <w:t>COVID-19 vaccine.</w:t>
      </w:r>
    </w:p>
    <w:p w14:paraId="34413F17" w14:textId="769C81DF" w:rsidR="005A4520" w:rsidRDefault="005A4520" w:rsidP="005A4520">
      <w:pPr>
        <w:rPr>
          <w:u w:val="single"/>
        </w:rPr>
      </w:pPr>
      <w:r w:rsidRPr="006073E1">
        <w:rPr>
          <w:u w:val="single"/>
        </w:rPr>
        <w:t>202</w:t>
      </w:r>
      <w:r w:rsidR="00C83C8C">
        <w:rPr>
          <w:u w:val="single"/>
        </w:rPr>
        <w:t>6</w:t>
      </w:r>
      <w:r w:rsidRPr="006073E1">
        <w:rPr>
          <w:u w:val="single"/>
        </w:rPr>
        <w:t>-202</w:t>
      </w:r>
      <w:r w:rsidR="00C83C8C">
        <w:rPr>
          <w:u w:val="single"/>
        </w:rPr>
        <w:t>7</w:t>
      </w:r>
      <w:r w:rsidRPr="006073E1">
        <w:rPr>
          <w:u w:val="single"/>
        </w:rPr>
        <w:t xml:space="preserve"> </w:t>
      </w:r>
      <w:r>
        <w:rPr>
          <w:u w:val="single"/>
        </w:rPr>
        <w:t xml:space="preserve">Respiratory Illness Season </w:t>
      </w:r>
      <w:r w:rsidRPr="006073E1">
        <w:rPr>
          <w:u w:val="single"/>
        </w:rPr>
        <w:t>COVID-19 Vaccine Recommendations</w:t>
      </w:r>
      <w:r>
        <w:rPr>
          <w:u w:val="single"/>
        </w:rPr>
        <w:t xml:space="preserve"> for </w:t>
      </w:r>
      <w:r w:rsidR="000437D3">
        <w:rPr>
          <w:u w:val="single"/>
        </w:rPr>
        <w:t>Healthcare personnel</w:t>
      </w:r>
    </w:p>
    <w:p w14:paraId="461E1F4F" w14:textId="18382BD8" w:rsidR="005A4520" w:rsidRDefault="005A4520" w:rsidP="00121ACE">
      <w:r>
        <w:t>Vaccination of h</w:t>
      </w:r>
      <w:r w:rsidRPr="00CE69E3">
        <w:t>ealthcare p</w:t>
      </w:r>
      <w:r>
        <w:t>ersonnel</w:t>
      </w:r>
      <w:r w:rsidRPr="00CE69E3">
        <w:t xml:space="preserve"> </w:t>
      </w:r>
      <w:r>
        <w:t>is an important component of the strategy to protect Massachusetts residents from morbidity and mortality from respiratory infections.</w:t>
      </w:r>
      <w:r w:rsidRPr="00BE4BBA">
        <w:rPr>
          <w:rFonts w:ascii="Roboto" w:hAnsi="Roboto"/>
          <w:color w:val="545D7E"/>
          <w:spacing w:val="2"/>
        </w:rPr>
        <w:t xml:space="preserve"> </w:t>
      </w:r>
      <w:r w:rsidRPr="00C65CC8">
        <w:t xml:space="preserve">Vaccinated </w:t>
      </w:r>
      <w:r w:rsidR="000437D3">
        <w:t>healthcare personne</w:t>
      </w:r>
      <w:r w:rsidR="00784DAE">
        <w:t>l</w:t>
      </w:r>
      <w:r w:rsidR="00016833" w:rsidRPr="00C65CC8">
        <w:t xml:space="preserve"> are</w:t>
      </w:r>
      <w:r w:rsidRPr="00C65CC8">
        <w:t xml:space="preserve"> less likely to transmit</w:t>
      </w:r>
      <w:r>
        <w:t xml:space="preserve"> SARS-CoV-2 </w:t>
      </w:r>
      <w:r w:rsidRPr="00C65CC8">
        <w:t>to vulnerable patients.</w:t>
      </w:r>
      <w:r>
        <w:fldChar w:fldCharType="begin"/>
      </w:r>
      <w:r>
        <w:instrText xml:space="preserve"> ADDIN ZOTERO_ITEM CSL_CITATION {"citationID":"R6Ip8ZRe","properties":{"formattedCitation":"\\super 20\\nosupersub{}","plainCitation":"20","noteIndex":0},"citationItems":[{"id":65,"uris":["http://zotero.org/users/17655741/items/EM783XB7"],"itemData":{"id":65,"type":"article-journal","container-title":"Annals of Internal Medicine","DOI":"10.7326/M21-2366","ISSN":"0003-4819, 1539-3704","issue":"9","journalAbbreviation":"Ann Intern Med","language":"en","license":"https://www.acpjournals.org/journal/aim/text-and-data-mining","page":"1305-1307","source":"DOI.org (Crossref)","title":"The Case for Mandating COVID-19 Vaccines for Health Care Workers","volume":"174","author":[{"family":"Klompas","given":"Michael"},{"family":"Pearson","given":"Madelyn"},{"family":"Morris","given":"Charles"}],"issued":{"date-parts":[["2021",9]]}}}],"schema":"https://github.com/citation-style-language/schema/raw/master/csl-citation.json"} </w:instrText>
      </w:r>
      <w:r>
        <w:fldChar w:fldCharType="separate"/>
      </w:r>
      <w:r w:rsidRPr="00BE4BBA">
        <w:rPr>
          <w:rFonts w:ascii="Aptos" w:hAnsi="Aptos" w:cs="Times New Roman"/>
          <w:kern w:val="0"/>
          <w:vertAlign w:val="superscript"/>
        </w:rPr>
        <w:t>20</w:t>
      </w:r>
      <w:r>
        <w:fldChar w:fldCharType="end"/>
      </w:r>
      <w:r w:rsidRPr="00C65CC8">
        <w:t> </w:t>
      </w:r>
      <w:r w:rsidR="000437D3">
        <w:t xml:space="preserve">Healthcare </w:t>
      </w:r>
      <w:r w:rsidR="00784DAE">
        <w:t>personnel</w:t>
      </w:r>
      <w:r w:rsidR="00784DAE" w:rsidRPr="00016833">
        <w:t xml:space="preserve"> </w:t>
      </w:r>
      <w:r w:rsidR="00016833">
        <w:t>are</w:t>
      </w:r>
      <w:r>
        <w:t xml:space="preserve"> also at higher risk of exposure and infection with SARS-CoV-2. Prevention of COVID-19 in </w:t>
      </w:r>
      <w:r w:rsidR="000437D3">
        <w:t>healthcare personnel</w:t>
      </w:r>
      <w:r>
        <w:t xml:space="preserve"> is vital to maintaining healthcare capacity and protecting the patients they care for.</w:t>
      </w:r>
    </w:p>
    <w:p w14:paraId="0CA3FE42" w14:textId="0661EA59" w:rsidR="005A4520" w:rsidRDefault="005A4520" w:rsidP="00121ACE">
      <w:r w:rsidRPr="00C67472">
        <w:t xml:space="preserve">DPH has the following recommendations for </w:t>
      </w:r>
      <w:r w:rsidR="000437D3">
        <w:t>healthcare personnel</w:t>
      </w:r>
      <w:r>
        <w:t>:</w:t>
      </w:r>
    </w:p>
    <w:p w14:paraId="3F821BF9" w14:textId="6D7E9003" w:rsidR="008B0D4F" w:rsidRDefault="005A4520" w:rsidP="00121ACE">
      <w:pPr>
        <w:pStyle w:val="ListParagraph"/>
        <w:numPr>
          <w:ilvl w:val="0"/>
          <w:numId w:val="9"/>
        </w:numPr>
      </w:pPr>
      <w:r>
        <w:t xml:space="preserve">All </w:t>
      </w:r>
      <w:r w:rsidR="000437D3">
        <w:t>healthcare personnel</w:t>
      </w:r>
      <w:r>
        <w:t xml:space="preserve"> should receive one </w:t>
      </w:r>
      <w:r w:rsidRPr="00FF5AD0">
        <w:t xml:space="preserve">dose of </w:t>
      </w:r>
      <w:r>
        <w:t xml:space="preserve">a </w:t>
      </w:r>
      <w:r w:rsidRPr="00FF5AD0">
        <w:t>202</w:t>
      </w:r>
      <w:r w:rsidR="002F6376">
        <w:t>6</w:t>
      </w:r>
      <w:r w:rsidRPr="00FF5AD0">
        <w:t>-2</w:t>
      </w:r>
      <w:r>
        <w:t>0</w:t>
      </w:r>
      <w:r w:rsidRPr="00FF5AD0">
        <w:t>2</w:t>
      </w:r>
      <w:r w:rsidR="002F6376">
        <w:t>7</w:t>
      </w:r>
      <w:r w:rsidRPr="00FF5AD0">
        <w:t xml:space="preserve"> </w:t>
      </w:r>
      <w:r>
        <w:t xml:space="preserve">COVID-19 vaccine, </w:t>
      </w:r>
      <w:r w:rsidRPr="00241BF3">
        <w:t>independent of age or underlying medical conditions</w:t>
      </w:r>
      <w:r>
        <w:t>.</w:t>
      </w:r>
    </w:p>
    <w:p w14:paraId="780B3727" w14:textId="77777777" w:rsidR="00CC0648" w:rsidRPr="00342043" w:rsidRDefault="00CC0648" w:rsidP="4385E08A">
      <w:pPr>
        <w:pStyle w:val="Heading1"/>
        <w:rPr>
          <w:b/>
          <w:sz w:val="28"/>
          <w:szCs w:val="28"/>
        </w:rPr>
      </w:pPr>
      <w:r w:rsidRPr="4385E08A">
        <w:rPr>
          <w:sz w:val="28"/>
          <w:szCs w:val="28"/>
        </w:rPr>
        <w:t>COVID-19 Vaccine Safety</w:t>
      </w:r>
    </w:p>
    <w:p w14:paraId="5B330818" w14:textId="79AAC5C4" w:rsidR="00607E44" w:rsidRDefault="00CC0648" w:rsidP="00CC0648">
      <w:r>
        <w:t>The safety of COVID-19 vaccines has been closely monitored</w:t>
      </w:r>
      <w:r w:rsidRPr="00683AD0">
        <w:t xml:space="preserve"> </w:t>
      </w:r>
      <w:r>
        <w:t>u</w:t>
      </w:r>
      <w:r w:rsidRPr="00683AD0">
        <w:t xml:space="preserve">nder the </w:t>
      </w:r>
      <w:r>
        <w:t>m</w:t>
      </w:r>
      <w:r w:rsidRPr="00683AD0">
        <w:t xml:space="preserve">ost </w:t>
      </w:r>
      <w:r>
        <w:t>e</w:t>
      </w:r>
      <w:r w:rsidRPr="00683AD0">
        <w:t xml:space="preserve">xtensive </w:t>
      </w:r>
      <w:r>
        <w:t>vaccine m</w:t>
      </w:r>
      <w:r w:rsidRPr="00683AD0">
        <w:t xml:space="preserve">onitoring </w:t>
      </w:r>
      <w:r>
        <w:t>p</w:t>
      </w:r>
      <w:r w:rsidRPr="00683AD0">
        <w:t xml:space="preserve">rogram in U.S. </w:t>
      </w:r>
      <w:r>
        <w:t>h</w:t>
      </w:r>
      <w:r w:rsidRPr="00683AD0">
        <w:t>istory</w:t>
      </w:r>
      <w:r>
        <w:t xml:space="preserve">. </w:t>
      </w:r>
      <w:r w:rsidR="00CE23F8">
        <w:t xml:space="preserve"> U.S.</w:t>
      </w:r>
      <w:r>
        <w:t xml:space="preserve"> </w:t>
      </w:r>
      <w:r w:rsidR="008D3444">
        <w:t>s</w:t>
      </w:r>
      <w:r w:rsidRPr="00683AD0">
        <w:t xml:space="preserve">afety surveillance </w:t>
      </w:r>
      <w:r w:rsidR="00F54C0F">
        <w:t xml:space="preserve">systems </w:t>
      </w:r>
      <w:r w:rsidRPr="00683AD0">
        <w:t xml:space="preserve">identified and characterized the </w:t>
      </w:r>
      <w:r>
        <w:t xml:space="preserve">elevated </w:t>
      </w:r>
      <w:r w:rsidRPr="00683AD0">
        <w:t xml:space="preserve">risk of myocarditis </w:t>
      </w:r>
      <w:r>
        <w:t xml:space="preserve">and pericarditis </w:t>
      </w:r>
      <w:r w:rsidRPr="00683AD0">
        <w:t>after mRNA COVID-19 vaccination</w:t>
      </w:r>
      <w:r>
        <w:t xml:space="preserve">. </w:t>
      </w:r>
      <w:r w:rsidRPr="00AA161B">
        <w:t xml:space="preserve">Cases </w:t>
      </w:r>
      <w:r w:rsidR="00B71500">
        <w:t xml:space="preserve">are rare </w:t>
      </w:r>
      <w:r w:rsidR="00DD5E80">
        <w:t xml:space="preserve">and </w:t>
      </w:r>
      <w:r w:rsidRPr="00AA161B">
        <w:t xml:space="preserve">have occurred most frequently in adolescent and young adult males after receiving </w:t>
      </w:r>
      <w:r>
        <w:t xml:space="preserve">a </w:t>
      </w:r>
      <w:r w:rsidRPr="00AA161B">
        <w:t>second dose of an mRNA COVID-19 vaccine</w:t>
      </w:r>
      <w:r w:rsidR="00AA10D2">
        <w:t xml:space="preserve"> within </w:t>
      </w:r>
      <w:r w:rsidR="00155E69">
        <w:t>1 month of the first dose</w:t>
      </w:r>
      <w:r>
        <w:t xml:space="preserve">.  </w:t>
      </w:r>
      <w:r w:rsidR="006B30CB" w:rsidRPr="006B30CB">
        <w:t>Evidence reviewed by CDC</w:t>
      </w:r>
      <w:r w:rsidR="006B5192">
        <w:t>’s</w:t>
      </w:r>
      <w:r w:rsidR="006B30CB" w:rsidRPr="006B30CB">
        <w:t xml:space="preserve"> </w:t>
      </w:r>
      <w:r w:rsidR="00C82188" w:rsidRPr="00702B94">
        <w:t xml:space="preserve">Advisory Committee on Immunization Practices (ACIP) </w:t>
      </w:r>
      <w:r w:rsidR="00C82188" w:rsidRPr="006B30CB">
        <w:t>in</w:t>
      </w:r>
      <w:r w:rsidR="006B30CB" w:rsidRPr="006B30CB">
        <w:t xml:space="preserve"> February 2022 indicated that extending the interval between the first and second doses from the original 3–4 weeks </w:t>
      </w:r>
      <w:r w:rsidR="00A0673F">
        <w:t xml:space="preserve">dosing interval </w:t>
      </w:r>
      <w:r w:rsidR="006B30CB" w:rsidRPr="006B30CB">
        <w:t>to approximately 8 weeks reduced the risk of myocarditis and pericarditis</w:t>
      </w:r>
      <w:r w:rsidR="00156A56">
        <w:t xml:space="preserve"> after vaccination</w:t>
      </w:r>
      <w:r w:rsidR="006B30CB" w:rsidRPr="006B30CB">
        <w:t xml:space="preserve">. In a population-based study from Ontario, Canada, the reported rate of myocarditis or pericarditis following the second dose was approximately 80% lower when the interval was at least 8 weeks compared with 30 days or </w:t>
      </w:r>
      <w:r w:rsidR="00F30634" w:rsidRPr="006B30CB">
        <w:t>less</w:t>
      </w:r>
      <w:r w:rsidR="00F973DD">
        <w:t>.</w:t>
      </w:r>
      <w:r w:rsidR="00F973DD" w:rsidRPr="00F973DD">
        <w:rPr>
          <w:vertAlign w:val="superscript"/>
        </w:rPr>
        <w:t>30</w:t>
      </w:r>
      <w:r w:rsidR="00F973DD">
        <w:t xml:space="preserve"> Updated</w:t>
      </w:r>
      <w:r w:rsidR="00C3020E">
        <w:t xml:space="preserve"> </w:t>
      </w:r>
      <w:r w:rsidR="00CC0A74">
        <w:t xml:space="preserve">dosing </w:t>
      </w:r>
      <w:r w:rsidR="00156A56">
        <w:t>regimens</w:t>
      </w:r>
      <w:r w:rsidR="00CC0A74">
        <w:t xml:space="preserve"> specify a minimum interval of at least 8 weeks between</w:t>
      </w:r>
      <w:r w:rsidR="00114A02">
        <w:t xml:space="preserve"> doses. </w:t>
      </w:r>
      <w:r w:rsidR="00CB7C2D" w:rsidRPr="4385E08A">
        <w:rPr>
          <w:shd w:val="clear" w:color="auto" w:fill="FFFFFF"/>
        </w:rPr>
        <w:t>Based on U.S. post-authorization safety data</w:t>
      </w:r>
      <w:r w:rsidR="008823C2">
        <w:t xml:space="preserve"> analysis of </w:t>
      </w:r>
      <w:r w:rsidR="008823C2">
        <w:lastRenderedPageBreak/>
        <w:t>the</w:t>
      </w:r>
      <w:r w:rsidR="008823C2" w:rsidRPr="4385E08A">
        <w:rPr>
          <w:rFonts w:ascii="Helvetica" w:hAnsi="Helvetica"/>
          <w:color w:val="333333"/>
          <w:sz w:val="27"/>
          <w:szCs w:val="27"/>
        </w:rPr>
        <w:t xml:space="preserve"> </w:t>
      </w:r>
      <w:r w:rsidR="008823C2" w:rsidRPr="008823C2">
        <w:t>2023-2024 mRNA COVID-19 vaccines</w:t>
      </w:r>
      <w:r w:rsidR="001E0410">
        <w:t xml:space="preserve"> using claims data</w:t>
      </w:r>
      <w:r w:rsidR="00CB7C2D" w:rsidRPr="00CB7C2D">
        <w:t xml:space="preserve">, the </w:t>
      </w:r>
      <w:r w:rsidR="00D3530D">
        <w:t>Food and Drug Administration (FDA)</w:t>
      </w:r>
      <w:r w:rsidR="00D3530D" w:rsidRPr="00CB7C2D">
        <w:t xml:space="preserve"> </w:t>
      </w:r>
      <w:r w:rsidR="00CF5815">
        <w:t xml:space="preserve">reported the </w:t>
      </w:r>
      <w:r w:rsidR="00CF5815" w:rsidRPr="00CF5815">
        <w:t>unadjusted incidence</w:t>
      </w:r>
      <w:r w:rsidR="00CF5815">
        <w:t xml:space="preserve"> of </w:t>
      </w:r>
      <w:r w:rsidR="00CB7C2D" w:rsidRPr="00CB7C2D">
        <w:t>8 cases of myocarditis or pericarditis per million mRNA COVID-19 vaccine doses among persons 6 months through 64 years of age and approximately 27 cases per million doses among males 12–24 years of age</w:t>
      </w:r>
      <w:r w:rsidR="0060754B">
        <w:t>.</w:t>
      </w:r>
      <w:r w:rsidR="0060754B" w:rsidRPr="0060754B">
        <w:rPr>
          <w:vertAlign w:val="superscript"/>
        </w:rPr>
        <w:t>31</w:t>
      </w:r>
      <w:r w:rsidR="0060754B" w:rsidRPr="00CB7C2D">
        <w:t xml:space="preserve"> </w:t>
      </w:r>
      <w:r w:rsidR="00376F7D">
        <w:t>Clinicians and the public</w:t>
      </w:r>
      <w:r w:rsidR="001660FE">
        <w:t xml:space="preserve"> should be aware </w:t>
      </w:r>
      <w:r w:rsidR="00442827">
        <w:t>that COVI</w:t>
      </w:r>
      <w:r w:rsidR="00505ACA">
        <w:t xml:space="preserve">D-19 disease </w:t>
      </w:r>
      <w:r w:rsidR="002D5A25">
        <w:t xml:space="preserve">caused by infection </w:t>
      </w:r>
      <w:r w:rsidR="0092014D" w:rsidRPr="0092014D">
        <w:t>is</w:t>
      </w:r>
      <w:r w:rsidR="00505ACA">
        <w:t xml:space="preserve"> also</w:t>
      </w:r>
      <w:r w:rsidR="0092014D" w:rsidRPr="0092014D">
        <w:t xml:space="preserve"> associated with an increased risk of myocarditis. In a large U.S. study, </w:t>
      </w:r>
      <w:r w:rsidR="00505ACA">
        <w:t>people</w:t>
      </w:r>
      <w:r w:rsidR="0092014D" w:rsidRPr="0092014D">
        <w:t xml:space="preserve"> with COVID-19 had approximately 16 times the risk of myocarditis compared with individuals without COVID-19, although the absolute risk was low and varied substantially by age. The risk of myocarditis following SARS-CoV-2 infection has generally been greater than the risk following COVID-19 vaccination.</w:t>
      </w:r>
    </w:p>
    <w:p w14:paraId="614FDA30" w14:textId="229252C9" w:rsidR="00CC0648" w:rsidRDefault="00585032" w:rsidP="00CC0648">
      <w:r w:rsidRPr="00585032">
        <w:t>No other</w:t>
      </w:r>
      <w:r w:rsidR="00483119">
        <w:t xml:space="preserve"> </w:t>
      </w:r>
      <w:r w:rsidRPr="00585032">
        <w:t xml:space="preserve">risks </w:t>
      </w:r>
      <w:r w:rsidR="00CE23F8">
        <w:t xml:space="preserve">have been </w:t>
      </w:r>
      <w:r w:rsidRPr="00585032">
        <w:t xml:space="preserve">confirmed </w:t>
      </w:r>
      <w:r w:rsidR="00CE23F8">
        <w:t>for</w:t>
      </w:r>
      <w:r w:rsidRPr="00585032">
        <w:t xml:space="preserve"> the current U.S.-licensed vaccines except those seen with other vaccines (e.g., local and systemic reactions, allergic reactions)</w:t>
      </w:r>
      <w:r w:rsidR="00CC0648">
        <w:t>.</w:t>
      </w:r>
      <w:r w:rsidR="008C60D5">
        <w:t xml:space="preserve"> </w:t>
      </w:r>
      <w:r w:rsidR="005651BF">
        <w:t xml:space="preserve">Rigorous </w:t>
      </w:r>
      <w:r w:rsidR="005651BF" w:rsidRPr="005651BF">
        <w:t>monitoring and assessment of the safety of all vaccines, including COVID-19 vaccines</w:t>
      </w:r>
      <w:r w:rsidR="00632230">
        <w:t>,</w:t>
      </w:r>
      <w:r w:rsidR="005651BF">
        <w:t xml:space="preserve"> is </w:t>
      </w:r>
      <w:r w:rsidR="00ED71F6">
        <w:t>ongoing.</w:t>
      </w:r>
    </w:p>
    <w:p w14:paraId="5B4DAB0D" w14:textId="45592AFD" w:rsidR="00A36E9A" w:rsidRDefault="00A36E9A" w:rsidP="4385E08A">
      <w:pPr>
        <w:pStyle w:val="Heading1"/>
        <w:rPr>
          <w:b/>
          <w:sz w:val="28"/>
          <w:szCs w:val="28"/>
        </w:rPr>
      </w:pPr>
      <w:r w:rsidRPr="4385E08A">
        <w:rPr>
          <w:sz w:val="28"/>
          <w:szCs w:val="28"/>
        </w:rPr>
        <w:t>Contraindications and Pre</w:t>
      </w:r>
      <w:r w:rsidR="00563AE6" w:rsidRPr="4385E08A">
        <w:rPr>
          <w:sz w:val="28"/>
          <w:szCs w:val="28"/>
        </w:rPr>
        <w:t>cautions</w:t>
      </w:r>
    </w:p>
    <w:p w14:paraId="13DFC45E" w14:textId="6FED9BE0" w:rsidR="00483BAE" w:rsidRPr="00587403" w:rsidRDefault="5F8D79A0" w:rsidP="008B0D4F">
      <w:r>
        <w:t>History of anaphylaxis or a severe allergic reaction after a previous dose of a specific COVID-19 vaccine type or to any of its ingredients</w:t>
      </w:r>
      <w:r w:rsidR="650160FD" w:rsidRPr="72759B2F">
        <w:rPr>
          <w:b/>
          <w:bCs/>
        </w:rPr>
        <w:t xml:space="preserve"> </w:t>
      </w:r>
      <w:r w:rsidR="459C1E9A">
        <w:t xml:space="preserve">is a contraindication </w:t>
      </w:r>
      <w:r w:rsidR="3BC4E650">
        <w:t xml:space="preserve">for subsequent </w:t>
      </w:r>
      <w:r w:rsidR="4E5A5651">
        <w:t xml:space="preserve">vaccination </w:t>
      </w:r>
      <w:r w:rsidR="7D0A6600">
        <w:t xml:space="preserve">using that specific </w:t>
      </w:r>
      <w:r w:rsidR="3BC4E650">
        <w:t xml:space="preserve">COVID-19 </w:t>
      </w:r>
      <w:r w:rsidR="7D0A6600">
        <w:t>vaccine type</w:t>
      </w:r>
      <w:r w:rsidR="19149E49">
        <w:t xml:space="preserve">. People with history of severe allergic reaction to a specific vaccine </w:t>
      </w:r>
      <w:r w:rsidR="5C171A7F">
        <w:t xml:space="preserve">type </w:t>
      </w:r>
      <w:r w:rsidR="19149E49">
        <w:t>(</w:t>
      </w:r>
      <w:r w:rsidR="5C171A7F">
        <w:t xml:space="preserve">e.g. </w:t>
      </w:r>
      <w:r w:rsidR="19149E49">
        <w:t>mRNA vs. protein subunit)</w:t>
      </w:r>
      <w:r w:rsidR="5C171A7F">
        <w:t xml:space="preserve"> </w:t>
      </w:r>
      <w:r w:rsidR="77814AA6">
        <w:t>may receive the alternate COVID-19 vaccine type</w:t>
      </w:r>
      <w:r w:rsidR="19149E49">
        <w:t>.</w:t>
      </w:r>
      <w:r w:rsidR="1A84320F">
        <w:t xml:space="preserve"> Consultation with an allergist-immunologist can </w:t>
      </w:r>
      <w:r w:rsidR="7502C035">
        <w:t>be considered to</w:t>
      </w:r>
      <w:r w:rsidR="1A84320F">
        <w:t xml:space="preserve"> provide expert evaluation of the original allergic reaction</w:t>
      </w:r>
      <w:r w:rsidR="7502C035">
        <w:t xml:space="preserve">. </w:t>
      </w:r>
      <w:r w:rsidR="3777B5A9">
        <w:t xml:space="preserve">History of myocarditis or pericarditis within 3 weeks after a dose of any COVID-19 vaccine is a precaution for </w:t>
      </w:r>
      <w:r w:rsidR="009B2E98">
        <w:t xml:space="preserve">administration of any </w:t>
      </w:r>
      <w:r w:rsidR="3777B5A9">
        <w:t xml:space="preserve">COVID-19 vaccine </w:t>
      </w:r>
      <w:r w:rsidR="5F4CC11D">
        <w:t>and subsequent doses should generally be avoided.</w:t>
      </w:r>
      <w:r w:rsidR="755A8D13">
        <w:t xml:space="preserve">  History of </w:t>
      </w:r>
      <w:r w:rsidR="64839F4E">
        <w:t>non-severe allergy to a component of the COVID-19 vaccine</w:t>
      </w:r>
      <w:r w:rsidR="40D4BDE9">
        <w:t xml:space="preserve">, </w:t>
      </w:r>
      <w:r w:rsidR="3414F3D2">
        <w:t>h</w:t>
      </w:r>
      <w:r w:rsidR="40D4BDE9">
        <w:t xml:space="preserve">istory of </w:t>
      </w:r>
      <w:r w:rsidR="36BA8C48">
        <w:t xml:space="preserve">multisystem inflammatory syndrome </w:t>
      </w:r>
      <w:r w:rsidR="40D4BDE9">
        <w:t xml:space="preserve">or current </w:t>
      </w:r>
      <w:r w:rsidR="617B14E0">
        <w:t xml:space="preserve">and </w:t>
      </w:r>
      <w:r w:rsidR="3414F3D2">
        <w:t>m</w:t>
      </w:r>
      <w:r w:rsidR="617B14E0">
        <w:t>oderate</w:t>
      </w:r>
      <w:r w:rsidR="36BA8C48">
        <w:t>/</w:t>
      </w:r>
      <w:r w:rsidR="617B14E0">
        <w:t xml:space="preserve">severe acute illness </w:t>
      </w:r>
      <w:r w:rsidR="3414F3D2">
        <w:t>(</w:t>
      </w:r>
      <w:r w:rsidR="617B14E0">
        <w:t xml:space="preserve">with or without </w:t>
      </w:r>
      <w:r w:rsidR="4D227093">
        <w:t>fever</w:t>
      </w:r>
      <w:r w:rsidR="3414F3D2">
        <w:t>)</w:t>
      </w:r>
      <w:r w:rsidR="4D227093">
        <w:t xml:space="preserve"> are</w:t>
      </w:r>
      <w:r w:rsidR="617B14E0">
        <w:t xml:space="preserve"> precautions for COVID</w:t>
      </w:r>
      <w:r w:rsidR="4D227093">
        <w:t>-</w:t>
      </w:r>
      <w:r w:rsidR="617B14E0">
        <w:t>19</w:t>
      </w:r>
      <w:r w:rsidR="4D227093">
        <w:t xml:space="preserve"> vaccination.</w:t>
      </w:r>
    </w:p>
    <w:p w14:paraId="003C2E41" w14:textId="481ADC3E" w:rsidR="00563AE6" w:rsidRDefault="5F1511B4" w:rsidP="4385E08A">
      <w:pPr>
        <w:pStyle w:val="Heading1"/>
        <w:rPr>
          <w:b/>
          <w:sz w:val="28"/>
          <w:szCs w:val="28"/>
        </w:rPr>
      </w:pPr>
      <w:r w:rsidRPr="4385E08A">
        <w:rPr>
          <w:sz w:val="28"/>
          <w:szCs w:val="28"/>
        </w:rPr>
        <w:t>Coadministration</w:t>
      </w:r>
    </w:p>
    <w:p w14:paraId="65EFA9BA" w14:textId="23D7CAD2" w:rsidR="00D7020C" w:rsidRDefault="219EC251" w:rsidP="72759B2F">
      <w:pPr>
        <w:pBdr>
          <w:bottom w:val="single" w:sz="6" w:space="1" w:color="auto"/>
        </w:pBdr>
        <w:rPr>
          <w:b/>
          <w:bCs/>
        </w:rPr>
      </w:pPr>
      <w:r>
        <w:t xml:space="preserve">The administration of COVID-19 vaccine at the same time as other immunizations such as flu and RSV is acceptable for both children and adults and is often recommended to reduce missed opportunities for vaccination.  There are limited data specifically addressing coadministration of vaccines, but no serious concerns have been identified. One study led by CDC suggests that </w:t>
      </w:r>
      <w:r w:rsidRPr="00BC419C">
        <w:t>simultaneous</w:t>
      </w:r>
      <w:r>
        <w:t xml:space="preserve"> administration of COVID-19 mRNA vaccine</w:t>
      </w:r>
      <w:r w:rsidRPr="00BC419C">
        <w:t xml:space="preserve"> and influenza vaccine may be associated with </w:t>
      </w:r>
      <w:r>
        <w:t xml:space="preserve">a small </w:t>
      </w:r>
      <w:r w:rsidRPr="00BC419C">
        <w:t>increase</w:t>
      </w:r>
      <w:r>
        <w:t xml:space="preserve"> in the li</w:t>
      </w:r>
      <w:r w:rsidRPr="00BC419C">
        <w:t>kelihood </w:t>
      </w:r>
      <w:r>
        <w:t>of post vaccination reactogenic symptoms in adults, but that these symptoms were short lived.</w:t>
      </w:r>
      <w:r w:rsidR="008D54AD">
        <w:fldChar w:fldCharType="begin"/>
      </w:r>
      <w:r w:rsidR="008D54AD">
        <w:instrText xml:space="preserve"> ADDIN ZOTERO_ITEM CSL_CITATION {"citationID":"0PdaqzTY","properties":{"formattedCitation":"\\super 23\\nosupersub{}","plainCitation":"23","noteIndex":0},"citationItems":[{"id":72,"uris":["http://zotero.org/users/17655741/items/JWI9HL3T"],"itemData":{"id":72,"type":"webpage","title":"Reactogenicity of Simultaneous COVID-19 mRNA Booster and Influenza Vaccination in the US | Infectious Diseases | JAMA Network Open | JAMA Network","URL":"https://jamanetwork.com/journals/jamanetworkopen/fullarticle/2794318","accessed":{"date-parts":[["2025",7,30]]}}}],"schema":"https://github.com/citation-style-language/schema/raw/master/csl-citation.json"} </w:instrText>
      </w:r>
      <w:r w:rsidR="008D54AD">
        <w:fldChar w:fldCharType="separate"/>
      </w:r>
      <w:r w:rsidRPr="00A8536A">
        <w:rPr>
          <w:rFonts w:ascii="Aptos" w:hAnsi="Aptos" w:cs="Times New Roman"/>
          <w:kern w:val="0"/>
          <w:vertAlign w:val="superscript"/>
        </w:rPr>
        <w:t>23</w:t>
      </w:r>
      <w:r w:rsidR="008D54AD">
        <w:fldChar w:fldCharType="end"/>
      </w:r>
      <w:r>
        <w:t xml:space="preserve">  </w:t>
      </w:r>
      <w:r>
        <w:lastRenderedPageBreak/>
        <w:t>An RCT of a</w:t>
      </w:r>
      <w:r w:rsidRPr="00AA261E">
        <w:t>dults aged ≥50 years</w:t>
      </w:r>
      <w:r>
        <w:t xml:space="preserve"> found that</w:t>
      </w:r>
      <w:r w:rsidRPr="00AA261E">
        <w:t xml:space="preserve"> co</w:t>
      </w:r>
      <w:r>
        <w:t>-</w:t>
      </w:r>
      <w:r w:rsidRPr="00AA261E">
        <w:t>administering an RSV vaccine with a seasonal influenza or COVID-19 vaccine</w:t>
      </w:r>
      <w:r>
        <w:t xml:space="preserve"> was safe and</w:t>
      </w:r>
      <w:r w:rsidRPr="00AA261E">
        <w:t xml:space="preserve"> produced mostly noninferior immune responses.</w:t>
      </w:r>
    </w:p>
    <w:p w14:paraId="681DD435" w14:textId="37A3A16B" w:rsidR="004F5BEB" w:rsidRDefault="004F5BEB" w:rsidP="004F5BEB">
      <w:pPr>
        <w:rPr>
          <w:sz w:val="18"/>
          <w:szCs w:val="18"/>
        </w:rPr>
      </w:pPr>
      <w:r w:rsidRPr="00834C4D">
        <w:rPr>
          <w:sz w:val="18"/>
          <w:szCs w:val="18"/>
          <w:vertAlign w:val="superscript"/>
        </w:rPr>
        <w:t>a</w:t>
      </w:r>
      <w:r w:rsidRPr="00EC2278">
        <w:rPr>
          <w:sz w:val="18"/>
          <w:szCs w:val="18"/>
        </w:rPr>
        <w:t>Medical conditions associated with higher risk of severe COVID-19</w:t>
      </w:r>
      <w:r>
        <w:rPr>
          <w:sz w:val="18"/>
          <w:szCs w:val="18"/>
        </w:rPr>
        <w:t xml:space="preserve"> listed in Table 1</w:t>
      </w:r>
      <w:r w:rsidRPr="00EC2278">
        <w:rPr>
          <w:sz w:val="18"/>
          <w:szCs w:val="18"/>
        </w:rPr>
        <w:t>.</w:t>
      </w:r>
    </w:p>
    <w:p w14:paraId="7C8C0467" w14:textId="5BE96867" w:rsidR="005A1D5C" w:rsidRDefault="00BB0106" w:rsidP="005A1D5C">
      <w:pPr>
        <w:rPr>
          <w:sz w:val="18"/>
          <w:szCs w:val="18"/>
        </w:rPr>
      </w:pPr>
      <w:r>
        <w:rPr>
          <w:sz w:val="18"/>
          <w:szCs w:val="18"/>
          <w:vertAlign w:val="superscript"/>
        </w:rPr>
        <w:t>b</w:t>
      </w:r>
      <w:r w:rsidR="005A1D5C" w:rsidRPr="00EC2278">
        <w:rPr>
          <w:sz w:val="18"/>
          <w:szCs w:val="18"/>
        </w:rPr>
        <w:t>Medical conditions associated with higher risk of severe COVID-19</w:t>
      </w:r>
      <w:r w:rsidR="005A1D5C">
        <w:rPr>
          <w:sz w:val="18"/>
          <w:szCs w:val="18"/>
        </w:rPr>
        <w:t xml:space="preserve"> in the pediatric population listed in Table 2</w:t>
      </w:r>
      <w:r w:rsidR="005A1D5C" w:rsidRPr="00EC2278">
        <w:rPr>
          <w:sz w:val="18"/>
          <w:szCs w:val="18"/>
        </w:rPr>
        <w:t>.</w:t>
      </w:r>
    </w:p>
    <w:p w14:paraId="64F06C07" w14:textId="77777777" w:rsidR="000A1E43" w:rsidRDefault="000A1E43" w:rsidP="000A1E43">
      <w:pPr>
        <w:rPr>
          <w:sz w:val="18"/>
          <w:szCs w:val="18"/>
        </w:rPr>
      </w:pPr>
      <w:r>
        <w:rPr>
          <w:sz w:val="18"/>
          <w:szCs w:val="18"/>
          <w:vertAlign w:val="superscript"/>
        </w:rPr>
        <w:t>c</w:t>
      </w:r>
      <w:r w:rsidRPr="003E1E81">
        <w:rPr>
          <w:sz w:val="18"/>
          <w:szCs w:val="18"/>
        </w:rPr>
        <w:t>A second booster dose can be given ≥2-6 months after dose one based on shared decision making and current levels of transmission. Additional doses beyond two can be given in a 12-month period with shared decision making; however, additional benefit at present is unknown.</w:t>
      </w:r>
    </w:p>
    <w:p w14:paraId="3B8FE5CB" w14:textId="7FAA02CD" w:rsidR="004F3D3C" w:rsidRPr="003E1E81" w:rsidRDefault="00A81EB1" w:rsidP="000A1E43">
      <w:pPr>
        <w:rPr>
          <w:sz w:val="18"/>
          <w:szCs w:val="18"/>
        </w:rPr>
      </w:pPr>
      <w:r w:rsidRPr="00121ACE">
        <w:rPr>
          <w:sz w:val="18"/>
          <w:szCs w:val="18"/>
          <w:vertAlign w:val="superscript"/>
        </w:rPr>
        <w:t>d</w:t>
      </w:r>
      <w:r w:rsidR="009169C6">
        <w:rPr>
          <w:sz w:val="18"/>
          <w:szCs w:val="18"/>
        </w:rPr>
        <w:t xml:space="preserve">For this guidance, </w:t>
      </w:r>
      <w:r w:rsidR="002E3853">
        <w:rPr>
          <w:sz w:val="18"/>
          <w:szCs w:val="18"/>
        </w:rPr>
        <w:t>i</w:t>
      </w:r>
      <w:r w:rsidR="009169C6">
        <w:rPr>
          <w:sz w:val="18"/>
          <w:szCs w:val="18"/>
        </w:rPr>
        <w:t xml:space="preserve">mmunocompromised </w:t>
      </w:r>
      <w:r w:rsidR="00BC5DA8">
        <w:rPr>
          <w:sz w:val="18"/>
          <w:szCs w:val="18"/>
        </w:rPr>
        <w:t xml:space="preserve">refers to people </w:t>
      </w:r>
      <w:r w:rsidR="008C4F34">
        <w:rPr>
          <w:sz w:val="18"/>
          <w:szCs w:val="18"/>
        </w:rPr>
        <w:t xml:space="preserve">with </w:t>
      </w:r>
      <w:r w:rsidR="006B04FB" w:rsidRPr="006B04FB">
        <w:rPr>
          <w:sz w:val="18"/>
          <w:szCs w:val="18"/>
        </w:rPr>
        <w:t xml:space="preserve">hematologic malignancy, primary immunodeficiency, autoimmune disease treated with immunosuppressants or biologics, HIV with severe immunosuppression (CD4 &lt;15% or &lt;200/mm³), </w:t>
      </w:r>
      <w:r w:rsidR="001F62CB">
        <w:rPr>
          <w:sz w:val="18"/>
          <w:szCs w:val="18"/>
        </w:rPr>
        <w:t xml:space="preserve">and </w:t>
      </w:r>
      <w:r w:rsidR="006B04FB" w:rsidRPr="006B04FB">
        <w:rPr>
          <w:sz w:val="18"/>
          <w:szCs w:val="18"/>
        </w:rPr>
        <w:t>recipients</w:t>
      </w:r>
      <w:r w:rsidR="006B04FB" w:rsidRPr="006B04FB">
        <w:rPr>
          <w:rFonts w:ascii="Arial" w:hAnsi="Arial" w:cs="Arial"/>
          <w:sz w:val="18"/>
          <w:szCs w:val="18"/>
        </w:rPr>
        <w:t> </w:t>
      </w:r>
      <w:r w:rsidR="006B04FB" w:rsidRPr="006B04FB">
        <w:rPr>
          <w:sz w:val="18"/>
          <w:szCs w:val="18"/>
        </w:rPr>
        <w:t>of solid organ transplants (SOT), hematopoietic cell transplantation (HCT), chimeric antigen receptor T-cell therapy (CAR-T), or solid-tumor chemotherapy</w:t>
      </w:r>
      <w:r w:rsidR="002A4F90">
        <w:rPr>
          <w:sz w:val="18"/>
          <w:szCs w:val="18"/>
        </w:rPr>
        <w:t>.</w:t>
      </w:r>
    </w:p>
    <w:p w14:paraId="198CD76D" w14:textId="0DF3EEDD" w:rsidR="00D7020C" w:rsidRDefault="00D7020C" w:rsidP="4385E08A">
      <w:pPr>
        <w:pStyle w:val="Heading1"/>
        <w:rPr>
          <w:b/>
          <w:sz w:val="32"/>
          <w:szCs w:val="32"/>
        </w:rPr>
      </w:pPr>
      <w:r w:rsidRPr="4385E08A">
        <w:rPr>
          <w:sz w:val="32"/>
          <w:szCs w:val="32"/>
        </w:rPr>
        <w:t>References</w:t>
      </w:r>
    </w:p>
    <w:p w14:paraId="6955EC74" w14:textId="1BDBF3BF" w:rsidR="00752D74" w:rsidRDefault="00752D74" w:rsidP="00752D74">
      <w:pPr>
        <w:pStyle w:val="ListParagraph"/>
        <w:numPr>
          <w:ilvl w:val="0"/>
          <w:numId w:val="14"/>
        </w:numPr>
      </w:pPr>
      <w:r w:rsidRPr="00752D74">
        <w:t>Preliminary Estimates of COVID-19 Burden. National Center for Immunization and Respiratory Diseases; Coronavirus and Other Respiratory Viruses Division, CDC.</w:t>
      </w:r>
    </w:p>
    <w:p w14:paraId="24E69054" w14:textId="77777777" w:rsidR="006C04EF" w:rsidRDefault="006C04EF" w:rsidP="006C04EF">
      <w:pPr>
        <w:pStyle w:val="Bibliography"/>
        <w:numPr>
          <w:ilvl w:val="0"/>
          <w:numId w:val="14"/>
        </w:numPr>
        <w:rPr>
          <w:noProof/>
        </w:rPr>
      </w:pPr>
      <w:r>
        <w:rPr>
          <w:noProof/>
        </w:rPr>
        <w:t xml:space="preserve">Vahratian A, S. S. (2024). Prevalence of Post–COVID-19 Condition and Activity-Limiting Post–COVID-19 Condition Among Adults. </w:t>
      </w:r>
      <w:r>
        <w:rPr>
          <w:i/>
          <w:iCs/>
          <w:noProof/>
        </w:rPr>
        <w:t>JAMA Netw Open., 7</w:t>
      </w:r>
      <w:r>
        <w:rPr>
          <w:noProof/>
        </w:rPr>
        <w:t>(11).</w:t>
      </w:r>
    </w:p>
    <w:p w14:paraId="141280DE" w14:textId="08DC93E3" w:rsidR="006C04EF" w:rsidRPr="0065180E" w:rsidRDefault="00993B9E" w:rsidP="00752D74">
      <w:pPr>
        <w:pStyle w:val="ListParagraph"/>
        <w:numPr>
          <w:ilvl w:val="0"/>
          <w:numId w:val="14"/>
        </w:numPr>
      </w:pPr>
      <w:r>
        <w:rPr>
          <w:noProof/>
        </w:rPr>
        <w:t xml:space="preserve">Natalie J. Thornburg, P. (2026). Updates on Epidemiology of COVID-19 and SARS-CoV-2 Genomics. </w:t>
      </w:r>
      <w:r>
        <w:rPr>
          <w:i/>
          <w:iCs/>
          <w:noProof/>
        </w:rPr>
        <w:t>National Center for Immunizations and Respiratory Diseases, Center for Disease Control and Prevention.</w:t>
      </w:r>
    </w:p>
    <w:p w14:paraId="005D5530" w14:textId="77777777" w:rsidR="0065180E" w:rsidRDefault="0065180E" w:rsidP="0065180E">
      <w:pPr>
        <w:pStyle w:val="Bibliography"/>
        <w:numPr>
          <w:ilvl w:val="0"/>
          <w:numId w:val="14"/>
        </w:numPr>
        <w:rPr>
          <w:noProof/>
        </w:rPr>
      </w:pPr>
      <w:r>
        <w:rPr>
          <w:noProof/>
        </w:rPr>
        <w:t xml:space="preserve">Wiegand RE, C. S. (2026). Interim Estimated Effectiveness of 2025-2026 COVID-19 Vaccines in Adults Using a Test-Negative Design. </w:t>
      </w:r>
      <w:r>
        <w:rPr>
          <w:i/>
          <w:iCs/>
          <w:noProof/>
        </w:rPr>
        <w:t>JAMA Netw Open., 9</w:t>
      </w:r>
      <w:r>
        <w:rPr>
          <w:noProof/>
        </w:rPr>
        <w:t>(6).</w:t>
      </w:r>
    </w:p>
    <w:p w14:paraId="5B3ACF64" w14:textId="77777777" w:rsidR="00505C76" w:rsidRDefault="009636DA" w:rsidP="00505C76">
      <w:pPr>
        <w:pStyle w:val="Bibliography"/>
        <w:numPr>
          <w:ilvl w:val="0"/>
          <w:numId w:val="14"/>
        </w:numPr>
        <w:rPr>
          <w:noProof/>
        </w:rPr>
      </w:pPr>
      <w:r>
        <w:rPr>
          <w:noProof/>
        </w:rPr>
        <w:t xml:space="preserve">Laniece Delaunay C, M.-U. A.-G. (2026). COVID-19 Vaccine Effectiveness Among Older Adults. </w:t>
      </w:r>
      <w:r>
        <w:rPr>
          <w:i/>
          <w:iCs/>
          <w:noProof/>
        </w:rPr>
        <w:t>JAMA Netw Open</w:t>
      </w:r>
      <w:r>
        <w:rPr>
          <w:noProof/>
        </w:rPr>
        <w:t>.</w:t>
      </w:r>
    </w:p>
    <w:p w14:paraId="0B58FDEB" w14:textId="77777777" w:rsidR="00E75D7B" w:rsidRDefault="001F6109" w:rsidP="00505C76">
      <w:pPr>
        <w:pStyle w:val="Bibliography"/>
        <w:numPr>
          <w:ilvl w:val="0"/>
          <w:numId w:val="14"/>
        </w:numPr>
        <w:rPr>
          <w:noProof/>
        </w:rPr>
      </w:pPr>
      <w:r w:rsidRPr="001F6109">
        <w:t>Miranda, Rafael N., et al. “Cost-Utility Analysis of COVID-19 Vaccination Strategies for Endemic SARS-CoV-2.” JAMA Network Open, vol. 8, no. 6, June 2025, p. e2515534. DOI.org</w:t>
      </w:r>
      <w:r>
        <w:t xml:space="preserve"> </w:t>
      </w:r>
      <w:r w:rsidRPr="001F6109">
        <w:t>(Crossref),</w:t>
      </w:r>
      <w:r w:rsidR="00505C76">
        <w:t xml:space="preserve"> </w:t>
      </w:r>
    </w:p>
    <w:p w14:paraId="0E91FCC5" w14:textId="7C12F615" w:rsidR="00EB0338" w:rsidRDefault="00E75D7B" w:rsidP="00505C76">
      <w:pPr>
        <w:pStyle w:val="Bibliography"/>
        <w:numPr>
          <w:ilvl w:val="0"/>
          <w:numId w:val="14"/>
        </w:numPr>
        <w:rPr>
          <w:noProof/>
        </w:rPr>
      </w:pPr>
      <w:r w:rsidRPr="00E75D7B">
        <w:t xml:space="preserve">Park, Hailey J., et al. “Comparing Frequency of Booster Vaccination to Prevent Severe COVID-19 by Risk Group in the United States.” Nature Communications, vol. 15, no. 1, Mar. 2024, p. 1883. DOI.org (Crossref), </w:t>
      </w:r>
      <w:hyperlink r:id="rId12" w:history="1">
        <w:r w:rsidR="00EB0338" w:rsidRPr="00F522BF">
          <w:rPr>
            <w:rStyle w:val="Hyperlink"/>
          </w:rPr>
          <w:t>https://doi.org/10.1038/s41467-024-45549-9</w:t>
        </w:r>
      </w:hyperlink>
      <w:r w:rsidRPr="00E75D7B">
        <w:t>.</w:t>
      </w:r>
    </w:p>
    <w:p w14:paraId="1C875A9C" w14:textId="00ABB913" w:rsidR="005F176A" w:rsidRDefault="005F176A" w:rsidP="00505C76">
      <w:pPr>
        <w:pStyle w:val="Bibliography"/>
        <w:numPr>
          <w:ilvl w:val="0"/>
          <w:numId w:val="14"/>
        </w:numPr>
        <w:rPr>
          <w:noProof/>
        </w:rPr>
      </w:pPr>
      <w:r w:rsidRPr="005F176A">
        <w:t xml:space="preserve">Rolfes, Melissa A., et al. “Reduced Risk of SARS-CoV-2 Infection among Household Contacts with Recent Vaccination and Past COVID-19 Infection: Results from 2 </w:t>
      </w:r>
      <w:r w:rsidRPr="005F176A">
        <w:lastRenderedPageBreak/>
        <w:t xml:space="preserve">Multisite Case-Ascertained Household Transmission Studies.” American Journal of Epidemiology, vol. 194, no. 6, June 2025, pp. 1603–10. DOI.org (Crossref), </w:t>
      </w:r>
      <w:hyperlink r:id="rId13" w:history="1">
        <w:r w:rsidRPr="00F522BF">
          <w:rPr>
            <w:rStyle w:val="Hyperlink"/>
          </w:rPr>
          <w:t>https://doi.org/10.1093/aje/kwae334</w:t>
        </w:r>
      </w:hyperlink>
      <w:r w:rsidRPr="005F176A">
        <w:t>.</w:t>
      </w:r>
    </w:p>
    <w:p w14:paraId="74F6F53A" w14:textId="6482A111" w:rsidR="009A39ED" w:rsidRDefault="0017734A" w:rsidP="00505C76">
      <w:pPr>
        <w:pStyle w:val="Bibliography"/>
        <w:numPr>
          <w:ilvl w:val="0"/>
          <w:numId w:val="14"/>
        </w:numPr>
        <w:rPr>
          <w:noProof/>
        </w:rPr>
      </w:pPr>
      <w:r w:rsidRPr="0017734A">
        <w:t xml:space="preserve">Hedberg, Pontus, et al. “The Effect of COVID-19 Vaccination on the Risk of Persistent Post–COVID-19 Condition: Cohort Study.” The Journal of Infectious Diseases, vol. 231, no. 5, June 2025, pp. e941–44. DOI.org (Crossref), </w:t>
      </w:r>
      <w:hyperlink r:id="rId14" w:history="1">
        <w:r w:rsidR="009A39ED" w:rsidRPr="00F522BF">
          <w:rPr>
            <w:rStyle w:val="Hyperlink"/>
          </w:rPr>
          <w:t>https://doi.org/10.1093/infdis/jiaf133</w:t>
        </w:r>
      </w:hyperlink>
      <w:r w:rsidRPr="0017734A">
        <w:t>.</w:t>
      </w:r>
    </w:p>
    <w:p w14:paraId="150CECB1" w14:textId="61086EFA" w:rsidR="004C5488" w:rsidRDefault="009A39ED" w:rsidP="00505C76">
      <w:pPr>
        <w:pStyle w:val="Bibliography"/>
        <w:numPr>
          <w:ilvl w:val="0"/>
          <w:numId w:val="14"/>
        </w:numPr>
        <w:rPr>
          <w:noProof/>
        </w:rPr>
      </w:pPr>
      <w:r w:rsidRPr="009A39ED">
        <w:t xml:space="preserve">Tan, Sophia T., et al. “Strength and Durability of Indirect Protection against SARS-CoV-2 Infection through Vaccine and Infection-Acquired Immunity.” Nature Communications, vol. 16, no. 1, Jan. 2025, p. 1090. DOI.org (Crossref), </w:t>
      </w:r>
      <w:hyperlink r:id="rId15" w:history="1">
        <w:r w:rsidR="004C5488" w:rsidRPr="00F522BF">
          <w:rPr>
            <w:rStyle w:val="Hyperlink"/>
          </w:rPr>
          <w:t>https://doi.org/10.1038/s41467-024-55029-9</w:t>
        </w:r>
      </w:hyperlink>
      <w:r w:rsidRPr="009A39ED">
        <w:t>.</w:t>
      </w:r>
    </w:p>
    <w:p w14:paraId="3B39E725" w14:textId="56C22211" w:rsidR="00D3522C" w:rsidRDefault="00081C21" w:rsidP="00505C76">
      <w:pPr>
        <w:pStyle w:val="Bibliography"/>
        <w:numPr>
          <w:ilvl w:val="0"/>
          <w:numId w:val="14"/>
        </w:numPr>
        <w:rPr>
          <w:noProof/>
        </w:rPr>
      </w:pPr>
      <w:r w:rsidRPr="00081C21">
        <w:t xml:space="preserve">Scott, Jake, et al. “Updated Evidence for Covid-19, RSV, and Influenza Vaccines for 2025–2026.” New England Journal of Medicine, vol. 393, no. 22, Dec. 2025, pp. 2221–42. DOI.org (Crossref), </w:t>
      </w:r>
      <w:hyperlink r:id="rId16" w:history="1">
        <w:r w:rsidR="00D3522C" w:rsidRPr="00F522BF">
          <w:rPr>
            <w:rStyle w:val="Hyperlink"/>
          </w:rPr>
          <w:t>https://doi.org/10.1056/NEJMsa2514268</w:t>
        </w:r>
      </w:hyperlink>
      <w:r w:rsidRPr="00081C21">
        <w:t>.</w:t>
      </w:r>
    </w:p>
    <w:p w14:paraId="58AF6728" w14:textId="3792569B" w:rsidR="004E19FB" w:rsidRDefault="00D3522C" w:rsidP="00505C76">
      <w:pPr>
        <w:pStyle w:val="Bibliography"/>
        <w:numPr>
          <w:ilvl w:val="0"/>
          <w:numId w:val="14"/>
        </w:numPr>
        <w:rPr>
          <w:noProof/>
        </w:rPr>
      </w:pPr>
      <w:r w:rsidRPr="00D3522C">
        <w:t xml:space="preserve">Appaneal, Haley J., et al. “Early Effectiveness of the BNT162b2 KP.2 Vaccine against COVID-19 in the US Veterans Affairs Healthcare System.” Nature Communications, vol. 16, no. 1, Apr. 2025, p. 4033. DOI.org (Crossref), </w:t>
      </w:r>
      <w:hyperlink r:id="rId17" w:history="1">
        <w:r w:rsidR="004E19FB" w:rsidRPr="00F522BF">
          <w:rPr>
            <w:rStyle w:val="Hyperlink"/>
          </w:rPr>
          <w:t>https://doi.org/10.1038/s41467-025-59344-7</w:t>
        </w:r>
      </w:hyperlink>
      <w:r w:rsidRPr="00D3522C">
        <w:t>.</w:t>
      </w:r>
    </w:p>
    <w:p w14:paraId="2D157D9F" w14:textId="714C4B1B" w:rsidR="00796C95" w:rsidRDefault="004E19FB" w:rsidP="00241F28">
      <w:pPr>
        <w:pStyle w:val="Bibliography"/>
        <w:numPr>
          <w:ilvl w:val="0"/>
          <w:numId w:val="14"/>
        </w:numPr>
        <w:rPr>
          <w:noProof/>
        </w:rPr>
      </w:pPr>
      <w:r w:rsidRPr="004E19FB">
        <w:t xml:space="preserve">Cai, Miao, et al. “Association of 2024–2025 Covid-19 Vaccine with Covid-19 Outcomes in U.S. Veterans.” New England Journal of Medicine, vol. 393, no. 16, Oct. 2025, pp. 1612–23. DOI.org (Crossref), </w:t>
      </w:r>
      <w:hyperlink r:id="rId18" w:history="1">
        <w:r w:rsidR="00796C95" w:rsidRPr="00F522BF">
          <w:rPr>
            <w:rStyle w:val="Hyperlink"/>
          </w:rPr>
          <w:t>https://doi.org/10.1056/NEJMoa2510226</w:t>
        </w:r>
      </w:hyperlink>
      <w:r w:rsidRPr="004E19FB">
        <w:t>.</w:t>
      </w:r>
      <w:r w:rsidR="005A2D62">
        <w:fldChar w:fldCharType="begin"/>
      </w:r>
      <w:r w:rsidR="005A2D62">
        <w:instrText xml:space="preserve"> BIBLIOGRAPHY  \l 1033 </w:instrText>
      </w:r>
      <w:r w:rsidR="005A2D62">
        <w:fldChar w:fldCharType="separate"/>
      </w:r>
    </w:p>
    <w:p w14:paraId="466637C1" w14:textId="1768DDE6" w:rsidR="005A2D62" w:rsidRDefault="005A2D62" w:rsidP="00241F28">
      <w:pPr>
        <w:pStyle w:val="Bibliography"/>
        <w:numPr>
          <w:ilvl w:val="0"/>
          <w:numId w:val="14"/>
        </w:numPr>
        <w:rPr>
          <w:noProof/>
        </w:rPr>
      </w:pPr>
      <w:r>
        <w:rPr>
          <w:noProof/>
        </w:rPr>
        <w:t xml:space="preserve">Amanda B Payne, P. M. (2026). Updates on COVID-19 Vaccine Effectiveness. </w:t>
      </w:r>
      <w:r w:rsidRPr="00796C95">
        <w:rPr>
          <w:i/>
          <w:iCs/>
          <w:noProof/>
        </w:rPr>
        <w:t>National Center for Immunization and Respiratory Diseases, MPHCenters for Disease Control and Prevention presentation to the Vaccines and Related Biological Products Advisory Committee of the U.S. Food and Drug Administration.</w:t>
      </w:r>
      <w:r>
        <w:rPr>
          <w:noProof/>
        </w:rPr>
        <w:t xml:space="preserve"> </w:t>
      </w:r>
    </w:p>
    <w:p w14:paraId="79E49FD5" w14:textId="13EFAD33" w:rsidR="0000762E" w:rsidRDefault="00A07FAB" w:rsidP="00A07FAB">
      <w:pPr>
        <w:pStyle w:val="ListParagraph"/>
        <w:numPr>
          <w:ilvl w:val="0"/>
          <w:numId w:val="14"/>
        </w:numPr>
      </w:pPr>
      <w:r w:rsidRPr="00A07FAB">
        <w:t>Tartof, Sara Y., et al. “BNT162b2 2024-2025 Vaccine Effectiveness Against COVID-19 in Children Aged 6 Months-17 Years.” Journal of the Pediatric Infectious Diseases Society, vol. 15, no. 5, May 2026, p. piag029. DOI.org (Crossref), https://doi.org/10.1093/jpids/piag029.</w:t>
      </w:r>
    </w:p>
    <w:p w14:paraId="3B4B4B72" w14:textId="5DEB5051" w:rsidR="009706C0" w:rsidRDefault="009706C0" w:rsidP="00A07FAB">
      <w:pPr>
        <w:pStyle w:val="ListParagraph"/>
        <w:numPr>
          <w:ilvl w:val="0"/>
          <w:numId w:val="14"/>
        </w:numPr>
      </w:pPr>
      <w:r w:rsidRPr="009706C0">
        <w:t>Link-Gelles, Ruth. Effectiveness of COVID-19 Vaccines . National Center for Immunization and Respiratory Diseases, CDC, 23 Oct. 2024, https://www.cdc.gov/acip/downloads/slides-2024-10-23-24/04-COVID-Link-Gelles-508.pdf.</w:t>
      </w:r>
    </w:p>
    <w:p w14:paraId="578C5F72" w14:textId="472E67B1" w:rsidR="00402928" w:rsidRDefault="00402928" w:rsidP="00A07FAB">
      <w:pPr>
        <w:pStyle w:val="ListParagraph"/>
        <w:numPr>
          <w:ilvl w:val="0"/>
          <w:numId w:val="14"/>
        </w:numPr>
      </w:pPr>
      <w:r w:rsidRPr="00402928">
        <w:t xml:space="preserve">Delahoy, Miranda J., et al. “Characteristics and Maternal and Birth Outcomes of Hospitalized Pregnant Women with Laboratory-Confirmed COVID-19 — COVID-NET, </w:t>
      </w:r>
      <w:r w:rsidRPr="00402928">
        <w:lastRenderedPageBreak/>
        <w:t>13 States, March 1–August 22, 2020.” MMWR. Morbidity and Mortality Weekly Report, vol. 69, no. 38, Sept. 2020, pp. 1347–54. DOI.org (Crossref), https://doi.org/10.15585/mmwr.mm6938e1.</w:t>
      </w:r>
    </w:p>
    <w:p w14:paraId="42E15E24" w14:textId="3DF2D3BB" w:rsidR="005B788B" w:rsidRDefault="005B788B" w:rsidP="00A07FAB">
      <w:pPr>
        <w:pStyle w:val="ListParagraph"/>
        <w:numPr>
          <w:ilvl w:val="0"/>
          <w:numId w:val="14"/>
        </w:numPr>
      </w:pPr>
      <w:r w:rsidRPr="005B788B">
        <w:t>DeSisto, Carla L., et al. “Risk for Stillbirth Among Women With and Without COVID-19 at Delivery Hospitalization — United States, March 2020–September 2021.” MMWR. Morbidity and Mortality Weekly Report, vol. 70, no. 47, Nov. 2021, pp. 1640–45. DOI.org (Crossref), https://doi.org/10.15585/mmwr.mm7047e1.</w:t>
      </w:r>
    </w:p>
    <w:p w14:paraId="224DC858" w14:textId="77777777" w:rsidR="00907CEC" w:rsidRDefault="00FE494E" w:rsidP="003258D6">
      <w:pPr>
        <w:pStyle w:val="ListParagraph"/>
        <w:numPr>
          <w:ilvl w:val="0"/>
          <w:numId w:val="14"/>
        </w:numPr>
      </w:pPr>
      <w:r w:rsidRPr="00FE494E">
        <w:t>Villar, José, et al. “Maternal and Neonatal Morbidity and Mortality Among Pregnant Women With and Without COVID-19 Infection: The INTERCOVID Multinational Cohort Study.” JAMA Pediatrics, vol. 175, no. 8, Aug. 2021, p. 817. DOI.org (Crossref), https://doi.org/10.1001/jamapediatrics.2021.1050.</w:t>
      </w:r>
    </w:p>
    <w:p w14:paraId="20007A63" w14:textId="77777777" w:rsidR="00D145A9" w:rsidRDefault="005A2D62" w:rsidP="00D145A9">
      <w:pPr>
        <w:pStyle w:val="ListParagraph"/>
        <w:numPr>
          <w:ilvl w:val="0"/>
          <w:numId w:val="14"/>
        </w:numPr>
      </w:pPr>
      <w:r>
        <w:rPr>
          <w:noProof/>
        </w:rPr>
        <w:t xml:space="preserve">Ball, S. W. (2025). Effectiveness of 2023–2024 Coronavirus Disease 2019 (COVID-19) Vaccines in Pregnant Women. </w:t>
      </w:r>
      <w:r w:rsidRPr="003258D6">
        <w:rPr>
          <w:i/>
          <w:iCs/>
          <w:noProof/>
        </w:rPr>
        <w:t>Obstetrics &amp; Gynecology,</w:t>
      </w:r>
      <w:r>
        <w:rPr>
          <w:noProof/>
        </w:rPr>
        <w:t>, 569-573.</w:t>
      </w:r>
    </w:p>
    <w:p w14:paraId="68070000" w14:textId="77777777" w:rsidR="00D145A9" w:rsidRDefault="005A2D62" w:rsidP="00D145A9">
      <w:pPr>
        <w:pStyle w:val="ListParagraph"/>
        <w:numPr>
          <w:ilvl w:val="0"/>
          <w:numId w:val="14"/>
        </w:numPr>
      </w:pPr>
      <w:r>
        <w:rPr>
          <w:noProof/>
        </w:rPr>
        <w:t xml:space="preserve">Cardemil, Y. P. (2024). Maternal COVID-19 Vaccination and Prevention of Symptomatic Infection in Infants. </w:t>
      </w:r>
      <w:r w:rsidRPr="00D145A9">
        <w:rPr>
          <w:i/>
          <w:iCs/>
          <w:noProof/>
        </w:rPr>
        <w:t xml:space="preserve">Pediatrics </w:t>
      </w:r>
      <w:r>
        <w:rPr>
          <w:noProof/>
        </w:rPr>
        <w:t>.</w:t>
      </w:r>
    </w:p>
    <w:p w14:paraId="4F0B0E64" w14:textId="082AABA1" w:rsidR="005A2D62" w:rsidRDefault="005A2D62" w:rsidP="00D145A9">
      <w:pPr>
        <w:pStyle w:val="ListParagraph"/>
        <w:numPr>
          <w:ilvl w:val="0"/>
          <w:numId w:val="14"/>
        </w:numPr>
      </w:pPr>
      <w:r>
        <w:rPr>
          <w:noProof/>
        </w:rPr>
        <w:t xml:space="preserve">Simeone RM, Z. L. (2023). Effectiveness of Maternal mRNA COVID-19 Vaccination During Pregnancy Against COVID-19–Associated Hospitalizations in Infants Aged &lt;6 Months During SARS-CoV-2 Omicron Predominance — 20 States, March 9, 2022–May 31,2023. </w:t>
      </w:r>
      <w:r w:rsidRPr="00D145A9">
        <w:rPr>
          <w:i/>
          <w:iCs/>
          <w:noProof/>
        </w:rPr>
        <w:t>MMWR Morb Mortal Wkly Rep</w:t>
      </w:r>
      <w:r>
        <w:rPr>
          <w:noProof/>
        </w:rPr>
        <w:t>.</w:t>
      </w:r>
    </w:p>
    <w:p w14:paraId="3FBF21A5" w14:textId="5CC70ACA" w:rsidR="00C64EE8" w:rsidRDefault="00C64EE8" w:rsidP="00D145A9">
      <w:pPr>
        <w:pStyle w:val="ListParagraph"/>
        <w:numPr>
          <w:ilvl w:val="0"/>
          <w:numId w:val="14"/>
        </w:numPr>
      </w:pPr>
      <w:r w:rsidRPr="00C64EE8">
        <w:t>Norman, Mikael, et al. “Neonatal Outcomes After COVID-19 Vaccination in Pregnancy.” JAMA, vol. 331, no. 5, Feb. 2024, p. 396. DOI.org (Crossref), https://doi.org/10.1001/jama.2023.26945.</w:t>
      </w:r>
    </w:p>
    <w:p w14:paraId="08219C93" w14:textId="4BAE838E" w:rsidR="00DB2AF4" w:rsidRDefault="00DB2AF4" w:rsidP="00D145A9">
      <w:pPr>
        <w:pStyle w:val="ListParagraph"/>
        <w:numPr>
          <w:ilvl w:val="0"/>
          <w:numId w:val="14"/>
        </w:numPr>
      </w:pPr>
      <w:r w:rsidRPr="00DB2AF4">
        <w:t>Jaswa, Eleni G., et al. “In Utero Exposure to Maternal COVID-19 Vaccination and Offspring Neurodevelopment at 12 and 18 Months.” JAMA Pediatrics, vol. 178, no. 3, Mar. 2024, p. 258. DOI.org (Crossref), https://doi.org/10.1001/jamapediatrics.2023.5743.</w:t>
      </w:r>
    </w:p>
    <w:p w14:paraId="76D7ADAA" w14:textId="297F7818" w:rsidR="00F575B3" w:rsidRDefault="00F575B3" w:rsidP="00D145A9">
      <w:pPr>
        <w:pStyle w:val="ListParagraph"/>
        <w:numPr>
          <w:ilvl w:val="0"/>
          <w:numId w:val="14"/>
        </w:numPr>
      </w:pPr>
      <w:r w:rsidRPr="00F575B3">
        <w:t>Tracking Long COVID. National Center for Immunization and Respiratory Diseases (NCIRD); Coronavirus and Other Respiratory Viruses Division, CDC, https://www.cdc.gov/long-covid/php/surveillance/index.html.</w:t>
      </w:r>
    </w:p>
    <w:p w14:paraId="218CFB03" w14:textId="0EAC71E6" w:rsidR="008A1B95" w:rsidRDefault="008A1B95" w:rsidP="00D145A9">
      <w:pPr>
        <w:pStyle w:val="ListParagraph"/>
        <w:numPr>
          <w:ilvl w:val="0"/>
          <w:numId w:val="14"/>
        </w:numPr>
      </w:pPr>
      <w:r w:rsidRPr="008A1B95">
        <w:t>Tian, Jiazi, et al. “Long COVID Persistence and Surveillance Gaps Across 58 US Hospitals.” JAMA Network Open, vol. 9, no. 5, May 2026, p. e2614909. DOI.org (Crossref), https://doi.org/10.1001/jamanetworkopen.2026.14909.</w:t>
      </w:r>
    </w:p>
    <w:p w14:paraId="70EF02DE" w14:textId="11D80BA9" w:rsidR="00114137" w:rsidRDefault="00114137" w:rsidP="00D145A9">
      <w:pPr>
        <w:pStyle w:val="ListParagraph"/>
        <w:numPr>
          <w:ilvl w:val="0"/>
          <w:numId w:val="14"/>
        </w:numPr>
      </w:pPr>
      <w:r w:rsidRPr="00114137">
        <w:t>Bartsch, Sarah M., et al. “The Current and Future Burden of Long COVID in the United States.” The Journal of Infectious Diseases, vol. 231, no. 6, July 2025, pp. 1581–90. DOI.org (Crossref), https://doi.org/10.1093/infdis/jiaf030.</w:t>
      </w:r>
    </w:p>
    <w:p w14:paraId="1ADA1191" w14:textId="6DF09B6A" w:rsidR="00F87911" w:rsidRDefault="00F87911" w:rsidP="00D145A9">
      <w:pPr>
        <w:pStyle w:val="ListParagraph"/>
        <w:numPr>
          <w:ilvl w:val="0"/>
          <w:numId w:val="14"/>
        </w:numPr>
      </w:pPr>
      <w:r w:rsidRPr="00F87911">
        <w:t xml:space="preserve">Green, Rhiannon, et al. “A Systematic Review and Meta-Analysis of the Impact of Vaccination on Prevention of Long COVID.” Nature Communications, vol. 16, no. 1, </w:t>
      </w:r>
      <w:r w:rsidRPr="00F87911">
        <w:lastRenderedPageBreak/>
        <w:t>Nov. 2025, p. 10326. DOI.org (Crossref), https://doi.org/10.1038/s41467-025-65302-0.</w:t>
      </w:r>
    </w:p>
    <w:p w14:paraId="6765B700" w14:textId="77777777" w:rsidR="0071588A" w:rsidRDefault="0071588A" w:rsidP="0071588A">
      <w:pPr>
        <w:pStyle w:val="ListParagraph"/>
        <w:numPr>
          <w:ilvl w:val="0"/>
          <w:numId w:val="14"/>
        </w:numPr>
      </w:pPr>
      <w:r w:rsidRPr="0071588A">
        <w:t>Yousaf, Anna R., et al. “COVID-19 Vaccination and Odds of Post-COVID-19 Condition Symptoms in Children Aged 5 to 17 Years.” JAMA Network Open, vol. 8, no. 2, Feb. 2025, p. e2459672. PubMed, https://doi.org/10.1001/jamanetworkopen.2024.59672.</w:t>
      </w:r>
    </w:p>
    <w:p w14:paraId="580699D0" w14:textId="77777777" w:rsidR="00C47CC1" w:rsidRDefault="00F973DD" w:rsidP="00C47CC1">
      <w:pPr>
        <w:pStyle w:val="ListParagraph"/>
        <w:numPr>
          <w:ilvl w:val="0"/>
          <w:numId w:val="14"/>
        </w:numPr>
      </w:pPr>
      <w:r w:rsidRPr="00F973DD">
        <w:t>Buchan, Sarah A., et al. “Epidemiology of Myocarditis and Pericarditis Following mRNA Vaccination by Vaccine Product, Schedule, and Interdose Interval Among Adolescents and Adults in Ontario, Canada.” JAMA Network Open, vol. 5, no. 6, June 2022, p. e2218505. DOI.org (Crossref), https://doi.org/10.1001/jamanetworkopen.2022.18505.</w:t>
      </w:r>
    </w:p>
    <w:p w14:paraId="201DEF6B" w14:textId="30D4351E" w:rsidR="0071588A" w:rsidRDefault="00C47CC1" w:rsidP="00C47CC1">
      <w:pPr>
        <w:pStyle w:val="ListParagraph"/>
        <w:numPr>
          <w:ilvl w:val="0"/>
          <w:numId w:val="14"/>
        </w:numPr>
      </w:pPr>
      <w:r w:rsidRPr="00C47CC1">
        <w:t>FDA Approves Required Updated Warning in Labeling of mRNA COVID-19 Vaccines Regarding Myocarditis and Pericarditis Following Vaccination. 25 June 2025, https://www.fda.gov/vaccines-blood-biologics/safety-availability-biologics/fda-approves-required-updated-warning-labeling-mrna-covid-19-vaccines-regarding-myocarditis-and?utm_source=chatgpt.com.</w:t>
      </w:r>
    </w:p>
    <w:p w14:paraId="296F4DF5" w14:textId="77777777" w:rsidR="0077467F" w:rsidRDefault="0077467F" w:rsidP="0071588A">
      <w:pPr>
        <w:pStyle w:val="ListParagraph"/>
      </w:pPr>
    </w:p>
    <w:p w14:paraId="6553803D" w14:textId="77777777" w:rsidR="0060754B" w:rsidRDefault="0060754B" w:rsidP="0071588A">
      <w:pPr>
        <w:pStyle w:val="ListParagraph"/>
      </w:pPr>
    </w:p>
    <w:p w14:paraId="6D73E4A4" w14:textId="121761A4" w:rsidR="0060754B" w:rsidRDefault="0060754B">
      <w:r>
        <w:br w:type="page"/>
      </w:r>
    </w:p>
    <w:p w14:paraId="26098002" w14:textId="77777777" w:rsidR="0060754B" w:rsidRDefault="0060754B" w:rsidP="0071588A">
      <w:pPr>
        <w:pStyle w:val="ListParagraph"/>
      </w:pPr>
    </w:p>
    <w:p w14:paraId="25E65925" w14:textId="3E14983A" w:rsidR="0093573B" w:rsidRPr="0013155C" w:rsidRDefault="005A2D62" w:rsidP="005A2D62">
      <w:pPr>
        <w:rPr>
          <w:b/>
          <w:bCs/>
        </w:rPr>
      </w:pPr>
      <w:r>
        <w:fldChar w:fldCharType="end"/>
      </w:r>
      <w:r w:rsidR="005A7D6C" w:rsidRPr="0013155C">
        <w:rPr>
          <w:b/>
          <w:bCs/>
        </w:rPr>
        <w:t>Tab</w:t>
      </w:r>
      <w:r w:rsidR="00AD08F4" w:rsidRPr="0013155C">
        <w:rPr>
          <w:b/>
          <w:bCs/>
        </w:rPr>
        <w:t>le 1</w:t>
      </w:r>
      <w:r w:rsidR="0013155C">
        <w:rPr>
          <w:b/>
          <w:bCs/>
        </w:rPr>
        <w:t xml:space="preserve"> </w:t>
      </w:r>
      <w:r w:rsidR="00CC5216">
        <w:rPr>
          <w:b/>
          <w:bCs/>
        </w:rPr>
        <w:t>–</w:t>
      </w:r>
      <w:r w:rsidR="0013155C">
        <w:rPr>
          <w:b/>
          <w:bCs/>
        </w:rPr>
        <w:t xml:space="preserve"> </w:t>
      </w:r>
      <w:r w:rsidR="0013155C" w:rsidRPr="00200139">
        <w:rPr>
          <w:b/>
          <w:bCs/>
        </w:rPr>
        <w:t>Conditions</w:t>
      </w:r>
      <w:r w:rsidR="00200139" w:rsidRPr="00200139">
        <w:rPr>
          <w:rFonts w:eastAsia="Times New Roman" w:cs="Poppins"/>
          <w:b/>
          <w:bCs/>
          <w:color w:val="3D4551"/>
          <w:spacing w:val="-1"/>
          <w:kern w:val="36"/>
          <w14:ligatures w14:val="none"/>
        </w:rPr>
        <w:t xml:space="preserve"> Associated with </w:t>
      </w:r>
      <w:r w:rsidR="00CC5216" w:rsidRPr="00200139">
        <w:rPr>
          <w:b/>
          <w:bCs/>
        </w:rPr>
        <w:t>Higher</w:t>
      </w:r>
      <w:r w:rsidR="00CC5216" w:rsidRPr="00CC5216">
        <w:rPr>
          <w:b/>
          <w:bCs/>
        </w:rPr>
        <w:t xml:space="preserve"> Risk for Severe COVID-19</w:t>
      </w:r>
    </w:p>
    <w:tbl>
      <w:tblPr>
        <w:tblStyle w:val="TableGrid"/>
        <w:tblW w:w="0" w:type="auto"/>
        <w:tblLook w:val="04A0" w:firstRow="1" w:lastRow="0" w:firstColumn="1" w:lastColumn="0" w:noHBand="0" w:noVBand="1"/>
      </w:tblPr>
      <w:tblGrid>
        <w:gridCol w:w="9350"/>
      </w:tblGrid>
      <w:tr w:rsidR="001370D2" w14:paraId="12558F32" w14:textId="77777777" w:rsidTr="001370D2">
        <w:tc>
          <w:tcPr>
            <w:tcW w:w="9350" w:type="dxa"/>
          </w:tcPr>
          <w:p w14:paraId="4ACF6B56" w14:textId="1EFA08C0" w:rsidR="001370D2" w:rsidRPr="0033047E" w:rsidRDefault="00FA20E4" w:rsidP="005A2D62">
            <w:pPr>
              <w:rPr>
                <w:b/>
                <w:bCs/>
              </w:rPr>
            </w:pPr>
            <w:r w:rsidRPr="0033047E">
              <w:rPr>
                <w:b/>
                <w:bCs/>
              </w:rPr>
              <w:t xml:space="preserve">Conditions </w:t>
            </w:r>
            <w:r w:rsidR="00EB3C0C" w:rsidRPr="0033047E">
              <w:rPr>
                <w:b/>
                <w:bCs/>
              </w:rPr>
              <w:t xml:space="preserve">associated with higher risk of severe COVID-19 </w:t>
            </w:r>
            <w:r w:rsidR="006E5B28" w:rsidRPr="0033047E">
              <w:rPr>
                <w:b/>
                <w:bCs/>
              </w:rPr>
              <w:t>disease</w:t>
            </w:r>
          </w:p>
        </w:tc>
      </w:tr>
      <w:tr w:rsidR="001370D2" w14:paraId="126C6E73" w14:textId="77777777" w:rsidTr="001370D2">
        <w:tc>
          <w:tcPr>
            <w:tcW w:w="9350" w:type="dxa"/>
          </w:tcPr>
          <w:p w14:paraId="1FA2E8D8" w14:textId="77777777" w:rsidR="006E5B28" w:rsidRPr="00AD08F4" w:rsidRDefault="006E5B28" w:rsidP="0033047E">
            <w:pPr>
              <w:spacing w:line="276" w:lineRule="auto"/>
            </w:pPr>
            <w:r w:rsidRPr="00AD08F4">
              <w:t>Asthma</w:t>
            </w:r>
          </w:p>
          <w:p w14:paraId="47CB57D9" w14:textId="77777777" w:rsidR="006E5B28" w:rsidRPr="00AD08F4" w:rsidRDefault="006E5B28" w:rsidP="0033047E">
            <w:pPr>
              <w:spacing w:line="276" w:lineRule="auto"/>
            </w:pPr>
            <w:r w:rsidRPr="00AD08F4">
              <w:t>Cancer</w:t>
            </w:r>
          </w:p>
          <w:p w14:paraId="5EF5EE35" w14:textId="77777777" w:rsidR="006E5B28" w:rsidRPr="00AD08F4" w:rsidRDefault="006E5B28" w:rsidP="0033047E">
            <w:pPr>
              <w:numPr>
                <w:ilvl w:val="0"/>
                <w:numId w:val="15"/>
              </w:numPr>
              <w:spacing w:line="276" w:lineRule="auto"/>
            </w:pPr>
            <w:r w:rsidRPr="00AD08F4">
              <w:t>Hematologic Malignancies</w:t>
            </w:r>
          </w:p>
          <w:p w14:paraId="1BC040F2" w14:textId="77777777" w:rsidR="006E5B28" w:rsidRPr="00AD08F4" w:rsidRDefault="006E5B28" w:rsidP="0033047E">
            <w:pPr>
              <w:spacing w:line="276" w:lineRule="auto"/>
            </w:pPr>
            <w:r w:rsidRPr="00AD08F4">
              <w:t>Cerebrovascular disease</w:t>
            </w:r>
          </w:p>
          <w:p w14:paraId="398847A6" w14:textId="77777777" w:rsidR="006E5B28" w:rsidRPr="00AD08F4" w:rsidRDefault="006E5B28" w:rsidP="0033047E">
            <w:pPr>
              <w:spacing w:line="276" w:lineRule="auto"/>
            </w:pPr>
            <w:r w:rsidRPr="00AD08F4">
              <w:t>Chronic kidney disease*</w:t>
            </w:r>
          </w:p>
          <w:p w14:paraId="3C318CF0" w14:textId="77777777" w:rsidR="006E5B28" w:rsidRDefault="006E5B28" w:rsidP="0033047E">
            <w:pPr>
              <w:numPr>
                <w:ilvl w:val="0"/>
                <w:numId w:val="16"/>
              </w:numPr>
              <w:spacing w:line="276" w:lineRule="auto"/>
            </w:pPr>
            <w:r w:rsidRPr="00AD08F4">
              <w:t>People receiving dialysis </w:t>
            </w:r>
          </w:p>
          <w:p w14:paraId="53F8A0AA" w14:textId="77777777" w:rsidR="006E5B28" w:rsidRPr="00AD08F4" w:rsidRDefault="006E5B28" w:rsidP="0033047E">
            <w:pPr>
              <w:spacing w:line="276" w:lineRule="auto"/>
            </w:pPr>
            <w:r w:rsidRPr="00AD08F4">
              <w:t>Chronic lung diseases limited to:</w:t>
            </w:r>
          </w:p>
          <w:p w14:paraId="04386C8F" w14:textId="77777777" w:rsidR="006E5B28" w:rsidRPr="00AD08F4" w:rsidRDefault="006E5B28" w:rsidP="0033047E">
            <w:pPr>
              <w:numPr>
                <w:ilvl w:val="0"/>
                <w:numId w:val="17"/>
              </w:numPr>
              <w:spacing w:line="276" w:lineRule="auto"/>
            </w:pPr>
            <w:r w:rsidRPr="00AD08F4">
              <w:t>Bronchiectasis</w:t>
            </w:r>
          </w:p>
          <w:p w14:paraId="03A9526A" w14:textId="77777777" w:rsidR="006E5B28" w:rsidRPr="00AD08F4" w:rsidRDefault="006E5B28" w:rsidP="0033047E">
            <w:pPr>
              <w:numPr>
                <w:ilvl w:val="0"/>
                <w:numId w:val="17"/>
              </w:numPr>
              <w:spacing w:line="276" w:lineRule="auto"/>
            </w:pPr>
            <w:r w:rsidRPr="00AD08F4">
              <w:t>COPD (Chronic obstructive pulmonary disease)</w:t>
            </w:r>
          </w:p>
          <w:p w14:paraId="11CB6349" w14:textId="77777777" w:rsidR="006E5B28" w:rsidRPr="00AD08F4" w:rsidRDefault="006E5B28" w:rsidP="0033047E">
            <w:pPr>
              <w:numPr>
                <w:ilvl w:val="0"/>
                <w:numId w:val="17"/>
              </w:numPr>
              <w:spacing w:line="276" w:lineRule="auto"/>
            </w:pPr>
            <w:r w:rsidRPr="00AD08F4">
              <w:t>Interstitial lung disease</w:t>
            </w:r>
          </w:p>
          <w:p w14:paraId="42AC9287" w14:textId="77777777" w:rsidR="006E5B28" w:rsidRPr="00AD08F4" w:rsidRDefault="006E5B28" w:rsidP="0033047E">
            <w:pPr>
              <w:numPr>
                <w:ilvl w:val="0"/>
                <w:numId w:val="17"/>
              </w:numPr>
              <w:spacing w:line="276" w:lineRule="auto"/>
            </w:pPr>
            <w:r w:rsidRPr="00AD08F4">
              <w:t>Pulmonary embolism</w:t>
            </w:r>
          </w:p>
          <w:p w14:paraId="717E28EB" w14:textId="77777777" w:rsidR="006E5B28" w:rsidRPr="00AD08F4" w:rsidRDefault="006E5B28" w:rsidP="0033047E">
            <w:pPr>
              <w:numPr>
                <w:ilvl w:val="0"/>
                <w:numId w:val="17"/>
              </w:numPr>
              <w:spacing w:line="276" w:lineRule="auto"/>
            </w:pPr>
            <w:r w:rsidRPr="00AD08F4">
              <w:t>Pulmonary hypertension</w:t>
            </w:r>
          </w:p>
          <w:p w14:paraId="0FF4C472" w14:textId="77777777" w:rsidR="006E5B28" w:rsidRPr="00AD08F4" w:rsidRDefault="006E5B28" w:rsidP="0033047E">
            <w:pPr>
              <w:spacing w:line="276" w:lineRule="auto"/>
            </w:pPr>
            <w:r w:rsidRPr="00AD08F4">
              <w:t> Chronic liver diseases limited to:</w:t>
            </w:r>
          </w:p>
          <w:p w14:paraId="3C2113AB" w14:textId="77777777" w:rsidR="006E5B28" w:rsidRPr="00AD08F4" w:rsidRDefault="006E5B28" w:rsidP="0033047E">
            <w:pPr>
              <w:numPr>
                <w:ilvl w:val="0"/>
                <w:numId w:val="20"/>
              </w:numPr>
              <w:spacing w:line="276" w:lineRule="auto"/>
            </w:pPr>
            <w:r w:rsidRPr="00AD08F4">
              <w:t>Cirrhosis</w:t>
            </w:r>
          </w:p>
          <w:p w14:paraId="5BFC612F" w14:textId="77777777" w:rsidR="006E5B28" w:rsidRPr="00AD08F4" w:rsidRDefault="006E5B28" w:rsidP="0033047E">
            <w:pPr>
              <w:numPr>
                <w:ilvl w:val="0"/>
                <w:numId w:val="20"/>
              </w:numPr>
              <w:spacing w:line="276" w:lineRule="auto"/>
            </w:pPr>
            <w:r w:rsidRPr="00AD08F4">
              <w:t>Non-alcoholic fatty liver disease</w:t>
            </w:r>
          </w:p>
          <w:p w14:paraId="7C292EA6" w14:textId="77777777" w:rsidR="006E5B28" w:rsidRPr="00AD08F4" w:rsidRDefault="006E5B28" w:rsidP="0033047E">
            <w:pPr>
              <w:numPr>
                <w:ilvl w:val="0"/>
                <w:numId w:val="20"/>
              </w:numPr>
              <w:spacing w:line="276" w:lineRule="auto"/>
            </w:pPr>
            <w:r w:rsidRPr="00AD08F4">
              <w:t>Alcoholic liver disease</w:t>
            </w:r>
          </w:p>
          <w:p w14:paraId="52EF89B2" w14:textId="77777777" w:rsidR="006E5B28" w:rsidRPr="00AD08F4" w:rsidRDefault="006E5B28" w:rsidP="0033047E">
            <w:pPr>
              <w:numPr>
                <w:ilvl w:val="0"/>
                <w:numId w:val="20"/>
              </w:numPr>
              <w:spacing w:line="276" w:lineRule="auto"/>
            </w:pPr>
            <w:r w:rsidRPr="00AD08F4">
              <w:t>Autoimmune hepatitis</w:t>
            </w:r>
          </w:p>
          <w:p w14:paraId="4A824103" w14:textId="77777777" w:rsidR="006E5B28" w:rsidRPr="00AD08F4" w:rsidRDefault="006E5B28" w:rsidP="0033047E">
            <w:pPr>
              <w:spacing w:line="276" w:lineRule="auto"/>
            </w:pPr>
            <w:r w:rsidRPr="00AD08F4">
              <w:t>Cystic fibrosis</w:t>
            </w:r>
          </w:p>
          <w:p w14:paraId="0204F7A5" w14:textId="77777777" w:rsidR="006E5B28" w:rsidRPr="00AD08F4" w:rsidRDefault="006E5B28" w:rsidP="0033047E">
            <w:pPr>
              <w:spacing w:line="276" w:lineRule="auto"/>
            </w:pPr>
            <w:r w:rsidRPr="00AD08F4">
              <w:t>Diabetes mellitus, type 1</w:t>
            </w:r>
          </w:p>
          <w:p w14:paraId="139D2978" w14:textId="77777777" w:rsidR="006E5B28" w:rsidRPr="00AD08F4" w:rsidRDefault="006E5B28" w:rsidP="0033047E">
            <w:pPr>
              <w:spacing w:line="276" w:lineRule="auto"/>
            </w:pPr>
            <w:r w:rsidRPr="00AD08F4">
              <w:t>Diabetes mellitus, type 2</w:t>
            </w:r>
          </w:p>
          <w:p w14:paraId="0F4CA0BD" w14:textId="77777777" w:rsidR="006E5B28" w:rsidRPr="00AD08F4" w:rsidRDefault="006E5B28" w:rsidP="0033047E">
            <w:pPr>
              <w:spacing w:line="276" w:lineRule="auto"/>
            </w:pPr>
            <w:r w:rsidRPr="00AD08F4">
              <w:t>Disabilities</w:t>
            </w:r>
            <w:r>
              <w:t xml:space="preserve"> (</w:t>
            </w:r>
            <w:r w:rsidRPr="00AD08F4">
              <w:t>including Down syndrome</w:t>
            </w:r>
            <w:r>
              <w:t>)</w:t>
            </w:r>
          </w:p>
          <w:p w14:paraId="09BF295D" w14:textId="77777777" w:rsidR="006E5B28" w:rsidRPr="00AD08F4" w:rsidRDefault="006E5B28" w:rsidP="0033047E">
            <w:pPr>
              <w:spacing w:line="276" w:lineRule="auto"/>
            </w:pPr>
            <w:r w:rsidRPr="00AD08F4">
              <w:t>Heart conditions (such as heart failure, coronary artery disease, or cardiomyopathies)</w:t>
            </w:r>
          </w:p>
          <w:p w14:paraId="05A278D4" w14:textId="77777777" w:rsidR="006E5B28" w:rsidRPr="00AD08F4" w:rsidRDefault="006E5B28" w:rsidP="0033047E">
            <w:pPr>
              <w:spacing w:line="276" w:lineRule="auto"/>
            </w:pPr>
            <w:r w:rsidRPr="00AD08F4">
              <w:t>HIV (Human immunodeficiency virus)</w:t>
            </w:r>
          </w:p>
          <w:p w14:paraId="45021EA7" w14:textId="77777777" w:rsidR="006E5B28" w:rsidRPr="00AD08F4" w:rsidRDefault="006E5B28" w:rsidP="0033047E">
            <w:pPr>
              <w:spacing w:line="276" w:lineRule="auto"/>
            </w:pPr>
            <w:r w:rsidRPr="00AD08F4">
              <w:t>Mental health conditions limited to:</w:t>
            </w:r>
          </w:p>
          <w:p w14:paraId="7D5ECB00" w14:textId="77777777" w:rsidR="006E5B28" w:rsidRPr="00AD08F4" w:rsidRDefault="006E5B28" w:rsidP="0033047E">
            <w:pPr>
              <w:numPr>
                <w:ilvl w:val="0"/>
                <w:numId w:val="21"/>
              </w:numPr>
              <w:spacing w:line="276" w:lineRule="auto"/>
            </w:pPr>
            <w:r w:rsidRPr="00AD08F4">
              <w:t>Mood disorders, including depression</w:t>
            </w:r>
          </w:p>
          <w:p w14:paraId="389EB324" w14:textId="77777777" w:rsidR="006E5B28" w:rsidRPr="00AD08F4" w:rsidRDefault="006E5B28" w:rsidP="0033047E">
            <w:pPr>
              <w:numPr>
                <w:ilvl w:val="0"/>
                <w:numId w:val="21"/>
              </w:numPr>
              <w:spacing w:line="276" w:lineRule="auto"/>
            </w:pPr>
            <w:r w:rsidRPr="00AD08F4">
              <w:t>Schizophrenia spectrum disorders</w:t>
            </w:r>
          </w:p>
          <w:p w14:paraId="3B4B3489" w14:textId="77777777" w:rsidR="006E5B28" w:rsidRPr="00AD08F4" w:rsidRDefault="006E5B28" w:rsidP="0033047E">
            <w:pPr>
              <w:spacing w:line="276" w:lineRule="auto"/>
            </w:pPr>
            <w:r w:rsidRPr="00AD08F4">
              <w:t>Meta-Analysis/ Systematic Review </w:t>
            </w:r>
          </w:p>
          <w:p w14:paraId="4F2B380C" w14:textId="77777777" w:rsidR="006E5B28" w:rsidRPr="00AD08F4" w:rsidRDefault="006E5B28" w:rsidP="0033047E">
            <w:pPr>
              <w:spacing w:line="276" w:lineRule="auto"/>
            </w:pPr>
            <w:r w:rsidRPr="00AD08F4">
              <w:t>Neurologic conditions limited to dementia and Parkinson’s Disease</w:t>
            </w:r>
          </w:p>
          <w:p w14:paraId="4811FAC0" w14:textId="77777777" w:rsidR="006E5B28" w:rsidRPr="00AD08F4" w:rsidRDefault="006E5B28" w:rsidP="0033047E">
            <w:pPr>
              <w:spacing w:line="276" w:lineRule="auto"/>
            </w:pPr>
            <w:r w:rsidRPr="00AD08F4">
              <w:t>Obesity (BMI</w:t>
            </w:r>
            <w:r w:rsidRPr="00AD08F4">
              <w:rPr>
                <w:rFonts w:ascii="Arial" w:hAnsi="Arial" w:cs="Arial"/>
              </w:rPr>
              <w:t> </w:t>
            </w:r>
            <w:r w:rsidRPr="00AD08F4">
              <w:rPr>
                <w:u w:val="single"/>
              </w:rPr>
              <w:t>&gt;</w:t>
            </w:r>
            <w:r w:rsidRPr="00AD08F4">
              <w:t>30 kg/m</w:t>
            </w:r>
            <w:r w:rsidRPr="00AD08F4">
              <w:rPr>
                <w:vertAlign w:val="superscript"/>
              </w:rPr>
              <w:t>2</w:t>
            </w:r>
            <w:r w:rsidRPr="00AD08F4">
              <w:rPr>
                <w:rFonts w:ascii="Arial" w:hAnsi="Arial" w:cs="Arial"/>
              </w:rPr>
              <w:t> </w:t>
            </w:r>
            <w:r w:rsidRPr="00AD08F4">
              <w:t>or</w:t>
            </w:r>
            <w:r w:rsidRPr="00AD08F4">
              <w:rPr>
                <w:rFonts w:ascii="Arial" w:hAnsi="Arial" w:cs="Arial"/>
              </w:rPr>
              <w:t> </w:t>
            </w:r>
            <w:r w:rsidRPr="00AD08F4">
              <w:rPr>
                <w:u w:val="single"/>
              </w:rPr>
              <w:t>&gt;</w:t>
            </w:r>
            <w:r w:rsidRPr="00AD08F4">
              <w:t>95</w:t>
            </w:r>
            <w:r w:rsidRPr="00AD08F4">
              <w:rPr>
                <w:vertAlign w:val="superscript"/>
              </w:rPr>
              <w:t>th</w:t>
            </w:r>
            <w:r w:rsidRPr="00AD08F4">
              <w:rPr>
                <w:rFonts w:ascii="Arial" w:hAnsi="Arial" w:cs="Arial"/>
              </w:rPr>
              <w:t> </w:t>
            </w:r>
            <w:r w:rsidRPr="00AD08F4">
              <w:t>percentile in children)</w:t>
            </w:r>
          </w:p>
          <w:p w14:paraId="74CD8225" w14:textId="77777777" w:rsidR="006E5B28" w:rsidRPr="00AD08F4" w:rsidRDefault="006E5B28" w:rsidP="0033047E">
            <w:pPr>
              <w:spacing w:line="276" w:lineRule="auto"/>
            </w:pPr>
            <w:r w:rsidRPr="00AD08F4">
              <w:t>Physical inactivity</w:t>
            </w:r>
          </w:p>
          <w:p w14:paraId="0B06C2F3" w14:textId="77777777" w:rsidR="006E5B28" w:rsidRPr="00AD08F4" w:rsidRDefault="006E5B28" w:rsidP="0033047E">
            <w:pPr>
              <w:spacing w:line="276" w:lineRule="auto"/>
            </w:pPr>
            <w:r w:rsidRPr="00AD08F4">
              <w:t>Pregnancy and recent pregnancy</w:t>
            </w:r>
          </w:p>
          <w:p w14:paraId="1D71A159" w14:textId="77777777" w:rsidR="006E5B28" w:rsidRPr="00AD08F4" w:rsidRDefault="006E5B28" w:rsidP="0033047E">
            <w:pPr>
              <w:spacing w:line="276" w:lineRule="auto"/>
            </w:pPr>
            <w:r w:rsidRPr="00AD08F4">
              <w:t>Primary immunodeficiencies</w:t>
            </w:r>
          </w:p>
          <w:p w14:paraId="2B47883C" w14:textId="77777777" w:rsidR="006E5B28" w:rsidRPr="00AD08F4" w:rsidRDefault="006E5B28" w:rsidP="0033047E">
            <w:pPr>
              <w:spacing w:line="276" w:lineRule="auto"/>
            </w:pPr>
            <w:r w:rsidRPr="00AD08F4">
              <w:t>Smoking, current and former</w:t>
            </w:r>
          </w:p>
          <w:p w14:paraId="72422269" w14:textId="77777777" w:rsidR="006E5B28" w:rsidRPr="00AD08F4" w:rsidRDefault="006E5B28" w:rsidP="0033047E">
            <w:pPr>
              <w:spacing w:line="276" w:lineRule="auto"/>
            </w:pPr>
            <w:r w:rsidRPr="00AD08F4">
              <w:t>Solid organ or blood stem cell transplantation</w:t>
            </w:r>
          </w:p>
          <w:p w14:paraId="6E2F1452" w14:textId="77777777" w:rsidR="006E5B28" w:rsidRPr="00AD08F4" w:rsidRDefault="006E5B28" w:rsidP="0033047E">
            <w:pPr>
              <w:spacing w:line="276" w:lineRule="auto"/>
            </w:pPr>
            <w:r w:rsidRPr="00AD08F4">
              <w:lastRenderedPageBreak/>
              <w:t>Tuberculosis</w:t>
            </w:r>
          </w:p>
          <w:p w14:paraId="5B882E7E" w14:textId="54EB0C9B" w:rsidR="001370D2" w:rsidRDefault="006E5B28" w:rsidP="0033047E">
            <w:pPr>
              <w:spacing w:line="276" w:lineRule="auto"/>
            </w:pPr>
            <w:r w:rsidRPr="00AD08F4">
              <w:t>Use of corticosteroids or other immunosuppressive medications</w:t>
            </w:r>
          </w:p>
        </w:tc>
      </w:tr>
      <w:tr w:rsidR="006E5B28" w14:paraId="45FD4DF2" w14:textId="77777777" w:rsidTr="001370D2">
        <w:tc>
          <w:tcPr>
            <w:tcW w:w="9350" w:type="dxa"/>
          </w:tcPr>
          <w:p w14:paraId="55D420DB" w14:textId="079055E1" w:rsidR="006E5B28" w:rsidRPr="0033047E" w:rsidRDefault="00B6403E" w:rsidP="006E5B28">
            <w:pPr>
              <w:rPr>
                <w:b/>
                <w:bCs/>
              </w:rPr>
            </w:pPr>
            <w:r w:rsidRPr="0033047E">
              <w:rPr>
                <w:b/>
                <w:bCs/>
              </w:rPr>
              <w:lastRenderedPageBreak/>
              <w:t>Conditions likely to be associated with higher risk of severe COVID-19 disease</w:t>
            </w:r>
          </w:p>
        </w:tc>
      </w:tr>
      <w:tr w:rsidR="006E5B28" w14:paraId="743C0B7C" w14:textId="77777777" w:rsidTr="001370D2">
        <w:tc>
          <w:tcPr>
            <w:tcW w:w="9350" w:type="dxa"/>
          </w:tcPr>
          <w:p w14:paraId="4C7B9695" w14:textId="77777777" w:rsidR="00AD58F3" w:rsidRPr="00AD58F3" w:rsidRDefault="00AD58F3" w:rsidP="00AD58F3">
            <w:pPr>
              <w:spacing w:line="276" w:lineRule="auto"/>
            </w:pPr>
            <w:r w:rsidRPr="00AD58F3">
              <w:t>Epilepsy</w:t>
            </w:r>
          </w:p>
          <w:p w14:paraId="6234F45F" w14:textId="77777777" w:rsidR="00AD58F3" w:rsidRPr="00AD58F3" w:rsidRDefault="00AD58F3" w:rsidP="00AD58F3">
            <w:pPr>
              <w:spacing w:line="276" w:lineRule="auto"/>
            </w:pPr>
            <w:r w:rsidRPr="00AD58F3">
              <w:t>Hemophilia</w:t>
            </w:r>
          </w:p>
          <w:p w14:paraId="3A684F4C" w14:textId="77777777" w:rsidR="00AD58F3" w:rsidRPr="00AD58F3" w:rsidRDefault="00AD58F3" w:rsidP="00AD58F3">
            <w:pPr>
              <w:spacing w:line="276" w:lineRule="auto"/>
            </w:pPr>
            <w:r w:rsidRPr="00AD58F3">
              <w:t>Overweight (BMI </w:t>
            </w:r>
            <w:r w:rsidRPr="00AD58F3">
              <w:rPr>
                <w:u w:val="single"/>
              </w:rPr>
              <w:t>&gt;</w:t>
            </w:r>
            <w:r w:rsidRPr="00AD58F3">
              <w:t>25 kg/m</w:t>
            </w:r>
            <w:r w:rsidRPr="00AD58F3">
              <w:rPr>
                <w:vertAlign w:val="superscript"/>
              </w:rPr>
              <w:t>2 </w:t>
            </w:r>
            <w:r w:rsidRPr="00AD58F3">
              <w:t>but &lt;30 kg/m</w:t>
            </w:r>
            <w:r w:rsidRPr="00AD58F3">
              <w:rPr>
                <w:vertAlign w:val="superscript"/>
              </w:rPr>
              <w:t>2</w:t>
            </w:r>
            <w:r w:rsidRPr="00AD58F3">
              <w:t>)</w:t>
            </w:r>
          </w:p>
          <w:p w14:paraId="5A198A1F" w14:textId="77777777" w:rsidR="00AD58F3" w:rsidRPr="00AD58F3" w:rsidRDefault="00AD58F3" w:rsidP="00AD58F3">
            <w:pPr>
              <w:spacing w:line="276" w:lineRule="auto"/>
            </w:pPr>
            <w:r w:rsidRPr="00AD58F3">
              <w:t>Sickle cell disease</w:t>
            </w:r>
          </w:p>
          <w:p w14:paraId="1B2C11FA" w14:textId="77777777" w:rsidR="00AD58F3" w:rsidRPr="00AD58F3" w:rsidRDefault="00AD58F3" w:rsidP="00AD58F3">
            <w:pPr>
              <w:spacing w:line="276" w:lineRule="auto"/>
            </w:pPr>
            <w:r w:rsidRPr="00AD58F3">
              <w:t>Substance use disorders</w:t>
            </w:r>
          </w:p>
          <w:p w14:paraId="2ED31E3E" w14:textId="77777777" w:rsidR="006E5B28" w:rsidRPr="00AD08F4" w:rsidRDefault="006E5B28" w:rsidP="006E5B28"/>
        </w:tc>
      </w:tr>
    </w:tbl>
    <w:p w14:paraId="1D5E108F" w14:textId="3BD081D4" w:rsidR="008359D9" w:rsidRDefault="00DC0D84" w:rsidP="005A2D62">
      <w:r>
        <w:t>Source:</w:t>
      </w:r>
      <w:r w:rsidR="0013155C" w:rsidRPr="0013155C">
        <w:t xml:space="preserve"> </w:t>
      </w:r>
      <w:hyperlink r:id="rId19" w:history="1">
        <w:r w:rsidR="009E4522" w:rsidRPr="00345576">
          <w:rPr>
            <w:rStyle w:val="Hyperlink"/>
          </w:rPr>
          <w:t>https://www.cdc.gov/covid/hcp/clinical-care/underlying-conditions.html</w:t>
        </w:r>
      </w:hyperlink>
    </w:p>
    <w:p w14:paraId="03CDB0A9" w14:textId="77777777" w:rsidR="009E4522" w:rsidRDefault="009E4522" w:rsidP="005A2D62"/>
    <w:p w14:paraId="56072EE5" w14:textId="3677D677" w:rsidR="009E4522" w:rsidRDefault="009E4522">
      <w:r>
        <w:br w:type="page"/>
      </w:r>
    </w:p>
    <w:p w14:paraId="2E6B583E" w14:textId="25E5E626" w:rsidR="009E4522" w:rsidRDefault="0035797D" w:rsidP="005A2D62">
      <w:r w:rsidRPr="00121ACE">
        <w:rPr>
          <w:b/>
          <w:bCs/>
        </w:rPr>
        <w:lastRenderedPageBreak/>
        <w:t xml:space="preserve">Table 2 </w:t>
      </w:r>
      <w:r w:rsidR="00EF43C4" w:rsidRPr="00121ACE">
        <w:rPr>
          <w:b/>
          <w:bCs/>
        </w:rPr>
        <w:t>-</w:t>
      </w:r>
      <w:r w:rsidR="00EF43C4">
        <w:t xml:space="preserve"> </w:t>
      </w:r>
      <w:r w:rsidR="00EF43C4" w:rsidRPr="00200139">
        <w:rPr>
          <w:b/>
          <w:bCs/>
        </w:rPr>
        <w:t>Conditions</w:t>
      </w:r>
      <w:r w:rsidR="00EF43C4" w:rsidRPr="00200139">
        <w:rPr>
          <w:rFonts w:eastAsia="Times New Roman" w:cs="Poppins"/>
          <w:b/>
          <w:bCs/>
          <w:color w:val="3D4551"/>
          <w:spacing w:val="-1"/>
          <w:kern w:val="36"/>
          <w14:ligatures w14:val="none"/>
        </w:rPr>
        <w:t xml:space="preserve"> Associated with </w:t>
      </w:r>
      <w:r w:rsidR="00EF43C4" w:rsidRPr="00200139">
        <w:rPr>
          <w:b/>
          <w:bCs/>
        </w:rPr>
        <w:t>Higher</w:t>
      </w:r>
      <w:r w:rsidR="00EF43C4" w:rsidRPr="00CC5216">
        <w:rPr>
          <w:b/>
          <w:bCs/>
        </w:rPr>
        <w:t xml:space="preserve"> Risk for Severe COVID-19</w:t>
      </w:r>
      <w:r w:rsidR="00EF43C4">
        <w:rPr>
          <w:b/>
          <w:bCs/>
        </w:rPr>
        <w:t xml:space="preserve"> in Pediatric Populations</w:t>
      </w:r>
    </w:p>
    <w:tbl>
      <w:tblPr>
        <w:tblStyle w:val="TableGrid"/>
        <w:tblW w:w="10710" w:type="dxa"/>
        <w:tblInd w:w="-725" w:type="dxa"/>
        <w:tblLook w:val="04A0" w:firstRow="1" w:lastRow="0" w:firstColumn="1" w:lastColumn="0" w:noHBand="0" w:noVBand="1"/>
      </w:tblPr>
      <w:tblGrid>
        <w:gridCol w:w="4050"/>
        <w:gridCol w:w="6660"/>
      </w:tblGrid>
      <w:tr w:rsidR="0035797D" w14:paraId="6D1D4E64" w14:textId="77777777" w:rsidTr="00121ACE">
        <w:tc>
          <w:tcPr>
            <w:tcW w:w="4050" w:type="dxa"/>
          </w:tcPr>
          <w:p w14:paraId="245A508E" w14:textId="21A50DF0" w:rsidR="0035797D" w:rsidRPr="00121ACE" w:rsidRDefault="009A3148" w:rsidP="005A2D62">
            <w:pPr>
              <w:rPr>
                <w:b/>
                <w:bCs/>
              </w:rPr>
            </w:pPr>
            <w:r w:rsidRPr="00121ACE">
              <w:rPr>
                <w:b/>
                <w:bCs/>
              </w:rPr>
              <w:t>Condition</w:t>
            </w:r>
          </w:p>
        </w:tc>
        <w:tc>
          <w:tcPr>
            <w:tcW w:w="6660" w:type="dxa"/>
          </w:tcPr>
          <w:p w14:paraId="37D1224A" w14:textId="518B09AC" w:rsidR="0035797D" w:rsidRPr="00121ACE" w:rsidRDefault="009A3148" w:rsidP="005A2D62">
            <w:pPr>
              <w:rPr>
                <w:b/>
                <w:bCs/>
              </w:rPr>
            </w:pPr>
            <w:r w:rsidRPr="00121ACE">
              <w:rPr>
                <w:b/>
                <w:bCs/>
              </w:rPr>
              <w:t>Common examples</w:t>
            </w:r>
          </w:p>
        </w:tc>
      </w:tr>
      <w:tr w:rsidR="0035797D" w14:paraId="3E397305" w14:textId="77777777" w:rsidTr="00121ACE">
        <w:tc>
          <w:tcPr>
            <w:tcW w:w="4050" w:type="dxa"/>
          </w:tcPr>
          <w:p w14:paraId="1855468B" w14:textId="0A8E0DD7" w:rsidR="0035797D" w:rsidRDefault="0035797D" w:rsidP="005A2D62">
            <w:r w:rsidRPr="0035797D">
              <w:t>Chronic pulmonary disease</w:t>
            </w:r>
          </w:p>
        </w:tc>
        <w:tc>
          <w:tcPr>
            <w:tcW w:w="6660" w:type="dxa"/>
          </w:tcPr>
          <w:p w14:paraId="1A8011D9" w14:textId="4A7CD302" w:rsidR="0035797D" w:rsidRDefault="0035797D" w:rsidP="005A2D62">
            <w:r w:rsidRPr="0035797D">
              <w:t>Asthma/reactive airway disease</w:t>
            </w:r>
            <w:r w:rsidR="00BB2AB0">
              <w:t>,</w:t>
            </w:r>
            <w:r w:rsidRPr="0035797D">
              <w:t xml:space="preserve"> Chronic lung disease of prematurity</w:t>
            </w:r>
            <w:r w:rsidR="00406819">
              <w:t>,</w:t>
            </w:r>
            <w:r w:rsidRPr="0035797D">
              <w:t xml:space="preserve"> Compromised respiratory function (eg, abnormality of airway, tracheostomy, or ventilator dependent)</w:t>
            </w:r>
          </w:p>
        </w:tc>
      </w:tr>
      <w:tr w:rsidR="0035797D" w14:paraId="741C433F" w14:textId="77777777" w:rsidTr="00121ACE">
        <w:tc>
          <w:tcPr>
            <w:tcW w:w="4050" w:type="dxa"/>
          </w:tcPr>
          <w:p w14:paraId="3CFE61B4" w14:textId="4CBFCEB7" w:rsidR="0035797D" w:rsidRDefault="0035797D" w:rsidP="005A2D62">
            <w:r w:rsidRPr="0035797D">
              <w:t>Cardiovascular disease</w:t>
            </w:r>
          </w:p>
        </w:tc>
        <w:tc>
          <w:tcPr>
            <w:tcW w:w="6660" w:type="dxa"/>
          </w:tcPr>
          <w:p w14:paraId="05F71CE5" w14:textId="0BBFDA3B" w:rsidR="0035797D" w:rsidRDefault="0035797D" w:rsidP="005A2D62">
            <w:r w:rsidRPr="0035797D">
              <w:t>Congenital heart disease</w:t>
            </w:r>
          </w:p>
        </w:tc>
      </w:tr>
      <w:tr w:rsidR="0035797D" w14:paraId="73A4390A" w14:textId="77777777" w:rsidTr="00121ACE">
        <w:tc>
          <w:tcPr>
            <w:tcW w:w="4050" w:type="dxa"/>
          </w:tcPr>
          <w:p w14:paraId="7B4CC1B8" w14:textId="7B23E172" w:rsidR="0035797D" w:rsidRDefault="0035797D" w:rsidP="005A2D62">
            <w:r w:rsidRPr="0035797D">
              <w:t>Gastrointestinal disorders</w:t>
            </w:r>
          </w:p>
        </w:tc>
        <w:tc>
          <w:tcPr>
            <w:tcW w:w="6660" w:type="dxa"/>
          </w:tcPr>
          <w:p w14:paraId="4AB0972B" w14:textId="145DBF7D" w:rsidR="0035797D" w:rsidRDefault="0035797D" w:rsidP="005A2D62">
            <w:r w:rsidRPr="0035797D">
              <w:t>Feeding tube dependent</w:t>
            </w:r>
            <w:r w:rsidR="00406819">
              <w:t>,</w:t>
            </w:r>
            <w:r w:rsidRPr="0035797D">
              <w:t xml:space="preserve"> Inflammatory bowel disease</w:t>
            </w:r>
            <w:r w:rsidR="00406819">
              <w:t>,</w:t>
            </w:r>
            <w:r w:rsidRPr="0035797D">
              <w:t xml:space="preserve"> Hepatic disease</w:t>
            </w:r>
            <w:r w:rsidR="00406819">
              <w:t>,</w:t>
            </w:r>
            <w:r w:rsidRPr="0035797D">
              <w:t xml:space="preserve"> Chronic liver disease</w:t>
            </w:r>
          </w:p>
        </w:tc>
      </w:tr>
      <w:tr w:rsidR="0035797D" w14:paraId="43A39E02" w14:textId="77777777" w:rsidTr="00121ACE">
        <w:tc>
          <w:tcPr>
            <w:tcW w:w="4050" w:type="dxa"/>
          </w:tcPr>
          <w:p w14:paraId="7E2D2E76" w14:textId="5FB9A067" w:rsidR="0035797D" w:rsidRDefault="0035797D" w:rsidP="005A2D62">
            <w:r w:rsidRPr="0035797D">
              <w:t>Hematologic disease</w:t>
            </w:r>
          </w:p>
        </w:tc>
        <w:tc>
          <w:tcPr>
            <w:tcW w:w="6660" w:type="dxa"/>
          </w:tcPr>
          <w:p w14:paraId="265C728F" w14:textId="42C7EA49" w:rsidR="0035797D" w:rsidRDefault="0035797D" w:rsidP="005A2D62">
            <w:r w:rsidRPr="0035797D">
              <w:t>Sickle cell disease</w:t>
            </w:r>
          </w:p>
        </w:tc>
      </w:tr>
      <w:tr w:rsidR="0035797D" w14:paraId="2610CF18" w14:textId="77777777" w:rsidTr="00121ACE">
        <w:tc>
          <w:tcPr>
            <w:tcW w:w="4050" w:type="dxa"/>
          </w:tcPr>
          <w:p w14:paraId="76F18632" w14:textId="7A8EA655" w:rsidR="0035797D" w:rsidRDefault="0035797D" w:rsidP="005A2D62">
            <w:r w:rsidRPr="0035797D">
              <w:t>Metabolic disorders</w:t>
            </w:r>
          </w:p>
        </w:tc>
        <w:tc>
          <w:tcPr>
            <w:tcW w:w="6660" w:type="dxa"/>
          </w:tcPr>
          <w:p w14:paraId="2AB61358" w14:textId="0C63D69F" w:rsidR="0035797D" w:rsidRDefault="00E35237" w:rsidP="005A2D62">
            <w:r w:rsidRPr="0035797D">
              <w:t>Diabetes mellitus</w:t>
            </w:r>
          </w:p>
        </w:tc>
      </w:tr>
      <w:tr w:rsidR="00E35237" w14:paraId="64EBED45" w14:textId="77777777" w:rsidTr="00121ACE">
        <w:tc>
          <w:tcPr>
            <w:tcW w:w="4050" w:type="dxa"/>
          </w:tcPr>
          <w:p w14:paraId="3BE385ED" w14:textId="0BA559BA" w:rsidR="00E35237" w:rsidRPr="0035797D" w:rsidRDefault="00E35237" w:rsidP="005A2D62">
            <w:r w:rsidRPr="0035797D">
              <w:t>Obesity</w:t>
            </w:r>
          </w:p>
        </w:tc>
        <w:tc>
          <w:tcPr>
            <w:tcW w:w="6660" w:type="dxa"/>
          </w:tcPr>
          <w:p w14:paraId="2295B921" w14:textId="016B6DC5" w:rsidR="00E35237" w:rsidRPr="0035797D" w:rsidRDefault="00E35237" w:rsidP="005A2D62">
            <w:r w:rsidRPr="0035797D">
              <w:t>Body mass index (BMI)</w:t>
            </w:r>
            <w:r w:rsidRPr="0035797D">
              <w:rPr>
                <w:rFonts w:ascii="Arial" w:hAnsi="Arial" w:cs="Arial"/>
              </w:rPr>
              <w:t> </w:t>
            </w:r>
            <w:r w:rsidRPr="0035797D">
              <w:rPr>
                <w:rFonts w:ascii="Aptos" w:hAnsi="Aptos" w:cs="Aptos"/>
              </w:rPr>
              <w:t>≥</w:t>
            </w:r>
            <w:r w:rsidRPr="0035797D">
              <w:rPr>
                <w:rFonts w:ascii="Arial" w:hAnsi="Arial" w:cs="Arial"/>
              </w:rPr>
              <w:t> </w:t>
            </w:r>
            <w:r w:rsidRPr="0035797D">
              <w:t>the 95th percentile in children</w:t>
            </w:r>
          </w:p>
        </w:tc>
      </w:tr>
      <w:tr w:rsidR="00E35237" w14:paraId="5EA35BB7" w14:textId="77777777" w:rsidTr="00121ACE">
        <w:tc>
          <w:tcPr>
            <w:tcW w:w="4050" w:type="dxa"/>
          </w:tcPr>
          <w:p w14:paraId="7944396B" w14:textId="5CD147A6" w:rsidR="00E35237" w:rsidRPr="0035797D" w:rsidRDefault="00E35237" w:rsidP="005A2D62">
            <w:r w:rsidRPr="0035797D">
              <w:t>Neurologic and neurodevelopmental conditions</w:t>
            </w:r>
          </w:p>
        </w:tc>
        <w:tc>
          <w:tcPr>
            <w:tcW w:w="6660" w:type="dxa"/>
          </w:tcPr>
          <w:p w14:paraId="495BB7B4" w14:textId="027BE607" w:rsidR="00E35237" w:rsidRPr="0035797D" w:rsidRDefault="00E35237" w:rsidP="005A2D62">
            <w:r w:rsidRPr="0035797D">
              <w:t>Cerebral palsy</w:t>
            </w:r>
            <w:r w:rsidR="00406819">
              <w:t>,</w:t>
            </w:r>
            <w:r w:rsidRPr="0035797D">
              <w:t xml:space="preserve"> Epilepsy</w:t>
            </w:r>
            <w:r w:rsidR="00406819">
              <w:t>,</w:t>
            </w:r>
            <w:r w:rsidRPr="0035797D">
              <w:t xml:space="preserve"> Intellectual developmental disorder</w:t>
            </w:r>
            <w:r w:rsidR="00406819">
              <w:t>,</w:t>
            </w:r>
            <w:r w:rsidRPr="0035797D">
              <w:t xml:space="preserve"> Compromised mobility (eg, wheelchair dependent)</w:t>
            </w:r>
          </w:p>
        </w:tc>
      </w:tr>
      <w:tr w:rsidR="00E35237" w14:paraId="10F43A2C" w14:textId="77777777" w:rsidTr="00121ACE">
        <w:tc>
          <w:tcPr>
            <w:tcW w:w="4050" w:type="dxa"/>
          </w:tcPr>
          <w:p w14:paraId="713CD8E9" w14:textId="1563A7E6" w:rsidR="00E35237" w:rsidRPr="0035797D" w:rsidRDefault="00D527E2" w:rsidP="005A2D62">
            <w:r w:rsidRPr="0035797D">
              <w:t>Immunosuppressive conditions</w:t>
            </w:r>
          </w:p>
        </w:tc>
        <w:tc>
          <w:tcPr>
            <w:tcW w:w="6660" w:type="dxa"/>
          </w:tcPr>
          <w:p w14:paraId="465A4ACB" w14:textId="666E57B3" w:rsidR="00E35237" w:rsidRPr="0035797D" w:rsidRDefault="00A439BC" w:rsidP="005A2D62">
            <w:r w:rsidRPr="00A439BC">
              <w:t>Active treatment for solid tumor and hematologic malignancies</w:t>
            </w:r>
            <w:r w:rsidR="00406819">
              <w:t>,</w:t>
            </w:r>
            <w:r w:rsidRPr="00A439BC">
              <w:t xml:space="preserve"> Hematologic malignancies associated with poor responses to COVID-19 vaccines regardless of current treatment status (e.g., chronic lymphocytic leukemia, non-Hodgkin lymphoma, multiple myeloma, acute leukemia)</w:t>
            </w:r>
            <w:r w:rsidR="00406819">
              <w:t>,</w:t>
            </w:r>
            <w:r w:rsidRPr="00A439BC">
              <w:t xml:space="preserve"> Receipt of solid-organ transplant or an islet transplant and taking immunosuppressive therapy</w:t>
            </w:r>
            <w:r w:rsidR="00406819">
              <w:t>,</w:t>
            </w:r>
            <w:r w:rsidRPr="00A439BC">
              <w:t xml:space="preserve"> Receipt of chimeric antigen receptor (CAR)-T-cell therapy or hematopoietic cell transplant (HCT)</w:t>
            </w:r>
            <w:r w:rsidR="003830BD">
              <w:t>,</w:t>
            </w:r>
            <w:r w:rsidRPr="00A439BC">
              <w:t xml:space="preserve"> Moderate or severe primary immunodeficiency (e.g., common variable immunodeficiency disease, severe combined immunodeficiency, DiGeorge syndrome, Wiskott-Aldrich syndrome)</w:t>
            </w:r>
            <w:r w:rsidR="003830BD">
              <w:t xml:space="preserve">, </w:t>
            </w:r>
            <w:r w:rsidRPr="00A439BC">
              <w:t>Advanced or untreated HIV infection</w:t>
            </w:r>
            <w:r w:rsidR="003830BD">
              <w:t>,</w:t>
            </w:r>
            <w:r w:rsidRPr="00A439BC">
              <w:t xml:space="preserve"> Active treatment with immunosuppressive or immunomodulatory therapies</w:t>
            </w:r>
          </w:p>
        </w:tc>
      </w:tr>
      <w:tr w:rsidR="00D527E2" w14:paraId="478797FA" w14:textId="77777777" w:rsidTr="00121ACE">
        <w:tc>
          <w:tcPr>
            <w:tcW w:w="4050" w:type="dxa"/>
          </w:tcPr>
          <w:p w14:paraId="3B6394D9" w14:textId="4E3BA9C3" w:rsidR="00D527E2" w:rsidRPr="0035797D" w:rsidRDefault="00D527E2" w:rsidP="005A2D62">
            <w:r w:rsidRPr="0035797D">
              <w:t>Rheumatologic, autoimmune disease</w:t>
            </w:r>
          </w:p>
        </w:tc>
        <w:tc>
          <w:tcPr>
            <w:tcW w:w="6660" w:type="dxa"/>
          </w:tcPr>
          <w:p w14:paraId="76521F4C" w14:textId="7D003D2B" w:rsidR="00D527E2" w:rsidRPr="0035797D" w:rsidRDefault="00D527E2" w:rsidP="005A2D62">
            <w:r w:rsidRPr="0035797D">
              <w:t>Systemic lupus erythematosus Juvenile idiopathic arthritis</w:t>
            </w:r>
          </w:p>
        </w:tc>
      </w:tr>
    </w:tbl>
    <w:p w14:paraId="720273B9" w14:textId="77777777" w:rsidR="0035797D" w:rsidRDefault="0035797D" w:rsidP="005A2D62"/>
    <w:p w14:paraId="16E018AC" w14:textId="13021508" w:rsidR="008359D9" w:rsidRDefault="008359D9" w:rsidP="005A2D62"/>
    <w:sectPr w:rsidR="008359D9" w:rsidSect="00A853B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hnschrift">
    <w:panose1 w:val="020B0502040204020203"/>
    <w:charset w:val="00"/>
    <w:family w:val="swiss"/>
    <w:pitch w:val="variable"/>
    <w:sig w:usb0="A00002C7" w:usb1="00000002" w:usb2="00000000" w:usb3="00000000" w:csb0="0000019F" w:csb1="00000000"/>
  </w:font>
  <w:font w:name="OTNEJMQuadraat">
    <w:altName w:val="Yu Gothic"/>
    <w:panose1 w:val="00000000000000000000"/>
    <w:charset w:val="80"/>
    <w:family w:val="roman"/>
    <w:notTrueType/>
    <w:pitch w:val="default"/>
    <w:sig w:usb0="00000001" w:usb1="08070000" w:usb2="00000010" w:usb3="00000000" w:csb0="00020000"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2F1"/>
    <w:multiLevelType w:val="multilevel"/>
    <w:tmpl w:val="9B32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063F2"/>
    <w:multiLevelType w:val="hybridMultilevel"/>
    <w:tmpl w:val="FD043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52489"/>
    <w:multiLevelType w:val="hybridMultilevel"/>
    <w:tmpl w:val="2EC0F4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291C50"/>
    <w:multiLevelType w:val="multilevel"/>
    <w:tmpl w:val="DE84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DA3EEC"/>
    <w:multiLevelType w:val="multilevel"/>
    <w:tmpl w:val="60D4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0C3115"/>
    <w:multiLevelType w:val="hybridMultilevel"/>
    <w:tmpl w:val="47C48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C489F"/>
    <w:multiLevelType w:val="multilevel"/>
    <w:tmpl w:val="76C2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2C6CA8"/>
    <w:multiLevelType w:val="multilevel"/>
    <w:tmpl w:val="7700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B92183"/>
    <w:multiLevelType w:val="multilevel"/>
    <w:tmpl w:val="B24A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037D1D"/>
    <w:multiLevelType w:val="hybridMultilevel"/>
    <w:tmpl w:val="1C02D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9C2303"/>
    <w:multiLevelType w:val="hybridMultilevel"/>
    <w:tmpl w:val="4E3CC6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6C59EC"/>
    <w:multiLevelType w:val="hybridMultilevel"/>
    <w:tmpl w:val="A3DA4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727B83"/>
    <w:multiLevelType w:val="multilevel"/>
    <w:tmpl w:val="290A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BD655B"/>
    <w:multiLevelType w:val="hybridMultilevel"/>
    <w:tmpl w:val="63423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3402C3"/>
    <w:multiLevelType w:val="hybridMultilevel"/>
    <w:tmpl w:val="BC685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C755B"/>
    <w:multiLevelType w:val="hybridMultilevel"/>
    <w:tmpl w:val="0336A408"/>
    <w:lvl w:ilvl="0" w:tplc="259E660A">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753FCC"/>
    <w:multiLevelType w:val="hybridMultilevel"/>
    <w:tmpl w:val="7340D372"/>
    <w:lvl w:ilvl="0" w:tplc="04090001">
      <w:start w:val="1"/>
      <w:numFmt w:val="bullet"/>
      <w:lvlText w:val=""/>
      <w:lvlJc w:val="left"/>
      <w:pPr>
        <w:ind w:left="2206" w:hanging="360"/>
      </w:pPr>
      <w:rPr>
        <w:rFonts w:ascii="Symbol" w:hAnsi="Symbol"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17" w15:restartNumberingAfterBreak="0">
    <w:nsid w:val="661F7146"/>
    <w:multiLevelType w:val="multilevel"/>
    <w:tmpl w:val="B352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964345"/>
    <w:multiLevelType w:val="hybridMultilevel"/>
    <w:tmpl w:val="310264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582B99"/>
    <w:multiLevelType w:val="multilevel"/>
    <w:tmpl w:val="B01A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9B1B93"/>
    <w:multiLevelType w:val="hybridMultilevel"/>
    <w:tmpl w:val="FCB4118C"/>
    <w:lvl w:ilvl="0" w:tplc="259E660A">
      <w:numFmt w:val="bullet"/>
      <w:lvlText w:val="•"/>
      <w:lvlJc w:val="left"/>
      <w:pPr>
        <w:ind w:left="180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D0C0324"/>
    <w:multiLevelType w:val="hybridMultilevel"/>
    <w:tmpl w:val="0A829A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416A9A"/>
    <w:multiLevelType w:val="multilevel"/>
    <w:tmpl w:val="B13CC29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num w:numId="1" w16cid:durableId="41560386">
    <w:abstractNumId w:val="2"/>
  </w:num>
  <w:num w:numId="2" w16cid:durableId="778138057">
    <w:abstractNumId w:val="21"/>
  </w:num>
  <w:num w:numId="3" w16cid:durableId="72774697">
    <w:abstractNumId w:val="15"/>
  </w:num>
  <w:num w:numId="4" w16cid:durableId="913707324">
    <w:abstractNumId w:val="22"/>
  </w:num>
  <w:num w:numId="5" w16cid:durableId="858471343">
    <w:abstractNumId w:val="16"/>
  </w:num>
  <w:num w:numId="6" w16cid:durableId="1112432876">
    <w:abstractNumId w:val="1"/>
  </w:num>
  <w:num w:numId="7" w16cid:durableId="1888955629">
    <w:abstractNumId w:val="11"/>
  </w:num>
  <w:num w:numId="8" w16cid:durableId="1080104603">
    <w:abstractNumId w:val="18"/>
  </w:num>
  <w:num w:numId="9" w16cid:durableId="100145620">
    <w:abstractNumId w:val="5"/>
  </w:num>
  <w:num w:numId="10" w16cid:durableId="1882748688">
    <w:abstractNumId w:val="20"/>
  </w:num>
  <w:num w:numId="11" w16cid:durableId="2128313413">
    <w:abstractNumId w:val="10"/>
  </w:num>
  <w:num w:numId="12" w16cid:durableId="1183204524">
    <w:abstractNumId w:val="13"/>
  </w:num>
  <w:num w:numId="13" w16cid:durableId="236283862">
    <w:abstractNumId w:val="9"/>
  </w:num>
  <w:num w:numId="14" w16cid:durableId="902326724">
    <w:abstractNumId w:val="14"/>
  </w:num>
  <w:num w:numId="15" w16cid:durableId="598829119">
    <w:abstractNumId w:val="7"/>
  </w:num>
  <w:num w:numId="16" w16cid:durableId="2036803089">
    <w:abstractNumId w:val="0"/>
  </w:num>
  <w:num w:numId="17" w16cid:durableId="1391074000">
    <w:abstractNumId w:val="4"/>
  </w:num>
  <w:num w:numId="18" w16cid:durableId="550001488">
    <w:abstractNumId w:val="12"/>
  </w:num>
  <w:num w:numId="19" w16cid:durableId="591402032">
    <w:abstractNumId w:val="17"/>
  </w:num>
  <w:num w:numId="20" w16cid:durableId="2007980288">
    <w:abstractNumId w:val="6"/>
  </w:num>
  <w:num w:numId="21" w16cid:durableId="1249726384">
    <w:abstractNumId w:val="3"/>
  </w:num>
  <w:num w:numId="22" w16cid:durableId="339281609">
    <w:abstractNumId w:val="19"/>
  </w:num>
  <w:num w:numId="23" w16cid:durableId="17346170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B66"/>
    <w:rsid w:val="00000DA3"/>
    <w:rsid w:val="000017B1"/>
    <w:rsid w:val="00001DF2"/>
    <w:rsid w:val="00002517"/>
    <w:rsid w:val="000029EF"/>
    <w:rsid w:val="0000378E"/>
    <w:rsid w:val="000059BF"/>
    <w:rsid w:val="0000609E"/>
    <w:rsid w:val="00007617"/>
    <w:rsid w:val="0000762E"/>
    <w:rsid w:val="00007FAA"/>
    <w:rsid w:val="00012ADF"/>
    <w:rsid w:val="0001438F"/>
    <w:rsid w:val="0001473E"/>
    <w:rsid w:val="00016389"/>
    <w:rsid w:val="000167AE"/>
    <w:rsid w:val="00016833"/>
    <w:rsid w:val="00016CE9"/>
    <w:rsid w:val="00017E05"/>
    <w:rsid w:val="00022DE7"/>
    <w:rsid w:val="00024FF5"/>
    <w:rsid w:val="00025578"/>
    <w:rsid w:val="000275D1"/>
    <w:rsid w:val="00027E51"/>
    <w:rsid w:val="000311DE"/>
    <w:rsid w:val="0003186D"/>
    <w:rsid w:val="000321E3"/>
    <w:rsid w:val="000326BD"/>
    <w:rsid w:val="00041F1B"/>
    <w:rsid w:val="000420CD"/>
    <w:rsid w:val="000437D3"/>
    <w:rsid w:val="00044E8A"/>
    <w:rsid w:val="000539E4"/>
    <w:rsid w:val="00055E8C"/>
    <w:rsid w:val="000578C4"/>
    <w:rsid w:val="0006127B"/>
    <w:rsid w:val="000624EC"/>
    <w:rsid w:val="00065D39"/>
    <w:rsid w:val="00066F6F"/>
    <w:rsid w:val="000677FA"/>
    <w:rsid w:val="00071C6E"/>
    <w:rsid w:val="00071D0B"/>
    <w:rsid w:val="00073691"/>
    <w:rsid w:val="0007415C"/>
    <w:rsid w:val="0007472C"/>
    <w:rsid w:val="0007565B"/>
    <w:rsid w:val="00077ACF"/>
    <w:rsid w:val="00081C21"/>
    <w:rsid w:val="000828EE"/>
    <w:rsid w:val="00082D61"/>
    <w:rsid w:val="00083F72"/>
    <w:rsid w:val="00086309"/>
    <w:rsid w:val="00086551"/>
    <w:rsid w:val="00090D28"/>
    <w:rsid w:val="0009140E"/>
    <w:rsid w:val="000918EB"/>
    <w:rsid w:val="00096C54"/>
    <w:rsid w:val="00096CF2"/>
    <w:rsid w:val="00096E3E"/>
    <w:rsid w:val="00097023"/>
    <w:rsid w:val="000A0217"/>
    <w:rsid w:val="000A1E43"/>
    <w:rsid w:val="000A3B52"/>
    <w:rsid w:val="000A47B5"/>
    <w:rsid w:val="000A47C5"/>
    <w:rsid w:val="000A58E2"/>
    <w:rsid w:val="000B1750"/>
    <w:rsid w:val="000B2BFA"/>
    <w:rsid w:val="000B39AE"/>
    <w:rsid w:val="000B3C53"/>
    <w:rsid w:val="000B438F"/>
    <w:rsid w:val="000B4402"/>
    <w:rsid w:val="000B4554"/>
    <w:rsid w:val="000B7C09"/>
    <w:rsid w:val="000C1C3B"/>
    <w:rsid w:val="000C448E"/>
    <w:rsid w:val="000C4BFE"/>
    <w:rsid w:val="000C5245"/>
    <w:rsid w:val="000C5E2F"/>
    <w:rsid w:val="000C7267"/>
    <w:rsid w:val="000C79D2"/>
    <w:rsid w:val="000D239A"/>
    <w:rsid w:val="000D29DB"/>
    <w:rsid w:val="000D2B08"/>
    <w:rsid w:val="000D3295"/>
    <w:rsid w:val="000D3D01"/>
    <w:rsid w:val="000D7B30"/>
    <w:rsid w:val="000E2403"/>
    <w:rsid w:val="000E2DEB"/>
    <w:rsid w:val="000E3163"/>
    <w:rsid w:val="000E333A"/>
    <w:rsid w:val="000E61BF"/>
    <w:rsid w:val="000E6CD7"/>
    <w:rsid w:val="000F331A"/>
    <w:rsid w:val="000F3615"/>
    <w:rsid w:val="000F4876"/>
    <w:rsid w:val="000F514C"/>
    <w:rsid w:val="000F771C"/>
    <w:rsid w:val="001003CD"/>
    <w:rsid w:val="00100674"/>
    <w:rsid w:val="00100703"/>
    <w:rsid w:val="00100F0E"/>
    <w:rsid w:val="00102CEF"/>
    <w:rsid w:val="00103CED"/>
    <w:rsid w:val="00111A6E"/>
    <w:rsid w:val="001128E2"/>
    <w:rsid w:val="00113D8A"/>
    <w:rsid w:val="00114137"/>
    <w:rsid w:val="0011494E"/>
    <w:rsid w:val="00114A02"/>
    <w:rsid w:val="00117DFD"/>
    <w:rsid w:val="00121ACE"/>
    <w:rsid w:val="00122F94"/>
    <w:rsid w:val="00124ED9"/>
    <w:rsid w:val="00125239"/>
    <w:rsid w:val="00125393"/>
    <w:rsid w:val="001261EF"/>
    <w:rsid w:val="00126655"/>
    <w:rsid w:val="00126952"/>
    <w:rsid w:val="00127691"/>
    <w:rsid w:val="0013155C"/>
    <w:rsid w:val="00134F0C"/>
    <w:rsid w:val="00136B45"/>
    <w:rsid w:val="001370D2"/>
    <w:rsid w:val="001431A9"/>
    <w:rsid w:val="001435DF"/>
    <w:rsid w:val="00143821"/>
    <w:rsid w:val="00143DE5"/>
    <w:rsid w:val="00146076"/>
    <w:rsid w:val="001478F5"/>
    <w:rsid w:val="001513DB"/>
    <w:rsid w:val="00152DCB"/>
    <w:rsid w:val="00153242"/>
    <w:rsid w:val="00155E69"/>
    <w:rsid w:val="00156A56"/>
    <w:rsid w:val="001601E7"/>
    <w:rsid w:val="00161B0E"/>
    <w:rsid w:val="00162DDB"/>
    <w:rsid w:val="00163501"/>
    <w:rsid w:val="00165359"/>
    <w:rsid w:val="001660FE"/>
    <w:rsid w:val="00171482"/>
    <w:rsid w:val="0017247A"/>
    <w:rsid w:val="00173AD0"/>
    <w:rsid w:val="00175274"/>
    <w:rsid w:val="00176D26"/>
    <w:rsid w:val="0017734A"/>
    <w:rsid w:val="001774F8"/>
    <w:rsid w:val="0018006F"/>
    <w:rsid w:val="00180694"/>
    <w:rsid w:val="00180C6D"/>
    <w:rsid w:val="00180D65"/>
    <w:rsid w:val="00184114"/>
    <w:rsid w:val="0018626E"/>
    <w:rsid w:val="00186750"/>
    <w:rsid w:val="00190A36"/>
    <w:rsid w:val="00194436"/>
    <w:rsid w:val="00196579"/>
    <w:rsid w:val="00197447"/>
    <w:rsid w:val="001A0E0F"/>
    <w:rsid w:val="001A350C"/>
    <w:rsid w:val="001A5636"/>
    <w:rsid w:val="001A6D40"/>
    <w:rsid w:val="001A7074"/>
    <w:rsid w:val="001B21A4"/>
    <w:rsid w:val="001B36E4"/>
    <w:rsid w:val="001B6507"/>
    <w:rsid w:val="001B6DD3"/>
    <w:rsid w:val="001C098D"/>
    <w:rsid w:val="001C151E"/>
    <w:rsid w:val="001C2840"/>
    <w:rsid w:val="001C3371"/>
    <w:rsid w:val="001C6B5A"/>
    <w:rsid w:val="001C7FE0"/>
    <w:rsid w:val="001D02BC"/>
    <w:rsid w:val="001D1FFD"/>
    <w:rsid w:val="001D59AC"/>
    <w:rsid w:val="001D5CD8"/>
    <w:rsid w:val="001E0410"/>
    <w:rsid w:val="001E07A7"/>
    <w:rsid w:val="001E1DF3"/>
    <w:rsid w:val="001E40FB"/>
    <w:rsid w:val="001E6784"/>
    <w:rsid w:val="001E76D2"/>
    <w:rsid w:val="001F1ACE"/>
    <w:rsid w:val="001F1B9E"/>
    <w:rsid w:val="001F4013"/>
    <w:rsid w:val="001F6109"/>
    <w:rsid w:val="001F62CB"/>
    <w:rsid w:val="00200139"/>
    <w:rsid w:val="00203C31"/>
    <w:rsid w:val="00204025"/>
    <w:rsid w:val="002055F0"/>
    <w:rsid w:val="00205E75"/>
    <w:rsid w:val="002066B4"/>
    <w:rsid w:val="0021021D"/>
    <w:rsid w:val="0021073B"/>
    <w:rsid w:val="002107B6"/>
    <w:rsid w:val="002126AC"/>
    <w:rsid w:val="002145F2"/>
    <w:rsid w:val="0021499B"/>
    <w:rsid w:val="002160E5"/>
    <w:rsid w:val="00216217"/>
    <w:rsid w:val="00217483"/>
    <w:rsid w:val="002217B5"/>
    <w:rsid w:val="002228B9"/>
    <w:rsid w:val="00223302"/>
    <w:rsid w:val="0022378E"/>
    <w:rsid w:val="00223BEE"/>
    <w:rsid w:val="002241BD"/>
    <w:rsid w:val="002246B3"/>
    <w:rsid w:val="0022522A"/>
    <w:rsid w:val="002274D5"/>
    <w:rsid w:val="002277BC"/>
    <w:rsid w:val="0023063D"/>
    <w:rsid w:val="00230FA6"/>
    <w:rsid w:val="00231271"/>
    <w:rsid w:val="002336E2"/>
    <w:rsid w:val="00234DCD"/>
    <w:rsid w:val="00240449"/>
    <w:rsid w:val="00241F28"/>
    <w:rsid w:val="002474CD"/>
    <w:rsid w:val="00247A7A"/>
    <w:rsid w:val="00247F76"/>
    <w:rsid w:val="00251A00"/>
    <w:rsid w:val="00251E7C"/>
    <w:rsid w:val="00252CE9"/>
    <w:rsid w:val="0025368F"/>
    <w:rsid w:val="00254B7A"/>
    <w:rsid w:val="00255C23"/>
    <w:rsid w:val="00256593"/>
    <w:rsid w:val="0025759A"/>
    <w:rsid w:val="00262A73"/>
    <w:rsid w:val="00267BF3"/>
    <w:rsid w:val="002713A2"/>
    <w:rsid w:val="00275AD2"/>
    <w:rsid w:val="002774D3"/>
    <w:rsid w:val="00284038"/>
    <w:rsid w:val="002868C2"/>
    <w:rsid w:val="002871D4"/>
    <w:rsid w:val="00287406"/>
    <w:rsid w:val="00287436"/>
    <w:rsid w:val="002944E3"/>
    <w:rsid w:val="002A2B83"/>
    <w:rsid w:val="002A3203"/>
    <w:rsid w:val="002A4B90"/>
    <w:rsid w:val="002A4F90"/>
    <w:rsid w:val="002B0687"/>
    <w:rsid w:val="002B2A21"/>
    <w:rsid w:val="002B2ABF"/>
    <w:rsid w:val="002B306F"/>
    <w:rsid w:val="002B5EF6"/>
    <w:rsid w:val="002C1AB1"/>
    <w:rsid w:val="002C2029"/>
    <w:rsid w:val="002C3E82"/>
    <w:rsid w:val="002C71B0"/>
    <w:rsid w:val="002D1F13"/>
    <w:rsid w:val="002D4B57"/>
    <w:rsid w:val="002D5A25"/>
    <w:rsid w:val="002D66AD"/>
    <w:rsid w:val="002D696B"/>
    <w:rsid w:val="002D75AD"/>
    <w:rsid w:val="002D7B0C"/>
    <w:rsid w:val="002E0FDF"/>
    <w:rsid w:val="002E2C99"/>
    <w:rsid w:val="002E3853"/>
    <w:rsid w:val="002E4DA8"/>
    <w:rsid w:val="002E598E"/>
    <w:rsid w:val="002F147D"/>
    <w:rsid w:val="002F5532"/>
    <w:rsid w:val="002F6376"/>
    <w:rsid w:val="00301718"/>
    <w:rsid w:val="00310BA3"/>
    <w:rsid w:val="003132D5"/>
    <w:rsid w:val="00313CA4"/>
    <w:rsid w:val="00314E3F"/>
    <w:rsid w:val="0031677C"/>
    <w:rsid w:val="0031700A"/>
    <w:rsid w:val="00321A0B"/>
    <w:rsid w:val="00321AE9"/>
    <w:rsid w:val="003245CC"/>
    <w:rsid w:val="00325026"/>
    <w:rsid w:val="00325688"/>
    <w:rsid w:val="003258D6"/>
    <w:rsid w:val="00327C65"/>
    <w:rsid w:val="0033047E"/>
    <w:rsid w:val="003306D0"/>
    <w:rsid w:val="00331A7A"/>
    <w:rsid w:val="00332939"/>
    <w:rsid w:val="00332A7A"/>
    <w:rsid w:val="00332A9F"/>
    <w:rsid w:val="003338A4"/>
    <w:rsid w:val="0033523A"/>
    <w:rsid w:val="00336C38"/>
    <w:rsid w:val="00340C84"/>
    <w:rsid w:val="00340DD0"/>
    <w:rsid w:val="0034160E"/>
    <w:rsid w:val="00342043"/>
    <w:rsid w:val="00345836"/>
    <w:rsid w:val="00350D53"/>
    <w:rsid w:val="003524AF"/>
    <w:rsid w:val="00352ACD"/>
    <w:rsid w:val="00354071"/>
    <w:rsid w:val="0035409B"/>
    <w:rsid w:val="00354A0A"/>
    <w:rsid w:val="00356D47"/>
    <w:rsid w:val="003574CF"/>
    <w:rsid w:val="0035797D"/>
    <w:rsid w:val="00357A58"/>
    <w:rsid w:val="0035943F"/>
    <w:rsid w:val="003616C3"/>
    <w:rsid w:val="00361A4E"/>
    <w:rsid w:val="00365CDF"/>
    <w:rsid w:val="0036763D"/>
    <w:rsid w:val="00370381"/>
    <w:rsid w:val="003739ED"/>
    <w:rsid w:val="0037529C"/>
    <w:rsid w:val="003763C5"/>
    <w:rsid w:val="00376868"/>
    <w:rsid w:val="00376F7D"/>
    <w:rsid w:val="0038004B"/>
    <w:rsid w:val="00380DD7"/>
    <w:rsid w:val="00381645"/>
    <w:rsid w:val="00382EE3"/>
    <w:rsid w:val="003830BD"/>
    <w:rsid w:val="003878AA"/>
    <w:rsid w:val="00387E0E"/>
    <w:rsid w:val="003923BD"/>
    <w:rsid w:val="003A070D"/>
    <w:rsid w:val="003A0FA2"/>
    <w:rsid w:val="003A15DC"/>
    <w:rsid w:val="003A3751"/>
    <w:rsid w:val="003A39FD"/>
    <w:rsid w:val="003A50BE"/>
    <w:rsid w:val="003A643E"/>
    <w:rsid w:val="003A74AB"/>
    <w:rsid w:val="003A7DA2"/>
    <w:rsid w:val="003B0254"/>
    <w:rsid w:val="003B296F"/>
    <w:rsid w:val="003B5998"/>
    <w:rsid w:val="003B6E08"/>
    <w:rsid w:val="003C1AAF"/>
    <w:rsid w:val="003C3ED3"/>
    <w:rsid w:val="003C6FC1"/>
    <w:rsid w:val="003D255F"/>
    <w:rsid w:val="003D7427"/>
    <w:rsid w:val="003D753F"/>
    <w:rsid w:val="003D77A9"/>
    <w:rsid w:val="003E1F50"/>
    <w:rsid w:val="003E316A"/>
    <w:rsid w:val="003E4488"/>
    <w:rsid w:val="003E470B"/>
    <w:rsid w:val="003E68FB"/>
    <w:rsid w:val="003F1672"/>
    <w:rsid w:val="003F2840"/>
    <w:rsid w:val="003F2A61"/>
    <w:rsid w:val="003F42F6"/>
    <w:rsid w:val="003F48E4"/>
    <w:rsid w:val="003F4B99"/>
    <w:rsid w:val="003F59D4"/>
    <w:rsid w:val="003F6CB9"/>
    <w:rsid w:val="003F6DD0"/>
    <w:rsid w:val="003F75CC"/>
    <w:rsid w:val="0040254F"/>
    <w:rsid w:val="00402928"/>
    <w:rsid w:val="00402ACF"/>
    <w:rsid w:val="00406819"/>
    <w:rsid w:val="00406927"/>
    <w:rsid w:val="00406E06"/>
    <w:rsid w:val="004074CD"/>
    <w:rsid w:val="00414206"/>
    <w:rsid w:val="00417C2C"/>
    <w:rsid w:val="00420605"/>
    <w:rsid w:val="00430C63"/>
    <w:rsid w:val="00431BC6"/>
    <w:rsid w:val="00435D77"/>
    <w:rsid w:val="004410CC"/>
    <w:rsid w:val="00442827"/>
    <w:rsid w:val="004439D4"/>
    <w:rsid w:val="004456A6"/>
    <w:rsid w:val="00445AB5"/>
    <w:rsid w:val="00445AF0"/>
    <w:rsid w:val="0044782D"/>
    <w:rsid w:val="0045022B"/>
    <w:rsid w:val="004510C7"/>
    <w:rsid w:val="00452135"/>
    <w:rsid w:val="00452A87"/>
    <w:rsid w:val="00454C63"/>
    <w:rsid w:val="0046050F"/>
    <w:rsid w:val="00461B23"/>
    <w:rsid w:val="004629E1"/>
    <w:rsid w:val="0046744D"/>
    <w:rsid w:val="004720AE"/>
    <w:rsid w:val="00472D8B"/>
    <w:rsid w:val="00472FD0"/>
    <w:rsid w:val="00473C54"/>
    <w:rsid w:val="00474A29"/>
    <w:rsid w:val="004774B8"/>
    <w:rsid w:val="00483119"/>
    <w:rsid w:val="00483BAE"/>
    <w:rsid w:val="00483C16"/>
    <w:rsid w:val="00490495"/>
    <w:rsid w:val="00491C38"/>
    <w:rsid w:val="00497277"/>
    <w:rsid w:val="004A00A1"/>
    <w:rsid w:val="004A0B58"/>
    <w:rsid w:val="004A166A"/>
    <w:rsid w:val="004A6D23"/>
    <w:rsid w:val="004A6F87"/>
    <w:rsid w:val="004B74C0"/>
    <w:rsid w:val="004C0E37"/>
    <w:rsid w:val="004C2040"/>
    <w:rsid w:val="004C3B3B"/>
    <w:rsid w:val="004C5488"/>
    <w:rsid w:val="004C6AF9"/>
    <w:rsid w:val="004C7D1C"/>
    <w:rsid w:val="004D1243"/>
    <w:rsid w:val="004D29E5"/>
    <w:rsid w:val="004D409A"/>
    <w:rsid w:val="004D6BA3"/>
    <w:rsid w:val="004D7DF5"/>
    <w:rsid w:val="004D7E5A"/>
    <w:rsid w:val="004E19FB"/>
    <w:rsid w:val="004E3CE7"/>
    <w:rsid w:val="004E45E8"/>
    <w:rsid w:val="004E4DFE"/>
    <w:rsid w:val="004E5974"/>
    <w:rsid w:val="004E62AD"/>
    <w:rsid w:val="004E64CE"/>
    <w:rsid w:val="004E6B8B"/>
    <w:rsid w:val="004E765A"/>
    <w:rsid w:val="004F1659"/>
    <w:rsid w:val="004F1D16"/>
    <w:rsid w:val="004F2182"/>
    <w:rsid w:val="004F3D3C"/>
    <w:rsid w:val="004F5BEB"/>
    <w:rsid w:val="004F5C18"/>
    <w:rsid w:val="004F7ABF"/>
    <w:rsid w:val="004F7C28"/>
    <w:rsid w:val="005008E6"/>
    <w:rsid w:val="005012E4"/>
    <w:rsid w:val="005023F5"/>
    <w:rsid w:val="005025F0"/>
    <w:rsid w:val="00502CF1"/>
    <w:rsid w:val="00505ACA"/>
    <w:rsid w:val="00505C76"/>
    <w:rsid w:val="00516A77"/>
    <w:rsid w:val="00516B78"/>
    <w:rsid w:val="005222B0"/>
    <w:rsid w:val="0052263C"/>
    <w:rsid w:val="00524080"/>
    <w:rsid w:val="00524192"/>
    <w:rsid w:val="00530F14"/>
    <w:rsid w:val="005325DE"/>
    <w:rsid w:val="00533705"/>
    <w:rsid w:val="00534A6F"/>
    <w:rsid w:val="005366DD"/>
    <w:rsid w:val="00537F87"/>
    <w:rsid w:val="00542436"/>
    <w:rsid w:val="00542D18"/>
    <w:rsid w:val="00547331"/>
    <w:rsid w:val="005474AC"/>
    <w:rsid w:val="0055482C"/>
    <w:rsid w:val="00555910"/>
    <w:rsid w:val="005604DF"/>
    <w:rsid w:val="00561058"/>
    <w:rsid w:val="005621C3"/>
    <w:rsid w:val="00562EA8"/>
    <w:rsid w:val="005637BB"/>
    <w:rsid w:val="00563AE6"/>
    <w:rsid w:val="00565059"/>
    <w:rsid w:val="005651BF"/>
    <w:rsid w:val="005667EB"/>
    <w:rsid w:val="00570270"/>
    <w:rsid w:val="00574071"/>
    <w:rsid w:val="00576362"/>
    <w:rsid w:val="0057650D"/>
    <w:rsid w:val="00582172"/>
    <w:rsid w:val="00582A32"/>
    <w:rsid w:val="00584147"/>
    <w:rsid w:val="00584783"/>
    <w:rsid w:val="00585032"/>
    <w:rsid w:val="00587403"/>
    <w:rsid w:val="00591D20"/>
    <w:rsid w:val="00592B0C"/>
    <w:rsid w:val="005A00A1"/>
    <w:rsid w:val="005A1D5C"/>
    <w:rsid w:val="005A2D62"/>
    <w:rsid w:val="005A3C69"/>
    <w:rsid w:val="005A4520"/>
    <w:rsid w:val="005A4D01"/>
    <w:rsid w:val="005A571B"/>
    <w:rsid w:val="005A7D6C"/>
    <w:rsid w:val="005B0516"/>
    <w:rsid w:val="005B0658"/>
    <w:rsid w:val="005B788B"/>
    <w:rsid w:val="005B7B8B"/>
    <w:rsid w:val="005C025F"/>
    <w:rsid w:val="005C12C8"/>
    <w:rsid w:val="005C2DC2"/>
    <w:rsid w:val="005C3B8E"/>
    <w:rsid w:val="005C7079"/>
    <w:rsid w:val="005D0FA1"/>
    <w:rsid w:val="005D14A6"/>
    <w:rsid w:val="005D5FA9"/>
    <w:rsid w:val="005E33C5"/>
    <w:rsid w:val="005E43FF"/>
    <w:rsid w:val="005E484B"/>
    <w:rsid w:val="005E7EAA"/>
    <w:rsid w:val="005F176A"/>
    <w:rsid w:val="005F20FF"/>
    <w:rsid w:val="005F2B7F"/>
    <w:rsid w:val="005F3286"/>
    <w:rsid w:val="005F430A"/>
    <w:rsid w:val="005F5E5D"/>
    <w:rsid w:val="005F615E"/>
    <w:rsid w:val="005F7008"/>
    <w:rsid w:val="006003DA"/>
    <w:rsid w:val="00600501"/>
    <w:rsid w:val="0060168C"/>
    <w:rsid w:val="00602148"/>
    <w:rsid w:val="006030DB"/>
    <w:rsid w:val="00604193"/>
    <w:rsid w:val="006045B1"/>
    <w:rsid w:val="0060690F"/>
    <w:rsid w:val="0060754B"/>
    <w:rsid w:val="00607555"/>
    <w:rsid w:val="00607E44"/>
    <w:rsid w:val="0061170C"/>
    <w:rsid w:val="00612746"/>
    <w:rsid w:val="00614AB4"/>
    <w:rsid w:val="00614AD0"/>
    <w:rsid w:val="00620696"/>
    <w:rsid w:val="006256E2"/>
    <w:rsid w:val="00625C36"/>
    <w:rsid w:val="006265DF"/>
    <w:rsid w:val="006270D3"/>
    <w:rsid w:val="00631D92"/>
    <w:rsid w:val="00632230"/>
    <w:rsid w:val="00636FA7"/>
    <w:rsid w:val="006372CA"/>
    <w:rsid w:val="0064212D"/>
    <w:rsid w:val="00642479"/>
    <w:rsid w:val="006468A9"/>
    <w:rsid w:val="006477AD"/>
    <w:rsid w:val="00647E6E"/>
    <w:rsid w:val="0065180E"/>
    <w:rsid w:val="00652098"/>
    <w:rsid w:val="00652C57"/>
    <w:rsid w:val="00653A11"/>
    <w:rsid w:val="006548AE"/>
    <w:rsid w:val="00655080"/>
    <w:rsid w:val="00656E9A"/>
    <w:rsid w:val="00657271"/>
    <w:rsid w:val="00657B3C"/>
    <w:rsid w:val="006601E5"/>
    <w:rsid w:val="006601ED"/>
    <w:rsid w:val="006629A0"/>
    <w:rsid w:val="0066411F"/>
    <w:rsid w:val="00664515"/>
    <w:rsid w:val="00665098"/>
    <w:rsid w:val="006663CE"/>
    <w:rsid w:val="00667B08"/>
    <w:rsid w:val="0066AA44"/>
    <w:rsid w:val="00670C97"/>
    <w:rsid w:val="00671363"/>
    <w:rsid w:val="006715E1"/>
    <w:rsid w:val="00674100"/>
    <w:rsid w:val="00675987"/>
    <w:rsid w:val="006805BB"/>
    <w:rsid w:val="00681552"/>
    <w:rsid w:val="006817D8"/>
    <w:rsid w:val="006837D7"/>
    <w:rsid w:val="00684FBC"/>
    <w:rsid w:val="00687176"/>
    <w:rsid w:val="00691C0E"/>
    <w:rsid w:val="00692ADB"/>
    <w:rsid w:val="00692F4D"/>
    <w:rsid w:val="006943C2"/>
    <w:rsid w:val="00694662"/>
    <w:rsid w:val="00697739"/>
    <w:rsid w:val="006A2EED"/>
    <w:rsid w:val="006A3A3A"/>
    <w:rsid w:val="006A4484"/>
    <w:rsid w:val="006A56B5"/>
    <w:rsid w:val="006B04FB"/>
    <w:rsid w:val="006B30CB"/>
    <w:rsid w:val="006B4522"/>
    <w:rsid w:val="006B5192"/>
    <w:rsid w:val="006B5D5B"/>
    <w:rsid w:val="006B5FE9"/>
    <w:rsid w:val="006C04EF"/>
    <w:rsid w:val="006C18FD"/>
    <w:rsid w:val="006C5576"/>
    <w:rsid w:val="006C57E5"/>
    <w:rsid w:val="006C6477"/>
    <w:rsid w:val="006C687D"/>
    <w:rsid w:val="006D0087"/>
    <w:rsid w:val="006D0668"/>
    <w:rsid w:val="006D0B8E"/>
    <w:rsid w:val="006D10BD"/>
    <w:rsid w:val="006D117E"/>
    <w:rsid w:val="006D1A88"/>
    <w:rsid w:val="006D229F"/>
    <w:rsid w:val="006D2DD2"/>
    <w:rsid w:val="006D2E7B"/>
    <w:rsid w:val="006D5827"/>
    <w:rsid w:val="006D65D2"/>
    <w:rsid w:val="006D6F68"/>
    <w:rsid w:val="006D702C"/>
    <w:rsid w:val="006E0D37"/>
    <w:rsid w:val="006E1908"/>
    <w:rsid w:val="006E55F2"/>
    <w:rsid w:val="006E5751"/>
    <w:rsid w:val="006E5B28"/>
    <w:rsid w:val="006E69B0"/>
    <w:rsid w:val="006F1DE2"/>
    <w:rsid w:val="006F43A7"/>
    <w:rsid w:val="00701D54"/>
    <w:rsid w:val="00707AFE"/>
    <w:rsid w:val="00713134"/>
    <w:rsid w:val="0071343A"/>
    <w:rsid w:val="0071588A"/>
    <w:rsid w:val="00715C8A"/>
    <w:rsid w:val="0072012F"/>
    <w:rsid w:val="00722F22"/>
    <w:rsid w:val="007236FB"/>
    <w:rsid w:val="00723E40"/>
    <w:rsid w:val="00724F6F"/>
    <w:rsid w:val="007300C8"/>
    <w:rsid w:val="0073073F"/>
    <w:rsid w:val="00733385"/>
    <w:rsid w:val="00733967"/>
    <w:rsid w:val="007343A2"/>
    <w:rsid w:val="00734D87"/>
    <w:rsid w:val="007354B5"/>
    <w:rsid w:val="00735F96"/>
    <w:rsid w:val="00736E16"/>
    <w:rsid w:val="00741484"/>
    <w:rsid w:val="007428CE"/>
    <w:rsid w:val="007440FB"/>
    <w:rsid w:val="00745DC1"/>
    <w:rsid w:val="0074617F"/>
    <w:rsid w:val="00746A4C"/>
    <w:rsid w:val="007504A8"/>
    <w:rsid w:val="00752543"/>
    <w:rsid w:val="00752D74"/>
    <w:rsid w:val="0075416D"/>
    <w:rsid w:val="007543CC"/>
    <w:rsid w:val="00756764"/>
    <w:rsid w:val="007652AF"/>
    <w:rsid w:val="007655CC"/>
    <w:rsid w:val="007669F5"/>
    <w:rsid w:val="0077040B"/>
    <w:rsid w:val="00770DB2"/>
    <w:rsid w:val="0077467F"/>
    <w:rsid w:val="007747A1"/>
    <w:rsid w:val="00775E9F"/>
    <w:rsid w:val="00777891"/>
    <w:rsid w:val="00781256"/>
    <w:rsid w:val="00781365"/>
    <w:rsid w:val="007829E6"/>
    <w:rsid w:val="00784887"/>
    <w:rsid w:val="00784DAE"/>
    <w:rsid w:val="00785533"/>
    <w:rsid w:val="00785AFA"/>
    <w:rsid w:val="0078704B"/>
    <w:rsid w:val="00787C74"/>
    <w:rsid w:val="00790496"/>
    <w:rsid w:val="0079150A"/>
    <w:rsid w:val="00792D22"/>
    <w:rsid w:val="00793A63"/>
    <w:rsid w:val="0079477F"/>
    <w:rsid w:val="00794C25"/>
    <w:rsid w:val="0079574E"/>
    <w:rsid w:val="00796C95"/>
    <w:rsid w:val="0079733C"/>
    <w:rsid w:val="007A0136"/>
    <w:rsid w:val="007A1752"/>
    <w:rsid w:val="007A21A3"/>
    <w:rsid w:val="007A2BF7"/>
    <w:rsid w:val="007A463A"/>
    <w:rsid w:val="007A69C3"/>
    <w:rsid w:val="007A6CDC"/>
    <w:rsid w:val="007A7579"/>
    <w:rsid w:val="007B1F27"/>
    <w:rsid w:val="007B5283"/>
    <w:rsid w:val="007B6822"/>
    <w:rsid w:val="007C0769"/>
    <w:rsid w:val="007C6EC0"/>
    <w:rsid w:val="007D0638"/>
    <w:rsid w:val="007D1A88"/>
    <w:rsid w:val="007D223C"/>
    <w:rsid w:val="007D23AC"/>
    <w:rsid w:val="007D5374"/>
    <w:rsid w:val="007D773F"/>
    <w:rsid w:val="007E17E9"/>
    <w:rsid w:val="007E1D27"/>
    <w:rsid w:val="007E492E"/>
    <w:rsid w:val="007E5AFC"/>
    <w:rsid w:val="007E7076"/>
    <w:rsid w:val="007F1CD7"/>
    <w:rsid w:val="007F22F3"/>
    <w:rsid w:val="007F2CB0"/>
    <w:rsid w:val="007F2F3B"/>
    <w:rsid w:val="007F57A6"/>
    <w:rsid w:val="007F6B66"/>
    <w:rsid w:val="007F7666"/>
    <w:rsid w:val="008010C7"/>
    <w:rsid w:val="008037D1"/>
    <w:rsid w:val="00804576"/>
    <w:rsid w:val="00807B7E"/>
    <w:rsid w:val="008108A5"/>
    <w:rsid w:val="00812C35"/>
    <w:rsid w:val="008156AF"/>
    <w:rsid w:val="00822D66"/>
    <w:rsid w:val="00825854"/>
    <w:rsid w:val="008279C3"/>
    <w:rsid w:val="00827EB8"/>
    <w:rsid w:val="00830B9D"/>
    <w:rsid w:val="0083350E"/>
    <w:rsid w:val="00834C4D"/>
    <w:rsid w:val="008359D9"/>
    <w:rsid w:val="008419AC"/>
    <w:rsid w:val="0084296E"/>
    <w:rsid w:val="00852BEA"/>
    <w:rsid w:val="00853135"/>
    <w:rsid w:val="00855F5D"/>
    <w:rsid w:val="00863DEE"/>
    <w:rsid w:val="008642AC"/>
    <w:rsid w:val="00866E3C"/>
    <w:rsid w:val="008702A3"/>
    <w:rsid w:val="00872A73"/>
    <w:rsid w:val="00874277"/>
    <w:rsid w:val="00877290"/>
    <w:rsid w:val="00877649"/>
    <w:rsid w:val="0087779C"/>
    <w:rsid w:val="008823C2"/>
    <w:rsid w:val="00882675"/>
    <w:rsid w:val="0089101E"/>
    <w:rsid w:val="00893F6D"/>
    <w:rsid w:val="00895857"/>
    <w:rsid w:val="00897796"/>
    <w:rsid w:val="008A1B95"/>
    <w:rsid w:val="008A56D9"/>
    <w:rsid w:val="008B0D4F"/>
    <w:rsid w:val="008B0E5F"/>
    <w:rsid w:val="008B238C"/>
    <w:rsid w:val="008B24C6"/>
    <w:rsid w:val="008B33C7"/>
    <w:rsid w:val="008B4FFC"/>
    <w:rsid w:val="008B5580"/>
    <w:rsid w:val="008B7A15"/>
    <w:rsid w:val="008C31DD"/>
    <w:rsid w:val="008C4F34"/>
    <w:rsid w:val="008C60D5"/>
    <w:rsid w:val="008D18AA"/>
    <w:rsid w:val="008D2548"/>
    <w:rsid w:val="008D28D6"/>
    <w:rsid w:val="008D3444"/>
    <w:rsid w:val="008D496C"/>
    <w:rsid w:val="008D4A59"/>
    <w:rsid w:val="008D4A85"/>
    <w:rsid w:val="008D54AD"/>
    <w:rsid w:val="008D5AC6"/>
    <w:rsid w:val="008D5D24"/>
    <w:rsid w:val="008D6454"/>
    <w:rsid w:val="008E384D"/>
    <w:rsid w:val="008E56AE"/>
    <w:rsid w:val="008F06E8"/>
    <w:rsid w:val="008F11DD"/>
    <w:rsid w:val="008F2AD4"/>
    <w:rsid w:val="008F59C3"/>
    <w:rsid w:val="00900A31"/>
    <w:rsid w:val="00900B9E"/>
    <w:rsid w:val="0090263B"/>
    <w:rsid w:val="009027C7"/>
    <w:rsid w:val="0090335C"/>
    <w:rsid w:val="009037D7"/>
    <w:rsid w:val="00904623"/>
    <w:rsid w:val="009058A3"/>
    <w:rsid w:val="00907CEC"/>
    <w:rsid w:val="00910142"/>
    <w:rsid w:val="00914008"/>
    <w:rsid w:val="00916119"/>
    <w:rsid w:val="009164EB"/>
    <w:rsid w:val="009169C6"/>
    <w:rsid w:val="00917CDB"/>
    <w:rsid w:val="0092014D"/>
    <w:rsid w:val="00923E0E"/>
    <w:rsid w:val="0092425B"/>
    <w:rsid w:val="009249A7"/>
    <w:rsid w:val="00927B0E"/>
    <w:rsid w:val="0093020F"/>
    <w:rsid w:val="009309AD"/>
    <w:rsid w:val="00930E69"/>
    <w:rsid w:val="009314B3"/>
    <w:rsid w:val="0093573B"/>
    <w:rsid w:val="00936A68"/>
    <w:rsid w:val="00942AFB"/>
    <w:rsid w:val="00942F1A"/>
    <w:rsid w:val="00944EDE"/>
    <w:rsid w:val="00950BFA"/>
    <w:rsid w:val="0095177B"/>
    <w:rsid w:val="00954CAD"/>
    <w:rsid w:val="009567DE"/>
    <w:rsid w:val="0096141A"/>
    <w:rsid w:val="009618B8"/>
    <w:rsid w:val="00961F36"/>
    <w:rsid w:val="009636DA"/>
    <w:rsid w:val="009641DB"/>
    <w:rsid w:val="00964D92"/>
    <w:rsid w:val="00965B94"/>
    <w:rsid w:val="009706C0"/>
    <w:rsid w:val="0097222D"/>
    <w:rsid w:val="0097397C"/>
    <w:rsid w:val="00975748"/>
    <w:rsid w:val="00975F4E"/>
    <w:rsid w:val="0097675F"/>
    <w:rsid w:val="0097704E"/>
    <w:rsid w:val="009778CA"/>
    <w:rsid w:val="009804CB"/>
    <w:rsid w:val="00983D0C"/>
    <w:rsid w:val="0098560A"/>
    <w:rsid w:val="00985ECE"/>
    <w:rsid w:val="0098626B"/>
    <w:rsid w:val="00986E30"/>
    <w:rsid w:val="009914D5"/>
    <w:rsid w:val="0099152E"/>
    <w:rsid w:val="009917F8"/>
    <w:rsid w:val="00993B9E"/>
    <w:rsid w:val="0099651C"/>
    <w:rsid w:val="009A10F0"/>
    <w:rsid w:val="009A20F7"/>
    <w:rsid w:val="009A2CC3"/>
    <w:rsid w:val="009A3148"/>
    <w:rsid w:val="009A31B8"/>
    <w:rsid w:val="009A39ED"/>
    <w:rsid w:val="009A6BF3"/>
    <w:rsid w:val="009B18BB"/>
    <w:rsid w:val="009B2E98"/>
    <w:rsid w:val="009B3758"/>
    <w:rsid w:val="009B62D7"/>
    <w:rsid w:val="009B7AF0"/>
    <w:rsid w:val="009B7B4C"/>
    <w:rsid w:val="009C06FF"/>
    <w:rsid w:val="009C14B9"/>
    <w:rsid w:val="009C367C"/>
    <w:rsid w:val="009C435B"/>
    <w:rsid w:val="009C5F7D"/>
    <w:rsid w:val="009C7074"/>
    <w:rsid w:val="009C7116"/>
    <w:rsid w:val="009C7565"/>
    <w:rsid w:val="009D0B7A"/>
    <w:rsid w:val="009D0DE8"/>
    <w:rsid w:val="009D6359"/>
    <w:rsid w:val="009D6BD1"/>
    <w:rsid w:val="009D7BAA"/>
    <w:rsid w:val="009E06E6"/>
    <w:rsid w:val="009E4522"/>
    <w:rsid w:val="009E544E"/>
    <w:rsid w:val="009E610B"/>
    <w:rsid w:val="009E77EC"/>
    <w:rsid w:val="009F19DC"/>
    <w:rsid w:val="009F268C"/>
    <w:rsid w:val="009F555A"/>
    <w:rsid w:val="009F79F0"/>
    <w:rsid w:val="009F7E8D"/>
    <w:rsid w:val="00A00DE4"/>
    <w:rsid w:val="00A00E62"/>
    <w:rsid w:val="00A02871"/>
    <w:rsid w:val="00A0673F"/>
    <w:rsid w:val="00A07FAB"/>
    <w:rsid w:val="00A10940"/>
    <w:rsid w:val="00A10CC2"/>
    <w:rsid w:val="00A12CB5"/>
    <w:rsid w:val="00A13F47"/>
    <w:rsid w:val="00A157F7"/>
    <w:rsid w:val="00A2040C"/>
    <w:rsid w:val="00A22E8A"/>
    <w:rsid w:val="00A232DD"/>
    <w:rsid w:val="00A23865"/>
    <w:rsid w:val="00A24F86"/>
    <w:rsid w:val="00A250A3"/>
    <w:rsid w:val="00A25BE4"/>
    <w:rsid w:val="00A3059D"/>
    <w:rsid w:val="00A31572"/>
    <w:rsid w:val="00A31825"/>
    <w:rsid w:val="00A34021"/>
    <w:rsid w:val="00A34CB6"/>
    <w:rsid w:val="00A36E9A"/>
    <w:rsid w:val="00A404DB"/>
    <w:rsid w:val="00A4136A"/>
    <w:rsid w:val="00A42250"/>
    <w:rsid w:val="00A423A8"/>
    <w:rsid w:val="00A425EB"/>
    <w:rsid w:val="00A42FEF"/>
    <w:rsid w:val="00A439BC"/>
    <w:rsid w:val="00A474BA"/>
    <w:rsid w:val="00A47868"/>
    <w:rsid w:val="00A502CD"/>
    <w:rsid w:val="00A5283C"/>
    <w:rsid w:val="00A535B7"/>
    <w:rsid w:val="00A559A6"/>
    <w:rsid w:val="00A60728"/>
    <w:rsid w:val="00A60F46"/>
    <w:rsid w:val="00A6138D"/>
    <w:rsid w:val="00A6440D"/>
    <w:rsid w:val="00A6446B"/>
    <w:rsid w:val="00A65643"/>
    <w:rsid w:val="00A65BE6"/>
    <w:rsid w:val="00A66C7D"/>
    <w:rsid w:val="00A731A0"/>
    <w:rsid w:val="00A7473B"/>
    <w:rsid w:val="00A75830"/>
    <w:rsid w:val="00A76FB8"/>
    <w:rsid w:val="00A77D69"/>
    <w:rsid w:val="00A81513"/>
    <w:rsid w:val="00A81EB1"/>
    <w:rsid w:val="00A82A72"/>
    <w:rsid w:val="00A84989"/>
    <w:rsid w:val="00A853B6"/>
    <w:rsid w:val="00A87AAF"/>
    <w:rsid w:val="00A909A7"/>
    <w:rsid w:val="00A90BD6"/>
    <w:rsid w:val="00A90BDA"/>
    <w:rsid w:val="00A94FB3"/>
    <w:rsid w:val="00A9554B"/>
    <w:rsid w:val="00A97338"/>
    <w:rsid w:val="00AA0BCF"/>
    <w:rsid w:val="00AA10D2"/>
    <w:rsid w:val="00AA33F3"/>
    <w:rsid w:val="00AA5261"/>
    <w:rsid w:val="00AA6051"/>
    <w:rsid w:val="00AA6678"/>
    <w:rsid w:val="00AA6B72"/>
    <w:rsid w:val="00AB1B14"/>
    <w:rsid w:val="00AB20B7"/>
    <w:rsid w:val="00AB48D3"/>
    <w:rsid w:val="00AC2B80"/>
    <w:rsid w:val="00AC7D0E"/>
    <w:rsid w:val="00AD08F4"/>
    <w:rsid w:val="00AD1131"/>
    <w:rsid w:val="00AD23D6"/>
    <w:rsid w:val="00AD58F3"/>
    <w:rsid w:val="00AE1143"/>
    <w:rsid w:val="00AE2278"/>
    <w:rsid w:val="00AE229D"/>
    <w:rsid w:val="00AE3296"/>
    <w:rsid w:val="00AE34C8"/>
    <w:rsid w:val="00AE71B9"/>
    <w:rsid w:val="00AF0801"/>
    <w:rsid w:val="00AF5D04"/>
    <w:rsid w:val="00AF5ED0"/>
    <w:rsid w:val="00AF6310"/>
    <w:rsid w:val="00AF65D2"/>
    <w:rsid w:val="00B037CE"/>
    <w:rsid w:val="00B10988"/>
    <w:rsid w:val="00B22E5B"/>
    <w:rsid w:val="00B2326E"/>
    <w:rsid w:val="00B24692"/>
    <w:rsid w:val="00B263EE"/>
    <w:rsid w:val="00B31C10"/>
    <w:rsid w:val="00B33410"/>
    <w:rsid w:val="00B3495D"/>
    <w:rsid w:val="00B42B1D"/>
    <w:rsid w:val="00B42C03"/>
    <w:rsid w:val="00B42FF6"/>
    <w:rsid w:val="00B43F62"/>
    <w:rsid w:val="00B455DC"/>
    <w:rsid w:val="00B459A2"/>
    <w:rsid w:val="00B46455"/>
    <w:rsid w:val="00B47D88"/>
    <w:rsid w:val="00B50D91"/>
    <w:rsid w:val="00B51A30"/>
    <w:rsid w:val="00B54446"/>
    <w:rsid w:val="00B546E2"/>
    <w:rsid w:val="00B55298"/>
    <w:rsid w:val="00B5579B"/>
    <w:rsid w:val="00B57C69"/>
    <w:rsid w:val="00B60EDB"/>
    <w:rsid w:val="00B61052"/>
    <w:rsid w:val="00B6403E"/>
    <w:rsid w:val="00B64A1C"/>
    <w:rsid w:val="00B64CE6"/>
    <w:rsid w:val="00B656C6"/>
    <w:rsid w:val="00B660CF"/>
    <w:rsid w:val="00B66542"/>
    <w:rsid w:val="00B66AD5"/>
    <w:rsid w:val="00B67551"/>
    <w:rsid w:val="00B71500"/>
    <w:rsid w:val="00B71965"/>
    <w:rsid w:val="00B73B2A"/>
    <w:rsid w:val="00B76C4C"/>
    <w:rsid w:val="00B77C87"/>
    <w:rsid w:val="00B80130"/>
    <w:rsid w:val="00B80875"/>
    <w:rsid w:val="00B83C35"/>
    <w:rsid w:val="00B86373"/>
    <w:rsid w:val="00B92283"/>
    <w:rsid w:val="00B92347"/>
    <w:rsid w:val="00B92570"/>
    <w:rsid w:val="00B979FB"/>
    <w:rsid w:val="00BA5DBC"/>
    <w:rsid w:val="00BA7A8F"/>
    <w:rsid w:val="00BB0106"/>
    <w:rsid w:val="00BB0931"/>
    <w:rsid w:val="00BB1E31"/>
    <w:rsid w:val="00BB2AB0"/>
    <w:rsid w:val="00BB40FD"/>
    <w:rsid w:val="00BC026A"/>
    <w:rsid w:val="00BC10D6"/>
    <w:rsid w:val="00BC2047"/>
    <w:rsid w:val="00BC34A2"/>
    <w:rsid w:val="00BC5C31"/>
    <w:rsid w:val="00BC5DA8"/>
    <w:rsid w:val="00BC5FBE"/>
    <w:rsid w:val="00BC64A1"/>
    <w:rsid w:val="00BC754B"/>
    <w:rsid w:val="00BD1173"/>
    <w:rsid w:val="00BD11B0"/>
    <w:rsid w:val="00BD229E"/>
    <w:rsid w:val="00BD65B4"/>
    <w:rsid w:val="00BD7B81"/>
    <w:rsid w:val="00BE213D"/>
    <w:rsid w:val="00BE4BBA"/>
    <w:rsid w:val="00BF14FC"/>
    <w:rsid w:val="00BF188E"/>
    <w:rsid w:val="00BF1F30"/>
    <w:rsid w:val="00BF411E"/>
    <w:rsid w:val="00BF549D"/>
    <w:rsid w:val="00BF72F3"/>
    <w:rsid w:val="00C019D4"/>
    <w:rsid w:val="00C0527F"/>
    <w:rsid w:val="00C05B31"/>
    <w:rsid w:val="00C127CB"/>
    <w:rsid w:val="00C13344"/>
    <w:rsid w:val="00C14A18"/>
    <w:rsid w:val="00C169A8"/>
    <w:rsid w:val="00C16A82"/>
    <w:rsid w:val="00C21B6B"/>
    <w:rsid w:val="00C236B6"/>
    <w:rsid w:val="00C23A31"/>
    <w:rsid w:val="00C23A78"/>
    <w:rsid w:val="00C24CE5"/>
    <w:rsid w:val="00C260BC"/>
    <w:rsid w:val="00C26ED3"/>
    <w:rsid w:val="00C27360"/>
    <w:rsid w:val="00C3020E"/>
    <w:rsid w:val="00C3098B"/>
    <w:rsid w:val="00C31263"/>
    <w:rsid w:val="00C31361"/>
    <w:rsid w:val="00C334B7"/>
    <w:rsid w:val="00C335E9"/>
    <w:rsid w:val="00C33BF3"/>
    <w:rsid w:val="00C35401"/>
    <w:rsid w:val="00C46AF5"/>
    <w:rsid w:val="00C47CC1"/>
    <w:rsid w:val="00C50026"/>
    <w:rsid w:val="00C500DB"/>
    <w:rsid w:val="00C51706"/>
    <w:rsid w:val="00C51ED4"/>
    <w:rsid w:val="00C60E13"/>
    <w:rsid w:val="00C60FB4"/>
    <w:rsid w:val="00C621B5"/>
    <w:rsid w:val="00C63138"/>
    <w:rsid w:val="00C64EE8"/>
    <w:rsid w:val="00C66B56"/>
    <w:rsid w:val="00C671F4"/>
    <w:rsid w:val="00C71331"/>
    <w:rsid w:val="00C7194C"/>
    <w:rsid w:val="00C741E8"/>
    <w:rsid w:val="00C743CF"/>
    <w:rsid w:val="00C75144"/>
    <w:rsid w:val="00C767DD"/>
    <w:rsid w:val="00C77B65"/>
    <w:rsid w:val="00C82188"/>
    <w:rsid w:val="00C82820"/>
    <w:rsid w:val="00C83C8C"/>
    <w:rsid w:val="00C85B7A"/>
    <w:rsid w:val="00C86302"/>
    <w:rsid w:val="00C87DFD"/>
    <w:rsid w:val="00C97CCB"/>
    <w:rsid w:val="00CA34FA"/>
    <w:rsid w:val="00CA3AEB"/>
    <w:rsid w:val="00CA3B83"/>
    <w:rsid w:val="00CA6259"/>
    <w:rsid w:val="00CA65AD"/>
    <w:rsid w:val="00CA68AF"/>
    <w:rsid w:val="00CA6BD9"/>
    <w:rsid w:val="00CA6E85"/>
    <w:rsid w:val="00CB369E"/>
    <w:rsid w:val="00CB3FF4"/>
    <w:rsid w:val="00CB4CBC"/>
    <w:rsid w:val="00CB7AD4"/>
    <w:rsid w:val="00CB7C2D"/>
    <w:rsid w:val="00CC0648"/>
    <w:rsid w:val="00CC0A74"/>
    <w:rsid w:val="00CC2DE1"/>
    <w:rsid w:val="00CC2E91"/>
    <w:rsid w:val="00CC422C"/>
    <w:rsid w:val="00CC4E09"/>
    <w:rsid w:val="00CC5216"/>
    <w:rsid w:val="00CD126C"/>
    <w:rsid w:val="00CD25E3"/>
    <w:rsid w:val="00CD4E06"/>
    <w:rsid w:val="00CD4F08"/>
    <w:rsid w:val="00CD5750"/>
    <w:rsid w:val="00CD6472"/>
    <w:rsid w:val="00CE06D8"/>
    <w:rsid w:val="00CE137A"/>
    <w:rsid w:val="00CE22D4"/>
    <w:rsid w:val="00CE23F8"/>
    <w:rsid w:val="00CE4B11"/>
    <w:rsid w:val="00CE6D90"/>
    <w:rsid w:val="00CF0F84"/>
    <w:rsid w:val="00CF288D"/>
    <w:rsid w:val="00CF4F66"/>
    <w:rsid w:val="00CF500F"/>
    <w:rsid w:val="00CF5815"/>
    <w:rsid w:val="00CF716D"/>
    <w:rsid w:val="00D02F45"/>
    <w:rsid w:val="00D03447"/>
    <w:rsid w:val="00D03818"/>
    <w:rsid w:val="00D042E8"/>
    <w:rsid w:val="00D0632B"/>
    <w:rsid w:val="00D06415"/>
    <w:rsid w:val="00D07678"/>
    <w:rsid w:val="00D124EF"/>
    <w:rsid w:val="00D12751"/>
    <w:rsid w:val="00D145A9"/>
    <w:rsid w:val="00D149EC"/>
    <w:rsid w:val="00D154B9"/>
    <w:rsid w:val="00D15CBB"/>
    <w:rsid w:val="00D17CC8"/>
    <w:rsid w:val="00D22E10"/>
    <w:rsid w:val="00D23D03"/>
    <w:rsid w:val="00D24D6C"/>
    <w:rsid w:val="00D276A2"/>
    <w:rsid w:val="00D30097"/>
    <w:rsid w:val="00D3522C"/>
    <w:rsid w:val="00D3530D"/>
    <w:rsid w:val="00D35EDC"/>
    <w:rsid w:val="00D47824"/>
    <w:rsid w:val="00D50398"/>
    <w:rsid w:val="00D524DB"/>
    <w:rsid w:val="00D527E2"/>
    <w:rsid w:val="00D538EF"/>
    <w:rsid w:val="00D53939"/>
    <w:rsid w:val="00D53AB1"/>
    <w:rsid w:val="00D55C30"/>
    <w:rsid w:val="00D61FA7"/>
    <w:rsid w:val="00D625B1"/>
    <w:rsid w:val="00D62F51"/>
    <w:rsid w:val="00D64861"/>
    <w:rsid w:val="00D6488D"/>
    <w:rsid w:val="00D65E49"/>
    <w:rsid w:val="00D7020C"/>
    <w:rsid w:val="00D71CCE"/>
    <w:rsid w:val="00D7633C"/>
    <w:rsid w:val="00D81B8D"/>
    <w:rsid w:val="00D82613"/>
    <w:rsid w:val="00D82E95"/>
    <w:rsid w:val="00D83734"/>
    <w:rsid w:val="00D9127F"/>
    <w:rsid w:val="00D9206E"/>
    <w:rsid w:val="00D97460"/>
    <w:rsid w:val="00D97C1F"/>
    <w:rsid w:val="00D97CED"/>
    <w:rsid w:val="00DA0540"/>
    <w:rsid w:val="00DA17E8"/>
    <w:rsid w:val="00DA202E"/>
    <w:rsid w:val="00DA5367"/>
    <w:rsid w:val="00DB27AF"/>
    <w:rsid w:val="00DB2AF4"/>
    <w:rsid w:val="00DB31B7"/>
    <w:rsid w:val="00DB4A69"/>
    <w:rsid w:val="00DB4E39"/>
    <w:rsid w:val="00DC0D84"/>
    <w:rsid w:val="00DC1A4E"/>
    <w:rsid w:val="00DC2B5F"/>
    <w:rsid w:val="00DC4B7B"/>
    <w:rsid w:val="00DD0C57"/>
    <w:rsid w:val="00DD0DE3"/>
    <w:rsid w:val="00DD294C"/>
    <w:rsid w:val="00DD4A22"/>
    <w:rsid w:val="00DD4A3B"/>
    <w:rsid w:val="00DD5CFE"/>
    <w:rsid w:val="00DD5E80"/>
    <w:rsid w:val="00DD6AD9"/>
    <w:rsid w:val="00DD6D72"/>
    <w:rsid w:val="00DD745A"/>
    <w:rsid w:val="00DE3B8F"/>
    <w:rsid w:val="00DE5F4D"/>
    <w:rsid w:val="00DE636C"/>
    <w:rsid w:val="00DE6AFB"/>
    <w:rsid w:val="00DE6F7C"/>
    <w:rsid w:val="00DF0880"/>
    <w:rsid w:val="00DF3691"/>
    <w:rsid w:val="00DF3949"/>
    <w:rsid w:val="00DF3A16"/>
    <w:rsid w:val="00DF3B86"/>
    <w:rsid w:val="00DF4D78"/>
    <w:rsid w:val="00E01DE9"/>
    <w:rsid w:val="00E032FF"/>
    <w:rsid w:val="00E03AB1"/>
    <w:rsid w:val="00E06D1D"/>
    <w:rsid w:val="00E07499"/>
    <w:rsid w:val="00E07705"/>
    <w:rsid w:val="00E07976"/>
    <w:rsid w:val="00E11176"/>
    <w:rsid w:val="00E12DEA"/>
    <w:rsid w:val="00E13FD0"/>
    <w:rsid w:val="00E1493A"/>
    <w:rsid w:val="00E21929"/>
    <w:rsid w:val="00E24EC7"/>
    <w:rsid w:val="00E24F03"/>
    <w:rsid w:val="00E24F57"/>
    <w:rsid w:val="00E261FB"/>
    <w:rsid w:val="00E335F0"/>
    <w:rsid w:val="00E33EC1"/>
    <w:rsid w:val="00E35237"/>
    <w:rsid w:val="00E37265"/>
    <w:rsid w:val="00E3743D"/>
    <w:rsid w:val="00E378F9"/>
    <w:rsid w:val="00E4007F"/>
    <w:rsid w:val="00E40875"/>
    <w:rsid w:val="00E41CA9"/>
    <w:rsid w:val="00E507BD"/>
    <w:rsid w:val="00E50FD6"/>
    <w:rsid w:val="00E5223C"/>
    <w:rsid w:val="00E524AB"/>
    <w:rsid w:val="00E5508A"/>
    <w:rsid w:val="00E60DD7"/>
    <w:rsid w:val="00E62246"/>
    <w:rsid w:val="00E6612F"/>
    <w:rsid w:val="00E66D17"/>
    <w:rsid w:val="00E707A1"/>
    <w:rsid w:val="00E718CD"/>
    <w:rsid w:val="00E71A6B"/>
    <w:rsid w:val="00E72654"/>
    <w:rsid w:val="00E732B6"/>
    <w:rsid w:val="00E75C01"/>
    <w:rsid w:val="00E75D7B"/>
    <w:rsid w:val="00E76E27"/>
    <w:rsid w:val="00E77073"/>
    <w:rsid w:val="00E7726A"/>
    <w:rsid w:val="00E779FE"/>
    <w:rsid w:val="00E80B77"/>
    <w:rsid w:val="00E8158C"/>
    <w:rsid w:val="00E83D0A"/>
    <w:rsid w:val="00E850B3"/>
    <w:rsid w:val="00E85DBF"/>
    <w:rsid w:val="00E911D3"/>
    <w:rsid w:val="00E92685"/>
    <w:rsid w:val="00E92818"/>
    <w:rsid w:val="00EA061B"/>
    <w:rsid w:val="00EA0C32"/>
    <w:rsid w:val="00EA2715"/>
    <w:rsid w:val="00EA46F4"/>
    <w:rsid w:val="00EA543F"/>
    <w:rsid w:val="00EA60FB"/>
    <w:rsid w:val="00EA6E26"/>
    <w:rsid w:val="00EA70AC"/>
    <w:rsid w:val="00EA773E"/>
    <w:rsid w:val="00EA77A1"/>
    <w:rsid w:val="00EA79E4"/>
    <w:rsid w:val="00EB0338"/>
    <w:rsid w:val="00EB1080"/>
    <w:rsid w:val="00EB22E2"/>
    <w:rsid w:val="00EB2693"/>
    <w:rsid w:val="00EB2CFD"/>
    <w:rsid w:val="00EB2EEC"/>
    <w:rsid w:val="00EB3C0C"/>
    <w:rsid w:val="00EC0CA5"/>
    <w:rsid w:val="00EC2278"/>
    <w:rsid w:val="00EC28C8"/>
    <w:rsid w:val="00EC4396"/>
    <w:rsid w:val="00EC4730"/>
    <w:rsid w:val="00EC66D6"/>
    <w:rsid w:val="00ED2A00"/>
    <w:rsid w:val="00ED5311"/>
    <w:rsid w:val="00ED71F6"/>
    <w:rsid w:val="00EE0A4C"/>
    <w:rsid w:val="00EE1FF9"/>
    <w:rsid w:val="00EE3027"/>
    <w:rsid w:val="00EE4C73"/>
    <w:rsid w:val="00EE5626"/>
    <w:rsid w:val="00EE5DD6"/>
    <w:rsid w:val="00EE6BF1"/>
    <w:rsid w:val="00EF43C4"/>
    <w:rsid w:val="00EF60A9"/>
    <w:rsid w:val="00F009BA"/>
    <w:rsid w:val="00F01E9E"/>
    <w:rsid w:val="00F0253C"/>
    <w:rsid w:val="00F02EAE"/>
    <w:rsid w:val="00F04EE6"/>
    <w:rsid w:val="00F06306"/>
    <w:rsid w:val="00F10EF8"/>
    <w:rsid w:val="00F15B92"/>
    <w:rsid w:val="00F176AF"/>
    <w:rsid w:val="00F242A8"/>
    <w:rsid w:val="00F261D3"/>
    <w:rsid w:val="00F30634"/>
    <w:rsid w:val="00F317EA"/>
    <w:rsid w:val="00F3186C"/>
    <w:rsid w:val="00F3366D"/>
    <w:rsid w:val="00F33970"/>
    <w:rsid w:val="00F34847"/>
    <w:rsid w:val="00F40821"/>
    <w:rsid w:val="00F43B3C"/>
    <w:rsid w:val="00F44498"/>
    <w:rsid w:val="00F445F2"/>
    <w:rsid w:val="00F452AB"/>
    <w:rsid w:val="00F46362"/>
    <w:rsid w:val="00F50262"/>
    <w:rsid w:val="00F512BB"/>
    <w:rsid w:val="00F5229E"/>
    <w:rsid w:val="00F543C1"/>
    <w:rsid w:val="00F54C0F"/>
    <w:rsid w:val="00F55825"/>
    <w:rsid w:val="00F575B3"/>
    <w:rsid w:val="00F60972"/>
    <w:rsid w:val="00F60CCC"/>
    <w:rsid w:val="00F6202B"/>
    <w:rsid w:val="00F623BB"/>
    <w:rsid w:val="00F6406A"/>
    <w:rsid w:val="00F65326"/>
    <w:rsid w:val="00F70262"/>
    <w:rsid w:val="00F716D4"/>
    <w:rsid w:val="00F71C14"/>
    <w:rsid w:val="00F727E9"/>
    <w:rsid w:val="00F73ED2"/>
    <w:rsid w:val="00F74A82"/>
    <w:rsid w:val="00F75C9B"/>
    <w:rsid w:val="00F76AFA"/>
    <w:rsid w:val="00F777D8"/>
    <w:rsid w:val="00F827F8"/>
    <w:rsid w:val="00F83770"/>
    <w:rsid w:val="00F84C4E"/>
    <w:rsid w:val="00F87556"/>
    <w:rsid w:val="00F87911"/>
    <w:rsid w:val="00F87A3A"/>
    <w:rsid w:val="00F87DCF"/>
    <w:rsid w:val="00F87F77"/>
    <w:rsid w:val="00F9007C"/>
    <w:rsid w:val="00F94B44"/>
    <w:rsid w:val="00F96617"/>
    <w:rsid w:val="00F973DD"/>
    <w:rsid w:val="00FA0EE5"/>
    <w:rsid w:val="00FA1B38"/>
    <w:rsid w:val="00FA20E4"/>
    <w:rsid w:val="00FA21A3"/>
    <w:rsid w:val="00FA4A49"/>
    <w:rsid w:val="00FB000F"/>
    <w:rsid w:val="00FB1316"/>
    <w:rsid w:val="00FB550B"/>
    <w:rsid w:val="00FB6427"/>
    <w:rsid w:val="00FC0114"/>
    <w:rsid w:val="00FC179C"/>
    <w:rsid w:val="00FC1A7E"/>
    <w:rsid w:val="00FC1AEA"/>
    <w:rsid w:val="00FC1D96"/>
    <w:rsid w:val="00FC24CA"/>
    <w:rsid w:val="00FC2D98"/>
    <w:rsid w:val="00FD1390"/>
    <w:rsid w:val="00FD7240"/>
    <w:rsid w:val="00FE34EC"/>
    <w:rsid w:val="00FE3877"/>
    <w:rsid w:val="00FE494E"/>
    <w:rsid w:val="00FE4B97"/>
    <w:rsid w:val="00FE4D1A"/>
    <w:rsid w:val="00FE6530"/>
    <w:rsid w:val="00FE6627"/>
    <w:rsid w:val="00FF017A"/>
    <w:rsid w:val="00FF14B9"/>
    <w:rsid w:val="00FF33E4"/>
    <w:rsid w:val="00FF5544"/>
    <w:rsid w:val="00FF5CAF"/>
    <w:rsid w:val="017BEFB2"/>
    <w:rsid w:val="017F73DE"/>
    <w:rsid w:val="01C63C6E"/>
    <w:rsid w:val="0282C714"/>
    <w:rsid w:val="042C3410"/>
    <w:rsid w:val="04939A57"/>
    <w:rsid w:val="061CD026"/>
    <w:rsid w:val="06E116F7"/>
    <w:rsid w:val="07C29AB2"/>
    <w:rsid w:val="07FA5900"/>
    <w:rsid w:val="0846AF81"/>
    <w:rsid w:val="0857A459"/>
    <w:rsid w:val="08894921"/>
    <w:rsid w:val="08A159EF"/>
    <w:rsid w:val="08A6AFD7"/>
    <w:rsid w:val="0A1B07B5"/>
    <w:rsid w:val="0B05C9AF"/>
    <w:rsid w:val="0C1135E7"/>
    <w:rsid w:val="0C91DC60"/>
    <w:rsid w:val="0C94DDA8"/>
    <w:rsid w:val="0CBD1613"/>
    <w:rsid w:val="0F1A24F9"/>
    <w:rsid w:val="0F1B6A84"/>
    <w:rsid w:val="0F93D2BA"/>
    <w:rsid w:val="0FA9154F"/>
    <w:rsid w:val="0FE43A46"/>
    <w:rsid w:val="1024B878"/>
    <w:rsid w:val="10C3E505"/>
    <w:rsid w:val="10D3310B"/>
    <w:rsid w:val="11261FFD"/>
    <w:rsid w:val="11CBABD7"/>
    <w:rsid w:val="12873D00"/>
    <w:rsid w:val="130B088D"/>
    <w:rsid w:val="13ABF3F0"/>
    <w:rsid w:val="140E698F"/>
    <w:rsid w:val="1505EE3C"/>
    <w:rsid w:val="15589A7F"/>
    <w:rsid w:val="16D50C63"/>
    <w:rsid w:val="16E283C4"/>
    <w:rsid w:val="17318654"/>
    <w:rsid w:val="18079DB5"/>
    <w:rsid w:val="182A605E"/>
    <w:rsid w:val="188453DD"/>
    <w:rsid w:val="1897AE2F"/>
    <w:rsid w:val="18CABAB4"/>
    <w:rsid w:val="18CB09ED"/>
    <w:rsid w:val="19073F49"/>
    <w:rsid w:val="1911F063"/>
    <w:rsid w:val="19149E49"/>
    <w:rsid w:val="19482483"/>
    <w:rsid w:val="1A24EE49"/>
    <w:rsid w:val="1A84320F"/>
    <w:rsid w:val="1BDDDCC1"/>
    <w:rsid w:val="1C1FA4B5"/>
    <w:rsid w:val="1DEFD3F4"/>
    <w:rsid w:val="1E45E761"/>
    <w:rsid w:val="1ED7E400"/>
    <w:rsid w:val="1F565F70"/>
    <w:rsid w:val="1F6A0709"/>
    <w:rsid w:val="1FD20AEB"/>
    <w:rsid w:val="2085ED5C"/>
    <w:rsid w:val="20A970A6"/>
    <w:rsid w:val="2148A08F"/>
    <w:rsid w:val="217DF69F"/>
    <w:rsid w:val="219EC251"/>
    <w:rsid w:val="21DA2C2C"/>
    <w:rsid w:val="228D2A62"/>
    <w:rsid w:val="229BC76F"/>
    <w:rsid w:val="241190F4"/>
    <w:rsid w:val="243DD3EC"/>
    <w:rsid w:val="24466BA2"/>
    <w:rsid w:val="2455FD76"/>
    <w:rsid w:val="248A9914"/>
    <w:rsid w:val="24D521EF"/>
    <w:rsid w:val="26919581"/>
    <w:rsid w:val="26A6EB44"/>
    <w:rsid w:val="27317977"/>
    <w:rsid w:val="27AD13F6"/>
    <w:rsid w:val="27D93711"/>
    <w:rsid w:val="280290CF"/>
    <w:rsid w:val="28BD5725"/>
    <w:rsid w:val="28C3521E"/>
    <w:rsid w:val="28DF65F4"/>
    <w:rsid w:val="2A682F16"/>
    <w:rsid w:val="2B52D0FF"/>
    <w:rsid w:val="2BAD20F2"/>
    <w:rsid w:val="2C507E16"/>
    <w:rsid w:val="2CED3D6A"/>
    <w:rsid w:val="2CF31201"/>
    <w:rsid w:val="2DAE8B65"/>
    <w:rsid w:val="2DF46021"/>
    <w:rsid w:val="2E070FCB"/>
    <w:rsid w:val="2E5C17B0"/>
    <w:rsid w:val="2F37A060"/>
    <w:rsid w:val="3027D1F5"/>
    <w:rsid w:val="3028CB38"/>
    <w:rsid w:val="3129C4FB"/>
    <w:rsid w:val="318E1C5A"/>
    <w:rsid w:val="31AAD20C"/>
    <w:rsid w:val="31B54074"/>
    <w:rsid w:val="32064E36"/>
    <w:rsid w:val="334FE335"/>
    <w:rsid w:val="338F72C1"/>
    <w:rsid w:val="33F45F08"/>
    <w:rsid w:val="33FCF1DA"/>
    <w:rsid w:val="3414F3D2"/>
    <w:rsid w:val="34A9F252"/>
    <w:rsid w:val="36195626"/>
    <w:rsid w:val="362C4DA7"/>
    <w:rsid w:val="3639C4C5"/>
    <w:rsid w:val="365625BE"/>
    <w:rsid w:val="367F4652"/>
    <w:rsid w:val="36BA8C48"/>
    <w:rsid w:val="36F9F69B"/>
    <w:rsid w:val="3777B5A9"/>
    <w:rsid w:val="379EEEDB"/>
    <w:rsid w:val="37EBDCB9"/>
    <w:rsid w:val="37EF38DD"/>
    <w:rsid w:val="38C34976"/>
    <w:rsid w:val="3A7CBB8B"/>
    <w:rsid w:val="3AC8CC92"/>
    <w:rsid w:val="3BC4E650"/>
    <w:rsid w:val="3C3F9544"/>
    <w:rsid w:val="3C4EC20D"/>
    <w:rsid w:val="3DB03E7A"/>
    <w:rsid w:val="3F27E1AA"/>
    <w:rsid w:val="3F3ADA2A"/>
    <w:rsid w:val="405A3596"/>
    <w:rsid w:val="4083CFDB"/>
    <w:rsid w:val="40D4BDE9"/>
    <w:rsid w:val="4140C85F"/>
    <w:rsid w:val="41F55491"/>
    <w:rsid w:val="429CBC26"/>
    <w:rsid w:val="43109C8D"/>
    <w:rsid w:val="4317743A"/>
    <w:rsid w:val="4385E08A"/>
    <w:rsid w:val="43A4E65D"/>
    <w:rsid w:val="44EB5931"/>
    <w:rsid w:val="452763E9"/>
    <w:rsid w:val="452A0A36"/>
    <w:rsid w:val="459C1E9A"/>
    <w:rsid w:val="468D13E7"/>
    <w:rsid w:val="46A5BB82"/>
    <w:rsid w:val="47CB8C61"/>
    <w:rsid w:val="48891E39"/>
    <w:rsid w:val="49374113"/>
    <w:rsid w:val="494FA5E4"/>
    <w:rsid w:val="49B068D6"/>
    <w:rsid w:val="49CC2D1A"/>
    <w:rsid w:val="4B443AC4"/>
    <w:rsid w:val="4BA6964C"/>
    <w:rsid w:val="4BF999D4"/>
    <w:rsid w:val="4C8D54B3"/>
    <w:rsid w:val="4D227093"/>
    <w:rsid w:val="4D25D063"/>
    <w:rsid w:val="4DE1F028"/>
    <w:rsid w:val="4E027C1C"/>
    <w:rsid w:val="4E5A5651"/>
    <w:rsid w:val="4EC83206"/>
    <w:rsid w:val="4F5577E6"/>
    <w:rsid w:val="523015B4"/>
    <w:rsid w:val="534B8606"/>
    <w:rsid w:val="53EFD193"/>
    <w:rsid w:val="54B12AB0"/>
    <w:rsid w:val="55A0051C"/>
    <w:rsid w:val="55D4CAE6"/>
    <w:rsid w:val="55F37E4B"/>
    <w:rsid w:val="56A7A6F6"/>
    <w:rsid w:val="56DDC4AE"/>
    <w:rsid w:val="573CAECF"/>
    <w:rsid w:val="57949609"/>
    <w:rsid w:val="57BDA792"/>
    <w:rsid w:val="586A5BEA"/>
    <w:rsid w:val="58C13B15"/>
    <w:rsid w:val="590D43A4"/>
    <w:rsid w:val="5B074182"/>
    <w:rsid w:val="5C171A7F"/>
    <w:rsid w:val="5C1CF6D4"/>
    <w:rsid w:val="5C28A401"/>
    <w:rsid w:val="5C897C20"/>
    <w:rsid w:val="5D340183"/>
    <w:rsid w:val="5D34BD08"/>
    <w:rsid w:val="5F1511B4"/>
    <w:rsid w:val="5F1DA6C4"/>
    <w:rsid w:val="5F3680A4"/>
    <w:rsid w:val="5F4CC11D"/>
    <w:rsid w:val="5F8D79A0"/>
    <w:rsid w:val="5FDBDD2D"/>
    <w:rsid w:val="60D07275"/>
    <w:rsid w:val="6148D4EC"/>
    <w:rsid w:val="617B14E0"/>
    <w:rsid w:val="62A9875D"/>
    <w:rsid w:val="634BA32C"/>
    <w:rsid w:val="635BCF90"/>
    <w:rsid w:val="63BD1105"/>
    <w:rsid w:val="643B15B5"/>
    <w:rsid w:val="647ADE91"/>
    <w:rsid w:val="64839F4E"/>
    <w:rsid w:val="650160FD"/>
    <w:rsid w:val="668F141A"/>
    <w:rsid w:val="6704EFDD"/>
    <w:rsid w:val="6708181B"/>
    <w:rsid w:val="6864AB19"/>
    <w:rsid w:val="686D1570"/>
    <w:rsid w:val="6884B5AC"/>
    <w:rsid w:val="6993419D"/>
    <w:rsid w:val="69DEEF5A"/>
    <w:rsid w:val="6A307AAE"/>
    <w:rsid w:val="6B02591E"/>
    <w:rsid w:val="6B229F96"/>
    <w:rsid w:val="6B375B66"/>
    <w:rsid w:val="6C38FF44"/>
    <w:rsid w:val="6D38D8BC"/>
    <w:rsid w:val="6D736F49"/>
    <w:rsid w:val="6DCEED47"/>
    <w:rsid w:val="6E7243FC"/>
    <w:rsid w:val="6E971A14"/>
    <w:rsid w:val="6E9C9D34"/>
    <w:rsid w:val="6F1013FA"/>
    <w:rsid w:val="6FA1F0B1"/>
    <w:rsid w:val="6FFD2609"/>
    <w:rsid w:val="70404E88"/>
    <w:rsid w:val="70696EDC"/>
    <w:rsid w:val="7089C95F"/>
    <w:rsid w:val="709734A5"/>
    <w:rsid w:val="70B84190"/>
    <w:rsid w:val="70D15637"/>
    <w:rsid w:val="7112BB37"/>
    <w:rsid w:val="71196D45"/>
    <w:rsid w:val="712243BB"/>
    <w:rsid w:val="7128400E"/>
    <w:rsid w:val="714C5A58"/>
    <w:rsid w:val="71D70C5E"/>
    <w:rsid w:val="724881C0"/>
    <w:rsid w:val="726087D3"/>
    <w:rsid w:val="72759B2F"/>
    <w:rsid w:val="7298403B"/>
    <w:rsid w:val="7299018A"/>
    <w:rsid w:val="73851110"/>
    <w:rsid w:val="73BB9362"/>
    <w:rsid w:val="74D46AC8"/>
    <w:rsid w:val="7502C035"/>
    <w:rsid w:val="755A8D13"/>
    <w:rsid w:val="75801692"/>
    <w:rsid w:val="75EB2F4E"/>
    <w:rsid w:val="76341DB6"/>
    <w:rsid w:val="77814AA6"/>
    <w:rsid w:val="77A82CC1"/>
    <w:rsid w:val="77C8BCBF"/>
    <w:rsid w:val="77F151AF"/>
    <w:rsid w:val="7878A16F"/>
    <w:rsid w:val="78F82F28"/>
    <w:rsid w:val="7A4006B2"/>
    <w:rsid w:val="7A420A5C"/>
    <w:rsid w:val="7AFAB38A"/>
    <w:rsid w:val="7B49A72B"/>
    <w:rsid w:val="7BD091FE"/>
    <w:rsid w:val="7BEE7A9C"/>
    <w:rsid w:val="7C013B79"/>
    <w:rsid w:val="7D0A5E88"/>
    <w:rsid w:val="7D0A6600"/>
    <w:rsid w:val="7D1DDA4F"/>
    <w:rsid w:val="7EA17F69"/>
    <w:rsid w:val="7F2B56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D9E6"/>
  <w15:chartTrackingRefBased/>
  <w15:docId w15:val="{05A58796-13D3-4586-9AFC-A6699F77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6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F6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6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F6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B66"/>
    <w:rPr>
      <w:rFonts w:eastAsiaTheme="majorEastAsia" w:cstheme="majorBidi"/>
      <w:color w:val="272727" w:themeColor="text1" w:themeTint="D8"/>
    </w:rPr>
  </w:style>
  <w:style w:type="paragraph" w:styleId="Title">
    <w:name w:val="Title"/>
    <w:basedOn w:val="Normal"/>
    <w:next w:val="Normal"/>
    <w:link w:val="TitleChar"/>
    <w:uiPriority w:val="10"/>
    <w:qFormat/>
    <w:rsid w:val="007F6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B66"/>
    <w:pPr>
      <w:spacing w:before="160"/>
      <w:jc w:val="center"/>
    </w:pPr>
    <w:rPr>
      <w:i/>
      <w:iCs/>
      <w:color w:val="404040" w:themeColor="text1" w:themeTint="BF"/>
    </w:rPr>
  </w:style>
  <w:style w:type="character" w:customStyle="1" w:styleId="QuoteChar">
    <w:name w:val="Quote Char"/>
    <w:basedOn w:val="DefaultParagraphFont"/>
    <w:link w:val="Quote"/>
    <w:uiPriority w:val="29"/>
    <w:rsid w:val="007F6B66"/>
    <w:rPr>
      <w:i/>
      <w:iCs/>
      <w:color w:val="404040" w:themeColor="text1" w:themeTint="BF"/>
    </w:rPr>
  </w:style>
  <w:style w:type="paragraph" w:styleId="ListParagraph">
    <w:name w:val="List Paragraph"/>
    <w:basedOn w:val="Normal"/>
    <w:uiPriority w:val="34"/>
    <w:qFormat/>
    <w:rsid w:val="007F6B66"/>
    <w:pPr>
      <w:ind w:left="720"/>
      <w:contextualSpacing/>
    </w:pPr>
  </w:style>
  <w:style w:type="character" w:styleId="IntenseEmphasis">
    <w:name w:val="Intense Emphasis"/>
    <w:basedOn w:val="DefaultParagraphFont"/>
    <w:uiPriority w:val="21"/>
    <w:qFormat/>
    <w:rsid w:val="007F6B66"/>
    <w:rPr>
      <w:i/>
      <w:iCs/>
      <w:color w:val="0F4761" w:themeColor="accent1" w:themeShade="BF"/>
    </w:rPr>
  </w:style>
  <w:style w:type="paragraph" w:styleId="IntenseQuote">
    <w:name w:val="Intense Quote"/>
    <w:basedOn w:val="Normal"/>
    <w:next w:val="Normal"/>
    <w:link w:val="IntenseQuoteChar"/>
    <w:uiPriority w:val="30"/>
    <w:qFormat/>
    <w:rsid w:val="007F6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B66"/>
    <w:rPr>
      <w:i/>
      <w:iCs/>
      <w:color w:val="0F4761" w:themeColor="accent1" w:themeShade="BF"/>
    </w:rPr>
  </w:style>
  <w:style w:type="character" w:styleId="IntenseReference">
    <w:name w:val="Intense Reference"/>
    <w:basedOn w:val="DefaultParagraphFont"/>
    <w:uiPriority w:val="32"/>
    <w:qFormat/>
    <w:rsid w:val="007F6B66"/>
    <w:rPr>
      <w:b/>
      <w:bCs/>
      <w:smallCaps/>
      <w:color w:val="0F4761" w:themeColor="accent1" w:themeShade="BF"/>
      <w:spacing w:val="5"/>
    </w:rPr>
  </w:style>
  <w:style w:type="character" w:styleId="Hyperlink">
    <w:name w:val="Hyperlink"/>
    <w:basedOn w:val="DefaultParagraphFont"/>
    <w:uiPriority w:val="99"/>
    <w:unhideWhenUsed/>
    <w:rsid w:val="00EA0C32"/>
    <w:rPr>
      <w:color w:val="467886" w:themeColor="hyperlink"/>
      <w:u w:val="single"/>
    </w:rPr>
  </w:style>
  <w:style w:type="character" w:styleId="UnresolvedMention">
    <w:name w:val="Unresolved Mention"/>
    <w:basedOn w:val="DefaultParagraphFont"/>
    <w:uiPriority w:val="99"/>
    <w:semiHidden/>
    <w:unhideWhenUsed/>
    <w:rsid w:val="00EA0C32"/>
    <w:rPr>
      <w:color w:val="605E5C"/>
      <w:shd w:val="clear" w:color="auto" w:fill="E1DFDD"/>
    </w:rPr>
  </w:style>
  <w:style w:type="character" w:styleId="CommentReference">
    <w:name w:val="annotation reference"/>
    <w:basedOn w:val="DefaultParagraphFont"/>
    <w:uiPriority w:val="99"/>
    <w:semiHidden/>
    <w:unhideWhenUsed/>
    <w:rsid w:val="005A4520"/>
    <w:rPr>
      <w:sz w:val="16"/>
      <w:szCs w:val="16"/>
    </w:rPr>
  </w:style>
  <w:style w:type="paragraph" w:styleId="CommentText">
    <w:name w:val="annotation text"/>
    <w:basedOn w:val="Normal"/>
    <w:link w:val="CommentTextChar"/>
    <w:uiPriority w:val="99"/>
    <w:unhideWhenUsed/>
    <w:rsid w:val="005A4520"/>
    <w:pPr>
      <w:spacing w:line="240" w:lineRule="auto"/>
    </w:pPr>
    <w:rPr>
      <w:sz w:val="20"/>
      <w:szCs w:val="20"/>
    </w:rPr>
  </w:style>
  <w:style w:type="character" w:customStyle="1" w:styleId="CommentTextChar">
    <w:name w:val="Comment Text Char"/>
    <w:basedOn w:val="DefaultParagraphFont"/>
    <w:link w:val="CommentText"/>
    <w:uiPriority w:val="99"/>
    <w:rsid w:val="005A4520"/>
    <w:rPr>
      <w:sz w:val="20"/>
      <w:szCs w:val="20"/>
    </w:rPr>
  </w:style>
  <w:style w:type="character" w:styleId="FollowedHyperlink">
    <w:name w:val="FollowedHyperlink"/>
    <w:basedOn w:val="DefaultParagraphFont"/>
    <w:uiPriority w:val="99"/>
    <w:semiHidden/>
    <w:unhideWhenUsed/>
    <w:rsid w:val="0025368F"/>
    <w:rPr>
      <w:color w:val="96607D" w:themeColor="followedHyperlink"/>
      <w:u w:val="single"/>
    </w:rPr>
  </w:style>
  <w:style w:type="table" w:styleId="TableGrid">
    <w:name w:val="Table Grid"/>
    <w:basedOn w:val="TableNormal"/>
    <w:uiPriority w:val="39"/>
    <w:rsid w:val="00472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A2D62"/>
  </w:style>
  <w:style w:type="paragraph" w:styleId="Revision">
    <w:name w:val="Revision"/>
    <w:hidden/>
    <w:uiPriority w:val="99"/>
    <w:semiHidden/>
    <w:rsid w:val="00FE6627"/>
    <w:pPr>
      <w:spacing w:after="0" w:line="240" w:lineRule="auto"/>
    </w:pPr>
  </w:style>
  <w:style w:type="paragraph" w:styleId="CommentSubject">
    <w:name w:val="annotation subject"/>
    <w:basedOn w:val="CommentText"/>
    <w:next w:val="CommentText"/>
    <w:link w:val="CommentSubjectChar"/>
    <w:uiPriority w:val="99"/>
    <w:semiHidden/>
    <w:unhideWhenUsed/>
    <w:rsid w:val="000C7267"/>
    <w:rPr>
      <w:b/>
      <w:bCs/>
    </w:rPr>
  </w:style>
  <w:style w:type="character" w:customStyle="1" w:styleId="CommentSubjectChar">
    <w:name w:val="Comment Subject Char"/>
    <w:basedOn w:val="CommentTextChar"/>
    <w:link w:val="CommentSubject"/>
    <w:uiPriority w:val="99"/>
    <w:semiHidden/>
    <w:rsid w:val="000C7267"/>
    <w:rPr>
      <w:b/>
      <w:bCs/>
      <w:sz w:val="20"/>
      <w:szCs w:val="20"/>
    </w:rPr>
  </w:style>
  <w:style w:type="character" w:styleId="Mention">
    <w:name w:val="Mention"/>
    <w:basedOn w:val="DefaultParagraphFont"/>
    <w:uiPriority w:val="99"/>
    <w:unhideWhenUsed/>
    <w:rsid w:val="000168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44068">
      <w:bodyDiv w:val="1"/>
      <w:marLeft w:val="0"/>
      <w:marRight w:val="0"/>
      <w:marTop w:val="0"/>
      <w:marBottom w:val="0"/>
      <w:divBdr>
        <w:top w:val="none" w:sz="0" w:space="0" w:color="auto"/>
        <w:left w:val="none" w:sz="0" w:space="0" w:color="auto"/>
        <w:bottom w:val="none" w:sz="0" w:space="0" w:color="auto"/>
        <w:right w:val="none" w:sz="0" w:space="0" w:color="auto"/>
      </w:divBdr>
    </w:div>
    <w:div w:id="243494332">
      <w:bodyDiv w:val="1"/>
      <w:marLeft w:val="0"/>
      <w:marRight w:val="0"/>
      <w:marTop w:val="0"/>
      <w:marBottom w:val="0"/>
      <w:divBdr>
        <w:top w:val="none" w:sz="0" w:space="0" w:color="auto"/>
        <w:left w:val="none" w:sz="0" w:space="0" w:color="auto"/>
        <w:bottom w:val="none" w:sz="0" w:space="0" w:color="auto"/>
        <w:right w:val="none" w:sz="0" w:space="0" w:color="auto"/>
      </w:divBdr>
    </w:div>
    <w:div w:id="245069804">
      <w:bodyDiv w:val="1"/>
      <w:marLeft w:val="0"/>
      <w:marRight w:val="0"/>
      <w:marTop w:val="0"/>
      <w:marBottom w:val="0"/>
      <w:divBdr>
        <w:top w:val="none" w:sz="0" w:space="0" w:color="auto"/>
        <w:left w:val="none" w:sz="0" w:space="0" w:color="auto"/>
        <w:bottom w:val="none" w:sz="0" w:space="0" w:color="auto"/>
        <w:right w:val="none" w:sz="0" w:space="0" w:color="auto"/>
      </w:divBdr>
    </w:div>
    <w:div w:id="270667952">
      <w:bodyDiv w:val="1"/>
      <w:marLeft w:val="0"/>
      <w:marRight w:val="0"/>
      <w:marTop w:val="0"/>
      <w:marBottom w:val="0"/>
      <w:divBdr>
        <w:top w:val="none" w:sz="0" w:space="0" w:color="auto"/>
        <w:left w:val="none" w:sz="0" w:space="0" w:color="auto"/>
        <w:bottom w:val="none" w:sz="0" w:space="0" w:color="auto"/>
        <w:right w:val="none" w:sz="0" w:space="0" w:color="auto"/>
      </w:divBdr>
    </w:div>
    <w:div w:id="309210943">
      <w:bodyDiv w:val="1"/>
      <w:marLeft w:val="0"/>
      <w:marRight w:val="0"/>
      <w:marTop w:val="0"/>
      <w:marBottom w:val="0"/>
      <w:divBdr>
        <w:top w:val="none" w:sz="0" w:space="0" w:color="auto"/>
        <w:left w:val="none" w:sz="0" w:space="0" w:color="auto"/>
        <w:bottom w:val="none" w:sz="0" w:space="0" w:color="auto"/>
        <w:right w:val="none" w:sz="0" w:space="0" w:color="auto"/>
      </w:divBdr>
    </w:div>
    <w:div w:id="354889851">
      <w:bodyDiv w:val="1"/>
      <w:marLeft w:val="0"/>
      <w:marRight w:val="0"/>
      <w:marTop w:val="0"/>
      <w:marBottom w:val="0"/>
      <w:divBdr>
        <w:top w:val="none" w:sz="0" w:space="0" w:color="auto"/>
        <w:left w:val="none" w:sz="0" w:space="0" w:color="auto"/>
        <w:bottom w:val="none" w:sz="0" w:space="0" w:color="auto"/>
        <w:right w:val="none" w:sz="0" w:space="0" w:color="auto"/>
      </w:divBdr>
    </w:div>
    <w:div w:id="434179497">
      <w:bodyDiv w:val="1"/>
      <w:marLeft w:val="0"/>
      <w:marRight w:val="0"/>
      <w:marTop w:val="0"/>
      <w:marBottom w:val="0"/>
      <w:divBdr>
        <w:top w:val="none" w:sz="0" w:space="0" w:color="auto"/>
        <w:left w:val="none" w:sz="0" w:space="0" w:color="auto"/>
        <w:bottom w:val="none" w:sz="0" w:space="0" w:color="auto"/>
        <w:right w:val="none" w:sz="0" w:space="0" w:color="auto"/>
      </w:divBdr>
    </w:div>
    <w:div w:id="484586929">
      <w:bodyDiv w:val="1"/>
      <w:marLeft w:val="0"/>
      <w:marRight w:val="0"/>
      <w:marTop w:val="0"/>
      <w:marBottom w:val="0"/>
      <w:divBdr>
        <w:top w:val="none" w:sz="0" w:space="0" w:color="auto"/>
        <w:left w:val="none" w:sz="0" w:space="0" w:color="auto"/>
        <w:bottom w:val="none" w:sz="0" w:space="0" w:color="auto"/>
        <w:right w:val="none" w:sz="0" w:space="0" w:color="auto"/>
      </w:divBdr>
    </w:div>
    <w:div w:id="618414598">
      <w:bodyDiv w:val="1"/>
      <w:marLeft w:val="0"/>
      <w:marRight w:val="0"/>
      <w:marTop w:val="0"/>
      <w:marBottom w:val="0"/>
      <w:divBdr>
        <w:top w:val="none" w:sz="0" w:space="0" w:color="auto"/>
        <w:left w:val="none" w:sz="0" w:space="0" w:color="auto"/>
        <w:bottom w:val="none" w:sz="0" w:space="0" w:color="auto"/>
        <w:right w:val="none" w:sz="0" w:space="0" w:color="auto"/>
      </w:divBdr>
    </w:div>
    <w:div w:id="751587472">
      <w:bodyDiv w:val="1"/>
      <w:marLeft w:val="0"/>
      <w:marRight w:val="0"/>
      <w:marTop w:val="0"/>
      <w:marBottom w:val="0"/>
      <w:divBdr>
        <w:top w:val="none" w:sz="0" w:space="0" w:color="auto"/>
        <w:left w:val="none" w:sz="0" w:space="0" w:color="auto"/>
        <w:bottom w:val="none" w:sz="0" w:space="0" w:color="auto"/>
        <w:right w:val="none" w:sz="0" w:space="0" w:color="auto"/>
      </w:divBdr>
    </w:div>
    <w:div w:id="752622779">
      <w:bodyDiv w:val="1"/>
      <w:marLeft w:val="0"/>
      <w:marRight w:val="0"/>
      <w:marTop w:val="0"/>
      <w:marBottom w:val="0"/>
      <w:divBdr>
        <w:top w:val="none" w:sz="0" w:space="0" w:color="auto"/>
        <w:left w:val="none" w:sz="0" w:space="0" w:color="auto"/>
        <w:bottom w:val="none" w:sz="0" w:space="0" w:color="auto"/>
        <w:right w:val="none" w:sz="0" w:space="0" w:color="auto"/>
      </w:divBdr>
    </w:div>
    <w:div w:id="788665810">
      <w:bodyDiv w:val="1"/>
      <w:marLeft w:val="0"/>
      <w:marRight w:val="0"/>
      <w:marTop w:val="0"/>
      <w:marBottom w:val="0"/>
      <w:divBdr>
        <w:top w:val="none" w:sz="0" w:space="0" w:color="auto"/>
        <w:left w:val="none" w:sz="0" w:space="0" w:color="auto"/>
        <w:bottom w:val="none" w:sz="0" w:space="0" w:color="auto"/>
        <w:right w:val="none" w:sz="0" w:space="0" w:color="auto"/>
      </w:divBdr>
    </w:div>
    <w:div w:id="1057894678">
      <w:bodyDiv w:val="1"/>
      <w:marLeft w:val="0"/>
      <w:marRight w:val="0"/>
      <w:marTop w:val="0"/>
      <w:marBottom w:val="0"/>
      <w:divBdr>
        <w:top w:val="none" w:sz="0" w:space="0" w:color="auto"/>
        <w:left w:val="none" w:sz="0" w:space="0" w:color="auto"/>
        <w:bottom w:val="none" w:sz="0" w:space="0" w:color="auto"/>
        <w:right w:val="none" w:sz="0" w:space="0" w:color="auto"/>
      </w:divBdr>
    </w:div>
    <w:div w:id="1059208528">
      <w:bodyDiv w:val="1"/>
      <w:marLeft w:val="0"/>
      <w:marRight w:val="0"/>
      <w:marTop w:val="0"/>
      <w:marBottom w:val="0"/>
      <w:divBdr>
        <w:top w:val="none" w:sz="0" w:space="0" w:color="auto"/>
        <w:left w:val="none" w:sz="0" w:space="0" w:color="auto"/>
        <w:bottom w:val="none" w:sz="0" w:space="0" w:color="auto"/>
        <w:right w:val="none" w:sz="0" w:space="0" w:color="auto"/>
      </w:divBdr>
    </w:div>
    <w:div w:id="1248803793">
      <w:bodyDiv w:val="1"/>
      <w:marLeft w:val="0"/>
      <w:marRight w:val="0"/>
      <w:marTop w:val="0"/>
      <w:marBottom w:val="0"/>
      <w:divBdr>
        <w:top w:val="none" w:sz="0" w:space="0" w:color="auto"/>
        <w:left w:val="none" w:sz="0" w:space="0" w:color="auto"/>
        <w:bottom w:val="none" w:sz="0" w:space="0" w:color="auto"/>
        <w:right w:val="none" w:sz="0" w:space="0" w:color="auto"/>
      </w:divBdr>
    </w:div>
    <w:div w:id="1360819755">
      <w:bodyDiv w:val="1"/>
      <w:marLeft w:val="0"/>
      <w:marRight w:val="0"/>
      <w:marTop w:val="0"/>
      <w:marBottom w:val="0"/>
      <w:divBdr>
        <w:top w:val="none" w:sz="0" w:space="0" w:color="auto"/>
        <w:left w:val="none" w:sz="0" w:space="0" w:color="auto"/>
        <w:bottom w:val="none" w:sz="0" w:space="0" w:color="auto"/>
        <w:right w:val="none" w:sz="0" w:space="0" w:color="auto"/>
      </w:divBdr>
    </w:div>
    <w:div w:id="1544902278">
      <w:bodyDiv w:val="1"/>
      <w:marLeft w:val="0"/>
      <w:marRight w:val="0"/>
      <w:marTop w:val="0"/>
      <w:marBottom w:val="0"/>
      <w:divBdr>
        <w:top w:val="none" w:sz="0" w:space="0" w:color="auto"/>
        <w:left w:val="none" w:sz="0" w:space="0" w:color="auto"/>
        <w:bottom w:val="none" w:sz="0" w:space="0" w:color="auto"/>
        <w:right w:val="none" w:sz="0" w:space="0" w:color="auto"/>
      </w:divBdr>
    </w:div>
    <w:div w:id="1629627181">
      <w:bodyDiv w:val="1"/>
      <w:marLeft w:val="0"/>
      <w:marRight w:val="0"/>
      <w:marTop w:val="0"/>
      <w:marBottom w:val="0"/>
      <w:divBdr>
        <w:top w:val="none" w:sz="0" w:space="0" w:color="auto"/>
        <w:left w:val="none" w:sz="0" w:space="0" w:color="auto"/>
        <w:bottom w:val="none" w:sz="0" w:space="0" w:color="auto"/>
        <w:right w:val="none" w:sz="0" w:space="0" w:color="auto"/>
      </w:divBdr>
    </w:div>
    <w:div w:id="1677684645">
      <w:bodyDiv w:val="1"/>
      <w:marLeft w:val="0"/>
      <w:marRight w:val="0"/>
      <w:marTop w:val="0"/>
      <w:marBottom w:val="0"/>
      <w:divBdr>
        <w:top w:val="none" w:sz="0" w:space="0" w:color="auto"/>
        <w:left w:val="none" w:sz="0" w:space="0" w:color="auto"/>
        <w:bottom w:val="none" w:sz="0" w:space="0" w:color="auto"/>
        <w:right w:val="none" w:sz="0" w:space="0" w:color="auto"/>
      </w:divBdr>
    </w:div>
    <w:div w:id="1807889345">
      <w:bodyDiv w:val="1"/>
      <w:marLeft w:val="0"/>
      <w:marRight w:val="0"/>
      <w:marTop w:val="0"/>
      <w:marBottom w:val="0"/>
      <w:divBdr>
        <w:top w:val="none" w:sz="0" w:space="0" w:color="auto"/>
        <w:left w:val="none" w:sz="0" w:space="0" w:color="auto"/>
        <w:bottom w:val="none" w:sz="0" w:space="0" w:color="auto"/>
        <w:right w:val="none" w:sz="0" w:space="0" w:color="auto"/>
      </w:divBdr>
    </w:div>
    <w:div w:id="1856309321">
      <w:bodyDiv w:val="1"/>
      <w:marLeft w:val="0"/>
      <w:marRight w:val="0"/>
      <w:marTop w:val="0"/>
      <w:marBottom w:val="0"/>
      <w:divBdr>
        <w:top w:val="none" w:sz="0" w:space="0" w:color="auto"/>
        <w:left w:val="none" w:sz="0" w:space="0" w:color="auto"/>
        <w:bottom w:val="none" w:sz="0" w:space="0" w:color="auto"/>
        <w:right w:val="none" w:sz="0" w:space="0" w:color="auto"/>
      </w:divBdr>
    </w:div>
    <w:div w:id="1858077727">
      <w:bodyDiv w:val="1"/>
      <w:marLeft w:val="0"/>
      <w:marRight w:val="0"/>
      <w:marTop w:val="0"/>
      <w:marBottom w:val="0"/>
      <w:divBdr>
        <w:top w:val="none" w:sz="0" w:space="0" w:color="auto"/>
        <w:left w:val="none" w:sz="0" w:space="0" w:color="auto"/>
        <w:bottom w:val="none" w:sz="0" w:space="0" w:color="auto"/>
        <w:right w:val="none" w:sz="0" w:space="0" w:color="auto"/>
      </w:divBdr>
    </w:div>
    <w:div w:id="1885872259">
      <w:bodyDiv w:val="1"/>
      <w:marLeft w:val="0"/>
      <w:marRight w:val="0"/>
      <w:marTop w:val="0"/>
      <w:marBottom w:val="0"/>
      <w:divBdr>
        <w:top w:val="none" w:sz="0" w:space="0" w:color="auto"/>
        <w:left w:val="none" w:sz="0" w:space="0" w:color="auto"/>
        <w:bottom w:val="none" w:sz="0" w:space="0" w:color="auto"/>
        <w:right w:val="none" w:sz="0" w:space="0" w:color="auto"/>
      </w:divBdr>
    </w:div>
    <w:div w:id="1892157966">
      <w:bodyDiv w:val="1"/>
      <w:marLeft w:val="0"/>
      <w:marRight w:val="0"/>
      <w:marTop w:val="0"/>
      <w:marBottom w:val="0"/>
      <w:divBdr>
        <w:top w:val="none" w:sz="0" w:space="0" w:color="auto"/>
        <w:left w:val="none" w:sz="0" w:space="0" w:color="auto"/>
        <w:bottom w:val="none" w:sz="0" w:space="0" w:color="auto"/>
        <w:right w:val="none" w:sz="0" w:space="0" w:color="auto"/>
      </w:divBdr>
    </w:div>
    <w:div w:id="2050646370">
      <w:bodyDiv w:val="1"/>
      <w:marLeft w:val="0"/>
      <w:marRight w:val="0"/>
      <w:marTop w:val="0"/>
      <w:marBottom w:val="0"/>
      <w:divBdr>
        <w:top w:val="none" w:sz="0" w:space="0" w:color="auto"/>
        <w:left w:val="none" w:sz="0" w:space="0" w:color="auto"/>
        <w:bottom w:val="none" w:sz="0" w:space="0" w:color="auto"/>
        <w:right w:val="none" w:sz="0" w:space="0" w:color="auto"/>
      </w:divBdr>
    </w:div>
    <w:div w:id="2064862520">
      <w:bodyDiv w:val="1"/>
      <w:marLeft w:val="0"/>
      <w:marRight w:val="0"/>
      <w:marTop w:val="0"/>
      <w:marBottom w:val="0"/>
      <w:divBdr>
        <w:top w:val="none" w:sz="0" w:space="0" w:color="auto"/>
        <w:left w:val="none" w:sz="0" w:space="0" w:color="auto"/>
        <w:bottom w:val="none" w:sz="0" w:space="0" w:color="auto"/>
        <w:right w:val="none" w:sz="0" w:space="0" w:color="auto"/>
      </w:divBdr>
    </w:div>
    <w:div w:id="207049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93/aje/kwae334" TargetMode="External"/><Relationship Id="rId18" Type="http://schemas.openxmlformats.org/officeDocument/2006/relationships/hyperlink" Target="https://doi.org/10.1056/NEJMoa2510226"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i.org/10.1038/s41467-024-45549-9" TargetMode="External"/><Relationship Id="rId17" Type="http://schemas.openxmlformats.org/officeDocument/2006/relationships/hyperlink" Target="https://doi.org/10.1038/s41467-025-59344-7" TargetMode="External"/><Relationship Id="rId2" Type="http://schemas.openxmlformats.org/officeDocument/2006/relationships/customXml" Target="../customXml/item2.xml"/><Relationship Id="rId16" Type="http://schemas.openxmlformats.org/officeDocument/2006/relationships/hyperlink" Target="https://doi.org/10.1056/NEJMsa251426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a-assn.org/amaone/vaccine-recommendations" TargetMode="External"/><Relationship Id="rId5" Type="http://schemas.openxmlformats.org/officeDocument/2006/relationships/numbering" Target="numbering.xml"/><Relationship Id="rId15" Type="http://schemas.openxmlformats.org/officeDocument/2006/relationships/hyperlink" Target="https://doi.org/10.1038/s41467-024-55029-9" TargetMode="External"/><Relationship Id="rId10" Type="http://schemas.openxmlformats.org/officeDocument/2006/relationships/hyperlink" Target="https://www.ama-assn.org/system/files/respiratory-virus-immunization-recommendations.pdf" TargetMode="External"/><Relationship Id="rId19" Type="http://schemas.openxmlformats.org/officeDocument/2006/relationships/hyperlink" Target="https://www.cdc.gov/covid/hcp/clinical-care/underlying-conditions.html" TargetMode="External"/><Relationship Id="rId4" Type="http://schemas.openxmlformats.org/officeDocument/2006/relationships/customXml" Target="../customXml/item4.xml"/><Relationship Id="rId9" Type="http://schemas.openxmlformats.org/officeDocument/2006/relationships/hyperlink" Target="https://www.ama-assn.org/amaone/vaccine-recommendations" TargetMode="External"/><Relationship Id="rId14" Type="http://schemas.openxmlformats.org/officeDocument/2006/relationships/hyperlink" Target="https://doi.org/10.1093/infdis/jiaf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B71EDFBCAE32488E57772C6ED8DFB9" ma:contentTypeVersion="6" ma:contentTypeDescription="Create a new document." ma:contentTypeScope="" ma:versionID="dffb34ae59efcd21b7373a045178de01">
  <xsd:schema xmlns:xsd="http://www.w3.org/2001/XMLSchema" xmlns:xs="http://www.w3.org/2001/XMLSchema" xmlns:p="http://schemas.microsoft.com/office/2006/metadata/properties" xmlns:ns2="618e6d43-3b74-41a8-b824-73695c48e43d" xmlns:ns3="794e943a-bf55-4bb8-b27f-bf934ee3ec4e" targetNamespace="http://schemas.microsoft.com/office/2006/metadata/properties" ma:root="true" ma:fieldsID="72289cb09e07068106c647372c3e1505" ns2:_="" ns3:_="">
    <xsd:import namespace="618e6d43-3b74-41a8-b824-73695c48e43d"/>
    <xsd:import namespace="794e943a-bf55-4bb8-b27f-bf934ee3ec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e6d43-3b74-41a8-b824-73695c48e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4e943a-bf55-4bb8-b27f-bf934ee3ec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{8E41CB2B-16AC-49A8-A350-14C53DFABCDA}</b:Guid>
    <b:URL>https://www.cdc.gov/covid/php/surveillance/burden-estimates.html</b:URL>
    <b:RefOrder>1</b:RefOrder>
  </b:Source>
  <b:Source>
    <b:Tag>Vah24</b:Tag>
    <b:SourceType>JournalArticle</b:SourceType>
    <b:Guid>{B41FFABD-C5BF-48F0-BFAA-B345233EBB1D}</b:Guid>
    <b:Title>Prevalence of Post–COVID-19 Condition and Activity-Limiting Post–COVID-19 Condition Among Adults.</b:Title>
    <b:Year>2024</b:Year>
    <b:Author>
      <b:Author>
        <b:NameList>
          <b:Person>
            <b:Last>Vahratian A</b:Last>
            <b:First>Saydah</b:First>
            <b:Middle>S, Bertolli J, Unger ER, Gregory CO.</b:Middle>
          </b:Person>
        </b:NameList>
      </b:Author>
    </b:Author>
    <b:JournalName>JAMA Netw Open.</b:JournalName>
    <b:Volume>7</b:Volume>
    <b:Issue>11</b:Issue>
    <b:RefOrder>2</b:RefOrder>
  </b:Source>
  <b:Source>
    <b:Tag>Nat26</b:Tag>
    <b:SourceType>ConferenceProceedings</b:SourceType>
    <b:Guid>{BC718BD3-7637-4A61-A388-4F27FED0F2A5}</b:Guid>
    <b:Title>Updates on Epidemiology of COVID-19 and SARS-CoV-2 Genomics</b:Title>
    <b:Year>2026</b:Year>
    <b:Author>
      <b:Author>
        <b:NameList>
          <b:Person>
            <b:Last>Natalie J. Thornburg</b:Last>
            <b:First>PhD</b:First>
          </b:Person>
        </b:NameList>
      </b:Author>
    </b:Author>
    <b:ConferenceName>National Center for Immunizations and Respiratory Diseases, Center for Disease Control and Prevention</b:ConferenceName>
    <b:RefOrder>3</b:RefOrder>
  </b:Source>
  <b:Source>
    <b:Tag>Wie26</b:Tag>
    <b:SourceType>JournalArticle</b:SourceType>
    <b:Guid>{0F3115FD-8B64-472A-A3F2-AAA02014716F}</b:Guid>
    <b:Author>
      <b:Author>
        <b:NameList>
          <b:Person>
            <b:Last>Wiegand RE</b:Last>
            <b:First>Chickery</b:First>
            <b:Middle>S, Yang D, et al.</b:Middle>
          </b:Person>
        </b:NameList>
      </b:Author>
    </b:Author>
    <b:Title>Interim Estimated Effectiveness of 2025-2026 COVID-19 Vaccines in Adults Using a Test-Negative Design</b:Title>
    <b:Year>2026</b:Year>
    <b:JournalName>JAMA Netw Open.</b:JournalName>
    <b:Volume>9</b:Volume>
    <b:Issue>6</b:Issue>
    <b:RefOrder>4</b:RefOrder>
  </b:Source>
  <b:Source>
    <b:Tag>Lan26</b:Tag>
    <b:SourceType>JournalArticle</b:SourceType>
    <b:Guid>{51661619-D536-49B1-8903-D0090843A574}</b:Guid>
    <b:Author>
      <b:Author>
        <b:NameList>
          <b:Person>
            <b:Last>Laniece Delaunay C</b:Last>
            <b:First>Mateo-Urdiales</b:First>
            <b:Middle>A, Pérez-Gimeno G, et al.</b:Middle>
          </b:Person>
        </b:NameList>
      </b:Author>
    </b:Author>
    <b:Title>COVID-19 Vaccine Effectiveness Among Older Adults</b:Title>
    <b:JournalName>JAMA Netw Open</b:JournalName>
    <b:Year>2026</b:Year>
    <b:RefOrder>5</b:RefOrder>
  </b:Source>
  <b:Source>
    <b:Tag>Ama26</b:Tag>
    <b:SourceType>ConferenceProceedings</b:SourceType>
    <b:Guid>{920FEF8B-BAA1-48BB-822E-B2CD7AC811F3}</b:Guid>
    <b:Title>Updates on COVID-19 Vaccine Effectiveness</b:Title>
    <b:Year>2026</b:Year>
    <b:Author>
      <b:Author>
        <b:NameList>
          <b:Person>
            <b:Last>Amanda B Payne</b:Last>
            <b:First>PhD</b:First>
            <b:Middle>MPH</b:Middle>
          </b:Person>
        </b:NameList>
      </b:Author>
    </b:Author>
    <b:ConferenceName>National Center for Immunization and Respiratory Diseases, MPHCenters for Disease Control and Prevention presentation to the Vaccines and Related Biological Products Advisory Committee of the U.S. Food and Drug Administration</b:ConferenceName>
    <b:RefOrder>6</b:RefOrder>
  </b:Source>
  <b:Source>
    <b:Tag>Bal</b:Tag>
    <b:SourceType>JournalArticle</b:SourceType>
    <b:Guid>{2C7973AE-E6D1-4F6E-9087-FC27C47CB169}</b:Guid>
    <b:Author>
      <b:Author>
        <b:NameList>
          <b:Person>
            <b:Last>Ball</b:Last>
            <b:First>S.</b:First>
            <b:Middle>W., Grannis, S. J., Van Otterloo, J., Fireman, et al.</b:Middle>
          </b:Person>
        </b:NameList>
      </b:Author>
    </b:Author>
    <b:Title>Effectiveness of 2023–2024 Coronavirus Disease 2019 (COVID-19) Vaccines in Pregnant Women</b:Title>
    <b:JournalName>Obstetrics &amp; Gynecology,</b:JournalName>
    <b:Year>2025</b:Year>
    <b:Pages>569-573</b:Pages>
    <b:RefOrder>7</b:RefOrder>
  </b:Source>
  <b:Source>
    <b:Tag>Sim</b:Tag>
    <b:SourceType>JournalArticle</b:SourceType>
    <b:Guid>{60213F5C-B0A4-4811-9560-71B71BD9EE19}</b:Guid>
    <b:Author>
      <b:Author>
        <b:NameList>
          <b:Person>
            <b:Last>Simeone RM</b:Last>
            <b:First>Zambrano</b:First>
            <b:Middle>LD, Halasa NB, et al.</b:Middle>
          </b:Person>
        </b:NameList>
      </b:Author>
    </b:Author>
    <b:Title>Effectiveness of Maternal mRNA COVID-19 Vaccination During Pregnancy Against COVID-19–Associated Hospitalizations in Infants Aged &lt;6 Months During SARS-CoV-2 Omicron Predominance — 20 States, March 9, 2022–May 31,2023</b:Title>
    <b:JournalName>MMWR Morb Mortal Wkly Rep</b:JournalName>
    <b:Year>2023</b:Year>
    <b:RefOrder>8</b:RefOrder>
  </b:Source>
  <b:Source>
    <b:Tag>Car</b:Tag>
    <b:SourceType>JournalArticle</b:SourceType>
    <b:Guid>{824F399E-759B-4575-AE0C-91883F3988B0}</b:Guid>
    <b:Author>
      <b:Author>
        <b:NameList>
          <b:Person>
            <b:Last>Cardemil</b:Last>
            <b:First>Y.C.,</b:First>
            <b:Middle>Posavad, C.M., Badell, M,L. et.al</b:Middle>
          </b:Person>
        </b:NameList>
      </b:Author>
    </b:Author>
    <b:Title>Maternal COVID-19 Vaccination and Prevention of Symptomatic Infection in Infants</b:Title>
    <b:JournalName>Pediatrics </b:JournalName>
    <b:Year>2024</b:Year>
    <b:RefOrder>9</b:RefOrder>
  </b:Source>
  <b:Source>
    <b:Tag>Tra</b:Tag>
    <b:SourceType>InternetSite</b:SourceType>
    <b:Guid>{74CDE828-4F09-42DD-A439-92227558BEA7}</b:Guid>
    <b:Title>Tradking Long COVID</b:Title>
    <b:InternetSiteTitle>Center for Disease Control and Prevention</b:InternetSiteTitle>
    <b:URL>https://www.cdc.gov/long-covid/php/surveillance/index.html</b:URL>
    <b:YearAccessed>2026</b:YearAccessed>
    <b:MonthAccessed>July</b:MonthAccessed>
    <b:DayAccessed>20</b:DayAccessed>
    <b:RefOrder>10</b:RefOrder>
  </b:Source>
  <b:Source>
    <b:Tag>Tia26</b:Tag>
    <b:SourceType>JournalArticle</b:SourceType>
    <b:Guid>{3E76A0A8-41EF-4898-9786-CB31C5319A46}</b:Guid>
    <b:Title>Long COVID Persistence and Surveillance Gaps Across 58 US Hospitals</b:Title>
    <b:Year>2026</b:Year>
    <b:Author>
      <b:Author>
        <b:NameList>
          <b:Person>
            <b:Last>Tian J</b:Last>
            <b:First>Azhir</b:First>
            <b:Middle>A, Decaro M, et al.</b:Middle>
          </b:Person>
        </b:NameList>
      </b:Author>
    </b:Author>
    <b:JournalName>JAMA Netw Open</b:JournalName>
    <b:Volume>9</b:Volume>
    <b:Issue>5</b:Issue>
    <b:RefOrder>11</b:RefOrder>
  </b:Source>
</b:Sources>
</file>

<file path=customXml/itemProps1.xml><?xml version="1.0" encoding="utf-8"?>
<ds:datastoreItem xmlns:ds="http://schemas.openxmlformats.org/officeDocument/2006/customXml" ds:itemID="{81CC8306-796E-4B90-99DF-528D2DA38D7C}">
  <ds:schemaRefs>
    <ds:schemaRef ds:uri="http://schemas.microsoft.com/sharepoint/v3/contenttype/forms"/>
  </ds:schemaRefs>
</ds:datastoreItem>
</file>

<file path=customXml/itemProps2.xml><?xml version="1.0" encoding="utf-8"?>
<ds:datastoreItem xmlns:ds="http://schemas.openxmlformats.org/officeDocument/2006/customXml" ds:itemID="{F8B2AE06-DE27-4529-B7B3-DDC5FCC4E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e6d43-3b74-41a8-b824-73695c48e43d"/>
    <ds:schemaRef ds:uri="794e943a-bf55-4bb8-b27f-bf934ee3e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F6C108-7CB6-451E-BE4F-E3AD6DA64C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7677EB-734E-4711-B156-84F9896BA4A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6050</Words>
  <Characters>34487</Characters>
  <Application>Microsoft Office Word</Application>
  <DocSecurity>0</DocSecurity>
  <Lines>287</Lines>
  <Paragraphs>80</Paragraphs>
  <ScaleCrop>false</ScaleCrop>
  <Company/>
  <LinksUpToDate>false</LinksUpToDate>
  <CharactersWithSpaces>40457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Angela G (DPH)</dc:creator>
  <cp:keywords/>
  <dc:description/>
  <cp:lastModifiedBy>Hunt, Rachel G (DPH)</cp:lastModifiedBy>
  <cp:revision>4</cp:revision>
  <cp:lastPrinted>2026-07-29T19:00:00Z</cp:lastPrinted>
  <dcterms:created xsi:type="dcterms:W3CDTF">2026-09-04T16:26:00Z</dcterms:created>
  <dcterms:modified xsi:type="dcterms:W3CDTF">2026-09-04T20:06:00Z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0x01010063B71EDFBCAE32488E57772C6ED8DFB9</vt:lpwstr>
  </property>
</Properties>
</file>