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3.xml" ContentType="application/vnd.openxmlformats-officedocument.wordprocessingml.header+xml"/>
  <Override PartName="/word/footer26.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7.xml" ContentType="application/vnd.openxmlformats-officedocument.wordprocessingml.header+xml"/>
  <Override PartName="/word/footer30.xml" ContentType="application/vnd.openxmlformats-officedocument.wordprocessingml.footer+xml"/>
  <Override PartName="/word/header28.xml" ContentType="application/vnd.openxmlformats-officedocument.wordprocessingml.header+xml"/>
  <Override PartName="/word/footer31.xml" ContentType="application/vnd.openxmlformats-officedocument.wordprocessingml.footer+xml"/>
  <Override PartName="/word/header29.xml" ContentType="application/vnd.openxmlformats-officedocument.wordprocessingml.header+xml"/>
  <Override PartName="/word/footer32.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8" w:type="dxa"/>
        <w:tblBorders>
          <w:bottom w:val="single" w:sz="12" w:space="0" w:color="auto"/>
        </w:tblBorders>
        <w:tblLook w:val="01E0" w:firstRow="1" w:lastRow="1" w:firstColumn="1" w:lastColumn="1" w:noHBand="0" w:noVBand="0"/>
      </w:tblPr>
      <w:tblGrid>
        <w:gridCol w:w="7408"/>
        <w:gridCol w:w="2100"/>
      </w:tblGrid>
      <w:tr w:rsidR="006A495B" w14:paraId="5D1AE0DA" w14:textId="77777777" w:rsidTr="0080446C">
        <w:tc>
          <w:tcPr>
            <w:tcW w:w="7408" w:type="dxa"/>
          </w:tcPr>
          <w:p w14:paraId="227BA402" w14:textId="77777777" w:rsidR="006A495B" w:rsidRPr="00224B7B" w:rsidRDefault="006A495B" w:rsidP="007818CF">
            <w:pPr>
              <w:jc w:val="right"/>
              <w:rPr>
                <w:rFonts w:cs="Arial"/>
                <w:b/>
                <w:color w:val="333333"/>
                <w:sz w:val="22"/>
                <w:szCs w:val="22"/>
              </w:rPr>
            </w:pPr>
          </w:p>
          <w:p w14:paraId="7C4FA6EE" w14:textId="77777777" w:rsidR="006A495B" w:rsidRPr="00224B7B" w:rsidRDefault="006A495B" w:rsidP="007818CF">
            <w:pPr>
              <w:jc w:val="right"/>
              <w:rPr>
                <w:rFonts w:cs="Arial"/>
                <w:b/>
                <w:color w:val="333333"/>
                <w:sz w:val="22"/>
                <w:szCs w:val="22"/>
              </w:rPr>
            </w:pPr>
            <w:smartTag w:uri="urn:schemas-microsoft-com:office:smarttags" w:element="place">
              <w:smartTag w:uri="urn:schemas-microsoft-com:office:smarttags" w:element="State">
                <w:r w:rsidRPr="00224B7B">
                  <w:rPr>
                    <w:rFonts w:cs="Arial"/>
                    <w:b/>
                    <w:color w:val="333333"/>
                    <w:sz w:val="22"/>
                    <w:szCs w:val="22"/>
                  </w:rPr>
                  <w:t>Massachusetts</w:t>
                </w:r>
              </w:smartTag>
            </w:smartTag>
            <w:r w:rsidRPr="00224B7B">
              <w:rPr>
                <w:rFonts w:cs="Arial"/>
                <w:b/>
                <w:color w:val="333333"/>
                <w:sz w:val="22"/>
                <w:szCs w:val="22"/>
              </w:rPr>
              <w:t xml:space="preserve"> Executive Office of</w:t>
            </w:r>
          </w:p>
          <w:p w14:paraId="16C4003C" w14:textId="77777777" w:rsidR="006A495B" w:rsidRPr="00224B7B" w:rsidRDefault="006A495B" w:rsidP="007818CF">
            <w:pPr>
              <w:jc w:val="right"/>
              <w:rPr>
                <w:rFonts w:cs="Arial"/>
                <w:b/>
                <w:color w:val="333333"/>
                <w:sz w:val="22"/>
                <w:szCs w:val="22"/>
              </w:rPr>
            </w:pPr>
            <w:r w:rsidRPr="00224B7B">
              <w:rPr>
                <w:rFonts w:cs="Arial"/>
                <w:b/>
                <w:color w:val="333333"/>
                <w:sz w:val="22"/>
                <w:szCs w:val="22"/>
              </w:rPr>
              <w:t>Health and Human Services</w:t>
            </w:r>
          </w:p>
          <w:p w14:paraId="7849B65D" w14:textId="77777777" w:rsidR="006A495B" w:rsidRDefault="006A495B" w:rsidP="007818CF">
            <w:pPr>
              <w:jc w:val="right"/>
              <w:rPr>
                <w:rFonts w:cs="Arial"/>
                <w:b/>
                <w:color w:val="333333"/>
                <w:sz w:val="22"/>
                <w:szCs w:val="22"/>
              </w:rPr>
            </w:pPr>
          </w:p>
          <w:p w14:paraId="3EE6134F" w14:textId="77777777" w:rsidR="006A495B" w:rsidRPr="00224B7B" w:rsidRDefault="006A495B" w:rsidP="007818CF">
            <w:pPr>
              <w:jc w:val="right"/>
              <w:rPr>
                <w:rFonts w:cs="Arial"/>
                <w:b/>
                <w:color w:val="333333"/>
                <w:sz w:val="22"/>
                <w:szCs w:val="22"/>
              </w:rPr>
            </w:pPr>
          </w:p>
          <w:p w14:paraId="1B7F8B8D" w14:textId="77777777" w:rsidR="006A495B" w:rsidRPr="00224B7B" w:rsidRDefault="006A495B" w:rsidP="007818CF">
            <w:pPr>
              <w:jc w:val="right"/>
              <w:rPr>
                <w:rFonts w:cs="Arial"/>
                <w:b/>
                <w:color w:val="333333"/>
                <w:sz w:val="22"/>
                <w:szCs w:val="22"/>
              </w:rPr>
            </w:pPr>
          </w:p>
          <w:p w14:paraId="07196F80" w14:textId="77777777" w:rsidR="006A495B" w:rsidRPr="00224B7B" w:rsidRDefault="006A495B" w:rsidP="007818CF">
            <w:pPr>
              <w:jc w:val="right"/>
              <w:rPr>
                <w:rFonts w:cs="Arial"/>
                <w:b/>
                <w:color w:val="333333"/>
                <w:sz w:val="22"/>
                <w:szCs w:val="22"/>
              </w:rPr>
            </w:pPr>
            <w:r w:rsidRPr="00224B7B">
              <w:rPr>
                <w:rFonts w:cs="Arial"/>
                <w:b/>
                <w:color w:val="333333"/>
                <w:sz w:val="22"/>
                <w:szCs w:val="22"/>
              </w:rPr>
              <w:t>Department of Public Health</w:t>
            </w:r>
          </w:p>
        </w:tc>
        <w:tc>
          <w:tcPr>
            <w:tcW w:w="2100" w:type="dxa"/>
          </w:tcPr>
          <w:p w14:paraId="75D73BB7" w14:textId="71E552DF" w:rsidR="006A495B" w:rsidRDefault="00D5513E" w:rsidP="00486945">
            <w:pPr>
              <w:spacing w:after="120"/>
              <w:jc w:val="right"/>
              <w:rPr>
                <w:rFonts w:cs="Arial"/>
              </w:rPr>
            </w:pPr>
            <w:r>
              <w:rPr>
                <w:rFonts w:cs="Arial"/>
                <w:noProof/>
              </w:rPr>
              <w:drawing>
                <wp:inline distT="0" distB="0" distL="0" distR="0" wp14:anchorId="5E489B53" wp14:editId="084B4F29">
                  <wp:extent cx="1162050"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2050" cy="1190625"/>
                          </a:xfrm>
                          <a:prstGeom prst="rect">
                            <a:avLst/>
                          </a:prstGeom>
                          <a:noFill/>
                          <a:ln>
                            <a:noFill/>
                          </a:ln>
                        </pic:spPr>
                      </pic:pic>
                    </a:graphicData>
                  </a:graphic>
                </wp:inline>
              </w:drawing>
            </w:r>
          </w:p>
        </w:tc>
      </w:tr>
    </w:tbl>
    <w:p w14:paraId="6B30F152" w14:textId="77777777" w:rsidR="006A495B" w:rsidRPr="00A219AF" w:rsidRDefault="006A495B" w:rsidP="00A219AF">
      <w:pPr>
        <w:rPr>
          <w:rFonts w:cs="Arial"/>
        </w:rPr>
      </w:pPr>
    </w:p>
    <w:p w14:paraId="4FA6C6BB" w14:textId="77777777" w:rsidR="006A495B" w:rsidRPr="00A219AF" w:rsidRDefault="006A495B" w:rsidP="00A219AF">
      <w:pPr>
        <w:rPr>
          <w:rFonts w:cs="Arial"/>
        </w:rPr>
      </w:pPr>
    </w:p>
    <w:p w14:paraId="4C22DC29" w14:textId="77777777" w:rsidR="006A495B" w:rsidRPr="00A219AF" w:rsidRDefault="006A495B" w:rsidP="00A219AF">
      <w:pPr>
        <w:rPr>
          <w:rFonts w:cs="Arial"/>
        </w:rPr>
      </w:pPr>
    </w:p>
    <w:p w14:paraId="7064DDC5" w14:textId="77777777" w:rsidR="006A495B" w:rsidRPr="00A219AF" w:rsidRDefault="006A495B" w:rsidP="00070E92">
      <w:pPr>
        <w:rPr>
          <w:rFonts w:cs="Arial"/>
        </w:rPr>
      </w:pPr>
    </w:p>
    <w:p w14:paraId="689CB657" w14:textId="77777777" w:rsidR="006A495B" w:rsidRDefault="006A495B" w:rsidP="00070E92">
      <w:pPr>
        <w:jc w:val="right"/>
        <w:rPr>
          <w:rFonts w:cs="Arial"/>
          <w:b/>
          <w:sz w:val="44"/>
        </w:rPr>
      </w:pPr>
      <w:r>
        <w:rPr>
          <w:rFonts w:cs="Arial"/>
          <w:b/>
          <w:sz w:val="44"/>
        </w:rPr>
        <w:t>Department of Public Health</w:t>
      </w:r>
    </w:p>
    <w:p w14:paraId="5F0C1779" w14:textId="77777777" w:rsidR="006A495B" w:rsidRDefault="006A495B" w:rsidP="00070E92">
      <w:pPr>
        <w:jc w:val="right"/>
        <w:rPr>
          <w:rFonts w:cs="Arial"/>
          <w:sz w:val="44"/>
        </w:rPr>
      </w:pPr>
      <w:r>
        <w:rPr>
          <w:rFonts w:cs="Arial"/>
          <w:b/>
          <w:sz w:val="44"/>
        </w:rPr>
        <w:t>Confidentiality Procedures</w:t>
      </w:r>
    </w:p>
    <w:p w14:paraId="6DED5E10" w14:textId="77777777" w:rsidR="006A495B" w:rsidRDefault="006A495B" w:rsidP="00A219AF">
      <w:pPr>
        <w:jc w:val="right"/>
        <w:rPr>
          <w:rFonts w:cs="Arial"/>
        </w:rPr>
      </w:pPr>
    </w:p>
    <w:p w14:paraId="463E753D" w14:textId="77777777" w:rsidR="006A495B" w:rsidRDefault="006A495B" w:rsidP="00A219AF">
      <w:pPr>
        <w:jc w:val="right"/>
        <w:rPr>
          <w:rFonts w:cs="Arial"/>
        </w:rPr>
      </w:pPr>
    </w:p>
    <w:p w14:paraId="65246E83" w14:textId="77777777" w:rsidR="006A495B" w:rsidRDefault="006A495B" w:rsidP="00A219AF">
      <w:pPr>
        <w:jc w:val="right"/>
        <w:rPr>
          <w:rFonts w:cs="Arial"/>
        </w:rPr>
      </w:pPr>
    </w:p>
    <w:p w14:paraId="41B09120" w14:textId="4109F27C" w:rsidR="006A495B" w:rsidRDefault="006A495B" w:rsidP="00A219AF">
      <w:pPr>
        <w:jc w:val="right"/>
        <w:rPr>
          <w:rFonts w:cs="Arial"/>
        </w:rPr>
      </w:pPr>
      <w:r>
        <w:rPr>
          <w:rFonts w:cs="Arial"/>
        </w:rPr>
        <w:t xml:space="preserve">Revised </w:t>
      </w:r>
      <w:r w:rsidR="00CE653E">
        <w:rPr>
          <w:rFonts w:cs="Arial"/>
        </w:rPr>
        <w:t>October 1</w:t>
      </w:r>
      <w:r>
        <w:rPr>
          <w:rFonts w:cs="Arial"/>
        </w:rPr>
        <w:t>, 202</w:t>
      </w:r>
      <w:r w:rsidR="00CE653E">
        <w:rPr>
          <w:rFonts w:cs="Arial"/>
        </w:rPr>
        <w:t>5</w:t>
      </w:r>
    </w:p>
    <w:p w14:paraId="2DBC43EE" w14:textId="77777777" w:rsidR="006A495B" w:rsidRDefault="006A495B" w:rsidP="00A219AF">
      <w:pPr>
        <w:jc w:val="right"/>
        <w:rPr>
          <w:rFonts w:cs="Arial"/>
        </w:rPr>
      </w:pPr>
    </w:p>
    <w:p w14:paraId="2A86C9FE" w14:textId="77777777" w:rsidR="006A495B" w:rsidRDefault="006A495B" w:rsidP="00A219AF">
      <w:pPr>
        <w:rPr>
          <w:rFonts w:cs="Arial"/>
        </w:rPr>
      </w:pPr>
    </w:p>
    <w:p w14:paraId="0FFFE886" w14:textId="77777777" w:rsidR="006A495B" w:rsidRDefault="006A495B" w:rsidP="00A219AF">
      <w:pPr>
        <w:rPr>
          <w:rFonts w:cs="Arial"/>
        </w:rPr>
      </w:pPr>
    </w:p>
    <w:p w14:paraId="67880896" w14:textId="77777777" w:rsidR="006A495B" w:rsidRDefault="006A495B" w:rsidP="00A219AF">
      <w:pPr>
        <w:rPr>
          <w:rFonts w:cs="Arial"/>
        </w:rPr>
      </w:pPr>
    </w:p>
    <w:p w14:paraId="68BE4D43" w14:textId="77777777" w:rsidR="006A495B" w:rsidRDefault="006A495B" w:rsidP="00A219AF">
      <w:pPr>
        <w:rPr>
          <w:rFonts w:cs="Arial"/>
        </w:rPr>
      </w:pPr>
    </w:p>
    <w:p w14:paraId="67A6FD52" w14:textId="77777777" w:rsidR="006A495B" w:rsidRDefault="006A495B" w:rsidP="00A219AF">
      <w:pPr>
        <w:rPr>
          <w:rFonts w:cs="Arial"/>
        </w:rPr>
      </w:pPr>
    </w:p>
    <w:p w14:paraId="0C5127E8" w14:textId="77777777" w:rsidR="006A495B" w:rsidRDefault="006A495B" w:rsidP="00A219AF">
      <w:pPr>
        <w:rPr>
          <w:rFonts w:cs="Arial"/>
        </w:rPr>
      </w:pPr>
    </w:p>
    <w:p w14:paraId="20749F16" w14:textId="77777777" w:rsidR="006A495B" w:rsidRDefault="006A495B" w:rsidP="00A219AF">
      <w:pPr>
        <w:rPr>
          <w:rFonts w:cs="Arial"/>
        </w:rPr>
      </w:pPr>
    </w:p>
    <w:p w14:paraId="3507E47D" w14:textId="77777777" w:rsidR="006A495B" w:rsidRDefault="006A495B" w:rsidP="00A219AF">
      <w:pPr>
        <w:rPr>
          <w:rFonts w:cs="Arial"/>
        </w:rPr>
      </w:pPr>
    </w:p>
    <w:p w14:paraId="0AD54C8E" w14:textId="77777777" w:rsidR="006A495B" w:rsidRDefault="006A495B" w:rsidP="00A219AF">
      <w:pPr>
        <w:rPr>
          <w:rFonts w:cs="Arial"/>
        </w:rPr>
      </w:pPr>
    </w:p>
    <w:p w14:paraId="33E69F74" w14:textId="77777777" w:rsidR="006A495B" w:rsidRDefault="006A495B" w:rsidP="00A219AF">
      <w:pPr>
        <w:rPr>
          <w:rFonts w:cs="Arial"/>
        </w:rPr>
      </w:pPr>
    </w:p>
    <w:p w14:paraId="31800400" w14:textId="77777777" w:rsidR="006A495B" w:rsidRDefault="006A495B" w:rsidP="00A219AF">
      <w:pPr>
        <w:rPr>
          <w:rFonts w:cs="Arial"/>
        </w:rPr>
      </w:pPr>
    </w:p>
    <w:p w14:paraId="17264C32" w14:textId="77777777" w:rsidR="006A495B" w:rsidRDefault="006A495B" w:rsidP="00A219AF">
      <w:pPr>
        <w:rPr>
          <w:rFonts w:cs="Arial"/>
        </w:rPr>
      </w:pPr>
    </w:p>
    <w:p w14:paraId="3345C5A0" w14:textId="77777777" w:rsidR="006A495B" w:rsidRDefault="006A495B" w:rsidP="00A219AF">
      <w:pPr>
        <w:rPr>
          <w:rFonts w:cs="Arial"/>
        </w:rPr>
      </w:pPr>
    </w:p>
    <w:p w14:paraId="16BB4C17" w14:textId="77777777" w:rsidR="006A495B" w:rsidRDefault="006A495B" w:rsidP="00A219AF">
      <w:pPr>
        <w:rPr>
          <w:rFonts w:cs="Arial"/>
        </w:rPr>
      </w:pPr>
    </w:p>
    <w:p w14:paraId="2A62D457" w14:textId="77777777" w:rsidR="006A495B" w:rsidRDefault="006A495B" w:rsidP="00A219AF">
      <w:pPr>
        <w:rPr>
          <w:rFonts w:cs="Arial"/>
        </w:rPr>
      </w:pPr>
    </w:p>
    <w:p w14:paraId="2C78DA1C" w14:textId="77777777" w:rsidR="006A495B" w:rsidRDefault="006A495B" w:rsidP="00A219AF">
      <w:pPr>
        <w:rPr>
          <w:rFonts w:cs="Arial"/>
        </w:rPr>
      </w:pPr>
    </w:p>
    <w:p w14:paraId="3354291B" w14:textId="77777777" w:rsidR="006A495B" w:rsidRDefault="006A495B" w:rsidP="00A219AF">
      <w:pPr>
        <w:rPr>
          <w:rFonts w:cs="Arial"/>
        </w:rPr>
      </w:pPr>
    </w:p>
    <w:p w14:paraId="3EB9CED8" w14:textId="77777777" w:rsidR="006A495B" w:rsidRDefault="006A495B" w:rsidP="00A219AF">
      <w:pPr>
        <w:rPr>
          <w:rFonts w:cs="Arial"/>
        </w:rPr>
      </w:pPr>
    </w:p>
    <w:p w14:paraId="79410CBB" w14:textId="77777777" w:rsidR="006A495B" w:rsidRDefault="006A495B" w:rsidP="00A219AF">
      <w:pPr>
        <w:rPr>
          <w:rFonts w:cs="Arial"/>
        </w:rPr>
      </w:pPr>
    </w:p>
    <w:p w14:paraId="4F926116" w14:textId="77777777" w:rsidR="006A495B" w:rsidRDefault="006A495B" w:rsidP="00A219AF">
      <w:pPr>
        <w:rPr>
          <w:rFonts w:cs="Arial"/>
        </w:rPr>
      </w:pPr>
    </w:p>
    <w:p w14:paraId="3DA36C46" w14:textId="77777777" w:rsidR="006A495B" w:rsidRDefault="006A495B" w:rsidP="00A219AF">
      <w:pPr>
        <w:rPr>
          <w:rFonts w:cs="Arial"/>
        </w:rPr>
      </w:pPr>
    </w:p>
    <w:p w14:paraId="417D86C2" w14:textId="77777777" w:rsidR="006A495B" w:rsidRDefault="006A495B" w:rsidP="00A219AF">
      <w:pPr>
        <w:jc w:val="right"/>
        <w:rPr>
          <w:rFonts w:cs="Arial"/>
        </w:rPr>
      </w:pPr>
      <w:r>
        <w:rPr>
          <w:rFonts w:cs="Arial"/>
        </w:rPr>
        <w:t>MDPH Privacy and Data Compliance Office</w:t>
      </w:r>
    </w:p>
    <w:p w14:paraId="07A78557" w14:textId="77777777" w:rsidR="006A495B" w:rsidRDefault="006A495B" w:rsidP="00A219AF">
      <w:pPr>
        <w:jc w:val="right"/>
        <w:rPr>
          <w:rFonts w:cs="Arial"/>
        </w:rPr>
      </w:pPr>
      <w:smartTag w:uri="urn:schemas-microsoft-com:office:smarttags" w:element="Street">
        <w:r>
          <w:rPr>
            <w:rFonts w:cs="Arial"/>
          </w:rPr>
          <w:t>250 Washington St</w:t>
        </w:r>
      </w:smartTag>
      <w:r>
        <w:rPr>
          <w:rFonts w:cs="Arial"/>
        </w:rPr>
        <w:t>.</w:t>
      </w:r>
    </w:p>
    <w:p w14:paraId="40B30B4F" w14:textId="77777777" w:rsidR="006A495B" w:rsidRDefault="006A495B" w:rsidP="00A219AF">
      <w:pPr>
        <w:jc w:val="right"/>
        <w:rPr>
          <w:rFonts w:cs="Arial"/>
        </w:rPr>
      </w:pPr>
      <w:r>
        <w:rPr>
          <w:rFonts w:cs="Arial"/>
        </w:rPr>
        <w:t xml:space="preserve">Boston, </w:t>
      </w:r>
      <w:smartTag w:uri="urn:schemas-microsoft-com:office:smarttags" w:element="State">
        <w:r>
          <w:rPr>
            <w:rFonts w:cs="Arial"/>
          </w:rPr>
          <w:t>MA</w:t>
        </w:r>
      </w:smartTag>
      <w:r>
        <w:rPr>
          <w:rFonts w:cs="Arial"/>
        </w:rPr>
        <w:t xml:space="preserve"> </w:t>
      </w:r>
      <w:smartTag w:uri="urn:schemas-microsoft-com:office:smarttags" w:element="PostalCode">
        <w:r>
          <w:rPr>
            <w:rFonts w:cs="Arial"/>
          </w:rPr>
          <w:t>02108</w:t>
        </w:r>
      </w:smartTag>
    </w:p>
    <w:p w14:paraId="2FC5B216" w14:textId="06C9D70A" w:rsidR="006A495B" w:rsidRPr="001B3473" w:rsidRDefault="00D5513E" w:rsidP="001B3473">
      <w:pPr>
        <w:jc w:val="right"/>
      </w:pPr>
      <w:r>
        <w:rPr>
          <w:noProof/>
        </w:rPr>
        <w:drawing>
          <wp:anchor distT="0" distB="0" distL="114300" distR="114300" simplePos="0" relativeHeight="251657728" behindDoc="0" locked="0" layoutInCell="1" allowOverlap="1" wp14:anchorId="5A2526A6" wp14:editId="668B3DAC">
            <wp:simplePos x="0" y="0"/>
            <wp:positionH relativeFrom="column">
              <wp:posOffset>4533900</wp:posOffset>
            </wp:positionH>
            <wp:positionV relativeFrom="paragraph">
              <wp:posOffset>194310</wp:posOffset>
            </wp:positionV>
            <wp:extent cx="763905" cy="763905"/>
            <wp:effectExtent l="0" t="0" r="0" b="0"/>
            <wp:wrapTopAndBottom/>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3905" cy="763905"/>
                    </a:xfrm>
                    <a:prstGeom prst="rect">
                      <a:avLst/>
                    </a:prstGeom>
                    <a:noFill/>
                  </pic:spPr>
                </pic:pic>
              </a:graphicData>
            </a:graphic>
            <wp14:sizeRelH relativeFrom="page">
              <wp14:pctWidth>0</wp14:pctWidth>
            </wp14:sizeRelH>
            <wp14:sizeRelV relativeFrom="page">
              <wp14:pctHeight>0</wp14:pctHeight>
            </wp14:sizeRelV>
          </wp:anchor>
        </w:drawing>
      </w:r>
      <w:hyperlink r:id="rId13" w:history="1">
        <w:r w:rsidR="006A495B">
          <w:rPr>
            <w:rStyle w:val="Hyperlink"/>
            <w:rFonts w:cs="Arial"/>
          </w:rPr>
          <w:t>Privacy.DPH@mass.gov</w:t>
        </w:r>
      </w:hyperlink>
    </w:p>
    <w:p w14:paraId="26F57910" w14:textId="77777777" w:rsidR="006D2CBE" w:rsidRDefault="006D2CBE" w:rsidP="006D2CBE">
      <w:pPr>
        <w:jc w:val="left"/>
        <w:rPr>
          <w:rFonts w:cs="Arial"/>
        </w:rPr>
      </w:pPr>
    </w:p>
    <w:p w14:paraId="32321748" w14:textId="77777777" w:rsidR="006D2CBE" w:rsidRDefault="006D2CBE" w:rsidP="006D2CBE">
      <w:pPr>
        <w:jc w:val="left"/>
        <w:rPr>
          <w:rFonts w:cs="Arial"/>
        </w:rPr>
      </w:pPr>
    </w:p>
    <w:p w14:paraId="46B3EF09" w14:textId="77777777" w:rsidR="006D2CBE" w:rsidRDefault="006D2CBE" w:rsidP="006D2CBE">
      <w:pPr>
        <w:jc w:val="left"/>
        <w:rPr>
          <w:rFonts w:cs="Arial"/>
        </w:rPr>
      </w:pPr>
    </w:p>
    <w:p w14:paraId="7FE609DA" w14:textId="77777777" w:rsidR="006D2CBE" w:rsidRDefault="006D2CBE" w:rsidP="006D2CBE">
      <w:pPr>
        <w:jc w:val="left"/>
        <w:rPr>
          <w:rFonts w:cs="Arial"/>
        </w:rPr>
      </w:pPr>
    </w:p>
    <w:p w14:paraId="3714EB61" w14:textId="77777777" w:rsidR="006D2CBE" w:rsidRDefault="006D2CBE" w:rsidP="006D2CBE">
      <w:pPr>
        <w:jc w:val="left"/>
        <w:rPr>
          <w:rFonts w:cs="Arial"/>
        </w:rPr>
      </w:pPr>
    </w:p>
    <w:p w14:paraId="3896B364" w14:textId="77777777" w:rsidR="006D2CBE" w:rsidRDefault="006D2CBE" w:rsidP="006D2CBE">
      <w:pPr>
        <w:jc w:val="left"/>
        <w:rPr>
          <w:rFonts w:cs="Arial"/>
        </w:rPr>
      </w:pPr>
    </w:p>
    <w:p w14:paraId="086CE44A" w14:textId="77777777" w:rsidR="006D2CBE" w:rsidRDefault="006D2CBE" w:rsidP="006D2CBE">
      <w:pPr>
        <w:jc w:val="left"/>
        <w:rPr>
          <w:rFonts w:cs="Arial"/>
        </w:rPr>
      </w:pPr>
    </w:p>
    <w:p w14:paraId="547EA002" w14:textId="77777777" w:rsidR="006D2CBE" w:rsidRDefault="006D2CBE" w:rsidP="006D2CBE">
      <w:pPr>
        <w:jc w:val="left"/>
        <w:rPr>
          <w:rFonts w:cs="Arial"/>
        </w:rPr>
      </w:pPr>
    </w:p>
    <w:p w14:paraId="18CD3E40" w14:textId="77777777" w:rsidR="006D2CBE" w:rsidRDefault="006D2CBE" w:rsidP="006D2CBE">
      <w:pPr>
        <w:jc w:val="left"/>
        <w:rPr>
          <w:rFonts w:cs="Arial"/>
        </w:rPr>
      </w:pPr>
    </w:p>
    <w:p w14:paraId="2AD5AEF0" w14:textId="77777777" w:rsidR="008D2840" w:rsidRDefault="008D2840" w:rsidP="008D2840">
      <w:pPr>
        <w:jc w:val="center"/>
        <w:rPr>
          <w:rFonts w:cs="Arial"/>
        </w:rPr>
      </w:pPr>
      <w:r>
        <w:rPr>
          <w:rFonts w:cs="Arial"/>
        </w:rPr>
        <w:t>( Page intentionally blank )</w:t>
      </w:r>
    </w:p>
    <w:p w14:paraId="62A4E528" w14:textId="77777777" w:rsidR="008D2840" w:rsidRDefault="008D2840" w:rsidP="008D2840">
      <w:pPr>
        <w:jc w:val="left"/>
        <w:rPr>
          <w:rFonts w:cs="Arial"/>
        </w:rPr>
      </w:pPr>
    </w:p>
    <w:p w14:paraId="6AF823AB" w14:textId="77777777" w:rsidR="008D2840" w:rsidRDefault="008D2840" w:rsidP="008D2840">
      <w:pPr>
        <w:jc w:val="left"/>
        <w:rPr>
          <w:rFonts w:cs="Arial"/>
        </w:rPr>
        <w:sectPr w:rsidR="008D2840" w:rsidSect="003173E2">
          <w:footnotePr>
            <w:numRestart w:val="eachSect"/>
          </w:footnotePr>
          <w:pgSz w:w="12240" w:h="15840" w:code="1"/>
          <w:pgMar w:top="1080" w:right="1440" w:bottom="1440" w:left="1800" w:header="720" w:footer="720" w:gutter="0"/>
          <w:cols w:space="720"/>
          <w:docGrid w:linePitch="360"/>
        </w:sectPr>
      </w:pPr>
    </w:p>
    <w:p w14:paraId="4C7D45CA" w14:textId="77777777" w:rsidR="00166AD9" w:rsidRPr="00166AD9" w:rsidRDefault="00166AD9" w:rsidP="00166AD9">
      <w:pPr>
        <w:jc w:val="center"/>
        <w:rPr>
          <w:b/>
          <w:sz w:val="28"/>
          <w:szCs w:val="28"/>
        </w:rPr>
      </w:pPr>
      <w:r w:rsidRPr="00166AD9">
        <w:rPr>
          <w:b/>
          <w:sz w:val="28"/>
          <w:szCs w:val="28"/>
        </w:rPr>
        <w:lastRenderedPageBreak/>
        <w:t>Table of contents</w:t>
      </w:r>
    </w:p>
    <w:p w14:paraId="7CEB3B28" w14:textId="77777777" w:rsidR="00166AD9" w:rsidRDefault="009C2532" w:rsidP="00C30273">
      <w:pPr>
        <w:jc w:val="right"/>
      </w:pPr>
      <w:r>
        <w:t>Page</w:t>
      </w:r>
    </w:p>
    <w:p w14:paraId="6FEABFD0" w14:textId="7DE941B5" w:rsidR="002F2511" w:rsidRDefault="004829DB">
      <w:pPr>
        <w:pStyle w:val="TOC1"/>
        <w:rPr>
          <w:rFonts w:ascii="Aptos" w:hAnsi="Aptos" w:cs="Times New Roman"/>
          <w:b w:val="0"/>
          <w:bCs w:val="0"/>
          <w:noProof/>
          <w:color w:val="auto"/>
          <w:kern w:val="2"/>
          <w:sz w:val="24"/>
          <w:szCs w:val="24"/>
        </w:rPr>
      </w:pPr>
      <w:r w:rsidRPr="001C3604">
        <w:rPr>
          <w:szCs w:val="22"/>
        </w:rPr>
        <w:fldChar w:fldCharType="begin"/>
      </w:r>
      <w:r w:rsidRPr="001C3604">
        <w:rPr>
          <w:szCs w:val="22"/>
        </w:rPr>
        <w:instrText xml:space="preserve"> TOC \o "1-2" \h \z \t "H2 Paragraph,2" </w:instrText>
      </w:r>
      <w:r w:rsidRPr="001C3604">
        <w:rPr>
          <w:szCs w:val="22"/>
        </w:rPr>
        <w:fldChar w:fldCharType="separate"/>
      </w:r>
      <w:hyperlink w:anchor="_Toc209771746" w:history="1">
        <w:r w:rsidR="002F2511" w:rsidRPr="00FF481E">
          <w:rPr>
            <w:rStyle w:val="Hyperlink"/>
            <w:noProof/>
          </w:rPr>
          <w:t>Summary of Confidentiality Procedure Changes – Change 5</w:t>
        </w:r>
        <w:r w:rsidR="002F2511">
          <w:rPr>
            <w:noProof/>
            <w:webHidden/>
          </w:rPr>
          <w:tab/>
        </w:r>
        <w:r w:rsidR="002F2511">
          <w:rPr>
            <w:noProof/>
            <w:webHidden/>
          </w:rPr>
          <w:fldChar w:fldCharType="begin"/>
        </w:r>
        <w:r w:rsidR="002F2511">
          <w:rPr>
            <w:noProof/>
            <w:webHidden/>
          </w:rPr>
          <w:instrText xml:space="preserve"> PAGEREF _Toc209771746 \h </w:instrText>
        </w:r>
        <w:r w:rsidR="002F2511">
          <w:rPr>
            <w:noProof/>
            <w:webHidden/>
          </w:rPr>
        </w:r>
        <w:r w:rsidR="002F2511">
          <w:rPr>
            <w:noProof/>
            <w:webHidden/>
          </w:rPr>
          <w:fldChar w:fldCharType="separate"/>
        </w:r>
        <w:r w:rsidR="00C83381">
          <w:rPr>
            <w:noProof/>
            <w:webHidden/>
          </w:rPr>
          <w:t>i</w:t>
        </w:r>
        <w:r w:rsidR="002F2511">
          <w:rPr>
            <w:noProof/>
            <w:webHidden/>
          </w:rPr>
          <w:fldChar w:fldCharType="end"/>
        </w:r>
      </w:hyperlink>
    </w:p>
    <w:p w14:paraId="1BCD89BF" w14:textId="734A4249" w:rsidR="002F2511" w:rsidRDefault="002F2511">
      <w:pPr>
        <w:pStyle w:val="TOC1"/>
        <w:rPr>
          <w:rFonts w:ascii="Aptos" w:hAnsi="Aptos" w:cs="Times New Roman"/>
          <w:b w:val="0"/>
          <w:bCs w:val="0"/>
          <w:noProof/>
          <w:color w:val="auto"/>
          <w:kern w:val="2"/>
          <w:sz w:val="24"/>
          <w:szCs w:val="24"/>
        </w:rPr>
      </w:pPr>
      <w:hyperlink w:anchor="_Toc209771747" w:history="1">
        <w:r w:rsidRPr="00FF481E">
          <w:rPr>
            <w:rStyle w:val="Hyperlink"/>
            <w:noProof/>
          </w:rPr>
          <w:t>Summary of Confidentiality Procedure Changes – Change 4</w:t>
        </w:r>
        <w:r>
          <w:rPr>
            <w:noProof/>
            <w:webHidden/>
          </w:rPr>
          <w:tab/>
        </w:r>
        <w:r>
          <w:rPr>
            <w:noProof/>
            <w:webHidden/>
          </w:rPr>
          <w:fldChar w:fldCharType="begin"/>
        </w:r>
        <w:r>
          <w:rPr>
            <w:noProof/>
            <w:webHidden/>
          </w:rPr>
          <w:instrText xml:space="preserve"> PAGEREF _Toc209771747 \h </w:instrText>
        </w:r>
        <w:r>
          <w:rPr>
            <w:noProof/>
            <w:webHidden/>
          </w:rPr>
        </w:r>
        <w:r>
          <w:rPr>
            <w:noProof/>
            <w:webHidden/>
          </w:rPr>
          <w:fldChar w:fldCharType="separate"/>
        </w:r>
        <w:r w:rsidR="00C83381">
          <w:rPr>
            <w:noProof/>
            <w:webHidden/>
          </w:rPr>
          <w:t>ii</w:t>
        </w:r>
        <w:r>
          <w:rPr>
            <w:noProof/>
            <w:webHidden/>
          </w:rPr>
          <w:fldChar w:fldCharType="end"/>
        </w:r>
      </w:hyperlink>
    </w:p>
    <w:p w14:paraId="372A2F8A" w14:textId="174BC3E7" w:rsidR="002F2511" w:rsidRDefault="002F2511">
      <w:pPr>
        <w:pStyle w:val="TOC1"/>
        <w:rPr>
          <w:rFonts w:ascii="Aptos" w:hAnsi="Aptos" w:cs="Times New Roman"/>
          <w:b w:val="0"/>
          <w:bCs w:val="0"/>
          <w:noProof/>
          <w:color w:val="auto"/>
          <w:kern w:val="2"/>
          <w:sz w:val="24"/>
          <w:szCs w:val="24"/>
        </w:rPr>
      </w:pPr>
      <w:hyperlink w:anchor="_Toc209771748" w:history="1">
        <w:r w:rsidRPr="00FF481E">
          <w:rPr>
            <w:rStyle w:val="Hyperlink"/>
            <w:noProof/>
          </w:rPr>
          <w:t>Summary of Confidentiality Procedure Changes – Change 3</w:t>
        </w:r>
        <w:r>
          <w:rPr>
            <w:noProof/>
            <w:webHidden/>
          </w:rPr>
          <w:tab/>
        </w:r>
        <w:r>
          <w:rPr>
            <w:noProof/>
            <w:webHidden/>
          </w:rPr>
          <w:fldChar w:fldCharType="begin"/>
        </w:r>
        <w:r>
          <w:rPr>
            <w:noProof/>
            <w:webHidden/>
          </w:rPr>
          <w:instrText xml:space="preserve"> PAGEREF _Toc209771748 \h </w:instrText>
        </w:r>
        <w:r>
          <w:rPr>
            <w:noProof/>
            <w:webHidden/>
          </w:rPr>
        </w:r>
        <w:r>
          <w:rPr>
            <w:noProof/>
            <w:webHidden/>
          </w:rPr>
          <w:fldChar w:fldCharType="separate"/>
        </w:r>
        <w:r w:rsidR="00C83381">
          <w:rPr>
            <w:noProof/>
            <w:webHidden/>
          </w:rPr>
          <w:t>iii</w:t>
        </w:r>
        <w:r>
          <w:rPr>
            <w:noProof/>
            <w:webHidden/>
          </w:rPr>
          <w:fldChar w:fldCharType="end"/>
        </w:r>
      </w:hyperlink>
    </w:p>
    <w:p w14:paraId="686EA216" w14:textId="3B82C84D" w:rsidR="002F2511" w:rsidRDefault="002F2511">
      <w:pPr>
        <w:pStyle w:val="TOC1"/>
        <w:rPr>
          <w:rFonts w:ascii="Aptos" w:hAnsi="Aptos" w:cs="Times New Roman"/>
          <w:b w:val="0"/>
          <w:bCs w:val="0"/>
          <w:noProof/>
          <w:color w:val="auto"/>
          <w:kern w:val="2"/>
          <w:sz w:val="24"/>
          <w:szCs w:val="24"/>
        </w:rPr>
      </w:pPr>
      <w:hyperlink w:anchor="_Toc209771749" w:history="1">
        <w:r w:rsidRPr="00FF481E">
          <w:rPr>
            <w:rStyle w:val="Hyperlink"/>
            <w:noProof/>
          </w:rPr>
          <w:t>Summary of Confidentiality Procedure Changes – Change 2</w:t>
        </w:r>
        <w:r>
          <w:rPr>
            <w:noProof/>
            <w:webHidden/>
          </w:rPr>
          <w:tab/>
        </w:r>
        <w:r>
          <w:rPr>
            <w:noProof/>
            <w:webHidden/>
          </w:rPr>
          <w:fldChar w:fldCharType="begin"/>
        </w:r>
        <w:r>
          <w:rPr>
            <w:noProof/>
            <w:webHidden/>
          </w:rPr>
          <w:instrText xml:space="preserve"> PAGEREF _Toc209771749 \h </w:instrText>
        </w:r>
        <w:r>
          <w:rPr>
            <w:noProof/>
            <w:webHidden/>
          </w:rPr>
        </w:r>
        <w:r>
          <w:rPr>
            <w:noProof/>
            <w:webHidden/>
          </w:rPr>
          <w:fldChar w:fldCharType="separate"/>
        </w:r>
        <w:r w:rsidR="00C83381">
          <w:rPr>
            <w:noProof/>
            <w:webHidden/>
          </w:rPr>
          <w:t>iv</w:t>
        </w:r>
        <w:r>
          <w:rPr>
            <w:noProof/>
            <w:webHidden/>
          </w:rPr>
          <w:fldChar w:fldCharType="end"/>
        </w:r>
      </w:hyperlink>
    </w:p>
    <w:p w14:paraId="774D27D7" w14:textId="10F43D88" w:rsidR="002F2511" w:rsidRDefault="002F2511">
      <w:pPr>
        <w:pStyle w:val="TOC1"/>
        <w:rPr>
          <w:rFonts w:ascii="Aptos" w:hAnsi="Aptos" w:cs="Times New Roman"/>
          <w:b w:val="0"/>
          <w:bCs w:val="0"/>
          <w:noProof/>
          <w:color w:val="auto"/>
          <w:kern w:val="2"/>
          <w:sz w:val="24"/>
          <w:szCs w:val="24"/>
        </w:rPr>
      </w:pPr>
      <w:hyperlink w:anchor="_Toc209771750" w:history="1">
        <w:r w:rsidRPr="00FF481E">
          <w:rPr>
            <w:rStyle w:val="Hyperlink"/>
            <w:noProof/>
          </w:rPr>
          <w:t>Summary of Confidentiality Procedure Changes – Change 1</w:t>
        </w:r>
        <w:r>
          <w:rPr>
            <w:noProof/>
            <w:webHidden/>
          </w:rPr>
          <w:tab/>
        </w:r>
        <w:r>
          <w:rPr>
            <w:noProof/>
            <w:webHidden/>
          </w:rPr>
          <w:fldChar w:fldCharType="begin"/>
        </w:r>
        <w:r>
          <w:rPr>
            <w:noProof/>
            <w:webHidden/>
          </w:rPr>
          <w:instrText xml:space="preserve"> PAGEREF _Toc209771750 \h </w:instrText>
        </w:r>
        <w:r>
          <w:rPr>
            <w:noProof/>
            <w:webHidden/>
          </w:rPr>
        </w:r>
        <w:r>
          <w:rPr>
            <w:noProof/>
            <w:webHidden/>
          </w:rPr>
          <w:fldChar w:fldCharType="separate"/>
        </w:r>
        <w:r w:rsidR="00C83381">
          <w:rPr>
            <w:noProof/>
            <w:webHidden/>
          </w:rPr>
          <w:t>v</w:t>
        </w:r>
        <w:r>
          <w:rPr>
            <w:noProof/>
            <w:webHidden/>
          </w:rPr>
          <w:fldChar w:fldCharType="end"/>
        </w:r>
      </w:hyperlink>
    </w:p>
    <w:p w14:paraId="65FE5AFD" w14:textId="0353D4A4" w:rsidR="002F2511" w:rsidRDefault="002F2511">
      <w:pPr>
        <w:pStyle w:val="TOC1"/>
        <w:rPr>
          <w:rFonts w:ascii="Aptos" w:hAnsi="Aptos" w:cs="Times New Roman"/>
          <w:b w:val="0"/>
          <w:bCs w:val="0"/>
          <w:noProof/>
          <w:color w:val="auto"/>
          <w:kern w:val="2"/>
          <w:sz w:val="24"/>
          <w:szCs w:val="24"/>
        </w:rPr>
      </w:pPr>
      <w:hyperlink w:anchor="_Toc209771751" w:history="1">
        <w:r w:rsidRPr="00FF481E">
          <w:rPr>
            <w:rStyle w:val="Hyperlink"/>
            <w:noProof/>
          </w:rPr>
          <w:t>Glossary</w:t>
        </w:r>
        <w:r>
          <w:rPr>
            <w:noProof/>
            <w:webHidden/>
          </w:rPr>
          <w:tab/>
        </w:r>
        <w:r w:rsidR="005736DF">
          <w:rPr>
            <w:noProof/>
            <w:webHidden/>
          </w:rPr>
          <w:tab/>
        </w:r>
        <w:r>
          <w:rPr>
            <w:noProof/>
            <w:webHidden/>
          </w:rPr>
          <w:fldChar w:fldCharType="begin"/>
        </w:r>
        <w:r>
          <w:rPr>
            <w:noProof/>
            <w:webHidden/>
          </w:rPr>
          <w:instrText xml:space="preserve"> PAGEREF _Toc209771751 \h </w:instrText>
        </w:r>
        <w:r>
          <w:rPr>
            <w:noProof/>
            <w:webHidden/>
          </w:rPr>
        </w:r>
        <w:r>
          <w:rPr>
            <w:noProof/>
            <w:webHidden/>
          </w:rPr>
          <w:fldChar w:fldCharType="separate"/>
        </w:r>
        <w:r w:rsidR="00C83381">
          <w:rPr>
            <w:noProof/>
            <w:webHidden/>
          </w:rPr>
          <w:t>vii</w:t>
        </w:r>
        <w:r>
          <w:rPr>
            <w:noProof/>
            <w:webHidden/>
          </w:rPr>
          <w:fldChar w:fldCharType="end"/>
        </w:r>
      </w:hyperlink>
    </w:p>
    <w:p w14:paraId="69F58DB9" w14:textId="29E40782" w:rsidR="002F2511" w:rsidRDefault="002F2511">
      <w:pPr>
        <w:pStyle w:val="TOC1"/>
        <w:rPr>
          <w:rFonts w:ascii="Aptos" w:hAnsi="Aptos" w:cs="Times New Roman"/>
          <w:b w:val="0"/>
          <w:bCs w:val="0"/>
          <w:noProof/>
          <w:color w:val="auto"/>
          <w:kern w:val="2"/>
          <w:sz w:val="24"/>
          <w:szCs w:val="24"/>
        </w:rPr>
      </w:pPr>
      <w:hyperlink w:anchor="_Toc209771752" w:history="1">
        <w:r w:rsidRPr="00FF481E">
          <w:rPr>
            <w:rStyle w:val="Hyperlink"/>
            <w:noProof/>
          </w:rPr>
          <w:t>Procedure 1</w:t>
        </w:r>
        <w:r>
          <w:rPr>
            <w:rFonts w:ascii="Aptos" w:hAnsi="Aptos" w:cs="Times New Roman"/>
            <w:b w:val="0"/>
            <w:bCs w:val="0"/>
            <w:noProof/>
            <w:color w:val="auto"/>
            <w:kern w:val="2"/>
            <w:sz w:val="24"/>
            <w:szCs w:val="24"/>
          </w:rPr>
          <w:tab/>
        </w:r>
        <w:r w:rsidRPr="00FF481E">
          <w:rPr>
            <w:rStyle w:val="Hyperlink"/>
            <w:noProof/>
          </w:rPr>
          <w:t>Personnel Requirements</w:t>
        </w:r>
        <w:r>
          <w:rPr>
            <w:noProof/>
            <w:webHidden/>
          </w:rPr>
          <w:tab/>
        </w:r>
        <w:r>
          <w:rPr>
            <w:noProof/>
            <w:webHidden/>
          </w:rPr>
          <w:fldChar w:fldCharType="begin"/>
        </w:r>
        <w:r>
          <w:rPr>
            <w:noProof/>
            <w:webHidden/>
          </w:rPr>
          <w:instrText xml:space="preserve"> PAGEREF _Toc209771752 \h </w:instrText>
        </w:r>
        <w:r>
          <w:rPr>
            <w:noProof/>
            <w:webHidden/>
          </w:rPr>
        </w:r>
        <w:r>
          <w:rPr>
            <w:noProof/>
            <w:webHidden/>
          </w:rPr>
          <w:fldChar w:fldCharType="separate"/>
        </w:r>
        <w:r w:rsidR="00C83381">
          <w:rPr>
            <w:noProof/>
            <w:webHidden/>
          </w:rPr>
          <w:t>1</w:t>
        </w:r>
        <w:r>
          <w:rPr>
            <w:noProof/>
            <w:webHidden/>
          </w:rPr>
          <w:fldChar w:fldCharType="end"/>
        </w:r>
      </w:hyperlink>
    </w:p>
    <w:p w14:paraId="0C4AEF0B" w14:textId="34930C89" w:rsidR="002F2511" w:rsidRDefault="002F2511">
      <w:pPr>
        <w:pStyle w:val="TOC2"/>
        <w:rPr>
          <w:rFonts w:ascii="Aptos" w:hAnsi="Aptos"/>
          <w:noProof/>
          <w:kern w:val="2"/>
          <w:sz w:val="24"/>
        </w:rPr>
      </w:pPr>
      <w:hyperlink w:anchor="_Toc209771753" w:history="1">
        <w:r w:rsidRPr="00FF481E">
          <w:rPr>
            <w:rStyle w:val="Hyperlink"/>
            <w:noProof/>
          </w:rPr>
          <w:t>PART I.</w:t>
        </w:r>
        <w:r>
          <w:rPr>
            <w:rFonts w:ascii="Aptos" w:hAnsi="Aptos"/>
            <w:noProof/>
            <w:kern w:val="2"/>
            <w:sz w:val="24"/>
          </w:rPr>
          <w:tab/>
        </w:r>
        <w:r w:rsidRPr="00FF481E">
          <w:rPr>
            <w:rStyle w:val="Hyperlink"/>
            <w:noProof/>
          </w:rPr>
          <w:t>Purpose and Scope</w:t>
        </w:r>
        <w:r>
          <w:rPr>
            <w:noProof/>
            <w:webHidden/>
          </w:rPr>
          <w:tab/>
        </w:r>
        <w:r>
          <w:rPr>
            <w:noProof/>
            <w:webHidden/>
          </w:rPr>
          <w:fldChar w:fldCharType="begin"/>
        </w:r>
        <w:r>
          <w:rPr>
            <w:noProof/>
            <w:webHidden/>
          </w:rPr>
          <w:instrText xml:space="preserve"> PAGEREF _Toc209771753 \h </w:instrText>
        </w:r>
        <w:r>
          <w:rPr>
            <w:noProof/>
            <w:webHidden/>
          </w:rPr>
        </w:r>
        <w:r>
          <w:rPr>
            <w:noProof/>
            <w:webHidden/>
          </w:rPr>
          <w:fldChar w:fldCharType="separate"/>
        </w:r>
        <w:r w:rsidR="00C83381">
          <w:rPr>
            <w:noProof/>
            <w:webHidden/>
          </w:rPr>
          <w:t>1</w:t>
        </w:r>
        <w:r>
          <w:rPr>
            <w:noProof/>
            <w:webHidden/>
          </w:rPr>
          <w:fldChar w:fldCharType="end"/>
        </w:r>
      </w:hyperlink>
    </w:p>
    <w:p w14:paraId="31C11DA3" w14:textId="34A4CABC" w:rsidR="002F2511" w:rsidRDefault="002F2511">
      <w:pPr>
        <w:pStyle w:val="TOC2"/>
        <w:rPr>
          <w:rFonts w:ascii="Aptos" w:hAnsi="Aptos"/>
          <w:noProof/>
          <w:kern w:val="2"/>
          <w:sz w:val="24"/>
        </w:rPr>
      </w:pPr>
      <w:hyperlink w:anchor="_Toc209771754" w:history="1">
        <w:r w:rsidRPr="00FF481E">
          <w:rPr>
            <w:rStyle w:val="Hyperlink"/>
            <w:noProof/>
          </w:rPr>
          <w:t>PART II.</w:t>
        </w:r>
        <w:r>
          <w:rPr>
            <w:rFonts w:ascii="Aptos" w:hAnsi="Aptos"/>
            <w:noProof/>
            <w:kern w:val="2"/>
            <w:sz w:val="24"/>
          </w:rPr>
          <w:tab/>
        </w:r>
        <w:r w:rsidRPr="00FF481E">
          <w:rPr>
            <w:rStyle w:val="Hyperlink"/>
            <w:noProof/>
          </w:rPr>
          <w:t>Personnel Designations</w:t>
        </w:r>
        <w:r>
          <w:rPr>
            <w:noProof/>
            <w:webHidden/>
          </w:rPr>
          <w:tab/>
        </w:r>
        <w:r>
          <w:rPr>
            <w:noProof/>
            <w:webHidden/>
          </w:rPr>
          <w:fldChar w:fldCharType="begin"/>
        </w:r>
        <w:r>
          <w:rPr>
            <w:noProof/>
            <w:webHidden/>
          </w:rPr>
          <w:instrText xml:space="preserve"> PAGEREF _Toc209771754 \h </w:instrText>
        </w:r>
        <w:r>
          <w:rPr>
            <w:noProof/>
            <w:webHidden/>
          </w:rPr>
        </w:r>
        <w:r>
          <w:rPr>
            <w:noProof/>
            <w:webHidden/>
          </w:rPr>
          <w:fldChar w:fldCharType="separate"/>
        </w:r>
        <w:r w:rsidR="00C83381">
          <w:rPr>
            <w:noProof/>
            <w:webHidden/>
          </w:rPr>
          <w:t>1</w:t>
        </w:r>
        <w:r>
          <w:rPr>
            <w:noProof/>
            <w:webHidden/>
          </w:rPr>
          <w:fldChar w:fldCharType="end"/>
        </w:r>
      </w:hyperlink>
    </w:p>
    <w:p w14:paraId="589AC93C" w14:textId="43118785" w:rsidR="002F2511" w:rsidRDefault="002F2511">
      <w:pPr>
        <w:pStyle w:val="TOC2"/>
        <w:rPr>
          <w:rFonts w:ascii="Aptos" w:hAnsi="Aptos"/>
          <w:noProof/>
          <w:kern w:val="2"/>
          <w:sz w:val="24"/>
        </w:rPr>
      </w:pPr>
      <w:hyperlink w:anchor="_Toc209771755" w:history="1">
        <w:r w:rsidRPr="00FF481E">
          <w:rPr>
            <w:rStyle w:val="Hyperlink"/>
            <w:noProof/>
          </w:rPr>
          <w:t>PART III.</w:t>
        </w:r>
        <w:r>
          <w:rPr>
            <w:rFonts w:ascii="Aptos" w:hAnsi="Aptos"/>
            <w:noProof/>
            <w:kern w:val="2"/>
            <w:sz w:val="24"/>
          </w:rPr>
          <w:tab/>
        </w:r>
        <w:r w:rsidRPr="00FF481E">
          <w:rPr>
            <w:rStyle w:val="Hyperlink"/>
            <w:noProof/>
          </w:rPr>
          <w:t>Privacy and Confidentiality Training Requirements</w:t>
        </w:r>
        <w:r>
          <w:rPr>
            <w:noProof/>
            <w:webHidden/>
          </w:rPr>
          <w:tab/>
        </w:r>
        <w:r>
          <w:rPr>
            <w:noProof/>
            <w:webHidden/>
          </w:rPr>
          <w:fldChar w:fldCharType="begin"/>
        </w:r>
        <w:r>
          <w:rPr>
            <w:noProof/>
            <w:webHidden/>
          </w:rPr>
          <w:instrText xml:space="preserve"> PAGEREF _Toc209771755 \h </w:instrText>
        </w:r>
        <w:r>
          <w:rPr>
            <w:noProof/>
            <w:webHidden/>
          </w:rPr>
        </w:r>
        <w:r>
          <w:rPr>
            <w:noProof/>
            <w:webHidden/>
          </w:rPr>
          <w:fldChar w:fldCharType="separate"/>
        </w:r>
        <w:r w:rsidR="00C83381">
          <w:rPr>
            <w:noProof/>
            <w:webHidden/>
          </w:rPr>
          <w:t>1</w:t>
        </w:r>
        <w:r>
          <w:rPr>
            <w:noProof/>
            <w:webHidden/>
          </w:rPr>
          <w:fldChar w:fldCharType="end"/>
        </w:r>
      </w:hyperlink>
    </w:p>
    <w:p w14:paraId="4526E687" w14:textId="238CF490" w:rsidR="002F2511" w:rsidRDefault="002F2511">
      <w:pPr>
        <w:pStyle w:val="TOC1"/>
        <w:rPr>
          <w:rFonts w:ascii="Aptos" w:hAnsi="Aptos" w:cs="Times New Roman"/>
          <w:b w:val="0"/>
          <w:bCs w:val="0"/>
          <w:noProof/>
          <w:color w:val="auto"/>
          <w:kern w:val="2"/>
          <w:sz w:val="24"/>
          <w:szCs w:val="24"/>
        </w:rPr>
      </w:pPr>
      <w:hyperlink w:anchor="_Toc209771756" w:history="1">
        <w:r w:rsidRPr="00FF481E">
          <w:rPr>
            <w:rStyle w:val="Hyperlink"/>
            <w:noProof/>
          </w:rPr>
          <w:t>Procedure 2</w:t>
        </w:r>
        <w:r>
          <w:rPr>
            <w:rFonts w:ascii="Aptos" w:hAnsi="Aptos" w:cs="Times New Roman"/>
            <w:b w:val="0"/>
            <w:bCs w:val="0"/>
            <w:noProof/>
            <w:color w:val="auto"/>
            <w:kern w:val="2"/>
            <w:sz w:val="24"/>
            <w:szCs w:val="24"/>
          </w:rPr>
          <w:tab/>
        </w:r>
        <w:r w:rsidRPr="00FF481E">
          <w:rPr>
            <w:rStyle w:val="Hyperlink"/>
            <w:noProof/>
          </w:rPr>
          <w:t>Breaches of Confidential Information</w:t>
        </w:r>
        <w:r>
          <w:rPr>
            <w:noProof/>
            <w:webHidden/>
          </w:rPr>
          <w:tab/>
        </w:r>
        <w:r>
          <w:rPr>
            <w:noProof/>
            <w:webHidden/>
          </w:rPr>
          <w:fldChar w:fldCharType="begin"/>
        </w:r>
        <w:r>
          <w:rPr>
            <w:noProof/>
            <w:webHidden/>
          </w:rPr>
          <w:instrText xml:space="preserve"> PAGEREF _Toc209771756 \h </w:instrText>
        </w:r>
        <w:r>
          <w:rPr>
            <w:noProof/>
            <w:webHidden/>
          </w:rPr>
        </w:r>
        <w:r>
          <w:rPr>
            <w:noProof/>
            <w:webHidden/>
          </w:rPr>
          <w:fldChar w:fldCharType="separate"/>
        </w:r>
        <w:r w:rsidR="00C83381">
          <w:rPr>
            <w:noProof/>
            <w:webHidden/>
          </w:rPr>
          <w:t>3</w:t>
        </w:r>
        <w:r>
          <w:rPr>
            <w:noProof/>
            <w:webHidden/>
          </w:rPr>
          <w:fldChar w:fldCharType="end"/>
        </w:r>
      </w:hyperlink>
    </w:p>
    <w:p w14:paraId="006699D2" w14:textId="151D7D5B" w:rsidR="002F2511" w:rsidRDefault="002F2511">
      <w:pPr>
        <w:pStyle w:val="TOC2"/>
        <w:rPr>
          <w:rFonts w:ascii="Aptos" w:hAnsi="Aptos"/>
          <w:noProof/>
          <w:kern w:val="2"/>
          <w:sz w:val="24"/>
        </w:rPr>
      </w:pPr>
      <w:hyperlink w:anchor="_Toc209771757" w:history="1">
        <w:r w:rsidRPr="00FF481E">
          <w:rPr>
            <w:rStyle w:val="Hyperlink"/>
            <w:noProof/>
          </w:rPr>
          <w:t>PART I.</w:t>
        </w:r>
        <w:r>
          <w:rPr>
            <w:rFonts w:ascii="Aptos" w:hAnsi="Aptos"/>
            <w:noProof/>
            <w:kern w:val="2"/>
            <w:sz w:val="24"/>
          </w:rPr>
          <w:tab/>
        </w:r>
        <w:r w:rsidRPr="00FF481E">
          <w:rPr>
            <w:rStyle w:val="Hyperlink"/>
            <w:noProof/>
          </w:rPr>
          <w:t>Purpose &amp; definitions</w:t>
        </w:r>
        <w:r>
          <w:rPr>
            <w:noProof/>
            <w:webHidden/>
          </w:rPr>
          <w:tab/>
        </w:r>
        <w:r>
          <w:rPr>
            <w:noProof/>
            <w:webHidden/>
          </w:rPr>
          <w:fldChar w:fldCharType="begin"/>
        </w:r>
        <w:r>
          <w:rPr>
            <w:noProof/>
            <w:webHidden/>
          </w:rPr>
          <w:instrText xml:space="preserve"> PAGEREF _Toc209771757 \h </w:instrText>
        </w:r>
        <w:r>
          <w:rPr>
            <w:noProof/>
            <w:webHidden/>
          </w:rPr>
        </w:r>
        <w:r>
          <w:rPr>
            <w:noProof/>
            <w:webHidden/>
          </w:rPr>
          <w:fldChar w:fldCharType="separate"/>
        </w:r>
        <w:r w:rsidR="00C83381">
          <w:rPr>
            <w:noProof/>
            <w:webHidden/>
          </w:rPr>
          <w:t>3</w:t>
        </w:r>
        <w:r>
          <w:rPr>
            <w:noProof/>
            <w:webHidden/>
          </w:rPr>
          <w:fldChar w:fldCharType="end"/>
        </w:r>
      </w:hyperlink>
    </w:p>
    <w:p w14:paraId="7B27B96B" w14:textId="7B9E5D24" w:rsidR="002F2511" w:rsidRDefault="002F2511">
      <w:pPr>
        <w:pStyle w:val="TOC2"/>
        <w:rPr>
          <w:rFonts w:ascii="Aptos" w:hAnsi="Aptos"/>
          <w:noProof/>
          <w:kern w:val="2"/>
          <w:sz w:val="24"/>
        </w:rPr>
      </w:pPr>
      <w:hyperlink w:anchor="_Toc209771758" w:history="1">
        <w:r w:rsidRPr="00FF481E">
          <w:rPr>
            <w:rStyle w:val="Hyperlink"/>
            <w:noProof/>
          </w:rPr>
          <w:t>PART II.</w:t>
        </w:r>
        <w:r>
          <w:rPr>
            <w:rFonts w:ascii="Aptos" w:hAnsi="Aptos"/>
            <w:noProof/>
            <w:kern w:val="2"/>
            <w:sz w:val="24"/>
          </w:rPr>
          <w:tab/>
        </w:r>
        <w:r w:rsidRPr="00FF481E">
          <w:rPr>
            <w:rStyle w:val="Hyperlink"/>
            <w:noProof/>
          </w:rPr>
          <w:t>Reporting &amp; investigation protocols</w:t>
        </w:r>
        <w:r>
          <w:rPr>
            <w:noProof/>
            <w:webHidden/>
          </w:rPr>
          <w:tab/>
        </w:r>
        <w:r>
          <w:rPr>
            <w:noProof/>
            <w:webHidden/>
          </w:rPr>
          <w:fldChar w:fldCharType="begin"/>
        </w:r>
        <w:r>
          <w:rPr>
            <w:noProof/>
            <w:webHidden/>
          </w:rPr>
          <w:instrText xml:space="preserve"> PAGEREF _Toc209771758 \h </w:instrText>
        </w:r>
        <w:r>
          <w:rPr>
            <w:noProof/>
            <w:webHidden/>
          </w:rPr>
        </w:r>
        <w:r>
          <w:rPr>
            <w:noProof/>
            <w:webHidden/>
          </w:rPr>
          <w:fldChar w:fldCharType="separate"/>
        </w:r>
        <w:r w:rsidR="00C83381">
          <w:rPr>
            <w:noProof/>
            <w:webHidden/>
          </w:rPr>
          <w:t>5</w:t>
        </w:r>
        <w:r>
          <w:rPr>
            <w:noProof/>
            <w:webHidden/>
          </w:rPr>
          <w:fldChar w:fldCharType="end"/>
        </w:r>
      </w:hyperlink>
    </w:p>
    <w:p w14:paraId="3E013D8D" w14:textId="08B8D26D" w:rsidR="002F2511" w:rsidRDefault="002F2511">
      <w:pPr>
        <w:pStyle w:val="TOC2"/>
        <w:rPr>
          <w:rFonts w:ascii="Aptos" w:hAnsi="Aptos"/>
          <w:noProof/>
          <w:kern w:val="2"/>
          <w:sz w:val="24"/>
        </w:rPr>
      </w:pPr>
      <w:hyperlink w:anchor="_Toc209771759" w:history="1">
        <w:r w:rsidRPr="00FF481E">
          <w:rPr>
            <w:rStyle w:val="Hyperlink"/>
            <w:noProof/>
          </w:rPr>
          <w:t>PART III.</w:t>
        </w:r>
        <w:r>
          <w:rPr>
            <w:rFonts w:ascii="Aptos" w:hAnsi="Aptos"/>
            <w:noProof/>
            <w:kern w:val="2"/>
            <w:sz w:val="24"/>
          </w:rPr>
          <w:tab/>
        </w:r>
        <w:r w:rsidRPr="00FF481E">
          <w:rPr>
            <w:rStyle w:val="Hyperlink"/>
            <w:noProof/>
          </w:rPr>
          <w:t>Notification of Affected Individuals</w:t>
        </w:r>
        <w:r>
          <w:rPr>
            <w:noProof/>
            <w:webHidden/>
          </w:rPr>
          <w:tab/>
        </w:r>
        <w:r>
          <w:rPr>
            <w:noProof/>
            <w:webHidden/>
          </w:rPr>
          <w:fldChar w:fldCharType="begin"/>
        </w:r>
        <w:r>
          <w:rPr>
            <w:noProof/>
            <w:webHidden/>
          </w:rPr>
          <w:instrText xml:space="preserve"> PAGEREF _Toc209771759 \h </w:instrText>
        </w:r>
        <w:r>
          <w:rPr>
            <w:noProof/>
            <w:webHidden/>
          </w:rPr>
        </w:r>
        <w:r>
          <w:rPr>
            <w:noProof/>
            <w:webHidden/>
          </w:rPr>
          <w:fldChar w:fldCharType="separate"/>
        </w:r>
        <w:r w:rsidR="00C83381">
          <w:rPr>
            <w:noProof/>
            <w:webHidden/>
          </w:rPr>
          <w:t>9</w:t>
        </w:r>
        <w:r>
          <w:rPr>
            <w:noProof/>
            <w:webHidden/>
          </w:rPr>
          <w:fldChar w:fldCharType="end"/>
        </w:r>
      </w:hyperlink>
    </w:p>
    <w:p w14:paraId="50A31FDD" w14:textId="3BCB8C16" w:rsidR="002F2511" w:rsidRDefault="002F2511">
      <w:pPr>
        <w:pStyle w:val="TOC2"/>
        <w:rPr>
          <w:rFonts w:ascii="Aptos" w:hAnsi="Aptos"/>
          <w:noProof/>
          <w:kern w:val="2"/>
          <w:sz w:val="24"/>
        </w:rPr>
      </w:pPr>
      <w:hyperlink w:anchor="_Toc209771760" w:history="1">
        <w:r w:rsidRPr="00FF481E">
          <w:rPr>
            <w:rStyle w:val="Hyperlink"/>
            <w:noProof/>
          </w:rPr>
          <w:t>PART IV.</w:t>
        </w:r>
        <w:r>
          <w:rPr>
            <w:rFonts w:ascii="Aptos" w:hAnsi="Aptos"/>
            <w:noProof/>
            <w:kern w:val="2"/>
            <w:sz w:val="24"/>
          </w:rPr>
          <w:tab/>
        </w:r>
        <w:r w:rsidRPr="00FF481E">
          <w:rPr>
            <w:rStyle w:val="Hyperlink"/>
            <w:noProof/>
          </w:rPr>
          <w:t>Sanctions</w:t>
        </w:r>
        <w:r>
          <w:rPr>
            <w:noProof/>
            <w:webHidden/>
          </w:rPr>
          <w:tab/>
        </w:r>
        <w:r>
          <w:rPr>
            <w:noProof/>
            <w:webHidden/>
          </w:rPr>
          <w:fldChar w:fldCharType="begin"/>
        </w:r>
        <w:r>
          <w:rPr>
            <w:noProof/>
            <w:webHidden/>
          </w:rPr>
          <w:instrText xml:space="preserve"> PAGEREF _Toc209771760 \h </w:instrText>
        </w:r>
        <w:r>
          <w:rPr>
            <w:noProof/>
            <w:webHidden/>
          </w:rPr>
        </w:r>
        <w:r>
          <w:rPr>
            <w:noProof/>
            <w:webHidden/>
          </w:rPr>
          <w:fldChar w:fldCharType="separate"/>
        </w:r>
        <w:r w:rsidR="00C83381">
          <w:rPr>
            <w:noProof/>
            <w:webHidden/>
          </w:rPr>
          <w:t>10</w:t>
        </w:r>
        <w:r>
          <w:rPr>
            <w:noProof/>
            <w:webHidden/>
          </w:rPr>
          <w:fldChar w:fldCharType="end"/>
        </w:r>
      </w:hyperlink>
    </w:p>
    <w:p w14:paraId="1D0A52BB" w14:textId="02C37968" w:rsidR="002F2511" w:rsidRDefault="002F2511">
      <w:pPr>
        <w:pStyle w:val="TOC1"/>
        <w:rPr>
          <w:rFonts w:ascii="Aptos" w:hAnsi="Aptos" w:cs="Times New Roman"/>
          <w:b w:val="0"/>
          <w:bCs w:val="0"/>
          <w:noProof/>
          <w:color w:val="auto"/>
          <w:kern w:val="2"/>
          <w:sz w:val="24"/>
          <w:szCs w:val="24"/>
        </w:rPr>
      </w:pPr>
      <w:hyperlink w:anchor="_Toc209771761" w:history="1">
        <w:r w:rsidRPr="00FF481E">
          <w:rPr>
            <w:rStyle w:val="Hyperlink"/>
            <w:noProof/>
          </w:rPr>
          <w:t>Procedure 3</w:t>
        </w:r>
        <w:r>
          <w:rPr>
            <w:rFonts w:ascii="Aptos" w:hAnsi="Aptos" w:cs="Times New Roman"/>
            <w:b w:val="0"/>
            <w:bCs w:val="0"/>
            <w:noProof/>
            <w:color w:val="auto"/>
            <w:kern w:val="2"/>
            <w:sz w:val="24"/>
            <w:szCs w:val="24"/>
          </w:rPr>
          <w:tab/>
        </w:r>
        <w:r w:rsidRPr="00FF481E">
          <w:rPr>
            <w:rStyle w:val="Hyperlink"/>
            <w:noProof/>
          </w:rPr>
          <w:t>Permitted Collection, Use, and Disclosure of Confidential Information</w:t>
        </w:r>
        <w:r>
          <w:rPr>
            <w:noProof/>
            <w:webHidden/>
          </w:rPr>
          <w:tab/>
        </w:r>
        <w:r>
          <w:rPr>
            <w:noProof/>
            <w:webHidden/>
          </w:rPr>
          <w:fldChar w:fldCharType="begin"/>
        </w:r>
        <w:r>
          <w:rPr>
            <w:noProof/>
            <w:webHidden/>
          </w:rPr>
          <w:instrText xml:space="preserve"> PAGEREF _Toc209771761 \h </w:instrText>
        </w:r>
        <w:r>
          <w:rPr>
            <w:noProof/>
            <w:webHidden/>
          </w:rPr>
        </w:r>
        <w:r>
          <w:rPr>
            <w:noProof/>
            <w:webHidden/>
          </w:rPr>
          <w:fldChar w:fldCharType="separate"/>
        </w:r>
        <w:r w:rsidR="00C83381">
          <w:rPr>
            <w:noProof/>
            <w:webHidden/>
          </w:rPr>
          <w:t>11</w:t>
        </w:r>
        <w:r>
          <w:rPr>
            <w:noProof/>
            <w:webHidden/>
          </w:rPr>
          <w:fldChar w:fldCharType="end"/>
        </w:r>
      </w:hyperlink>
    </w:p>
    <w:p w14:paraId="3014838F" w14:textId="6C9A3DC6" w:rsidR="002F2511" w:rsidRDefault="002F2511">
      <w:pPr>
        <w:pStyle w:val="TOC2"/>
        <w:rPr>
          <w:rFonts w:ascii="Aptos" w:hAnsi="Aptos"/>
          <w:noProof/>
          <w:kern w:val="2"/>
          <w:sz w:val="24"/>
        </w:rPr>
      </w:pPr>
      <w:hyperlink w:anchor="_Toc209771762" w:history="1">
        <w:r w:rsidRPr="00FF481E">
          <w:rPr>
            <w:rStyle w:val="Hyperlink"/>
            <w:noProof/>
          </w:rPr>
          <w:t>PART I.</w:t>
        </w:r>
        <w:r>
          <w:rPr>
            <w:rFonts w:ascii="Aptos" w:hAnsi="Aptos"/>
            <w:noProof/>
            <w:kern w:val="2"/>
            <w:sz w:val="24"/>
          </w:rPr>
          <w:tab/>
        </w:r>
        <w:r w:rsidRPr="00FF481E">
          <w:rPr>
            <w:rStyle w:val="Hyperlink"/>
            <w:noProof/>
          </w:rPr>
          <w:t>Purpose and Scope</w:t>
        </w:r>
        <w:r>
          <w:rPr>
            <w:noProof/>
            <w:webHidden/>
          </w:rPr>
          <w:tab/>
        </w:r>
        <w:r>
          <w:rPr>
            <w:noProof/>
            <w:webHidden/>
          </w:rPr>
          <w:fldChar w:fldCharType="begin"/>
        </w:r>
        <w:r>
          <w:rPr>
            <w:noProof/>
            <w:webHidden/>
          </w:rPr>
          <w:instrText xml:space="preserve"> PAGEREF _Toc209771762 \h </w:instrText>
        </w:r>
        <w:r>
          <w:rPr>
            <w:noProof/>
            <w:webHidden/>
          </w:rPr>
        </w:r>
        <w:r>
          <w:rPr>
            <w:noProof/>
            <w:webHidden/>
          </w:rPr>
          <w:fldChar w:fldCharType="separate"/>
        </w:r>
        <w:r w:rsidR="00C83381">
          <w:rPr>
            <w:noProof/>
            <w:webHidden/>
          </w:rPr>
          <w:t>11</w:t>
        </w:r>
        <w:r>
          <w:rPr>
            <w:noProof/>
            <w:webHidden/>
          </w:rPr>
          <w:fldChar w:fldCharType="end"/>
        </w:r>
      </w:hyperlink>
    </w:p>
    <w:p w14:paraId="1E07E48F" w14:textId="74EFDA19" w:rsidR="002F2511" w:rsidRDefault="002F2511">
      <w:pPr>
        <w:pStyle w:val="TOC2"/>
        <w:rPr>
          <w:rFonts w:ascii="Aptos" w:hAnsi="Aptos"/>
          <w:noProof/>
          <w:kern w:val="2"/>
          <w:sz w:val="24"/>
        </w:rPr>
      </w:pPr>
      <w:hyperlink w:anchor="_Toc209771763" w:history="1">
        <w:r w:rsidRPr="00FF481E">
          <w:rPr>
            <w:rStyle w:val="Hyperlink"/>
            <w:noProof/>
          </w:rPr>
          <w:t>PART II.</w:t>
        </w:r>
        <w:r>
          <w:rPr>
            <w:rFonts w:ascii="Aptos" w:hAnsi="Aptos"/>
            <w:noProof/>
            <w:kern w:val="2"/>
            <w:sz w:val="24"/>
          </w:rPr>
          <w:tab/>
        </w:r>
        <w:r w:rsidRPr="00FF481E">
          <w:rPr>
            <w:rStyle w:val="Hyperlink"/>
            <w:noProof/>
          </w:rPr>
          <w:t>Standards Applicable to Collection, Use, and Disclosure of All Confidential Information</w:t>
        </w:r>
        <w:r>
          <w:rPr>
            <w:noProof/>
            <w:webHidden/>
          </w:rPr>
          <w:tab/>
        </w:r>
        <w:r>
          <w:rPr>
            <w:noProof/>
            <w:webHidden/>
          </w:rPr>
          <w:fldChar w:fldCharType="begin"/>
        </w:r>
        <w:r>
          <w:rPr>
            <w:noProof/>
            <w:webHidden/>
          </w:rPr>
          <w:instrText xml:space="preserve"> PAGEREF _Toc209771763 \h </w:instrText>
        </w:r>
        <w:r>
          <w:rPr>
            <w:noProof/>
            <w:webHidden/>
          </w:rPr>
        </w:r>
        <w:r>
          <w:rPr>
            <w:noProof/>
            <w:webHidden/>
          </w:rPr>
          <w:fldChar w:fldCharType="separate"/>
        </w:r>
        <w:r w:rsidR="00C83381">
          <w:rPr>
            <w:noProof/>
            <w:webHidden/>
          </w:rPr>
          <w:t>11</w:t>
        </w:r>
        <w:r>
          <w:rPr>
            <w:noProof/>
            <w:webHidden/>
          </w:rPr>
          <w:fldChar w:fldCharType="end"/>
        </w:r>
      </w:hyperlink>
    </w:p>
    <w:p w14:paraId="2FD81319" w14:textId="74AEE794" w:rsidR="002F2511" w:rsidRDefault="002F2511">
      <w:pPr>
        <w:pStyle w:val="TOC2"/>
        <w:rPr>
          <w:rFonts w:ascii="Aptos" w:hAnsi="Aptos"/>
          <w:noProof/>
          <w:kern w:val="2"/>
          <w:sz w:val="24"/>
        </w:rPr>
      </w:pPr>
      <w:hyperlink w:anchor="_Toc209771764" w:history="1">
        <w:r w:rsidRPr="00FF481E">
          <w:rPr>
            <w:rStyle w:val="Hyperlink"/>
            <w:noProof/>
          </w:rPr>
          <w:t>PART III.</w:t>
        </w:r>
        <w:r>
          <w:rPr>
            <w:rFonts w:ascii="Aptos" w:hAnsi="Aptos"/>
            <w:noProof/>
            <w:kern w:val="2"/>
            <w:sz w:val="24"/>
          </w:rPr>
          <w:tab/>
        </w:r>
        <w:r w:rsidRPr="00FF481E">
          <w:rPr>
            <w:rStyle w:val="Hyperlink"/>
            <w:noProof/>
          </w:rPr>
          <w:t>The Collection of Confidential Information</w:t>
        </w:r>
        <w:r>
          <w:rPr>
            <w:noProof/>
            <w:webHidden/>
          </w:rPr>
          <w:tab/>
        </w:r>
        <w:r>
          <w:rPr>
            <w:noProof/>
            <w:webHidden/>
          </w:rPr>
          <w:fldChar w:fldCharType="begin"/>
        </w:r>
        <w:r>
          <w:rPr>
            <w:noProof/>
            <w:webHidden/>
          </w:rPr>
          <w:instrText xml:space="preserve"> PAGEREF _Toc209771764 \h </w:instrText>
        </w:r>
        <w:r>
          <w:rPr>
            <w:noProof/>
            <w:webHidden/>
          </w:rPr>
        </w:r>
        <w:r>
          <w:rPr>
            <w:noProof/>
            <w:webHidden/>
          </w:rPr>
          <w:fldChar w:fldCharType="separate"/>
        </w:r>
        <w:r w:rsidR="00C83381">
          <w:rPr>
            <w:noProof/>
            <w:webHidden/>
          </w:rPr>
          <w:t>15</w:t>
        </w:r>
        <w:r>
          <w:rPr>
            <w:noProof/>
            <w:webHidden/>
          </w:rPr>
          <w:fldChar w:fldCharType="end"/>
        </w:r>
      </w:hyperlink>
    </w:p>
    <w:p w14:paraId="0F61750F" w14:textId="42DF7DF2" w:rsidR="002F2511" w:rsidRDefault="002F2511">
      <w:pPr>
        <w:pStyle w:val="TOC2"/>
        <w:rPr>
          <w:rFonts w:ascii="Aptos" w:hAnsi="Aptos"/>
          <w:noProof/>
          <w:kern w:val="2"/>
          <w:sz w:val="24"/>
        </w:rPr>
      </w:pPr>
      <w:hyperlink w:anchor="_Toc209771765" w:history="1">
        <w:r w:rsidRPr="00FF481E">
          <w:rPr>
            <w:rStyle w:val="Hyperlink"/>
            <w:noProof/>
          </w:rPr>
          <w:t>PART IV.</w:t>
        </w:r>
        <w:r>
          <w:rPr>
            <w:rFonts w:ascii="Aptos" w:hAnsi="Aptos"/>
            <w:noProof/>
            <w:kern w:val="2"/>
            <w:sz w:val="24"/>
          </w:rPr>
          <w:tab/>
        </w:r>
        <w:r w:rsidRPr="00FF481E">
          <w:rPr>
            <w:rStyle w:val="Hyperlink"/>
            <w:noProof/>
          </w:rPr>
          <w:t>The Use of Confidential Information</w:t>
        </w:r>
        <w:r>
          <w:rPr>
            <w:noProof/>
            <w:webHidden/>
          </w:rPr>
          <w:tab/>
        </w:r>
        <w:r>
          <w:rPr>
            <w:noProof/>
            <w:webHidden/>
          </w:rPr>
          <w:fldChar w:fldCharType="begin"/>
        </w:r>
        <w:r>
          <w:rPr>
            <w:noProof/>
            <w:webHidden/>
          </w:rPr>
          <w:instrText xml:space="preserve"> PAGEREF _Toc209771765 \h </w:instrText>
        </w:r>
        <w:r>
          <w:rPr>
            <w:noProof/>
            <w:webHidden/>
          </w:rPr>
        </w:r>
        <w:r>
          <w:rPr>
            <w:noProof/>
            <w:webHidden/>
          </w:rPr>
          <w:fldChar w:fldCharType="separate"/>
        </w:r>
        <w:r w:rsidR="00C83381">
          <w:rPr>
            <w:noProof/>
            <w:webHidden/>
          </w:rPr>
          <w:t>16</w:t>
        </w:r>
        <w:r>
          <w:rPr>
            <w:noProof/>
            <w:webHidden/>
          </w:rPr>
          <w:fldChar w:fldCharType="end"/>
        </w:r>
      </w:hyperlink>
    </w:p>
    <w:p w14:paraId="28D48529" w14:textId="0B985A33" w:rsidR="002F2511" w:rsidRDefault="002F2511">
      <w:pPr>
        <w:pStyle w:val="TOC2"/>
        <w:rPr>
          <w:rFonts w:ascii="Aptos" w:hAnsi="Aptos"/>
          <w:noProof/>
          <w:kern w:val="2"/>
          <w:sz w:val="24"/>
        </w:rPr>
      </w:pPr>
      <w:hyperlink w:anchor="_Toc209771766" w:history="1">
        <w:r w:rsidRPr="00FF481E">
          <w:rPr>
            <w:rStyle w:val="Hyperlink"/>
            <w:noProof/>
          </w:rPr>
          <w:t>PART V.</w:t>
        </w:r>
        <w:r>
          <w:rPr>
            <w:rFonts w:ascii="Aptos" w:hAnsi="Aptos"/>
            <w:noProof/>
            <w:kern w:val="2"/>
            <w:sz w:val="24"/>
          </w:rPr>
          <w:tab/>
        </w:r>
        <w:r w:rsidRPr="00FF481E">
          <w:rPr>
            <w:rStyle w:val="Hyperlink"/>
            <w:noProof/>
          </w:rPr>
          <w:t>The Disclosure of Confidential Information</w:t>
        </w:r>
        <w:r>
          <w:rPr>
            <w:noProof/>
            <w:webHidden/>
          </w:rPr>
          <w:tab/>
        </w:r>
        <w:r>
          <w:rPr>
            <w:noProof/>
            <w:webHidden/>
          </w:rPr>
          <w:fldChar w:fldCharType="begin"/>
        </w:r>
        <w:r>
          <w:rPr>
            <w:noProof/>
            <w:webHidden/>
          </w:rPr>
          <w:instrText xml:space="preserve"> PAGEREF _Toc209771766 \h </w:instrText>
        </w:r>
        <w:r>
          <w:rPr>
            <w:noProof/>
            <w:webHidden/>
          </w:rPr>
        </w:r>
        <w:r>
          <w:rPr>
            <w:noProof/>
            <w:webHidden/>
          </w:rPr>
          <w:fldChar w:fldCharType="separate"/>
        </w:r>
        <w:r w:rsidR="00C83381">
          <w:rPr>
            <w:noProof/>
            <w:webHidden/>
          </w:rPr>
          <w:t>17</w:t>
        </w:r>
        <w:r>
          <w:rPr>
            <w:noProof/>
            <w:webHidden/>
          </w:rPr>
          <w:fldChar w:fldCharType="end"/>
        </w:r>
      </w:hyperlink>
    </w:p>
    <w:p w14:paraId="7C053F05" w14:textId="33BF40F2" w:rsidR="002F2511" w:rsidRDefault="002F2511">
      <w:pPr>
        <w:pStyle w:val="TOC1"/>
        <w:rPr>
          <w:rFonts w:ascii="Aptos" w:hAnsi="Aptos" w:cs="Times New Roman"/>
          <w:b w:val="0"/>
          <w:bCs w:val="0"/>
          <w:noProof/>
          <w:color w:val="auto"/>
          <w:kern w:val="2"/>
          <w:sz w:val="24"/>
          <w:szCs w:val="24"/>
        </w:rPr>
      </w:pPr>
      <w:hyperlink w:anchor="_Toc209771767" w:history="1">
        <w:r w:rsidRPr="00FF481E">
          <w:rPr>
            <w:rStyle w:val="Hyperlink"/>
            <w:noProof/>
          </w:rPr>
          <w:t xml:space="preserve">Procedure 4 </w:t>
        </w:r>
        <w:r>
          <w:rPr>
            <w:rFonts w:ascii="Aptos" w:hAnsi="Aptos" w:cs="Times New Roman"/>
            <w:b w:val="0"/>
            <w:bCs w:val="0"/>
            <w:noProof/>
            <w:color w:val="auto"/>
            <w:kern w:val="2"/>
            <w:sz w:val="24"/>
            <w:szCs w:val="24"/>
          </w:rPr>
          <w:tab/>
        </w:r>
        <w:r w:rsidRPr="00FF481E">
          <w:rPr>
            <w:rStyle w:val="Hyperlink"/>
            <w:noProof/>
          </w:rPr>
          <w:t>Responding to Requests for Confidential Information</w:t>
        </w:r>
        <w:r>
          <w:rPr>
            <w:noProof/>
            <w:webHidden/>
          </w:rPr>
          <w:tab/>
        </w:r>
        <w:r>
          <w:rPr>
            <w:noProof/>
            <w:webHidden/>
          </w:rPr>
          <w:fldChar w:fldCharType="begin"/>
        </w:r>
        <w:r>
          <w:rPr>
            <w:noProof/>
            <w:webHidden/>
          </w:rPr>
          <w:instrText xml:space="preserve"> PAGEREF _Toc209771767 \h </w:instrText>
        </w:r>
        <w:r>
          <w:rPr>
            <w:noProof/>
            <w:webHidden/>
          </w:rPr>
        </w:r>
        <w:r>
          <w:rPr>
            <w:noProof/>
            <w:webHidden/>
          </w:rPr>
          <w:fldChar w:fldCharType="separate"/>
        </w:r>
        <w:r w:rsidR="00C83381">
          <w:rPr>
            <w:noProof/>
            <w:webHidden/>
          </w:rPr>
          <w:t>23</w:t>
        </w:r>
        <w:r>
          <w:rPr>
            <w:noProof/>
            <w:webHidden/>
          </w:rPr>
          <w:fldChar w:fldCharType="end"/>
        </w:r>
      </w:hyperlink>
    </w:p>
    <w:p w14:paraId="704FADCE" w14:textId="5A92FCF4" w:rsidR="002F2511" w:rsidRDefault="002F2511">
      <w:pPr>
        <w:pStyle w:val="TOC2"/>
        <w:rPr>
          <w:rFonts w:ascii="Aptos" w:hAnsi="Aptos"/>
          <w:noProof/>
          <w:kern w:val="2"/>
          <w:sz w:val="24"/>
        </w:rPr>
      </w:pPr>
      <w:hyperlink w:anchor="_Toc209771768" w:history="1">
        <w:r w:rsidRPr="00FF481E">
          <w:rPr>
            <w:rStyle w:val="Hyperlink"/>
            <w:noProof/>
          </w:rPr>
          <w:t>PART I.</w:t>
        </w:r>
        <w:r>
          <w:rPr>
            <w:rFonts w:ascii="Aptos" w:hAnsi="Aptos"/>
            <w:noProof/>
            <w:kern w:val="2"/>
            <w:sz w:val="24"/>
          </w:rPr>
          <w:tab/>
        </w:r>
        <w:r w:rsidRPr="00FF481E">
          <w:rPr>
            <w:rStyle w:val="Hyperlink"/>
            <w:noProof/>
          </w:rPr>
          <w:t>Purpose and Scope</w:t>
        </w:r>
        <w:r>
          <w:rPr>
            <w:noProof/>
            <w:webHidden/>
          </w:rPr>
          <w:tab/>
        </w:r>
        <w:r>
          <w:rPr>
            <w:noProof/>
            <w:webHidden/>
          </w:rPr>
          <w:fldChar w:fldCharType="begin"/>
        </w:r>
        <w:r>
          <w:rPr>
            <w:noProof/>
            <w:webHidden/>
          </w:rPr>
          <w:instrText xml:space="preserve"> PAGEREF _Toc209771768 \h </w:instrText>
        </w:r>
        <w:r>
          <w:rPr>
            <w:noProof/>
            <w:webHidden/>
          </w:rPr>
        </w:r>
        <w:r>
          <w:rPr>
            <w:noProof/>
            <w:webHidden/>
          </w:rPr>
          <w:fldChar w:fldCharType="separate"/>
        </w:r>
        <w:r w:rsidR="00C83381">
          <w:rPr>
            <w:noProof/>
            <w:webHidden/>
          </w:rPr>
          <w:t>23</w:t>
        </w:r>
        <w:r>
          <w:rPr>
            <w:noProof/>
            <w:webHidden/>
          </w:rPr>
          <w:fldChar w:fldCharType="end"/>
        </w:r>
      </w:hyperlink>
    </w:p>
    <w:p w14:paraId="3BCBB5F1" w14:textId="7BFFA7C7" w:rsidR="002F2511" w:rsidRDefault="002F2511">
      <w:pPr>
        <w:pStyle w:val="TOC2"/>
        <w:rPr>
          <w:rFonts w:ascii="Aptos" w:hAnsi="Aptos"/>
          <w:noProof/>
          <w:kern w:val="2"/>
          <w:sz w:val="24"/>
        </w:rPr>
      </w:pPr>
      <w:hyperlink w:anchor="_Toc209771769" w:history="1">
        <w:r w:rsidRPr="00FF481E">
          <w:rPr>
            <w:rStyle w:val="Hyperlink"/>
            <w:noProof/>
          </w:rPr>
          <w:t>PART II.</w:t>
        </w:r>
        <w:r>
          <w:rPr>
            <w:rFonts w:ascii="Aptos" w:hAnsi="Aptos"/>
            <w:noProof/>
            <w:kern w:val="2"/>
            <w:sz w:val="24"/>
          </w:rPr>
          <w:tab/>
        </w:r>
        <w:r w:rsidRPr="00FF481E">
          <w:rPr>
            <w:rStyle w:val="Hyperlink"/>
            <w:noProof/>
          </w:rPr>
          <w:t>General Requirements</w:t>
        </w:r>
        <w:r>
          <w:rPr>
            <w:noProof/>
            <w:webHidden/>
          </w:rPr>
          <w:tab/>
        </w:r>
        <w:r>
          <w:rPr>
            <w:noProof/>
            <w:webHidden/>
          </w:rPr>
          <w:fldChar w:fldCharType="begin"/>
        </w:r>
        <w:r>
          <w:rPr>
            <w:noProof/>
            <w:webHidden/>
          </w:rPr>
          <w:instrText xml:space="preserve"> PAGEREF _Toc209771769 \h </w:instrText>
        </w:r>
        <w:r>
          <w:rPr>
            <w:noProof/>
            <w:webHidden/>
          </w:rPr>
        </w:r>
        <w:r>
          <w:rPr>
            <w:noProof/>
            <w:webHidden/>
          </w:rPr>
          <w:fldChar w:fldCharType="separate"/>
        </w:r>
        <w:r w:rsidR="00C83381">
          <w:rPr>
            <w:noProof/>
            <w:webHidden/>
          </w:rPr>
          <w:t>23</w:t>
        </w:r>
        <w:r>
          <w:rPr>
            <w:noProof/>
            <w:webHidden/>
          </w:rPr>
          <w:fldChar w:fldCharType="end"/>
        </w:r>
      </w:hyperlink>
    </w:p>
    <w:p w14:paraId="110FAD01" w14:textId="05E559A6" w:rsidR="002F2511" w:rsidRDefault="002F2511">
      <w:pPr>
        <w:pStyle w:val="TOC2"/>
        <w:rPr>
          <w:rFonts w:ascii="Aptos" w:hAnsi="Aptos"/>
          <w:noProof/>
          <w:kern w:val="2"/>
          <w:sz w:val="24"/>
        </w:rPr>
      </w:pPr>
      <w:hyperlink w:anchor="_Toc209771770" w:history="1">
        <w:r w:rsidRPr="00FF481E">
          <w:rPr>
            <w:rStyle w:val="Hyperlink"/>
            <w:noProof/>
          </w:rPr>
          <w:t>PART III.</w:t>
        </w:r>
        <w:r>
          <w:rPr>
            <w:rFonts w:ascii="Aptos" w:hAnsi="Aptos"/>
            <w:noProof/>
            <w:kern w:val="2"/>
            <w:sz w:val="24"/>
          </w:rPr>
          <w:tab/>
        </w:r>
        <w:r w:rsidRPr="00FF481E">
          <w:rPr>
            <w:rStyle w:val="Hyperlink"/>
            <w:noProof/>
          </w:rPr>
          <w:t>Verification of the Requestor’s Identity</w:t>
        </w:r>
        <w:r>
          <w:rPr>
            <w:noProof/>
            <w:webHidden/>
          </w:rPr>
          <w:tab/>
        </w:r>
        <w:r>
          <w:rPr>
            <w:noProof/>
            <w:webHidden/>
          </w:rPr>
          <w:fldChar w:fldCharType="begin"/>
        </w:r>
        <w:r>
          <w:rPr>
            <w:noProof/>
            <w:webHidden/>
          </w:rPr>
          <w:instrText xml:space="preserve"> PAGEREF _Toc209771770 \h </w:instrText>
        </w:r>
        <w:r>
          <w:rPr>
            <w:noProof/>
            <w:webHidden/>
          </w:rPr>
        </w:r>
        <w:r>
          <w:rPr>
            <w:noProof/>
            <w:webHidden/>
          </w:rPr>
          <w:fldChar w:fldCharType="separate"/>
        </w:r>
        <w:r w:rsidR="00C83381">
          <w:rPr>
            <w:noProof/>
            <w:webHidden/>
          </w:rPr>
          <w:t>24</w:t>
        </w:r>
        <w:r>
          <w:rPr>
            <w:noProof/>
            <w:webHidden/>
          </w:rPr>
          <w:fldChar w:fldCharType="end"/>
        </w:r>
      </w:hyperlink>
    </w:p>
    <w:p w14:paraId="216CB9A9" w14:textId="66DB2D48" w:rsidR="002F2511" w:rsidRDefault="002F2511">
      <w:pPr>
        <w:pStyle w:val="TOC2"/>
        <w:rPr>
          <w:rFonts w:ascii="Aptos" w:hAnsi="Aptos"/>
          <w:noProof/>
          <w:kern w:val="2"/>
          <w:sz w:val="24"/>
        </w:rPr>
      </w:pPr>
      <w:hyperlink w:anchor="_Toc209771771" w:history="1">
        <w:r w:rsidRPr="00FF481E">
          <w:rPr>
            <w:rStyle w:val="Hyperlink"/>
            <w:noProof/>
          </w:rPr>
          <w:t>PART IV.</w:t>
        </w:r>
        <w:r>
          <w:rPr>
            <w:rFonts w:ascii="Aptos" w:hAnsi="Aptos"/>
            <w:noProof/>
            <w:kern w:val="2"/>
            <w:sz w:val="24"/>
          </w:rPr>
          <w:tab/>
        </w:r>
        <w:r w:rsidRPr="00FF481E">
          <w:rPr>
            <w:rStyle w:val="Hyperlink"/>
            <w:noProof/>
            <w:snapToGrid w:val="0"/>
          </w:rPr>
          <w:t>Verification of the Requestor’s Authority</w:t>
        </w:r>
        <w:r>
          <w:rPr>
            <w:noProof/>
            <w:webHidden/>
          </w:rPr>
          <w:tab/>
        </w:r>
        <w:r>
          <w:rPr>
            <w:noProof/>
            <w:webHidden/>
          </w:rPr>
          <w:fldChar w:fldCharType="begin"/>
        </w:r>
        <w:r>
          <w:rPr>
            <w:noProof/>
            <w:webHidden/>
          </w:rPr>
          <w:instrText xml:space="preserve"> PAGEREF _Toc209771771 \h </w:instrText>
        </w:r>
        <w:r>
          <w:rPr>
            <w:noProof/>
            <w:webHidden/>
          </w:rPr>
        </w:r>
        <w:r>
          <w:rPr>
            <w:noProof/>
            <w:webHidden/>
          </w:rPr>
          <w:fldChar w:fldCharType="separate"/>
        </w:r>
        <w:r w:rsidR="00C83381">
          <w:rPr>
            <w:noProof/>
            <w:webHidden/>
          </w:rPr>
          <w:t>25</w:t>
        </w:r>
        <w:r>
          <w:rPr>
            <w:noProof/>
            <w:webHidden/>
          </w:rPr>
          <w:fldChar w:fldCharType="end"/>
        </w:r>
      </w:hyperlink>
    </w:p>
    <w:p w14:paraId="631B4802" w14:textId="1EE23F6B" w:rsidR="002F2511" w:rsidRDefault="002F2511">
      <w:pPr>
        <w:pStyle w:val="TOC2"/>
        <w:rPr>
          <w:rFonts w:ascii="Aptos" w:hAnsi="Aptos"/>
          <w:noProof/>
          <w:kern w:val="2"/>
          <w:sz w:val="24"/>
        </w:rPr>
      </w:pPr>
      <w:hyperlink w:anchor="_Toc209771772" w:history="1">
        <w:r w:rsidRPr="00FF481E">
          <w:rPr>
            <w:rStyle w:val="Hyperlink"/>
            <w:noProof/>
          </w:rPr>
          <w:t>PART V.</w:t>
        </w:r>
        <w:r>
          <w:rPr>
            <w:rFonts w:ascii="Aptos" w:hAnsi="Aptos"/>
            <w:noProof/>
            <w:kern w:val="2"/>
            <w:sz w:val="24"/>
          </w:rPr>
          <w:tab/>
        </w:r>
        <w:r w:rsidRPr="00FF481E">
          <w:rPr>
            <w:rStyle w:val="Hyperlink"/>
            <w:noProof/>
          </w:rPr>
          <w:t>Authorization Requirements</w:t>
        </w:r>
        <w:r>
          <w:rPr>
            <w:noProof/>
            <w:webHidden/>
          </w:rPr>
          <w:tab/>
        </w:r>
        <w:r>
          <w:rPr>
            <w:noProof/>
            <w:webHidden/>
          </w:rPr>
          <w:fldChar w:fldCharType="begin"/>
        </w:r>
        <w:r>
          <w:rPr>
            <w:noProof/>
            <w:webHidden/>
          </w:rPr>
          <w:instrText xml:space="preserve"> PAGEREF _Toc209771772 \h </w:instrText>
        </w:r>
        <w:r>
          <w:rPr>
            <w:noProof/>
            <w:webHidden/>
          </w:rPr>
        </w:r>
        <w:r>
          <w:rPr>
            <w:noProof/>
            <w:webHidden/>
          </w:rPr>
          <w:fldChar w:fldCharType="separate"/>
        </w:r>
        <w:r w:rsidR="00C83381">
          <w:rPr>
            <w:noProof/>
            <w:webHidden/>
          </w:rPr>
          <w:t>29</w:t>
        </w:r>
        <w:r>
          <w:rPr>
            <w:noProof/>
            <w:webHidden/>
          </w:rPr>
          <w:fldChar w:fldCharType="end"/>
        </w:r>
      </w:hyperlink>
    </w:p>
    <w:p w14:paraId="28A656BC" w14:textId="01E69305" w:rsidR="002F2511" w:rsidRDefault="002F2511">
      <w:pPr>
        <w:pStyle w:val="TOC2"/>
        <w:rPr>
          <w:rFonts w:ascii="Aptos" w:hAnsi="Aptos"/>
          <w:noProof/>
          <w:kern w:val="2"/>
          <w:sz w:val="24"/>
        </w:rPr>
      </w:pPr>
      <w:hyperlink w:anchor="_Toc209771773" w:history="1">
        <w:r w:rsidRPr="00FF481E">
          <w:rPr>
            <w:rStyle w:val="Hyperlink"/>
            <w:noProof/>
          </w:rPr>
          <w:t>PART VI.</w:t>
        </w:r>
        <w:r>
          <w:rPr>
            <w:rFonts w:ascii="Aptos" w:hAnsi="Aptos"/>
            <w:noProof/>
            <w:kern w:val="2"/>
            <w:sz w:val="24"/>
          </w:rPr>
          <w:tab/>
        </w:r>
        <w:r w:rsidRPr="00FF481E">
          <w:rPr>
            <w:rStyle w:val="Hyperlink"/>
            <w:noProof/>
          </w:rPr>
          <w:t>Verification of the Confidential Information Provided</w:t>
        </w:r>
        <w:r>
          <w:rPr>
            <w:noProof/>
            <w:webHidden/>
          </w:rPr>
          <w:tab/>
        </w:r>
        <w:r>
          <w:rPr>
            <w:noProof/>
            <w:webHidden/>
          </w:rPr>
          <w:fldChar w:fldCharType="begin"/>
        </w:r>
        <w:r>
          <w:rPr>
            <w:noProof/>
            <w:webHidden/>
          </w:rPr>
          <w:instrText xml:space="preserve"> PAGEREF _Toc209771773 \h </w:instrText>
        </w:r>
        <w:r>
          <w:rPr>
            <w:noProof/>
            <w:webHidden/>
          </w:rPr>
        </w:r>
        <w:r>
          <w:rPr>
            <w:noProof/>
            <w:webHidden/>
          </w:rPr>
          <w:fldChar w:fldCharType="separate"/>
        </w:r>
        <w:r w:rsidR="00C83381">
          <w:rPr>
            <w:noProof/>
            <w:webHidden/>
          </w:rPr>
          <w:t>31</w:t>
        </w:r>
        <w:r>
          <w:rPr>
            <w:noProof/>
            <w:webHidden/>
          </w:rPr>
          <w:fldChar w:fldCharType="end"/>
        </w:r>
      </w:hyperlink>
    </w:p>
    <w:p w14:paraId="105A3441" w14:textId="509243F8" w:rsidR="002F2511" w:rsidRDefault="002F2511">
      <w:pPr>
        <w:pStyle w:val="TOC1"/>
        <w:rPr>
          <w:rFonts w:ascii="Aptos" w:hAnsi="Aptos" w:cs="Times New Roman"/>
          <w:b w:val="0"/>
          <w:bCs w:val="0"/>
          <w:noProof/>
          <w:color w:val="auto"/>
          <w:kern w:val="2"/>
          <w:sz w:val="24"/>
          <w:szCs w:val="24"/>
        </w:rPr>
      </w:pPr>
      <w:hyperlink w:anchor="_Toc209771774" w:history="1">
        <w:r w:rsidRPr="00FF481E">
          <w:rPr>
            <w:rStyle w:val="Hyperlink"/>
            <w:noProof/>
          </w:rPr>
          <w:t>Procedure 5</w:t>
        </w:r>
        <w:r>
          <w:rPr>
            <w:rFonts w:ascii="Aptos" w:hAnsi="Aptos" w:cs="Times New Roman"/>
            <w:b w:val="0"/>
            <w:bCs w:val="0"/>
            <w:noProof/>
            <w:color w:val="auto"/>
            <w:kern w:val="2"/>
            <w:sz w:val="24"/>
            <w:szCs w:val="24"/>
          </w:rPr>
          <w:tab/>
        </w:r>
        <w:r w:rsidRPr="00FF481E">
          <w:rPr>
            <w:rStyle w:val="Hyperlink"/>
            <w:noProof/>
          </w:rPr>
          <w:t>Subpoenas or Court Orders</w:t>
        </w:r>
        <w:r>
          <w:rPr>
            <w:noProof/>
            <w:webHidden/>
          </w:rPr>
          <w:tab/>
        </w:r>
        <w:r>
          <w:rPr>
            <w:noProof/>
            <w:webHidden/>
          </w:rPr>
          <w:fldChar w:fldCharType="begin"/>
        </w:r>
        <w:r>
          <w:rPr>
            <w:noProof/>
            <w:webHidden/>
          </w:rPr>
          <w:instrText xml:space="preserve"> PAGEREF _Toc209771774 \h </w:instrText>
        </w:r>
        <w:r>
          <w:rPr>
            <w:noProof/>
            <w:webHidden/>
          </w:rPr>
        </w:r>
        <w:r>
          <w:rPr>
            <w:noProof/>
            <w:webHidden/>
          </w:rPr>
          <w:fldChar w:fldCharType="separate"/>
        </w:r>
        <w:r w:rsidR="00C83381">
          <w:rPr>
            <w:noProof/>
            <w:webHidden/>
          </w:rPr>
          <w:t>33</w:t>
        </w:r>
        <w:r>
          <w:rPr>
            <w:noProof/>
            <w:webHidden/>
          </w:rPr>
          <w:fldChar w:fldCharType="end"/>
        </w:r>
      </w:hyperlink>
    </w:p>
    <w:p w14:paraId="6F935FCD" w14:textId="22604C67" w:rsidR="002F2511" w:rsidRDefault="002F2511">
      <w:pPr>
        <w:pStyle w:val="TOC2"/>
        <w:rPr>
          <w:rFonts w:ascii="Aptos" w:hAnsi="Aptos"/>
          <w:noProof/>
          <w:kern w:val="2"/>
          <w:sz w:val="24"/>
        </w:rPr>
      </w:pPr>
      <w:hyperlink w:anchor="_Toc209771775" w:history="1">
        <w:r w:rsidRPr="00FF481E">
          <w:rPr>
            <w:rStyle w:val="Hyperlink"/>
            <w:noProof/>
          </w:rPr>
          <w:t>PART I.</w:t>
        </w:r>
        <w:r>
          <w:rPr>
            <w:rFonts w:ascii="Aptos" w:hAnsi="Aptos"/>
            <w:noProof/>
            <w:kern w:val="2"/>
            <w:sz w:val="24"/>
          </w:rPr>
          <w:tab/>
        </w:r>
        <w:r w:rsidRPr="00FF481E">
          <w:rPr>
            <w:rStyle w:val="Hyperlink"/>
            <w:noProof/>
          </w:rPr>
          <w:t>Purpose and Scope</w:t>
        </w:r>
        <w:r>
          <w:rPr>
            <w:noProof/>
            <w:webHidden/>
          </w:rPr>
          <w:tab/>
        </w:r>
        <w:r>
          <w:rPr>
            <w:noProof/>
            <w:webHidden/>
          </w:rPr>
          <w:fldChar w:fldCharType="begin"/>
        </w:r>
        <w:r>
          <w:rPr>
            <w:noProof/>
            <w:webHidden/>
          </w:rPr>
          <w:instrText xml:space="preserve"> PAGEREF _Toc209771775 \h </w:instrText>
        </w:r>
        <w:r>
          <w:rPr>
            <w:noProof/>
            <w:webHidden/>
          </w:rPr>
        </w:r>
        <w:r>
          <w:rPr>
            <w:noProof/>
            <w:webHidden/>
          </w:rPr>
          <w:fldChar w:fldCharType="separate"/>
        </w:r>
        <w:r w:rsidR="00C83381">
          <w:rPr>
            <w:noProof/>
            <w:webHidden/>
          </w:rPr>
          <w:t>33</w:t>
        </w:r>
        <w:r>
          <w:rPr>
            <w:noProof/>
            <w:webHidden/>
          </w:rPr>
          <w:fldChar w:fldCharType="end"/>
        </w:r>
      </w:hyperlink>
    </w:p>
    <w:p w14:paraId="03CF328A" w14:textId="6DE8894E" w:rsidR="002F2511" w:rsidRDefault="002F2511">
      <w:pPr>
        <w:pStyle w:val="TOC2"/>
        <w:rPr>
          <w:rFonts w:ascii="Aptos" w:hAnsi="Aptos"/>
          <w:noProof/>
          <w:kern w:val="2"/>
          <w:sz w:val="24"/>
        </w:rPr>
      </w:pPr>
      <w:hyperlink w:anchor="_Toc209771776" w:history="1">
        <w:r w:rsidRPr="00FF481E">
          <w:rPr>
            <w:rStyle w:val="Hyperlink"/>
            <w:noProof/>
          </w:rPr>
          <w:t>PART II.</w:t>
        </w:r>
        <w:r>
          <w:rPr>
            <w:rFonts w:ascii="Aptos" w:hAnsi="Aptos"/>
            <w:noProof/>
            <w:kern w:val="2"/>
            <w:sz w:val="24"/>
          </w:rPr>
          <w:tab/>
        </w:r>
        <w:r w:rsidRPr="00FF481E">
          <w:rPr>
            <w:rStyle w:val="Hyperlink"/>
            <w:noProof/>
          </w:rPr>
          <w:t>Procedure for Responding to Subpoenas and Court Orders</w:t>
        </w:r>
        <w:r>
          <w:rPr>
            <w:noProof/>
            <w:webHidden/>
          </w:rPr>
          <w:tab/>
        </w:r>
        <w:r>
          <w:rPr>
            <w:noProof/>
            <w:webHidden/>
          </w:rPr>
          <w:fldChar w:fldCharType="begin"/>
        </w:r>
        <w:r>
          <w:rPr>
            <w:noProof/>
            <w:webHidden/>
          </w:rPr>
          <w:instrText xml:space="preserve"> PAGEREF _Toc209771776 \h </w:instrText>
        </w:r>
        <w:r>
          <w:rPr>
            <w:noProof/>
            <w:webHidden/>
          </w:rPr>
        </w:r>
        <w:r>
          <w:rPr>
            <w:noProof/>
            <w:webHidden/>
          </w:rPr>
          <w:fldChar w:fldCharType="separate"/>
        </w:r>
        <w:r w:rsidR="00C83381">
          <w:rPr>
            <w:noProof/>
            <w:webHidden/>
          </w:rPr>
          <w:t>33</w:t>
        </w:r>
        <w:r>
          <w:rPr>
            <w:noProof/>
            <w:webHidden/>
          </w:rPr>
          <w:fldChar w:fldCharType="end"/>
        </w:r>
      </w:hyperlink>
    </w:p>
    <w:p w14:paraId="3ED27D5F" w14:textId="4BAA4F9F" w:rsidR="002F2511" w:rsidRDefault="002F2511">
      <w:pPr>
        <w:pStyle w:val="TOC2"/>
        <w:rPr>
          <w:rFonts w:ascii="Aptos" w:hAnsi="Aptos"/>
          <w:noProof/>
          <w:kern w:val="2"/>
          <w:sz w:val="24"/>
        </w:rPr>
      </w:pPr>
      <w:hyperlink w:anchor="_Toc209771777" w:history="1">
        <w:r w:rsidRPr="00FF481E">
          <w:rPr>
            <w:rStyle w:val="Hyperlink"/>
            <w:noProof/>
          </w:rPr>
          <w:t>PART III.</w:t>
        </w:r>
        <w:r>
          <w:rPr>
            <w:rFonts w:ascii="Aptos" w:hAnsi="Aptos"/>
            <w:noProof/>
            <w:kern w:val="2"/>
            <w:sz w:val="24"/>
          </w:rPr>
          <w:tab/>
        </w:r>
        <w:r w:rsidRPr="00FF481E">
          <w:rPr>
            <w:rStyle w:val="Hyperlink"/>
            <w:noProof/>
          </w:rPr>
          <w:t>Establishing Protocols</w:t>
        </w:r>
        <w:r>
          <w:rPr>
            <w:noProof/>
            <w:webHidden/>
          </w:rPr>
          <w:tab/>
        </w:r>
        <w:r>
          <w:rPr>
            <w:noProof/>
            <w:webHidden/>
          </w:rPr>
          <w:fldChar w:fldCharType="begin"/>
        </w:r>
        <w:r>
          <w:rPr>
            <w:noProof/>
            <w:webHidden/>
          </w:rPr>
          <w:instrText xml:space="preserve"> PAGEREF _Toc209771777 \h </w:instrText>
        </w:r>
        <w:r>
          <w:rPr>
            <w:noProof/>
            <w:webHidden/>
          </w:rPr>
        </w:r>
        <w:r>
          <w:rPr>
            <w:noProof/>
            <w:webHidden/>
          </w:rPr>
          <w:fldChar w:fldCharType="separate"/>
        </w:r>
        <w:r w:rsidR="00C83381">
          <w:rPr>
            <w:noProof/>
            <w:webHidden/>
          </w:rPr>
          <w:t>35</w:t>
        </w:r>
        <w:r>
          <w:rPr>
            <w:noProof/>
            <w:webHidden/>
          </w:rPr>
          <w:fldChar w:fldCharType="end"/>
        </w:r>
      </w:hyperlink>
    </w:p>
    <w:p w14:paraId="2C2089EB" w14:textId="01940A13" w:rsidR="002F2511" w:rsidRDefault="002F2511">
      <w:pPr>
        <w:pStyle w:val="TOC2"/>
        <w:rPr>
          <w:rFonts w:ascii="Aptos" w:hAnsi="Aptos"/>
          <w:noProof/>
          <w:kern w:val="2"/>
          <w:sz w:val="24"/>
        </w:rPr>
      </w:pPr>
      <w:hyperlink w:anchor="_Toc209771778" w:history="1">
        <w:r w:rsidRPr="00FF481E">
          <w:rPr>
            <w:rStyle w:val="Hyperlink"/>
            <w:noProof/>
          </w:rPr>
          <w:t>PART IV.</w:t>
        </w:r>
        <w:r>
          <w:rPr>
            <w:rFonts w:ascii="Aptos" w:hAnsi="Aptos"/>
            <w:noProof/>
            <w:kern w:val="2"/>
            <w:sz w:val="24"/>
          </w:rPr>
          <w:tab/>
        </w:r>
        <w:r w:rsidRPr="00FF481E">
          <w:rPr>
            <w:rStyle w:val="Hyperlink"/>
            <w:noProof/>
          </w:rPr>
          <w:t>HIPAA:  Subpoena Requirements</w:t>
        </w:r>
        <w:r>
          <w:rPr>
            <w:noProof/>
            <w:webHidden/>
          </w:rPr>
          <w:tab/>
        </w:r>
        <w:r>
          <w:rPr>
            <w:noProof/>
            <w:webHidden/>
          </w:rPr>
          <w:fldChar w:fldCharType="begin"/>
        </w:r>
        <w:r>
          <w:rPr>
            <w:noProof/>
            <w:webHidden/>
          </w:rPr>
          <w:instrText xml:space="preserve"> PAGEREF _Toc209771778 \h </w:instrText>
        </w:r>
        <w:r>
          <w:rPr>
            <w:noProof/>
            <w:webHidden/>
          </w:rPr>
        </w:r>
        <w:r>
          <w:rPr>
            <w:noProof/>
            <w:webHidden/>
          </w:rPr>
          <w:fldChar w:fldCharType="separate"/>
        </w:r>
        <w:r w:rsidR="00C83381">
          <w:rPr>
            <w:noProof/>
            <w:webHidden/>
          </w:rPr>
          <w:t>35</w:t>
        </w:r>
        <w:r>
          <w:rPr>
            <w:noProof/>
            <w:webHidden/>
          </w:rPr>
          <w:fldChar w:fldCharType="end"/>
        </w:r>
      </w:hyperlink>
    </w:p>
    <w:p w14:paraId="7757BF21" w14:textId="3DC529CD" w:rsidR="002F2511" w:rsidRDefault="002F2511">
      <w:pPr>
        <w:pStyle w:val="TOC1"/>
        <w:rPr>
          <w:rFonts w:ascii="Aptos" w:hAnsi="Aptos" w:cs="Times New Roman"/>
          <w:b w:val="0"/>
          <w:bCs w:val="0"/>
          <w:noProof/>
          <w:color w:val="auto"/>
          <w:kern w:val="2"/>
          <w:sz w:val="24"/>
          <w:szCs w:val="24"/>
        </w:rPr>
      </w:pPr>
      <w:hyperlink w:anchor="_Toc209771779" w:history="1">
        <w:r w:rsidRPr="00FF481E">
          <w:rPr>
            <w:rStyle w:val="Hyperlink"/>
            <w:noProof/>
          </w:rPr>
          <w:t>Procedure 6</w:t>
        </w:r>
        <w:r>
          <w:rPr>
            <w:rFonts w:ascii="Aptos" w:hAnsi="Aptos" w:cs="Times New Roman"/>
            <w:b w:val="0"/>
            <w:bCs w:val="0"/>
            <w:noProof/>
            <w:color w:val="auto"/>
            <w:kern w:val="2"/>
            <w:sz w:val="24"/>
            <w:szCs w:val="24"/>
          </w:rPr>
          <w:tab/>
        </w:r>
        <w:r w:rsidRPr="00FF481E">
          <w:rPr>
            <w:rStyle w:val="Hyperlink"/>
            <w:noProof/>
          </w:rPr>
          <w:t>Research Requirements</w:t>
        </w:r>
        <w:r>
          <w:rPr>
            <w:noProof/>
            <w:webHidden/>
          </w:rPr>
          <w:tab/>
        </w:r>
        <w:r>
          <w:rPr>
            <w:noProof/>
            <w:webHidden/>
          </w:rPr>
          <w:fldChar w:fldCharType="begin"/>
        </w:r>
        <w:r>
          <w:rPr>
            <w:noProof/>
            <w:webHidden/>
          </w:rPr>
          <w:instrText xml:space="preserve"> PAGEREF _Toc209771779 \h </w:instrText>
        </w:r>
        <w:r>
          <w:rPr>
            <w:noProof/>
            <w:webHidden/>
          </w:rPr>
        </w:r>
        <w:r>
          <w:rPr>
            <w:noProof/>
            <w:webHidden/>
          </w:rPr>
          <w:fldChar w:fldCharType="separate"/>
        </w:r>
        <w:r w:rsidR="00C83381">
          <w:rPr>
            <w:noProof/>
            <w:webHidden/>
          </w:rPr>
          <w:t>39</w:t>
        </w:r>
        <w:r>
          <w:rPr>
            <w:noProof/>
            <w:webHidden/>
          </w:rPr>
          <w:fldChar w:fldCharType="end"/>
        </w:r>
      </w:hyperlink>
    </w:p>
    <w:p w14:paraId="7C4C4F1E" w14:textId="141A62C3" w:rsidR="002F2511" w:rsidRDefault="002F2511">
      <w:pPr>
        <w:pStyle w:val="TOC1"/>
        <w:rPr>
          <w:rFonts w:ascii="Aptos" w:hAnsi="Aptos" w:cs="Times New Roman"/>
          <w:b w:val="0"/>
          <w:bCs w:val="0"/>
          <w:noProof/>
          <w:color w:val="auto"/>
          <w:kern w:val="2"/>
          <w:sz w:val="24"/>
          <w:szCs w:val="24"/>
        </w:rPr>
      </w:pPr>
      <w:hyperlink w:anchor="_Toc209771780" w:history="1">
        <w:r w:rsidRPr="00FF481E">
          <w:rPr>
            <w:rStyle w:val="Hyperlink"/>
            <w:noProof/>
          </w:rPr>
          <w:t>Procedure 7</w:t>
        </w:r>
        <w:r>
          <w:rPr>
            <w:rFonts w:ascii="Aptos" w:hAnsi="Aptos" w:cs="Times New Roman"/>
            <w:b w:val="0"/>
            <w:bCs w:val="0"/>
            <w:noProof/>
            <w:color w:val="auto"/>
            <w:kern w:val="2"/>
            <w:sz w:val="24"/>
            <w:szCs w:val="24"/>
          </w:rPr>
          <w:tab/>
        </w:r>
        <w:r w:rsidRPr="00FF481E">
          <w:rPr>
            <w:rStyle w:val="Hyperlink"/>
            <w:noProof/>
          </w:rPr>
          <w:t>De-Identification, Limited Data Sets, and  Aggregate Data</w:t>
        </w:r>
        <w:r>
          <w:rPr>
            <w:noProof/>
            <w:webHidden/>
          </w:rPr>
          <w:tab/>
        </w:r>
        <w:r>
          <w:rPr>
            <w:noProof/>
            <w:webHidden/>
          </w:rPr>
          <w:fldChar w:fldCharType="begin"/>
        </w:r>
        <w:r>
          <w:rPr>
            <w:noProof/>
            <w:webHidden/>
          </w:rPr>
          <w:instrText xml:space="preserve"> PAGEREF _Toc209771780 \h </w:instrText>
        </w:r>
        <w:r>
          <w:rPr>
            <w:noProof/>
            <w:webHidden/>
          </w:rPr>
        </w:r>
        <w:r>
          <w:rPr>
            <w:noProof/>
            <w:webHidden/>
          </w:rPr>
          <w:fldChar w:fldCharType="separate"/>
        </w:r>
        <w:r w:rsidR="00C83381">
          <w:rPr>
            <w:noProof/>
            <w:webHidden/>
          </w:rPr>
          <w:t>41</w:t>
        </w:r>
        <w:r>
          <w:rPr>
            <w:noProof/>
            <w:webHidden/>
          </w:rPr>
          <w:fldChar w:fldCharType="end"/>
        </w:r>
      </w:hyperlink>
    </w:p>
    <w:p w14:paraId="1684351A" w14:textId="137262D8" w:rsidR="002F2511" w:rsidRDefault="002F2511">
      <w:pPr>
        <w:pStyle w:val="TOC2"/>
        <w:rPr>
          <w:rFonts w:ascii="Aptos" w:hAnsi="Aptos"/>
          <w:noProof/>
          <w:kern w:val="2"/>
          <w:sz w:val="24"/>
        </w:rPr>
      </w:pPr>
      <w:hyperlink w:anchor="_Toc209771781" w:history="1">
        <w:r w:rsidRPr="00FF481E">
          <w:rPr>
            <w:rStyle w:val="Hyperlink"/>
            <w:noProof/>
          </w:rPr>
          <w:t>PART I.</w:t>
        </w:r>
        <w:r>
          <w:rPr>
            <w:rFonts w:ascii="Aptos" w:hAnsi="Aptos"/>
            <w:noProof/>
            <w:kern w:val="2"/>
            <w:sz w:val="24"/>
          </w:rPr>
          <w:tab/>
        </w:r>
        <w:r w:rsidRPr="00FF481E">
          <w:rPr>
            <w:rStyle w:val="Hyperlink"/>
            <w:noProof/>
          </w:rPr>
          <w:t>Purpose and Scope</w:t>
        </w:r>
        <w:r>
          <w:rPr>
            <w:noProof/>
            <w:webHidden/>
          </w:rPr>
          <w:tab/>
        </w:r>
        <w:r>
          <w:rPr>
            <w:noProof/>
            <w:webHidden/>
          </w:rPr>
          <w:fldChar w:fldCharType="begin"/>
        </w:r>
        <w:r>
          <w:rPr>
            <w:noProof/>
            <w:webHidden/>
          </w:rPr>
          <w:instrText xml:space="preserve"> PAGEREF _Toc209771781 \h </w:instrText>
        </w:r>
        <w:r>
          <w:rPr>
            <w:noProof/>
            <w:webHidden/>
          </w:rPr>
        </w:r>
        <w:r>
          <w:rPr>
            <w:noProof/>
            <w:webHidden/>
          </w:rPr>
          <w:fldChar w:fldCharType="separate"/>
        </w:r>
        <w:r w:rsidR="00C83381">
          <w:rPr>
            <w:noProof/>
            <w:webHidden/>
          </w:rPr>
          <w:t>41</w:t>
        </w:r>
        <w:r>
          <w:rPr>
            <w:noProof/>
            <w:webHidden/>
          </w:rPr>
          <w:fldChar w:fldCharType="end"/>
        </w:r>
      </w:hyperlink>
    </w:p>
    <w:p w14:paraId="68F5DC04" w14:textId="7EF1C396" w:rsidR="002F2511" w:rsidRDefault="002F2511">
      <w:pPr>
        <w:pStyle w:val="TOC2"/>
        <w:rPr>
          <w:rFonts w:ascii="Aptos" w:hAnsi="Aptos"/>
          <w:noProof/>
          <w:kern w:val="2"/>
          <w:sz w:val="24"/>
        </w:rPr>
      </w:pPr>
      <w:hyperlink w:anchor="_Toc209771782" w:history="1">
        <w:r w:rsidRPr="00FF481E">
          <w:rPr>
            <w:rStyle w:val="Hyperlink"/>
            <w:noProof/>
          </w:rPr>
          <w:t>PART II.</w:t>
        </w:r>
        <w:r>
          <w:rPr>
            <w:rFonts w:ascii="Aptos" w:hAnsi="Aptos"/>
            <w:noProof/>
            <w:kern w:val="2"/>
            <w:sz w:val="24"/>
          </w:rPr>
          <w:tab/>
        </w:r>
        <w:r w:rsidRPr="00FF481E">
          <w:rPr>
            <w:rStyle w:val="Hyperlink"/>
            <w:noProof/>
          </w:rPr>
          <w:t>Standards for Disclosure of Individual-Level Data</w:t>
        </w:r>
        <w:r>
          <w:rPr>
            <w:noProof/>
            <w:webHidden/>
          </w:rPr>
          <w:tab/>
        </w:r>
        <w:r>
          <w:rPr>
            <w:noProof/>
            <w:webHidden/>
          </w:rPr>
          <w:fldChar w:fldCharType="begin"/>
        </w:r>
        <w:r>
          <w:rPr>
            <w:noProof/>
            <w:webHidden/>
          </w:rPr>
          <w:instrText xml:space="preserve"> PAGEREF _Toc209771782 \h </w:instrText>
        </w:r>
        <w:r>
          <w:rPr>
            <w:noProof/>
            <w:webHidden/>
          </w:rPr>
        </w:r>
        <w:r>
          <w:rPr>
            <w:noProof/>
            <w:webHidden/>
          </w:rPr>
          <w:fldChar w:fldCharType="separate"/>
        </w:r>
        <w:r w:rsidR="00C83381">
          <w:rPr>
            <w:noProof/>
            <w:webHidden/>
          </w:rPr>
          <w:t>41</w:t>
        </w:r>
        <w:r>
          <w:rPr>
            <w:noProof/>
            <w:webHidden/>
          </w:rPr>
          <w:fldChar w:fldCharType="end"/>
        </w:r>
      </w:hyperlink>
    </w:p>
    <w:p w14:paraId="3B0680C9" w14:textId="5DC54FE1" w:rsidR="002F2511" w:rsidRDefault="002F2511">
      <w:pPr>
        <w:pStyle w:val="TOC2"/>
        <w:rPr>
          <w:rFonts w:ascii="Aptos" w:hAnsi="Aptos"/>
          <w:noProof/>
          <w:kern w:val="2"/>
          <w:sz w:val="24"/>
        </w:rPr>
      </w:pPr>
      <w:hyperlink w:anchor="_Toc209771783" w:history="1">
        <w:r w:rsidRPr="00FF481E">
          <w:rPr>
            <w:rStyle w:val="Hyperlink"/>
            <w:noProof/>
          </w:rPr>
          <w:t>PART III.</w:t>
        </w:r>
        <w:r>
          <w:rPr>
            <w:rFonts w:ascii="Aptos" w:hAnsi="Aptos"/>
            <w:noProof/>
            <w:kern w:val="2"/>
            <w:sz w:val="24"/>
          </w:rPr>
          <w:tab/>
        </w:r>
        <w:r w:rsidRPr="00FF481E">
          <w:rPr>
            <w:rStyle w:val="Hyperlink"/>
            <w:noProof/>
          </w:rPr>
          <w:t>Standards for Disclosure of Aggregate Data</w:t>
        </w:r>
        <w:r>
          <w:rPr>
            <w:noProof/>
            <w:webHidden/>
          </w:rPr>
          <w:tab/>
        </w:r>
        <w:r>
          <w:rPr>
            <w:noProof/>
            <w:webHidden/>
          </w:rPr>
          <w:fldChar w:fldCharType="begin"/>
        </w:r>
        <w:r>
          <w:rPr>
            <w:noProof/>
            <w:webHidden/>
          </w:rPr>
          <w:instrText xml:space="preserve"> PAGEREF _Toc209771783 \h </w:instrText>
        </w:r>
        <w:r>
          <w:rPr>
            <w:noProof/>
            <w:webHidden/>
          </w:rPr>
        </w:r>
        <w:r>
          <w:rPr>
            <w:noProof/>
            <w:webHidden/>
          </w:rPr>
          <w:fldChar w:fldCharType="separate"/>
        </w:r>
        <w:r w:rsidR="00C83381">
          <w:rPr>
            <w:noProof/>
            <w:webHidden/>
          </w:rPr>
          <w:t>44</w:t>
        </w:r>
        <w:r>
          <w:rPr>
            <w:noProof/>
            <w:webHidden/>
          </w:rPr>
          <w:fldChar w:fldCharType="end"/>
        </w:r>
      </w:hyperlink>
    </w:p>
    <w:p w14:paraId="0387781D" w14:textId="237AF4CA" w:rsidR="002F2511" w:rsidRDefault="002F2511">
      <w:pPr>
        <w:pStyle w:val="TOC1"/>
        <w:rPr>
          <w:rFonts w:ascii="Aptos" w:hAnsi="Aptos" w:cs="Times New Roman"/>
          <w:b w:val="0"/>
          <w:bCs w:val="0"/>
          <w:noProof/>
          <w:color w:val="auto"/>
          <w:kern w:val="2"/>
          <w:sz w:val="24"/>
          <w:szCs w:val="24"/>
        </w:rPr>
      </w:pPr>
      <w:hyperlink w:anchor="_Toc209771784" w:history="1">
        <w:r w:rsidRPr="00FF481E">
          <w:rPr>
            <w:rStyle w:val="Hyperlink"/>
            <w:noProof/>
          </w:rPr>
          <w:t>Procedure 8</w:t>
        </w:r>
        <w:r>
          <w:rPr>
            <w:rFonts w:ascii="Aptos" w:hAnsi="Aptos" w:cs="Times New Roman"/>
            <w:b w:val="0"/>
            <w:bCs w:val="0"/>
            <w:noProof/>
            <w:color w:val="auto"/>
            <w:kern w:val="2"/>
            <w:sz w:val="24"/>
            <w:szCs w:val="24"/>
          </w:rPr>
          <w:tab/>
        </w:r>
        <w:r w:rsidRPr="00FF481E">
          <w:rPr>
            <w:rStyle w:val="Hyperlink"/>
            <w:noProof/>
          </w:rPr>
          <w:t>Public Records Release Standards for Documents Containing Medical Information</w:t>
        </w:r>
        <w:r>
          <w:rPr>
            <w:noProof/>
            <w:webHidden/>
          </w:rPr>
          <w:tab/>
        </w:r>
        <w:r>
          <w:rPr>
            <w:noProof/>
            <w:webHidden/>
          </w:rPr>
          <w:fldChar w:fldCharType="begin"/>
        </w:r>
        <w:r>
          <w:rPr>
            <w:noProof/>
            <w:webHidden/>
          </w:rPr>
          <w:instrText xml:space="preserve"> PAGEREF _Toc209771784 \h </w:instrText>
        </w:r>
        <w:r>
          <w:rPr>
            <w:noProof/>
            <w:webHidden/>
          </w:rPr>
        </w:r>
        <w:r>
          <w:rPr>
            <w:noProof/>
            <w:webHidden/>
          </w:rPr>
          <w:fldChar w:fldCharType="separate"/>
        </w:r>
        <w:r w:rsidR="00C83381">
          <w:rPr>
            <w:noProof/>
            <w:webHidden/>
          </w:rPr>
          <w:t>47</w:t>
        </w:r>
        <w:r>
          <w:rPr>
            <w:noProof/>
            <w:webHidden/>
          </w:rPr>
          <w:fldChar w:fldCharType="end"/>
        </w:r>
      </w:hyperlink>
    </w:p>
    <w:p w14:paraId="7F17A2E2" w14:textId="0B55526C" w:rsidR="002F2511" w:rsidRDefault="002F2511">
      <w:pPr>
        <w:pStyle w:val="TOC2"/>
        <w:rPr>
          <w:rFonts w:ascii="Aptos" w:hAnsi="Aptos"/>
          <w:noProof/>
          <w:kern w:val="2"/>
          <w:sz w:val="24"/>
        </w:rPr>
      </w:pPr>
      <w:hyperlink w:anchor="_Toc209771785" w:history="1">
        <w:r w:rsidRPr="00FF481E">
          <w:rPr>
            <w:rStyle w:val="Hyperlink"/>
            <w:noProof/>
          </w:rPr>
          <w:t>PART I.</w:t>
        </w:r>
        <w:r>
          <w:rPr>
            <w:rFonts w:ascii="Aptos" w:hAnsi="Aptos"/>
            <w:noProof/>
            <w:kern w:val="2"/>
            <w:sz w:val="24"/>
          </w:rPr>
          <w:tab/>
        </w:r>
        <w:r w:rsidRPr="00FF481E">
          <w:rPr>
            <w:rStyle w:val="Hyperlink"/>
            <w:noProof/>
          </w:rPr>
          <w:t>Purpose and Scope</w:t>
        </w:r>
        <w:r>
          <w:rPr>
            <w:noProof/>
            <w:webHidden/>
          </w:rPr>
          <w:tab/>
        </w:r>
        <w:r>
          <w:rPr>
            <w:noProof/>
            <w:webHidden/>
          </w:rPr>
          <w:fldChar w:fldCharType="begin"/>
        </w:r>
        <w:r>
          <w:rPr>
            <w:noProof/>
            <w:webHidden/>
          </w:rPr>
          <w:instrText xml:space="preserve"> PAGEREF _Toc209771785 \h </w:instrText>
        </w:r>
        <w:r>
          <w:rPr>
            <w:noProof/>
            <w:webHidden/>
          </w:rPr>
        </w:r>
        <w:r>
          <w:rPr>
            <w:noProof/>
            <w:webHidden/>
          </w:rPr>
          <w:fldChar w:fldCharType="separate"/>
        </w:r>
        <w:r w:rsidR="00C83381">
          <w:rPr>
            <w:noProof/>
            <w:webHidden/>
          </w:rPr>
          <w:t>47</w:t>
        </w:r>
        <w:r>
          <w:rPr>
            <w:noProof/>
            <w:webHidden/>
          </w:rPr>
          <w:fldChar w:fldCharType="end"/>
        </w:r>
      </w:hyperlink>
    </w:p>
    <w:p w14:paraId="48D0BAB4" w14:textId="4E66630D" w:rsidR="002F2511" w:rsidRDefault="002F2511">
      <w:pPr>
        <w:pStyle w:val="TOC2"/>
        <w:rPr>
          <w:rFonts w:ascii="Aptos" w:hAnsi="Aptos"/>
          <w:noProof/>
          <w:kern w:val="2"/>
          <w:sz w:val="24"/>
        </w:rPr>
      </w:pPr>
      <w:hyperlink w:anchor="_Toc209771786" w:history="1">
        <w:r w:rsidRPr="00FF481E">
          <w:rPr>
            <w:rStyle w:val="Hyperlink"/>
            <w:noProof/>
          </w:rPr>
          <w:t>PART II.</w:t>
        </w:r>
        <w:r>
          <w:rPr>
            <w:rFonts w:ascii="Aptos" w:hAnsi="Aptos"/>
            <w:noProof/>
            <w:kern w:val="2"/>
            <w:sz w:val="24"/>
          </w:rPr>
          <w:tab/>
        </w:r>
        <w:r w:rsidRPr="00FF481E">
          <w:rPr>
            <w:rStyle w:val="Hyperlink"/>
            <w:noProof/>
          </w:rPr>
          <w:t>General Requirements</w:t>
        </w:r>
        <w:r>
          <w:rPr>
            <w:noProof/>
            <w:webHidden/>
          </w:rPr>
          <w:tab/>
        </w:r>
        <w:r>
          <w:rPr>
            <w:noProof/>
            <w:webHidden/>
          </w:rPr>
          <w:fldChar w:fldCharType="begin"/>
        </w:r>
        <w:r>
          <w:rPr>
            <w:noProof/>
            <w:webHidden/>
          </w:rPr>
          <w:instrText xml:space="preserve"> PAGEREF _Toc209771786 \h </w:instrText>
        </w:r>
        <w:r>
          <w:rPr>
            <w:noProof/>
            <w:webHidden/>
          </w:rPr>
        </w:r>
        <w:r>
          <w:rPr>
            <w:noProof/>
            <w:webHidden/>
          </w:rPr>
          <w:fldChar w:fldCharType="separate"/>
        </w:r>
        <w:r w:rsidR="00C83381">
          <w:rPr>
            <w:noProof/>
            <w:webHidden/>
          </w:rPr>
          <w:t>47</w:t>
        </w:r>
        <w:r>
          <w:rPr>
            <w:noProof/>
            <w:webHidden/>
          </w:rPr>
          <w:fldChar w:fldCharType="end"/>
        </w:r>
      </w:hyperlink>
    </w:p>
    <w:p w14:paraId="0A9755F3" w14:textId="2256D33B" w:rsidR="002F2511" w:rsidRDefault="002F2511">
      <w:pPr>
        <w:pStyle w:val="TOC2"/>
        <w:rPr>
          <w:rFonts w:ascii="Aptos" w:hAnsi="Aptos"/>
          <w:noProof/>
          <w:kern w:val="2"/>
          <w:sz w:val="24"/>
        </w:rPr>
      </w:pPr>
      <w:hyperlink w:anchor="_Toc209771787" w:history="1">
        <w:r w:rsidRPr="00FF481E">
          <w:rPr>
            <w:rStyle w:val="Hyperlink"/>
            <w:noProof/>
          </w:rPr>
          <w:t>PART III.</w:t>
        </w:r>
        <w:r>
          <w:rPr>
            <w:rFonts w:ascii="Aptos" w:hAnsi="Aptos"/>
            <w:noProof/>
            <w:kern w:val="2"/>
            <w:sz w:val="24"/>
          </w:rPr>
          <w:tab/>
        </w:r>
        <w:r w:rsidRPr="00FF481E">
          <w:rPr>
            <w:rStyle w:val="Hyperlink"/>
            <w:noProof/>
          </w:rPr>
          <w:t>Redaction Standards Applicable to all Documents</w:t>
        </w:r>
        <w:r>
          <w:rPr>
            <w:noProof/>
            <w:webHidden/>
          </w:rPr>
          <w:tab/>
        </w:r>
        <w:r>
          <w:rPr>
            <w:noProof/>
            <w:webHidden/>
          </w:rPr>
          <w:fldChar w:fldCharType="begin"/>
        </w:r>
        <w:r>
          <w:rPr>
            <w:noProof/>
            <w:webHidden/>
          </w:rPr>
          <w:instrText xml:space="preserve"> PAGEREF _Toc209771787 \h </w:instrText>
        </w:r>
        <w:r>
          <w:rPr>
            <w:noProof/>
            <w:webHidden/>
          </w:rPr>
        </w:r>
        <w:r>
          <w:rPr>
            <w:noProof/>
            <w:webHidden/>
          </w:rPr>
          <w:fldChar w:fldCharType="separate"/>
        </w:r>
        <w:r w:rsidR="00C83381">
          <w:rPr>
            <w:noProof/>
            <w:webHidden/>
          </w:rPr>
          <w:t>47</w:t>
        </w:r>
        <w:r>
          <w:rPr>
            <w:noProof/>
            <w:webHidden/>
          </w:rPr>
          <w:fldChar w:fldCharType="end"/>
        </w:r>
      </w:hyperlink>
    </w:p>
    <w:p w14:paraId="6AC8F47C" w14:textId="241DAA8A" w:rsidR="002F2511" w:rsidRDefault="002F2511">
      <w:pPr>
        <w:pStyle w:val="TOC2"/>
        <w:rPr>
          <w:rFonts w:ascii="Aptos" w:hAnsi="Aptos"/>
          <w:noProof/>
          <w:kern w:val="2"/>
          <w:sz w:val="24"/>
        </w:rPr>
      </w:pPr>
      <w:hyperlink w:anchor="_Toc209771788" w:history="1">
        <w:r w:rsidRPr="00FF481E">
          <w:rPr>
            <w:rStyle w:val="Hyperlink"/>
            <w:noProof/>
          </w:rPr>
          <w:t>PART IV.</w:t>
        </w:r>
        <w:r>
          <w:rPr>
            <w:rFonts w:ascii="Aptos" w:hAnsi="Aptos"/>
            <w:noProof/>
            <w:kern w:val="2"/>
            <w:sz w:val="24"/>
          </w:rPr>
          <w:tab/>
        </w:r>
        <w:r w:rsidRPr="00FF481E">
          <w:rPr>
            <w:rStyle w:val="Hyperlink"/>
            <w:noProof/>
          </w:rPr>
          <w:t>Bureau-Specific Redaction Standards</w:t>
        </w:r>
        <w:r>
          <w:rPr>
            <w:noProof/>
            <w:webHidden/>
          </w:rPr>
          <w:tab/>
        </w:r>
        <w:r>
          <w:rPr>
            <w:noProof/>
            <w:webHidden/>
          </w:rPr>
          <w:fldChar w:fldCharType="begin"/>
        </w:r>
        <w:r>
          <w:rPr>
            <w:noProof/>
            <w:webHidden/>
          </w:rPr>
          <w:instrText xml:space="preserve"> PAGEREF _Toc209771788 \h </w:instrText>
        </w:r>
        <w:r>
          <w:rPr>
            <w:noProof/>
            <w:webHidden/>
          </w:rPr>
        </w:r>
        <w:r>
          <w:rPr>
            <w:noProof/>
            <w:webHidden/>
          </w:rPr>
          <w:fldChar w:fldCharType="separate"/>
        </w:r>
        <w:r w:rsidR="00C83381">
          <w:rPr>
            <w:noProof/>
            <w:webHidden/>
          </w:rPr>
          <w:t>49</w:t>
        </w:r>
        <w:r>
          <w:rPr>
            <w:noProof/>
            <w:webHidden/>
          </w:rPr>
          <w:fldChar w:fldCharType="end"/>
        </w:r>
      </w:hyperlink>
    </w:p>
    <w:p w14:paraId="3A583581" w14:textId="04E3CD6A" w:rsidR="002F2511" w:rsidRDefault="002F2511">
      <w:pPr>
        <w:pStyle w:val="TOC1"/>
        <w:rPr>
          <w:rFonts w:ascii="Aptos" w:hAnsi="Aptos" w:cs="Times New Roman"/>
          <w:b w:val="0"/>
          <w:bCs w:val="0"/>
          <w:noProof/>
          <w:color w:val="auto"/>
          <w:kern w:val="2"/>
          <w:sz w:val="24"/>
          <w:szCs w:val="24"/>
        </w:rPr>
      </w:pPr>
      <w:hyperlink w:anchor="_Toc209771789" w:history="1">
        <w:r w:rsidRPr="00FF481E">
          <w:rPr>
            <w:rStyle w:val="Hyperlink"/>
            <w:noProof/>
          </w:rPr>
          <w:t>Procedure 10</w:t>
        </w:r>
        <w:r>
          <w:rPr>
            <w:rFonts w:ascii="Aptos" w:hAnsi="Aptos" w:cs="Times New Roman"/>
            <w:b w:val="0"/>
            <w:bCs w:val="0"/>
            <w:noProof/>
            <w:color w:val="auto"/>
            <w:kern w:val="2"/>
            <w:sz w:val="24"/>
            <w:szCs w:val="24"/>
          </w:rPr>
          <w:tab/>
        </w:r>
        <w:r w:rsidRPr="00FF481E">
          <w:rPr>
            <w:rStyle w:val="Hyperlink"/>
            <w:noProof/>
          </w:rPr>
          <w:t>Security and Transmission of Confidential Information</w:t>
        </w:r>
        <w:r>
          <w:rPr>
            <w:noProof/>
            <w:webHidden/>
          </w:rPr>
          <w:tab/>
        </w:r>
        <w:r>
          <w:rPr>
            <w:noProof/>
            <w:webHidden/>
          </w:rPr>
          <w:fldChar w:fldCharType="begin"/>
        </w:r>
        <w:r>
          <w:rPr>
            <w:noProof/>
            <w:webHidden/>
          </w:rPr>
          <w:instrText xml:space="preserve"> PAGEREF _Toc209771789 \h </w:instrText>
        </w:r>
        <w:r>
          <w:rPr>
            <w:noProof/>
            <w:webHidden/>
          </w:rPr>
        </w:r>
        <w:r>
          <w:rPr>
            <w:noProof/>
            <w:webHidden/>
          </w:rPr>
          <w:fldChar w:fldCharType="separate"/>
        </w:r>
        <w:r w:rsidR="00C83381">
          <w:rPr>
            <w:noProof/>
            <w:webHidden/>
          </w:rPr>
          <w:t>53</w:t>
        </w:r>
        <w:r>
          <w:rPr>
            <w:noProof/>
            <w:webHidden/>
          </w:rPr>
          <w:fldChar w:fldCharType="end"/>
        </w:r>
      </w:hyperlink>
    </w:p>
    <w:p w14:paraId="65096476" w14:textId="29AB7972" w:rsidR="002F2511" w:rsidRDefault="002F2511">
      <w:pPr>
        <w:pStyle w:val="TOC2"/>
        <w:rPr>
          <w:rFonts w:ascii="Aptos" w:hAnsi="Aptos"/>
          <w:noProof/>
          <w:kern w:val="2"/>
          <w:sz w:val="24"/>
        </w:rPr>
      </w:pPr>
      <w:hyperlink w:anchor="_Toc209771790" w:history="1">
        <w:r w:rsidRPr="00FF481E">
          <w:rPr>
            <w:rStyle w:val="Hyperlink"/>
            <w:noProof/>
          </w:rPr>
          <w:t>PART I.</w:t>
        </w:r>
        <w:r>
          <w:rPr>
            <w:rFonts w:ascii="Aptos" w:hAnsi="Aptos"/>
            <w:noProof/>
            <w:kern w:val="2"/>
            <w:sz w:val="24"/>
          </w:rPr>
          <w:tab/>
        </w:r>
        <w:r w:rsidRPr="00FF481E">
          <w:rPr>
            <w:rStyle w:val="Hyperlink"/>
            <w:noProof/>
          </w:rPr>
          <w:t>Purpose and definitions</w:t>
        </w:r>
        <w:r>
          <w:rPr>
            <w:noProof/>
            <w:webHidden/>
          </w:rPr>
          <w:tab/>
        </w:r>
        <w:r>
          <w:rPr>
            <w:noProof/>
            <w:webHidden/>
          </w:rPr>
          <w:fldChar w:fldCharType="begin"/>
        </w:r>
        <w:r>
          <w:rPr>
            <w:noProof/>
            <w:webHidden/>
          </w:rPr>
          <w:instrText xml:space="preserve"> PAGEREF _Toc209771790 \h </w:instrText>
        </w:r>
        <w:r>
          <w:rPr>
            <w:noProof/>
            <w:webHidden/>
          </w:rPr>
        </w:r>
        <w:r>
          <w:rPr>
            <w:noProof/>
            <w:webHidden/>
          </w:rPr>
          <w:fldChar w:fldCharType="separate"/>
        </w:r>
        <w:r w:rsidR="00C83381">
          <w:rPr>
            <w:noProof/>
            <w:webHidden/>
          </w:rPr>
          <w:t>53</w:t>
        </w:r>
        <w:r>
          <w:rPr>
            <w:noProof/>
            <w:webHidden/>
          </w:rPr>
          <w:fldChar w:fldCharType="end"/>
        </w:r>
      </w:hyperlink>
    </w:p>
    <w:p w14:paraId="345FF176" w14:textId="7C47F037" w:rsidR="002F2511" w:rsidRDefault="002F2511">
      <w:pPr>
        <w:pStyle w:val="TOC2"/>
        <w:rPr>
          <w:rFonts w:ascii="Aptos" w:hAnsi="Aptos"/>
          <w:noProof/>
          <w:kern w:val="2"/>
          <w:sz w:val="24"/>
        </w:rPr>
      </w:pPr>
      <w:hyperlink w:anchor="_Toc209771791" w:history="1">
        <w:r w:rsidRPr="00FF481E">
          <w:rPr>
            <w:rStyle w:val="Hyperlink"/>
            <w:noProof/>
          </w:rPr>
          <w:t>PART II.</w:t>
        </w:r>
        <w:r>
          <w:rPr>
            <w:rFonts w:ascii="Aptos" w:hAnsi="Aptos"/>
            <w:noProof/>
            <w:kern w:val="2"/>
            <w:sz w:val="24"/>
          </w:rPr>
          <w:tab/>
        </w:r>
        <w:r w:rsidRPr="00FF481E">
          <w:rPr>
            <w:rStyle w:val="Hyperlink"/>
            <w:noProof/>
          </w:rPr>
          <w:t>Transmission of Confidential Information</w:t>
        </w:r>
        <w:r>
          <w:rPr>
            <w:noProof/>
            <w:webHidden/>
          </w:rPr>
          <w:tab/>
        </w:r>
        <w:r>
          <w:rPr>
            <w:noProof/>
            <w:webHidden/>
          </w:rPr>
          <w:fldChar w:fldCharType="begin"/>
        </w:r>
        <w:r>
          <w:rPr>
            <w:noProof/>
            <w:webHidden/>
          </w:rPr>
          <w:instrText xml:space="preserve"> PAGEREF _Toc209771791 \h </w:instrText>
        </w:r>
        <w:r>
          <w:rPr>
            <w:noProof/>
            <w:webHidden/>
          </w:rPr>
        </w:r>
        <w:r>
          <w:rPr>
            <w:noProof/>
            <w:webHidden/>
          </w:rPr>
          <w:fldChar w:fldCharType="separate"/>
        </w:r>
        <w:r w:rsidR="00C83381">
          <w:rPr>
            <w:noProof/>
            <w:webHidden/>
          </w:rPr>
          <w:t>53</w:t>
        </w:r>
        <w:r>
          <w:rPr>
            <w:noProof/>
            <w:webHidden/>
          </w:rPr>
          <w:fldChar w:fldCharType="end"/>
        </w:r>
      </w:hyperlink>
    </w:p>
    <w:p w14:paraId="5FBF199A" w14:textId="581E24AB" w:rsidR="002F2511" w:rsidRDefault="002F2511">
      <w:pPr>
        <w:pStyle w:val="TOC2"/>
        <w:rPr>
          <w:rFonts w:ascii="Aptos" w:hAnsi="Aptos"/>
          <w:noProof/>
          <w:kern w:val="2"/>
          <w:sz w:val="24"/>
        </w:rPr>
      </w:pPr>
      <w:hyperlink w:anchor="_Toc209771792" w:history="1">
        <w:r w:rsidRPr="00FF481E">
          <w:rPr>
            <w:rStyle w:val="Hyperlink"/>
            <w:noProof/>
          </w:rPr>
          <w:t>PART III.</w:t>
        </w:r>
        <w:r>
          <w:rPr>
            <w:rFonts w:ascii="Aptos" w:hAnsi="Aptos"/>
            <w:noProof/>
            <w:kern w:val="2"/>
            <w:sz w:val="24"/>
          </w:rPr>
          <w:tab/>
        </w:r>
        <w:r w:rsidRPr="00FF481E">
          <w:rPr>
            <w:rStyle w:val="Hyperlink"/>
            <w:noProof/>
          </w:rPr>
          <w:t>Storage of Confidential Information</w:t>
        </w:r>
        <w:r>
          <w:rPr>
            <w:noProof/>
            <w:webHidden/>
          </w:rPr>
          <w:tab/>
        </w:r>
        <w:r>
          <w:rPr>
            <w:noProof/>
            <w:webHidden/>
          </w:rPr>
          <w:fldChar w:fldCharType="begin"/>
        </w:r>
        <w:r>
          <w:rPr>
            <w:noProof/>
            <w:webHidden/>
          </w:rPr>
          <w:instrText xml:space="preserve"> PAGEREF _Toc209771792 \h </w:instrText>
        </w:r>
        <w:r>
          <w:rPr>
            <w:noProof/>
            <w:webHidden/>
          </w:rPr>
        </w:r>
        <w:r>
          <w:rPr>
            <w:noProof/>
            <w:webHidden/>
          </w:rPr>
          <w:fldChar w:fldCharType="separate"/>
        </w:r>
        <w:r w:rsidR="00C83381">
          <w:rPr>
            <w:noProof/>
            <w:webHidden/>
          </w:rPr>
          <w:t>56</w:t>
        </w:r>
        <w:r>
          <w:rPr>
            <w:noProof/>
            <w:webHidden/>
          </w:rPr>
          <w:fldChar w:fldCharType="end"/>
        </w:r>
      </w:hyperlink>
    </w:p>
    <w:p w14:paraId="41460BB3" w14:textId="7A5A284B" w:rsidR="002F2511" w:rsidRDefault="002F2511">
      <w:pPr>
        <w:pStyle w:val="TOC2"/>
        <w:rPr>
          <w:rFonts w:ascii="Aptos" w:hAnsi="Aptos"/>
          <w:noProof/>
          <w:kern w:val="2"/>
          <w:sz w:val="24"/>
        </w:rPr>
      </w:pPr>
      <w:hyperlink w:anchor="_Toc209771793" w:history="1">
        <w:r w:rsidRPr="00FF481E">
          <w:rPr>
            <w:rStyle w:val="Hyperlink"/>
            <w:noProof/>
          </w:rPr>
          <w:t>PART IV.</w:t>
        </w:r>
        <w:r>
          <w:rPr>
            <w:rFonts w:ascii="Aptos" w:hAnsi="Aptos"/>
            <w:noProof/>
            <w:kern w:val="2"/>
            <w:sz w:val="24"/>
          </w:rPr>
          <w:tab/>
        </w:r>
        <w:r w:rsidRPr="00FF481E">
          <w:rPr>
            <w:rStyle w:val="Hyperlink"/>
            <w:noProof/>
          </w:rPr>
          <w:t>Removal of Confidential Information from the Worksite</w:t>
        </w:r>
        <w:r>
          <w:rPr>
            <w:noProof/>
            <w:webHidden/>
          </w:rPr>
          <w:tab/>
        </w:r>
        <w:r>
          <w:rPr>
            <w:noProof/>
            <w:webHidden/>
          </w:rPr>
          <w:fldChar w:fldCharType="begin"/>
        </w:r>
        <w:r>
          <w:rPr>
            <w:noProof/>
            <w:webHidden/>
          </w:rPr>
          <w:instrText xml:space="preserve"> PAGEREF _Toc209771793 \h </w:instrText>
        </w:r>
        <w:r>
          <w:rPr>
            <w:noProof/>
            <w:webHidden/>
          </w:rPr>
        </w:r>
        <w:r>
          <w:rPr>
            <w:noProof/>
            <w:webHidden/>
          </w:rPr>
          <w:fldChar w:fldCharType="separate"/>
        </w:r>
        <w:r w:rsidR="00C83381">
          <w:rPr>
            <w:noProof/>
            <w:webHidden/>
          </w:rPr>
          <w:t>57</w:t>
        </w:r>
        <w:r>
          <w:rPr>
            <w:noProof/>
            <w:webHidden/>
          </w:rPr>
          <w:fldChar w:fldCharType="end"/>
        </w:r>
      </w:hyperlink>
    </w:p>
    <w:p w14:paraId="373BBB4D" w14:textId="05769114" w:rsidR="002F2511" w:rsidRDefault="002F2511">
      <w:pPr>
        <w:pStyle w:val="TOC2"/>
        <w:rPr>
          <w:rFonts w:ascii="Aptos" w:hAnsi="Aptos"/>
          <w:noProof/>
          <w:kern w:val="2"/>
          <w:sz w:val="24"/>
        </w:rPr>
      </w:pPr>
      <w:hyperlink w:anchor="_Toc209771794" w:history="1">
        <w:r w:rsidRPr="00FF481E">
          <w:rPr>
            <w:rStyle w:val="Hyperlink"/>
            <w:noProof/>
          </w:rPr>
          <w:t>PART V.</w:t>
        </w:r>
        <w:r>
          <w:rPr>
            <w:rFonts w:ascii="Aptos" w:hAnsi="Aptos"/>
            <w:noProof/>
            <w:kern w:val="2"/>
            <w:sz w:val="24"/>
          </w:rPr>
          <w:tab/>
        </w:r>
        <w:r w:rsidRPr="00FF481E">
          <w:rPr>
            <w:rStyle w:val="Hyperlink"/>
            <w:noProof/>
          </w:rPr>
          <w:t>Disposal of Confidential Information</w:t>
        </w:r>
        <w:r>
          <w:rPr>
            <w:noProof/>
            <w:webHidden/>
          </w:rPr>
          <w:tab/>
        </w:r>
        <w:r>
          <w:rPr>
            <w:noProof/>
            <w:webHidden/>
          </w:rPr>
          <w:fldChar w:fldCharType="begin"/>
        </w:r>
        <w:r>
          <w:rPr>
            <w:noProof/>
            <w:webHidden/>
          </w:rPr>
          <w:instrText xml:space="preserve"> PAGEREF _Toc209771794 \h </w:instrText>
        </w:r>
        <w:r>
          <w:rPr>
            <w:noProof/>
            <w:webHidden/>
          </w:rPr>
        </w:r>
        <w:r>
          <w:rPr>
            <w:noProof/>
            <w:webHidden/>
          </w:rPr>
          <w:fldChar w:fldCharType="separate"/>
        </w:r>
        <w:r w:rsidR="00C83381">
          <w:rPr>
            <w:noProof/>
            <w:webHidden/>
          </w:rPr>
          <w:t>58</w:t>
        </w:r>
        <w:r>
          <w:rPr>
            <w:noProof/>
            <w:webHidden/>
          </w:rPr>
          <w:fldChar w:fldCharType="end"/>
        </w:r>
      </w:hyperlink>
    </w:p>
    <w:p w14:paraId="098D5AAF" w14:textId="466DCDB2" w:rsidR="002F2511" w:rsidRDefault="002F2511">
      <w:pPr>
        <w:pStyle w:val="TOC1"/>
        <w:rPr>
          <w:rFonts w:ascii="Aptos" w:hAnsi="Aptos" w:cs="Times New Roman"/>
          <w:b w:val="0"/>
          <w:bCs w:val="0"/>
          <w:noProof/>
          <w:color w:val="auto"/>
          <w:kern w:val="2"/>
          <w:sz w:val="24"/>
          <w:szCs w:val="24"/>
        </w:rPr>
      </w:pPr>
      <w:hyperlink w:anchor="_Toc209771795" w:history="1">
        <w:r w:rsidRPr="00FF481E">
          <w:rPr>
            <w:rStyle w:val="Hyperlink"/>
            <w:noProof/>
          </w:rPr>
          <w:t>Procedure 11</w:t>
        </w:r>
        <w:r>
          <w:rPr>
            <w:rFonts w:ascii="Aptos" w:hAnsi="Aptos" w:cs="Times New Roman"/>
            <w:b w:val="0"/>
            <w:bCs w:val="0"/>
            <w:noProof/>
            <w:color w:val="auto"/>
            <w:kern w:val="2"/>
            <w:sz w:val="24"/>
            <w:szCs w:val="24"/>
          </w:rPr>
          <w:tab/>
        </w:r>
        <w:r w:rsidRPr="00FF481E">
          <w:rPr>
            <w:rStyle w:val="Hyperlink"/>
            <w:noProof/>
          </w:rPr>
          <w:t>Individual Rights Related to Confidential Information</w:t>
        </w:r>
        <w:r>
          <w:rPr>
            <w:noProof/>
            <w:webHidden/>
          </w:rPr>
          <w:tab/>
        </w:r>
        <w:r>
          <w:rPr>
            <w:noProof/>
            <w:webHidden/>
          </w:rPr>
          <w:fldChar w:fldCharType="begin"/>
        </w:r>
        <w:r>
          <w:rPr>
            <w:noProof/>
            <w:webHidden/>
          </w:rPr>
          <w:instrText xml:space="preserve"> PAGEREF _Toc209771795 \h </w:instrText>
        </w:r>
        <w:r>
          <w:rPr>
            <w:noProof/>
            <w:webHidden/>
          </w:rPr>
        </w:r>
        <w:r>
          <w:rPr>
            <w:noProof/>
            <w:webHidden/>
          </w:rPr>
          <w:fldChar w:fldCharType="separate"/>
        </w:r>
        <w:r w:rsidR="00C83381">
          <w:rPr>
            <w:noProof/>
            <w:webHidden/>
          </w:rPr>
          <w:t>59</w:t>
        </w:r>
        <w:r>
          <w:rPr>
            <w:noProof/>
            <w:webHidden/>
          </w:rPr>
          <w:fldChar w:fldCharType="end"/>
        </w:r>
      </w:hyperlink>
    </w:p>
    <w:p w14:paraId="0EDC99A9" w14:textId="25DD8A50" w:rsidR="002F2511" w:rsidRDefault="002F2511">
      <w:pPr>
        <w:pStyle w:val="TOC2"/>
        <w:rPr>
          <w:rFonts w:ascii="Aptos" w:hAnsi="Aptos"/>
          <w:noProof/>
          <w:kern w:val="2"/>
          <w:sz w:val="24"/>
        </w:rPr>
      </w:pPr>
      <w:hyperlink w:anchor="_Toc209771796" w:history="1">
        <w:r w:rsidRPr="00FF481E">
          <w:rPr>
            <w:rStyle w:val="Hyperlink"/>
            <w:noProof/>
          </w:rPr>
          <w:t>PART I.</w:t>
        </w:r>
        <w:r>
          <w:rPr>
            <w:rFonts w:ascii="Aptos" w:hAnsi="Aptos"/>
            <w:noProof/>
            <w:kern w:val="2"/>
            <w:sz w:val="24"/>
          </w:rPr>
          <w:tab/>
        </w:r>
        <w:r w:rsidRPr="00FF481E">
          <w:rPr>
            <w:rStyle w:val="Hyperlink"/>
            <w:noProof/>
          </w:rPr>
          <w:t>Purpose and Scope</w:t>
        </w:r>
        <w:r>
          <w:rPr>
            <w:noProof/>
            <w:webHidden/>
          </w:rPr>
          <w:tab/>
        </w:r>
        <w:r>
          <w:rPr>
            <w:noProof/>
            <w:webHidden/>
          </w:rPr>
          <w:fldChar w:fldCharType="begin"/>
        </w:r>
        <w:r>
          <w:rPr>
            <w:noProof/>
            <w:webHidden/>
          </w:rPr>
          <w:instrText xml:space="preserve"> PAGEREF _Toc209771796 \h </w:instrText>
        </w:r>
        <w:r>
          <w:rPr>
            <w:noProof/>
            <w:webHidden/>
          </w:rPr>
        </w:r>
        <w:r>
          <w:rPr>
            <w:noProof/>
            <w:webHidden/>
          </w:rPr>
          <w:fldChar w:fldCharType="separate"/>
        </w:r>
        <w:r w:rsidR="00C83381">
          <w:rPr>
            <w:noProof/>
            <w:webHidden/>
          </w:rPr>
          <w:t>59</w:t>
        </w:r>
        <w:r>
          <w:rPr>
            <w:noProof/>
            <w:webHidden/>
          </w:rPr>
          <w:fldChar w:fldCharType="end"/>
        </w:r>
      </w:hyperlink>
    </w:p>
    <w:p w14:paraId="3FFF90B5" w14:textId="60B01FE7" w:rsidR="002F2511" w:rsidRDefault="002F2511">
      <w:pPr>
        <w:pStyle w:val="TOC2"/>
        <w:rPr>
          <w:rFonts w:ascii="Aptos" w:hAnsi="Aptos"/>
          <w:noProof/>
          <w:kern w:val="2"/>
          <w:sz w:val="24"/>
        </w:rPr>
      </w:pPr>
      <w:hyperlink w:anchor="_Toc209771797" w:history="1">
        <w:r w:rsidRPr="00FF481E">
          <w:rPr>
            <w:rStyle w:val="Hyperlink"/>
            <w:noProof/>
          </w:rPr>
          <w:t>PART II.</w:t>
        </w:r>
        <w:r>
          <w:rPr>
            <w:rFonts w:ascii="Aptos" w:hAnsi="Aptos"/>
            <w:noProof/>
            <w:kern w:val="2"/>
            <w:sz w:val="24"/>
          </w:rPr>
          <w:tab/>
        </w:r>
        <w:r w:rsidRPr="00FF481E">
          <w:rPr>
            <w:rStyle w:val="Hyperlink"/>
            <w:noProof/>
          </w:rPr>
          <w:t>Access to Confidential Health Information</w:t>
        </w:r>
        <w:r>
          <w:rPr>
            <w:noProof/>
            <w:webHidden/>
          </w:rPr>
          <w:tab/>
        </w:r>
        <w:r>
          <w:rPr>
            <w:noProof/>
            <w:webHidden/>
          </w:rPr>
          <w:fldChar w:fldCharType="begin"/>
        </w:r>
        <w:r>
          <w:rPr>
            <w:noProof/>
            <w:webHidden/>
          </w:rPr>
          <w:instrText xml:space="preserve"> PAGEREF _Toc209771797 \h </w:instrText>
        </w:r>
        <w:r>
          <w:rPr>
            <w:noProof/>
            <w:webHidden/>
          </w:rPr>
        </w:r>
        <w:r>
          <w:rPr>
            <w:noProof/>
            <w:webHidden/>
          </w:rPr>
          <w:fldChar w:fldCharType="separate"/>
        </w:r>
        <w:r w:rsidR="00C83381">
          <w:rPr>
            <w:noProof/>
            <w:webHidden/>
          </w:rPr>
          <w:t>59</w:t>
        </w:r>
        <w:r>
          <w:rPr>
            <w:noProof/>
            <w:webHidden/>
          </w:rPr>
          <w:fldChar w:fldCharType="end"/>
        </w:r>
      </w:hyperlink>
    </w:p>
    <w:p w14:paraId="4A5F3EF4" w14:textId="1A4BA9FF" w:rsidR="002F2511" w:rsidRDefault="002F2511">
      <w:pPr>
        <w:pStyle w:val="TOC2"/>
        <w:rPr>
          <w:rFonts w:ascii="Aptos" w:hAnsi="Aptos"/>
          <w:noProof/>
          <w:kern w:val="2"/>
          <w:sz w:val="24"/>
        </w:rPr>
      </w:pPr>
      <w:hyperlink w:anchor="_Toc209771798" w:history="1">
        <w:r w:rsidRPr="00FF481E">
          <w:rPr>
            <w:rStyle w:val="Hyperlink"/>
            <w:noProof/>
          </w:rPr>
          <w:t>PART III.</w:t>
        </w:r>
        <w:r>
          <w:rPr>
            <w:rFonts w:ascii="Aptos" w:hAnsi="Aptos"/>
            <w:noProof/>
            <w:kern w:val="2"/>
            <w:sz w:val="24"/>
          </w:rPr>
          <w:tab/>
        </w:r>
        <w:r w:rsidRPr="00FF481E">
          <w:rPr>
            <w:rStyle w:val="Hyperlink"/>
            <w:noProof/>
          </w:rPr>
          <w:t>Amendment of Confidential Information</w:t>
        </w:r>
        <w:r>
          <w:rPr>
            <w:noProof/>
            <w:webHidden/>
          </w:rPr>
          <w:tab/>
        </w:r>
        <w:r>
          <w:rPr>
            <w:noProof/>
            <w:webHidden/>
          </w:rPr>
          <w:fldChar w:fldCharType="begin"/>
        </w:r>
        <w:r>
          <w:rPr>
            <w:noProof/>
            <w:webHidden/>
          </w:rPr>
          <w:instrText xml:space="preserve"> PAGEREF _Toc209771798 \h </w:instrText>
        </w:r>
        <w:r>
          <w:rPr>
            <w:noProof/>
            <w:webHidden/>
          </w:rPr>
        </w:r>
        <w:r>
          <w:rPr>
            <w:noProof/>
            <w:webHidden/>
          </w:rPr>
          <w:fldChar w:fldCharType="separate"/>
        </w:r>
        <w:r w:rsidR="00C83381">
          <w:rPr>
            <w:noProof/>
            <w:webHidden/>
          </w:rPr>
          <w:t>61</w:t>
        </w:r>
        <w:r>
          <w:rPr>
            <w:noProof/>
            <w:webHidden/>
          </w:rPr>
          <w:fldChar w:fldCharType="end"/>
        </w:r>
      </w:hyperlink>
    </w:p>
    <w:p w14:paraId="42FEF041" w14:textId="22D7E474" w:rsidR="002F2511" w:rsidRDefault="002F2511">
      <w:pPr>
        <w:pStyle w:val="TOC2"/>
        <w:rPr>
          <w:rFonts w:ascii="Aptos" w:hAnsi="Aptos"/>
          <w:noProof/>
          <w:kern w:val="2"/>
          <w:sz w:val="24"/>
        </w:rPr>
      </w:pPr>
      <w:hyperlink w:anchor="_Toc209771799" w:history="1">
        <w:r w:rsidRPr="00FF481E">
          <w:rPr>
            <w:rStyle w:val="Hyperlink"/>
            <w:noProof/>
          </w:rPr>
          <w:t>PART IV.</w:t>
        </w:r>
        <w:r>
          <w:rPr>
            <w:rFonts w:ascii="Aptos" w:hAnsi="Aptos"/>
            <w:noProof/>
            <w:kern w:val="2"/>
            <w:sz w:val="24"/>
          </w:rPr>
          <w:tab/>
        </w:r>
        <w:r w:rsidRPr="00FF481E">
          <w:rPr>
            <w:rStyle w:val="Hyperlink"/>
            <w:noProof/>
          </w:rPr>
          <w:t>Communications by Alternate Means</w:t>
        </w:r>
        <w:r>
          <w:rPr>
            <w:noProof/>
            <w:webHidden/>
          </w:rPr>
          <w:tab/>
        </w:r>
        <w:r>
          <w:rPr>
            <w:noProof/>
            <w:webHidden/>
          </w:rPr>
          <w:fldChar w:fldCharType="begin"/>
        </w:r>
        <w:r>
          <w:rPr>
            <w:noProof/>
            <w:webHidden/>
          </w:rPr>
          <w:instrText xml:space="preserve"> PAGEREF _Toc209771799 \h </w:instrText>
        </w:r>
        <w:r>
          <w:rPr>
            <w:noProof/>
            <w:webHidden/>
          </w:rPr>
        </w:r>
        <w:r>
          <w:rPr>
            <w:noProof/>
            <w:webHidden/>
          </w:rPr>
          <w:fldChar w:fldCharType="separate"/>
        </w:r>
        <w:r w:rsidR="00C83381">
          <w:rPr>
            <w:noProof/>
            <w:webHidden/>
          </w:rPr>
          <w:t>62</w:t>
        </w:r>
        <w:r>
          <w:rPr>
            <w:noProof/>
            <w:webHidden/>
          </w:rPr>
          <w:fldChar w:fldCharType="end"/>
        </w:r>
      </w:hyperlink>
    </w:p>
    <w:p w14:paraId="4953D0BE" w14:textId="470BE3D0" w:rsidR="002F2511" w:rsidRDefault="002F2511">
      <w:pPr>
        <w:pStyle w:val="TOC2"/>
        <w:rPr>
          <w:rFonts w:ascii="Aptos" w:hAnsi="Aptos"/>
          <w:noProof/>
          <w:kern w:val="2"/>
          <w:sz w:val="24"/>
        </w:rPr>
      </w:pPr>
      <w:hyperlink w:anchor="_Toc209771800" w:history="1">
        <w:r w:rsidRPr="00FF481E">
          <w:rPr>
            <w:rStyle w:val="Hyperlink"/>
            <w:noProof/>
          </w:rPr>
          <w:t>PART V.</w:t>
        </w:r>
        <w:r>
          <w:rPr>
            <w:rFonts w:ascii="Aptos" w:hAnsi="Aptos"/>
            <w:noProof/>
            <w:kern w:val="2"/>
            <w:sz w:val="24"/>
          </w:rPr>
          <w:tab/>
        </w:r>
        <w:r w:rsidRPr="00FF481E">
          <w:rPr>
            <w:rStyle w:val="Hyperlink"/>
            <w:noProof/>
          </w:rPr>
          <w:t>Restrictions on the Use and Disclosure of Confidential Information</w:t>
        </w:r>
        <w:r>
          <w:rPr>
            <w:noProof/>
            <w:webHidden/>
          </w:rPr>
          <w:tab/>
        </w:r>
        <w:r>
          <w:rPr>
            <w:noProof/>
            <w:webHidden/>
          </w:rPr>
          <w:fldChar w:fldCharType="begin"/>
        </w:r>
        <w:r>
          <w:rPr>
            <w:noProof/>
            <w:webHidden/>
          </w:rPr>
          <w:instrText xml:space="preserve"> PAGEREF _Toc209771800 \h </w:instrText>
        </w:r>
        <w:r>
          <w:rPr>
            <w:noProof/>
            <w:webHidden/>
          </w:rPr>
        </w:r>
        <w:r>
          <w:rPr>
            <w:noProof/>
            <w:webHidden/>
          </w:rPr>
          <w:fldChar w:fldCharType="separate"/>
        </w:r>
        <w:r w:rsidR="00C83381">
          <w:rPr>
            <w:noProof/>
            <w:webHidden/>
          </w:rPr>
          <w:t>63</w:t>
        </w:r>
        <w:r>
          <w:rPr>
            <w:noProof/>
            <w:webHidden/>
          </w:rPr>
          <w:fldChar w:fldCharType="end"/>
        </w:r>
      </w:hyperlink>
    </w:p>
    <w:p w14:paraId="2F7BEEC7" w14:textId="6D76DC17" w:rsidR="002F2511" w:rsidRDefault="002F2511">
      <w:pPr>
        <w:pStyle w:val="TOC2"/>
        <w:rPr>
          <w:rFonts w:ascii="Aptos" w:hAnsi="Aptos"/>
          <w:noProof/>
          <w:kern w:val="2"/>
          <w:sz w:val="24"/>
        </w:rPr>
      </w:pPr>
      <w:hyperlink w:anchor="_Toc209771801" w:history="1">
        <w:r w:rsidRPr="00FF481E">
          <w:rPr>
            <w:rStyle w:val="Hyperlink"/>
            <w:noProof/>
          </w:rPr>
          <w:t>PART VI.</w:t>
        </w:r>
        <w:r>
          <w:rPr>
            <w:rFonts w:ascii="Aptos" w:hAnsi="Aptos"/>
            <w:noProof/>
            <w:kern w:val="2"/>
            <w:sz w:val="24"/>
          </w:rPr>
          <w:tab/>
        </w:r>
        <w:r w:rsidRPr="00FF481E">
          <w:rPr>
            <w:rStyle w:val="Hyperlink"/>
            <w:noProof/>
          </w:rPr>
          <w:t>Bureau Requirements:  Administration and Documentation</w:t>
        </w:r>
        <w:r>
          <w:rPr>
            <w:noProof/>
            <w:webHidden/>
          </w:rPr>
          <w:tab/>
        </w:r>
        <w:r>
          <w:rPr>
            <w:noProof/>
            <w:webHidden/>
          </w:rPr>
          <w:fldChar w:fldCharType="begin"/>
        </w:r>
        <w:r>
          <w:rPr>
            <w:noProof/>
            <w:webHidden/>
          </w:rPr>
          <w:instrText xml:space="preserve"> PAGEREF _Toc209771801 \h </w:instrText>
        </w:r>
        <w:r>
          <w:rPr>
            <w:noProof/>
            <w:webHidden/>
          </w:rPr>
        </w:r>
        <w:r>
          <w:rPr>
            <w:noProof/>
            <w:webHidden/>
          </w:rPr>
          <w:fldChar w:fldCharType="separate"/>
        </w:r>
        <w:r w:rsidR="00C83381">
          <w:rPr>
            <w:noProof/>
            <w:webHidden/>
          </w:rPr>
          <w:t>64</w:t>
        </w:r>
        <w:r>
          <w:rPr>
            <w:noProof/>
            <w:webHidden/>
          </w:rPr>
          <w:fldChar w:fldCharType="end"/>
        </w:r>
      </w:hyperlink>
    </w:p>
    <w:p w14:paraId="40841565" w14:textId="349BCA2B" w:rsidR="002F2511" w:rsidRDefault="002F2511">
      <w:pPr>
        <w:pStyle w:val="TOC1"/>
        <w:rPr>
          <w:rFonts w:ascii="Aptos" w:hAnsi="Aptos" w:cs="Times New Roman"/>
          <w:b w:val="0"/>
          <w:bCs w:val="0"/>
          <w:noProof/>
          <w:color w:val="auto"/>
          <w:kern w:val="2"/>
          <w:sz w:val="24"/>
          <w:szCs w:val="24"/>
        </w:rPr>
      </w:pPr>
      <w:hyperlink w:anchor="_Toc209771802" w:history="1">
        <w:r w:rsidRPr="00FF481E">
          <w:rPr>
            <w:rStyle w:val="Hyperlink"/>
            <w:noProof/>
          </w:rPr>
          <w:t>Procedure 12</w:t>
        </w:r>
        <w:r>
          <w:rPr>
            <w:rFonts w:ascii="Aptos" w:hAnsi="Aptos" w:cs="Times New Roman"/>
            <w:b w:val="0"/>
            <w:bCs w:val="0"/>
            <w:noProof/>
            <w:color w:val="auto"/>
            <w:kern w:val="2"/>
            <w:sz w:val="24"/>
            <w:szCs w:val="24"/>
          </w:rPr>
          <w:tab/>
        </w:r>
        <w:r w:rsidRPr="00FF481E">
          <w:rPr>
            <w:rStyle w:val="Hyperlink"/>
            <w:noProof/>
          </w:rPr>
          <w:t>Accounting of Disclosures</w:t>
        </w:r>
        <w:r>
          <w:rPr>
            <w:noProof/>
            <w:webHidden/>
          </w:rPr>
          <w:tab/>
        </w:r>
        <w:r>
          <w:rPr>
            <w:noProof/>
            <w:webHidden/>
          </w:rPr>
          <w:fldChar w:fldCharType="begin"/>
        </w:r>
        <w:r>
          <w:rPr>
            <w:noProof/>
            <w:webHidden/>
          </w:rPr>
          <w:instrText xml:space="preserve"> PAGEREF _Toc209771802 \h </w:instrText>
        </w:r>
        <w:r>
          <w:rPr>
            <w:noProof/>
            <w:webHidden/>
          </w:rPr>
        </w:r>
        <w:r>
          <w:rPr>
            <w:noProof/>
            <w:webHidden/>
          </w:rPr>
          <w:fldChar w:fldCharType="separate"/>
        </w:r>
        <w:r w:rsidR="00C83381">
          <w:rPr>
            <w:noProof/>
            <w:webHidden/>
          </w:rPr>
          <w:t>67</w:t>
        </w:r>
        <w:r>
          <w:rPr>
            <w:noProof/>
            <w:webHidden/>
          </w:rPr>
          <w:fldChar w:fldCharType="end"/>
        </w:r>
      </w:hyperlink>
    </w:p>
    <w:p w14:paraId="26359A03" w14:textId="539FDD1A" w:rsidR="002F2511" w:rsidRDefault="002F2511">
      <w:pPr>
        <w:pStyle w:val="TOC2"/>
        <w:rPr>
          <w:rFonts w:ascii="Aptos" w:hAnsi="Aptos"/>
          <w:noProof/>
          <w:kern w:val="2"/>
          <w:sz w:val="24"/>
        </w:rPr>
      </w:pPr>
      <w:hyperlink w:anchor="_Toc209771803" w:history="1">
        <w:r w:rsidRPr="00FF481E">
          <w:rPr>
            <w:rStyle w:val="Hyperlink"/>
            <w:noProof/>
          </w:rPr>
          <w:t>PART I.</w:t>
        </w:r>
        <w:r>
          <w:rPr>
            <w:rFonts w:ascii="Aptos" w:hAnsi="Aptos"/>
            <w:noProof/>
            <w:kern w:val="2"/>
            <w:sz w:val="24"/>
          </w:rPr>
          <w:tab/>
        </w:r>
        <w:r w:rsidRPr="00FF481E">
          <w:rPr>
            <w:rStyle w:val="Hyperlink"/>
            <w:noProof/>
          </w:rPr>
          <w:t>Purpose and Scope</w:t>
        </w:r>
        <w:r>
          <w:rPr>
            <w:noProof/>
            <w:webHidden/>
          </w:rPr>
          <w:tab/>
        </w:r>
        <w:r>
          <w:rPr>
            <w:noProof/>
            <w:webHidden/>
          </w:rPr>
          <w:fldChar w:fldCharType="begin"/>
        </w:r>
        <w:r>
          <w:rPr>
            <w:noProof/>
            <w:webHidden/>
          </w:rPr>
          <w:instrText xml:space="preserve"> PAGEREF _Toc209771803 \h </w:instrText>
        </w:r>
        <w:r>
          <w:rPr>
            <w:noProof/>
            <w:webHidden/>
          </w:rPr>
        </w:r>
        <w:r>
          <w:rPr>
            <w:noProof/>
            <w:webHidden/>
          </w:rPr>
          <w:fldChar w:fldCharType="separate"/>
        </w:r>
        <w:r w:rsidR="00C83381">
          <w:rPr>
            <w:noProof/>
            <w:webHidden/>
          </w:rPr>
          <w:t>67</w:t>
        </w:r>
        <w:r>
          <w:rPr>
            <w:noProof/>
            <w:webHidden/>
          </w:rPr>
          <w:fldChar w:fldCharType="end"/>
        </w:r>
      </w:hyperlink>
    </w:p>
    <w:p w14:paraId="71622227" w14:textId="013FA726" w:rsidR="002F2511" w:rsidRDefault="002F2511">
      <w:pPr>
        <w:pStyle w:val="TOC2"/>
        <w:rPr>
          <w:rFonts w:ascii="Aptos" w:hAnsi="Aptos"/>
          <w:noProof/>
          <w:kern w:val="2"/>
          <w:sz w:val="24"/>
        </w:rPr>
      </w:pPr>
      <w:hyperlink w:anchor="_Toc209771804" w:history="1">
        <w:r w:rsidRPr="00FF481E">
          <w:rPr>
            <w:rStyle w:val="Hyperlink"/>
            <w:noProof/>
          </w:rPr>
          <w:t>PART II.</w:t>
        </w:r>
        <w:r>
          <w:rPr>
            <w:rFonts w:ascii="Aptos" w:hAnsi="Aptos"/>
            <w:noProof/>
            <w:kern w:val="2"/>
            <w:sz w:val="24"/>
          </w:rPr>
          <w:tab/>
        </w:r>
        <w:r w:rsidRPr="00FF481E">
          <w:rPr>
            <w:rStyle w:val="Hyperlink"/>
            <w:noProof/>
          </w:rPr>
          <w:t>General Requirements</w:t>
        </w:r>
        <w:r>
          <w:rPr>
            <w:noProof/>
            <w:webHidden/>
          </w:rPr>
          <w:tab/>
        </w:r>
        <w:r>
          <w:rPr>
            <w:noProof/>
            <w:webHidden/>
          </w:rPr>
          <w:fldChar w:fldCharType="begin"/>
        </w:r>
        <w:r>
          <w:rPr>
            <w:noProof/>
            <w:webHidden/>
          </w:rPr>
          <w:instrText xml:space="preserve"> PAGEREF _Toc209771804 \h </w:instrText>
        </w:r>
        <w:r>
          <w:rPr>
            <w:noProof/>
            <w:webHidden/>
          </w:rPr>
        </w:r>
        <w:r>
          <w:rPr>
            <w:noProof/>
            <w:webHidden/>
          </w:rPr>
          <w:fldChar w:fldCharType="separate"/>
        </w:r>
        <w:r w:rsidR="00C83381">
          <w:rPr>
            <w:noProof/>
            <w:webHidden/>
          </w:rPr>
          <w:t>67</w:t>
        </w:r>
        <w:r>
          <w:rPr>
            <w:noProof/>
            <w:webHidden/>
          </w:rPr>
          <w:fldChar w:fldCharType="end"/>
        </w:r>
      </w:hyperlink>
    </w:p>
    <w:p w14:paraId="5CC533CB" w14:textId="3D5453FA" w:rsidR="002F2511" w:rsidRDefault="002F2511">
      <w:pPr>
        <w:pStyle w:val="TOC2"/>
        <w:rPr>
          <w:rFonts w:ascii="Aptos" w:hAnsi="Aptos"/>
          <w:noProof/>
          <w:kern w:val="2"/>
          <w:sz w:val="24"/>
        </w:rPr>
      </w:pPr>
      <w:hyperlink w:anchor="_Toc209771805" w:history="1">
        <w:r w:rsidRPr="00FF481E">
          <w:rPr>
            <w:rStyle w:val="Hyperlink"/>
            <w:noProof/>
          </w:rPr>
          <w:t>PART III.</w:t>
        </w:r>
        <w:r>
          <w:rPr>
            <w:rFonts w:ascii="Aptos" w:hAnsi="Aptos"/>
            <w:noProof/>
            <w:kern w:val="2"/>
            <w:sz w:val="24"/>
          </w:rPr>
          <w:tab/>
        </w:r>
        <w:r w:rsidRPr="00FF481E">
          <w:rPr>
            <w:rStyle w:val="Hyperlink"/>
            <w:noProof/>
          </w:rPr>
          <w:t>Accounting Requirements for Covered Components</w:t>
        </w:r>
        <w:r>
          <w:rPr>
            <w:noProof/>
            <w:webHidden/>
          </w:rPr>
          <w:tab/>
        </w:r>
        <w:r>
          <w:rPr>
            <w:noProof/>
            <w:webHidden/>
          </w:rPr>
          <w:fldChar w:fldCharType="begin"/>
        </w:r>
        <w:r>
          <w:rPr>
            <w:noProof/>
            <w:webHidden/>
          </w:rPr>
          <w:instrText xml:space="preserve"> PAGEREF _Toc209771805 \h </w:instrText>
        </w:r>
        <w:r>
          <w:rPr>
            <w:noProof/>
            <w:webHidden/>
          </w:rPr>
        </w:r>
        <w:r>
          <w:rPr>
            <w:noProof/>
            <w:webHidden/>
          </w:rPr>
          <w:fldChar w:fldCharType="separate"/>
        </w:r>
        <w:r w:rsidR="00C83381">
          <w:rPr>
            <w:noProof/>
            <w:webHidden/>
          </w:rPr>
          <w:t>68</w:t>
        </w:r>
        <w:r>
          <w:rPr>
            <w:noProof/>
            <w:webHidden/>
          </w:rPr>
          <w:fldChar w:fldCharType="end"/>
        </w:r>
      </w:hyperlink>
    </w:p>
    <w:p w14:paraId="1460D5E1" w14:textId="4A1B356A" w:rsidR="002F2511" w:rsidRDefault="002F2511">
      <w:pPr>
        <w:pStyle w:val="TOC2"/>
        <w:rPr>
          <w:rFonts w:ascii="Aptos" w:hAnsi="Aptos"/>
          <w:noProof/>
          <w:kern w:val="2"/>
          <w:sz w:val="24"/>
        </w:rPr>
      </w:pPr>
      <w:hyperlink w:anchor="_Toc209771806" w:history="1">
        <w:r w:rsidRPr="00FF481E">
          <w:rPr>
            <w:rStyle w:val="Hyperlink"/>
            <w:noProof/>
          </w:rPr>
          <w:t>PART IV.</w:t>
        </w:r>
        <w:r>
          <w:rPr>
            <w:rFonts w:ascii="Aptos" w:hAnsi="Aptos"/>
            <w:noProof/>
            <w:kern w:val="2"/>
            <w:sz w:val="24"/>
          </w:rPr>
          <w:tab/>
        </w:r>
        <w:r w:rsidRPr="00FF481E">
          <w:rPr>
            <w:rStyle w:val="Hyperlink"/>
            <w:noProof/>
          </w:rPr>
          <w:t>Implementation:  Bureau Responsibilities</w:t>
        </w:r>
        <w:r>
          <w:rPr>
            <w:noProof/>
            <w:webHidden/>
          </w:rPr>
          <w:tab/>
        </w:r>
        <w:r>
          <w:rPr>
            <w:noProof/>
            <w:webHidden/>
          </w:rPr>
          <w:fldChar w:fldCharType="begin"/>
        </w:r>
        <w:r>
          <w:rPr>
            <w:noProof/>
            <w:webHidden/>
          </w:rPr>
          <w:instrText xml:space="preserve"> PAGEREF _Toc209771806 \h </w:instrText>
        </w:r>
        <w:r>
          <w:rPr>
            <w:noProof/>
            <w:webHidden/>
          </w:rPr>
        </w:r>
        <w:r>
          <w:rPr>
            <w:noProof/>
            <w:webHidden/>
          </w:rPr>
          <w:fldChar w:fldCharType="separate"/>
        </w:r>
        <w:r w:rsidR="00C83381">
          <w:rPr>
            <w:noProof/>
            <w:webHidden/>
          </w:rPr>
          <w:t>68</w:t>
        </w:r>
        <w:r>
          <w:rPr>
            <w:noProof/>
            <w:webHidden/>
          </w:rPr>
          <w:fldChar w:fldCharType="end"/>
        </w:r>
      </w:hyperlink>
    </w:p>
    <w:p w14:paraId="61F9D820" w14:textId="0A65C032" w:rsidR="002F2511" w:rsidRDefault="002F2511">
      <w:pPr>
        <w:pStyle w:val="TOC1"/>
        <w:rPr>
          <w:rFonts w:ascii="Aptos" w:hAnsi="Aptos" w:cs="Times New Roman"/>
          <w:b w:val="0"/>
          <w:bCs w:val="0"/>
          <w:noProof/>
          <w:color w:val="auto"/>
          <w:kern w:val="2"/>
          <w:sz w:val="24"/>
          <w:szCs w:val="24"/>
        </w:rPr>
      </w:pPr>
      <w:hyperlink w:anchor="_Toc209771807" w:history="1">
        <w:r w:rsidRPr="00FF481E">
          <w:rPr>
            <w:rStyle w:val="Hyperlink"/>
            <w:noProof/>
          </w:rPr>
          <w:t>Procedure 13</w:t>
        </w:r>
        <w:r>
          <w:rPr>
            <w:rFonts w:ascii="Aptos" w:hAnsi="Aptos" w:cs="Times New Roman"/>
            <w:b w:val="0"/>
            <w:bCs w:val="0"/>
            <w:noProof/>
            <w:color w:val="auto"/>
            <w:kern w:val="2"/>
            <w:sz w:val="24"/>
            <w:szCs w:val="24"/>
          </w:rPr>
          <w:tab/>
        </w:r>
        <w:r w:rsidRPr="00FF481E">
          <w:rPr>
            <w:rStyle w:val="Hyperlink"/>
            <w:noProof/>
          </w:rPr>
          <w:t>Complaints Regarding the Use and Disclosure of Confidential Information</w:t>
        </w:r>
        <w:r>
          <w:rPr>
            <w:noProof/>
            <w:webHidden/>
          </w:rPr>
          <w:tab/>
        </w:r>
        <w:r>
          <w:rPr>
            <w:noProof/>
            <w:webHidden/>
          </w:rPr>
          <w:fldChar w:fldCharType="begin"/>
        </w:r>
        <w:r>
          <w:rPr>
            <w:noProof/>
            <w:webHidden/>
          </w:rPr>
          <w:instrText xml:space="preserve"> PAGEREF _Toc209771807 \h </w:instrText>
        </w:r>
        <w:r>
          <w:rPr>
            <w:noProof/>
            <w:webHidden/>
          </w:rPr>
        </w:r>
        <w:r>
          <w:rPr>
            <w:noProof/>
            <w:webHidden/>
          </w:rPr>
          <w:fldChar w:fldCharType="separate"/>
        </w:r>
        <w:r w:rsidR="00C83381">
          <w:rPr>
            <w:noProof/>
            <w:webHidden/>
          </w:rPr>
          <w:t>72</w:t>
        </w:r>
        <w:r>
          <w:rPr>
            <w:noProof/>
            <w:webHidden/>
          </w:rPr>
          <w:fldChar w:fldCharType="end"/>
        </w:r>
      </w:hyperlink>
    </w:p>
    <w:p w14:paraId="48E53717" w14:textId="798770B2" w:rsidR="002F2511" w:rsidRDefault="002F2511">
      <w:pPr>
        <w:pStyle w:val="TOC2"/>
        <w:rPr>
          <w:rFonts w:ascii="Aptos" w:hAnsi="Aptos"/>
          <w:noProof/>
          <w:kern w:val="2"/>
          <w:sz w:val="24"/>
        </w:rPr>
      </w:pPr>
      <w:hyperlink w:anchor="_Toc209771808" w:history="1">
        <w:r w:rsidRPr="00FF481E">
          <w:rPr>
            <w:rStyle w:val="Hyperlink"/>
            <w:noProof/>
          </w:rPr>
          <w:t>PART I.</w:t>
        </w:r>
        <w:r>
          <w:rPr>
            <w:rFonts w:ascii="Aptos" w:hAnsi="Aptos"/>
            <w:noProof/>
            <w:kern w:val="2"/>
            <w:sz w:val="24"/>
          </w:rPr>
          <w:tab/>
        </w:r>
        <w:r w:rsidRPr="00FF481E">
          <w:rPr>
            <w:rStyle w:val="Hyperlink"/>
            <w:noProof/>
          </w:rPr>
          <w:t>Purpose and Scope</w:t>
        </w:r>
        <w:r>
          <w:rPr>
            <w:noProof/>
            <w:webHidden/>
          </w:rPr>
          <w:tab/>
        </w:r>
        <w:r>
          <w:rPr>
            <w:noProof/>
            <w:webHidden/>
          </w:rPr>
          <w:fldChar w:fldCharType="begin"/>
        </w:r>
        <w:r>
          <w:rPr>
            <w:noProof/>
            <w:webHidden/>
          </w:rPr>
          <w:instrText xml:space="preserve"> PAGEREF _Toc209771808 \h </w:instrText>
        </w:r>
        <w:r>
          <w:rPr>
            <w:noProof/>
            <w:webHidden/>
          </w:rPr>
        </w:r>
        <w:r>
          <w:rPr>
            <w:noProof/>
            <w:webHidden/>
          </w:rPr>
          <w:fldChar w:fldCharType="separate"/>
        </w:r>
        <w:r w:rsidR="00C83381">
          <w:rPr>
            <w:noProof/>
            <w:webHidden/>
          </w:rPr>
          <w:t>72</w:t>
        </w:r>
        <w:r>
          <w:rPr>
            <w:noProof/>
            <w:webHidden/>
          </w:rPr>
          <w:fldChar w:fldCharType="end"/>
        </w:r>
      </w:hyperlink>
    </w:p>
    <w:p w14:paraId="1C7F43AD" w14:textId="5371960D" w:rsidR="002F2511" w:rsidRDefault="002F2511">
      <w:pPr>
        <w:pStyle w:val="TOC2"/>
        <w:rPr>
          <w:rFonts w:ascii="Aptos" w:hAnsi="Aptos"/>
          <w:noProof/>
          <w:kern w:val="2"/>
          <w:sz w:val="24"/>
        </w:rPr>
      </w:pPr>
      <w:hyperlink w:anchor="_Toc209771809" w:history="1">
        <w:r w:rsidRPr="00FF481E">
          <w:rPr>
            <w:rStyle w:val="Hyperlink"/>
            <w:noProof/>
          </w:rPr>
          <w:t>PART II.</w:t>
        </w:r>
        <w:r>
          <w:rPr>
            <w:rFonts w:ascii="Aptos" w:hAnsi="Aptos"/>
            <w:noProof/>
            <w:kern w:val="2"/>
            <w:sz w:val="24"/>
          </w:rPr>
          <w:tab/>
        </w:r>
        <w:r w:rsidRPr="00FF481E">
          <w:rPr>
            <w:rStyle w:val="Hyperlink"/>
            <w:noProof/>
            <w:snapToGrid w:val="0"/>
          </w:rPr>
          <w:t>Process for Filing a Complaint</w:t>
        </w:r>
        <w:r>
          <w:rPr>
            <w:noProof/>
            <w:webHidden/>
          </w:rPr>
          <w:tab/>
        </w:r>
        <w:r>
          <w:rPr>
            <w:noProof/>
            <w:webHidden/>
          </w:rPr>
          <w:fldChar w:fldCharType="begin"/>
        </w:r>
        <w:r>
          <w:rPr>
            <w:noProof/>
            <w:webHidden/>
          </w:rPr>
          <w:instrText xml:space="preserve"> PAGEREF _Toc209771809 \h </w:instrText>
        </w:r>
        <w:r>
          <w:rPr>
            <w:noProof/>
            <w:webHidden/>
          </w:rPr>
        </w:r>
        <w:r>
          <w:rPr>
            <w:noProof/>
            <w:webHidden/>
          </w:rPr>
          <w:fldChar w:fldCharType="separate"/>
        </w:r>
        <w:r w:rsidR="00C83381">
          <w:rPr>
            <w:noProof/>
            <w:webHidden/>
          </w:rPr>
          <w:t>72</w:t>
        </w:r>
        <w:r>
          <w:rPr>
            <w:noProof/>
            <w:webHidden/>
          </w:rPr>
          <w:fldChar w:fldCharType="end"/>
        </w:r>
      </w:hyperlink>
    </w:p>
    <w:p w14:paraId="595400EA" w14:textId="6E944701" w:rsidR="002F2511" w:rsidRDefault="002F2511">
      <w:pPr>
        <w:pStyle w:val="TOC2"/>
        <w:rPr>
          <w:rFonts w:ascii="Aptos" w:hAnsi="Aptos"/>
          <w:noProof/>
          <w:kern w:val="2"/>
          <w:sz w:val="24"/>
        </w:rPr>
      </w:pPr>
      <w:hyperlink w:anchor="_Toc209771810" w:history="1">
        <w:r w:rsidRPr="00FF481E">
          <w:rPr>
            <w:rStyle w:val="Hyperlink"/>
            <w:noProof/>
          </w:rPr>
          <w:t>PART III.</w:t>
        </w:r>
        <w:r>
          <w:rPr>
            <w:rFonts w:ascii="Aptos" w:hAnsi="Aptos"/>
            <w:noProof/>
            <w:kern w:val="2"/>
            <w:sz w:val="24"/>
          </w:rPr>
          <w:tab/>
        </w:r>
        <w:r w:rsidRPr="00FF481E">
          <w:rPr>
            <w:rStyle w:val="Hyperlink"/>
            <w:noProof/>
          </w:rPr>
          <w:t>Investigation of Complaints</w:t>
        </w:r>
        <w:r>
          <w:rPr>
            <w:noProof/>
            <w:webHidden/>
          </w:rPr>
          <w:tab/>
        </w:r>
        <w:r>
          <w:rPr>
            <w:noProof/>
            <w:webHidden/>
          </w:rPr>
          <w:fldChar w:fldCharType="begin"/>
        </w:r>
        <w:r>
          <w:rPr>
            <w:noProof/>
            <w:webHidden/>
          </w:rPr>
          <w:instrText xml:space="preserve"> PAGEREF _Toc209771810 \h </w:instrText>
        </w:r>
        <w:r>
          <w:rPr>
            <w:noProof/>
            <w:webHidden/>
          </w:rPr>
        </w:r>
        <w:r>
          <w:rPr>
            <w:noProof/>
            <w:webHidden/>
          </w:rPr>
          <w:fldChar w:fldCharType="separate"/>
        </w:r>
        <w:r w:rsidR="00C83381">
          <w:rPr>
            <w:noProof/>
            <w:webHidden/>
          </w:rPr>
          <w:t>72</w:t>
        </w:r>
        <w:r>
          <w:rPr>
            <w:noProof/>
            <w:webHidden/>
          </w:rPr>
          <w:fldChar w:fldCharType="end"/>
        </w:r>
      </w:hyperlink>
    </w:p>
    <w:p w14:paraId="06B3EC46" w14:textId="2411141F" w:rsidR="002F2511" w:rsidRDefault="002F2511">
      <w:pPr>
        <w:pStyle w:val="TOC1"/>
        <w:rPr>
          <w:rFonts w:ascii="Aptos" w:hAnsi="Aptos" w:cs="Times New Roman"/>
          <w:b w:val="0"/>
          <w:bCs w:val="0"/>
          <w:noProof/>
          <w:color w:val="auto"/>
          <w:kern w:val="2"/>
          <w:sz w:val="24"/>
          <w:szCs w:val="24"/>
        </w:rPr>
      </w:pPr>
      <w:hyperlink w:anchor="_Toc209771811" w:history="1">
        <w:r w:rsidRPr="00FF481E">
          <w:rPr>
            <w:rStyle w:val="Hyperlink"/>
            <w:noProof/>
          </w:rPr>
          <w:t>Procedure 14</w:t>
        </w:r>
        <w:r>
          <w:rPr>
            <w:rFonts w:ascii="Aptos" w:hAnsi="Aptos" w:cs="Times New Roman"/>
            <w:b w:val="0"/>
            <w:bCs w:val="0"/>
            <w:noProof/>
            <w:color w:val="auto"/>
            <w:kern w:val="2"/>
            <w:sz w:val="24"/>
            <w:szCs w:val="24"/>
          </w:rPr>
          <w:tab/>
        </w:r>
        <w:r w:rsidRPr="00FF481E">
          <w:rPr>
            <w:rStyle w:val="Hyperlink"/>
            <w:noProof/>
          </w:rPr>
          <w:t>Confidentiality Agreements</w:t>
        </w:r>
        <w:r>
          <w:rPr>
            <w:noProof/>
            <w:webHidden/>
          </w:rPr>
          <w:tab/>
        </w:r>
        <w:r>
          <w:rPr>
            <w:noProof/>
            <w:webHidden/>
          </w:rPr>
          <w:fldChar w:fldCharType="begin"/>
        </w:r>
        <w:r>
          <w:rPr>
            <w:noProof/>
            <w:webHidden/>
          </w:rPr>
          <w:instrText xml:space="preserve"> PAGEREF _Toc209771811 \h </w:instrText>
        </w:r>
        <w:r>
          <w:rPr>
            <w:noProof/>
            <w:webHidden/>
          </w:rPr>
        </w:r>
        <w:r>
          <w:rPr>
            <w:noProof/>
            <w:webHidden/>
          </w:rPr>
          <w:fldChar w:fldCharType="separate"/>
        </w:r>
        <w:r w:rsidR="00C83381">
          <w:rPr>
            <w:noProof/>
            <w:webHidden/>
          </w:rPr>
          <w:t>74</w:t>
        </w:r>
        <w:r>
          <w:rPr>
            <w:noProof/>
            <w:webHidden/>
          </w:rPr>
          <w:fldChar w:fldCharType="end"/>
        </w:r>
      </w:hyperlink>
    </w:p>
    <w:p w14:paraId="3F7BF60C" w14:textId="5DFD6175" w:rsidR="002F2511" w:rsidRDefault="002F2511">
      <w:pPr>
        <w:pStyle w:val="TOC2"/>
        <w:rPr>
          <w:rFonts w:ascii="Aptos" w:hAnsi="Aptos"/>
          <w:noProof/>
          <w:kern w:val="2"/>
          <w:sz w:val="24"/>
        </w:rPr>
      </w:pPr>
      <w:hyperlink w:anchor="_Toc209771812" w:history="1">
        <w:r w:rsidRPr="00FF481E">
          <w:rPr>
            <w:rStyle w:val="Hyperlink"/>
            <w:noProof/>
          </w:rPr>
          <w:t>PART I.</w:t>
        </w:r>
        <w:r>
          <w:rPr>
            <w:rFonts w:ascii="Aptos" w:hAnsi="Aptos"/>
            <w:noProof/>
            <w:kern w:val="2"/>
            <w:sz w:val="24"/>
          </w:rPr>
          <w:tab/>
        </w:r>
        <w:r w:rsidRPr="00FF481E">
          <w:rPr>
            <w:rStyle w:val="Hyperlink"/>
            <w:noProof/>
          </w:rPr>
          <w:t>Purpose &amp; definitions</w:t>
        </w:r>
        <w:r>
          <w:rPr>
            <w:noProof/>
            <w:webHidden/>
          </w:rPr>
          <w:tab/>
        </w:r>
        <w:r>
          <w:rPr>
            <w:noProof/>
            <w:webHidden/>
          </w:rPr>
          <w:fldChar w:fldCharType="begin"/>
        </w:r>
        <w:r>
          <w:rPr>
            <w:noProof/>
            <w:webHidden/>
          </w:rPr>
          <w:instrText xml:space="preserve"> PAGEREF _Toc209771812 \h </w:instrText>
        </w:r>
        <w:r>
          <w:rPr>
            <w:noProof/>
            <w:webHidden/>
          </w:rPr>
        </w:r>
        <w:r>
          <w:rPr>
            <w:noProof/>
            <w:webHidden/>
          </w:rPr>
          <w:fldChar w:fldCharType="separate"/>
        </w:r>
        <w:r w:rsidR="00C83381">
          <w:rPr>
            <w:noProof/>
            <w:webHidden/>
          </w:rPr>
          <w:t>74</w:t>
        </w:r>
        <w:r>
          <w:rPr>
            <w:noProof/>
            <w:webHidden/>
          </w:rPr>
          <w:fldChar w:fldCharType="end"/>
        </w:r>
      </w:hyperlink>
    </w:p>
    <w:p w14:paraId="119B022E" w14:textId="36E3FA9C" w:rsidR="002F2511" w:rsidRDefault="002F2511">
      <w:pPr>
        <w:pStyle w:val="TOC2"/>
        <w:rPr>
          <w:rFonts w:ascii="Aptos" w:hAnsi="Aptos"/>
          <w:noProof/>
          <w:kern w:val="2"/>
          <w:sz w:val="24"/>
        </w:rPr>
      </w:pPr>
      <w:hyperlink w:anchor="_Toc209771813" w:history="1">
        <w:r w:rsidRPr="00FF481E">
          <w:rPr>
            <w:rStyle w:val="Hyperlink"/>
            <w:noProof/>
          </w:rPr>
          <w:t>PART II.</w:t>
        </w:r>
        <w:r>
          <w:rPr>
            <w:rFonts w:ascii="Aptos" w:hAnsi="Aptos"/>
            <w:noProof/>
            <w:kern w:val="2"/>
            <w:sz w:val="24"/>
          </w:rPr>
          <w:tab/>
        </w:r>
        <w:r w:rsidRPr="00FF481E">
          <w:rPr>
            <w:rStyle w:val="Hyperlink"/>
            <w:noProof/>
          </w:rPr>
          <w:t>Which Form to Use</w:t>
        </w:r>
        <w:r>
          <w:rPr>
            <w:noProof/>
            <w:webHidden/>
          </w:rPr>
          <w:tab/>
        </w:r>
        <w:r>
          <w:rPr>
            <w:noProof/>
            <w:webHidden/>
          </w:rPr>
          <w:fldChar w:fldCharType="begin"/>
        </w:r>
        <w:r>
          <w:rPr>
            <w:noProof/>
            <w:webHidden/>
          </w:rPr>
          <w:instrText xml:space="preserve"> PAGEREF _Toc209771813 \h </w:instrText>
        </w:r>
        <w:r>
          <w:rPr>
            <w:noProof/>
            <w:webHidden/>
          </w:rPr>
        </w:r>
        <w:r>
          <w:rPr>
            <w:noProof/>
            <w:webHidden/>
          </w:rPr>
          <w:fldChar w:fldCharType="separate"/>
        </w:r>
        <w:r w:rsidR="00C83381">
          <w:rPr>
            <w:noProof/>
            <w:webHidden/>
          </w:rPr>
          <w:t>75</w:t>
        </w:r>
        <w:r>
          <w:rPr>
            <w:noProof/>
            <w:webHidden/>
          </w:rPr>
          <w:fldChar w:fldCharType="end"/>
        </w:r>
      </w:hyperlink>
    </w:p>
    <w:p w14:paraId="02AF4DB2" w14:textId="46E6EA38" w:rsidR="002F2511" w:rsidRDefault="002F2511">
      <w:pPr>
        <w:pStyle w:val="TOC2"/>
        <w:rPr>
          <w:rFonts w:ascii="Aptos" w:hAnsi="Aptos"/>
          <w:noProof/>
          <w:kern w:val="2"/>
          <w:sz w:val="24"/>
        </w:rPr>
      </w:pPr>
      <w:hyperlink w:anchor="_Toc209771814" w:history="1">
        <w:r w:rsidRPr="00FF481E">
          <w:rPr>
            <w:rStyle w:val="Hyperlink"/>
            <w:noProof/>
          </w:rPr>
          <w:t>PART III.</w:t>
        </w:r>
        <w:r>
          <w:rPr>
            <w:rFonts w:ascii="Aptos" w:hAnsi="Aptos"/>
            <w:noProof/>
            <w:kern w:val="2"/>
            <w:sz w:val="24"/>
          </w:rPr>
          <w:tab/>
        </w:r>
        <w:r w:rsidRPr="00FF481E">
          <w:rPr>
            <w:rStyle w:val="Hyperlink"/>
            <w:noProof/>
          </w:rPr>
          <w:t>Completing the Confidentiality Agreement</w:t>
        </w:r>
        <w:r>
          <w:rPr>
            <w:noProof/>
            <w:webHidden/>
          </w:rPr>
          <w:tab/>
        </w:r>
        <w:r>
          <w:rPr>
            <w:noProof/>
            <w:webHidden/>
          </w:rPr>
          <w:fldChar w:fldCharType="begin"/>
        </w:r>
        <w:r>
          <w:rPr>
            <w:noProof/>
            <w:webHidden/>
          </w:rPr>
          <w:instrText xml:space="preserve"> PAGEREF _Toc209771814 \h </w:instrText>
        </w:r>
        <w:r>
          <w:rPr>
            <w:noProof/>
            <w:webHidden/>
          </w:rPr>
        </w:r>
        <w:r>
          <w:rPr>
            <w:noProof/>
            <w:webHidden/>
          </w:rPr>
          <w:fldChar w:fldCharType="separate"/>
        </w:r>
        <w:r w:rsidR="00C83381">
          <w:rPr>
            <w:noProof/>
            <w:webHidden/>
          </w:rPr>
          <w:t>75</w:t>
        </w:r>
        <w:r>
          <w:rPr>
            <w:noProof/>
            <w:webHidden/>
          </w:rPr>
          <w:fldChar w:fldCharType="end"/>
        </w:r>
      </w:hyperlink>
    </w:p>
    <w:p w14:paraId="1A4454DF" w14:textId="53E70A11" w:rsidR="002F2511" w:rsidRDefault="002F2511">
      <w:pPr>
        <w:pStyle w:val="TOC1"/>
        <w:rPr>
          <w:rFonts w:ascii="Aptos" w:hAnsi="Aptos" w:cs="Times New Roman"/>
          <w:b w:val="0"/>
          <w:bCs w:val="0"/>
          <w:noProof/>
          <w:color w:val="auto"/>
          <w:kern w:val="2"/>
          <w:sz w:val="24"/>
          <w:szCs w:val="24"/>
        </w:rPr>
      </w:pPr>
      <w:hyperlink w:anchor="_Toc209771815" w:history="1">
        <w:r w:rsidRPr="00FF481E">
          <w:rPr>
            <w:rStyle w:val="Hyperlink"/>
            <w:noProof/>
          </w:rPr>
          <w:t>Procedure CC-1  Notice of Privacy Practices</w:t>
        </w:r>
        <w:r>
          <w:rPr>
            <w:noProof/>
            <w:webHidden/>
          </w:rPr>
          <w:tab/>
        </w:r>
        <w:r>
          <w:rPr>
            <w:noProof/>
            <w:webHidden/>
          </w:rPr>
          <w:fldChar w:fldCharType="begin"/>
        </w:r>
        <w:r>
          <w:rPr>
            <w:noProof/>
            <w:webHidden/>
          </w:rPr>
          <w:instrText xml:space="preserve"> PAGEREF _Toc209771815 \h </w:instrText>
        </w:r>
        <w:r>
          <w:rPr>
            <w:noProof/>
            <w:webHidden/>
          </w:rPr>
        </w:r>
        <w:r>
          <w:rPr>
            <w:noProof/>
            <w:webHidden/>
          </w:rPr>
          <w:fldChar w:fldCharType="separate"/>
        </w:r>
        <w:r w:rsidR="00C83381">
          <w:rPr>
            <w:noProof/>
            <w:webHidden/>
          </w:rPr>
          <w:t>78</w:t>
        </w:r>
        <w:r>
          <w:rPr>
            <w:noProof/>
            <w:webHidden/>
          </w:rPr>
          <w:fldChar w:fldCharType="end"/>
        </w:r>
      </w:hyperlink>
    </w:p>
    <w:p w14:paraId="4A78B320" w14:textId="21DFEFA3" w:rsidR="002F2511" w:rsidRDefault="002F2511">
      <w:pPr>
        <w:pStyle w:val="TOC2"/>
        <w:rPr>
          <w:rFonts w:ascii="Aptos" w:hAnsi="Aptos"/>
          <w:noProof/>
          <w:kern w:val="2"/>
          <w:sz w:val="24"/>
        </w:rPr>
      </w:pPr>
      <w:hyperlink w:anchor="_Toc209771816" w:history="1">
        <w:r w:rsidRPr="00FF481E">
          <w:rPr>
            <w:rStyle w:val="Hyperlink"/>
            <w:noProof/>
          </w:rPr>
          <w:t>PART I.</w:t>
        </w:r>
        <w:r>
          <w:rPr>
            <w:rFonts w:ascii="Aptos" w:hAnsi="Aptos"/>
            <w:noProof/>
            <w:kern w:val="2"/>
            <w:sz w:val="24"/>
          </w:rPr>
          <w:tab/>
        </w:r>
        <w:r w:rsidRPr="00FF481E">
          <w:rPr>
            <w:rStyle w:val="Hyperlink"/>
            <w:noProof/>
          </w:rPr>
          <w:t>Purpose and Scope</w:t>
        </w:r>
        <w:r>
          <w:rPr>
            <w:noProof/>
            <w:webHidden/>
          </w:rPr>
          <w:tab/>
        </w:r>
        <w:r>
          <w:rPr>
            <w:noProof/>
            <w:webHidden/>
          </w:rPr>
          <w:fldChar w:fldCharType="begin"/>
        </w:r>
        <w:r>
          <w:rPr>
            <w:noProof/>
            <w:webHidden/>
          </w:rPr>
          <w:instrText xml:space="preserve"> PAGEREF _Toc209771816 \h </w:instrText>
        </w:r>
        <w:r>
          <w:rPr>
            <w:noProof/>
            <w:webHidden/>
          </w:rPr>
        </w:r>
        <w:r>
          <w:rPr>
            <w:noProof/>
            <w:webHidden/>
          </w:rPr>
          <w:fldChar w:fldCharType="separate"/>
        </w:r>
        <w:r w:rsidR="00C83381">
          <w:rPr>
            <w:noProof/>
            <w:webHidden/>
          </w:rPr>
          <w:t>78</w:t>
        </w:r>
        <w:r>
          <w:rPr>
            <w:noProof/>
            <w:webHidden/>
          </w:rPr>
          <w:fldChar w:fldCharType="end"/>
        </w:r>
      </w:hyperlink>
    </w:p>
    <w:p w14:paraId="137CA161" w14:textId="382AF927" w:rsidR="002F2511" w:rsidRDefault="002F2511">
      <w:pPr>
        <w:pStyle w:val="TOC2"/>
        <w:rPr>
          <w:rFonts w:ascii="Aptos" w:hAnsi="Aptos"/>
          <w:noProof/>
          <w:kern w:val="2"/>
          <w:sz w:val="24"/>
        </w:rPr>
      </w:pPr>
      <w:hyperlink w:anchor="_Toc209771817" w:history="1">
        <w:r w:rsidRPr="00FF481E">
          <w:rPr>
            <w:rStyle w:val="Hyperlink"/>
            <w:noProof/>
          </w:rPr>
          <w:t>PART II.</w:t>
        </w:r>
        <w:r>
          <w:rPr>
            <w:rFonts w:ascii="Aptos" w:hAnsi="Aptos"/>
            <w:noProof/>
            <w:kern w:val="2"/>
            <w:sz w:val="24"/>
          </w:rPr>
          <w:tab/>
        </w:r>
        <w:r w:rsidRPr="00FF481E">
          <w:rPr>
            <w:rStyle w:val="Hyperlink"/>
            <w:noProof/>
          </w:rPr>
          <w:t>General Requirements</w:t>
        </w:r>
        <w:r>
          <w:rPr>
            <w:noProof/>
            <w:webHidden/>
          </w:rPr>
          <w:tab/>
        </w:r>
        <w:r>
          <w:rPr>
            <w:noProof/>
            <w:webHidden/>
          </w:rPr>
          <w:fldChar w:fldCharType="begin"/>
        </w:r>
        <w:r>
          <w:rPr>
            <w:noProof/>
            <w:webHidden/>
          </w:rPr>
          <w:instrText xml:space="preserve"> PAGEREF _Toc209771817 \h </w:instrText>
        </w:r>
        <w:r>
          <w:rPr>
            <w:noProof/>
            <w:webHidden/>
          </w:rPr>
        </w:r>
        <w:r>
          <w:rPr>
            <w:noProof/>
            <w:webHidden/>
          </w:rPr>
          <w:fldChar w:fldCharType="separate"/>
        </w:r>
        <w:r w:rsidR="00C83381">
          <w:rPr>
            <w:noProof/>
            <w:webHidden/>
          </w:rPr>
          <w:t>78</w:t>
        </w:r>
        <w:r>
          <w:rPr>
            <w:noProof/>
            <w:webHidden/>
          </w:rPr>
          <w:fldChar w:fldCharType="end"/>
        </w:r>
      </w:hyperlink>
    </w:p>
    <w:p w14:paraId="2F47B60B" w14:textId="52B95F2E" w:rsidR="002F2511" w:rsidRDefault="002F2511">
      <w:pPr>
        <w:pStyle w:val="TOC2"/>
        <w:rPr>
          <w:rFonts w:ascii="Aptos" w:hAnsi="Aptos"/>
          <w:noProof/>
          <w:kern w:val="2"/>
          <w:sz w:val="24"/>
        </w:rPr>
      </w:pPr>
      <w:hyperlink w:anchor="_Toc209771818" w:history="1">
        <w:r w:rsidRPr="00FF481E">
          <w:rPr>
            <w:rStyle w:val="Hyperlink"/>
            <w:noProof/>
          </w:rPr>
          <w:t>PART III.</w:t>
        </w:r>
        <w:r>
          <w:rPr>
            <w:rFonts w:ascii="Aptos" w:hAnsi="Aptos"/>
            <w:noProof/>
            <w:kern w:val="2"/>
            <w:sz w:val="24"/>
          </w:rPr>
          <w:tab/>
        </w:r>
        <w:r w:rsidRPr="00FF481E">
          <w:rPr>
            <w:rStyle w:val="Hyperlink"/>
            <w:noProof/>
          </w:rPr>
          <w:t>Required Content</w:t>
        </w:r>
        <w:r>
          <w:rPr>
            <w:noProof/>
            <w:webHidden/>
          </w:rPr>
          <w:tab/>
        </w:r>
        <w:r>
          <w:rPr>
            <w:noProof/>
            <w:webHidden/>
          </w:rPr>
          <w:fldChar w:fldCharType="begin"/>
        </w:r>
        <w:r>
          <w:rPr>
            <w:noProof/>
            <w:webHidden/>
          </w:rPr>
          <w:instrText xml:space="preserve"> PAGEREF _Toc209771818 \h </w:instrText>
        </w:r>
        <w:r>
          <w:rPr>
            <w:noProof/>
            <w:webHidden/>
          </w:rPr>
        </w:r>
        <w:r>
          <w:rPr>
            <w:noProof/>
            <w:webHidden/>
          </w:rPr>
          <w:fldChar w:fldCharType="separate"/>
        </w:r>
        <w:r w:rsidR="00C83381">
          <w:rPr>
            <w:noProof/>
            <w:webHidden/>
          </w:rPr>
          <w:t>78</w:t>
        </w:r>
        <w:r>
          <w:rPr>
            <w:noProof/>
            <w:webHidden/>
          </w:rPr>
          <w:fldChar w:fldCharType="end"/>
        </w:r>
      </w:hyperlink>
    </w:p>
    <w:p w14:paraId="6D1F997D" w14:textId="12134EA9" w:rsidR="002F2511" w:rsidRDefault="002F2511">
      <w:pPr>
        <w:pStyle w:val="TOC2"/>
        <w:rPr>
          <w:rFonts w:ascii="Aptos" w:hAnsi="Aptos"/>
          <w:noProof/>
          <w:kern w:val="2"/>
          <w:sz w:val="24"/>
        </w:rPr>
      </w:pPr>
      <w:hyperlink w:anchor="_Toc209771819" w:history="1">
        <w:r w:rsidRPr="00FF481E">
          <w:rPr>
            <w:rStyle w:val="Hyperlink"/>
            <w:noProof/>
          </w:rPr>
          <w:t>PART IV.</w:t>
        </w:r>
        <w:r>
          <w:rPr>
            <w:rFonts w:ascii="Aptos" w:hAnsi="Aptos"/>
            <w:noProof/>
            <w:kern w:val="2"/>
            <w:sz w:val="24"/>
          </w:rPr>
          <w:tab/>
        </w:r>
        <w:r w:rsidRPr="00FF481E">
          <w:rPr>
            <w:rStyle w:val="Hyperlink"/>
            <w:noProof/>
          </w:rPr>
          <w:t>Revisions</w:t>
        </w:r>
        <w:r>
          <w:rPr>
            <w:noProof/>
            <w:webHidden/>
          </w:rPr>
          <w:tab/>
        </w:r>
        <w:r>
          <w:rPr>
            <w:noProof/>
            <w:webHidden/>
          </w:rPr>
          <w:fldChar w:fldCharType="begin"/>
        </w:r>
        <w:r>
          <w:rPr>
            <w:noProof/>
            <w:webHidden/>
          </w:rPr>
          <w:instrText xml:space="preserve"> PAGEREF _Toc209771819 \h </w:instrText>
        </w:r>
        <w:r>
          <w:rPr>
            <w:noProof/>
            <w:webHidden/>
          </w:rPr>
        </w:r>
        <w:r>
          <w:rPr>
            <w:noProof/>
            <w:webHidden/>
          </w:rPr>
          <w:fldChar w:fldCharType="separate"/>
        </w:r>
        <w:r w:rsidR="00C83381">
          <w:rPr>
            <w:noProof/>
            <w:webHidden/>
          </w:rPr>
          <w:t>80</w:t>
        </w:r>
        <w:r>
          <w:rPr>
            <w:noProof/>
            <w:webHidden/>
          </w:rPr>
          <w:fldChar w:fldCharType="end"/>
        </w:r>
      </w:hyperlink>
    </w:p>
    <w:p w14:paraId="705033EA" w14:textId="42D12F77" w:rsidR="002F2511" w:rsidRDefault="002F2511">
      <w:pPr>
        <w:pStyle w:val="TOC2"/>
        <w:rPr>
          <w:rFonts w:ascii="Aptos" w:hAnsi="Aptos"/>
          <w:noProof/>
          <w:kern w:val="2"/>
          <w:sz w:val="24"/>
        </w:rPr>
      </w:pPr>
      <w:hyperlink w:anchor="_Toc209771820" w:history="1">
        <w:r w:rsidRPr="00FF481E">
          <w:rPr>
            <w:rStyle w:val="Hyperlink"/>
            <w:noProof/>
          </w:rPr>
          <w:t>PART V.</w:t>
        </w:r>
        <w:r>
          <w:rPr>
            <w:rFonts w:ascii="Aptos" w:hAnsi="Aptos"/>
            <w:noProof/>
            <w:kern w:val="2"/>
            <w:sz w:val="24"/>
          </w:rPr>
          <w:tab/>
        </w:r>
        <w:r w:rsidRPr="00FF481E">
          <w:rPr>
            <w:rStyle w:val="Hyperlink"/>
            <w:noProof/>
          </w:rPr>
          <w:t>Provision and Distribution of the Notice</w:t>
        </w:r>
        <w:r>
          <w:rPr>
            <w:noProof/>
            <w:webHidden/>
          </w:rPr>
          <w:tab/>
        </w:r>
        <w:r>
          <w:rPr>
            <w:noProof/>
            <w:webHidden/>
          </w:rPr>
          <w:fldChar w:fldCharType="begin"/>
        </w:r>
        <w:r>
          <w:rPr>
            <w:noProof/>
            <w:webHidden/>
          </w:rPr>
          <w:instrText xml:space="preserve"> PAGEREF _Toc209771820 \h </w:instrText>
        </w:r>
        <w:r>
          <w:rPr>
            <w:noProof/>
            <w:webHidden/>
          </w:rPr>
        </w:r>
        <w:r>
          <w:rPr>
            <w:noProof/>
            <w:webHidden/>
          </w:rPr>
          <w:fldChar w:fldCharType="separate"/>
        </w:r>
        <w:r w:rsidR="00C83381">
          <w:rPr>
            <w:noProof/>
            <w:webHidden/>
          </w:rPr>
          <w:t>80</w:t>
        </w:r>
        <w:r>
          <w:rPr>
            <w:noProof/>
            <w:webHidden/>
          </w:rPr>
          <w:fldChar w:fldCharType="end"/>
        </w:r>
      </w:hyperlink>
    </w:p>
    <w:p w14:paraId="4FE47A3D" w14:textId="7A5C5B7E" w:rsidR="002F2511" w:rsidRDefault="002F2511">
      <w:pPr>
        <w:pStyle w:val="TOC2"/>
        <w:rPr>
          <w:rFonts w:ascii="Aptos" w:hAnsi="Aptos"/>
          <w:noProof/>
          <w:kern w:val="2"/>
          <w:sz w:val="24"/>
        </w:rPr>
      </w:pPr>
      <w:hyperlink w:anchor="_Toc209771821" w:history="1">
        <w:r w:rsidRPr="00FF481E">
          <w:rPr>
            <w:rStyle w:val="Hyperlink"/>
            <w:noProof/>
          </w:rPr>
          <w:t>PART VI.</w:t>
        </w:r>
        <w:r>
          <w:rPr>
            <w:rFonts w:ascii="Aptos" w:hAnsi="Aptos"/>
            <w:noProof/>
            <w:kern w:val="2"/>
            <w:sz w:val="24"/>
          </w:rPr>
          <w:tab/>
        </w:r>
        <w:r w:rsidRPr="00FF481E">
          <w:rPr>
            <w:rStyle w:val="Hyperlink"/>
            <w:noProof/>
          </w:rPr>
          <w:t>Documentation Requirements</w:t>
        </w:r>
        <w:r>
          <w:rPr>
            <w:noProof/>
            <w:webHidden/>
          </w:rPr>
          <w:tab/>
        </w:r>
        <w:r>
          <w:rPr>
            <w:noProof/>
            <w:webHidden/>
          </w:rPr>
          <w:fldChar w:fldCharType="begin"/>
        </w:r>
        <w:r>
          <w:rPr>
            <w:noProof/>
            <w:webHidden/>
          </w:rPr>
          <w:instrText xml:space="preserve"> PAGEREF _Toc209771821 \h </w:instrText>
        </w:r>
        <w:r>
          <w:rPr>
            <w:noProof/>
            <w:webHidden/>
          </w:rPr>
        </w:r>
        <w:r>
          <w:rPr>
            <w:noProof/>
            <w:webHidden/>
          </w:rPr>
          <w:fldChar w:fldCharType="separate"/>
        </w:r>
        <w:r w:rsidR="00C83381">
          <w:rPr>
            <w:noProof/>
            <w:webHidden/>
          </w:rPr>
          <w:t>81</w:t>
        </w:r>
        <w:r>
          <w:rPr>
            <w:noProof/>
            <w:webHidden/>
          </w:rPr>
          <w:fldChar w:fldCharType="end"/>
        </w:r>
      </w:hyperlink>
    </w:p>
    <w:p w14:paraId="0B325519" w14:textId="56588A28" w:rsidR="002F2511" w:rsidRDefault="002F2511">
      <w:pPr>
        <w:pStyle w:val="TOC1"/>
        <w:rPr>
          <w:rFonts w:ascii="Aptos" w:hAnsi="Aptos" w:cs="Times New Roman"/>
          <w:b w:val="0"/>
          <w:bCs w:val="0"/>
          <w:noProof/>
          <w:color w:val="auto"/>
          <w:kern w:val="2"/>
          <w:sz w:val="24"/>
          <w:szCs w:val="24"/>
        </w:rPr>
      </w:pPr>
      <w:hyperlink w:anchor="_Toc209771822" w:history="1">
        <w:r w:rsidRPr="00FF481E">
          <w:rPr>
            <w:rStyle w:val="Hyperlink"/>
            <w:noProof/>
          </w:rPr>
          <w:t>Procedure CC-2  Business Associate Agreements</w:t>
        </w:r>
        <w:r>
          <w:rPr>
            <w:noProof/>
            <w:webHidden/>
          </w:rPr>
          <w:tab/>
        </w:r>
        <w:r>
          <w:rPr>
            <w:noProof/>
            <w:webHidden/>
          </w:rPr>
          <w:fldChar w:fldCharType="begin"/>
        </w:r>
        <w:r>
          <w:rPr>
            <w:noProof/>
            <w:webHidden/>
          </w:rPr>
          <w:instrText xml:space="preserve"> PAGEREF _Toc209771822 \h </w:instrText>
        </w:r>
        <w:r>
          <w:rPr>
            <w:noProof/>
            <w:webHidden/>
          </w:rPr>
        </w:r>
        <w:r>
          <w:rPr>
            <w:noProof/>
            <w:webHidden/>
          </w:rPr>
          <w:fldChar w:fldCharType="separate"/>
        </w:r>
        <w:r w:rsidR="00C83381">
          <w:rPr>
            <w:noProof/>
            <w:webHidden/>
          </w:rPr>
          <w:t>82</w:t>
        </w:r>
        <w:r>
          <w:rPr>
            <w:noProof/>
            <w:webHidden/>
          </w:rPr>
          <w:fldChar w:fldCharType="end"/>
        </w:r>
      </w:hyperlink>
    </w:p>
    <w:p w14:paraId="24F758E1" w14:textId="5B250ECC" w:rsidR="002F2511" w:rsidRDefault="002F2511">
      <w:pPr>
        <w:pStyle w:val="TOC2"/>
        <w:rPr>
          <w:rFonts w:ascii="Aptos" w:hAnsi="Aptos"/>
          <w:noProof/>
          <w:kern w:val="2"/>
          <w:sz w:val="24"/>
        </w:rPr>
      </w:pPr>
      <w:hyperlink w:anchor="_Toc209771823" w:history="1">
        <w:r w:rsidRPr="00FF481E">
          <w:rPr>
            <w:rStyle w:val="Hyperlink"/>
            <w:noProof/>
          </w:rPr>
          <w:t>PART I.</w:t>
        </w:r>
        <w:r>
          <w:rPr>
            <w:rFonts w:ascii="Aptos" w:hAnsi="Aptos"/>
            <w:noProof/>
            <w:kern w:val="2"/>
            <w:sz w:val="24"/>
          </w:rPr>
          <w:tab/>
        </w:r>
        <w:r w:rsidRPr="00FF481E">
          <w:rPr>
            <w:rStyle w:val="Hyperlink"/>
            <w:noProof/>
          </w:rPr>
          <w:t>Purpose and Scope</w:t>
        </w:r>
        <w:r>
          <w:rPr>
            <w:noProof/>
            <w:webHidden/>
          </w:rPr>
          <w:tab/>
        </w:r>
        <w:r>
          <w:rPr>
            <w:noProof/>
            <w:webHidden/>
          </w:rPr>
          <w:fldChar w:fldCharType="begin"/>
        </w:r>
        <w:r>
          <w:rPr>
            <w:noProof/>
            <w:webHidden/>
          </w:rPr>
          <w:instrText xml:space="preserve"> PAGEREF _Toc209771823 \h </w:instrText>
        </w:r>
        <w:r>
          <w:rPr>
            <w:noProof/>
            <w:webHidden/>
          </w:rPr>
        </w:r>
        <w:r>
          <w:rPr>
            <w:noProof/>
            <w:webHidden/>
          </w:rPr>
          <w:fldChar w:fldCharType="separate"/>
        </w:r>
        <w:r w:rsidR="00C83381">
          <w:rPr>
            <w:noProof/>
            <w:webHidden/>
          </w:rPr>
          <w:t>82</w:t>
        </w:r>
        <w:r>
          <w:rPr>
            <w:noProof/>
            <w:webHidden/>
          </w:rPr>
          <w:fldChar w:fldCharType="end"/>
        </w:r>
      </w:hyperlink>
    </w:p>
    <w:p w14:paraId="40197D70" w14:textId="4A01F08B" w:rsidR="002F2511" w:rsidRDefault="002F2511">
      <w:pPr>
        <w:pStyle w:val="TOC2"/>
        <w:rPr>
          <w:rFonts w:ascii="Aptos" w:hAnsi="Aptos"/>
          <w:noProof/>
          <w:kern w:val="2"/>
          <w:sz w:val="24"/>
        </w:rPr>
      </w:pPr>
      <w:hyperlink w:anchor="_Toc209771824" w:history="1">
        <w:r w:rsidRPr="00FF481E">
          <w:rPr>
            <w:rStyle w:val="Hyperlink"/>
            <w:noProof/>
          </w:rPr>
          <w:t>PART II.</w:t>
        </w:r>
        <w:r>
          <w:rPr>
            <w:rFonts w:ascii="Aptos" w:hAnsi="Aptos"/>
            <w:noProof/>
            <w:kern w:val="2"/>
            <w:sz w:val="24"/>
          </w:rPr>
          <w:tab/>
        </w:r>
        <w:r w:rsidRPr="00FF481E">
          <w:rPr>
            <w:rStyle w:val="Hyperlink"/>
            <w:noProof/>
          </w:rPr>
          <w:t>General Requirements</w:t>
        </w:r>
        <w:r>
          <w:rPr>
            <w:noProof/>
            <w:webHidden/>
          </w:rPr>
          <w:tab/>
        </w:r>
        <w:r>
          <w:rPr>
            <w:noProof/>
            <w:webHidden/>
          </w:rPr>
          <w:fldChar w:fldCharType="begin"/>
        </w:r>
        <w:r>
          <w:rPr>
            <w:noProof/>
            <w:webHidden/>
          </w:rPr>
          <w:instrText xml:space="preserve"> PAGEREF _Toc209771824 \h </w:instrText>
        </w:r>
        <w:r>
          <w:rPr>
            <w:noProof/>
            <w:webHidden/>
          </w:rPr>
        </w:r>
        <w:r>
          <w:rPr>
            <w:noProof/>
            <w:webHidden/>
          </w:rPr>
          <w:fldChar w:fldCharType="separate"/>
        </w:r>
        <w:r w:rsidR="00C83381">
          <w:rPr>
            <w:noProof/>
            <w:webHidden/>
          </w:rPr>
          <w:t>82</w:t>
        </w:r>
        <w:r>
          <w:rPr>
            <w:noProof/>
            <w:webHidden/>
          </w:rPr>
          <w:fldChar w:fldCharType="end"/>
        </w:r>
      </w:hyperlink>
    </w:p>
    <w:p w14:paraId="2CEE1964" w14:textId="0FE7FA88" w:rsidR="002F2511" w:rsidRDefault="002F2511">
      <w:pPr>
        <w:pStyle w:val="TOC2"/>
        <w:rPr>
          <w:rFonts w:ascii="Aptos" w:hAnsi="Aptos"/>
          <w:noProof/>
          <w:kern w:val="2"/>
          <w:sz w:val="24"/>
        </w:rPr>
      </w:pPr>
      <w:hyperlink w:anchor="_Toc209771825" w:history="1">
        <w:r w:rsidRPr="00FF481E">
          <w:rPr>
            <w:rStyle w:val="Hyperlink"/>
            <w:noProof/>
          </w:rPr>
          <w:t>PART III.</w:t>
        </w:r>
        <w:r>
          <w:rPr>
            <w:rFonts w:ascii="Aptos" w:hAnsi="Aptos"/>
            <w:noProof/>
            <w:kern w:val="2"/>
            <w:sz w:val="24"/>
          </w:rPr>
          <w:tab/>
        </w:r>
        <w:r w:rsidRPr="00FF481E">
          <w:rPr>
            <w:rStyle w:val="Hyperlink"/>
            <w:noProof/>
          </w:rPr>
          <w:t>Exceptions to the BAA Requirements</w:t>
        </w:r>
        <w:r>
          <w:rPr>
            <w:noProof/>
            <w:webHidden/>
          </w:rPr>
          <w:tab/>
        </w:r>
        <w:r>
          <w:rPr>
            <w:noProof/>
            <w:webHidden/>
          </w:rPr>
          <w:fldChar w:fldCharType="begin"/>
        </w:r>
        <w:r>
          <w:rPr>
            <w:noProof/>
            <w:webHidden/>
          </w:rPr>
          <w:instrText xml:space="preserve"> PAGEREF _Toc209771825 \h </w:instrText>
        </w:r>
        <w:r>
          <w:rPr>
            <w:noProof/>
            <w:webHidden/>
          </w:rPr>
        </w:r>
        <w:r>
          <w:rPr>
            <w:noProof/>
            <w:webHidden/>
          </w:rPr>
          <w:fldChar w:fldCharType="separate"/>
        </w:r>
        <w:r w:rsidR="00C83381">
          <w:rPr>
            <w:noProof/>
            <w:webHidden/>
          </w:rPr>
          <w:t>82</w:t>
        </w:r>
        <w:r>
          <w:rPr>
            <w:noProof/>
            <w:webHidden/>
          </w:rPr>
          <w:fldChar w:fldCharType="end"/>
        </w:r>
      </w:hyperlink>
    </w:p>
    <w:p w14:paraId="4550D3CA" w14:textId="23F4B3E4" w:rsidR="002F2511" w:rsidRDefault="002F2511">
      <w:pPr>
        <w:pStyle w:val="TOC2"/>
        <w:rPr>
          <w:rFonts w:ascii="Aptos" w:hAnsi="Aptos"/>
          <w:noProof/>
          <w:kern w:val="2"/>
          <w:sz w:val="24"/>
        </w:rPr>
      </w:pPr>
      <w:hyperlink w:anchor="_Toc209771826" w:history="1">
        <w:r w:rsidRPr="00FF481E">
          <w:rPr>
            <w:rStyle w:val="Hyperlink"/>
            <w:noProof/>
          </w:rPr>
          <w:t>PART IV.</w:t>
        </w:r>
        <w:r>
          <w:rPr>
            <w:rFonts w:ascii="Aptos" w:hAnsi="Aptos"/>
            <w:noProof/>
            <w:kern w:val="2"/>
            <w:sz w:val="24"/>
          </w:rPr>
          <w:tab/>
        </w:r>
        <w:r w:rsidRPr="00FF481E">
          <w:rPr>
            <w:rStyle w:val="Hyperlink"/>
            <w:noProof/>
          </w:rPr>
          <w:t>Required Content</w:t>
        </w:r>
        <w:r>
          <w:rPr>
            <w:noProof/>
            <w:webHidden/>
          </w:rPr>
          <w:tab/>
        </w:r>
        <w:r>
          <w:rPr>
            <w:noProof/>
            <w:webHidden/>
          </w:rPr>
          <w:fldChar w:fldCharType="begin"/>
        </w:r>
        <w:r>
          <w:rPr>
            <w:noProof/>
            <w:webHidden/>
          </w:rPr>
          <w:instrText xml:space="preserve"> PAGEREF _Toc209771826 \h </w:instrText>
        </w:r>
        <w:r>
          <w:rPr>
            <w:noProof/>
            <w:webHidden/>
          </w:rPr>
        </w:r>
        <w:r>
          <w:rPr>
            <w:noProof/>
            <w:webHidden/>
          </w:rPr>
          <w:fldChar w:fldCharType="separate"/>
        </w:r>
        <w:r w:rsidR="00C83381">
          <w:rPr>
            <w:noProof/>
            <w:webHidden/>
          </w:rPr>
          <w:t>83</w:t>
        </w:r>
        <w:r>
          <w:rPr>
            <w:noProof/>
            <w:webHidden/>
          </w:rPr>
          <w:fldChar w:fldCharType="end"/>
        </w:r>
      </w:hyperlink>
    </w:p>
    <w:p w14:paraId="48D9CAA4" w14:textId="6268BB57" w:rsidR="002F2511" w:rsidRDefault="002F2511">
      <w:pPr>
        <w:pStyle w:val="TOC2"/>
        <w:rPr>
          <w:rFonts w:ascii="Aptos" w:hAnsi="Aptos"/>
          <w:noProof/>
          <w:kern w:val="2"/>
          <w:sz w:val="24"/>
        </w:rPr>
      </w:pPr>
      <w:hyperlink w:anchor="_Toc209771827" w:history="1">
        <w:r w:rsidRPr="00FF481E">
          <w:rPr>
            <w:rStyle w:val="Hyperlink"/>
            <w:noProof/>
          </w:rPr>
          <w:t>PART V.</w:t>
        </w:r>
        <w:r>
          <w:rPr>
            <w:rFonts w:ascii="Aptos" w:hAnsi="Aptos"/>
            <w:noProof/>
            <w:kern w:val="2"/>
            <w:sz w:val="24"/>
          </w:rPr>
          <w:tab/>
        </w:r>
        <w:r w:rsidRPr="00FF481E">
          <w:rPr>
            <w:rStyle w:val="Hyperlink"/>
            <w:noProof/>
          </w:rPr>
          <w:t>BA Agreements When Both Entities are Governmental Agencies</w:t>
        </w:r>
        <w:r>
          <w:rPr>
            <w:noProof/>
            <w:webHidden/>
          </w:rPr>
          <w:tab/>
        </w:r>
        <w:r>
          <w:rPr>
            <w:noProof/>
            <w:webHidden/>
          </w:rPr>
          <w:fldChar w:fldCharType="begin"/>
        </w:r>
        <w:r>
          <w:rPr>
            <w:noProof/>
            <w:webHidden/>
          </w:rPr>
          <w:instrText xml:space="preserve"> PAGEREF _Toc209771827 \h </w:instrText>
        </w:r>
        <w:r>
          <w:rPr>
            <w:noProof/>
            <w:webHidden/>
          </w:rPr>
        </w:r>
        <w:r>
          <w:rPr>
            <w:noProof/>
            <w:webHidden/>
          </w:rPr>
          <w:fldChar w:fldCharType="separate"/>
        </w:r>
        <w:r w:rsidR="00C83381">
          <w:rPr>
            <w:noProof/>
            <w:webHidden/>
          </w:rPr>
          <w:t>83</w:t>
        </w:r>
        <w:r>
          <w:rPr>
            <w:noProof/>
            <w:webHidden/>
          </w:rPr>
          <w:fldChar w:fldCharType="end"/>
        </w:r>
      </w:hyperlink>
    </w:p>
    <w:p w14:paraId="663FE2BF" w14:textId="6869DB19" w:rsidR="002F2511" w:rsidRDefault="002F2511">
      <w:pPr>
        <w:pStyle w:val="TOC2"/>
        <w:rPr>
          <w:rFonts w:ascii="Aptos" w:hAnsi="Aptos"/>
          <w:noProof/>
          <w:kern w:val="2"/>
          <w:sz w:val="24"/>
        </w:rPr>
      </w:pPr>
      <w:hyperlink w:anchor="_Toc209771828" w:history="1">
        <w:r w:rsidRPr="00FF481E">
          <w:rPr>
            <w:rStyle w:val="Hyperlink"/>
            <w:noProof/>
          </w:rPr>
          <w:t>PART VI.</w:t>
        </w:r>
        <w:r>
          <w:rPr>
            <w:rFonts w:ascii="Aptos" w:hAnsi="Aptos"/>
            <w:noProof/>
            <w:kern w:val="2"/>
            <w:sz w:val="24"/>
          </w:rPr>
          <w:tab/>
        </w:r>
        <w:r w:rsidRPr="00FF481E">
          <w:rPr>
            <w:rStyle w:val="Hyperlink"/>
            <w:noProof/>
          </w:rPr>
          <w:t>BA Oversight Responsibility</w:t>
        </w:r>
        <w:r>
          <w:rPr>
            <w:noProof/>
            <w:webHidden/>
          </w:rPr>
          <w:tab/>
        </w:r>
        <w:r>
          <w:rPr>
            <w:noProof/>
            <w:webHidden/>
          </w:rPr>
          <w:fldChar w:fldCharType="begin"/>
        </w:r>
        <w:r>
          <w:rPr>
            <w:noProof/>
            <w:webHidden/>
          </w:rPr>
          <w:instrText xml:space="preserve"> PAGEREF _Toc209771828 \h </w:instrText>
        </w:r>
        <w:r>
          <w:rPr>
            <w:noProof/>
            <w:webHidden/>
          </w:rPr>
        </w:r>
        <w:r>
          <w:rPr>
            <w:noProof/>
            <w:webHidden/>
          </w:rPr>
          <w:fldChar w:fldCharType="separate"/>
        </w:r>
        <w:r w:rsidR="00C83381">
          <w:rPr>
            <w:noProof/>
            <w:webHidden/>
          </w:rPr>
          <w:t>84</w:t>
        </w:r>
        <w:r>
          <w:rPr>
            <w:noProof/>
            <w:webHidden/>
          </w:rPr>
          <w:fldChar w:fldCharType="end"/>
        </w:r>
      </w:hyperlink>
    </w:p>
    <w:p w14:paraId="3BEAAC2D" w14:textId="71C0AA4B" w:rsidR="002F2511" w:rsidRDefault="002F2511">
      <w:pPr>
        <w:pStyle w:val="TOC1"/>
        <w:rPr>
          <w:rFonts w:ascii="Aptos" w:hAnsi="Aptos" w:cs="Times New Roman"/>
          <w:b w:val="0"/>
          <w:bCs w:val="0"/>
          <w:noProof/>
          <w:color w:val="auto"/>
          <w:kern w:val="2"/>
          <w:sz w:val="24"/>
          <w:szCs w:val="24"/>
        </w:rPr>
      </w:pPr>
      <w:hyperlink w:anchor="_Toc209771829" w:history="1">
        <w:r w:rsidRPr="00FF481E">
          <w:rPr>
            <w:rStyle w:val="Hyperlink"/>
            <w:noProof/>
          </w:rPr>
          <w:t>Procedure CC-3  Designated Record Sets</w:t>
        </w:r>
        <w:r>
          <w:rPr>
            <w:noProof/>
            <w:webHidden/>
          </w:rPr>
          <w:tab/>
        </w:r>
        <w:r>
          <w:rPr>
            <w:noProof/>
            <w:webHidden/>
          </w:rPr>
          <w:fldChar w:fldCharType="begin"/>
        </w:r>
        <w:r>
          <w:rPr>
            <w:noProof/>
            <w:webHidden/>
          </w:rPr>
          <w:instrText xml:space="preserve"> PAGEREF _Toc209771829 \h </w:instrText>
        </w:r>
        <w:r>
          <w:rPr>
            <w:noProof/>
            <w:webHidden/>
          </w:rPr>
        </w:r>
        <w:r>
          <w:rPr>
            <w:noProof/>
            <w:webHidden/>
          </w:rPr>
          <w:fldChar w:fldCharType="separate"/>
        </w:r>
        <w:r w:rsidR="00C83381">
          <w:rPr>
            <w:noProof/>
            <w:webHidden/>
          </w:rPr>
          <w:t>86</w:t>
        </w:r>
        <w:r>
          <w:rPr>
            <w:noProof/>
            <w:webHidden/>
          </w:rPr>
          <w:fldChar w:fldCharType="end"/>
        </w:r>
      </w:hyperlink>
    </w:p>
    <w:p w14:paraId="34DC1EAD" w14:textId="6FE9EEB6" w:rsidR="002F2511" w:rsidRDefault="002F2511">
      <w:pPr>
        <w:pStyle w:val="TOC2"/>
        <w:rPr>
          <w:rFonts w:ascii="Aptos" w:hAnsi="Aptos"/>
          <w:noProof/>
          <w:kern w:val="2"/>
          <w:sz w:val="24"/>
        </w:rPr>
      </w:pPr>
      <w:hyperlink w:anchor="_Toc209771830" w:history="1">
        <w:r w:rsidRPr="00FF481E">
          <w:rPr>
            <w:rStyle w:val="Hyperlink"/>
            <w:noProof/>
          </w:rPr>
          <w:t>PART I.</w:t>
        </w:r>
        <w:r>
          <w:rPr>
            <w:rFonts w:ascii="Aptos" w:hAnsi="Aptos"/>
            <w:noProof/>
            <w:kern w:val="2"/>
            <w:sz w:val="24"/>
          </w:rPr>
          <w:tab/>
        </w:r>
        <w:r w:rsidRPr="00FF481E">
          <w:rPr>
            <w:rStyle w:val="Hyperlink"/>
            <w:noProof/>
          </w:rPr>
          <w:t>Purpose and Scope</w:t>
        </w:r>
        <w:r>
          <w:rPr>
            <w:noProof/>
            <w:webHidden/>
          </w:rPr>
          <w:tab/>
        </w:r>
        <w:r>
          <w:rPr>
            <w:noProof/>
            <w:webHidden/>
          </w:rPr>
          <w:fldChar w:fldCharType="begin"/>
        </w:r>
        <w:r>
          <w:rPr>
            <w:noProof/>
            <w:webHidden/>
          </w:rPr>
          <w:instrText xml:space="preserve"> PAGEREF _Toc209771830 \h </w:instrText>
        </w:r>
        <w:r>
          <w:rPr>
            <w:noProof/>
            <w:webHidden/>
          </w:rPr>
        </w:r>
        <w:r>
          <w:rPr>
            <w:noProof/>
            <w:webHidden/>
          </w:rPr>
          <w:fldChar w:fldCharType="separate"/>
        </w:r>
        <w:r w:rsidR="00C83381">
          <w:rPr>
            <w:noProof/>
            <w:webHidden/>
          </w:rPr>
          <w:t>86</w:t>
        </w:r>
        <w:r>
          <w:rPr>
            <w:noProof/>
            <w:webHidden/>
          </w:rPr>
          <w:fldChar w:fldCharType="end"/>
        </w:r>
      </w:hyperlink>
    </w:p>
    <w:p w14:paraId="7B91B500" w14:textId="1694DD94" w:rsidR="002F2511" w:rsidRDefault="002F2511">
      <w:pPr>
        <w:pStyle w:val="TOC2"/>
        <w:rPr>
          <w:rFonts w:ascii="Aptos" w:hAnsi="Aptos"/>
          <w:noProof/>
          <w:kern w:val="2"/>
          <w:sz w:val="24"/>
        </w:rPr>
      </w:pPr>
      <w:hyperlink w:anchor="_Toc209771831" w:history="1">
        <w:r w:rsidRPr="00FF481E">
          <w:rPr>
            <w:rStyle w:val="Hyperlink"/>
            <w:noProof/>
          </w:rPr>
          <w:t>PART II.</w:t>
        </w:r>
        <w:r>
          <w:rPr>
            <w:rFonts w:ascii="Aptos" w:hAnsi="Aptos"/>
            <w:noProof/>
            <w:kern w:val="2"/>
            <w:sz w:val="24"/>
          </w:rPr>
          <w:tab/>
        </w:r>
        <w:r w:rsidRPr="00FF481E">
          <w:rPr>
            <w:rStyle w:val="Hyperlink"/>
            <w:noProof/>
          </w:rPr>
          <w:t>Definitions</w:t>
        </w:r>
        <w:r>
          <w:rPr>
            <w:noProof/>
            <w:webHidden/>
          </w:rPr>
          <w:tab/>
        </w:r>
        <w:r>
          <w:rPr>
            <w:noProof/>
            <w:webHidden/>
          </w:rPr>
          <w:fldChar w:fldCharType="begin"/>
        </w:r>
        <w:r>
          <w:rPr>
            <w:noProof/>
            <w:webHidden/>
          </w:rPr>
          <w:instrText xml:space="preserve"> PAGEREF _Toc209771831 \h </w:instrText>
        </w:r>
        <w:r>
          <w:rPr>
            <w:noProof/>
            <w:webHidden/>
          </w:rPr>
        </w:r>
        <w:r>
          <w:rPr>
            <w:noProof/>
            <w:webHidden/>
          </w:rPr>
          <w:fldChar w:fldCharType="separate"/>
        </w:r>
        <w:r w:rsidR="00C83381">
          <w:rPr>
            <w:noProof/>
            <w:webHidden/>
          </w:rPr>
          <w:t>86</w:t>
        </w:r>
        <w:r>
          <w:rPr>
            <w:noProof/>
            <w:webHidden/>
          </w:rPr>
          <w:fldChar w:fldCharType="end"/>
        </w:r>
      </w:hyperlink>
    </w:p>
    <w:p w14:paraId="1FD9BF42" w14:textId="2B434667" w:rsidR="002F2511" w:rsidRDefault="002F2511">
      <w:pPr>
        <w:pStyle w:val="TOC2"/>
        <w:rPr>
          <w:rFonts w:ascii="Aptos" w:hAnsi="Aptos"/>
          <w:noProof/>
          <w:kern w:val="2"/>
          <w:sz w:val="24"/>
        </w:rPr>
      </w:pPr>
      <w:hyperlink w:anchor="_Toc209771832" w:history="1">
        <w:r w:rsidRPr="00FF481E">
          <w:rPr>
            <w:rStyle w:val="Hyperlink"/>
            <w:noProof/>
          </w:rPr>
          <w:t>PART III.</w:t>
        </w:r>
        <w:r>
          <w:rPr>
            <w:rFonts w:ascii="Aptos" w:hAnsi="Aptos"/>
            <w:noProof/>
            <w:kern w:val="2"/>
            <w:sz w:val="24"/>
          </w:rPr>
          <w:tab/>
        </w:r>
        <w:r w:rsidRPr="00FF481E">
          <w:rPr>
            <w:rStyle w:val="Hyperlink"/>
            <w:noProof/>
          </w:rPr>
          <w:t>DRS Checklist</w:t>
        </w:r>
        <w:r>
          <w:rPr>
            <w:noProof/>
            <w:webHidden/>
          </w:rPr>
          <w:tab/>
        </w:r>
        <w:r>
          <w:rPr>
            <w:noProof/>
            <w:webHidden/>
          </w:rPr>
          <w:fldChar w:fldCharType="begin"/>
        </w:r>
        <w:r>
          <w:rPr>
            <w:noProof/>
            <w:webHidden/>
          </w:rPr>
          <w:instrText xml:space="preserve"> PAGEREF _Toc209771832 \h </w:instrText>
        </w:r>
        <w:r>
          <w:rPr>
            <w:noProof/>
            <w:webHidden/>
          </w:rPr>
        </w:r>
        <w:r>
          <w:rPr>
            <w:noProof/>
            <w:webHidden/>
          </w:rPr>
          <w:fldChar w:fldCharType="separate"/>
        </w:r>
        <w:r w:rsidR="00C83381">
          <w:rPr>
            <w:noProof/>
            <w:webHidden/>
          </w:rPr>
          <w:t>86</w:t>
        </w:r>
        <w:r>
          <w:rPr>
            <w:noProof/>
            <w:webHidden/>
          </w:rPr>
          <w:fldChar w:fldCharType="end"/>
        </w:r>
      </w:hyperlink>
    </w:p>
    <w:p w14:paraId="7F8AFCFF" w14:textId="7F3B241E" w:rsidR="002F2511" w:rsidRDefault="002F2511">
      <w:pPr>
        <w:pStyle w:val="TOC2"/>
        <w:rPr>
          <w:rFonts w:ascii="Aptos" w:hAnsi="Aptos"/>
          <w:noProof/>
          <w:kern w:val="2"/>
          <w:sz w:val="24"/>
        </w:rPr>
      </w:pPr>
      <w:hyperlink w:anchor="_Toc209771833" w:history="1">
        <w:r w:rsidRPr="00FF481E">
          <w:rPr>
            <w:rStyle w:val="Hyperlink"/>
            <w:noProof/>
          </w:rPr>
          <w:t>PART IV.</w:t>
        </w:r>
        <w:r>
          <w:rPr>
            <w:rFonts w:ascii="Aptos" w:hAnsi="Aptos"/>
            <w:noProof/>
            <w:kern w:val="2"/>
            <w:sz w:val="24"/>
          </w:rPr>
          <w:tab/>
        </w:r>
        <w:r w:rsidRPr="00FF481E">
          <w:rPr>
            <w:rStyle w:val="Hyperlink"/>
            <w:noProof/>
          </w:rPr>
          <w:t>Documentation</w:t>
        </w:r>
        <w:r>
          <w:rPr>
            <w:noProof/>
            <w:webHidden/>
          </w:rPr>
          <w:tab/>
        </w:r>
        <w:r>
          <w:rPr>
            <w:noProof/>
            <w:webHidden/>
          </w:rPr>
          <w:fldChar w:fldCharType="begin"/>
        </w:r>
        <w:r>
          <w:rPr>
            <w:noProof/>
            <w:webHidden/>
          </w:rPr>
          <w:instrText xml:space="preserve"> PAGEREF _Toc209771833 \h </w:instrText>
        </w:r>
        <w:r>
          <w:rPr>
            <w:noProof/>
            <w:webHidden/>
          </w:rPr>
        </w:r>
        <w:r>
          <w:rPr>
            <w:noProof/>
            <w:webHidden/>
          </w:rPr>
          <w:fldChar w:fldCharType="separate"/>
        </w:r>
        <w:r w:rsidR="00C83381">
          <w:rPr>
            <w:noProof/>
            <w:webHidden/>
          </w:rPr>
          <w:t>89</w:t>
        </w:r>
        <w:r>
          <w:rPr>
            <w:noProof/>
            <w:webHidden/>
          </w:rPr>
          <w:fldChar w:fldCharType="end"/>
        </w:r>
      </w:hyperlink>
    </w:p>
    <w:p w14:paraId="76D6CFC1" w14:textId="1218C16B" w:rsidR="00E33A33" w:rsidRDefault="004829DB" w:rsidP="00AD0679">
      <w:pPr>
        <w:jc w:val="left"/>
        <w:rPr>
          <w:rFonts w:cs="Arial"/>
          <w:b/>
          <w:bCs/>
          <w:color w:val="000080"/>
          <w:kern w:val="32"/>
          <w:sz w:val="22"/>
          <w:szCs w:val="22"/>
        </w:rPr>
      </w:pPr>
      <w:r w:rsidRPr="001C3604">
        <w:rPr>
          <w:rFonts w:cs="Arial"/>
          <w:b/>
          <w:bCs/>
          <w:color w:val="000080"/>
          <w:kern w:val="32"/>
          <w:sz w:val="22"/>
          <w:szCs w:val="22"/>
        </w:rPr>
        <w:fldChar w:fldCharType="end"/>
      </w:r>
    </w:p>
    <w:p w14:paraId="370795E8" w14:textId="77777777" w:rsidR="00E33A33" w:rsidRDefault="00E33A33" w:rsidP="00E33A33">
      <w:pPr>
        <w:jc w:val="left"/>
        <w:rPr>
          <w:rFonts w:cs="Arial"/>
        </w:rPr>
      </w:pPr>
      <w:r>
        <w:rPr>
          <w:rFonts w:cs="Arial"/>
          <w:b/>
          <w:bCs/>
          <w:color w:val="000080"/>
          <w:kern w:val="32"/>
          <w:sz w:val="22"/>
          <w:szCs w:val="22"/>
        </w:rPr>
        <w:br w:type="page"/>
      </w:r>
    </w:p>
    <w:p w14:paraId="390EAB0A" w14:textId="77777777" w:rsidR="00E33A33" w:rsidRDefault="00E33A33" w:rsidP="00E33A33">
      <w:pPr>
        <w:jc w:val="left"/>
        <w:rPr>
          <w:rFonts w:cs="Arial"/>
        </w:rPr>
      </w:pPr>
    </w:p>
    <w:p w14:paraId="02C47C99" w14:textId="77777777" w:rsidR="00E33A33" w:rsidRDefault="00E33A33" w:rsidP="00E33A33">
      <w:pPr>
        <w:jc w:val="left"/>
        <w:rPr>
          <w:rFonts w:cs="Arial"/>
        </w:rPr>
      </w:pPr>
    </w:p>
    <w:p w14:paraId="46ECA484" w14:textId="77777777" w:rsidR="00E33A33" w:rsidRDefault="00E33A33" w:rsidP="00E33A33">
      <w:pPr>
        <w:jc w:val="left"/>
        <w:rPr>
          <w:rFonts w:cs="Arial"/>
        </w:rPr>
      </w:pPr>
    </w:p>
    <w:p w14:paraId="7F7038DD" w14:textId="77777777" w:rsidR="00E33A33" w:rsidRDefault="00E33A33" w:rsidP="00E33A33">
      <w:pPr>
        <w:jc w:val="left"/>
        <w:rPr>
          <w:rFonts w:cs="Arial"/>
        </w:rPr>
      </w:pPr>
    </w:p>
    <w:p w14:paraId="0F42701F" w14:textId="77777777" w:rsidR="00E33A33" w:rsidRDefault="00E33A33" w:rsidP="00E33A33">
      <w:pPr>
        <w:jc w:val="left"/>
        <w:rPr>
          <w:rFonts w:cs="Arial"/>
        </w:rPr>
      </w:pPr>
    </w:p>
    <w:p w14:paraId="02D4163B" w14:textId="77777777" w:rsidR="00E33A33" w:rsidRDefault="00E33A33" w:rsidP="00E33A33">
      <w:pPr>
        <w:jc w:val="left"/>
        <w:rPr>
          <w:rFonts w:cs="Arial"/>
        </w:rPr>
      </w:pPr>
    </w:p>
    <w:p w14:paraId="1D65750E" w14:textId="77777777" w:rsidR="00E33A33" w:rsidRDefault="00E33A33" w:rsidP="00E33A33">
      <w:pPr>
        <w:jc w:val="left"/>
        <w:rPr>
          <w:rFonts w:cs="Arial"/>
        </w:rPr>
      </w:pPr>
    </w:p>
    <w:p w14:paraId="58486697" w14:textId="77777777" w:rsidR="00E33A33" w:rsidRDefault="00E33A33" w:rsidP="00E33A33">
      <w:pPr>
        <w:jc w:val="left"/>
        <w:rPr>
          <w:rFonts w:cs="Arial"/>
        </w:rPr>
      </w:pPr>
    </w:p>
    <w:p w14:paraId="6C948ACA" w14:textId="77777777" w:rsidR="00E33A33" w:rsidRDefault="00E33A33" w:rsidP="00E33A33">
      <w:pPr>
        <w:jc w:val="center"/>
        <w:rPr>
          <w:rFonts w:cs="Arial"/>
        </w:rPr>
      </w:pPr>
      <w:r>
        <w:rPr>
          <w:rFonts w:cs="Arial"/>
        </w:rPr>
        <w:t>( Page intentionally blank )</w:t>
      </w:r>
    </w:p>
    <w:p w14:paraId="199D62B8" w14:textId="77777777" w:rsidR="00E33A33" w:rsidRDefault="00E33A33" w:rsidP="00E33A33">
      <w:pPr>
        <w:jc w:val="left"/>
        <w:rPr>
          <w:rFonts w:cs="Arial"/>
        </w:rPr>
      </w:pPr>
    </w:p>
    <w:p w14:paraId="6E7166C8" w14:textId="77777777" w:rsidR="00C05991" w:rsidRDefault="00C05991" w:rsidP="00E33A33">
      <w:pPr>
        <w:jc w:val="left"/>
        <w:sectPr w:rsidR="00C05991" w:rsidSect="004B7DD0">
          <w:footerReference w:type="default" r:id="rId14"/>
          <w:footnotePr>
            <w:numRestart w:val="eachSect"/>
          </w:footnotePr>
          <w:pgSz w:w="12240" w:h="15840" w:code="1"/>
          <w:pgMar w:top="1080" w:right="1440" w:bottom="1008" w:left="1800" w:header="720" w:footer="720" w:gutter="0"/>
          <w:pgNumType w:fmt="lowerRoman" w:start="1"/>
          <w:cols w:space="720"/>
          <w:docGrid w:linePitch="360"/>
        </w:sectPr>
      </w:pPr>
    </w:p>
    <w:p w14:paraId="4476DEE3" w14:textId="2D54939C" w:rsidR="00C05991" w:rsidRDefault="00C05991" w:rsidP="00C05991">
      <w:pPr>
        <w:pStyle w:val="H1ProcedureSection"/>
      </w:pPr>
      <w:bookmarkStart w:id="0" w:name="_Toc209771746"/>
      <w:r>
        <w:t>Summary of Confidentiality Procedure Changes – Change 5</w:t>
      </w:r>
      <w:bookmarkEnd w:id="0"/>
    </w:p>
    <w:p w14:paraId="1F5193AB" w14:textId="3622B0A9" w:rsidR="00C05991" w:rsidRPr="007F4964" w:rsidRDefault="00C05991" w:rsidP="00C05991">
      <w:pPr>
        <w:pStyle w:val="Version"/>
      </w:pPr>
      <w:r>
        <w:t xml:space="preserve">Change </w:t>
      </w:r>
      <w:r w:rsidRPr="007F4964">
        <w:t xml:space="preserve">Effective Date:  </w:t>
      </w:r>
      <w:r>
        <w:t xml:space="preserve">October </w:t>
      </w:r>
      <w:r w:rsidR="00F32576">
        <w:t>1</w:t>
      </w:r>
      <w:r>
        <w:t>, 202</w:t>
      </w:r>
      <w:r w:rsidR="00A147A5">
        <w:t>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94"/>
        <w:gridCol w:w="977"/>
        <w:gridCol w:w="1194"/>
        <w:gridCol w:w="1309"/>
        <w:gridCol w:w="4686"/>
      </w:tblGrid>
      <w:tr w:rsidR="00C05991" w:rsidRPr="009626AD" w14:paraId="6A6C3386" w14:textId="77777777" w:rsidTr="00917CC2">
        <w:trPr>
          <w:tblHeader/>
        </w:trPr>
        <w:tc>
          <w:tcPr>
            <w:tcW w:w="1194" w:type="dxa"/>
            <w:tcBorders>
              <w:bottom w:val="single" w:sz="4" w:space="0" w:color="auto"/>
            </w:tcBorders>
            <w:shd w:val="clear" w:color="auto" w:fill="E0E0E0"/>
            <w:vAlign w:val="center"/>
          </w:tcPr>
          <w:p w14:paraId="179ABB80" w14:textId="77777777" w:rsidR="00C05991" w:rsidRPr="009626AD" w:rsidRDefault="00C05991" w:rsidP="00917CC2">
            <w:pPr>
              <w:jc w:val="center"/>
              <w:rPr>
                <w:rFonts w:cs="Arial"/>
                <w:b/>
                <w:sz w:val="18"/>
                <w:szCs w:val="18"/>
              </w:rPr>
            </w:pPr>
            <w:r w:rsidRPr="009626AD">
              <w:rPr>
                <w:rFonts w:cs="Arial"/>
                <w:b/>
                <w:sz w:val="18"/>
                <w:szCs w:val="18"/>
              </w:rPr>
              <w:t>Procedure</w:t>
            </w:r>
          </w:p>
        </w:tc>
        <w:tc>
          <w:tcPr>
            <w:tcW w:w="977" w:type="dxa"/>
            <w:tcBorders>
              <w:bottom w:val="single" w:sz="4" w:space="0" w:color="auto"/>
            </w:tcBorders>
            <w:shd w:val="clear" w:color="auto" w:fill="E0E0E0"/>
            <w:vAlign w:val="center"/>
          </w:tcPr>
          <w:p w14:paraId="2617CFB4" w14:textId="77777777" w:rsidR="00C05991" w:rsidRPr="009626AD" w:rsidRDefault="00C05991" w:rsidP="00917CC2">
            <w:pPr>
              <w:jc w:val="center"/>
              <w:rPr>
                <w:rFonts w:cs="Arial"/>
                <w:b/>
                <w:sz w:val="18"/>
                <w:szCs w:val="18"/>
              </w:rPr>
            </w:pPr>
            <w:r w:rsidRPr="009626AD">
              <w:rPr>
                <w:rFonts w:cs="Arial"/>
                <w:b/>
                <w:sz w:val="18"/>
                <w:szCs w:val="18"/>
              </w:rPr>
              <w:t>Version number</w:t>
            </w:r>
          </w:p>
        </w:tc>
        <w:tc>
          <w:tcPr>
            <w:tcW w:w="1194" w:type="dxa"/>
            <w:tcBorders>
              <w:bottom w:val="single" w:sz="4" w:space="0" w:color="auto"/>
            </w:tcBorders>
            <w:shd w:val="clear" w:color="auto" w:fill="E0E0E0"/>
            <w:vAlign w:val="center"/>
          </w:tcPr>
          <w:p w14:paraId="7A87FAB0" w14:textId="77777777" w:rsidR="00C05991" w:rsidRPr="009626AD" w:rsidRDefault="00C05991" w:rsidP="00917CC2">
            <w:pPr>
              <w:jc w:val="center"/>
              <w:rPr>
                <w:rFonts w:cs="Arial"/>
                <w:b/>
                <w:sz w:val="18"/>
                <w:szCs w:val="18"/>
              </w:rPr>
            </w:pPr>
            <w:r w:rsidRPr="009626AD">
              <w:rPr>
                <w:rFonts w:cs="Arial"/>
                <w:b/>
                <w:sz w:val="18"/>
                <w:szCs w:val="18"/>
              </w:rPr>
              <w:t>Version effective date</w:t>
            </w:r>
          </w:p>
        </w:tc>
        <w:tc>
          <w:tcPr>
            <w:tcW w:w="1309" w:type="dxa"/>
            <w:tcBorders>
              <w:bottom w:val="single" w:sz="4" w:space="0" w:color="auto"/>
              <w:right w:val="nil"/>
            </w:tcBorders>
            <w:shd w:val="clear" w:color="auto" w:fill="E0E0E0"/>
            <w:vAlign w:val="center"/>
          </w:tcPr>
          <w:p w14:paraId="4DA92B05" w14:textId="77777777" w:rsidR="00C05991" w:rsidRPr="009626AD" w:rsidRDefault="00C05991" w:rsidP="00917CC2">
            <w:pPr>
              <w:jc w:val="center"/>
              <w:rPr>
                <w:rFonts w:cs="Arial"/>
                <w:b/>
                <w:sz w:val="18"/>
                <w:szCs w:val="18"/>
              </w:rPr>
            </w:pPr>
          </w:p>
        </w:tc>
        <w:tc>
          <w:tcPr>
            <w:tcW w:w="4686" w:type="dxa"/>
            <w:tcBorders>
              <w:left w:val="nil"/>
              <w:bottom w:val="single" w:sz="4" w:space="0" w:color="auto"/>
              <w:right w:val="single" w:sz="4" w:space="0" w:color="auto"/>
            </w:tcBorders>
            <w:shd w:val="clear" w:color="auto" w:fill="E0E0E0"/>
            <w:vAlign w:val="center"/>
          </w:tcPr>
          <w:p w14:paraId="6DE44D09" w14:textId="77777777" w:rsidR="00C05991" w:rsidRPr="009626AD" w:rsidRDefault="00C05991" w:rsidP="00917CC2">
            <w:pPr>
              <w:jc w:val="center"/>
              <w:rPr>
                <w:rFonts w:cs="Arial"/>
                <w:b/>
                <w:sz w:val="18"/>
                <w:szCs w:val="18"/>
              </w:rPr>
            </w:pPr>
            <w:r w:rsidRPr="009626AD">
              <w:rPr>
                <w:rFonts w:cs="Arial"/>
                <w:b/>
                <w:sz w:val="18"/>
                <w:szCs w:val="18"/>
              </w:rPr>
              <w:t>Summary of change</w:t>
            </w:r>
          </w:p>
        </w:tc>
      </w:tr>
      <w:tr w:rsidR="00C05991" w:rsidRPr="009626AD" w14:paraId="5898EC15" w14:textId="77777777" w:rsidTr="00917CC2">
        <w:trPr>
          <w:trHeight w:val="432"/>
        </w:trPr>
        <w:tc>
          <w:tcPr>
            <w:tcW w:w="1194" w:type="dxa"/>
            <w:tcBorders>
              <w:top w:val="single" w:sz="4" w:space="0" w:color="auto"/>
              <w:bottom w:val="single" w:sz="4" w:space="0" w:color="auto"/>
              <w:right w:val="single" w:sz="4" w:space="0" w:color="auto"/>
            </w:tcBorders>
            <w:vAlign w:val="center"/>
          </w:tcPr>
          <w:p w14:paraId="54019330" w14:textId="63B5621D" w:rsidR="00C05991" w:rsidRPr="009626AD" w:rsidRDefault="00B958D3" w:rsidP="00917CC2">
            <w:pPr>
              <w:ind w:left="360" w:hanging="360"/>
              <w:jc w:val="center"/>
              <w:rPr>
                <w:rFonts w:cs="Arial"/>
                <w:b/>
                <w:sz w:val="20"/>
                <w:szCs w:val="20"/>
              </w:rPr>
            </w:pPr>
            <w:r>
              <w:rPr>
                <w:rFonts w:cs="Arial"/>
                <w:b/>
                <w:sz w:val="20"/>
                <w:szCs w:val="20"/>
              </w:rPr>
              <w:t>1</w:t>
            </w:r>
          </w:p>
        </w:tc>
        <w:tc>
          <w:tcPr>
            <w:tcW w:w="977" w:type="dxa"/>
            <w:tcBorders>
              <w:top w:val="single" w:sz="4" w:space="0" w:color="auto"/>
              <w:left w:val="single" w:sz="4" w:space="0" w:color="auto"/>
              <w:bottom w:val="single" w:sz="4" w:space="0" w:color="auto"/>
              <w:right w:val="single" w:sz="4" w:space="0" w:color="auto"/>
            </w:tcBorders>
            <w:vAlign w:val="center"/>
          </w:tcPr>
          <w:p w14:paraId="5B788DC6" w14:textId="47251DAC" w:rsidR="00C05991" w:rsidRPr="009626AD" w:rsidRDefault="00B958D3" w:rsidP="00917CC2">
            <w:pPr>
              <w:jc w:val="center"/>
              <w:rPr>
                <w:rFonts w:cs="Arial"/>
                <w:sz w:val="20"/>
                <w:szCs w:val="20"/>
              </w:rPr>
            </w:pPr>
            <w:r>
              <w:rPr>
                <w:rFonts w:cs="Arial"/>
                <w:sz w:val="20"/>
                <w:szCs w:val="20"/>
              </w:rPr>
              <w:t>4</w:t>
            </w:r>
          </w:p>
        </w:tc>
        <w:tc>
          <w:tcPr>
            <w:tcW w:w="1194" w:type="dxa"/>
            <w:tcBorders>
              <w:top w:val="single" w:sz="4" w:space="0" w:color="auto"/>
              <w:left w:val="single" w:sz="4" w:space="0" w:color="auto"/>
              <w:bottom w:val="single" w:sz="4" w:space="0" w:color="auto"/>
              <w:right w:val="single" w:sz="4" w:space="0" w:color="auto"/>
            </w:tcBorders>
            <w:vAlign w:val="center"/>
          </w:tcPr>
          <w:p w14:paraId="3AE3D001" w14:textId="4EE167F7" w:rsidR="00C05991" w:rsidRPr="009626AD" w:rsidRDefault="00B958D3" w:rsidP="00917CC2">
            <w:pPr>
              <w:jc w:val="center"/>
              <w:rPr>
                <w:rFonts w:cs="Arial"/>
                <w:sz w:val="20"/>
                <w:szCs w:val="20"/>
              </w:rPr>
            </w:pPr>
            <w:r>
              <w:rPr>
                <w:rFonts w:cs="Arial"/>
                <w:sz w:val="20"/>
                <w:szCs w:val="20"/>
              </w:rPr>
              <w:t>10/1/2025</w:t>
            </w:r>
          </w:p>
        </w:tc>
        <w:tc>
          <w:tcPr>
            <w:tcW w:w="1309" w:type="dxa"/>
            <w:tcBorders>
              <w:top w:val="single" w:sz="4" w:space="0" w:color="auto"/>
              <w:left w:val="single" w:sz="4" w:space="0" w:color="auto"/>
              <w:bottom w:val="single" w:sz="4" w:space="0" w:color="auto"/>
              <w:right w:val="nil"/>
            </w:tcBorders>
            <w:vAlign w:val="center"/>
          </w:tcPr>
          <w:p w14:paraId="50AF7F7E" w14:textId="77777777" w:rsidR="00C05991" w:rsidRPr="009626AD" w:rsidRDefault="00C05991" w:rsidP="00917CC2">
            <w:pPr>
              <w:ind w:left="360" w:hanging="360"/>
              <w:jc w:val="center"/>
              <w:rPr>
                <w:rFonts w:cs="Arial"/>
                <w:sz w:val="20"/>
                <w:szCs w:val="20"/>
              </w:rPr>
            </w:pPr>
          </w:p>
        </w:tc>
        <w:tc>
          <w:tcPr>
            <w:tcW w:w="4686" w:type="dxa"/>
            <w:tcBorders>
              <w:top w:val="single" w:sz="4" w:space="0" w:color="auto"/>
              <w:left w:val="nil"/>
              <w:bottom w:val="single" w:sz="4" w:space="0" w:color="auto"/>
              <w:right w:val="single" w:sz="4" w:space="0" w:color="auto"/>
            </w:tcBorders>
            <w:vAlign w:val="center"/>
          </w:tcPr>
          <w:p w14:paraId="77BAE966" w14:textId="77777777" w:rsidR="00C05991" w:rsidRPr="00E21610" w:rsidRDefault="00C05991" w:rsidP="00C05991">
            <w:pPr>
              <w:numPr>
                <w:ilvl w:val="0"/>
                <w:numId w:val="3"/>
              </w:numPr>
              <w:jc w:val="left"/>
              <w:rPr>
                <w:rFonts w:cs="Arial"/>
                <w:sz w:val="20"/>
                <w:szCs w:val="20"/>
              </w:rPr>
            </w:pPr>
            <w:r>
              <w:rPr>
                <w:rFonts w:cs="Arial"/>
                <w:sz w:val="20"/>
                <w:szCs w:val="20"/>
              </w:rPr>
              <w:t>Procedure rewritten</w:t>
            </w:r>
          </w:p>
        </w:tc>
      </w:tr>
      <w:tr w:rsidR="00C05991" w:rsidRPr="009626AD" w14:paraId="1AAD59E6" w14:textId="77777777" w:rsidTr="00917CC2">
        <w:trPr>
          <w:trHeight w:val="432"/>
        </w:trPr>
        <w:tc>
          <w:tcPr>
            <w:tcW w:w="1194" w:type="dxa"/>
            <w:tcBorders>
              <w:top w:val="single" w:sz="4" w:space="0" w:color="auto"/>
              <w:bottom w:val="single" w:sz="4" w:space="0" w:color="auto"/>
              <w:right w:val="single" w:sz="4" w:space="0" w:color="auto"/>
            </w:tcBorders>
            <w:vAlign w:val="center"/>
          </w:tcPr>
          <w:p w14:paraId="7DA5CF8C" w14:textId="50F7349D" w:rsidR="00C05991" w:rsidRPr="009626AD" w:rsidRDefault="00B958D3" w:rsidP="00917CC2">
            <w:pPr>
              <w:ind w:left="360" w:hanging="360"/>
              <w:jc w:val="center"/>
              <w:rPr>
                <w:rFonts w:cs="Arial"/>
                <w:b/>
                <w:sz w:val="20"/>
                <w:szCs w:val="20"/>
              </w:rPr>
            </w:pPr>
            <w:r>
              <w:rPr>
                <w:rFonts w:cs="Arial"/>
                <w:b/>
                <w:sz w:val="20"/>
                <w:szCs w:val="20"/>
              </w:rPr>
              <w:t>3</w:t>
            </w:r>
          </w:p>
        </w:tc>
        <w:tc>
          <w:tcPr>
            <w:tcW w:w="977" w:type="dxa"/>
            <w:tcBorders>
              <w:top w:val="single" w:sz="4" w:space="0" w:color="auto"/>
              <w:left w:val="single" w:sz="4" w:space="0" w:color="auto"/>
              <w:bottom w:val="single" w:sz="4" w:space="0" w:color="auto"/>
              <w:right w:val="single" w:sz="4" w:space="0" w:color="auto"/>
            </w:tcBorders>
            <w:vAlign w:val="center"/>
          </w:tcPr>
          <w:p w14:paraId="5D18199B" w14:textId="77777777" w:rsidR="00C05991" w:rsidRPr="009626AD" w:rsidRDefault="00C05991" w:rsidP="00917CC2">
            <w:pPr>
              <w:ind w:left="360" w:hanging="360"/>
              <w:jc w:val="center"/>
              <w:rPr>
                <w:rFonts w:cs="Arial"/>
                <w:sz w:val="20"/>
                <w:szCs w:val="20"/>
              </w:rPr>
            </w:pPr>
            <w:r>
              <w:rPr>
                <w:rFonts w:cs="Arial"/>
                <w:sz w:val="20"/>
                <w:szCs w:val="20"/>
              </w:rPr>
              <w:t>5</w:t>
            </w:r>
          </w:p>
        </w:tc>
        <w:tc>
          <w:tcPr>
            <w:tcW w:w="1194" w:type="dxa"/>
            <w:tcBorders>
              <w:top w:val="single" w:sz="4" w:space="0" w:color="auto"/>
              <w:left w:val="single" w:sz="4" w:space="0" w:color="auto"/>
              <w:bottom w:val="single" w:sz="4" w:space="0" w:color="auto"/>
              <w:right w:val="single" w:sz="4" w:space="0" w:color="auto"/>
            </w:tcBorders>
            <w:vAlign w:val="center"/>
          </w:tcPr>
          <w:p w14:paraId="009B30F2" w14:textId="4FBE7A36" w:rsidR="00C05991" w:rsidRPr="009626AD" w:rsidRDefault="00B958D3" w:rsidP="00917CC2">
            <w:pPr>
              <w:ind w:left="360" w:hanging="360"/>
              <w:jc w:val="center"/>
              <w:rPr>
                <w:rFonts w:cs="Arial"/>
                <w:sz w:val="20"/>
                <w:szCs w:val="20"/>
              </w:rPr>
            </w:pPr>
            <w:r>
              <w:rPr>
                <w:rFonts w:cs="Arial"/>
                <w:sz w:val="20"/>
                <w:szCs w:val="20"/>
              </w:rPr>
              <w:t>10/1/2025</w:t>
            </w:r>
          </w:p>
        </w:tc>
        <w:tc>
          <w:tcPr>
            <w:tcW w:w="1309" w:type="dxa"/>
            <w:tcBorders>
              <w:top w:val="single" w:sz="4" w:space="0" w:color="auto"/>
              <w:left w:val="single" w:sz="4" w:space="0" w:color="auto"/>
              <w:bottom w:val="single" w:sz="4" w:space="0" w:color="auto"/>
              <w:right w:val="nil"/>
            </w:tcBorders>
            <w:vAlign w:val="center"/>
          </w:tcPr>
          <w:p w14:paraId="5CB15B06" w14:textId="77777777" w:rsidR="00C05991" w:rsidRPr="009626AD" w:rsidRDefault="00C05991" w:rsidP="00917CC2">
            <w:pPr>
              <w:ind w:left="360" w:hanging="360"/>
              <w:jc w:val="center"/>
              <w:rPr>
                <w:rFonts w:cs="Arial"/>
                <w:sz w:val="20"/>
                <w:szCs w:val="20"/>
              </w:rPr>
            </w:pPr>
          </w:p>
        </w:tc>
        <w:tc>
          <w:tcPr>
            <w:tcW w:w="4686" w:type="dxa"/>
            <w:tcBorders>
              <w:top w:val="single" w:sz="4" w:space="0" w:color="auto"/>
              <w:left w:val="nil"/>
              <w:bottom w:val="single" w:sz="4" w:space="0" w:color="auto"/>
              <w:right w:val="single" w:sz="4" w:space="0" w:color="auto"/>
            </w:tcBorders>
            <w:vAlign w:val="center"/>
          </w:tcPr>
          <w:p w14:paraId="1AFDEE58" w14:textId="484FFAE1" w:rsidR="00C05991" w:rsidRPr="006F2046" w:rsidRDefault="00C05991" w:rsidP="00C05991">
            <w:pPr>
              <w:numPr>
                <w:ilvl w:val="0"/>
                <w:numId w:val="3"/>
              </w:numPr>
              <w:jc w:val="left"/>
              <w:rPr>
                <w:rFonts w:cs="Arial"/>
                <w:sz w:val="20"/>
                <w:szCs w:val="20"/>
              </w:rPr>
            </w:pPr>
            <w:r w:rsidRPr="006F2046">
              <w:rPr>
                <w:rFonts w:cs="Arial"/>
                <w:sz w:val="20"/>
                <w:szCs w:val="20"/>
              </w:rPr>
              <w:t xml:space="preserve">Procedure </w:t>
            </w:r>
            <w:r w:rsidR="00B958D3">
              <w:rPr>
                <w:rFonts w:cs="Arial"/>
                <w:sz w:val="20"/>
                <w:szCs w:val="20"/>
              </w:rPr>
              <w:t>rewritten</w:t>
            </w:r>
          </w:p>
        </w:tc>
      </w:tr>
      <w:tr w:rsidR="00B958D3" w:rsidRPr="009626AD" w14:paraId="3F8638D8" w14:textId="77777777" w:rsidTr="00917CC2">
        <w:trPr>
          <w:trHeight w:val="432"/>
        </w:trPr>
        <w:tc>
          <w:tcPr>
            <w:tcW w:w="1194" w:type="dxa"/>
            <w:tcBorders>
              <w:top w:val="single" w:sz="4" w:space="0" w:color="auto"/>
              <w:bottom w:val="single" w:sz="4" w:space="0" w:color="auto"/>
              <w:right w:val="single" w:sz="4" w:space="0" w:color="auto"/>
            </w:tcBorders>
            <w:vAlign w:val="center"/>
          </w:tcPr>
          <w:p w14:paraId="47798F1B" w14:textId="0F2E8D9B" w:rsidR="00B958D3" w:rsidRDefault="00B958D3" w:rsidP="00B958D3">
            <w:pPr>
              <w:ind w:left="360" w:hanging="360"/>
              <w:jc w:val="center"/>
              <w:rPr>
                <w:rFonts w:cs="Arial"/>
                <w:b/>
                <w:sz w:val="20"/>
                <w:szCs w:val="20"/>
              </w:rPr>
            </w:pPr>
            <w:r>
              <w:rPr>
                <w:rFonts w:cs="Arial"/>
                <w:b/>
                <w:sz w:val="20"/>
                <w:szCs w:val="20"/>
              </w:rPr>
              <w:t>4</w:t>
            </w:r>
          </w:p>
        </w:tc>
        <w:tc>
          <w:tcPr>
            <w:tcW w:w="977" w:type="dxa"/>
            <w:tcBorders>
              <w:top w:val="single" w:sz="4" w:space="0" w:color="auto"/>
              <w:left w:val="single" w:sz="4" w:space="0" w:color="auto"/>
              <w:bottom w:val="single" w:sz="4" w:space="0" w:color="auto"/>
              <w:right w:val="single" w:sz="4" w:space="0" w:color="auto"/>
            </w:tcBorders>
            <w:vAlign w:val="center"/>
          </w:tcPr>
          <w:p w14:paraId="1D73EB75" w14:textId="6CDBDBA5" w:rsidR="00B958D3" w:rsidRDefault="00B958D3" w:rsidP="00B958D3">
            <w:pPr>
              <w:ind w:left="360" w:hanging="360"/>
              <w:jc w:val="center"/>
              <w:rPr>
                <w:rFonts w:cs="Arial"/>
                <w:sz w:val="20"/>
                <w:szCs w:val="20"/>
              </w:rPr>
            </w:pPr>
            <w:r>
              <w:rPr>
                <w:rFonts w:cs="Arial"/>
                <w:sz w:val="20"/>
                <w:szCs w:val="20"/>
              </w:rPr>
              <w:t>5</w:t>
            </w:r>
          </w:p>
        </w:tc>
        <w:tc>
          <w:tcPr>
            <w:tcW w:w="1194" w:type="dxa"/>
            <w:tcBorders>
              <w:top w:val="single" w:sz="4" w:space="0" w:color="auto"/>
              <w:left w:val="single" w:sz="4" w:space="0" w:color="auto"/>
              <w:bottom w:val="single" w:sz="4" w:space="0" w:color="auto"/>
              <w:right w:val="single" w:sz="4" w:space="0" w:color="auto"/>
            </w:tcBorders>
            <w:vAlign w:val="center"/>
          </w:tcPr>
          <w:p w14:paraId="031CA985" w14:textId="49863164" w:rsidR="00B958D3" w:rsidRDefault="00B958D3" w:rsidP="00B958D3">
            <w:pPr>
              <w:ind w:left="360" w:hanging="360"/>
              <w:jc w:val="center"/>
              <w:rPr>
                <w:rFonts w:cs="Arial"/>
                <w:sz w:val="20"/>
                <w:szCs w:val="20"/>
              </w:rPr>
            </w:pPr>
            <w:r>
              <w:rPr>
                <w:rFonts w:cs="Arial"/>
                <w:sz w:val="20"/>
                <w:szCs w:val="20"/>
              </w:rPr>
              <w:t>10/1/2025</w:t>
            </w:r>
          </w:p>
        </w:tc>
        <w:tc>
          <w:tcPr>
            <w:tcW w:w="1309" w:type="dxa"/>
            <w:tcBorders>
              <w:top w:val="single" w:sz="4" w:space="0" w:color="auto"/>
              <w:left w:val="single" w:sz="4" w:space="0" w:color="auto"/>
              <w:bottom w:val="single" w:sz="4" w:space="0" w:color="auto"/>
              <w:right w:val="nil"/>
            </w:tcBorders>
            <w:vAlign w:val="center"/>
          </w:tcPr>
          <w:p w14:paraId="7DA007C3" w14:textId="77777777" w:rsidR="00B958D3" w:rsidRPr="009626AD" w:rsidRDefault="00B958D3" w:rsidP="00B958D3">
            <w:pPr>
              <w:ind w:left="360" w:hanging="360"/>
              <w:jc w:val="center"/>
              <w:rPr>
                <w:rFonts w:cs="Arial"/>
                <w:sz w:val="20"/>
                <w:szCs w:val="20"/>
              </w:rPr>
            </w:pPr>
          </w:p>
        </w:tc>
        <w:tc>
          <w:tcPr>
            <w:tcW w:w="4686" w:type="dxa"/>
            <w:tcBorders>
              <w:top w:val="single" w:sz="4" w:space="0" w:color="auto"/>
              <w:left w:val="nil"/>
              <w:bottom w:val="single" w:sz="4" w:space="0" w:color="auto"/>
              <w:right w:val="single" w:sz="4" w:space="0" w:color="auto"/>
            </w:tcBorders>
            <w:vAlign w:val="center"/>
          </w:tcPr>
          <w:p w14:paraId="7F56C9BC" w14:textId="2FC6A178" w:rsidR="00B958D3" w:rsidRPr="006F2046" w:rsidRDefault="00B958D3" w:rsidP="00B958D3">
            <w:pPr>
              <w:numPr>
                <w:ilvl w:val="0"/>
                <w:numId w:val="3"/>
              </w:numPr>
              <w:jc w:val="left"/>
              <w:rPr>
                <w:rFonts w:cs="Arial"/>
                <w:sz w:val="20"/>
                <w:szCs w:val="20"/>
              </w:rPr>
            </w:pPr>
            <w:r w:rsidRPr="006F2046">
              <w:rPr>
                <w:rFonts w:cs="Arial"/>
                <w:sz w:val="20"/>
                <w:szCs w:val="20"/>
              </w:rPr>
              <w:t xml:space="preserve">Procedure </w:t>
            </w:r>
            <w:r>
              <w:rPr>
                <w:rFonts w:cs="Arial"/>
                <w:sz w:val="20"/>
                <w:szCs w:val="20"/>
              </w:rPr>
              <w:t>rewritten and incorporated contents of procedure 9</w:t>
            </w:r>
          </w:p>
        </w:tc>
      </w:tr>
      <w:tr w:rsidR="00B958D3" w:rsidRPr="009626AD" w14:paraId="68F80B68" w14:textId="77777777" w:rsidTr="00917CC2">
        <w:trPr>
          <w:trHeight w:val="432"/>
        </w:trPr>
        <w:tc>
          <w:tcPr>
            <w:tcW w:w="1194" w:type="dxa"/>
            <w:tcBorders>
              <w:top w:val="single" w:sz="4" w:space="0" w:color="auto"/>
              <w:bottom w:val="single" w:sz="4" w:space="0" w:color="auto"/>
              <w:right w:val="single" w:sz="4" w:space="0" w:color="auto"/>
            </w:tcBorders>
            <w:vAlign w:val="center"/>
          </w:tcPr>
          <w:p w14:paraId="1FA18A69" w14:textId="016D19E1" w:rsidR="00B958D3" w:rsidRDefault="00B958D3" w:rsidP="00B958D3">
            <w:pPr>
              <w:ind w:left="360" w:hanging="360"/>
              <w:jc w:val="center"/>
              <w:rPr>
                <w:rFonts w:cs="Arial"/>
                <w:b/>
                <w:sz w:val="20"/>
                <w:szCs w:val="20"/>
              </w:rPr>
            </w:pPr>
            <w:r>
              <w:rPr>
                <w:rFonts w:cs="Arial"/>
                <w:b/>
                <w:sz w:val="20"/>
                <w:szCs w:val="20"/>
              </w:rPr>
              <w:t>9</w:t>
            </w:r>
          </w:p>
        </w:tc>
        <w:tc>
          <w:tcPr>
            <w:tcW w:w="977" w:type="dxa"/>
            <w:tcBorders>
              <w:top w:val="single" w:sz="4" w:space="0" w:color="auto"/>
              <w:left w:val="single" w:sz="4" w:space="0" w:color="auto"/>
              <w:bottom w:val="single" w:sz="4" w:space="0" w:color="auto"/>
              <w:right w:val="single" w:sz="4" w:space="0" w:color="auto"/>
            </w:tcBorders>
            <w:vAlign w:val="center"/>
          </w:tcPr>
          <w:p w14:paraId="1347AB2D" w14:textId="4956B5BF" w:rsidR="00B958D3" w:rsidRDefault="00B958D3" w:rsidP="00B958D3">
            <w:pPr>
              <w:ind w:left="360" w:hanging="360"/>
              <w:jc w:val="center"/>
              <w:rPr>
                <w:rFonts w:cs="Arial"/>
                <w:sz w:val="20"/>
                <w:szCs w:val="20"/>
              </w:rPr>
            </w:pPr>
            <w:r>
              <w:rPr>
                <w:rFonts w:cs="Arial"/>
                <w:sz w:val="20"/>
                <w:szCs w:val="20"/>
              </w:rPr>
              <w:t>5</w:t>
            </w:r>
          </w:p>
        </w:tc>
        <w:tc>
          <w:tcPr>
            <w:tcW w:w="1194" w:type="dxa"/>
            <w:tcBorders>
              <w:top w:val="single" w:sz="4" w:space="0" w:color="auto"/>
              <w:left w:val="single" w:sz="4" w:space="0" w:color="auto"/>
              <w:bottom w:val="single" w:sz="4" w:space="0" w:color="auto"/>
              <w:right w:val="single" w:sz="4" w:space="0" w:color="auto"/>
            </w:tcBorders>
            <w:vAlign w:val="center"/>
          </w:tcPr>
          <w:p w14:paraId="3F7E8655" w14:textId="1E8748C4" w:rsidR="00B958D3" w:rsidRDefault="00B958D3" w:rsidP="00B958D3">
            <w:pPr>
              <w:ind w:left="360" w:hanging="360"/>
              <w:jc w:val="center"/>
              <w:rPr>
                <w:rFonts w:cs="Arial"/>
                <w:sz w:val="20"/>
                <w:szCs w:val="20"/>
              </w:rPr>
            </w:pPr>
            <w:r>
              <w:rPr>
                <w:rFonts w:cs="Arial"/>
                <w:sz w:val="20"/>
                <w:szCs w:val="20"/>
              </w:rPr>
              <w:t>10/1/2025</w:t>
            </w:r>
          </w:p>
        </w:tc>
        <w:tc>
          <w:tcPr>
            <w:tcW w:w="1309" w:type="dxa"/>
            <w:tcBorders>
              <w:top w:val="single" w:sz="4" w:space="0" w:color="auto"/>
              <w:left w:val="single" w:sz="4" w:space="0" w:color="auto"/>
              <w:bottom w:val="single" w:sz="4" w:space="0" w:color="auto"/>
              <w:right w:val="nil"/>
            </w:tcBorders>
            <w:vAlign w:val="center"/>
          </w:tcPr>
          <w:p w14:paraId="73F4526D" w14:textId="77777777" w:rsidR="00B958D3" w:rsidRPr="009626AD" w:rsidRDefault="00B958D3" w:rsidP="00B958D3">
            <w:pPr>
              <w:ind w:left="360" w:hanging="360"/>
              <w:jc w:val="center"/>
              <w:rPr>
                <w:rFonts w:cs="Arial"/>
                <w:sz w:val="20"/>
                <w:szCs w:val="20"/>
              </w:rPr>
            </w:pPr>
          </w:p>
        </w:tc>
        <w:tc>
          <w:tcPr>
            <w:tcW w:w="4686" w:type="dxa"/>
            <w:tcBorders>
              <w:top w:val="single" w:sz="4" w:space="0" w:color="auto"/>
              <w:left w:val="nil"/>
              <w:bottom w:val="single" w:sz="4" w:space="0" w:color="auto"/>
              <w:right w:val="single" w:sz="4" w:space="0" w:color="auto"/>
            </w:tcBorders>
            <w:vAlign w:val="center"/>
          </w:tcPr>
          <w:p w14:paraId="7F0B20D8" w14:textId="7E4204D5" w:rsidR="00B958D3" w:rsidRPr="006F2046" w:rsidRDefault="00B958D3" w:rsidP="00B958D3">
            <w:pPr>
              <w:numPr>
                <w:ilvl w:val="0"/>
                <w:numId w:val="3"/>
              </w:numPr>
              <w:jc w:val="left"/>
              <w:rPr>
                <w:rFonts w:cs="Arial"/>
                <w:sz w:val="20"/>
                <w:szCs w:val="20"/>
              </w:rPr>
            </w:pPr>
            <w:r w:rsidRPr="006F2046">
              <w:rPr>
                <w:rFonts w:cs="Arial"/>
                <w:sz w:val="20"/>
                <w:szCs w:val="20"/>
              </w:rPr>
              <w:t xml:space="preserve">Procedure </w:t>
            </w:r>
            <w:r>
              <w:rPr>
                <w:rFonts w:cs="Arial"/>
                <w:sz w:val="20"/>
                <w:szCs w:val="20"/>
              </w:rPr>
              <w:t>9 removed</w:t>
            </w:r>
          </w:p>
        </w:tc>
      </w:tr>
    </w:tbl>
    <w:p w14:paraId="6045D0BD" w14:textId="00C9A537" w:rsidR="00A147A5" w:rsidRDefault="00C05991" w:rsidP="00A147A5">
      <w:pPr>
        <w:pStyle w:val="H1ProcedureSection"/>
      </w:pPr>
      <w:r>
        <w:br w:type="page"/>
      </w:r>
      <w:bookmarkStart w:id="1" w:name="_Toc209771747"/>
      <w:r w:rsidR="00A147A5">
        <w:t>Summary of Confidentiality Procedure Changes – Change 4</w:t>
      </w:r>
      <w:bookmarkEnd w:id="1"/>
    </w:p>
    <w:p w14:paraId="08D0199E" w14:textId="0DBA4271" w:rsidR="00A147A5" w:rsidRPr="007F4964" w:rsidRDefault="00A147A5" w:rsidP="00A147A5">
      <w:pPr>
        <w:pStyle w:val="Version"/>
      </w:pPr>
      <w:r>
        <w:t xml:space="preserve">Change </w:t>
      </w:r>
      <w:r w:rsidRPr="007F4964">
        <w:t xml:space="preserve">Effective Date:  </w:t>
      </w:r>
      <w:r>
        <w:t>September 3, 2024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94"/>
        <w:gridCol w:w="977"/>
        <w:gridCol w:w="1194"/>
        <w:gridCol w:w="1309"/>
        <w:gridCol w:w="4686"/>
      </w:tblGrid>
      <w:tr w:rsidR="00422CF4" w:rsidRPr="009626AD" w14:paraId="15CE4485" w14:textId="77777777" w:rsidTr="009626AD">
        <w:trPr>
          <w:tblHeader/>
        </w:trPr>
        <w:tc>
          <w:tcPr>
            <w:tcW w:w="1194" w:type="dxa"/>
            <w:tcBorders>
              <w:bottom w:val="single" w:sz="4" w:space="0" w:color="auto"/>
            </w:tcBorders>
            <w:shd w:val="clear" w:color="auto" w:fill="E0E0E0"/>
            <w:vAlign w:val="center"/>
          </w:tcPr>
          <w:p w14:paraId="51649EA6" w14:textId="77777777" w:rsidR="00422CF4" w:rsidRPr="009626AD" w:rsidRDefault="00422CF4" w:rsidP="009626AD">
            <w:pPr>
              <w:jc w:val="center"/>
              <w:rPr>
                <w:rFonts w:cs="Arial"/>
                <w:b/>
                <w:sz w:val="18"/>
                <w:szCs w:val="18"/>
              </w:rPr>
            </w:pPr>
            <w:r w:rsidRPr="009626AD">
              <w:rPr>
                <w:rFonts w:cs="Arial"/>
                <w:b/>
                <w:sz w:val="18"/>
                <w:szCs w:val="18"/>
              </w:rPr>
              <w:t>Procedure</w:t>
            </w:r>
          </w:p>
        </w:tc>
        <w:tc>
          <w:tcPr>
            <w:tcW w:w="977" w:type="dxa"/>
            <w:tcBorders>
              <w:bottom w:val="single" w:sz="4" w:space="0" w:color="auto"/>
            </w:tcBorders>
            <w:shd w:val="clear" w:color="auto" w:fill="E0E0E0"/>
            <w:vAlign w:val="center"/>
          </w:tcPr>
          <w:p w14:paraId="1C27393F" w14:textId="77777777" w:rsidR="00422CF4" w:rsidRPr="009626AD" w:rsidRDefault="00422CF4" w:rsidP="009626AD">
            <w:pPr>
              <w:jc w:val="center"/>
              <w:rPr>
                <w:rFonts w:cs="Arial"/>
                <w:b/>
                <w:sz w:val="18"/>
                <w:szCs w:val="18"/>
              </w:rPr>
            </w:pPr>
            <w:r w:rsidRPr="009626AD">
              <w:rPr>
                <w:rFonts w:cs="Arial"/>
                <w:b/>
                <w:sz w:val="18"/>
                <w:szCs w:val="18"/>
              </w:rPr>
              <w:t>Version number</w:t>
            </w:r>
          </w:p>
        </w:tc>
        <w:tc>
          <w:tcPr>
            <w:tcW w:w="1194" w:type="dxa"/>
            <w:tcBorders>
              <w:bottom w:val="single" w:sz="4" w:space="0" w:color="auto"/>
            </w:tcBorders>
            <w:shd w:val="clear" w:color="auto" w:fill="E0E0E0"/>
            <w:vAlign w:val="center"/>
          </w:tcPr>
          <w:p w14:paraId="27CBF1CA" w14:textId="77777777" w:rsidR="00422CF4" w:rsidRPr="009626AD" w:rsidRDefault="00422CF4" w:rsidP="009626AD">
            <w:pPr>
              <w:jc w:val="center"/>
              <w:rPr>
                <w:rFonts w:cs="Arial"/>
                <w:b/>
                <w:sz w:val="18"/>
                <w:szCs w:val="18"/>
              </w:rPr>
            </w:pPr>
            <w:r w:rsidRPr="009626AD">
              <w:rPr>
                <w:rFonts w:cs="Arial"/>
                <w:b/>
                <w:sz w:val="18"/>
                <w:szCs w:val="18"/>
              </w:rPr>
              <w:t>Version effective date</w:t>
            </w:r>
          </w:p>
        </w:tc>
        <w:tc>
          <w:tcPr>
            <w:tcW w:w="1309" w:type="dxa"/>
            <w:tcBorders>
              <w:bottom w:val="single" w:sz="4" w:space="0" w:color="auto"/>
              <w:right w:val="nil"/>
            </w:tcBorders>
            <w:shd w:val="clear" w:color="auto" w:fill="E0E0E0"/>
            <w:vAlign w:val="center"/>
          </w:tcPr>
          <w:p w14:paraId="5607AC4C" w14:textId="77777777" w:rsidR="00422CF4" w:rsidRPr="009626AD" w:rsidRDefault="00422CF4" w:rsidP="009626AD">
            <w:pPr>
              <w:jc w:val="center"/>
              <w:rPr>
                <w:rFonts w:cs="Arial"/>
                <w:b/>
                <w:sz w:val="18"/>
                <w:szCs w:val="18"/>
              </w:rPr>
            </w:pPr>
          </w:p>
        </w:tc>
        <w:tc>
          <w:tcPr>
            <w:tcW w:w="4686" w:type="dxa"/>
            <w:tcBorders>
              <w:left w:val="nil"/>
              <w:bottom w:val="single" w:sz="4" w:space="0" w:color="auto"/>
              <w:right w:val="single" w:sz="4" w:space="0" w:color="auto"/>
            </w:tcBorders>
            <w:shd w:val="clear" w:color="auto" w:fill="E0E0E0"/>
            <w:vAlign w:val="center"/>
          </w:tcPr>
          <w:p w14:paraId="7F69B83F" w14:textId="77777777" w:rsidR="00422CF4" w:rsidRPr="009626AD" w:rsidRDefault="00422CF4" w:rsidP="009626AD">
            <w:pPr>
              <w:jc w:val="center"/>
              <w:rPr>
                <w:rFonts w:cs="Arial"/>
                <w:b/>
                <w:sz w:val="18"/>
                <w:szCs w:val="18"/>
              </w:rPr>
            </w:pPr>
            <w:r w:rsidRPr="009626AD">
              <w:rPr>
                <w:rFonts w:cs="Arial"/>
                <w:b/>
                <w:sz w:val="18"/>
                <w:szCs w:val="18"/>
              </w:rPr>
              <w:t>Summary of change</w:t>
            </w:r>
          </w:p>
        </w:tc>
      </w:tr>
      <w:tr w:rsidR="00422CF4" w:rsidRPr="009626AD" w14:paraId="606F01C6" w14:textId="77777777" w:rsidTr="009626AD">
        <w:trPr>
          <w:trHeight w:val="432"/>
        </w:trPr>
        <w:tc>
          <w:tcPr>
            <w:tcW w:w="1194" w:type="dxa"/>
            <w:tcBorders>
              <w:top w:val="single" w:sz="4" w:space="0" w:color="auto"/>
              <w:bottom w:val="single" w:sz="4" w:space="0" w:color="auto"/>
              <w:right w:val="single" w:sz="4" w:space="0" w:color="auto"/>
            </w:tcBorders>
            <w:vAlign w:val="center"/>
          </w:tcPr>
          <w:p w14:paraId="25277111" w14:textId="77777777" w:rsidR="00422CF4" w:rsidRPr="009626AD" w:rsidRDefault="00422CF4" w:rsidP="009626AD">
            <w:pPr>
              <w:ind w:left="360" w:hanging="360"/>
              <w:jc w:val="center"/>
              <w:rPr>
                <w:rFonts w:cs="Arial"/>
                <w:b/>
                <w:sz w:val="20"/>
                <w:szCs w:val="20"/>
              </w:rPr>
            </w:pPr>
            <w:r>
              <w:rPr>
                <w:rFonts w:cs="Arial"/>
                <w:b/>
                <w:sz w:val="20"/>
                <w:szCs w:val="20"/>
              </w:rPr>
              <w:t>10</w:t>
            </w:r>
          </w:p>
        </w:tc>
        <w:tc>
          <w:tcPr>
            <w:tcW w:w="977" w:type="dxa"/>
            <w:tcBorders>
              <w:top w:val="single" w:sz="4" w:space="0" w:color="auto"/>
              <w:left w:val="single" w:sz="4" w:space="0" w:color="auto"/>
              <w:bottom w:val="single" w:sz="4" w:space="0" w:color="auto"/>
              <w:right w:val="single" w:sz="4" w:space="0" w:color="auto"/>
            </w:tcBorders>
            <w:vAlign w:val="center"/>
          </w:tcPr>
          <w:p w14:paraId="75296F57" w14:textId="77777777" w:rsidR="00422CF4" w:rsidRPr="009626AD" w:rsidRDefault="00422CF4" w:rsidP="009626AD">
            <w:pPr>
              <w:jc w:val="center"/>
              <w:rPr>
                <w:rFonts w:cs="Arial"/>
                <w:sz w:val="20"/>
                <w:szCs w:val="20"/>
              </w:rPr>
            </w:pPr>
            <w:r>
              <w:rPr>
                <w:rFonts w:cs="Arial"/>
                <w:sz w:val="20"/>
                <w:szCs w:val="20"/>
              </w:rPr>
              <w:t>5</w:t>
            </w:r>
          </w:p>
        </w:tc>
        <w:tc>
          <w:tcPr>
            <w:tcW w:w="1194" w:type="dxa"/>
            <w:tcBorders>
              <w:top w:val="single" w:sz="4" w:space="0" w:color="auto"/>
              <w:left w:val="single" w:sz="4" w:space="0" w:color="auto"/>
              <w:bottom w:val="single" w:sz="4" w:space="0" w:color="auto"/>
              <w:right w:val="single" w:sz="4" w:space="0" w:color="auto"/>
            </w:tcBorders>
            <w:vAlign w:val="center"/>
          </w:tcPr>
          <w:p w14:paraId="51A15876" w14:textId="77777777" w:rsidR="00422CF4" w:rsidRPr="009626AD" w:rsidRDefault="00422CF4" w:rsidP="009626AD">
            <w:pPr>
              <w:jc w:val="center"/>
              <w:rPr>
                <w:rFonts w:cs="Arial"/>
                <w:sz w:val="20"/>
                <w:szCs w:val="20"/>
              </w:rPr>
            </w:pPr>
            <w:r>
              <w:rPr>
                <w:rFonts w:cs="Arial"/>
                <w:sz w:val="20"/>
                <w:szCs w:val="20"/>
              </w:rPr>
              <w:t>9/3/2024</w:t>
            </w:r>
          </w:p>
        </w:tc>
        <w:tc>
          <w:tcPr>
            <w:tcW w:w="1309" w:type="dxa"/>
            <w:tcBorders>
              <w:top w:val="single" w:sz="4" w:space="0" w:color="auto"/>
              <w:left w:val="single" w:sz="4" w:space="0" w:color="auto"/>
              <w:bottom w:val="single" w:sz="4" w:space="0" w:color="auto"/>
              <w:right w:val="nil"/>
            </w:tcBorders>
            <w:vAlign w:val="center"/>
          </w:tcPr>
          <w:p w14:paraId="35CB8A73" w14:textId="77777777" w:rsidR="00422CF4" w:rsidRPr="009626AD" w:rsidRDefault="00422CF4" w:rsidP="009626AD">
            <w:pPr>
              <w:ind w:left="360" w:hanging="360"/>
              <w:jc w:val="center"/>
              <w:rPr>
                <w:rFonts w:cs="Arial"/>
                <w:sz w:val="20"/>
                <w:szCs w:val="20"/>
              </w:rPr>
            </w:pPr>
          </w:p>
        </w:tc>
        <w:tc>
          <w:tcPr>
            <w:tcW w:w="4686" w:type="dxa"/>
            <w:tcBorders>
              <w:top w:val="single" w:sz="4" w:space="0" w:color="auto"/>
              <w:left w:val="nil"/>
              <w:bottom w:val="single" w:sz="4" w:space="0" w:color="auto"/>
              <w:right w:val="single" w:sz="4" w:space="0" w:color="auto"/>
            </w:tcBorders>
            <w:vAlign w:val="center"/>
          </w:tcPr>
          <w:p w14:paraId="5C8B209D" w14:textId="77777777" w:rsidR="00422CF4" w:rsidRPr="00E21610" w:rsidRDefault="00422CF4" w:rsidP="00E21610">
            <w:pPr>
              <w:numPr>
                <w:ilvl w:val="0"/>
                <w:numId w:val="3"/>
              </w:numPr>
              <w:jc w:val="left"/>
              <w:rPr>
                <w:rFonts w:cs="Arial"/>
                <w:sz w:val="20"/>
                <w:szCs w:val="20"/>
              </w:rPr>
            </w:pPr>
            <w:r>
              <w:rPr>
                <w:rFonts w:cs="Arial"/>
                <w:sz w:val="20"/>
                <w:szCs w:val="20"/>
              </w:rPr>
              <w:t>Procedure rewritten</w:t>
            </w:r>
          </w:p>
        </w:tc>
      </w:tr>
      <w:tr w:rsidR="00422CF4" w:rsidRPr="009626AD" w14:paraId="00B91FFA" w14:textId="77777777" w:rsidTr="009626AD">
        <w:trPr>
          <w:trHeight w:val="432"/>
        </w:trPr>
        <w:tc>
          <w:tcPr>
            <w:tcW w:w="1194" w:type="dxa"/>
            <w:tcBorders>
              <w:top w:val="single" w:sz="4" w:space="0" w:color="auto"/>
              <w:bottom w:val="single" w:sz="4" w:space="0" w:color="auto"/>
              <w:right w:val="single" w:sz="4" w:space="0" w:color="auto"/>
            </w:tcBorders>
            <w:vAlign w:val="center"/>
          </w:tcPr>
          <w:p w14:paraId="1DA3E17F" w14:textId="77777777" w:rsidR="00422CF4" w:rsidRPr="009626AD" w:rsidRDefault="00422CF4" w:rsidP="009626AD">
            <w:pPr>
              <w:ind w:left="360" w:hanging="360"/>
              <w:jc w:val="center"/>
              <w:rPr>
                <w:rFonts w:cs="Arial"/>
                <w:b/>
                <w:sz w:val="20"/>
                <w:szCs w:val="20"/>
              </w:rPr>
            </w:pPr>
            <w:r>
              <w:rPr>
                <w:rFonts w:cs="Arial"/>
                <w:b/>
                <w:sz w:val="20"/>
                <w:szCs w:val="20"/>
              </w:rPr>
              <w:t>10A</w:t>
            </w:r>
          </w:p>
        </w:tc>
        <w:tc>
          <w:tcPr>
            <w:tcW w:w="977" w:type="dxa"/>
            <w:tcBorders>
              <w:top w:val="single" w:sz="4" w:space="0" w:color="auto"/>
              <w:left w:val="single" w:sz="4" w:space="0" w:color="auto"/>
              <w:bottom w:val="single" w:sz="4" w:space="0" w:color="auto"/>
              <w:right w:val="single" w:sz="4" w:space="0" w:color="auto"/>
            </w:tcBorders>
            <w:vAlign w:val="center"/>
          </w:tcPr>
          <w:p w14:paraId="330E9370" w14:textId="77777777" w:rsidR="00422CF4" w:rsidRPr="009626AD" w:rsidRDefault="00422CF4" w:rsidP="009626AD">
            <w:pPr>
              <w:ind w:left="360" w:hanging="360"/>
              <w:jc w:val="center"/>
              <w:rPr>
                <w:rFonts w:cs="Arial"/>
                <w:sz w:val="20"/>
                <w:szCs w:val="20"/>
              </w:rPr>
            </w:pPr>
            <w:r>
              <w:rPr>
                <w:rFonts w:cs="Arial"/>
                <w:sz w:val="20"/>
                <w:szCs w:val="20"/>
              </w:rPr>
              <w:t>5</w:t>
            </w:r>
          </w:p>
        </w:tc>
        <w:tc>
          <w:tcPr>
            <w:tcW w:w="1194" w:type="dxa"/>
            <w:tcBorders>
              <w:top w:val="single" w:sz="4" w:space="0" w:color="auto"/>
              <w:left w:val="single" w:sz="4" w:space="0" w:color="auto"/>
              <w:bottom w:val="single" w:sz="4" w:space="0" w:color="auto"/>
              <w:right w:val="single" w:sz="4" w:space="0" w:color="auto"/>
            </w:tcBorders>
            <w:vAlign w:val="center"/>
          </w:tcPr>
          <w:p w14:paraId="513B0268" w14:textId="77777777" w:rsidR="00422CF4" w:rsidRPr="009626AD" w:rsidRDefault="00422CF4" w:rsidP="009626AD">
            <w:pPr>
              <w:ind w:left="360" w:hanging="360"/>
              <w:jc w:val="center"/>
              <w:rPr>
                <w:rFonts w:cs="Arial"/>
                <w:sz w:val="20"/>
                <w:szCs w:val="20"/>
              </w:rPr>
            </w:pPr>
            <w:r>
              <w:rPr>
                <w:rFonts w:cs="Arial"/>
                <w:sz w:val="20"/>
                <w:szCs w:val="20"/>
              </w:rPr>
              <w:t>9/3/2024</w:t>
            </w:r>
          </w:p>
        </w:tc>
        <w:tc>
          <w:tcPr>
            <w:tcW w:w="1309" w:type="dxa"/>
            <w:tcBorders>
              <w:top w:val="single" w:sz="4" w:space="0" w:color="auto"/>
              <w:left w:val="single" w:sz="4" w:space="0" w:color="auto"/>
              <w:bottom w:val="single" w:sz="4" w:space="0" w:color="auto"/>
              <w:right w:val="nil"/>
            </w:tcBorders>
            <w:vAlign w:val="center"/>
          </w:tcPr>
          <w:p w14:paraId="5FD83E00" w14:textId="77777777" w:rsidR="00422CF4" w:rsidRPr="009626AD" w:rsidRDefault="00422CF4" w:rsidP="009626AD">
            <w:pPr>
              <w:ind w:left="360" w:hanging="360"/>
              <w:jc w:val="center"/>
              <w:rPr>
                <w:rFonts w:cs="Arial"/>
                <w:sz w:val="20"/>
                <w:szCs w:val="20"/>
              </w:rPr>
            </w:pPr>
          </w:p>
        </w:tc>
        <w:tc>
          <w:tcPr>
            <w:tcW w:w="4686" w:type="dxa"/>
            <w:tcBorders>
              <w:top w:val="single" w:sz="4" w:space="0" w:color="auto"/>
              <w:left w:val="nil"/>
              <w:bottom w:val="single" w:sz="4" w:space="0" w:color="auto"/>
              <w:right w:val="single" w:sz="4" w:space="0" w:color="auto"/>
            </w:tcBorders>
            <w:vAlign w:val="center"/>
          </w:tcPr>
          <w:p w14:paraId="05CF6743" w14:textId="77777777" w:rsidR="00422CF4" w:rsidRPr="006F2046" w:rsidRDefault="00422CF4" w:rsidP="009626AD">
            <w:pPr>
              <w:numPr>
                <w:ilvl w:val="0"/>
                <w:numId w:val="3"/>
              </w:numPr>
              <w:jc w:val="left"/>
              <w:rPr>
                <w:rFonts w:cs="Arial"/>
                <w:sz w:val="20"/>
                <w:szCs w:val="20"/>
              </w:rPr>
            </w:pPr>
            <w:r w:rsidRPr="006F2046">
              <w:rPr>
                <w:rFonts w:cs="Arial"/>
                <w:sz w:val="20"/>
                <w:szCs w:val="20"/>
              </w:rPr>
              <w:t>Procedure removed</w:t>
            </w:r>
          </w:p>
        </w:tc>
      </w:tr>
    </w:tbl>
    <w:p w14:paraId="065BF4D5" w14:textId="384F97C1" w:rsidR="00E77EAF" w:rsidRDefault="00422CF4" w:rsidP="00E77EAF">
      <w:pPr>
        <w:pStyle w:val="H1ProcedureSection"/>
      </w:pPr>
      <w:r>
        <w:br w:type="page"/>
      </w:r>
      <w:bookmarkStart w:id="2" w:name="_Toc209771748"/>
      <w:r w:rsidR="00E77EAF">
        <w:t>Summary of Confidentiality Procedure Changes – Change 3</w:t>
      </w:r>
      <w:bookmarkEnd w:id="2"/>
    </w:p>
    <w:p w14:paraId="10CC4661" w14:textId="77777777" w:rsidR="00E77EAF" w:rsidRPr="007F4964" w:rsidRDefault="00E77EAF" w:rsidP="00E77EAF">
      <w:pPr>
        <w:pStyle w:val="Version"/>
      </w:pPr>
      <w:r>
        <w:t xml:space="preserve">Change </w:t>
      </w:r>
      <w:r w:rsidRPr="007F4964">
        <w:t xml:space="preserve">Effective Date:  </w:t>
      </w:r>
      <w:r w:rsidR="00A32919">
        <w:t>October 1, 2012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94"/>
        <w:gridCol w:w="977"/>
        <w:gridCol w:w="1194"/>
        <w:gridCol w:w="1309"/>
        <w:gridCol w:w="4686"/>
      </w:tblGrid>
      <w:tr w:rsidR="00E77EAF" w:rsidRPr="002C4E55" w14:paraId="1EADC6E5" w14:textId="77777777">
        <w:trPr>
          <w:tblHeader/>
        </w:trPr>
        <w:tc>
          <w:tcPr>
            <w:tcW w:w="1194" w:type="dxa"/>
            <w:tcBorders>
              <w:bottom w:val="single" w:sz="4" w:space="0" w:color="auto"/>
            </w:tcBorders>
            <w:shd w:val="clear" w:color="auto" w:fill="E0E0E0"/>
            <w:vAlign w:val="center"/>
          </w:tcPr>
          <w:p w14:paraId="07B4B728" w14:textId="77777777" w:rsidR="00E77EAF" w:rsidRDefault="00E77EAF">
            <w:pPr>
              <w:jc w:val="center"/>
              <w:rPr>
                <w:rFonts w:cs="Arial"/>
                <w:b/>
                <w:sz w:val="18"/>
                <w:szCs w:val="18"/>
              </w:rPr>
            </w:pPr>
            <w:r>
              <w:rPr>
                <w:rFonts w:cs="Arial"/>
                <w:b/>
                <w:sz w:val="18"/>
                <w:szCs w:val="18"/>
              </w:rPr>
              <w:t>Procedure</w:t>
            </w:r>
          </w:p>
        </w:tc>
        <w:tc>
          <w:tcPr>
            <w:tcW w:w="977" w:type="dxa"/>
            <w:tcBorders>
              <w:bottom w:val="single" w:sz="4" w:space="0" w:color="auto"/>
            </w:tcBorders>
            <w:shd w:val="clear" w:color="auto" w:fill="E0E0E0"/>
            <w:vAlign w:val="center"/>
          </w:tcPr>
          <w:p w14:paraId="3AE32AAF" w14:textId="77777777" w:rsidR="00E77EAF" w:rsidRDefault="00E77EAF">
            <w:pPr>
              <w:jc w:val="center"/>
              <w:rPr>
                <w:rFonts w:cs="Arial"/>
                <w:b/>
                <w:sz w:val="18"/>
                <w:szCs w:val="18"/>
              </w:rPr>
            </w:pPr>
            <w:r>
              <w:rPr>
                <w:rFonts w:cs="Arial"/>
                <w:b/>
                <w:sz w:val="18"/>
                <w:szCs w:val="18"/>
              </w:rPr>
              <w:t>Version number</w:t>
            </w:r>
          </w:p>
        </w:tc>
        <w:tc>
          <w:tcPr>
            <w:tcW w:w="1194" w:type="dxa"/>
            <w:tcBorders>
              <w:bottom w:val="single" w:sz="4" w:space="0" w:color="auto"/>
            </w:tcBorders>
            <w:shd w:val="clear" w:color="auto" w:fill="E0E0E0"/>
            <w:vAlign w:val="center"/>
          </w:tcPr>
          <w:p w14:paraId="37E95B69" w14:textId="77777777" w:rsidR="00E77EAF" w:rsidRDefault="00E77EAF">
            <w:pPr>
              <w:jc w:val="center"/>
              <w:rPr>
                <w:rFonts w:cs="Arial"/>
                <w:b/>
                <w:sz w:val="18"/>
                <w:szCs w:val="18"/>
              </w:rPr>
            </w:pPr>
            <w:r>
              <w:rPr>
                <w:rFonts w:cs="Arial"/>
                <w:b/>
                <w:sz w:val="18"/>
                <w:szCs w:val="18"/>
              </w:rPr>
              <w:t>Version effective date</w:t>
            </w:r>
          </w:p>
        </w:tc>
        <w:tc>
          <w:tcPr>
            <w:tcW w:w="1309" w:type="dxa"/>
            <w:tcBorders>
              <w:bottom w:val="single" w:sz="4" w:space="0" w:color="auto"/>
              <w:right w:val="nil"/>
            </w:tcBorders>
            <w:shd w:val="clear" w:color="auto" w:fill="E0E0E0"/>
            <w:vAlign w:val="center"/>
          </w:tcPr>
          <w:p w14:paraId="0E648AD6" w14:textId="77777777" w:rsidR="00E77EAF" w:rsidRDefault="00E77EAF">
            <w:pPr>
              <w:jc w:val="center"/>
              <w:rPr>
                <w:rFonts w:cs="Arial"/>
                <w:b/>
                <w:sz w:val="18"/>
                <w:szCs w:val="18"/>
              </w:rPr>
            </w:pPr>
          </w:p>
        </w:tc>
        <w:tc>
          <w:tcPr>
            <w:tcW w:w="4686" w:type="dxa"/>
            <w:tcBorders>
              <w:left w:val="nil"/>
              <w:bottom w:val="single" w:sz="4" w:space="0" w:color="auto"/>
              <w:right w:val="single" w:sz="4" w:space="0" w:color="auto"/>
            </w:tcBorders>
            <w:shd w:val="clear" w:color="auto" w:fill="E0E0E0"/>
            <w:vAlign w:val="center"/>
          </w:tcPr>
          <w:p w14:paraId="422EF65B" w14:textId="77777777" w:rsidR="00E77EAF" w:rsidRDefault="00E77EAF">
            <w:pPr>
              <w:jc w:val="center"/>
              <w:rPr>
                <w:rFonts w:cs="Arial"/>
                <w:b/>
                <w:sz w:val="18"/>
                <w:szCs w:val="18"/>
              </w:rPr>
            </w:pPr>
            <w:r>
              <w:rPr>
                <w:rFonts w:cs="Arial"/>
                <w:b/>
                <w:sz w:val="18"/>
                <w:szCs w:val="18"/>
              </w:rPr>
              <w:t>Summary of change</w:t>
            </w:r>
          </w:p>
        </w:tc>
      </w:tr>
      <w:tr w:rsidR="004242BC" w:rsidRPr="00417F0C" w14:paraId="0F81DF78" w14:textId="77777777">
        <w:trPr>
          <w:trHeight w:val="432"/>
        </w:trPr>
        <w:tc>
          <w:tcPr>
            <w:tcW w:w="1194" w:type="dxa"/>
            <w:tcBorders>
              <w:top w:val="single" w:sz="4" w:space="0" w:color="auto"/>
              <w:bottom w:val="single" w:sz="4" w:space="0" w:color="auto"/>
              <w:right w:val="single" w:sz="4" w:space="0" w:color="auto"/>
            </w:tcBorders>
            <w:vAlign w:val="center"/>
          </w:tcPr>
          <w:p w14:paraId="0BB3FDC3" w14:textId="77777777" w:rsidR="004242BC" w:rsidRDefault="00103C8F">
            <w:pPr>
              <w:ind w:left="360" w:hanging="360"/>
              <w:jc w:val="center"/>
              <w:rPr>
                <w:rFonts w:cs="Arial"/>
                <w:b/>
                <w:sz w:val="20"/>
                <w:szCs w:val="20"/>
              </w:rPr>
            </w:pPr>
            <w:r>
              <w:rPr>
                <w:rFonts w:cs="Arial"/>
                <w:b/>
                <w:sz w:val="20"/>
                <w:szCs w:val="20"/>
              </w:rPr>
              <w:t>Glossary</w:t>
            </w:r>
          </w:p>
        </w:tc>
        <w:tc>
          <w:tcPr>
            <w:tcW w:w="977" w:type="dxa"/>
            <w:tcBorders>
              <w:top w:val="single" w:sz="4" w:space="0" w:color="auto"/>
              <w:left w:val="single" w:sz="4" w:space="0" w:color="auto"/>
              <w:bottom w:val="single" w:sz="4" w:space="0" w:color="auto"/>
              <w:right w:val="single" w:sz="4" w:space="0" w:color="auto"/>
            </w:tcBorders>
            <w:vAlign w:val="center"/>
          </w:tcPr>
          <w:p w14:paraId="131AC8A8" w14:textId="77777777" w:rsidR="004242BC" w:rsidRDefault="00103C8F">
            <w:pPr>
              <w:jc w:val="center"/>
              <w:rPr>
                <w:rFonts w:cs="Arial"/>
                <w:sz w:val="20"/>
                <w:szCs w:val="20"/>
              </w:rPr>
            </w:pPr>
            <w:r>
              <w:rPr>
                <w:rFonts w:cs="Arial"/>
                <w:sz w:val="20"/>
                <w:szCs w:val="20"/>
              </w:rPr>
              <w:t>-</w:t>
            </w:r>
          </w:p>
        </w:tc>
        <w:tc>
          <w:tcPr>
            <w:tcW w:w="1194" w:type="dxa"/>
            <w:tcBorders>
              <w:top w:val="single" w:sz="4" w:space="0" w:color="auto"/>
              <w:left w:val="single" w:sz="4" w:space="0" w:color="auto"/>
              <w:bottom w:val="single" w:sz="4" w:space="0" w:color="auto"/>
              <w:right w:val="single" w:sz="4" w:space="0" w:color="auto"/>
            </w:tcBorders>
            <w:vAlign w:val="center"/>
          </w:tcPr>
          <w:p w14:paraId="05908BF5" w14:textId="77777777" w:rsidR="004242BC" w:rsidRDefault="00103C8F">
            <w:pPr>
              <w:jc w:val="center"/>
              <w:rPr>
                <w:rFonts w:cs="Arial"/>
                <w:sz w:val="20"/>
                <w:szCs w:val="20"/>
              </w:rPr>
            </w:pPr>
            <w:r>
              <w:rPr>
                <w:rFonts w:cs="Arial"/>
                <w:sz w:val="20"/>
                <w:szCs w:val="20"/>
              </w:rPr>
              <w:t>10/1/2012</w:t>
            </w:r>
          </w:p>
        </w:tc>
        <w:tc>
          <w:tcPr>
            <w:tcW w:w="1309" w:type="dxa"/>
            <w:tcBorders>
              <w:top w:val="single" w:sz="4" w:space="0" w:color="auto"/>
              <w:left w:val="single" w:sz="4" w:space="0" w:color="auto"/>
              <w:bottom w:val="single" w:sz="4" w:space="0" w:color="auto"/>
              <w:right w:val="nil"/>
            </w:tcBorders>
            <w:vAlign w:val="center"/>
          </w:tcPr>
          <w:p w14:paraId="1555EEF4" w14:textId="77777777" w:rsidR="004242BC" w:rsidRDefault="004242BC">
            <w:pPr>
              <w:ind w:left="360" w:hanging="360"/>
              <w:jc w:val="center"/>
              <w:rPr>
                <w:rFonts w:cs="Arial"/>
                <w:sz w:val="20"/>
                <w:szCs w:val="20"/>
              </w:rPr>
            </w:pPr>
          </w:p>
        </w:tc>
        <w:tc>
          <w:tcPr>
            <w:tcW w:w="4686" w:type="dxa"/>
            <w:tcBorders>
              <w:top w:val="single" w:sz="4" w:space="0" w:color="auto"/>
              <w:left w:val="nil"/>
              <w:bottom w:val="single" w:sz="4" w:space="0" w:color="auto"/>
              <w:right w:val="single" w:sz="4" w:space="0" w:color="auto"/>
            </w:tcBorders>
            <w:vAlign w:val="center"/>
          </w:tcPr>
          <w:p w14:paraId="1CBCBBEB" w14:textId="77777777" w:rsidR="004242BC" w:rsidRDefault="00103C8F">
            <w:pPr>
              <w:numPr>
                <w:ilvl w:val="0"/>
                <w:numId w:val="3"/>
              </w:numPr>
              <w:jc w:val="left"/>
              <w:rPr>
                <w:rFonts w:cs="Arial"/>
                <w:sz w:val="20"/>
                <w:szCs w:val="20"/>
              </w:rPr>
            </w:pPr>
            <w:r>
              <w:rPr>
                <w:rFonts w:cs="Arial"/>
                <w:sz w:val="20"/>
                <w:szCs w:val="20"/>
                <w:u w:val="single"/>
              </w:rPr>
              <w:t>Limited Data Set</w:t>
            </w:r>
            <w:r>
              <w:rPr>
                <w:rFonts w:cs="Arial"/>
                <w:sz w:val="20"/>
                <w:szCs w:val="20"/>
              </w:rPr>
              <w:t xml:space="preserve"> description updated to reflect changes to procedure 7</w:t>
            </w:r>
          </w:p>
        </w:tc>
      </w:tr>
      <w:tr w:rsidR="004242BC" w:rsidRPr="00417F0C" w14:paraId="603ABC75" w14:textId="77777777">
        <w:trPr>
          <w:trHeight w:val="432"/>
        </w:trPr>
        <w:tc>
          <w:tcPr>
            <w:tcW w:w="1194" w:type="dxa"/>
            <w:tcBorders>
              <w:top w:val="single" w:sz="4" w:space="0" w:color="auto"/>
              <w:bottom w:val="single" w:sz="4" w:space="0" w:color="auto"/>
              <w:right w:val="single" w:sz="4" w:space="0" w:color="auto"/>
            </w:tcBorders>
            <w:vAlign w:val="center"/>
          </w:tcPr>
          <w:p w14:paraId="0466C1CF" w14:textId="77777777" w:rsidR="004242BC" w:rsidRDefault="00103C8F">
            <w:pPr>
              <w:ind w:left="360" w:hanging="360"/>
              <w:jc w:val="center"/>
              <w:rPr>
                <w:rFonts w:cs="Arial"/>
                <w:b/>
                <w:sz w:val="20"/>
                <w:szCs w:val="20"/>
              </w:rPr>
            </w:pPr>
            <w:r>
              <w:rPr>
                <w:rFonts w:cs="Arial"/>
                <w:b/>
                <w:sz w:val="20"/>
                <w:szCs w:val="20"/>
              </w:rPr>
              <w:t>3</w:t>
            </w:r>
          </w:p>
        </w:tc>
        <w:tc>
          <w:tcPr>
            <w:tcW w:w="977" w:type="dxa"/>
            <w:tcBorders>
              <w:top w:val="single" w:sz="4" w:space="0" w:color="auto"/>
              <w:left w:val="single" w:sz="4" w:space="0" w:color="auto"/>
              <w:bottom w:val="single" w:sz="4" w:space="0" w:color="auto"/>
              <w:right w:val="single" w:sz="4" w:space="0" w:color="auto"/>
            </w:tcBorders>
            <w:vAlign w:val="center"/>
          </w:tcPr>
          <w:p w14:paraId="7525D30D" w14:textId="77777777" w:rsidR="004242BC" w:rsidRDefault="00103C8F">
            <w:pPr>
              <w:jc w:val="center"/>
              <w:rPr>
                <w:rFonts w:cs="Arial"/>
                <w:sz w:val="20"/>
                <w:szCs w:val="20"/>
              </w:rPr>
            </w:pPr>
            <w:r>
              <w:rPr>
                <w:rFonts w:cs="Arial"/>
                <w:sz w:val="20"/>
                <w:szCs w:val="20"/>
              </w:rPr>
              <w:t>4</w:t>
            </w:r>
          </w:p>
        </w:tc>
        <w:tc>
          <w:tcPr>
            <w:tcW w:w="1194" w:type="dxa"/>
            <w:tcBorders>
              <w:top w:val="single" w:sz="4" w:space="0" w:color="auto"/>
              <w:left w:val="single" w:sz="4" w:space="0" w:color="auto"/>
              <w:bottom w:val="single" w:sz="4" w:space="0" w:color="auto"/>
              <w:right w:val="single" w:sz="4" w:space="0" w:color="auto"/>
            </w:tcBorders>
            <w:vAlign w:val="center"/>
          </w:tcPr>
          <w:p w14:paraId="471E840C" w14:textId="77777777" w:rsidR="004242BC" w:rsidRDefault="00103C8F">
            <w:pPr>
              <w:jc w:val="center"/>
              <w:rPr>
                <w:rFonts w:cs="Arial"/>
                <w:sz w:val="20"/>
                <w:szCs w:val="20"/>
              </w:rPr>
            </w:pPr>
            <w:r>
              <w:rPr>
                <w:rFonts w:cs="Arial"/>
                <w:sz w:val="20"/>
                <w:szCs w:val="20"/>
              </w:rPr>
              <w:t>10/1/2012</w:t>
            </w:r>
          </w:p>
        </w:tc>
        <w:tc>
          <w:tcPr>
            <w:tcW w:w="1309" w:type="dxa"/>
            <w:tcBorders>
              <w:top w:val="single" w:sz="4" w:space="0" w:color="auto"/>
              <w:left w:val="single" w:sz="4" w:space="0" w:color="auto"/>
              <w:bottom w:val="single" w:sz="4" w:space="0" w:color="auto"/>
              <w:right w:val="nil"/>
            </w:tcBorders>
            <w:vAlign w:val="center"/>
          </w:tcPr>
          <w:p w14:paraId="78BC909B" w14:textId="77777777" w:rsidR="004242BC" w:rsidRDefault="00103C8F">
            <w:pPr>
              <w:ind w:left="360" w:hanging="360"/>
              <w:jc w:val="center"/>
              <w:rPr>
                <w:rFonts w:cs="Arial"/>
                <w:sz w:val="20"/>
                <w:szCs w:val="20"/>
              </w:rPr>
            </w:pPr>
            <w:r>
              <w:rPr>
                <w:rFonts w:cs="Arial"/>
                <w:sz w:val="20"/>
                <w:szCs w:val="20"/>
              </w:rPr>
              <w:t xml:space="preserve">Table </w:t>
            </w:r>
            <w:r w:rsidR="003D2FF5">
              <w:rPr>
                <w:rFonts w:cs="Arial"/>
                <w:sz w:val="20"/>
                <w:szCs w:val="20"/>
              </w:rPr>
              <w:t>3</w:t>
            </w:r>
            <w:r>
              <w:rPr>
                <w:rFonts w:cs="Arial"/>
                <w:sz w:val="20"/>
                <w:szCs w:val="20"/>
              </w:rPr>
              <w:t>.1</w:t>
            </w:r>
          </w:p>
        </w:tc>
        <w:tc>
          <w:tcPr>
            <w:tcW w:w="4686" w:type="dxa"/>
            <w:tcBorders>
              <w:top w:val="single" w:sz="4" w:space="0" w:color="auto"/>
              <w:left w:val="nil"/>
              <w:bottom w:val="single" w:sz="4" w:space="0" w:color="auto"/>
              <w:right w:val="single" w:sz="4" w:space="0" w:color="auto"/>
            </w:tcBorders>
            <w:vAlign w:val="center"/>
          </w:tcPr>
          <w:p w14:paraId="750478C0" w14:textId="77777777" w:rsidR="00103C8F" w:rsidRDefault="00103C8F">
            <w:pPr>
              <w:numPr>
                <w:ilvl w:val="0"/>
                <w:numId w:val="3"/>
              </w:numPr>
              <w:jc w:val="left"/>
              <w:rPr>
                <w:rFonts w:cs="Arial"/>
                <w:sz w:val="20"/>
                <w:szCs w:val="20"/>
              </w:rPr>
            </w:pPr>
            <w:r>
              <w:rPr>
                <w:rFonts w:cs="Arial"/>
                <w:sz w:val="20"/>
                <w:szCs w:val="20"/>
              </w:rPr>
              <w:t xml:space="preserve">Table updated to reflect changes </w:t>
            </w:r>
          </w:p>
          <w:p w14:paraId="47995410" w14:textId="77777777" w:rsidR="004242BC" w:rsidRDefault="00103C8F">
            <w:pPr>
              <w:ind w:left="288"/>
              <w:jc w:val="left"/>
              <w:rPr>
                <w:rFonts w:cs="Arial"/>
                <w:sz w:val="20"/>
                <w:szCs w:val="20"/>
              </w:rPr>
            </w:pPr>
            <w:r>
              <w:rPr>
                <w:rFonts w:cs="Arial"/>
                <w:sz w:val="20"/>
                <w:szCs w:val="20"/>
              </w:rPr>
              <w:t>to procedure 7</w:t>
            </w:r>
          </w:p>
        </w:tc>
      </w:tr>
      <w:tr w:rsidR="00E77EAF" w:rsidRPr="00417F0C" w14:paraId="6285A498" w14:textId="77777777">
        <w:trPr>
          <w:trHeight w:val="432"/>
        </w:trPr>
        <w:tc>
          <w:tcPr>
            <w:tcW w:w="1194" w:type="dxa"/>
            <w:tcBorders>
              <w:top w:val="single" w:sz="4" w:space="0" w:color="auto"/>
              <w:bottom w:val="single" w:sz="4" w:space="0" w:color="auto"/>
              <w:right w:val="single" w:sz="4" w:space="0" w:color="auto"/>
            </w:tcBorders>
            <w:vAlign w:val="center"/>
          </w:tcPr>
          <w:p w14:paraId="485CBBC1" w14:textId="77777777" w:rsidR="00E77EAF" w:rsidRDefault="00E77EAF">
            <w:pPr>
              <w:ind w:left="360" w:hanging="360"/>
              <w:jc w:val="center"/>
              <w:rPr>
                <w:rFonts w:cs="Arial"/>
                <w:b/>
                <w:sz w:val="20"/>
                <w:szCs w:val="20"/>
              </w:rPr>
            </w:pPr>
            <w:r>
              <w:rPr>
                <w:rFonts w:cs="Arial"/>
                <w:b/>
                <w:sz w:val="20"/>
                <w:szCs w:val="20"/>
              </w:rPr>
              <w:t>6</w:t>
            </w:r>
          </w:p>
        </w:tc>
        <w:tc>
          <w:tcPr>
            <w:tcW w:w="977" w:type="dxa"/>
            <w:tcBorders>
              <w:top w:val="single" w:sz="4" w:space="0" w:color="auto"/>
              <w:left w:val="single" w:sz="4" w:space="0" w:color="auto"/>
              <w:bottom w:val="single" w:sz="4" w:space="0" w:color="auto"/>
              <w:right w:val="single" w:sz="4" w:space="0" w:color="auto"/>
            </w:tcBorders>
            <w:vAlign w:val="center"/>
          </w:tcPr>
          <w:p w14:paraId="289BC07E" w14:textId="77777777" w:rsidR="00E77EAF" w:rsidRDefault="00103C8F">
            <w:pPr>
              <w:ind w:left="360" w:hanging="360"/>
              <w:jc w:val="center"/>
              <w:rPr>
                <w:rFonts w:cs="Arial"/>
                <w:sz w:val="20"/>
                <w:szCs w:val="20"/>
              </w:rPr>
            </w:pPr>
            <w:r>
              <w:rPr>
                <w:rFonts w:cs="Arial"/>
                <w:sz w:val="20"/>
                <w:szCs w:val="20"/>
              </w:rPr>
              <w:t>4</w:t>
            </w:r>
          </w:p>
        </w:tc>
        <w:tc>
          <w:tcPr>
            <w:tcW w:w="1194" w:type="dxa"/>
            <w:tcBorders>
              <w:top w:val="single" w:sz="4" w:space="0" w:color="auto"/>
              <w:left w:val="single" w:sz="4" w:space="0" w:color="auto"/>
              <w:bottom w:val="single" w:sz="4" w:space="0" w:color="auto"/>
              <w:right w:val="single" w:sz="4" w:space="0" w:color="auto"/>
            </w:tcBorders>
            <w:vAlign w:val="center"/>
          </w:tcPr>
          <w:p w14:paraId="7A347265" w14:textId="77777777" w:rsidR="00E77EAF" w:rsidRDefault="00E77EAF">
            <w:pPr>
              <w:ind w:left="360" w:hanging="360"/>
              <w:jc w:val="center"/>
              <w:rPr>
                <w:rFonts w:cs="Arial"/>
                <w:sz w:val="20"/>
                <w:szCs w:val="20"/>
              </w:rPr>
            </w:pPr>
            <w:r>
              <w:rPr>
                <w:rFonts w:cs="Arial"/>
                <w:sz w:val="20"/>
                <w:szCs w:val="20"/>
              </w:rPr>
              <w:t>10/1/2012</w:t>
            </w:r>
          </w:p>
        </w:tc>
        <w:tc>
          <w:tcPr>
            <w:tcW w:w="1309" w:type="dxa"/>
            <w:tcBorders>
              <w:top w:val="single" w:sz="4" w:space="0" w:color="auto"/>
              <w:left w:val="single" w:sz="4" w:space="0" w:color="auto"/>
              <w:bottom w:val="single" w:sz="4" w:space="0" w:color="auto"/>
              <w:right w:val="nil"/>
            </w:tcBorders>
            <w:vAlign w:val="center"/>
          </w:tcPr>
          <w:p w14:paraId="4915779D" w14:textId="77777777" w:rsidR="00E77EAF" w:rsidRDefault="00E77EAF">
            <w:pPr>
              <w:ind w:left="360" w:hanging="360"/>
              <w:jc w:val="center"/>
              <w:rPr>
                <w:rFonts w:cs="Arial"/>
                <w:sz w:val="20"/>
                <w:szCs w:val="20"/>
              </w:rPr>
            </w:pPr>
          </w:p>
        </w:tc>
        <w:tc>
          <w:tcPr>
            <w:tcW w:w="4686" w:type="dxa"/>
            <w:tcBorders>
              <w:top w:val="single" w:sz="4" w:space="0" w:color="auto"/>
              <w:left w:val="nil"/>
              <w:bottom w:val="single" w:sz="4" w:space="0" w:color="auto"/>
              <w:right w:val="single" w:sz="4" w:space="0" w:color="auto"/>
            </w:tcBorders>
            <w:vAlign w:val="center"/>
          </w:tcPr>
          <w:p w14:paraId="579AA3AA" w14:textId="77777777" w:rsidR="00E77EAF" w:rsidRDefault="00E77EAF">
            <w:pPr>
              <w:numPr>
                <w:ilvl w:val="0"/>
                <w:numId w:val="3"/>
              </w:numPr>
              <w:jc w:val="left"/>
              <w:rPr>
                <w:rFonts w:cs="Arial"/>
                <w:sz w:val="20"/>
                <w:szCs w:val="20"/>
              </w:rPr>
            </w:pPr>
            <w:r>
              <w:rPr>
                <w:rFonts w:cs="Arial"/>
                <w:sz w:val="20"/>
                <w:szCs w:val="20"/>
              </w:rPr>
              <w:t>Procedure removed and will be rewritten</w:t>
            </w:r>
          </w:p>
        </w:tc>
      </w:tr>
      <w:tr w:rsidR="004242BC" w:rsidRPr="00417F0C" w14:paraId="0E1D1687" w14:textId="77777777">
        <w:trPr>
          <w:trHeight w:val="432"/>
        </w:trPr>
        <w:tc>
          <w:tcPr>
            <w:tcW w:w="1194" w:type="dxa"/>
            <w:tcBorders>
              <w:top w:val="single" w:sz="4" w:space="0" w:color="auto"/>
              <w:bottom w:val="single" w:sz="4" w:space="0" w:color="auto"/>
              <w:right w:val="single" w:sz="4" w:space="0" w:color="auto"/>
            </w:tcBorders>
            <w:vAlign w:val="center"/>
          </w:tcPr>
          <w:p w14:paraId="3C085461" w14:textId="77777777" w:rsidR="004242BC" w:rsidRDefault="00103C8F">
            <w:pPr>
              <w:ind w:left="360" w:hanging="360"/>
              <w:jc w:val="center"/>
              <w:rPr>
                <w:rFonts w:cs="Arial"/>
                <w:b/>
                <w:sz w:val="20"/>
                <w:szCs w:val="20"/>
              </w:rPr>
            </w:pPr>
            <w:r>
              <w:rPr>
                <w:rFonts w:cs="Arial"/>
                <w:b/>
                <w:sz w:val="20"/>
                <w:szCs w:val="20"/>
              </w:rPr>
              <w:t>7</w:t>
            </w:r>
          </w:p>
        </w:tc>
        <w:tc>
          <w:tcPr>
            <w:tcW w:w="977" w:type="dxa"/>
            <w:tcBorders>
              <w:top w:val="single" w:sz="4" w:space="0" w:color="auto"/>
              <w:left w:val="single" w:sz="4" w:space="0" w:color="auto"/>
              <w:bottom w:val="single" w:sz="4" w:space="0" w:color="auto"/>
              <w:right w:val="single" w:sz="4" w:space="0" w:color="auto"/>
            </w:tcBorders>
            <w:vAlign w:val="center"/>
          </w:tcPr>
          <w:p w14:paraId="2699DC11" w14:textId="77777777" w:rsidR="004242BC" w:rsidRDefault="00103C8F">
            <w:pPr>
              <w:ind w:left="360" w:hanging="360"/>
              <w:jc w:val="center"/>
              <w:rPr>
                <w:rFonts w:cs="Arial"/>
                <w:sz w:val="20"/>
                <w:szCs w:val="20"/>
              </w:rPr>
            </w:pPr>
            <w:r>
              <w:rPr>
                <w:rFonts w:cs="Arial"/>
                <w:sz w:val="20"/>
                <w:szCs w:val="20"/>
              </w:rPr>
              <w:t>6</w:t>
            </w:r>
          </w:p>
        </w:tc>
        <w:tc>
          <w:tcPr>
            <w:tcW w:w="1194" w:type="dxa"/>
            <w:tcBorders>
              <w:top w:val="single" w:sz="4" w:space="0" w:color="auto"/>
              <w:left w:val="single" w:sz="4" w:space="0" w:color="auto"/>
              <w:bottom w:val="single" w:sz="4" w:space="0" w:color="auto"/>
              <w:right w:val="single" w:sz="4" w:space="0" w:color="auto"/>
            </w:tcBorders>
            <w:vAlign w:val="center"/>
          </w:tcPr>
          <w:p w14:paraId="779C2EF2" w14:textId="77777777" w:rsidR="004242BC" w:rsidRDefault="00103C8F">
            <w:pPr>
              <w:ind w:left="360" w:hanging="360"/>
              <w:jc w:val="center"/>
              <w:rPr>
                <w:rFonts w:cs="Arial"/>
                <w:sz w:val="20"/>
                <w:szCs w:val="20"/>
              </w:rPr>
            </w:pPr>
            <w:r>
              <w:rPr>
                <w:rFonts w:cs="Arial"/>
                <w:sz w:val="20"/>
                <w:szCs w:val="20"/>
              </w:rPr>
              <w:t>10/1/2012</w:t>
            </w:r>
          </w:p>
        </w:tc>
        <w:tc>
          <w:tcPr>
            <w:tcW w:w="1309" w:type="dxa"/>
            <w:tcBorders>
              <w:top w:val="single" w:sz="4" w:space="0" w:color="auto"/>
              <w:left w:val="single" w:sz="4" w:space="0" w:color="auto"/>
              <w:bottom w:val="single" w:sz="4" w:space="0" w:color="auto"/>
              <w:right w:val="nil"/>
            </w:tcBorders>
            <w:vAlign w:val="center"/>
          </w:tcPr>
          <w:p w14:paraId="3DC1F1A6" w14:textId="77777777" w:rsidR="004242BC" w:rsidRDefault="004242BC">
            <w:pPr>
              <w:ind w:left="360" w:hanging="360"/>
              <w:jc w:val="center"/>
              <w:rPr>
                <w:rFonts w:cs="Arial"/>
                <w:sz w:val="20"/>
                <w:szCs w:val="20"/>
              </w:rPr>
            </w:pPr>
          </w:p>
        </w:tc>
        <w:tc>
          <w:tcPr>
            <w:tcW w:w="4686" w:type="dxa"/>
            <w:tcBorders>
              <w:top w:val="single" w:sz="4" w:space="0" w:color="auto"/>
              <w:left w:val="nil"/>
              <w:bottom w:val="single" w:sz="4" w:space="0" w:color="auto"/>
              <w:right w:val="single" w:sz="4" w:space="0" w:color="auto"/>
            </w:tcBorders>
            <w:vAlign w:val="center"/>
          </w:tcPr>
          <w:p w14:paraId="54605155" w14:textId="77777777" w:rsidR="004242BC" w:rsidRDefault="00B67076">
            <w:pPr>
              <w:numPr>
                <w:ilvl w:val="0"/>
                <w:numId w:val="3"/>
              </w:numPr>
              <w:jc w:val="left"/>
              <w:rPr>
                <w:rFonts w:cs="Arial"/>
                <w:sz w:val="20"/>
                <w:szCs w:val="20"/>
              </w:rPr>
            </w:pPr>
            <w:r>
              <w:rPr>
                <w:rFonts w:cs="Arial"/>
                <w:sz w:val="20"/>
                <w:szCs w:val="20"/>
              </w:rPr>
              <w:t xml:space="preserve">Limited Data Set Standard updated </w:t>
            </w:r>
          </w:p>
        </w:tc>
      </w:tr>
    </w:tbl>
    <w:p w14:paraId="0CF5FB0F" w14:textId="77777777" w:rsidR="00DF7FA2" w:rsidRDefault="00E77EAF" w:rsidP="008028A4">
      <w:pPr>
        <w:pStyle w:val="H1ProcedureSection"/>
      </w:pPr>
      <w:r>
        <w:br w:type="page"/>
      </w:r>
      <w:bookmarkStart w:id="3" w:name="_Toc209771749"/>
      <w:r w:rsidR="00DF7FA2">
        <w:t>Summary of Confidentiality Procedure Changes – Change 2</w:t>
      </w:r>
      <w:bookmarkEnd w:id="3"/>
    </w:p>
    <w:p w14:paraId="53AD22E6" w14:textId="77777777" w:rsidR="00DF7FA2" w:rsidRPr="007F4964" w:rsidRDefault="00DF7FA2" w:rsidP="00874517">
      <w:pPr>
        <w:pStyle w:val="Version"/>
      </w:pPr>
      <w:r>
        <w:t xml:space="preserve">Change </w:t>
      </w:r>
      <w:r w:rsidRPr="007F4964">
        <w:t xml:space="preserve">Effective Date:  </w:t>
      </w:r>
      <w:r>
        <w:t>June 1, 2009</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94"/>
        <w:gridCol w:w="977"/>
        <w:gridCol w:w="1194"/>
        <w:gridCol w:w="1309"/>
        <w:gridCol w:w="4686"/>
      </w:tblGrid>
      <w:tr w:rsidR="00DF7FA2" w:rsidRPr="002C4E55" w14:paraId="3F7AAA66" w14:textId="77777777">
        <w:trPr>
          <w:tblHeader/>
        </w:trPr>
        <w:tc>
          <w:tcPr>
            <w:tcW w:w="1194" w:type="dxa"/>
            <w:shd w:val="clear" w:color="auto" w:fill="E0E0E0"/>
            <w:vAlign w:val="center"/>
          </w:tcPr>
          <w:p w14:paraId="3420B117" w14:textId="77777777" w:rsidR="00DF7FA2" w:rsidRDefault="00DF7FA2">
            <w:pPr>
              <w:jc w:val="center"/>
              <w:rPr>
                <w:rFonts w:cs="Arial"/>
                <w:b/>
                <w:sz w:val="18"/>
                <w:szCs w:val="18"/>
              </w:rPr>
            </w:pPr>
            <w:r>
              <w:rPr>
                <w:rFonts w:cs="Arial"/>
                <w:b/>
                <w:sz w:val="18"/>
                <w:szCs w:val="18"/>
              </w:rPr>
              <w:t>Procedure</w:t>
            </w:r>
          </w:p>
        </w:tc>
        <w:tc>
          <w:tcPr>
            <w:tcW w:w="977" w:type="dxa"/>
            <w:shd w:val="clear" w:color="auto" w:fill="E0E0E0"/>
            <w:vAlign w:val="center"/>
          </w:tcPr>
          <w:p w14:paraId="65368988" w14:textId="77777777" w:rsidR="00DF7FA2" w:rsidRDefault="00DF7FA2">
            <w:pPr>
              <w:jc w:val="center"/>
              <w:rPr>
                <w:rFonts w:cs="Arial"/>
                <w:b/>
                <w:sz w:val="18"/>
                <w:szCs w:val="18"/>
              </w:rPr>
            </w:pPr>
            <w:r>
              <w:rPr>
                <w:rFonts w:cs="Arial"/>
                <w:b/>
                <w:sz w:val="18"/>
                <w:szCs w:val="18"/>
              </w:rPr>
              <w:t>Version number</w:t>
            </w:r>
          </w:p>
        </w:tc>
        <w:tc>
          <w:tcPr>
            <w:tcW w:w="1194" w:type="dxa"/>
            <w:shd w:val="clear" w:color="auto" w:fill="E0E0E0"/>
            <w:vAlign w:val="center"/>
          </w:tcPr>
          <w:p w14:paraId="78471FDD" w14:textId="77777777" w:rsidR="00DF7FA2" w:rsidRDefault="00DF7FA2">
            <w:pPr>
              <w:jc w:val="center"/>
              <w:rPr>
                <w:rFonts w:cs="Arial"/>
                <w:b/>
                <w:sz w:val="18"/>
                <w:szCs w:val="18"/>
              </w:rPr>
            </w:pPr>
            <w:r>
              <w:rPr>
                <w:rFonts w:cs="Arial"/>
                <w:b/>
                <w:sz w:val="18"/>
                <w:szCs w:val="18"/>
              </w:rPr>
              <w:t>Version effective date</w:t>
            </w:r>
          </w:p>
        </w:tc>
        <w:tc>
          <w:tcPr>
            <w:tcW w:w="1309" w:type="dxa"/>
            <w:tcBorders>
              <w:right w:val="nil"/>
            </w:tcBorders>
            <w:shd w:val="clear" w:color="auto" w:fill="E0E0E0"/>
            <w:vAlign w:val="center"/>
          </w:tcPr>
          <w:p w14:paraId="5B9E4BFB" w14:textId="77777777" w:rsidR="00DF7FA2" w:rsidRDefault="00DF7FA2">
            <w:pPr>
              <w:jc w:val="center"/>
              <w:rPr>
                <w:rFonts w:cs="Arial"/>
                <w:b/>
                <w:sz w:val="18"/>
                <w:szCs w:val="18"/>
              </w:rPr>
            </w:pPr>
          </w:p>
        </w:tc>
        <w:tc>
          <w:tcPr>
            <w:tcW w:w="4686" w:type="dxa"/>
            <w:tcBorders>
              <w:left w:val="nil"/>
              <w:bottom w:val="single" w:sz="4" w:space="0" w:color="auto"/>
              <w:right w:val="single" w:sz="4" w:space="0" w:color="auto"/>
            </w:tcBorders>
            <w:shd w:val="clear" w:color="auto" w:fill="E0E0E0"/>
            <w:vAlign w:val="center"/>
          </w:tcPr>
          <w:p w14:paraId="62D5CF32" w14:textId="77777777" w:rsidR="00DF7FA2" w:rsidRDefault="00DF7FA2">
            <w:pPr>
              <w:jc w:val="center"/>
              <w:rPr>
                <w:rFonts w:cs="Arial"/>
                <w:b/>
                <w:sz w:val="18"/>
                <w:szCs w:val="18"/>
              </w:rPr>
            </w:pPr>
            <w:r>
              <w:rPr>
                <w:rFonts w:cs="Arial"/>
                <w:b/>
                <w:sz w:val="18"/>
                <w:szCs w:val="18"/>
              </w:rPr>
              <w:t>Summary of change</w:t>
            </w:r>
          </w:p>
        </w:tc>
      </w:tr>
      <w:tr w:rsidR="00DF7FA2" w:rsidRPr="00417F0C" w14:paraId="6636EC0F" w14:textId="77777777">
        <w:trPr>
          <w:trHeight w:val="432"/>
        </w:trPr>
        <w:tc>
          <w:tcPr>
            <w:tcW w:w="1194" w:type="dxa"/>
            <w:tcBorders>
              <w:top w:val="nil"/>
              <w:bottom w:val="single" w:sz="4" w:space="0" w:color="auto"/>
            </w:tcBorders>
            <w:vAlign w:val="center"/>
          </w:tcPr>
          <w:p w14:paraId="5FE7E0D9" w14:textId="77777777" w:rsidR="00DF7FA2" w:rsidRDefault="00DF7FA2">
            <w:pPr>
              <w:ind w:left="360" w:hanging="360"/>
              <w:jc w:val="center"/>
              <w:rPr>
                <w:rFonts w:cs="Arial"/>
                <w:b/>
                <w:sz w:val="20"/>
                <w:szCs w:val="20"/>
              </w:rPr>
            </w:pPr>
            <w:r>
              <w:rPr>
                <w:rFonts w:cs="Arial"/>
                <w:b/>
                <w:sz w:val="20"/>
                <w:szCs w:val="20"/>
              </w:rPr>
              <w:t>2</w:t>
            </w:r>
          </w:p>
        </w:tc>
        <w:tc>
          <w:tcPr>
            <w:tcW w:w="977" w:type="dxa"/>
            <w:tcBorders>
              <w:top w:val="nil"/>
              <w:bottom w:val="single" w:sz="4" w:space="0" w:color="auto"/>
            </w:tcBorders>
            <w:vAlign w:val="center"/>
          </w:tcPr>
          <w:p w14:paraId="5DA9BDD8" w14:textId="77777777" w:rsidR="00DF7FA2" w:rsidRDefault="00DF7FA2">
            <w:pPr>
              <w:jc w:val="center"/>
              <w:rPr>
                <w:rFonts w:cs="Arial"/>
                <w:sz w:val="20"/>
                <w:szCs w:val="20"/>
              </w:rPr>
            </w:pPr>
            <w:r>
              <w:rPr>
                <w:rFonts w:cs="Arial"/>
                <w:sz w:val="20"/>
                <w:szCs w:val="20"/>
              </w:rPr>
              <w:t>6</w:t>
            </w:r>
          </w:p>
        </w:tc>
        <w:tc>
          <w:tcPr>
            <w:tcW w:w="1194" w:type="dxa"/>
            <w:tcBorders>
              <w:top w:val="nil"/>
              <w:bottom w:val="single" w:sz="4" w:space="0" w:color="auto"/>
            </w:tcBorders>
            <w:vAlign w:val="center"/>
          </w:tcPr>
          <w:p w14:paraId="53E4FF94" w14:textId="77777777" w:rsidR="00DF7FA2" w:rsidRDefault="00DF7FA2">
            <w:pPr>
              <w:jc w:val="center"/>
              <w:rPr>
                <w:rFonts w:cs="Arial"/>
                <w:sz w:val="20"/>
                <w:szCs w:val="20"/>
              </w:rPr>
            </w:pPr>
            <w:r>
              <w:rPr>
                <w:rFonts w:cs="Arial"/>
                <w:sz w:val="20"/>
                <w:szCs w:val="20"/>
              </w:rPr>
              <w:t>6/1/2009</w:t>
            </w:r>
          </w:p>
        </w:tc>
        <w:tc>
          <w:tcPr>
            <w:tcW w:w="1309" w:type="dxa"/>
            <w:tcBorders>
              <w:top w:val="nil"/>
              <w:bottom w:val="single" w:sz="4" w:space="0" w:color="auto"/>
              <w:right w:val="nil"/>
            </w:tcBorders>
            <w:vAlign w:val="center"/>
          </w:tcPr>
          <w:p w14:paraId="132DB120" w14:textId="77777777" w:rsidR="00DF7FA2" w:rsidRDefault="00DF7FA2">
            <w:pPr>
              <w:ind w:left="360" w:hanging="360"/>
              <w:jc w:val="center"/>
              <w:rPr>
                <w:rFonts w:cs="Arial"/>
                <w:sz w:val="20"/>
                <w:szCs w:val="20"/>
              </w:rPr>
            </w:pPr>
          </w:p>
        </w:tc>
        <w:tc>
          <w:tcPr>
            <w:tcW w:w="4686" w:type="dxa"/>
            <w:tcBorders>
              <w:top w:val="nil"/>
              <w:left w:val="nil"/>
              <w:bottom w:val="single" w:sz="4" w:space="0" w:color="auto"/>
              <w:right w:val="single" w:sz="4" w:space="0" w:color="auto"/>
            </w:tcBorders>
            <w:vAlign w:val="center"/>
          </w:tcPr>
          <w:p w14:paraId="5AF0E2BA" w14:textId="77777777" w:rsidR="00DF7FA2" w:rsidRDefault="00DF7FA2">
            <w:pPr>
              <w:numPr>
                <w:ilvl w:val="0"/>
                <w:numId w:val="3"/>
              </w:numPr>
              <w:jc w:val="left"/>
              <w:rPr>
                <w:rFonts w:cs="Arial"/>
                <w:sz w:val="20"/>
                <w:szCs w:val="20"/>
              </w:rPr>
            </w:pPr>
            <w:r>
              <w:rPr>
                <w:rFonts w:cs="Arial"/>
                <w:sz w:val="20"/>
                <w:szCs w:val="20"/>
              </w:rPr>
              <w:t>Updated to incorporate regulatory changes and new Information Technologies policies</w:t>
            </w:r>
          </w:p>
        </w:tc>
      </w:tr>
      <w:tr w:rsidR="00DF7FA2" w:rsidRPr="00417F0C" w14:paraId="622AF050" w14:textId="77777777">
        <w:trPr>
          <w:trHeight w:val="432"/>
        </w:trPr>
        <w:tc>
          <w:tcPr>
            <w:tcW w:w="1194" w:type="dxa"/>
            <w:tcBorders>
              <w:top w:val="nil"/>
            </w:tcBorders>
            <w:vAlign w:val="center"/>
          </w:tcPr>
          <w:p w14:paraId="640AEA44" w14:textId="77777777" w:rsidR="00DF7FA2" w:rsidRDefault="00DF7FA2">
            <w:pPr>
              <w:jc w:val="center"/>
              <w:rPr>
                <w:rFonts w:cs="Arial"/>
                <w:b/>
                <w:sz w:val="20"/>
                <w:szCs w:val="20"/>
              </w:rPr>
            </w:pPr>
            <w:r>
              <w:rPr>
                <w:rFonts w:cs="Arial"/>
                <w:b/>
                <w:sz w:val="20"/>
                <w:szCs w:val="20"/>
              </w:rPr>
              <w:t>4</w:t>
            </w:r>
          </w:p>
        </w:tc>
        <w:tc>
          <w:tcPr>
            <w:tcW w:w="977" w:type="dxa"/>
            <w:tcBorders>
              <w:top w:val="nil"/>
            </w:tcBorders>
            <w:vAlign w:val="center"/>
          </w:tcPr>
          <w:p w14:paraId="11CA2559" w14:textId="77777777" w:rsidR="00DF7FA2" w:rsidRDefault="00DF7FA2">
            <w:pPr>
              <w:jc w:val="center"/>
              <w:rPr>
                <w:rFonts w:cs="Arial"/>
                <w:sz w:val="20"/>
                <w:szCs w:val="20"/>
              </w:rPr>
            </w:pPr>
            <w:r>
              <w:rPr>
                <w:rFonts w:cs="Arial"/>
                <w:sz w:val="20"/>
                <w:szCs w:val="20"/>
              </w:rPr>
              <w:t>4</w:t>
            </w:r>
          </w:p>
        </w:tc>
        <w:tc>
          <w:tcPr>
            <w:tcW w:w="1194" w:type="dxa"/>
            <w:tcBorders>
              <w:top w:val="nil"/>
            </w:tcBorders>
            <w:vAlign w:val="center"/>
          </w:tcPr>
          <w:p w14:paraId="1307775D" w14:textId="77777777" w:rsidR="00DF7FA2" w:rsidRDefault="00DF7FA2">
            <w:pPr>
              <w:jc w:val="center"/>
              <w:rPr>
                <w:rFonts w:cs="Arial"/>
                <w:sz w:val="20"/>
                <w:szCs w:val="20"/>
              </w:rPr>
            </w:pPr>
            <w:r>
              <w:rPr>
                <w:rFonts w:cs="Arial"/>
                <w:sz w:val="20"/>
                <w:szCs w:val="20"/>
              </w:rPr>
              <w:t>6/1/2009</w:t>
            </w:r>
          </w:p>
        </w:tc>
        <w:tc>
          <w:tcPr>
            <w:tcW w:w="1309" w:type="dxa"/>
            <w:tcBorders>
              <w:top w:val="nil"/>
              <w:right w:val="nil"/>
            </w:tcBorders>
            <w:vAlign w:val="center"/>
          </w:tcPr>
          <w:p w14:paraId="207AEED3" w14:textId="77777777" w:rsidR="00DF7FA2" w:rsidRDefault="00DF7FA2">
            <w:pPr>
              <w:ind w:left="360" w:hanging="360"/>
              <w:jc w:val="center"/>
              <w:rPr>
                <w:rFonts w:cs="Arial"/>
                <w:sz w:val="20"/>
                <w:szCs w:val="20"/>
              </w:rPr>
            </w:pPr>
          </w:p>
        </w:tc>
        <w:tc>
          <w:tcPr>
            <w:tcW w:w="4686" w:type="dxa"/>
            <w:tcBorders>
              <w:top w:val="nil"/>
              <w:left w:val="nil"/>
              <w:right w:val="single" w:sz="4" w:space="0" w:color="auto"/>
            </w:tcBorders>
            <w:vAlign w:val="center"/>
          </w:tcPr>
          <w:p w14:paraId="2728C56F" w14:textId="77777777" w:rsidR="00DF7FA2" w:rsidRDefault="00DF7FA2">
            <w:pPr>
              <w:numPr>
                <w:ilvl w:val="0"/>
                <w:numId w:val="3"/>
              </w:numPr>
              <w:jc w:val="left"/>
              <w:rPr>
                <w:rFonts w:cs="Arial"/>
                <w:sz w:val="20"/>
                <w:szCs w:val="20"/>
              </w:rPr>
            </w:pPr>
            <w:r>
              <w:rPr>
                <w:rFonts w:cs="Arial"/>
                <w:sz w:val="20"/>
                <w:szCs w:val="20"/>
              </w:rPr>
              <w:t>Reformatted for plain language</w:t>
            </w:r>
          </w:p>
        </w:tc>
      </w:tr>
      <w:tr w:rsidR="00DF7FA2" w:rsidRPr="00417F0C" w14:paraId="5F9CDFC5" w14:textId="77777777">
        <w:trPr>
          <w:trHeight w:val="432"/>
        </w:trPr>
        <w:tc>
          <w:tcPr>
            <w:tcW w:w="1194" w:type="dxa"/>
            <w:tcBorders>
              <w:top w:val="nil"/>
              <w:bottom w:val="single" w:sz="4" w:space="0" w:color="auto"/>
            </w:tcBorders>
            <w:vAlign w:val="center"/>
          </w:tcPr>
          <w:p w14:paraId="245227B9" w14:textId="77777777" w:rsidR="00DF7FA2" w:rsidRDefault="00DF7FA2">
            <w:pPr>
              <w:jc w:val="center"/>
              <w:rPr>
                <w:rFonts w:cs="Arial"/>
                <w:b/>
                <w:sz w:val="20"/>
                <w:szCs w:val="20"/>
              </w:rPr>
            </w:pPr>
            <w:r>
              <w:rPr>
                <w:rFonts w:cs="Arial"/>
                <w:b/>
                <w:sz w:val="20"/>
                <w:szCs w:val="20"/>
              </w:rPr>
              <w:t>10</w:t>
            </w:r>
          </w:p>
        </w:tc>
        <w:tc>
          <w:tcPr>
            <w:tcW w:w="977" w:type="dxa"/>
            <w:tcBorders>
              <w:top w:val="nil"/>
              <w:bottom w:val="single" w:sz="4" w:space="0" w:color="auto"/>
            </w:tcBorders>
            <w:vAlign w:val="center"/>
          </w:tcPr>
          <w:p w14:paraId="7ECAA4F1" w14:textId="77777777" w:rsidR="00DF7FA2" w:rsidRDefault="00DF7FA2">
            <w:pPr>
              <w:jc w:val="center"/>
              <w:rPr>
                <w:rFonts w:cs="Arial"/>
                <w:sz w:val="20"/>
                <w:szCs w:val="20"/>
              </w:rPr>
            </w:pPr>
            <w:r>
              <w:rPr>
                <w:rFonts w:cs="Arial"/>
                <w:sz w:val="20"/>
                <w:szCs w:val="20"/>
              </w:rPr>
              <w:t>4</w:t>
            </w:r>
          </w:p>
        </w:tc>
        <w:tc>
          <w:tcPr>
            <w:tcW w:w="1194" w:type="dxa"/>
            <w:tcBorders>
              <w:top w:val="nil"/>
              <w:bottom w:val="single" w:sz="4" w:space="0" w:color="auto"/>
            </w:tcBorders>
            <w:vAlign w:val="center"/>
          </w:tcPr>
          <w:p w14:paraId="3F26AF5B" w14:textId="77777777" w:rsidR="00DF7FA2" w:rsidRDefault="00DF7FA2">
            <w:pPr>
              <w:jc w:val="center"/>
              <w:rPr>
                <w:rFonts w:cs="Arial"/>
                <w:sz w:val="20"/>
                <w:szCs w:val="20"/>
              </w:rPr>
            </w:pPr>
            <w:r>
              <w:rPr>
                <w:rFonts w:cs="Arial"/>
                <w:sz w:val="20"/>
                <w:szCs w:val="20"/>
              </w:rPr>
              <w:t>6/1/2009</w:t>
            </w:r>
          </w:p>
        </w:tc>
        <w:tc>
          <w:tcPr>
            <w:tcW w:w="1309" w:type="dxa"/>
            <w:tcBorders>
              <w:top w:val="nil"/>
              <w:bottom w:val="single" w:sz="4" w:space="0" w:color="auto"/>
              <w:right w:val="nil"/>
            </w:tcBorders>
            <w:vAlign w:val="center"/>
          </w:tcPr>
          <w:p w14:paraId="4A220F00" w14:textId="77777777" w:rsidR="00DF7FA2" w:rsidRDefault="00DF7FA2">
            <w:pPr>
              <w:ind w:left="360" w:hanging="360"/>
              <w:jc w:val="center"/>
              <w:rPr>
                <w:rFonts w:cs="Arial"/>
                <w:sz w:val="20"/>
                <w:szCs w:val="20"/>
              </w:rPr>
            </w:pPr>
          </w:p>
        </w:tc>
        <w:tc>
          <w:tcPr>
            <w:tcW w:w="4686" w:type="dxa"/>
            <w:tcBorders>
              <w:top w:val="nil"/>
              <w:left w:val="nil"/>
              <w:bottom w:val="single" w:sz="4" w:space="0" w:color="auto"/>
              <w:right w:val="single" w:sz="4" w:space="0" w:color="auto"/>
            </w:tcBorders>
            <w:vAlign w:val="center"/>
          </w:tcPr>
          <w:p w14:paraId="17A63DC8" w14:textId="77777777" w:rsidR="00DF7FA2" w:rsidRDefault="00DF7FA2">
            <w:pPr>
              <w:numPr>
                <w:ilvl w:val="0"/>
                <w:numId w:val="3"/>
              </w:numPr>
              <w:jc w:val="left"/>
              <w:rPr>
                <w:rFonts w:cs="Arial"/>
                <w:sz w:val="20"/>
                <w:szCs w:val="20"/>
              </w:rPr>
            </w:pPr>
            <w:r>
              <w:rPr>
                <w:rFonts w:cs="Arial"/>
                <w:sz w:val="20"/>
                <w:szCs w:val="20"/>
              </w:rPr>
              <w:t>Updated to reflect changes in Information Technologies policies</w:t>
            </w:r>
          </w:p>
        </w:tc>
      </w:tr>
      <w:tr w:rsidR="00DF7FA2" w:rsidRPr="00417F0C" w14:paraId="077C0E81" w14:textId="77777777">
        <w:trPr>
          <w:trHeight w:val="432"/>
        </w:trPr>
        <w:tc>
          <w:tcPr>
            <w:tcW w:w="1194" w:type="dxa"/>
            <w:tcBorders>
              <w:top w:val="nil"/>
            </w:tcBorders>
            <w:vAlign w:val="center"/>
          </w:tcPr>
          <w:p w14:paraId="204178A9" w14:textId="77777777" w:rsidR="00DF7FA2" w:rsidRDefault="00DF7FA2">
            <w:pPr>
              <w:jc w:val="center"/>
              <w:rPr>
                <w:rFonts w:cs="Arial"/>
                <w:b/>
                <w:sz w:val="20"/>
                <w:szCs w:val="20"/>
              </w:rPr>
            </w:pPr>
            <w:r>
              <w:rPr>
                <w:rFonts w:cs="Arial"/>
                <w:b/>
                <w:sz w:val="20"/>
                <w:szCs w:val="20"/>
              </w:rPr>
              <w:t>10A</w:t>
            </w:r>
          </w:p>
        </w:tc>
        <w:tc>
          <w:tcPr>
            <w:tcW w:w="977" w:type="dxa"/>
            <w:tcBorders>
              <w:top w:val="nil"/>
            </w:tcBorders>
            <w:vAlign w:val="center"/>
          </w:tcPr>
          <w:p w14:paraId="0ABEBB0C" w14:textId="77777777" w:rsidR="00DF7FA2" w:rsidRDefault="00DF7FA2">
            <w:pPr>
              <w:jc w:val="center"/>
              <w:rPr>
                <w:rFonts w:cs="Arial"/>
                <w:sz w:val="20"/>
                <w:szCs w:val="20"/>
              </w:rPr>
            </w:pPr>
            <w:r>
              <w:rPr>
                <w:rFonts w:cs="Arial"/>
                <w:sz w:val="20"/>
                <w:szCs w:val="20"/>
              </w:rPr>
              <w:t>5</w:t>
            </w:r>
          </w:p>
        </w:tc>
        <w:tc>
          <w:tcPr>
            <w:tcW w:w="1194" w:type="dxa"/>
            <w:tcBorders>
              <w:top w:val="nil"/>
            </w:tcBorders>
            <w:vAlign w:val="center"/>
          </w:tcPr>
          <w:p w14:paraId="521A720E" w14:textId="77777777" w:rsidR="00DF7FA2" w:rsidRDefault="00DF7FA2">
            <w:pPr>
              <w:jc w:val="center"/>
              <w:rPr>
                <w:rFonts w:cs="Arial"/>
                <w:sz w:val="20"/>
                <w:szCs w:val="20"/>
              </w:rPr>
            </w:pPr>
            <w:r>
              <w:rPr>
                <w:rFonts w:cs="Arial"/>
                <w:sz w:val="20"/>
                <w:szCs w:val="20"/>
              </w:rPr>
              <w:t>6/1/2009</w:t>
            </w:r>
          </w:p>
        </w:tc>
        <w:tc>
          <w:tcPr>
            <w:tcW w:w="1309" w:type="dxa"/>
            <w:tcBorders>
              <w:top w:val="nil"/>
              <w:right w:val="nil"/>
            </w:tcBorders>
            <w:vAlign w:val="center"/>
          </w:tcPr>
          <w:p w14:paraId="5B9673DA" w14:textId="77777777" w:rsidR="00DF7FA2" w:rsidRDefault="00DF7FA2">
            <w:pPr>
              <w:ind w:left="360" w:hanging="360"/>
              <w:jc w:val="center"/>
              <w:rPr>
                <w:rFonts w:cs="Arial"/>
                <w:sz w:val="20"/>
                <w:szCs w:val="20"/>
              </w:rPr>
            </w:pPr>
          </w:p>
        </w:tc>
        <w:tc>
          <w:tcPr>
            <w:tcW w:w="4686" w:type="dxa"/>
            <w:tcBorders>
              <w:top w:val="nil"/>
              <w:left w:val="nil"/>
              <w:right w:val="single" w:sz="4" w:space="0" w:color="auto"/>
            </w:tcBorders>
            <w:vAlign w:val="center"/>
          </w:tcPr>
          <w:p w14:paraId="35E75A32" w14:textId="77777777" w:rsidR="00DF7FA2" w:rsidRDefault="00DF7FA2">
            <w:pPr>
              <w:numPr>
                <w:ilvl w:val="0"/>
                <w:numId w:val="3"/>
              </w:numPr>
              <w:jc w:val="left"/>
              <w:rPr>
                <w:rFonts w:cs="Arial"/>
                <w:sz w:val="20"/>
                <w:szCs w:val="20"/>
              </w:rPr>
            </w:pPr>
            <w:r>
              <w:rPr>
                <w:rFonts w:cs="Arial"/>
                <w:sz w:val="20"/>
                <w:szCs w:val="20"/>
              </w:rPr>
              <w:t>Updated to reflect changes in Information Technologies policies</w:t>
            </w:r>
          </w:p>
        </w:tc>
      </w:tr>
      <w:tr w:rsidR="00DF7FA2" w:rsidRPr="00022CEB" w14:paraId="0675BB7C" w14:textId="77777777">
        <w:trPr>
          <w:trHeight w:val="432"/>
        </w:trPr>
        <w:tc>
          <w:tcPr>
            <w:tcW w:w="1194" w:type="dxa"/>
            <w:tcBorders>
              <w:top w:val="nil"/>
              <w:bottom w:val="single" w:sz="4" w:space="0" w:color="auto"/>
            </w:tcBorders>
            <w:vAlign w:val="center"/>
          </w:tcPr>
          <w:p w14:paraId="3D451247" w14:textId="77777777" w:rsidR="00DF7FA2" w:rsidRDefault="00DF7FA2">
            <w:pPr>
              <w:jc w:val="center"/>
              <w:rPr>
                <w:rFonts w:cs="Arial"/>
                <w:b/>
                <w:sz w:val="20"/>
                <w:szCs w:val="20"/>
              </w:rPr>
            </w:pPr>
            <w:r>
              <w:rPr>
                <w:rFonts w:cs="Arial"/>
                <w:b/>
                <w:sz w:val="20"/>
                <w:szCs w:val="20"/>
              </w:rPr>
              <w:t>14</w:t>
            </w:r>
          </w:p>
        </w:tc>
        <w:tc>
          <w:tcPr>
            <w:tcW w:w="977" w:type="dxa"/>
            <w:tcBorders>
              <w:top w:val="nil"/>
              <w:bottom w:val="single" w:sz="4" w:space="0" w:color="auto"/>
            </w:tcBorders>
            <w:vAlign w:val="center"/>
          </w:tcPr>
          <w:p w14:paraId="1DDAF61A" w14:textId="77777777" w:rsidR="00DF7FA2" w:rsidRDefault="00DF7FA2">
            <w:pPr>
              <w:jc w:val="center"/>
              <w:rPr>
                <w:rFonts w:cs="Arial"/>
                <w:sz w:val="20"/>
                <w:szCs w:val="20"/>
              </w:rPr>
            </w:pPr>
            <w:r>
              <w:rPr>
                <w:rFonts w:cs="Arial"/>
                <w:sz w:val="20"/>
                <w:szCs w:val="20"/>
              </w:rPr>
              <w:t>1</w:t>
            </w:r>
          </w:p>
        </w:tc>
        <w:tc>
          <w:tcPr>
            <w:tcW w:w="1194" w:type="dxa"/>
            <w:tcBorders>
              <w:top w:val="nil"/>
              <w:bottom w:val="single" w:sz="4" w:space="0" w:color="auto"/>
            </w:tcBorders>
            <w:vAlign w:val="center"/>
          </w:tcPr>
          <w:p w14:paraId="742001C8" w14:textId="77777777" w:rsidR="00DF7FA2" w:rsidRDefault="00DF7FA2">
            <w:pPr>
              <w:jc w:val="center"/>
              <w:rPr>
                <w:rFonts w:cs="Arial"/>
                <w:sz w:val="20"/>
                <w:szCs w:val="20"/>
              </w:rPr>
            </w:pPr>
            <w:r>
              <w:rPr>
                <w:rFonts w:cs="Arial"/>
                <w:sz w:val="20"/>
                <w:szCs w:val="20"/>
              </w:rPr>
              <w:t>6/1/2009</w:t>
            </w:r>
          </w:p>
        </w:tc>
        <w:tc>
          <w:tcPr>
            <w:tcW w:w="1309" w:type="dxa"/>
            <w:tcBorders>
              <w:top w:val="nil"/>
              <w:bottom w:val="single" w:sz="4" w:space="0" w:color="auto"/>
              <w:right w:val="nil"/>
            </w:tcBorders>
            <w:vAlign w:val="center"/>
          </w:tcPr>
          <w:p w14:paraId="0AF15AA8" w14:textId="77777777" w:rsidR="00DF7FA2" w:rsidRDefault="00DF7FA2">
            <w:pPr>
              <w:ind w:left="360" w:hanging="360"/>
              <w:jc w:val="center"/>
              <w:rPr>
                <w:rFonts w:cs="Arial"/>
                <w:sz w:val="20"/>
                <w:szCs w:val="20"/>
              </w:rPr>
            </w:pPr>
          </w:p>
        </w:tc>
        <w:tc>
          <w:tcPr>
            <w:tcW w:w="4686" w:type="dxa"/>
            <w:tcBorders>
              <w:top w:val="nil"/>
              <w:left w:val="nil"/>
              <w:bottom w:val="single" w:sz="4" w:space="0" w:color="auto"/>
              <w:right w:val="single" w:sz="4" w:space="0" w:color="auto"/>
            </w:tcBorders>
            <w:vAlign w:val="center"/>
          </w:tcPr>
          <w:p w14:paraId="682FA264" w14:textId="77777777" w:rsidR="00DF7FA2" w:rsidRDefault="00DF7FA2">
            <w:pPr>
              <w:numPr>
                <w:ilvl w:val="0"/>
                <w:numId w:val="3"/>
              </w:numPr>
              <w:jc w:val="left"/>
              <w:rPr>
                <w:rFonts w:cs="Arial"/>
                <w:sz w:val="20"/>
                <w:szCs w:val="20"/>
              </w:rPr>
            </w:pPr>
            <w:r>
              <w:rPr>
                <w:rFonts w:cs="Arial"/>
                <w:sz w:val="20"/>
                <w:szCs w:val="20"/>
              </w:rPr>
              <w:t>New procedure</w:t>
            </w:r>
          </w:p>
        </w:tc>
      </w:tr>
      <w:tr w:rsidR="00DF7FA2" w:rsidRPr="00022CEB" w14:paraId="500883C4" w14:textId="77777777">
        <w:trPr>
          <w:trHeight w:val="432"/>
        </w:trPr>
        <w:tc>
          <w:tcPr>
            <w:tcW w:w="1194" w:type="dxa"/>
            <w:tcBorders>
              <w:top w:val="nil"/>
              <w:bottom w:val="single" w:sz="4" w:space="0" w:color="auto"/>
            </w:tcBorders>
            <w:vAlign w:val="center"/>
          </w:tcPr>
          <w:p w14:paraId="6DA63FC3" w14:textId="77777777" w:rsidR="00DF7FA2" w:rsidRDefault="00DF7FA2">
            <w:pPr>
              <w:jc w:val="center"/>
              <w:rPr>
                <w:rFonts w:cs="Arial"/>
                <w:b/>
                <w:sz w:val="20"/>
                <w:szCs w:val="20"/>
              </w:rPr>
            </w:pPr>
            <w:r>
              <w:rPr>
                <w:rFonts w:cs="Arial"/>
                <w:b/>
                <w:sz w:val="20"/>
                <w:szCs w:val="20"/>
              </w:rPr>
              <w:t>CC-2</w:t>
            </w:r>
          </w:p>
        </w:tc>
        <w:tc>
          <w:tcPr>
            <w:tcW w:w="977" w:type="dxa"/>
            <w:tcBorders>
              <w:top w:val="nil"/>
              <w:bottom w:val="single" w:sz="4" w:space="0" w:color="auto"/>
            </w:tcBorders>
            <w:vAlign w:val="center"/>
          </w:tcPr>
          <w:p w14:paraId="1DE91321" w14:textId="77777777" w:rsidR="00DF7FA2" w:rsidRDefault="00DF7FA2">
            <w:pPr>
              <w:jc w:val="center"/>
              <w:rPr>
                <w:rFonts w:cs="Arial"/>
                <w:sz w:val="20"/>
                <w:szCs w:val="20"/>
              </w:rPr>
            </w:pPr>
            <w:r>
              <w:rPr>
                <w:rFonts w:cs="Arial"/>
                <w:sz w:val="20"/>
                <w:szCs w:val="20"/>
              </w:rPr>
              <w:t>4</w:t>
            </w:r>
          </w:p>
        </w:tc>
        <w:tc>
          <w:tcPr>
            <w:tcW w:w="1194" w:type="dxa"/>
            <w:tcBorders>
              <w:top w:val="nil"/>
              <w:bottom w:val="single" w:sz="4" w:space="0" w:color="auto"/>
            </w:tcBorders>
            <w:vAlign w:val="center"/>
          </w:tcPr>
          <w:p w14:paraId="118F9310" w14:textId="77777777" w:rsidR="00DF7FA2" w:rsidRDefault="00DF7FA2">
            <w:pPr>
              <w:jc w:val="center"/>
              <w:rPr>
                <w:rFonts w:cs="Arial"/>
                <w:sz w:val="20"/>
                <w:szCs w:val="20"/>
              </w:rPr>
            </w:pPr>
            <w:r>
              <w:rPr>
                <w:rFonts w:cs="Arial"/>
                <w:sz w:val="20"/>
                <w:szCs w:val="20"/>
              </w:rPr>
              <w:t>6/1/2009</w:t>
            </w:r>
          </w:p>
        </w:tc>
        <w:tc>
          <w:tcPr>
            <w:tcW w:w="1309" w:type="dxa"/>
            <w:tcBorders>
              <w:top w:val="nil"/>
              <w:bottom w:val="single" w:sz="4" w:space="0" w:color="auto"/>
              <w:right w:val="nil"/>
            </w:tcBorders>
            <w:vAlign w:val="center"/>
          </w:tcPr>
          <w:p w14:paraId="4C097785" w14:textId="77777777" w:rsidR="00DF7FA2" w:rsidRDefault="00DF7FA2">
            <w:pPr>
              <w:ind w:left="360" w:hanging="360"/>
              <w:jc w:val="center"/>
              <w:rPr>
                <w:rFonts w:cs="Arial"/>
                <w:sz w:val="20"/>
                <w:szCs w:val="20"/>
              </w:rPr>
            </w:pPr>
          </w:p>
        </w:tc>
        <w:tc>
          <w:tcPr>
            <w:tcW w:w="4686" w:type="dxa"/>
            <w:tcBorders>
              <w:top w:val="nil"/>
              <w:left w:val="nil"/>
              <w:bottom w:val="single" w:sz="4" w:space="0" w:color="auto"/>
              <w:right w:val="single" w:sz="4" w:space="0" w:color="auto"/>
            </w:tcBorders>
            <w:vAlign w:val="center"/>
          </w:tcPr>
          <w:p w14:paraId="223B17B0" w14:textId="77777777" w:rsidR="00DF7FA2" w:rsidRDefault="00DF7FA2">
            <w:pPr>
              <w:numPr>
                <w:ilvl w:val="0"/>
                <w:numId w:val="3"/>
              </w:numPr>
              <w:jc w:val="left"/>
              <w:rPr>
                <w:rFonts w:cs="Arial"/>
                <w:sz w:val="20"/>
                <w:szCs w:val="20"/>
              </w:rPr>
            </w:pPr>
            <w:r>
              <w:rPr>
                <w:rFonts w:cs="Arial"/>
                <w:sz w:val="20"/>
                <w:szCs w:val="20"/>
              </w:rPr>
              <w:t>Updated to include confidentiality agreements.</w:t>
            </w:r>
          </w:p>
        </w:tc>
      </w:tr>
    </w:tbl>
    <w:p w14:paraId="71B3E552" w14:textId="77777777" w:rsidR="00DF7FA2" w:rsidRDefault="00DF7FA2" w:rsidP="008028A4">
      <w:pPr>
        <w:pStyle w:val="H1ProcedureSection"/>
      </w:pPr>
      <w:r>
        <w:br w:type="page"/>
      </w:r>
      <w:bookmarkStart w:id="4" w:name="_Toc209771750"/>
      <w:r>
        <w:t>Summary of Confidentiality Procedure Changes – Change 1</w:t>
      </w:r>
      <w:bookmarkEnd w:id="4"/>
    </w:p>
    <w:p w14:paraId="1D7162F1" w14:textId="77777777" w:rsidR="00DF7FA2" w:rsidRPr="007F4964" w:rsidRDefault="00DF7FA2" w:rsidP="00874517">
      <w:pPr>
        <w:pStyle w:val="Version"/>
      </w:pPr>
      <w:r>
        <w:t xml:space="preserve">Change </w:t>
      </w:r>
      <w:r w:rsidRPr="007F4964">
        <w:t xml:space="preserve">Effective Date:  </w:t>
      </w:r>
      <w:r>
        <w:t>April 21, 2008</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94"/>
        <w:gridCol w:w="977"/>
        <w:gridCol w:w="1194"/>
        <w:gridCol w:w="1309"/>
        <w:gridCol w:w="4686"/>
      </w:tblGrid>
      <w:tr w:rsidR="00C72BA2" w:rsidRPr="002C4E55" w14:paraId="7367F759" w14:textId="77777777" w:rsidTr="00614DB1">
        <w:trPr>
          <w:tblHeader/>
        </w:trPr>
        <w:tc>
          <w:tcPr>
            <w:tcW w:w="1194" w:type="dxa"/>
            <w:shd w:val="clear" w:color="auto" w:fill="E0E0E0"/>
            <w:vAlign w:val="center"/>
          </w:tcPr>
          <w:p w14:paraId="69B0C2A1" w14:textId="77777777" w:rsidR="00C72BA2" w:rsidRDefault="00C72BA2" w:rsidP="00614DB1">
            <w:pPr>
              <w:jc w:val="center"/>
              <w:rPr>
                <w:rFonts w:cs="Arial"/>
                <w:b/>
                <w:sz w:val="18"/>
                <w:szCs w:val="18"/>
              </w:rPr>
            </w:pPr>
            <w:r>
              <w:rPr>
                <w:rFonts w:cs="Arial"/>
                <w:b/>
                <w:sz w:val="18"/>
                <w:szCs w:val="18"/>
              </w:rPr>
              <w:t>Procedure</w:t>
            </w:r>
          </w:p>
        </w:tc>
        <w:tc>
          <w:tcPr>
            <w:tcW w:w="977" w:type="dxa"/>
            <w:shd w:val="clear" w:color="auto" w:fill="E0E0E0"/>
            <w:vAlign w:val="center"/>
          </w:tcPr>
          <w:p w14:paraId="3D277E4B" w14:textId="77777777" w:rsidR="00C72BA2" w:rsidRDefault="00C72BA2" w:rsidP="00614DB1">
            <w:pPr>
              <w:jc w:val="center"/>
              <w:rPr>
                <w:rFonts w:cs="Arial"/>
                <w:b/>
                <w:sz w:val="18"/>
                <w:szCs w:val="18"/>
              </w:rPr>
            </w:pPr>
            <w:r>
              <w:rPr>
                <w:rFonts w:cs="Arial"/>
                <w:b/>
                <w:sz w:val="18"/>
                <w:szCs w:val="18"/>
              </w:rPr>
              <w:t>Version number</w:t>
            </w:r>
          </w:p>
        </w:tc>
        <w:tc>
          <w:tcPr>
            <w:tcW w:w="1194" w:type="dxa"/>
            <w:shd w:val="clear" w:color="auto" w:fill="E0E0E0"/>
            <w:vAlign w:val="center"/>
          </w:tcPr>
          <w:p w14:paraId="2F24DAFD" w14:textId="77777777" w:rsidR="00C72BA2" w:rsidRDefault="00C72BA2" w:rsidP="00614DB1">
            <w:pPr>
              <w:jc w:val="center"/>
              <w:rPr>
                <w:rFonts w:cs="Arial"/>
                <w:b/>
                <w:sz w:val="18"/>
                <w:szCs w:val="18"/>
              </w:rPr>
            </w:pPr>
            <w:r>
              <w:rPr>
                <w:rFonts w:cs="Arial"/>
                <w:b/>
                <w:sz w:val="18"/>
                <w:szCs w:val="18"/>
              </w:rPr>
              <w:t>Version effective date</w:t>
            </w:r>
          </w:p>
        </w:tc>
        <w:tc>
          <w:tcPr>
            <w:tcW w:w="1309" w:type="dxa"/>
            <w:tcBorders>
              <w:right w:val="nil"/>
            </w:tcBorders>
            <w:shd w:val="clear" w:color="auto" w:fill="E0E0E0"/>
            <w:vAlign w:val="center"/>
          </w:tcPr>
          <w:p w14:paraId="33F1EA49" w14:textId="77777777" w:rsidR="00C72BA2" w:rsidRDefault="00C72BA2" w:rsidP="00614DB1">
            <w:pPr>
              <w:jc w:val="center"/>
              <w:rPr>
                <w:rFonts w:cs="Arial"/>
                <w:b/>
                <w:sz w:val="18"/>
                <w:szCs w:val="18"/>
              </w:rPr>
            </w:pPr>
          </w:p>
        </w:tc>
        <w:tc>
          <w:tcPr>
            <w:tcW w:w="4686" w:type="dxa"/>
            <w:tcBorders>
              <w:left w:val="nil"/>
              <w:bottom w:val="single" w:sz="4" w:space="0" w:color="auto"/>
              <w:right w:val="single" w:sz="4" w:space="0" w:color="auto"/>
            </w:tcBorders>
            <w:shd w:val="clear" w:color="auto" w:fill="E0E0E0"/>
            <w:vAlign w:val="center"/>
          </w:tcPr>
          <w:p w14:paraId="62B5CC35" w14:textId="77777777" w:rsidR="00C72BA2" w:rsidRDefault="00C72BA2" w:rsidP="00614DB1">
            <w:pPr>
              <w:jc w:val="center"/>
              <w:rPr>
                <w:rFonts w:cs="Arial"/>
                <w:b/>
                <w:sz w:val="18"/>
                <w:szCs w:val="18"/>
              </w:rPr>
            </w:pPr>
            <w:r>
              <w:rPr>
                <w:rFonts w:cs="Arial"/>
                <w:b/>
                <w:sz w:val="18"/>
                <w:szCs w:val="18"/>
              </w:rPr>
              <w:t>Summary of change</w:t>
            </w:r>
          </w:p>
        </w:tc>
      </w:tr>
      <w:tr w:rsidR="00C72BA2" w:rsidRPr="006B5DA7" w14:paraId="6AB822AD" w14:textId="77777777" w:rsidTr="00614DB1">
        <w:trPr>
          <w:trHeight w:val="576"/>
        </w:trPr>
        <w:tc>
          <w:tcPr>
            <w:tcW w:w="1194" w:type="dxa"/>
            <w:vAlign w:val="center"/>
          </w:tcPr>
          <w:p w14:paraId="76891953" w14:textId="77777777" w:rsidR="00C72BA2" w:rsidRDefault="00C72BA2" w:rsidP="00614DB1">
            <w:pPr>
              <w:ind w:left="360" w:hanging="360"/>
              <w:jc w:val="center"/>
              <w:rPr>
                <w:rFonts w:cs="Arial"/>
                <w:b/>
                <w:sz w:val="20"/>
                <w:szCs w:val="20"/>
              </w:rPr>
            </w:pPr>
            <w:r>
              <w:rPr>
                <w:rFonts w:cs="Arial"/>
                <w:b/>
                <w:sz w:val="20"/>
                <w:szCs w:val="20"/>
              </w:rPr>
              <w:t>1</w:t>
            </w:r>
          </w:p>
        </w:tc>
        <w:tc>
          <w:tcPr>
            <w:tcW w:w="977" w:type="dxa"/>
            <w:vAlign w:val="center"/>
          </w:tcPr>
          <w:p w14:paraId="049D7912" w14:textId="77777777" w:rsidR="00C72BA2" w:rsidRDefault="00C72BA2" w:rsidP="00614DB1">
            <w:pPr>
              <w:jc w:val="center"/>
              <w:rPr>
                <w:rFonts w:cs="Arial"/>
                <w:sz w:val="20"/>
                <w:szCs w:val="20"/>
              </w:rPr>
            </w:pPr>
            <w:r>
              <w:rPr>
                <w:rFonts w:cs="Arial"/>
                <w:sz w:val="20"/>
                <w:szCs w:val="20"/>
              </w:rPr>
              <w:t>3</w:t>
            </w:r>
          </w:p>
        </w:tc>
        <w:tc>
          <w:tcPr>
            <w:tcW w:w="1194" w:type="dxa"/>
            <w:vAlign w:val="center"/>
          </w:tcPr>
          <w:p w14:paraId="283A5B04" w14:textId="77777777" w:rsidR="00C72BA2" w:rsidRDefault="00C72BA2" w:rsidP="00614DB1">
            <w:pPr>
              <w:jc w:val="center"/>
              <w:rPr>
                <w:rFonts w:cs="Arial"/>
                <w:sz w:val="20"/>
                <w:szCs w:val="20"/>
              </w:rPr>
            </w:pPr>
            <w:r>
              <w:rPr>
                <w:rFonts w:cs="Arial"/>
                <w:sz w:val="20"/>
                <w:szCs w:val="20"/>
              </w:rPr>
              <w:t>4/21/2007</w:t>
            </w:r>
          </w:p>
        </w:tc>
        <w:tc>
          <w:tcPr>
            <w:tcW w:w="1309" w:type="dxa"/>
            <w:tcBorders>
              <w:right w:val="nil"/>
            </w:tcBorders>
            <w:vAlign w:val="center"/>
          </w:tcPr>
          <w:p w14:paraId="61C27A20" w14:textId="77777777" w:rsidR="00C72BA2" w:rsidRDefault="00C72BA2" w:rsidP="00614DB1">
            <w:pPr>
              <w:jc w:val="center"/>
              <w:rPr>
                <w:rFonts w:cs="Arial"/>
                <w:sz w:val="20"/>
                <w:szCs w:val="20"/>
              </w:rPr>
            </w:pPr>
          </w:p>
        </w:tc>
        <w:tc>
          <w:tcPr>
            <w:tcW w:w="4686" w:type="dxa"/>
            <w:tcBorders>
              <w:left w:val="nil"/>
              <w:bottom w:val="single" w:sz="4" w:space="0" w:color="auto"/>
              <w:right w:val="single" w:sz="4" w:space="0" w:color="auto"/>
            </w:tcBorders>
            <w:vAlign w:val="center"/>
          </w:tcPr>
          <w:p w14:paraId="7CD3F703"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r w:rsidR="00C72BA2" w:rsidRPr="006B5DA7" w14:paraId="08D325A2" w14:textId="77777777" w:rsidTr="00614DB1">
        <w:trPr>
          <w:trHeight w:val="576"/>
        </w:trPr>
        <w:tc>
          <w:tcPr>
            <w:tcW w:w="1194" w:type="dxa"/>
            <w:vAlign w:val="center"/>
          </w:tcPr>
          <w:p w14:paraId="351738F7" w14:textId="77777777" w:rsidR="00C72BA2" w:rsidRDefault="00C72BA2" w:rsidP="00614DB1">
            <w:pPr>
              <w:ind w:left="360" w:hanging="360"/>
              <w:jc w:val="center"/>
              <w:rPr>
                <w:rFonts w:cs="Arial"/>
                <w:b/>
                <w:sz w:val="20"/>
                <w:szCs w:val="20"/>
              </w:rPr>
            </w:pPr>
            <w:r>
              <w:rPr>
                <w:rFonts w:cs="Arial"/>
                <w:b/>
                <w:sz w:val="20"/>
                <w:szCs w:val="20"/>
              </w:rPr>
              <w:t>2</w:t>
            </w:r>
          </w:p>
        </w:tc>
        <w:tc>
          <w:tcPr>
            <w:tcW w:w="977" w:type="dxa"/>
            <w:vAlign w:val="center"/>
          </w:tcPr>
          <w:p w14:paraId="56F127B5" w14:textId="77777777" w:rsidR="00C72BA2" w:rsidRDefault="00C72BA2" w:rsidP="00614DB1">
            <w:pPr>
              <w:jc w:val="center"/>
              <w:rPr>
                <w:rFonts w:cs="Arial"/>
                <w:sz w:val="20"/>
                <w:szCs w:val="20"/>
              </w:rPr>
            </w:pPr>
            <w:r>
              <w:rPr>
                <w:rFonts w:cs="Arial"/>
                <w:sz w:val="20"/>
                <w:szCs w:val="20"/>
              </w:rPr>
              <w:t>5</w:t>
            </w:r>
          </w:p>
        </w:tc>
        <w:tc>
          <w:tcPr>
            <w:tcW w:w="1194" w:type="dxa"/>
            <w:vAlign w:val="center"/>
          </w:tcPr>
          <w:p w14:paraId="7C8D2BA2" w14:textId="77777777" w:rsidR="00C72BA2" w:rsidRDefault="00C72BA2" w:rsidP="00614DB1">
            <w:pPr>
              <w:jc w:val="center"/>
              <w:rPr>
                <w:rFonts w:cs="Arial"/>
                <w:sz w:val="20"/>
                <w:szCs w:val="20"/>
              </w:rPr>
            </w:pPr>
            <w:r>
              <w:rPr>
                <w:rFonts w:cs="Arial"/>
                <w:sz w:val="20"/>
                <w:szCs w:val="20"/>
              </w:rPr>
              <w:t>12/1/2007</w:t>
            </w:r>
          </w:p>
        </w:tc>
        <w:tc>
          <w:tcPr>
            <w:tcW w:w="1309" w:type="dxa"/>
            <w:tcBorders>
              <w:right w:val="nil"/>
            </w:tcBorders>
            <w:vAlign w:val="center"/>
          </w:tcPr>
          <w:p w14:paraId="4ECFE0BC" w14:textId="77777777" w:rsidR="00C72BA2" w:rsidRDefault="00C72BA2" w:rsidP="00614DB1">
            <w:pPr>
              <w:ind w:left="360" w:hanging="360"/>
              <w:jc w:val="center"/>
              <w:rPr>
                <w:rFonts w:cs="Arial"/>
                <w:sz w:val="20"/>
                <w:szCs w:val="20"/>
              </w:rPr>
            </w:pPr>
          </w:p>
        </w:tc>
        <w:tc>
          <w:tcPr>
            <w:tcW w:w="4686" w:type="dxa"/>
            <w:tcBorders>
              <w:left w:val="nil"/>
              <w:bottom w:val="single" w:sz="4" w:space="0" w:color="auto"/>
              <w:right w:val="single" w:sz="4" w:space="0" w:color="auto"/>
            </w:tcBorders>
            <w:vAlign w:val="center"/>
          </w:tcPr>
          <w:p w14:paraId="17ED61F1"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r w:rsidR="00C72BA2" w:rsidRPr="006B5DA7" w14:paraId="54008795" w14:textId="77777777" w:rsidTr="00614DB1">
        <w:trPr>
          <w:trHeight w:val="576"/>
        </w:trPr>
        <w:tc>
          <w:tcPr>
            <w:tcW w:w="1194" w:type="dxa"/>
            <w:tcBorders>
              <w:bottom w:val="single" w:sz="4" w:space="0" w:color="auto"/>
            </w:tcBorders>
            <w:vAlign w:val="center"/>
          </w:tcPr>
          <w:p w14:paraId="27576B7B" w14:textId="77777777" w:rsidR="00C72BA2" w:rsidRDefault="00C72BA2" w:rsidP="00614DB1">
            <w:pPr>
              <w:ind w:left="360" w:hanging="360"/>
              <w:jc w:val="center"/>
              <w:rPr>
                <w:rFonts w:cs="Arial"/>
                <w:b/>
                <w:sz w:val="20"/>
                <w:szCs w:val="20"/>
              </w:rPr>
            </w:pPr>
            <w:r>
              <w:rPr>
                <w:rFonts w:cs="Arial"/>
                <w:b/>
                <w:sz w:val="20"/>
                <w:szCs w:val="20"/>
              </w:rPr>
              <w:t>3</w:t>
            </w:r>
          </w:p>
        </w:tc>
        <w:tc>
          <w:tcPr>
            <w:tcW w:w="977" w:type="dxa"/>
            <w:tcBorders>
              <w:bottom w:val="single" w:sz="4" w:space="0" w:color="auto"/>
            </w:tcBorders>
            <w:vAlign w:val="center"/>
          </w:tcPr>
          <w:p w14:paraId="5FC306ED" w14:textId="77777777" w:rsidR="00C72BA2" w:rsidRDefault="00C72BA2" w:rsidP="00614DB1">
            <w:pPr>
              <w:jc w:val="center"/>
              <w:rPr>
                <w:rFonts w:cs="Arial"/>
                <w:sz w:val="20"/>
                <w:szCs w:val="20"/>
              </w:rPr>
            </w:pPr>
            <w:r>
              <w:rPr>
                <w:rFonts w:cs="Arial"/>
                <w:sz w:val="20"/>
                <w:szCs w:val="20"/>
              </w:rPr>
              <w:t>3</w:t>
            </w:r>
          </w:p>
        </w:tc>
        <w:tc>
          <w:tcPr>
            <w:tcW w:w="1194" w:type="dxa"/>
            <w:tcBorders>
              <w:bottom w:val="single" w:sz="4" w:space="0" w:color="auto"/>
            </w:tcBorders>
            <w:vAlign w:val="center"/>
          </w:tcPr>
          <w:p w14:paraId="57EDA99B" w14:textId="77777777" w:rsidR="00C72BA2" w:rsidRDefault="00C72BA2" w:rsidP="00614DB1">
            <w:pPr>
              <w:jc w:val="center"/>
              <w:rPr>
                <w:rFonts w:cs="Arial"/>
                <w:sz w:val="20"/>
                <w:szCs w:val="20"/>
              </w:rPr>
            </w:pPr>
            <w:r>
              <w:rPr>
                <w:rFonts w:cs="Arial"/>
                <w:sz w:val="20"/>
                <w:szCs w:val="20"/>
              </w:rPr>
              <w:t>4/21/2007</w:t>
            </w:r>
          </w:p>
        </w:tc>
        <w:tc>
          <w:tcPr>
            <w:tcW w:w="1309" w:type="dxa"/>
            <w:tcBorders>
              <w:bottom w:val="single" w:sz="4" w:space="0" w:color="auto"/>
              <w:right w:val="nil"/>
            </w:tcBorders>
            <w:vAlign w:val="center"/>
          </w:tcPr>
          <w:p w14:paraId="539094A5" w14:textId="77777777" w:rsidR="00C72BA2" w:rsidRDefault="00C72BA2" w:rsidP="00614DB1">
            <w:pPr>
              <w:ind w:left="360" w:hanging="360"/>
              <w:jc w:val="center"/>
              <w:rPr>
                <w:rFonts w:cs="Arial"/>
                <w:sz w:val="20"/>
                <w:szCs w:val="20"/>
              </w:rPr>
            </w:pPr>
          </w:p>
        </w:tc>
        <w:tc>
          <w:tcPr>
            <w:tcW w:w="4686" w:type="dxa"/>
            <w:tcBorders>
              <w:left w:val="nil"/>
              <w:bottom w:val="single" w:sz="4" w:space="0" w:color="auto"/>
              <w:right w:val="single" w:sz="4" w:space="0" w:color="auto"/>
            </w:tcBorders>
            <w:vAlign w:val="center"/>
          </w:tcPr>
          <w:p w14:paraId="6CA36903"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r w:rsidR="00C72BA2" w:rsidRPr="006B5DA7" w14:paraId="07827521" w14:textId="77777777" w:rsidTr="00614DB1">
        <w:trPr>
          <w:trHeight w:val="576"/>
        </w:trPr>
        <w:tc>
          <w:tcPr>
            <w:tcW w:w="1194" w:type="dxa"/>
            <w:vAlign w:val="center"/>
          </w:tcPr>
          <w:p w14:paraId="335E43C2" w14:textId="77777777" w:rsidR="00C72BA2" w:rsidRDefault="00C72BA2" w:rsidP="00614DB1">
            <w:pPr>
              <w:jc w:val="center"/>
              <w:rPr>
                <w:rFonts w:cs="Arial"/>
                <w:b/>
                <w:sz w:val="20"/>
                <w:szCs w:val="20"/>
              </w:rPr>
            </w:pPr>
            <w:r>
              <w:rPr>
                <w:rFonts w:cs="Arial"/>
                <w:b/>
                <w:sz w:val="20"/>
                <w:szCs w:val="20"/>
              </w:rPr>
              <w:t>4</w:t>
            </w:r>
          </w:p>
        </w:tc>
        <w:tc>
          <w:tcPr>
            <w:tcW w:w="977" w:type="dxa"/>
            <w:vAlign w:val="center"/>
          </w:tcPr>
          <w:p w14:paraId="425A4125" w14:textId="77777777" w:rsidR="00C72BA2" w:rsidRDefault="00C72BA2" w:rsidP="00614DB1">
            <w:pPr>
              <w:jc w:val="center"/>
              <w:rPr>
                <w:rFonts w:cs="Arial"/>
                <w:sz w:val="20"/>
                <w:szCs w:val="20"/>
              </w:rPr>
            </w:pPr>
            <w:r>
              <w:rPr>
                <w:rFonts w:cs="Arial"/>
                <w:sz w:val="20"/>
                <w:szCs w:val="20"/>
              </w:rPr>
              <w:t>3</w:t>
            </w:r>
          </w:p>
        </w:tc>
        <w:tc>
          <w:tcPr>
            <w:tcW w:w="1194" w:type="dxa"/>
            <w:vAlign w:val="center"/>
          </w:tcPr>
          <w:p w14:paraId="1B81EFDA" w14:textId="77777777" w:rsidR="00C72BA2" w:rsidRDefault="00C72BA2" w:rsidP="00614DB1">
            <w:pPr>
              <w:jc w:val="center"/>
              <w:rPr>
                <w:rFonts w:cs="Arial"/>
                <w:sz w:val="20"/>
                <w:szCs w:val="20"/>
              </w:rPr>
            </w:pPr>
            <w:r>
              <w:rPr>
                <w:rFonts w:cs="Arial"/>
                <w:sz w:val="20"/>
                <w:szCs w:val="20"/>
              </w:rPr>
              <w:t>4/21/2007</w:t>
            </w:r>
          </w:p>
        </w:tc>
        <w:tc>
          <w:tcPr>
            <w:tcW w:w="1309" w:type="dxa"/>
            <w:tcBorders>
              <w:right w:val="nil"/>
            </w:tcBorders>
            <w:vAlign w:val="center"/>
          </w:tcPr>
          <w:p w14:paraId="62DB35A4" w14:textId="77777777" w:rsidR="00C72BA2" w:rsidRDefault="00C72BA2" w:rsidP="00614DB1">
            <w:pPr>
              <w:ind w:left="360" w:hanging="360"/>
              <w:jc w:val="center"/>
              <w:rPr>
                <w:rFonts w:cs="Arial"/>
                <w:sz w:val="20"/>
                <w:szCs w:val="20"/>
              </w:rPr>
            </w:pPr>
          </w:p>
        </w:tc>
        <w:tc>
          <w:tcPr>
            <w:tcW w:w="4686" w:type="dxa"/>
            <w:tcBorders>
              <w:left w:val="nil"/>
              <w:right w:val="single" w:sz="4" w:space="0" w:color="auto"/>
            </w:tcBorders>
            <w:vAlign w:val="center"/>
          </w:tcPr>
          <w:p w14:paraId="0EA5BE4E"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r w:rsidR="00C72BA2" w:rsidRPr="006B5DA7" w14:paraId="2FD5B4E2" w14:textId="77777777" w:rsidTr="00614DB1">
        <w:trPr>
          <w:trHeight w:val="576"/>
        </w:trPr>
        <w:tc>
          <w:tcPr>
            <w:tcW w:w="1194" w:type="dxa"/>
            <w:vAlign w:val="center"/>
          </w:tcPr>
          <w:p w14:paraId="32D42EB5" w14:textId="77777777" w:rsidR="00C72BA2" w:rsidRDefault="00C72BA2" w:rsidP="00614DB1">
            <w:pPr>
              <w:jc w:val="center"/>
              <w:rPr>
                <w:rFonts w:cs="Arial"/>
                <w:b/>
                <w:sz w:val="20"/>
                <w:szCs w:val="20"/>
              </w:rPr>
            </w:pPr>
            <w:r>
              <w:rPr>
                <w:rFonts w:cs="Arial"/>
                <w:b/>
                <w:sz w:val="20"/>
                <w:szCs w:val="20"/>
              </w:rPr>
              <w:t>5</w:t>
            </w:r>
          </w:p>
        </w:tc>
        <w:tc>
          <w:tcPr>
            <w:tcW w:w="977" w:type="dxa"/>
            <w:vAlign w:val="center"/>
          </w:tcPr>
          <w:p w14:paraId="1110A6AE" w14:textId="77777777" w:rsidR="00C72BA2" w:rsidRDefault="00C72BA2" w:rsidP="00614DB1">
            <w:pPr>
              <w:jc w:val="center"/>
              <w:rPr>
                <w:rFonts w:cs="Arial"/>
                <w:sz w:val="20"/>
                <w:szCs w:val="20"/>
              </w:rPr>
            </w:pPr>
            <w:r>
              <w:rPr>
                <w:rFonts w:cs="Arial"/>
                <w:sz w:val="20"/>
                <w:szCs w:val="20"/>
              </w:rPr>
              <w:t>3</w:t>
            </w:r>
          </w:p>
        </w:tc>
        <w:tc>
          <w:tcPr>
            <w:tcW w:w="1194" w:type="dxa"/>
            <w:vAlign w:val="center"/>
          </w:tcPr>
          <w:p w14:paraId="46D71B48" w14:textId="77777777" w:rsidR="00C72BA2" w:rsidRDefault="00C72BA2" w:rsidP="00614DB1">
            <w:pPr>
              <w:jc w:val="center"/>
              <w:rPr>
                <w:rFonts w:cs="Arial"/>
                <w:sz w:val="20"/>
                <w:szCs w:val="20"/>
              </w:rPr>
            </w:pPr>
            <w:r>
              <w:rPr>
                <w:rFonts w:cs="Arial"/>
                <w:sz w:val="20"/>
                <w:szCs w:val="20"/>
              </w:rPr>
              <w:t>4/21/2007</w:t>
            </w:r>
          </w:p>
        </w:tc>
        <w:tc>
          <w:tcPr>
            <w:tcW w:w="1309" w:type="dxa"/>
            <w:tcBorders>
              <w:right w:val="nil"/>
            </w:tcBorders>
            <w:vAlign w:val="center"/>
          </w:tcPr>
          <w:p w14:paraId="453E6A3B" w14:textId="77777777" w:rsidR="00C72BA2" w:rsidRDefault="00C72BA2" w:rsidP="00614DB1">
            <w:pPr>
              <w:ind w:left="360" w:hanging="360"/>
              <w:jc w:val="center"/>
              <w:rPr>
                <w:rFonts w:cs="Arial"/>
                <w:sz w:val="20"/>
                <w:szCs w:val="20"/>
              </w:rPr>
            </w:pPr>
          </w:p>
        </w:tc>
        <w:tc>
          <w:tcPr>
            <w:tcW w:w="4686" w:type="dxa"/>
            <w:tcBorders>
              <w:left w:val="nil"/>
              <w:right w:val="single" w:sz="4" w:space="0" w:color="auto"/>
            </w:tcBorders>
            <w:vAlign w:val="center"/>
          </w:tcPr>
          <w:p w14:paraId="067E2172"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r w:rsidR="00C72BA2" w:rsidRPr="006B5DA7" w14:paraId="648A3873" w14:textId="77777777" w:rsidTr="00614DB1">
        <w:trPr>
          <w:trHeight w:val="576"/>
        </w:trPr>
        <w:tc>
          <w:tcPr>
            <w:tcW w:w="1194" w:type="dxa"/>
            <w:vAlign w:val="center"/>
          </w:tcPr>
          <w:p w14:paraId="34890ADC" w14:textId="77777777" w:rsidR="00C72BA2" w:rsidRDefault="00C72BA2" w:rsidP="00614DB1">
            <w:pPr>
              <w:jc w:val="center"/>
              <w:rPr>
                <w:rFonts w:cs="Arial"/>
                <w:b/>
                <w:sz w:val="20"/>
                <w:szCs w:val="20"/>
              </w:rPr>
            </w:pPr>
            <w:r>
              <w:rPr>
                <w:rFonts w:cs="Arial"/>
                <w:b/>
                <w:sz w:val="20"/>
                <w:szCs w:val="20"/>
              </w:rPr>
              <w:t>6</w:t>
            </w:r>
          </w:p>
        </w:tc>
        <w:tc>
          <w:tcPr>
            <w:tcW w:w="977" w:type="dxa"/>
            <w:vAlign w:val="center"/>
          </w:tcPr>
          <w:p w14:paraId="08725BB6" w14:textId="77777777" w:rsidR="00C72BA2" w:rsidRDefault="00C72BA2" w:rsidP="00614DB1">
            <w:pPr>
              <w:jc w:val="center"/>
              <w:rPr>
                <w:rFonts w:cs="Arial"/>
                <w:sz w:val="20"/>
                <w:szCs w:val="20"/>
              </w:rPr>
            </w:pPr>
            <w:r>
              <w:rPr>
                <w:rFonts w:cs="Arial"/>
                <w:sz w:val="20"/>
                <w:szCs w:val="20"/>
              </w:rPr>
              <w:t>3</w:t>
            </w:r>
          </w:p>
        </w:tc>
        <w:tc>
          <w:tcPr>
            <w:tcW w:w="1194" w:type="dxa"/>
            <w:vAlign w:val="center"/>
          </w:tcPr>
          <w:p w14:paraId="26351B07" w14:textId="77777777" w:rsidR="00C72BA2" w:rsidRDefault="00C72BA2" w:rsidP="00614DB1">
            <w:pPr>
              <w:jc w:val="center"/>
              <w:rPr>
                <w:rFonts w:cs="Arial"/>
                <w:sz w:val="20"/>
                <w:szCs w:val="20"/>
              </w:rPr>
            </w:pPr>
            <w:r>
              <w:rPr>
                <w:rFonts w:cs="Arial"/>
                <w:sz w:val="20"/>
                <w:szCs w:val="20"/>
              </w:rPr>
              <w:t>4/21/2007</w:t>
            </w:r>
          </w:p>
        </w:tc>
        <w:tc>
          <w:tcPr>
            <w:tcW w:w="1309" w:type="dxa"/>
            <w:tcBorders>
              <w:right w:val="nil"/>
            </w:tcBorders>
            <w:vAlign w:val="center"/>
          </w:tcPr>
          <w:p w14:paraId="5E5AA113" w14:textId="77777777" w:rsidR="00C72BA2" w:rsidRDefault="00C72BA2" w:rsidP="00614DB1">
            <w:pPr>
              <w:ind w:left="360" w:hanging="360"/>
              <w:jc w:val="center"/>
              <w:rPr>
                <w:rFonts w:cs="Arial"/>
                <w:sz w:val="20"/>
                <w:szCs w:val="20"/>
              </w:rPr>
            </w:pPr>
          </w:p>
        </w:tc>
        <w:tc>
          <w:tcPr>
            <w:tcW w:w="4686" w:type="dxa"/>
            <w:tcBorders>
              <w:left w:val="nil"/>
              <w:right w:val="single" w:sz="4" w:space="0" w:color="auto"/>
            </w:tcBorders>
            <w:vAlign w:val="center"/>
          </w:tcPr>
          <w:p w14:paraId="55E24552"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r w:rsidR="00C72BA2" w:rsidRPr="006B5DA7" w14:paraId="70DC43D8" w14:textId="77777777" w:rsidTr="00614DB1">
        <w:trPr>
          <w:trHeight w:val="576"/>
        </w:trPr>
        <w:tc>
          <w:tcPr>
            <w:tcW w:w="1194" w:type="dxa"/>
            <w:vAlign w:val="center"/>
          </w:tcPr>
          <w:p w14:paraId="25A46F91" w14:textId="77777777" w:rsidR="00C72BA2" w:rsidRDefault="00C72BA2" w:rsidP="00614DB1">
            <w:pPr>
              <w:jc w:val="center"/>
              <w:rPr>
                <w:rFonts w:cs="Arial"/>
                <w:b/>
                <w:sz w:val="20"/>
                <w:szCs w:val="20"/>
              </w:rPr>
            </w:pPr>
            <w:r>
              <w:rPr>
                <w:rFonts w:cs="Arial"/>
                <w:b/>
                <w:sz w:val="20"/>
                <w:szCs w:val="20"/>
              </w:rPr>
              <w:t>7</w:t>
            </w:r>
          </w:p>
        </w:tc>
        <w:tc>
          <w:tcPr>
            <w:tcW w:w="977" w:type="dxa"/>
            <w:vAlign w:val="center"/>
          </w:tcPr>
          <w:p w14:paraId="3058D4B6" w14:textId="77777777" w:rsidR="00C72BA2" w:rsidRDefault="00C72BA2" w:rsidP="00614DB1">
            <w:pPr>
              <w:jc w:val="center"/>
              <w:rPr>
                <w:rFonts w:cs="Arial"/>
                <w:sz w:val="20"/>
                <w:szCs w:val="20"/>
              </w:rPr>
            </w:pPr>
            <w:r>
              <w:rPr>
                <w:rFonts w:cs="Arial"/>
                <w:sz w:val="20"/>
                <w:szCs w:val="20"/>
              </w:rPr>
              <w:t>5</w:t>
            </w:r>
          </w:p>
        </w:tc>
        <w:tc>
          <w:tcPr>
            <w:tcW w:w="1194" w:type="dxa"/>
            <w:vAlign w:val="center"/>
          </w:tcPr>
          <w:p w14:paraId="5AE50516" w14:textId="77777777" w:rsidR="00C72BA2" w:rsidRDefault="00C72BA2" w:rsidP="00614DB1">
            <w:pPr>
              <w:jc w:val="center"/>
              <w:rPr>
                <w:rFonts w:cs="Arial"/>
                <w:sz w:val="20"/>
                <w:szCs w:val="20"/>
              </w:rPr>
            </w:pPr>
            <w:r>
              <w:rPr>
                <w:rFonts w:cs="Arial"/>
                <w:sz w:val="20"/>
                <w:szCs w:val="20"/>
              </w:rPr>
              <w:t>4/21/2007</w:t>
            </w:r>
          </w:p>
        </w:tc>
        <w:tc>
          <w:tcPr>
            <w:tcW w:w="1309" w:type="dxa"/>
            <w:tcBorders>
              <w:right w:val="nil"/>
            </w:tcBorders>
            <w:vAlign w:val="center"/>
          </w:tcPr>
          <w:p w14:paraId="1F00F4F6" w14:textId="77777777" w:rsidR="00C72BA2" w:rsidRDefault="00C72BA2" w:rsidP="00614DB1">
            <w:pPr>
              <w:ind w:left="360" w:hanging="360"/>
              <w:jc w:val="center"/>
              <w:rPr>
                <w:rFonts w:cs="Arial"/>
                <w:sz w:val="20"/>
                <w:szCs w:val="20"/>
              </w:rPr>
            </w:pPr>
          </w:p>
        </w:tc>
        <w:tc>
          <w:tcPr>
            <w:tcW w:w="4686" w:type="dxa"/>
            <w:tcBorders>
              <w:left w:val="nil"/>
              <w:right w:val="single" w:sz="4" w:space="0" w:color="auto"/>
            </w:tcBorders>
            <w:vAlign w:val="center"/>
          </w:tcPr>
          <w:p w14:paraId="02C23E4A"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r w:rsidR="00C72BA2" w:rsidRPr="006B5DA7" w14:paraId="6AC68DB7" w14:textId="77777777" w:rsidTr="00614DB1">
        <w:trPr>
          <w:trHeight w:val="576"/>
        </w:trPr>
        <w:tc>
          <w:tcPr>
            <w:tcW w:w="1194" w:type="dxa"/>
            <w:vAlign w:val="center"/>
          </w:tcPr>
          <w:p w14:paraId="4D23A0B1" w14:textId="77777777" w:rsidR="00C72BA2" w:rsidRDefault="00C72BA2" w:rsidP="00614DB1">
            <w:pPr>
              <w:jc w:val="center"/>
              <w:rPr>
                <w:rFonts w:cs="Arial"/>
                <w:b/>
                <w:sz w:val="20"/>
                <w:szCs w:val="20"/>
              </w:rPr>
            </w:pPr>
            <w:r>
              <w:rPr>
                <w:rFonts w:cs="Arial"/>
                <w:b/>
                <w:sz w:val="20"/>
                <w:szCs w:val="20"/>
              </w:rPr>
              <w:t>8</w:t>
            </w:r>
          </w:p>
        </w:tc>
        <w:tc>
          <w:tcPr>
            <w:tcW w:w="977" w:type="dxa"/>
            <w:vAlign w:val="center"/>
          </w:tcPr>
          <w:p w14:paraId="6AD8945E" w14:textId="77777777" w:rsidR="00C72BA2" w:rsidRDefault="00C72BA2" w:rsidP="00614DB1">
            <w:pPr>
              <w:jc w:val="center"/>
              <w:rPr>
                <w:rFonts w:cs="Arial"/>
                <w:sz w:val="20"/>
                <w:szCs w:val="20"/>
              </w:rPr>
            </w:pPr>
            <w:r>
              <w:rPr>
                <w:rFonts w:cs="Arial"/>
                <w:sz w:val="20"/>
                <w:szCs w:val="20"/>
              </w:rPr>
              <w:t>3</w:t>
            </w:r>
          </w:p>
        </w:tc>
        <w:tc>
          <w:tcPr>
            <w:tcW w:w="1194" w:type="dxa"/>
            <w:vAlign w:val="center"/>
          </w:tcPr>
          <w:p w14:paraId="11C0D3D6" w14:textId="77777777" w:rsidR="00C72BA2" w:rsidRDefault="00C72BA2" w:rsidP="00614DB1">
            <w:pPr>
              <w:jc w:val="center"/>
              <w:rPr>
                <w:rFonts w:cs="Arial"/>
                <w:sz w:val="20"/>
                <w:szCs w:val="20"/>
              </w:rPr>
            </w:pPr>
            <w:r>
              <w:rPr>
                <w:rFonts w:cs="Arial"/>
                <w:sz w:val="20"/>
                <w:szCs w:val="20"/>
              </w:rPr>
              <w:t>4/21/2007</w:t>
            </w:r>
          </w:p>
        </w:tc>
        <w:tc>
          <w:tcPr>
            <w:tcW w:w="1309" w:type="dxa"/>
            <w:tcBorders>
              <w:right w:val="nil"/>
            </w:tcBorders>
            <w:vAlign w:val="center"/>
          </w:tcPr>
          <w:p w14:paraId="2D8B6B9F" w14:textId="77777777" w:rsidR="00C72BA2" w:rsidRDefault="00C72BA2" w:rsidP="00614DB1">
            <w:pPr>
              <w:ind w:left="360" w:hanging="360"/>
              <w:jc w:val="center"/>
              <w:rPr>
                <w:rFonts w:cs="Arial"/>
                <w:sz w:val="20"/>
                <w:szCs w:val="20"/>
              </w:rPr>
            </w:pPr>
          </w:p>
        </w:tc>
        <w:tc>
          <w:tcPr>
            <w:tcW w:w="4686" w:type="dxa"/>
            <w:tcBorders>
              <w:left w:val="nil"/>
              <w:right w:val="single" w:sz="4" w:space="0" w:color="auto"/>
            </w:tcBorders>
            <w:vAlign w:val="center"/>
          </w:tcPr>
          <w:p w14:paraId="58AC730D"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r w:rsidR="00C72BA2" w:rsidRPr="006B5DA7" w14:paraId="5A9CC521" w14:textId="77777777" w:rsidTr="00614DB1">
        <w:trPr>
          <w:trHeight w:val="576"/>
        </w:trPr>
        <w:tc>
          <w:tcPr>
            <w:tcW w:w="1194" w:type="dxa"/>
            <w:vAlign w:val="center"/>
          </w:tcPr>
          <w:p w14:paraId="5E379712" w14:textId="77777777" w:rsidR="00C72BA2" w:rsidRDefault="00C72BA2" w:rsidP="00614DB1">
            <w:pPr>
              <w:jc w:val="center"/>
              <w:rPr>
                <w:rFonts w:cs="Arial"/>
                <w:b/>
                <w:sz w:val="20"/>
                <w:szCs w:val="20"/>
              </w:rPr>
            </w:pPr>
            <w:r>
              <w:rPr>
                <w:rFonts w:cs="Arial"/>
                <w:b/>
                <w:sz w:val="20"/>
                <w:szCs w:val="20"/>
              </w:rPr>
              <w:t>9</w:t>
            </w:r>
          </w:p>
        </w:tc>
        <w:tc>
          <w:tcPr>
            <w:tcW w:w="977" w:type="dxa"/>
            <w:vAlign w:val="center"/>
          </w:tcPr>
          <w:p w14:paraId="15AB7578" w14:textId="77777777" w:rsidR="00C72BA2" w:rsidRDefault="00C72BA2" w:rsidP="00614DB1">
            <w:pPr>
              <w:jc w:val="center"/>
              <w:rPr>
                <w:rFonts w:cs="Arial"/>
                <w:sz w:val="20"/>
                <w:szCs w:val="20"/>
              </w:rPr>
            </w:pPr>
            <w:r>
              <w:rPr>
                <w:rFonts w:cs="Arial"/>
                <w:sz w:val="20"/>
                <w:szCs w:val="20"/>
              </w:rPr>
              <w:t>4</w:t>
            </w:r>
          </w:p>
        </w:tc>
        <w:tc>
          <w:tcPr>
            <w:tcW w:w="1194" w:type="dxa"/>
            <w:vAlign w:val="center"/>
          </w:tcPr>
          <w:p w14:paraId="6DC62D98" w14:textId="77777777" w:rsidR="00C72BA2" w:rsidRDefault="00C72BA2" w:rsidP="00614DB1">
            <w:pPr>
              <w:jc w:val="center"/>
              <w:rPr>
                <w:rFonts w:cs="Arial"/>
                <w:sz w:val="20"/>
                <w:szCs w:val="20"/>
              </w:rPr>
            </w:pPr>
            <w:r>
              <w:rPr>
                <w:rFonts w:cs="Arial"/>
                <w:sz w:val="20"/>
                <w:szCs w:val="20"/>
              </w:rPr>
              <w:t>4/21/2007</w:t>
            </w:r>
          </w:p>
        </w:tc>
        <w:tc>
          <w:tcPr>
            <w:tcW w:w="1309" w:type="dxa"/>
            <w:tcBorders>
              <w:right w:val="nil"/>
            </w:tcBorders>
            <w:vAlign w:val="center"/>
          </w:tcPr>
          <w:p w14:paraId="66D0187A" w14:textId="77777777" w:rsidR="00C72BA2" w:rsidRDefault="00C72BA2" w:rsidP="00614DB1">
            <w:pPr>
              <w:ind w:left="360" w:hanging="360"/>
              <w:jc w:val="center"/>
              <w:rPr>
                <w:rFonts w:cs="Arial"/>
                <w:sz w:val="20"/>
                <w:szCs w:val="20"/>
              </w:rPr>
            </w:pPr>
          </w:p>
        </w:tc>
        <w:tc>
          <w:tcPr>
            <w:tcW w:w="4686" w:type="dxa"/>
            <w:tcBorders>
              <w:left w:val="nil"/>
              <w:right w:val="single" w:sz="4" w:space="0" w:color="auto"/>
            </w:tcBorders>
            <w:vAlign w:val="center"/>
          </w:tcPr>
          <w:p w14:paraId="5847EEB0"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r w:rsidR="00C72BA2" w:rsidRPr="006B5DA7" w14:paraId="2EB53897" w14:textId="77777777" w:rsidTr="00614DB1">
        <w:trPr>
          <w:trHeight w:val="576"/>
        </w:trPr>
        <w:tc>
          <w:tcPr>
            <w:tcW w:w="1194" w:type="dxa"/>
            <w:vAlign w:val="center"/>
          </w:tcPr>
          <w:p w14:paraId="4B43721B" w14:textId="77777777" w:rsidR="00C72BA2" w:rsidRDefault="00C72BA2" w:rsidP="00614DB1">
            <w:pPr>
              <w:jc w:val="center"/>
              <w:rPr>
                <w:rFonts w:cs="Arial"/>
                <w:b/>
                <w:sz w:val="20"/>
                <w:szCs w:val="20"/>
              </w:rPr>
            </w:pPr>
            <w:r>
              <w:rPr>
                <w:rFonts w:cs="Arial"/>
                <w:b/>
                <w:sz w:val="20"/>
                <w:szCs w:val="20"/>
              </w:rPr>
              <w:t>10</w:t>
            </w:r>
          </w:p>
        </w:tc>
        <w:tc>
          <w:tcPr>
            <w:tcW w:w="977" w:type="dxa"/>
            <w:vAlign w:val="center"/>
          </w:tcPr>
          <w:p w14:paraId="757D5DF5" w14:textId="77777777" w:rsidR="00C72BA2" w:rsidRDefault="00C72BA2" w:rsidP="00614DB1">
            <w:pPr>
              <w:jc w:val="center"/>
              <w:rPr>
                <w:rFonts w:cs="Arial"/>
                <w:sz w:val="20"/>
                <w:szCs w:val="20"/>
              </w:rPr>
            </w:pPr>
            <w:r>
              <w:rPr>
                <w:rFonts w:cs="Arial"/>
                <w:sz w:val="20"/>
                <w:szCs w:val="20"/>
              </w:rPr>
              <w:t>3</w:t>
            </w:r>
          </w:p>
        </w:tc>
        <w:tc>
          <w:tcPr>
            <w:tcW w:w="1194" w:type="dxa"/>
            <w:vAlign w:val="center"/>
          </w:tcPr>
          <w:p w14:paraId="658A6C46" w14:textId="77777777" w:rsidR="00C72BA2" w:rsidRDefault="00C72BA2" w:rsidP="00614DB1">
            <w:pPr>
              <w:jc w:val="center"/>
              <w:rPr>
                <w:rFonts w:cs="Arial"/>
                <w:sz w:val="20"/>
                <w:szCs w:val="20"/>
              </w:rPr>
            </w:pPr>
            <w:r>
              <w:rPr>
                <w:rFonts w:cs="Arial"/>
                <w:sz w:val="20"/>
                <w:szCs w:val="20"/>
              </w:rPr>
              <w:t>4/21/2007</w:t>
            </w:r>
          </w:p>
        </w:tc>
        <w:tc>
          <w:tcPr>
            <w:tcW w:w="1309" w:type="dxa"/>
            <w:tcBorders>
              <w:right w:val="nil"/>
            </w:tcBorders>
            <w:vAlign w:val="center"/>
          </w:tcPr>
          <w:p w14:paraId="0A68A568" w14:textId="77777777" w:rsidR="00C72BA2" w:rsidRDefault="00C72BA2" w:rsidP="00614DB1">
            <w:pPr>
              <w:ind w:left="360" w:hanging="360"/>
              <w:jc w:val="center"/>
              <w:rPr>
                <w:rFonts w:cs="Arial"/>
                <w:sz w:val="20"/>
                <w:szCs w:val="20"/>
              </w:rPr>
            </w:pPr>
          </w:p>
        </w:tc>
        <w:tc>
          <w:tcPr>
            <w:tcW w:w="4686" w:type="dxa"/>
            <w:tcBorders>
              <w:left w:val="nil"/>
              <w:right w:val="single" w:sz="4" w:space="0" w:color="auto"/>
            </w:tcBorders>
            <w:vAlign w:val="center"/>
          </w:tcPr>
          <w:p w14:paraId="6B9E3070"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r w:rsidR="00C72BA2" w:rsidRPr="006B5DA7" w14:paraId="40652F60" w14:textId="77777777" w:rsidTr="00614DB1">
        <w:trPr>
          <w:trHeight w:val="576"/>
        </w:trPr>
        <w:tc>
          <w:tcPr>
            <w:tcW w:w="1194" w:type="dxa"/>
            <w:vAlign w:val="center"/>
          </w:tcPr>
          <w:p w14:paraId="7948D517" w14:textId="77777777" w:rsidR="00C72BA2" w:rsidRDefault="00C72BA2" w:rsidP="00614DB1">
            <w:pPr>
              <w:jc w:val="center"/>
              <w:rPr>
                <w:rFonts w:cs="Arial"/>
                <w:b/>
                <w:sz w:val="20"/>
                <w:szCs w:val="20"/>
              </w:rPr>
            </w:pPr>
            <w:r>
              <w:rPr>
                <w:rFonts w:cs="Arial"/>
                <w:b/>
                <w:sz w:val="20"/>
                <w:szCs w:val="20"/>
              </w:rPr>
              <w:t>10A</w:t>
            </w:r>
          </w:p>
        </w:tc>
        <w:tc>
          <w:tcPr>
            <w:tcW w:w="977" w:type="dxa"/>
            <w:vAlign w:val="center"/>
          </w:tcPr>
          <w:p w14:paraId="7A23C432" w14:textId="77777777" w:rsidR="00C72BA2" w:rsidRDefault="00C72BA2" w:rsidP="00614DB1">
            <w:pPr>
              <w:jc w:val="center"/>
              <w:rPr>
                <w:rFonts w:cs="Arial"/>
                <w:sz w:val="20"/>
                <w:szCs w:val="20"/>
              </w:rPr>
            </w:pPr>
            <w:r>
              <w:rPr>
                <w:rFonts w:cs="Arial"/>
                <w:sz w:val="20"/>
                <w:szCs w:val="20"/>
              </w:rPr>
              <w:t>4</w:t>
            </w:r>
          </w:p>
        </w:tc>
        <w:tc>
          <w:tcPr>
            <w:tcW w:w="1194" w:type="dxa"/>
            <w:vAlign w:val="center"/>
          </w:tcPr>
          <w:p w14:paraId="492AA148" w14:textId="77777777" w:rsidR="00C72BA2" w:rsidRDefault="00C72BA2" w:rsidP="00614DB1">
            <w:pPr>
              <w:jc w:val="center"/>
              <w:rPr>
                <w:rFonts w:cs="Arial"/>
                <w:sz w:val="20"/>
                <w:szCs w:val="20"/>
              </w:rPr>
            </w:pPr>
            <w:r>
              <w:rPr>
                <w:rFonts w:cs="Arial"/>
                <w:sz w:val="20"/>
                <w:szCs w:val="20"/>
              </w:rPr>
              <w:t>12/1/2007</w:t>
            </w:r>
          </w:p>
        </w:tc>
        <w:tc>
          <w:tcPr>
            <w:tcW w:w="1309" w:type="dxa"/>
            <w:tcBorders>
              <w:right w:val="nil"/>
            </w:tcBorders>
          </w:tcPr>
          <w:p w14:paraId="037A2F63" w14:textId="77777777" w:rsidR="00C72BA2" w:rsidRDefault="00C72BA2" w:rsidP="00614DB1">
            <w:pPr>
              <w:ind w:left="360" w:hanging="360"/>
              <w:rPr>
                <w:rFonts w:cs="Arial"/>
                <w:sz w:val="16"/>
                <w:szCs w:val="16"/>
              </w:rPr>
            </w:pPr>
          </w:p>
          <w:p w14:paraId="01788F7B" w14:textId="77777777" w:rsidR="00C72BA2" w:rsidRDefault="00C72BA2" w:rsidP="00614DB1">
            <w:pPr>
              <w:ind w:left="360" w:hanging="360"/>
              <w:rPr>
                <w:rFonts w:cs="Arial"/>
                <w:sz w:val="16"/>
                <w:szCs w:val="16"/>
              </w:rPr>
            </w:pPr>
          </w:p>
          <w:p w14:paraId="0925231A" w14:textId="77777777" w:rsidR="00C72BA2" w:rsidRDefault="00C72BA2" w:rsidP="00614DB1">
            <w:pPr>
              <w:ind w:left="360" w:hanging="360"/>
              <w:rPr>
                <w:rFonts w:cs="Arial"/>
                <w:sz w:val="20"/>
                <w:szCs w:val="20"/>
              </w:rPr>
            </w:pPr>
            <w:r>
              <w:rPr>
                <w:rFonts w:cs="Arial"/>
                <w:sz w:val="20"/>
                <w:szCs w:val="20"/>
              </w:rPr>
              <w:t>Table 10A.1</w:t>
            </w:r>
          </w:p>
        </w:tc>
        <w:tc>
          <w:tcPr>
            <w:tcW w:w="4686" w:type="dxa"/>
            <w:tcBorders>
              <w:left w:val="nil"/>
              <w:right w:val="single" w:sz="4" w:space="0" w:color="auto"/>
            </w:tcBorders>
            <w:vAlign w:val="center"/>
          </w:tcPr>
          <w:p w14:paraId="70C03F83"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p w14:paraId="1A516A3C" w14:textId="77777777" w:rsidR="00C72BA2" w:rsidRDefault="00C72BA2" w:rsidP="00C72BA2">
            <w:pPr>
              <w:numPr>
                <w:ilvl w:val="0"/>
                <w:numId w:val="3"/>
              </w:numPr>
              <w:jc w:val="left"/>
              <w:rPr>
                <w:rFonts w:cs="Arial"/>
                <w:sz w:val="20"/>
                <w:szCs w:val="20"/>
              </w:rPr>
            </w:pPr>
            <w:r>
              <w:rPr>
                <w:rFonts w:cs="Arial"/>
                <w:sz w:val="20"/>
                <w:szCs w:val="20"/>
              </w:rPr>
              <w:t xml:space="preserve">Exemption added when emailing between a </w:t>
            </w:r>
            <w:smartTag w:uri="urn:schemas-microsoft-com:office:smarttags" w:element="place">
              <w:smartTag w:uri="urn:schemas-microsoft-com:office:smarttags" w:element="PlaceName">
                <w:r>
                  <w:rPr>
                    <w:rFonts w:cs="Arial"/>
                    <w:sz w:val="20"/>
                    <w:szCs w:val="20"/>
                  </w:rPr>
                  <w:t>MDPH</w:t>
                </w:r>
              </w:smartTag>
              <w:r>
                <w:rPr>
                  <w:rFonts w:cs="Arial"/>
                  <w:sz w:val="20"/>
                  <w:szCs w:val="20"/>
                </w:rPr>
                <w:t xml:space="preserve"> </w:t>
              </w:r>
              <w:smartTag w:uri="urn:schemas-microsoft-com:office:smarttags" w:element="PlaceType">
                <w:r>
                  <w:rPr>
                    <w:rFonts w:cs="Arial"/>
                    <w:sz w:val="20"/>
                    <w:szCs w:val="20"/>
                  </w:rPr>
                  <w:t>Hospital</w:t>
                </w:r>
              </w:smartTag>
            </w:smartTag>
            <w:r>
              <w:rPr>
                <w:rFonts w:cs="Arial"/>
                <w:sz w:val="20"/>
                <w:szCs w:val="20"/>
              </w:rPr>
              <w:t xml:space="preserve"> and representatives of the Department of Corrections</w:t>
            </w:r>
          </w:p>
        </w:tc>
      </w:tr>
      <w:tr w:rsidR="00C72BA2" w:rsidRPr="006B5DA7" w14:paraId="1A84E20D" w14:textId="77777777" w:rsidTr="00614DB1">
        <w:trPr>
          <w:trHeight w:val="576"/>
        </w:trPr>
        <w:tc>
          <w:tcPr>
            <w:tcW w:w="1194" w:type="dxa"/>
            <w:vAlign w:val="center"/>
          </w:tcPr>
          <w:p w14:paraId="04D75CD5" w14:textId="77777777" w:rsidR="00C72BA2" w:rsidRDefault="00C72BA2" w:rsidP="00614DB1">
            <w:pPr>
              <w:jc w:val="center"/>
              <w:rPr>
                <w:rFonts w:cs="Arial"/>
                <w:b/>
                <w:sz w:val="20"/>
                <w:szCs w:val="20"/>
              </w:rPr>
            </w:pPr>
            <w:r>
              <w:rPr>
                <w:rFonts w:cs="Arial"/>
                <w:b/>
                <w:sz w:val="20"/>
                <w:szCs w:val="20"/>
              </w:rPr>
              <w:t>11</w:t>
            </w:r>
          </w:p>
        </w:tc>
        <w:tc>
          <w:tcPr>
            <w:tcW w:w="977" w:type="dxa"/>
            <w:vAlign w:val="center"/>
          </w:tcPr>
          <w:p w14:paraId="5510FA85" w14:textId="77777777" w:rsidR="00C72BA2" w:rsidRDefault="00C72BA2" w:rsidP="00614DB1">
            <w:pPr>
              <w:jc w:val="center"/>
              <w:rPr>
                <w:rFonts w:cs="Arial"/>
                <w:sz w:val="20"/>
                <w:szCs w:val="20"/>
              </w:rPr>
            </w:pPr>
            <w:r>
              <w:rPr>
                <w:rFonts w:cs="Arial"/>
                <w:sz w:val="20"/>
                <w:szCs w:val="20"/>
              </w:rPr>
              <w:t>3</w:t>
            </w:r>
          </w:p>
        </w:tc>
        <w:tc>
          <w:tcPr>
            <w:tcW w:w="1194" w:type="dxa"/>
            <w:vAlign w:val="center"/>
          </w:tcPr>
          <w:p w14:paraId="0767A16D" w14:textId="77777777" w:rsidR="00C72BA2" w:rsidRDefault="00C72BA2" w:rsidP="00614DB1">
            <w:pPr>
              <w:jc w:val="center"/>
              <w:rPr>
                <w:rFonts w:cs="Arial"/>
                <w:sz w:val="20"/>
                <w:szCs w:val="20"/>
              </w:rPr>
            </w:pPr>
            <w:r>
              <w:rPr>
                <w:rFonts w:cs="Arial"/>
                <w:sz w:val="20"/>
                <w:szCs w:val="20"/>
              </w:rPr>
              <w:t>4/21/2007</w:t>
            </w:r>
          </w:p>
        </w:tc>
        <w:tc>
          <w:tcPr>
            <w:tcW w:w="1309" w:type="dxa"/>
            <w:tcBorders>
              <w:right w:val="nil"/>
            </w:tcBorders>
            <w:vAlign w:val="center"/>
          </w:tcPr>
          <w:p w14:paraId="2DA895A9" w14:textId="77777777" w:rsidR="00C72BA2" w:rsidRDefault="00C72BA2" w:rsidP="00614DB1">
            <w:pPr>
              <w:ind w:left="360" w:hanging="360"/>
              <w:jc w:val="center"/>
              <w:rPr>
                <w:rFonts w:cs="Arial"/>
                <w:sz w:val="20"/>
                <w:szCs w:val="20"/>
              </w:rPr>
            </w:pPr>
          </w:p>
        </w:tc>
        <w:tc>
          <w:tcPr>
            <w:tcW w:w="4686" w:type="dxa"/>
            <w:tcBorders>
              <w:left w:val="nil"/>
              <w:right w:val="single" w:sz="4" w:space="0" w:color="auto"/>
            </w:tcBorders>
            <w:vAlign w:val="center"/>
          </w:tcPr>
          <w:p w14:paraId="37823DAD"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r w:rsidR="00C72BA2" w:rsidRPr="006B5DA7" w14:paraId="0E892487" w14:textId="77777777" w:rsidTr="00614DB1">
        <w:trPr>
          <w:trHeight w:val="576"/>
        </w:trPr>
        <w:tc>
          <w:tcPr>
            <w:tcW w:w="1194" w:type="dxa"/>
            <w:vAlign w:val="center"/>
          </w:tcPr>
          <w:p w14:paraId="76E0DC25" w14:textId="77777777" w:rsidR="00C72BA2" w:rsidRDefault="00C72BA2" w:rsidP="00614DB1">
            <w:pPr>
              <w:jc w:val="center"/>
              <w:rPr>
                <w:rFonts w:cs="Arial"/>
                <w:b/>
                <w:sz w:val="20"/>
                <w:szCs w:val="20"/>
              </w:rPr>
            </w:pPr>
            <w:r>
              <w:rPr>
                <w:rFonts w:cs="Arial"/>
                <w:b/>
                <w:sz w:val="20"/>
                <w:szCs w:val="20"/>
              </w:rPr>
              <w:t>12</w:t>
            </w:r>
          </w:p>
        </w:tc>
        <w:tc>
          <w:tcPr>
            <w:tcW w:w="977" w:type="dxa"/>
            <w:vAlign w:val="center"/>
          </w:tcPr>
          <w:p w14:paraId="2B6A65F6" w14:textId="77777777" w:rsidR="00C72BA2" w:rsidRDefault="00C72BA2" w:rsidP="00614DB1">
            <w:pPr>
              <w:jc w:val="center"/>
              <w:rPr>
                <w:rFonts w:cs="Arial"/>
                <w:sz w:val="20"/>
                <w:szCs w:val="20"/>
              </w:rPr>
            </w:pPr>
            <w:r>
              <w:rPr>
                <w:rFonts w:cs="Arial"/>
                <w:sz w:val="20"/>
                <w:szCs w:val="20"/>
              </w:rPr>
              <w:t>3</w:t>
            </w:r>
          </w:p>
        </w:tc>
        <w:tc>
          <w:tcPr>
            <w:tcW w:w="1194" w:type="dxa"/>
            <w:vAlign w:val="center"/>
          </w:tcPr>
          <w:p w14:paraId="2BD66536" w14:textId="77777777" w:rsidR="00C72BA2" w:rsidRDefault="00C72BA2" w:rsidP="00614DB1">
            <w:pPr>
              <w:jc w:val="center"/>
              <w:rPr>
                <w:rFonts w:cs="Arial"/>
                <w:sz w:val="20"/>
                <w:szCs w:val="20"/>
              </w:rPr>
            </w:pPr>
            <w:r>
              <w:rPr>
                <w:rFonts w:cs="Arial"/>
                <w:sz w:val="20"/>
                <w:szCs w:val="20"/>
              </w:rPr>
              <w:t>4/21/2007</w:t>
            </w:r>
          </w:p>
        </w:tc>
        <w:tc>
          <w:tcPr>
            <w:tcW w:w="1309" w:type="dxa"/>
            <w:tcBorders>
              <w:right w:val="nil"/>
            </w:tcBorders>
            <w:vAlign w:val="center"/>
          </w:tcPr>
          <w:p w14:paraId="5AF59019" w14:textId="77777777" w:rsidR="00C72BA2" w:rsidRDefault="00C72BA2" w:rsidP="00614DB1">
            <w:pPr>
              <w:ind w:left="360" w:hanging="360"/>
              <w:jc w:val="center"/>
              <w:rPr>
                <w:rFonts w:cs="Arial"/>
                <w:sz w:val="20"/>
                <w:szCs w:val="20"/>
              </w:rPr>
            </w:pPr>
          </w:p>
        </w:tc>
        <w:tc>
          <w:tcPr>
            <w:tcW w:w="4686" w:type="dxa"/>
            <w:tcBorders>
              <w:left w:val="nil"/>
              <w:right w:val="single" w:sz="4" w:space="0" w:color="auto"/>
            </w:tcBorders>
            <w:vAlign w:val="center"/>
          </w:tcPr>
          <w:p w14:paraId="19A5F3DD"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r w:rsidR="00C72BA2" w:rsidRPr="006B5DA7" w14:paraId="385DBB9D" w14:textId="77777777" w:rsidTr="00614DB1">
        <w:trPr>
          <w:trHeight w:val="576"/>
        </w:trPr>
        <w:tc>
          <w:tcPr>
            <w:tcW w:w="1194" w:type="dxa"/>
            <w:vAlign w:val="center"/>
          </w:tcPr>
          <w:p w14:paraId="3E4B0E35" w14:textId="77777777" w:rsidR="00C72BA2" w:rsidRDefault="00C72BA2" w:rsidP="00614DB1">
            <w:pPr>
              <w:jc w:val="center"/>
              <w:rPr>
                <w:rFonts w:cs="Arial"/>
                <w:b/>
                <w:sz w:val="20"/>
                <w:szCs w:val="20"/>
              </w:rPr>
            </w:pPr>
            <w:r>
              <w:rPr>
                <w:rFonts w:cs="Arial"/>
                <w:b/>
                <w:sz w:val="20"/>
                <w:szCs w:val="20"/>
              </w:rPr>
              <w:t>13</w:t>
            </w:r>
          </w:p>
        </w:tc>
        <w:tc>
          <w:tcPr>
            <w:tcW w:w="977" w:type="dxa"/>
            <w:vAlign w:val="center"/>
          </w:tcPr>
          <w:p w14:paraId="606CE5D0" w14:textId="77777777" w:rsidR="00C72BA2" w:rsidRDefault="00C72BA2" w:rsidP="00614DB1">
            <w:pPr>
              <w:jc w:val="center"/>
              <w:rPr>
                <w:rFonts w:cs="Arial"/>
                <w:sz w:val="20"/>
                <w:szCs w:val="20"/>
              </w:rPr>
            </w:pPr>
            <w:r>
              <w:rPr>
                <w:rFonts w:cs="Arial"/>
                <w:sz w:val="20"/>
                <w:szCs w:val="20"/>
              </w:rPr>
              <w:t>3</w:t>
            </w:r>
          </w:p>
        </w:tc>
        <w:tc>
          <w:tcPr>
            <w:tcW w:w="1194" w:type="dxa"/>
            <w:vAlign w:val="center"/>
          </w:tcPr>
          <w:p w14:paraId="4CB93F3E" w14:textId="77777777" w:rsidR="00C72BA2" w:rsidRDefault="00C72BA2" w:rsidP="00614DB1">
            <w:pPr>
              <w:jc w:val="center"/>
              <w:rPr>
                <w:rFonts w:cs="Arial"/>
                <w:sz w:val="20"/>
                <w:szCs w:val="20"/>
              </w:rPr>
            </w:pPr>
            <w:r>
              <w:rPr>
                <w:rFonts w:cs="Arial"/>
                <w:sz w:val="20"/>
                <w:szCs w:val="20"/>
              </w:rPr>
              <w:t>4/21/2007</w:t>
            </w:r>
          </w:p>
        </w:tc>
        <w:tc>
          <w:tcPr>
            <w:tcW w:w="1309" w:type="dxa"/>
            <w:tcBorders>
              <w:right w:val="nil"/>
            </w:tcBorders>
            <w:vAlign w:val="center"/>
          </w:tcPr>
          <w:p w14:paraId="79BC0FD3" w14:textId="77777777" w:rsidR="00C72BA2" w:rsidRDefault="00C72BA2" w:rsidP="00614DB1">
            <w:pPr>
              <w:ind w:left="360" w:hanging="360"/>
              <w:jc w:val="center"/>
              <w:rPr>
                <w:rFonts w:cs="Arial"/>
                <w:sz w:val="20"/>
                <w:szCs w:val="20"/>
              </w:rPr>
            </w:pPr>
          </w:p>
        </w:tc>
        <w:tc>
          <w:tcPr>
            <w:tcW w:w="4686" w:type="dxa"/>
            <w:tcBorders>
              <w:left w:val="nil"/>
              <w:right w:val="single" w:sz="4" w:space="0" w:color="auto"/>
            </w:tcBorders>
            <w:vAlign w:val="center"/>
          </w:tcPr>
          <w:p w14:paraId="3EB81DD8"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r w:rsidR="00C72BA2" w:rsidRPr="006B5DA7" w14:paraId="35395D6D" w14:textId="77777777" w:rsidTr="00614DB1">
        <w:trPr>
          <w:trHeight w:val="576"/>
        </w:trPr>
        <w:tc>
          <w:tcPr>
            <w:tcW w:w="1194" w:type="dxa"/>
            <w:vAlign w:val="center"/>
          </w:tcPr>
          <w:p w14:paraId="7EF34F32" w14:textId="77777777" w:rsidR="00C72BA2" w:rsidRDefault="00C72BA2" w:rsidP="00614DB1">
            <w:pPr>
              <w:jc w:val="center"/>
              <w:rPr>
                <w:rFonts w:cs="Arial"/>
                <w:b/>
                <w:sz w:val="20"/>
                <w:szCs w:val="20"/>
              </w:rPr>
            </w:pPr>
            <w:r>
              <w:rPr>
                <w:rFonts w:cs="Arial"/>
                <w:b/>
                <w:sz w:val="20"/>
                <w:szCs w:val="20"/>
              </w:rPr>
              <w:t>CC-1</w:t>
            </w:r>
          </w:p>
        </w:tc>
        <w:tc>
          <w:tcPr>
            <w:tcW w:w="977" w:type="dxa"/>
            <w:vAlign w:val="center"/>
          </w:tcPr>
          <w:p w14:paraId="57323736" w14:textId="77777777" w:rsidR="00C72BA2" w:rsidRDefault="00C72BA2" w:rsidP="00614DB1">
            <w:pPr>
              <w:jc w:val="center"/>
              <w:rPr>
                <w:rFonts w:cs="Arial"/>
                <w:sz w:val="20"/>
                <w:szCs w:val="20"/>
              </w:rPr>
            </w:pPr>
            <w:r>
              <w:rPr>
                <w:rFonts w:cs="Arial"/>
                <w:sz w:val="20"/>
                <w:szCs w:val="20"/>
              </w:rPr>
              <w:t>3</w:t>
            </w:r>
          </w:p>
        </w:tc>
        <w:tc>
          <w:tcPr>
            <w:tcW w:w="1194" w:type="dxa"/>
            <w:vAlign w:val="center"/>
          </w:tcPr>
          <w:p w14:paraId="3C7CEACF" w14:textId="77777777" w:rsidR="00C72BA2" w:rsidRDefault="00C72BA2" w:rsidP="00614DB1">
            <w:pPr>
              <w:jc w:val="center"/>
              <w:rPr>
                <w:rFonts w:cs="Arial"/>
                <w:sz w:val="20"/>
                <w:szCs w:val="20"/>
              </w:rPr>
            </w:pPr>
            <w:r>
              <w:rPr>
                <w:rFonts w:cs="Arial"/>
                <w:sz w:val="20"/>
                <w:szCs w:val="20"/>
              </w:rPr>
              <w:t>4/21/2007</w:t>
            </w:r>
          </w:p>
        </w:tc>
        <w:tc>
          <w:tcPr>
            <w:tcW w:w="1309" w:type="dxa"/>
            <w:tcBorders>
              <w:right w:val="nil"/>
            </w:tcBorders>
            <w:vAlign w:val="center"/>
          </w:tcPr>
          <w:p w14:paraId="1F48D906" w14:textId="77777777" w:rsidR="00C72BA2" w:rsidRDefault="00C72BA2" w:rsidP="00614DB1">
            <w:pPr>
              <w:ind w:left="360" w:hanging="360"/>
              <w:jc w:val="center"/>
              <w:rPr>
                <w:rFonts w:cs="Arial"/>
                <w:sz w:val="20"/>
                <w:szCs w:val="20"/>
              </w:rPr>
            </w:pPr>
          </w:p>
        </w:tc>
        <w:tc>
          <w:tcPr>
            <w:tcW w:w="4686" w:type="dxa"/>
            <w:tcBorders>
              <w:left w:val="nil"/>
              <w:right w:val="single" w:sz="4" w:space="0" w:color="auto"/>
            </w:tcBorders>
            <w:vAlign w:val="center"/>
          </w:tcPr>
          <w:p w14:paraId="48BA7C24"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r w:rsidR="00C72BA2" w:rsidRPr="006B5DA7" w14:paraId="5C66AF58" w14:textId="77777777" w:rsidTr="00614DB1">
        <w:trPr>
          <w:trHeight w:val="576"/>
        </w:trPr>
        <w:tc>
          <w:tcPr>
            <w:tcW w:w="1194" w:type="dxa"/>
            <w:vAlign w:val="center"/>
          </w:tcPr>
          <w:p w14:paraId="74C1EB19" w14:textId="77777777" w:rsidR="00C72BA2" w:rsidRDefault="00C72BA2" w:rsidP="00614DB1">
            <w:pPr>
              <w:jc w:val="center"/>
              <w:rPr>
                <w:rFonts w:cs="Arial"/>
                <w:b/>
                <w:sz w:val="20"/>
                <w:szCs w:val="20"/>
              </w:rPr>
            </w:pPr>
            <w:r>
              <w:rPr>
                <w:rFonts w:cs="Arial"/>
                <w:b/>
                <w:sz w:val="20"/>
                <w:szCs w:val="20"/>
              </w:rPr>
              <w:t>CC-2</w:t>
            </w:r>
          </w:p>
        </w:tc>
        <w:tc>
          <w:tcPr>
            <w:tcW w:w="977" w:type="dxa"/>
            <w:vAlign w:val="center"/>
          </w:tcPr>
          <w:p w14:paraId="4E650961" w14:textId="77777777" w:rsidR="00C72BA2" w:rsidRDefault="00C72BA2" w:rsidP="00614DB1">
            <w:pPr>
              <w:jc w:val="center"/>
              <w:rPr>
                <w:rFonts w:cs="Arial"/>
                <w:sz w:val="20"/>
                <w:szCs w:val="20"/>
              </w:rPr>
            </w:pPr>
            <w:r>
              <w:rPr>
                <w:rFonts w:cs="Arial"/>
                <w:sz w:val="20"/>
                <w:szCs w:val="20"/>
              </w:rPr>
              <w:t>3</w:t>
            </w:r>
          </w:p>
        </w:tc>
        <w:tc>
          <w:tcPr>
            <w:tcW w:w="1194" w:type="dxa"/>
            <w:vAlign w:val="center"/>
          </w:tcPr>
          <w:p w14:paraId="1525AC47" w14:textId="77777777" w:rsidR="00C72BA2" w:rsidRDefault="00C72BA2" w:rsidP="00614DB1">
            <w:pPr>
              <w:jc w:val="center"/>
              <w:rPr>
                <w:rFonts w:cs="Arial"/>
                <w:sz w:val="20"/>
                <w:szCs w:val="20"/>
              </w:rPr>
            </w:pPr>
            <w:r>
              <w:rPr>
                <w:rFonts w:cs="Arial"/>
                <w:sz w:val="20"/>
                <w:szCs w:val="20"/>
              </w:rPr>
              <w:t>4/21/2007</w:t>
            </w:r>
          </w:p>
        </w:tc>
        <w:tc>
          <w:tcPr>
            <w:tcW w:w="1309" w:type="dxa"/>
            <w:tcBorders>
              <w:right w:val="nil"/>
            </w:tcBorders>
            <w:vAlign w:val="center"/>
          </w:tcPr>
          <w:p w14:paraId="614ED1B2" w14:textId="77777777" w:rsidR="00C72BA2" w:rsidRDefault="00C72BA2" w:rsidP="00614DB1">
            <w:pPr>
              <w:ind w:left="360" w:hanging="360"/>
              <w:jc w:val="center"/>
              <w:rPr>
                <w:rFonts w:cs="Arial"/>
                <w:sz w:val="20"/>
                <w:szCs w:val="20"/>
              </w:rPr>
            </w:pPr>
          </w:p>
        </w:tc>
        <w:tc>
          <w:tcPr>
            <w:tcW w:w="4686" w:type="dxa"/>
            <w:tcBorders>
              <w:left w:val="nil"/>
              <w:right w:val="single" w:sz="4" w:space="0" w:color="auto"/>
            </w:tcBorders>
            <w:vAlign w:val="center"/>
          </w:tcPr>
          <w:p w14:paraId="27CF7275"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r w:rsidR="00C72BA2" w:rsidRPr="006B5DA7" w14:paraId="713E0110" w14:textId="77777777" w:rsidTr="00614DB1">
        <w:trPr>
          <w:trHeight w:val="576"/>
        </w:trPr>
        <w:tc>
          <w:tcPr>
            <w:tcW w:w="1194" w:type="dxa"/>
            <w:vAlign w:val="center"/>
          </w:tcPr>
          <w:p w14:paraId="6A61AFB0" w14:textId="77777777" w:rsidR="00C72BA2" w:rsidRDefault="00C72BA2" w:rsidP="00614DB1">
            <w:pPr>
              <w:jc w:val="center"/>
              <w:rPr>
                <w:rFonts w:cs="Arial"/>
                <w:b/>
                <w:sz w:val="20"/>
                <w:szCs w:val="20"/>
              </w:rPr>
            </w:pPr>
            <w:r>
              <w:rPr>
                <w:rFonts w:cs="Arial"/>
                <w:b/>
                <w:sz w:val="20"/>
                <w:szCs w:val="20"/>
              </w:rPr>
              <w:t>CC-3</w:t>
            </w:r>
          </w:p>
        </w:tc>
        <w:tc>
          <w:tcPr>
            <w:tcW w:w="977" w:type="dxa"/>
            <w:vAlign w:val="center"/>
          </w:tcPr>
          <w:p w14:paraId="409DE248" w14:textId="77777777" w:rsidR="00C72BA2" w:rsidRDefault="00C72BA2" w:rsidP="00614DB1">
            <w:pPr>
              <w:jc w:val="center"/>
              <w:rPr>
                <w:rFonts w:cs="Arial"/>
                <w:sz w:val="20"/>
                <w:szCs w:val="20"/>
              </w:rPr>
            </w:pPr>
            <w:r>
              <w:rPr>
                <w:rFonts w:cs="Arial"/>
                <w:sz w:val="20"/>
                <w:szCs w:val="20"/>
              </w:rPr>
              <w:t>3</w:t>
            </w:r>
          </w:p>
        </w:tc>
        <w:tc>
          <w:tcPr>
            <w:tcW w:w="1194" w:type="dxa"/>
            <w:vAlign w:val="center"/>
          </w:tcPr>
          <w:p w14:paraId="03FEBADA" w14:textId="77777777" w:rsidR="00C72BA2" w:rsidRDefault="00C72BA2" w:rsidP="00614DB1">
            <w:pPr>
              <w:jc w:val="center"/>
              <w:rPr>
                <w:rFonts w:cs="Arial"/>
                <w:sz w:val="20"/>
                <w:szCs w:val="20"/>
              </w:rPr>
            </w:pPr>
            <w:r>
              <w:rPr>
                <w:rFonts w:cs="Arial"/>
                <w:sz w:val="20"/>
                <w:szCs w:val="20"/>
              </w:rPr>
              <w:t>4/21/2007</w:t>
            </w:r>
          </w:p>
        </w:tc>
        <w:tc>
          <w:tcPr>
            <w:tcW w:w="1309" w:type="dxa"/>
            <w:tcBorders>
              <w:right w:val="nil"/>
            </w:tcBorders>
            <w:vAlign w:val="center"/>
          </w:tcPr>
          <w:p w14:paraId="5E52F6BD" w14:textId="77777777" w:rsidR="00C72BA2" w:rsidRDefault="00C72BA2" w:rsidP="00614DB1">
            <w:pPr>
              <w:ind w:left="360" w:hanging="360"/>
              <w:jc w:val="center"/>
              <w:rPr>
                <w:rFonts w:cs="Arial"/>
                <w:sz w:val="20"/>
                <w:szCs w:val="20"/>
              </w:rPr>
            </w:pPr>
          </w:p>
        </w:tc>
        <w:tc>
          <w:tcPr>
            <w:tcW w:w="4686" w:type="dxa"/>
            <w:tcBorders>
              <w:left w:val="nil"/>
              <w:right w:val="single" w:sz="4" w:space="0" w:color="auto"/>
            </w:tcBorders>
            <w:vAlign w:val="center"/>
          </w:tcPr>
          <w:p w14:paraId="2FD09DAF" w14:textId="77777777" w:rsidR="00C72BA2" w:rsidRDefault="00C72BA2" w:rsidP="00C72BA2">
            <w:pPr>
              <w:numPr>
                <w:ilvl w:val="0"/>
                <w:numId w:val="3"/>
              </w:numPr>
              <w:jc w:val="left"/>
              <w:rPr>
                <w:rFonts w:cs="Arial"/>
                <w:sz w:val="20"/>
                <w:szCs w:val="20"/>
              </w:rPr>
            </w:pPr>
            <w:r>
              <w:rPr>
                <w:rFonts w:cs="Arial"/>
                <w:sz w:val="20"/>
                <w:szCs w:val="20"/>
              </w:rPr>
              <w:t>Procedure edited and reformatted.</w:t>
            </w:r>
          </w:p>
        </w:tc>
      </w:tr>
    </w:tbl>
    <w:p w14:paraId="090C4FDB" w14:textId="77777777" w:rsidR="00721DD3" w:rsidRDefault="00721DD3" w:rsidP="00874517"/>
    <w:p w14:paraId="5F919496" w14:textId="77777777" w:rsidR="00721DD3" w:rsidRDefault="00721DD3" w:rsidP="00874517"/>
    <w:p w14:paraId="2603C105" w14:textId="77777777" w:rsidR="00450B64" w:rsidRDefault="00450B64" w:rsidP="00450B64">
      <w:pPr>
        <w:jc w:val="left"/>
        <w:rPr>
          <w:rFonts w:cs="Arial"/>
        </w:rPr>
      </w:pPr>
      <w:r>
        <w:br w:type="page"/>
      </w:r>
    </w:p>
    <w:p w14:paraId="79109E60" w14:textId="77777777" w:rsidR="00450B64" w:rsidRDefault="00450B64" w:rsidP="00450B64">
      <w:pPr>
        <w:jc w:val="left"/>
        <w:rPr>
          <w:rFonts w:cs="Arial"/>
        </w:rPr>
      </w:pPr>
    </w:p>
    <w:p w14:paraId="0D98C69C" w14:textId="77777777" w:rsidR="00450B64" w:rsidRDefault="00450B64" w:rsidP="00450B64">
      <w:pPr>
        <w:jc w:val="left"/>
        <w:rPr>
          <w:rFonts w:cs="Arial"/>
        </w:rPr>
      </w:pPr>
    </w:p>
    <w:p w14:paraId="3907FA5B" w14:textId="77777777" w:rsidR="00450B64" w:rsidRDefault="00450B64" w:rsidP="00450B64">
      <w:pPr>
        <w:jc w:val="left"/>
        <w:rPr>
          <w:rFonts w:cs="Arial"/>
        </w:rPr>
      </w:pPr>
    </w:p>
    <w:p w14:paraId="021C4AEE" w14:textId="77777777" w:rsidR="00450B64" w:rsidRDefault="00450B64" w:rsidP="00450B64">
      <w:pPr>
        <w:jc w:val="left"/>
        <w:rPr>
          <w:rFonts w:cs="Arial"/>
        </w:rPr>
      </w:pPr>
    </w:p>
    <w:p w14:paraId="12734615" w14:textId="77777777" w:rsidR="00450B64" w:rsidRDefault="00450B64" w:rsidP="00450B64">
      <w:pPr>
        <w:jc w:val="left"/>
        <w:rPr>
          <w:rFonts w:cs="Arial"/>
        </w:rPr>
      </w:pPr>
    </w:p>
    <w:p w14:paraId="6B546141" w14:textId="77777777" w:rsidR="00450B64" w:rsidRDefault="00450B64" w:rsidP="00450B64">
      <w:pPr>
        <w:jc w:val="left"/>
        <w:rPr>
          <w:rFonts w:cs="Arial"/>
        </w:rPr>
      </w:pPr>
    </w:p>
    <w:p w14:paraId="1F23F25A" w14:textId="77777777" w:rsidR="00450B64" w:rsidRDefault="00450B64" w:rsidP="00450B64">
      <w:pPr>
        <w:jc w:val="left"/>
        <w:rPr>
          <w:rFonts w:cs="Arial"/>
        </w:rPr>
      </w:pPr>
    </w:p>
    <w:p w14:paraId="4115245D" w14:textId="77777777" w:rsidR="00450B64" w:rsidRDefault="00450B64" w:rsidP="00450B64">
      <w:pPr>
        <w:jc w:val="left"/>
        <w:rPr>
          <w:rFonts w:cs="Arial"/>
        </w:rPr>
      </w:pPr>
    </w:p>
    <w:p w14:paraId="6320CA11" w14:textId="77777777" w:rsidR="00450B64" w:rsidRDefault="00450B64" w:rsidP="00450B64">
      <w:pPr>
        <w:jc w:val="center"/>
        <w:rPr>
          <w:rFonts w:cs="Arial"/>
        </w:rPr>
      </w:pPr>
      <w:r>
        <w:rPr>
          <w:rFonts w:cs="Arial"/>
        </w:rPr>
        <w:t>( Page intentionally blank )</w:t>
      </w:r>
    </w:p>
    <w:p w14:paraId="386A4B02" w14:textId="7BF4D68C" w:rsidR="00450B64" w:rsidRDefault="00450B64" w:rsidP="00874517"/>
    <w:p w14:paraId="688481B0" w14:textId="6CE69004" w:rsidR="00450B64" w:rsidRDefault="00450B64" w:rsidP="00874517">
      <w:pPr>
        <w:sectPr w:rsidR="00450B64" w:rsidSect="00EC5E8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code="1"/>
          <w:pgMar w:top="1440" w:right="1440" w:bottom="1440" w:left="1800" w:header="720" w:footer="720" w:gutter="0"/>
          <w:pgNumType w:fmt="lowerRoman" w:start="1"/>
          <w:cols w:space="720"/>
          <w:docGrid w:linePitch="360"/>
        </w:sectPr>
      </w:pPr>
    </w:p>
    <w:p w14:paraId="6EA8700F" w14:textId="0513BF04" w:rsidR="00D5426A" w:rsidRDefault="00D5426A" w:rsidP="00D5426A">
      <w:pPr>
        <w:pStyle w:val="H1ProcedureSection"/>
        <w:jc w:val="center"/>
      </w:pPr>
      <w:bookmarkStart w:id="5" w:name="_Toc209771751"/>
      <w:r>
        <w:t>Glossary</w:t>
      </w:r>
      <w:bookmarkEnd w:id="5"/>
    </w:p>
    <w:p w14:paraId="4EDFF50C" w14:textId="77777777" w:rsidR="00D5426A" w:rsidRDefault="00D5426A" w:rsidP="00D5426A">
      <w:pPr>
        <w:jc w:val="center"/>
        <w:rPr>
          <w:rFonts w:cs="Arial"/>
        </w:rPr>
      </w:pPr>
    </w:p>
    <w:p w14:paraId="00C8A21C" w14:textId="77777777" w:rsidR="00D5426A" w:rsidRPr="00027122" w:rsidRDefault="00D5426A" w:rsidP="00D5426A">
      <w:pPr>
        <w:rPr>
          <w:rFonts w:cs="Arial"/>
          <w:sz w:val="22"/>
          <w:szCs w:val="22"/>
        </w:rPr>
      </w:pPr>
      <w:r w:rsidRPr="00027122">
        <w:rPr>
          <w:rFonts w:cs="Arial"/>
          <w:sz w:val="22"/>
          <w:szCs w:val="22"/>
        </w:rPr>
        <w:t>For the purposes of MDPH’s Confidentiality Policy and Procedures, the following words and phrases shall have the following meanings:</w:t>
      </w:r>
    </w:p>
    <w:p w14:paraId="2BFFA9FF" w14:textId="77777777" w:rsidR="00D5426A" w:rsidRPr="00027122" w:rsidRDefault="00D5426A" w:rsidP="00D5426A">
      <w:pPr>
        <w:rPr>
          <w:rFonts w:cs="Arial"/>
          <w:sz w:val="22"/>
          <w:szCs w:val="22"/>
        </w:rPr>
      </w:pPr>
    </w:p>
    <w:p w14:paraId="0A295A5B"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Access</w:t>
      </w:r>
      <w:r>
        <w:rPr>
          <w:rFonts w:ascii="ZWAdobeF" w:hAnsi="ZWAdobeF" w:cs="ZWAdobeF"/>
          <w:sz w:val="2"/>
          <w:szCs w:val="2"/>
        </w:rPr>
        <w:t>U</w:t>
      </w:r>
      <w:r w:rsidRPr="00027122">
        <w:rPr>
          <w:rFonts w:cs="Arial"/>
          <w:sz w:val="22"/>
          <w:szCs w:val="22"/>
        </w:rPr>
        <w:t xml:space="preserve"> means the provision by MDPH to an individual of an opportunity to inspect or review confidential information about that individual held by the Department.</w:t>
      </w:r>
    </w:p>
    <w:p w14:paraId="6F7C154F" w14:textId="77777777" w:rsidR="00D5426A" w:rsidRPr="00027122" w:rsidRDefault="00D5426A" w:rsidP="00D5426A">
      <w:pPr>
        <w:rPr>
          <w:rFonts w:cs="Arial"/>
          <w:sz w:val="22"/>
          <w:szCs w:val="22"/>
        </w:rPr>
      </w:pPr>
    </w:p>
    <w:p w14:paraId="064A5B65"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Acknowledgment</w:t>
      </w:r>
      <w:r>
        <w:rPr>
          <w:rFonts w:ascii="ZWAdobeF" w:hAnsi="ZWAdobeF" w:cs="ZWAdobeF"/>
          <w:sz w:val="2"/>
          <w:szCs w:val="2"/>
        </w:rPr>
        <w:t>U</w:t>
      </w:r>
      <w:r w:rsidRPr="00027122">
        <w:rPr>
          <w:rFonts w:cs="Arial"/>
          <w:sz w:val="22"/>
          <w:szCs w:val="22"/>
        </w:rPr>
        <w:t xml:space="preserve"> means a written statement, dated and signed by all workforce members, that certifies the individual's agreement to abide by MDPH’s Confidentiality Policy and Procedures.</w:t>
      </w:r>
    </w:p>
    <w:p w14:paraId="6DA0EBE9" w14:textId="77777777" w:rsidR="00D5426A" w:rsidRPr="00027122" w:rsidRDefault="00D5426A" w:rsidP="00D5426A">
      <w:pPr>
        <w:rPr>
          <w:rFonts w:cs="Arial"/>
          <w:sz w:val="22"/>
          <w:szCs w:val="22"/>
        </w:rPr>
      </w:pPr>
    </w:p>
    <w:p w14:paraId="518728A7"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Aggregate Data</w:t>
      </w:r>
      <w:r>
        <w:rPr>
          <w:rFonts w:ascii="ZWAdobeF" w:hAnsi="ZWAdobeF" w:cs="ZWAdobeF"/>
          <w:sz w:val="2"/>
          <w:szCs w:val="2"/>
        </w:rPr>
        <w:t>U</w:t>
      </w:r>
      <w:r w:rsidRPr="00027122">
        <w:rPr>
          <w:rFonts w:cs="Arial"/>
          <w:sz w:val="22"/>
          <w:szCs w:val="22"/>
        </w:rPr>
        <w:t xml:space="preserve"> means data collected from individual-level records that have been combined for statistical or analytical purposes and that are maintained in a form that does not permit the identification of individuals.</w:t>
      </w:r>
    </w:p>
    <w:p w14:paraId="492F74CC" w14:textId="77777777" w:rsidR="00D5426A" w:rsidRPr="00027122" w:rsidRDefault="00D5426A" w:rsidP="00D5426A">
      <w:pPr>
        <w:rPr>
          <w:rFonts w:cs="Arial"/>
          <w:sz w:val="22"/>
          <w:szCs w:val="22"/>
        </w:rPr>
      </w:pPr>
    </w:p>
    <w:p w14:paraId="3CA07FB1"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Authorization</w:t>
      </w:r>
      <w:r>
        <w:rPr>
          <w:rFonts w:ascii="ZWAdobeF" w:hAnsi="ZWAdobeF" w:cs="ZWAdobeF"/>
          <w:sz w:val="2"/>
          <w:szCs w:val="2"/>
        </w:rPr>
        <w:t>U</w:t>
      </w:r>
      <w:r w:rsidRPr="00027122">
        <w:rPr>
          <w:rFonts w:cs="Arial"/>
          <w:sz w:val="22"/>
          <w:szCs w:val="22"/>
        </w:rPr>
        <w:t xml:space="preserve"> means the permission that a data subject or his or her personal representative gives to another person or entity allowing that person or entity to disclose the data subject's confidential information.</w:t>
      </w:r>
    </w:p>
    <w:p w14:paraId="744F6B03" w14:textId="77777777" w:rsidR="00D5426A" w:rsidRPr="00027122" w:rsidRDefault="00D5426A" w:rsidP="00D5426A">
      <w:pPr>
        <w:rPr>
          <w:rFonts w:cs="Arial"/>
          <w:sz w:val="22"/>
          <w:szCs w:val="22"/>
        </w:rPr>
      </w:pPr>
    </w:p>
    <w:p w14:paraId="25C93765"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Breach</w:t>
      </w:r>
      <w:r>
        <w:rPr>
          <w:rFonts w:ascii="ZWAdobeF" w:hAnsi="ZWAdobeF" w:cs="ZWAdobeF"/>
          <w:sz w:val="2"/>
          <w:szCs w:val="2"/>
        </w:rPr>
        <w:t>U</w:t>
      </w:r>
      <w:r w:rsidRPr="00027122">
        <w:rPr>
          <w:rFonts w:cs="Arial"/>
          <w:sz w:val="22"/>
          <w:szCs w:val="22"/>
        </w:rPr>
        <w:t xml:space="preserve"> means the use of or disclosure of confidential information in violation of applicable MDPH Confidentiality Policy and Procedures.</w:t>
      </w:r>
    </w:p>
    <w:p w14:paraId="335EE759" w14:textId="77777777" w:rsidR="00D5426A" w:rsidRPr="00027122" w:rsidRDefault="00D5426A" w:rsidP="00D5426A">
      <w:pPr>
        <w:rPr>
          <w:rFonts w:cs="Arial"/>
          <w:sz w:val="22"/>
          <w:szCs w:val="22"/>
        </w:rPr>
      </w:pPr>
    </w:p>
    <w:p w14:paraId="5ADE0A03"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Business Associate</w:t>
      </w:r>
      <w:r>
        <w:rPr>
          <w:rFonts w:ascii="ZWAdobeF" w:hAnsi="ZWAdobeF" w:cs="ZWAdobeF"/>
          <w:sz w:val="2"/>
          <w:szCs w:val="2"/>
        </w:rPr>
        <w:t>U</w:t>
      </w:r>
      <w:r w:rsidRPr="00027122">
        <w:rPr>
          <w:rFonts w:cs="Arial"/>
          <w:sz w:val="22"/>
          <w:szCs w:val="22"/>
        </w:rPr>
        <w:t xml:space="preserve"> (BA) means a person or entity who, on behalf of a covered component of the Department, and other than in the capacity of a workforce member, performs or assists in the performance of a function or activity that involves the use or disclosure of confidential health information; or provides legal, actuarial, accounting, consulting, data aggregation, management, administrative, accreditation or financial services, where the provision of the service involves the use or disclosure of confidential health information.</w:t>
      </w:r>
    </w:p>
    <w:p w14:paraId="1332F646" w14:textId="77777777" w:rsidR="00D5426A" w:rsidRPr="00027122" w:rsidRDefault="00D5426A" w:rsidP="00D5426A">
      <w:pPr>
        <w:rPr>
          <w:rFonts w:cs="Arial"/>
          <w:sz w:val="22"/>
          <w:szCs w:val="22"/>
        </w:rPr>
      </w:pPr>
    </w:p>
    <w:p w14:paraId="251EA576"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Cell Size Suppression</w:t>
      </w:r>
      <w:r>
        <w:rPr>
          <w:rFonts w:ascii="ZWAdobeF" w:hAnsi="ZWAdobeF" w:cs="ZWAdobeF"/>
          <w:sz w:val="2"/>
          <w:szCs w:val="2"/>
        </w:rPr>
        <w:t>U</w:t>
      </w:r>
      <w:r w:rsidRPr="00027122">
        <w:rPr>
          <w:rFonts w:cs="Arial"/>
          <w:sz w:val="22"/>
          <w:szCs w:val="22"/>
        </w:rPr>
        <w:t xml:space="preserve"> means a statistical method used to report aggregate data in tables that restricts or suppresses disclosure of subsets of aggregate data to protect the identity and privacy of data subjects and to avoid the risk of identification of individuals in small population groups.</w:t>
      </w:r>
    </w:p>
    <w:p w14:paraId="23BE6507" w14:textId="77777777" w:rsidR="00D5426A" w:rsidRPr="00027122" w:rsidRDefault="00D5426A" w:rsidP="00D5426A">
      <w:pPr>
        <w:rPr>
          <w:rFonts w:cs="Arial"/>
          <w:sz w:val="22"/>
          <w:szCs w:val="22"/>
        </w:rPr>
      </w:pPr>
    </w:p>
    <w:p w14:paraId="5A368A1E"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Confidential Information</w:t>
      </w:r>
      <w:r>
        <w:rPr>
          <w:rFonts w:ascii="ZWAdobeF" w:hAnsi="ZWAdobeF" w:cs="ZWAdobeF"/>
          <w:sz w:val="2"/>
          <w:szCs w:val="2"/>
        </w:rPr>
        <w:t>U</w:t>
      </w:r>
      <w:r w:rsidRPr="00027122">
        <w:rPr>
          <w:rFonts w:cs="Arial"/>
          <w:sz w:val="22"/>
          <w:szCs w:val="22"/>
        </w:rPr>
        <w:t xml:space="preserve"> means, unless otherwise defined by law, any individually identifiable information, including, but not limited to, medical and demographic information, that:</w:t>
      </w:r>
    </w:p>
    <w:p w14:paraId="795D9329" w14:textId="77777777" w:rsidR="00D5426A" w:rsidRPr="00027122" w:rsidRDefault="00D5426A">
      <w:pPr>
        <w:numPr>
          <w:ilvl w:val="0"/>
          <w:numId w:val="115"/>
        </w:numPr>
        <w:tabs>
          <w:tab w:val="clear" w:pos="720"/>
        </w:tabs>
        <w:ind w:right="360"/>
        <w:jc w:val="left"/>
        <w:rPr>
          <w:rFonts w:cs="Arial"/>
          <w:sz w:val="22"/>
          <w:szCs w:val="22"/>
        </w:rPr>
      </w:pPr>
      <w:r w:rsidRPr="00027122">
        <w:rPr>
          <w:rFonts w:cs="Arial"/>
          <w:sz w:val="22"/>
          <w:szCs w:val="22"/>
        </w:rPr>
        <w:t>Reveals the identity of the data subject or is readily identified with the data subject, such as name, address, telephone number, social security number, health identification number, or date of birth; or</w:t>
      </w:r>
    </w:p>
    <w:p w14:paraId="15E38C2D" w14:textId="77777777" w:rsidR="00D5426A" w:rsidRPr="00027122" w:rsidRDefault="00D5426A">
      <w:pPr>
        <w:numPr>
          <w:ilvl w:val="0"/>
          <w:numId w:val="115"/>
        </w:numPr>
        <w:tabs>
          <w:tab w:val="clear" w:pos="720"/>
        </w:tabs>
        <w:ind w:right="360"/>
        <w:jc w:val="left"/>
        <w:rPr>
          <w:rFonts w:cs="Arial"/>
          <w:sz w:val="22"/>
          <w:szCs w:val="22"/>
        </w:rPr>
      </w:pPr>
      <w:r w:rsidRPr="00027122">
        <w:rPr>
          <w:rFonts w:cs="Arial"/>
          <w:sz w:val="22"/>
          <w:szCs w:val="22"/>
        </w:rPr>
        <w:t>Provides a reasonable basis to believe that the information could be used, either alone or in combination with other information, to identify a data subject.</w:t>
      </w:r>
    </w:p>
    <w:p w14:paraId="55854CA0" w14:textId="77777777" w:rsidR="00D5426A" w:rsidRPr="00027122" w:rsidRDefault="00D5426A" w:rsidP="00D5426A">
      <w:pPr>
        <w:rPr>
          <w:rFonts w:cs="Arial"/>
          <w:sz w:val="22"/>
          <w:szCs w:val="22"/>
        </w:rPr>
      </w:pPr>
    </w:p>
    <w:p w14:paraId="75D96B64" w14:textId="77777777" w:rsidR="00D5426A" w:rsidRDefault="00D5426A" w:rsidP="00D5426A">
      <w:pPr>
        <w:rPr>
          <w:rFonts w:cs="Arial"/>
          <w:sz w:val="22"/>
          <w:szCs w:val="22"/>
        </w:rPr>
      </w:pPr>
      <w:r w:rsidRPr="00027122">
        <w:rPr>
          <w:rFonts w:cs="Arial"/>
          <w:sz w:val="22"/>
          <w:szCs w:val="22"/>
        </w:rPr>
        <w:t>Confidential Information includes any protected health information, as defined by HIPAA, and any personal data, as defined by F</w:t>
      </w:r>
      <w:bookmarkStart w:id="6" w:name="_Hlt63664241"/>
      <w:r w:rsidRPr="00027122">
        <w:rPr>
          <w:rFonts w:cs="Arial"/>
          <w:sz w:val="22"/>
          <w:szCs w:val="22"/>
        </w:rPr>
        <w:t>I</w:t>
      </w:r>
      <w:bookmarkEnd w:id="6"/>
      <w:r w:rsidRPr="00027122">
        <w:rPr>
          <w:rFonts w:cs="Arial"/>
          <w:sz w:val="22"/>
          <w:szCs w:val="22"/>
        </w:rPr>
        <w:t xml:space="preserve">PA.  To the extent that certain information held by the Registry of Vital records is deemed under state law to be unrestricted, this information is not confidential information for the purposes of these procedures.  Nothing in the </w:t>
      </w:r>
    </w:p>
    <w:p w14:paraId="30F9D04B" w14:textId="77777777" w:rsidR="00D5426A" w:rsidRDefault="00D5426A" w:rsidP="00D5426A">
      <w:pPr>
        <w:autoSpaceDE w:val="0"/>
        <w:jc w:val="center"/>
        <w:rPr>
          <w:rFonts w:cs="Arial"/>
          <w:sz w:val="22"/>
          <w:szCs w:val="22"/>
        </w:rPr>
      </w:pPr>
      <w:r>
        <w:rPr>
          <w:rFonts w:cs="Arial"/>
          <w:sz w:val="22"/>
          <w:szCs w:val="22"/>
        </w:rPr>
        <w:br w:type="page"/>
      </w:r>
    </w:p>
    <w:p w14:paraId="7AB8958C" w14:textId="77777777" w:rsidR="00D5426A" w:rsidRPr="00027122" w:rsidRDefault="00D5426A" w:rsidP="00D5426A">
      <w:pPr>
        <w:rPr>
          <w:rFonts w:cs="Arial"/>
          <w:sz w:val="22"/>
          <w:szCs w:val="22"/>
        </w:rPr>
      </w:pPr>
      <w:r w:rsidRPr="00027122">
        <w:rPr>
          <w:rFonts w:cs="Arial"/>
          <w:sz w:val="22"/>
          <w:szCs w:val="22"/>
        </w:rPr>
        <w:t>Confidentiality Policy or Procedures shall be read or interpreted to restrict the disclosure of Registry information, where identifiable information is otherwise unrestricted and permitted to be disclosed.</w:t>
      </w:r>
    </w:p>
    <w:p w14:paraId="164E26EE" w14:textId="77777777" w:rsidR="00D5426A" w:rsidRPr="00027122" w:rsidRDefault="00D5426A" w:rsidP="00D5426A">
      <w:pPr>
        <w:rPr>
          <w:rFonts w:cs="Arial"/>
          <w:sz w:val="22"/>
          <w:szCs w:val="22"/>
        </w:rPr>
      </w:pPr>
    </w:p>
    <w:p w14:paraId="4F3830BB"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Confidentiality</w:t>
      </w:r>
      <w:r>
        <w:rPr>
          <w:rFonts w:ascii="ZWAdobeF" w:hAnsi="ZWAdobeF" w:cs="ZWAdobeF"/>
          <w:sz w:val="2"/>
          <w:szCs w:val="2"/>
        </w:rPr>
        <w:t>U</w:t>
      </w:r>
      <w:r w:rsidRPr="00027122">
        <w:rPr>
          <w:rFonts w:cs="Arial"/>
          <w:sz w:val="22"/>
          <w:szCs w:val="22"/>
        </w:rPr>
        <w:t xml:space="preserve"> means the MDPH’s obligation to protect the privacy of the health and other personal information with which it is entrusted.</w:t>
      </w:r>
    </w:p>
    <w:p w14:paraId="39B25F95" w14:textId="77777777" w:rsidR="00D5426A" w:rsidRPr="00027122" w:rsidRDefault="00D5426A" w:rsidP="00D5426A">
      <w:pPr>
        <w:rPr>
          <w:rFonts w:cs="Arial"/>
          <w:sz w:val="22"/>
          <w:szCs w:val="22"/>
        </w:rPr>
      </w:pPr>
    </w:p>
    <w:p w14:paraId="0B09B551"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Consent</w:t>
      </w:r>
      <w:r>
        <w:rPr>
          <w:rFonts w:ascii="ZWAdobeF" w:hAnsi="ZWAdobeF" w:cs="ZWAdobeF"/>
          <w:sz w:val="2"/>
          <w:szCs w:val="2"/>
        </w:rPr>
        <w:t>U</w:t>
      </w:r>
      <w:r w:rsidRPr="00027122">
        <w:rPr>
          <w:rFonts w:cs="Arial"/>
          <w:sz w:val="22"/>
          <w:szCs w:val="22"/>
        </w:rPr>
        <w:t xml:space="preserve"> means voluntary agreement with what is being done or proposed (express or implied).</w:t>
      </w:r>
    </w:p>
    <w:p w14:paraId="0E7DA445" w14:textId="77777777" w:rsidR="00D5426A" w:rsidRPr="00027122" w:rsidRDefault="00D5426A" w:rsidP="00D5426A">
      <w:pPr>
        <w:rPr>
          <w:rFonts w:cs="Arial"/>
          <w:sz w:val="22"/>
          <w:szCs w:val="22"/>
        </w:rPr>
      </w:pPr>
    </w:p>
    <w:p w14:paraId="05139541"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Contact</w:t>
      </w:r>
      <w:r>
        <w:rPr>
          <w:rFonts w:ascii="ZWAdobeF" w:hAnsi="ZWAdobeF" w:cs="ZWAdobeF"/>
          <w:sz w:val="2"/>
          <w:szCs w:val="2"/>
        </w:rPr>
        <w:t>U</w:t>
      </w:r>
      <w:r w:rsidRPr="00027122">
        <w:rPr>
          <w:rFonts w:cs="Arial"/>
          <w:sz w:val="22"/>
          <w:szCs w:val="22"/>
        </w:rPr>
        <w:t xml:space="preserve"> means to communicate or attempt to communicate with a data subject or the data subject's parent, guardian, or health care provider by any means, including, but not limited to, in-person, telephone, facsimile, letter, or electronic mail.</w:t>
      </w:r>
    </w:p>
    <w:p w14:paraId="5B519C34" w14:textId="77777777" w:rsidR="00D5426A" w:rsidRPr="00027122" w:rsidRDefault="00D5426A" w:rsidP="00D5426A">
      <w:pPr>
        <w:rPr>
          <w:rFonts w:cs="Arial"/>
          <w:sz w:val="22"/>
          <w:szCs w:val="22"/>
        </w:rPr>
      </w:pPr>
    </w:p>
    <w:p w14:paraId="64E25C91"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Covered Health Care Component</w:t>
      </w:r>
      <w:r>
        <w:rPr>
          <w:rFonts w:ascii="ZWAdobeF" w:hAnsi="ZWAdobeF" w:cs="ZWAdobeF"/>
          <w:sz w:val="2"/>
          <w:szCs w:val="2"/>
        </w:rPr>
        <w:t>U</w:t>
      </w:r>
      <w:r w:rsidRPr="00027122">
        <w:rPr>
          <w:rFonts w:cs="Arial"/>
          <w:sz w:val="22"/>
          <w:szCs w:val="22"/>
        </w:rPr>
        <w:t xml:space="preserve"> means those programs that would meet the definition of a covered entity if each were a separate legal entity.  It may also include a program:</w:t>
      </w:r>
    </w:p>
    <w:p w14:paraId="5B06132C" w14:textId="77777777" w:rsidR="00D5426A" w:rsidRPr="00027122" w:rsidRDefault="00D5426A">
      <w:pPr>
        <w:numPr>
          <w:ilvl w:val="0"/>
          <w:numId w:val="116"/>
        </w:numPr>
        <w:tabs>
          <w:tab w:val="clear" w:pos="720"/>
        </w:tabs>
        <w:ind w:right="360"/>
        <w:jc w:val="left"/>
        <w:rPr>
          <w:rFonts w:cs="Arial"/>
          <w:sz w:val="22"/>
          <w:szCs w:val="22"/>
        </w:rPr>
      </w:pPr>
      <w:r w:rsidRPr="00027122">
        <w:rPr>
          <w:rFonts w:cs="Arial"/>
          <w:sz w:val="22"/>
          <w:szCs w:val="22"/>
        </w:rPr>
        <w:t>To the extent that it performs a covered function, but does not strictly meet the definition of a covered entity (i.e., a provider that does not transmit information electronically in connection with a covered transaction); or</w:t>
      </w:r>
    </w:p>
    <w:p w14:paraId="131A596D" w14:textId="77777777" w:rsidR="00D5426A" w:rsidRPr="00027122" w:rsidRDefault="00D5426A">
      <w:pPr>
        <w:numPr>
          <w:ilvl w:val="0"/>
          <w:numId w:val="116"/>
        </w:numPr>
        <w:tabs>
          <w:tab w:val="clear" w:pos="720"/>
        </w:tabs>
        <w:ind w:right="360"/>
        <w:jc w:val="left"/>
        <w:rPr>
          <w:rFonts w:cs="Arial"/>
          <w:sz w:val="22"/>
          <w:szCs w:val="22"/>
        </w:rPr>
      </w:pPr>
      <w:r w:rsidRPr="00027122">
        <w:rPr>
          <w:rFonts w:cs="Arial"/>
          <w:sz w:val="22"/>
          <w:szCs w:val="22"/>
        </w:rPr>
        <w:t>It engages in activities that would make it a business associate of a component that performs covered functions if the two were separate legal entities.</w:t>
      </w:r>
    </w:p>
    <w:p w14:paraId="74E56749" w14:textId="77777777" w:rsidR="00D5426A" w:rsidRPr="00027122" w:rsidRDefault="00D5426A" w:rsidP="00D5426A">
      <w:pPr>
        <w:rPr>
          <w:rFonts w:cs="Arial"/>
          <w:sz w:val="22"/>
          <w:szCs w:val="22"/>
        </w:rPr>
      </w:pPr>
    </w:p>
    <w:p w14:paraId="1FB860AB"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Covered Entity</w:t>
      </w:r>
      <w:r>
        <w:rPr>
          <w:rFonts w:ascii="ZWAdobeF" w:hAnsi="ZWAdobeF" w:cs="ZWAdobeF"/>
          <w:sz w:val="2"/>
          <w:szCs w:val="2"/>
        </w:rPr>
        <w:t>U</w:t>
      </w:r>
      <w:r w:rsidRPr="00027122">
        <w:rPr>
          <w:rFonts w:cs="Arial"/>
          <w:sz w:val="22"/>
          <w:szCs w:val="22"/>
        </w:rPr>
        <w:t xml:space="preserve"> (CE) means a health plan, a health care clearinghouse, or a health care provider that transmits any health information in electronic form relating to any covered transaction.</w:t>
      </w:r>
    </w:p>
    <w:p w14:paraId="7F61516A" w14:textId="77777777" w:rsidR="00D5426A" w:rsidRPr="00027122" w:rsidRDefault="00D5426A" w:rsidP="00D5426A">
      <w:pPr>
        <w:rPr>
          <w:rFonts w:cs="Arial"/>
          <w:sz w:val="22"/>
          <w:szCs w:val="22"/>
        </w:rPr>
      </w:pPr>
    </w:p>
    <w:p w14:paraId="537D52C8"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Custodian</w:t>
      </w:r>
      <w:r>
        <w:rPr>
          <w:rFonts w:ascii="ZWAdobeF" w:hAnsi="ZWAdobeF" w:cs="ZWAdobeF"/>
          <w:sz w:val="2"/>
          <w:szCs w:val="2"/>
        </w:rPr>
        <w:t>U</w:t>
      </w:r>
      <w:r w:rsidRPr="00027122">
        <w:rPr>
          <w:rFonts w:cs="Arial"/>
          <w:sz w:val="22"/>
          <w:szCs w:val="22"/>
        </w:rPr>
        <w:t xml:space="preserve"> means the program or bureau that collects and maintains data and is responsible for the use of the data in accordance with applicable laws, regulations, policies, and procedures. </w:t>
      </w:r>
    </w:p>
    <w:p w14:paraId="09DDA57E" w14:textId="77777777" w:rsidR="00D5426A" w:rsidRPr="00027122" w:rsidRDefault="00D5426A" w:rsidP="00D5426A">
      <w:pPr>
        <w:rPr>
          <w:rFonts w:cs="Arial"/>
          <w:sz w:val="22"/>
          <w:szCs w:val="22"/>
        </w:rPr>
      </w:pPr>
    </w:p>
    <w:p w14:paraId="1722764B"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Data Holder</w:t>
      </w:r>
      <w:r>
        <w:rPr>
          <w:rFonts w:ascii="ZWAdobeF" w:hAnsi="ZWAdobeF" w:cs="ZWAdobeF"/>
          <w:sz w:val="2"/>
          <w:szCs w:val="2"/>
        </w:rPr>
        <w:t>U</w:t>
      </w:r>
      <w:r w:rsidRPr="00027122">
        <w:rPr>
          <w:rFonts w:cs="Arial"/>
          <w:sz w:val="22"/>
          <w:szCs w:val="22"/>
        </w:rPr>
        <w:t xml:space="preserve"> has the same meaning as under FIPA, and means an agency which collects, uses, maintains, or disseminates personal data or any person or entity which contracts or has an arrangement with an agency whereby it holds personal data as part of as a result of performing a governmental or public function or purpose.</w:t>
      </w:r>
    </w:p>
    <w:p w14:paraId="2020D278" w14:textId="77777777" w:rsidR="00D5426A" w:rsidRPr="00027122" w:rsidRDefault="00D5426A" w:rsidP="00D5426A">
      <w:pPr>
        <w:rPr>
          <w:rFonts w:cs="Arial"/>
          <w:sz w:val="22"/>
          <w:szCs w:val="22"/>
        </w:rPr>
      </w:pPr>
    </w:p>
    <w:p w14:paraId="26371A6A"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Data Linkage</w:t>
      </w:r>
      <w:r>
        <w:rPr>
          <w:rFonts w:ascii="ZWAdobeF" w:hAnsi="ZWAdobeF" w:cs="ZWAdobeF"/>
          <w:sz w:val="2"/>
          <w:szCs w:val="2"/>
        </w:rPr>
        <w:t>U</w:t>
      </w:r>
      <w:r w:rsidRPr="00027122">
        <w:rPr>
          <w:rFonts w:cs="Arial"/>
          <w:sz w:val="22"/>
          <w:szCs w:val="22"/>
        </w:rPr>
        <w:t xml:space="preserve"> means a method of assembling data contained in two or more different files to relate significant health and other events for the same individual, organization, community, or other unit of analysis.</w:t>
      </w:r>
    </w:p>
    <w:p w14:paraId="2AFD1FAA" w14:textId="77777777" w:rsidR="00D5426A" w:rsidRPr="00027122" w:rsidRDefault="00D5426A" w:rsidP="00D5426A">
      <w:pPr>
        <w:rPr>
          <w:rFonts w:cs="Arial"/>
          <w:sz w:val="22"/>
          <w:szCs w:val="22"/>
        </w:rPr>
      </w:pPr>
    </w:p>
    <w:p w14:paraId="4BB4775A"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Data Subject</w:t>
      </w:r>
      <w:r>
        <w:rPr>
          <w:rFonts w:ascii="ZWAdobeF" w:hAnsi="ZWAdobeF" w:cs="ZWAdobeF"/>
          <w:sz w:val="2"/>
          <w:szCs w:val="2"/>
        </w:rPr>
        <w:t>U</w:t>
      </w:r>
      <w:r w:rsidRPr="00027122">
        <w:rPr>
          <w:rFonts w:cs="Arial"/>
          <w:sz w:val="22"/>
          <w:szCs w:val="22"/>
        </w:rPr>
        <w:t xml:space="preserve"> means the individual about whom the data or information relate.</w:t>
      </w:r>
    </w:p>
    <w:p w14:paraId="6553932E" w14:textId="77777777" w:rsidR="00D5426A" w:rsidRPr="00027122" w:rsidRDefault="00D5426A" w:rsidP="00D5426A">
      <w:pPr>
        <w:rPr>
          <w:rFonts w:cs="Arial"/>
          <w:sz w:val="22"/>
          <w:szCs w:val="22"/>
        </w:rPr>
      </w:pPr>
    </w:p>
    <w:p w14:paraId="52424398"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De-Identified Data</w:t>
      </w:r>
      <w:r>
        <w:rPr>
          <w:rFonts w:ascii="ZWAdobeF" w:hAnsi="ZWAdobeF" w:cs="ZWAdobeF"/>
          <w:sz w:val="2"/>
          <w:szCs w:val="2"/>
        </w:rPr>
        <w:t>U</w:t>
      </w:r>
      <w:r w:rsidRPr="00027122">
        <w:rPr>
          <w:rFonts w:cs="Arial"/>
          <w:sz w:val="22"/>
          <w:szCs w:val="22"/>
        </w:rPr>
        <w:t xml:space="preserve"> means information that has been subject to methods for rendering it not individually identifiable, such as the removal of personal identifiers including, but not limited to, name, address, telephone number, social security number, health identification number, or all elements of dates except year relating to the individual.</w:t>
      </w:r>
    </w:p>
    <w:p w14:paraId="53281009" w14:textId="77777777" w:rsidR="00D5426A" w:rsidRPr="00027122" w:rsidRDefault="00D5426A" w:rsidP="00D5426A">
      <w:pPr>
        <w:rPr>
          <w:rFonts w:cs="Arial"/>
          <w:sz w:val="22"/>
          <w:szCs w:val="22"/>
        </w:rPr>
      </w:pPr>
    </w:p>
    <w:p w14:paraId="42FBFFBD" w14:textId="77777777" w:rsidR="00D5426A"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Disclosure</w:t>
      </w:r>
      <w:r>
        <w:rPr>
          <w:rFonts w:ascii="ZWAdobeF" w:hAnsi="ZWAdobeF" w:cs="ZWAdobeF"/>
          <w:sz w:val="2"/>
          <w:szCs w:val="2"/>
        </w:rPr>
        <w:t>U</w:t>
      </w:r>
      <w:r w:rsidRPr="00027122">
        <w:rPr>
          <w:rFonts w:cs="Arial"/>
          <w:sz w:val="22"/>
          <w:szCs w:val="22"/>
        </w:rPr>
        <w:t xml:space="preserve"> means the transfer, dissemination, release, or communication by other means of any confidential information to any person or entity outside the Department or, for a HIPAA covered component, outside the covered component.</w:t>
      </w:r>
    </w:p>
    <w:p w14:paraId="588EC0AA" w14:textId="77777777" w:rsidR="00D5426A" w:rsidRPr="00027122" w:rsidRDefault="00D5426A" w:rsidP="00D5426A">
      <w:pPr>
        <w:autoSpaceDE w:val="0"/>
        <w:jc w:val="center"/>
        <w:rPr>
          <w:rFonts w:cs="Arial"/>
          <w:sz w:val="22"/>
          <w:szCs w:val="22"/>
        </w:rPr>
      </w:pPr>
      <w:r>
        <w:rPr>
          <w:rFonts w:cs="Arial"/>
          <w:sz w:val="22"/>
          <w:szCs w:val="22"/>
        </w:rPr>
        <w:br w:type="page"/>
      </w:r>
    </w:p>
    <w:p w14:paraId="77820CC6"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Electronic Confidential Information</w:t>
      </w:r>
      <w:r>
        <w:rPr>
          <w:rFonts w:ascii="ZWAdobeF" w:hAnsi="ZWAdobeF" w:cs="ZWAdobeF"/>
          <w:sz w:val="2"/>
          <w:szCs w:val="2"/>
        </w:rPr>
        <w:t>U</w:t>
      </w:r>
      <w:r w:rsidRPr="00027122">
        <w:rPr>
          <w:rFonts w:cs="Arial"/>
          <w:sz w:val="22"/>
          <w:szCs w:val="22"/>
        </w:rPr>
        <w:t xml:space="preserve"> means information defined as confidential information in this glossary, which is stored or transmitted by electronic media.</w:t>
      </w:r>
    </w:p>
    <w:p w14:paraId="53311206" w14:textId="77777777" w:rsidR="00D5426A" w:rsidRPr="00027122" w:rsidRDefault="00D5426A" w:rsidP="00D5426A">
      <w:pPr>
        <w:rPr>
          <w:rFonts w:cs="Arial"/>
          <w:sz w:val="22"/>
          <w:szCs w:val="22"/>
        </w:rPr>
      </w:pPr>
    </w:p>
    <w:p w14:paraId="1C8D4108"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Electronic media</w:t>
      </w:r>
      <w:r>
        <w:rPr>
          <w:rFonts w:ascii="ZWAdobeF" w:hAnsi="ZWAdobeF" w:cs="ZWAdobeF"/>
          <w:sz w:val="2"/>
          <w:szCs w:val="2"/>
        </w:rPr>
        <w:t>U</w:t>
      </w:r>
      <w:r w:rsidRPr="00027122">
        <w:rPr>
          <w:rFonts w:cs="Arial"/>
          <w:sz w:val="22"/>
          <w:szCs w:val="22"/>
        </w:rPr>
        <w:t xml:space="preserve"> means:</w:t>
      </w:r>
    </w:p>
    <w:p w14:paraId="72048301" w14:textId="77777777" w:rsidR="00D5426A" w:rsidRPr="00027122" w:rsidRDefault="00D5426A">
      <w:pPr>
        <w:numPr>
          <w:ilvl w:val="0"/>
          <w:numId w:val="113"/>
        </w:numPr>
        <w:tabs>
          <w:tab w:val="clear" w:pos="720"/>
        </w:tabs>
        <w:ind w:right="360"/>
        <w:jc w:val="left"/>
        <w:rPr>
          <w:rFonts w:cs="Arial"/>
          <w:sz w:val="22"/>
          <w:szCs w:val="22"/>
        </w:rPr>
      </w:pPr>
      <w:r w:rsidRPr="00027122">
        <w:rPr>
          <w:rFonts w:cs="Arial"/>
          <w:i/>
          <w:sz w:val="22"/>
          <w:szCs w:val="22"/>
        </w:rPr>
        <w:t>Electronic storage media</w:t>
      </w:r>
      <w:r w:rsidRPr="00027122">
        <w:rPr>
          <w:rFonts w:cs="Arial"/>
          <w:sz w:val="22"/>
          <w:szCs w:val="22"/>
        </w:rPr>
        <w:t xml:space="preserve"> including memory devices in computers (hard drives) and any removable/transportable digital memory medium, such as magnetic tape or disk, optical disk, or digital memory card; or</w:t>
      </w:r>
    </w:p>
    <w:p w14:paraId="3222B8EC" w14:textId="77777777" w:rsidR="00D5426A" w:rsidRPr="00027122" w:rsidRDefault="00D5426A">
      <w:pPr>
        <w:numPr>
          <w:ilvl w:val="0"/>
          <w:numId w:val="113"/>
        </w:numPr>
        <w:tabs>
          <w:tab w:val="clear" w:pos="720"/>
        </w:tabs>
        <w:ind w:right="360"/>
        <w:jc w:val="left"/>
        <w:rPr>
          <w:rFonts w:cs="Arial"/>
          <w:sz w:val="22"/>
          <w:szCs w:val="22"/>
        </w:rPr>
      </w:pPr>
      <w:r w:rsidRPr="00027122">
        <w:rPr>
          <w:rFonts w:cs="Arial"/>
          <w:i/>
          <w:sz w:val="22"/>
          <w:szCs w:val="22"/>
        </w:rPr>
        <w:t>Transmission media</w:t>
      </w:r>
      <w:r w:rsidRPr="00027122">
        <w:rPr>
          <w:rFonts w:cs="Arial"/>
          <w:sz w:val="22"/>
          <w:szCs w:val="22"/>
        </w:rPr>
        <w:t xml:space="preserve"> used to exchange information already in electronic storage media. Transmission media include, for example, the internet (wide-open), extranet (using internet technology to link a business with information accessible only to collaborating parties), leased lines, dial-up lines, private networks, and the physical movement of removable/transportable electronic storage media.  Faxes sent directly from one fax machine to another, person-to-person telephone calls, video teleconferencing, and messages left on voice-mail are not considered transmission media.  However, any faxes sent from a computer, including those made by a fax-back system, are considered transmission media.</w:t>
      </w:r>
    </w:p>
    <w:p w14:paraId="791CFD70" w14:textId="77777777" w:rsidR="00D5426A" w:rsidRPr="00027122" w:rsidRDefault="00D5426A" w:rsidP="00D5426A">
      <w:pPr>
        <w:ind w:right="360"/>
        <w:rPr>
          <w:rFonts w:cs="Arial"/>
          <w:sz w:val="22"/>
          <w:szCs w:val="22"/>
        </w:rPr>
      </w:pPr>
    </w:p>
    <w:p w14:paraId="6833AB5E"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Electronic Transmission</w:t>
      </w:r>
      <w:r>
        <w:rPr>
          <w:rFonts w:ascii="ZWAdobeF" w:hAnsi="ZWAdobeF" w:cs="ZWAdobeF"/>
          <w:sz w:val="2"/>
          <w:szCs w:val="2"/>
        </w:rPr>
        <w:t>U</w:t>
      </w:r>
      <w:r w:rsidRPr="00027122">
        <w:rPr>
          <w:rFonts w:cs="Arial"/>
          <w:sz w:val="22"/>
          <w:szCs w:val="22"/>
        </w:rPr>
        <w:t xml:space="preserve"> means the use of email and file transfer protocols to exchange information over a computer network.</w:t>
      </w:r>
    </w:p>
    <w:p w14:paraId="214234C1" w14:textId="77777777" w:rsidR="00D5426A" w:rsidRPr="00027122" w:rsidRDefault="00D5426A" w:rsidP="00D5426A">
      <w:pPr>
        <w:rPr>
          <w:rFonts w:cs="Arial"/>
          <w:sz w:val="22"/>
          <w:szCs w:val="22"/>
        </w:rPr>
      </w:pPr>
    </w:p>
    <w:p w14:paraId="03EE9068"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Fair Information Practices Act</w:t>
      </w:r>
      <w:r>
        <w:rPr>
          <w:rFonts w:ascii="ZWAdobeF" w:hAnsi="ZWAdobeF" w:cs="ZWAdobeF"/>
          <w:sz w:val="2"/>
          <w:szCs w:val="2"/>
        </w:rPr>
        <w:t>U</w:t>
      </w:r>
      <w:r w:rsidRPr="00027122">
        <w:rPr>
          <w:rFonts w:cs="Arial"/>
          <w:sz w:val="22"/>
          <w:szCs w:val="22"/>
        </w:rPr>
        <w:t xml:space="preserve"> (FIPA) means M.G.L. c. 66A, the state law protecting the confidentiality of personal data held by state agencies or entities conducting business on behalf of state agencies.</w:t>
      </w:r>
    </w:p>
    <w:p w14:paraId="72269369" w14:textId="77777777" w:rsidR="00D5426A" w:rsidRPr="00027122" w:rsidRDefault="00D5426A" w:rsidP="00D5426A">
      <w:pPr>
        <w:rPr>
          <w:rFonts w:cs="Arial"/>
          <w:sz w:val="22"/>
          <w:szCs w:val="22"/>
        </w:rPr>
      </w:pPr>
      <w:r w:rsidRPr="00027122">
        <w:rPr>
          <w:rFonts w:cs="Arial"/>
          <w:sz w:val="22"/>
          <w:szCs w:val="22"/>
        </w:rPr>
        <w:t xml:space="preserve"> </w:t>
      </w:r>
    </w:p>
    <w:p w14:paraId="4CF214BC"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Health Information</w:t>
      </w:r>
      <w:r>
        <w:rPr>
          <w:rFonts w:ascii="ZWAdobeF" w:hAnsi="ZWAdobeF" w:cs="ZWAdobeF"/>
          <w:sz w:val="2"/>
          <w:szCs w:val="2"/>
        </w:rPr>
        <w:t>U</w:t>
      </w:r>
      <w:r w:rsidRPr="00027122">
        <w:rPr>
          <w:rFonts w:cs="Arial"/>
          <w:sz w:val="22"/>
          <w:szCs w:val="22"/>
        </w:rPr>
        <w:t xml:space="preserve"> has the same meaning as under the HIPAA Privacy Regulation, and means any information, whether oral or recorded in any form or medium, that:</w:t>
      </w:r>
    </w:p>
    <w:p w14:paraId="7E125838" w14:textId="77777777" w:rsidR="00D5426A" w:rsidRPr="00027122" w:rsidRDefault="00D5426A">
      <w:pPr>
        <w:numPr>
          <w:ilvl w:val="0"/>
          <w:numId w:val="114"/>
        </w:numPr>
        <w:tabs>
          <w:tab w:val="clear" w:pos="720"/>
        </w:tabs>
        <w:ind w:right="360"/>
        <w:jc w:val="left"/>
        <w:rPr>
          <w:rFonts w:cs="Arial"/>
          <w:sz w:val="22"/>
          <w:szCs w:val="22"/>
        </w:rPr>
      </w:pPr>
      <w:r w:rsidRPr="00027122">
        <w:rPr>
          <w:rFonts w:cs="Arial"/>
          <w:sz w:val="22"/>
          <w:szCs w:val="22"/>
        </w:rPr>
        <w:t xml:space="preserve">Is created or received by MDPH; and </w:t>
      </w:r>
    </w:p>
    <w:p w14:paraId="20CF5A13" w14:textId="77777777" w:rsidR="00D5426A" w:rsidRPr="00027122" w:rsidRDefault="00D5426A">
      <w:pPr>
        <w:numPr>
          <w:ilvl w:val="0"/>
          <w:numId w:val="114"/>
        </w:numPr>
        <w:tabs>
          <w:tab w:val="clear" w:pos="720"/>
        </w:tabs>
        <w:ind w:right="360"/>
        <w:jc w:val="left"/>
        <w:rPr>
          <w:rFonts w:cs="Arial"/>
          <w:sz w:val="22"/>
          <w:szCs w:val="22"/>
        </w:rPr>
      </w:pPr>
      <w:r w:rsidRPr="00027122">
        <w:rPr>
          <w:rFonts w:cs="Arial"/>
          <w:sz w:val="22"/>
          <w:szCs w:val="22"/>
        </w:rPr>
        <w:t>Relates to the past, present, or future physical or mental health or condition of an individual, the provision of health care to an individual, or the past, present, or future payment for the provision of health care to an individual.</w:t>
      </w:r>
    </w:p>
    <w:p w14:paraId="4DBF5CF3" w14:textId="77777777" w:rsidR="00D5426A" w:rsidRPr="00027122" w:rsidRDefault="00D5426A" w:rsidP="00D5426A">
      <w:pPr>
        <w:rPr>
          <w:rFonts w:cs="Arial"/>
          <w:sz w:val="22"/>
          <w:szCs w:val="22"/>
        </w:rPr>
      </w:pPr>
    </w:p>
    <w:p w14:paraId="415DAC25"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Health Insurance Portability and Accountability Act</w:t>
      </w:r>
      <w:r>
        <w:rPr>
          <w:rFonts w:ascii="ZWAdobeF" w:hAnsi="ZWAdobeF" w:cs="ZWAdobeF"/>
          <w:sz w:val="2"/>
          <w:szCs w:val="2"/>
        </w:rPr>
        <w:t>U</w:t>
      </w:r>
      <w:r w:rsidRPr="00027122">
        <w:rPr>
          <w:rFonts w:cs="Arial"/>
          <w:sz w:val="22"/>
          <w:szCs w:val="22"/>
        </w:rPr>
        <w:t xml:space="preserve"> (HIPAA) means the federal law passed in 1996 that was intended to reform the health insurance market and simplify many health care administrative processes.  While the HIPAA legislation addresses many issues, the provisions that directly affect the Department of Public Health are contained in Title II, Subtitle F - Administrative Simplification and the regulations relating to Privacy, Security and Transactions and Code Sets, implemented pursuant to the Administrative Simplification requirements.</w:t>
      </w:r>
    </w:p>
    <w:p w14:paraId="41A1E76D" w14:textId="77777777" w:rsidR="00D5426A" w:rsidRPr="00027122" w:rsidRDefault="00D5426A" w:rsidP="00D5426A">
      <w:pPr>
        <w:rPr>
          <w:rFonts w:cs="Arial"/>
          <w:sz w:val="22"/>
          <w:szCs w:val="22"/>
        </w:rPr>
      </w:pPr>
    </w:p>
    <w:p w14:paraId="7B380E38"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Hybrid Entity</w:t>
      </w:r>
      <w:r>
        <w:rPr>
          <w:rFonts w:ascii="ZWAdobeF" w:hAnsi="ZWAdobeF" w:cs="ZWAdobeF"/>
          <w:sz w:val="2"/>
          <w:szCs w:val="2"/>
        </w:rPr>
        <w:t>U</w:t>
      </w:r>
      <w:r w:rsidRPr="00027122">
        <w:rPr>
          <w:rFonts w:cs="Arial"/>
          <w:sz w:val="22"/>
          <w:szCs w:val="22"/>
        </w:rPr>
        <w:t xml:space="preserve"> means MDPH as a single legal entity under HIPAA, whose business activities include both covered and non-covered functions, and that designates the covered functions to be included in its covered components.  Only covered components are required to comply with HIPAA's Privacy and Security regulations.  All covered and non-covered components must follow the Department's Confidentiality Policy and Procedures, except where otherwise indicated.</w:t>
      </w:r>
    </w:p>
    <w:p w14:paraId="30868171" w14:textId="77777777" w:rsidR="00D5426A" w:rsidRPr="00027122" w:rsidRDefault="00D5426A" w:rsidP="00D5426A">
      <w:pPr>
        <w:rPr>
          <w:rFonts w:cs="Arial"/>
          <w:sz w:val="22"/>
          <w:szCs w:val="22"/>
        </w:rPr>
      </w:pPr>
    </w:p>
    <w:p w14:paraId="332092B6"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Indirect Treatment Relationship</w:t>
      </w:r>
      <w:r>
        <w:rPr>
          <w:rFonts w:ascii="ZWAdobeF" w:hAnsi="ZWAdobeF" w:cs="ZWAdobeF"/>
          <w:sz w:val="2"/>
          <w:szCs w:val="2"/>
        </w:rPr>
        <w:t>U</w:t>
      </w:r>
      <w:r w:rsidRPr="00027122">
        <w:rPr>
          <w:rFonts w:cs="Arial"/>
          <w:sz w:val="22"/>
          <w:szCs w:val="22"/>
        </w:rPr>
        <w:t xml:space="preserve"> means a relationship between an individual and a health care provider in which:</w:t>
      </w:r>
    </w:p>
    <w:p w14:paraId="03A90E9D" w14:textId="77777777" w:rsidR="00D5426A" w:rsidRDefault="00D5426A">
      <w:pPr>
        <w:numPr>
          <w:ilvl w:val="0"/>
          <w:numId w:val="117"/>
        </w:numPr>
        <w:tabs>
          <w:tab w:val="clear" w:pos="720"/>
        </w:tabs>
        <w:ind w:right="360"/>
        <w:jc w:val="left"/>
        <w:rPr>
          <w:rFonts w:cs="Arial"/>
          <w:sz w:val="22"/>
          <w:szCs w:val="22"/>
        </w:rPr>
      </w:pPr>
      <w:r w:rsidRPr="00027122">
        <w:rPr>
          <w:rFonts w:cs="Arial"/>
          <w:sz w:val="22"/>
          <w:szCs w:val="22"/>
        </w:rPr>
        <w:t>The health care provider delivers health care to the individual based on the orders of another health care provider; and</w:t>
      </w:r>
    </w:p>
    <w:p w14:paraId="07A23CE2" w14:textId="77777777" w:rsidR="00D5426A" w:rsidRPr="000663DD" w:rsidRDefault="00D5426A" w:rsidP="00D5426A">
      <w:pPr>
        <w:autoSpaceDE w:val="0"/>
        <w:jc w:val="center"/>
      </w:pPr>
      <w:r>
        <w:br w:type="page"/>
      </w:r>
    </w:p>
    <w:p w14:paraId="76066524" w14:textId="77777777" w:rsidR="00D5426A" w:rsidRPr="00027122" w:rsidRDefault="00D5426A">
      <w:pPr>
        <w:numPr>
          <w:ilvl w:val="0"/>
          <w:numId w:val="117"/>
        </w:numPr>
        <w:tabs>
          <w:tab w:val="clear" w:pos="720"/>
        </w:tabs>
        <w:ind w:right="360"/>
        <w:jc w:val="left"/>
        <w:rPr>
          <w:rFonts w:cs="Arial"/>
          <w:sz w:val="22"/>
          <w:szCs w:val="22"/>
        </w:rPr>
      </w:pPr>
      <w:r w:rsidRPr="00027122">
        <w:rPr>
          <w:rFonts w:cs="Arial"/>
          <w:sz w:val="22"/>
          <w:szCs w:val="22"/>
        </w:rPr>
        <w:t>The health care provider typically provides services or products, or reports the diagnosis or results associated with the health care, directly to another health care provider, who provides the service or products or reports to the individual.</w:t>
      </w:r>
    </w:p>
    <w:p w14:paraId="6E631B60" w14:textId="77777777" w:rsidR="00D5426A" w:rsidRPr="00027122" w:rsidRDefault="00D5426A" w:rsidP="00D5426A">
      <w:pPr>
        <w:rPr>
          <w:rFonts w:cs="Arial"/>
          <w:sz w:val="22"/>
          <w:szCs w:val="22"/>
        </w:rPr>
      </w:pPr>
    </w:p>
    <w:p w14:paraId="6B1E111B"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Individual</w:t>
      </w:r>
      <w:r>
        <w:rPr>
          <w:rFonts w:ascii="ZWAdobeF" w:hAnsi="ZWAdobeF" w:cs="ZWAdobeF"/>
          <w:sz w:val="2"/>
          <w:szCs w:val="2"/>
        </w:rPr>
        <w:t>U</w:t>
      </w:r>
      <w:r w:rsidRPr="00027122">
        <w:rPr>
          <w:rFonts w:cs="Arial"/>
          <w:sz w:val="22"/>
          <w:szCs w:val="22"/>
        </w:rPr>
        <w:t xml:space="preserve"> means the person who is the subject of confidential information.</w:t>
      </w:r>
    </w:p>
    <w:p w14:paraId="7B8333EA" w14:textId="77777777" w:rsidR="00D5426A" w:rsidRPr="00027122" w:rsidRDefault="00D5426A" w:rsidP="00D5426A">
      <w:pPr>
        <w:rPr>
          <w:rFonts w:cs="Arial"/>
          <w:sz w:val="22"/>
          <w:szCs w:val="22"/>
        </w:rPr>
      </w:pPr>
    </w:p>
    <w:p w14:paraId="736B82A1"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Individual-Level Data</w:t>
      </w:r>
      <w:r>
        <w:rPr>
          <w:rFonts w:ascii="ZWAdobeF" w:hAnsi="ZWAdobeF" w:cs="ZWAdobeF"/>
          <w:sz w:val="2"/>
          <w:szCs w:val="2"/>
        </w:rPr>
        <w:t>U</w:t>
      </w:r>
      <w:r w:rsidRPr="00027122">
        <w:rPr>
          <w:rFonts w:cs="Arial"/>
          <w:sz w:val="22"/>
          <w:szCs w:val="22"/>
        </w:rPr>
        <w:t xml:space="preserve"> means any data or information collected and maintained concerning a specific individual.</w:t>
      </w:r>
    </w:p>
    <w:p w14:paraId="7E7F469B" w14:textId="77777777" w:rsidR="00D5426A" w:rsidRPr="00027122" w:rsidRDefault="00D5426A" w:rsidP="00D5426A">
      <w:pPr>
        <w:rPr>
          <w:rFonts w:cs="Arial"/>
          <w:sz w:val="22"/>
          <w:szCs w:val="22"/>
        </w:rPr>
      </w:pPr>
    </w:p>
    <w:p w14:paraId="73C4ACB4"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Individually Identifiable Health Information</w:t>
      </w:r>
      <w:r>
        <w:rPr>
          <w:rFonts w:ascii="ZWAdobeF" w:hAnsi="ZWAdobeF" w:cs="ZWAdobeF"/>
          <w:sz w:val="2"/>
          <w:szCs w:val="2"/>
        </w:rPr>
        <w:t>U</w:t>
      </w:r>
      <w:r w:rsidRPr="00027122">
        <w:rPr>
          <w:rFonts w:cs="Arial"/>
          <w:sz w:val="22"/>
          <w:szCs w:val="22"/>
        </w:rPr>
        <w:t xml:space="preserve"> has the same meaning as under the HIPAA Privacy Regulation and means information that is a subset of health information, including demographic information collected from an individual, and:</w:t>
      </w:r>
    </w:p>
    <w:p w14:paraId="5B227418" w14:textId="77777777" w:rsidR="00D5426A" w:rsidRPr="00027122" w:rsidRDefault="00D5426A">
      <w:pPr>
        <w:numPr>
          <w:ilvl w:val="0"/>
          <w:numId w:val="118"/>
        </w:numPr>
        <w:tabs>
          <w:tab w:val="clear" w:pos="720"/>
        </w:tabs>
        <w:ind w:right="360"/>
        <w:jc w:val="left"/>
        <w:rPr>
          <w:rFonts w:cs="Arial"/>
          <w:sz w:val="22"/>
          <w:szCs w:val="22"/>
        </w:rPr>
      </w:pPr>
      <w:r w:rsidRPr="00027122">
        <w:rPr>
          <w:rFonts w:cs="Arial"/>
          <w:sz w:val="22"/>
          <w:szCs w:val="22"/>
        </w:rPr>
        <w:t>Is created or received by MDPH; and</w:t>
      </w:r>
    </w:p>
    <w:p w14:paraId="53CC9C8D" w14:textId="77777777" w:rsidR="00D5426A" w:rsidRPr="00027122" w:rsidRDefault="00D5426A">
      <w:pPr>
        <w:numPr>
          <w:ilvl w:val="0"/>
          <w:numId w:val="118"/>
        </w:numPr>
        <w:tabs>
          <w:tab w:val="clear" w:pos="720"/>
        </w:tabs>
        <w:ind w:right="360"/>
        <w:jc w:val="left"/>
        <w:rPr>
          <w:rFonts w:cs="Arial"/>
          <w:sz w:val="22"/>
          <w:szCs w:val="22"/>
        </w:rPr>
      </w:pPr>
      <w:r w:rsidRPr="00027122">
        <w:rPr>
          <w:rFonts w:cs="Arial"/>
          <w:sz w:val="22"/>
          <w:szCs w:val="22"/>
        </w:rPr>
        <w:t>Relates to the past, present, or future physical or mental health or condition of an individual, the provision of health care to an individual, or the past, present, or future payment for the provision of health care to an individual, and that identifies the individual or with respect to which there is a reasonable basis to believe the information can be used to identify the individual.</w:t>
      </w:r>
    </w:p>
    <w:p w14:paraId="6B9EB346" w14:textId="77777777" w:rsidR="00D5426A" w:rsidRPr="00027122" w:rsidRDefault="00D5426A" w:rsidP="00D5426A">
      <w:pPr>
        <w:rPr>
          <w:rFonts w:cs="Arial"/>
          <w:sz w:val="22"/>
          <w:szCs w:val="22"/>
        </w:rPr>
      </w:pPr>
    </w:p>
    <w:p w14:paraId="42506D68"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Institutional Review Board</w:t>
      </w:r>
      <w:r>
        <w:rPr>
          <w:rFonts w:ascii="ZWAdobeF" w:hAnsi="ZWAdobeF" w:cs="ZWAdobeF"/>
          <w:sz w:val="2"/>
          <w:szCs w:val="2"/>
        </w:rPr>
        <w:t>U</w:t>
      </w:r>
      <w:r w:rsidRPr="00027122">
        <w:rPr>
          <w:rFonts w:cs="Arial"/>
          <w:sz w:val="22"/>
          <w:szCs w:val="22"/>
        </w:rPr>
        <w:t xml:space="preserve"> means any board, committee, or other group formally designated by an institution, and approved by the U.S. Department of Health and Human Services pursuant to 45 C.F.R. Part 46 to review, approve, and periodically evaluate research projects to protect the rights of human research subjects.</w:t>
      </w:r>
    </w:p>
    <w:p w14:paraId="2281F4B1" w14:textId="77777777" w:rsidR="00D5426A" w:rsidRPr="00027122" w:rsidRDefault="00D5426A" w:rsidP="00D5426A">
      <w:pPr>
        <w:rPr>
          <w:rFonts w:cs="Arial"/>
          <w:sz w:val="22"/>
          <w:szCs w:val="22"/>
        </w:rPr>
      </w:pPr>
    </w:p>
    <w:p w14:paraId="6E94EFD5"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Limited Data Set</w:t>
      </w:r>
      <w:r>
        <w:rPr>
          <w:rFonts w:ascii="ZWAdobeF" w:hAnsi="ZWAdobeF" w:cs="ZWAdobeF"/>
          <w:sz w:val="2"/>
          <w:szCs w:val="2"/>
        </w:rPr>
        <w:t>U</w:t>
      </w:r>
      <w:r w:rsidRPr="00027122">
        <w:rPr>
          <w:rFonts w:cs="Arial"/>
          <w:sz w:val="22"/>
          <w:szCs w:val="22"/>
        </w:rPr>
        <w:t xml:space="preserve"> </w:t>
      </w:r>
      <w:r w:rsidR="004242BC" w:rsidRPr="004242BC">
        <w:rPr>
          <w:rFonts w:cs="Arial"/>
          <w:sz w:val="22"/>
          <w:szCs w:val="22"/>
        </w:rPr>
        <w:t>means, as described in Procedure 7, confidential information that excludes specific direct identifiers of the individual, or of relatives, employers or household members of the individual, which may be disclosed for research, public health, or operations purposes, at the discretion of MDPH, if approved by the Department’s Confidential Data Officer and an authorization in accordance with M.G.L. c.111, §24A is executed.</w:t>
      </w:r>
    </w:p>
    <w:p w14:paraId="62C1ADCC" w14:textId="77777777" w:rsidR="00D5426A" w:rsidRPr="00027122" w:rsidRDefault="00D5426A" w:rsidP="00D5426A">
      <w:pPr>
        <w:rPr>
          <w:rFonts w:cs="Arial"/>
          <w:sz w:val="22"/>
          <w:szCs w:val="22"/>
        </w:rPr>
      </w:pPr>
    </w:p>
    <w:p w14:paraId="3B3548D8"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Personal Data</w:t>
      </w:r>
      <w:r>
        <w:rPr>
          <w:rFonts w:ascii="ZWAdobeF" w:hAnsi="ZWAdobeF" w:cs="ZWAdobeF"/>
          <w:sz w:val="2"/>
          <w:szCs w:val="2"/>
        </w:rPr>
        <w:t>U</w:t>
      </w:r>
      <w:r w:rsidRPr="00027122">
        <w:rPr>
          <w:rFonts w:cs="Arial"/>
          <w:sz w:val="22"/>
          <w:szCs w:val="22"/>
        </w:rPr>
        <w:t xml:space="preserve"> has the same meaning as under FIPA, and means any information concerning an individual which, because of name, identifying number, mark or description can be readily associated with a particular individual, provided that such information is not contained in a public record.</w:t>
      </w:r>
    </w:p>
    <w:p w14:paraId="0638693A" w14:textId="77777777" w:rsidR="00D5426A" w:rsidRPr="00027122" w:rsidRDefault="00D5426A" w:rsidP="00D5426A">
      <w:pPr>
        <w:rPr>
          <w:rFonts w:cs="Arial"/>
          <w:sz w:val="22"/>
          <w:szCs w:val="22"/>
        </w:rPr>
      </w:pPr>
    </w:p>
    <w:p w14:paraId="3D2998FB"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Personal Representative</w:t>
      </w:r>
      <w:r>
        <w:rPr>
          <w:rFonts w:ascii="ZWAdobeF" w:hAnsi="ZWAdobeF" w:cs="ZWAdobeF"/>
          <w:sz w:val="2"/>
          <w:szCs w:val="2"/>
        </w:rPr>
        <w:t>U</w:t>
      </w:r>
      <w:r w:rsidRPr="00027122">
        <w:rPr>
          <w:rFonts w:cs="Arial"/>
          <w:sz w:val="22"/>
          <w:szCs w:val="22"/>
        </w:rPr>
        <w:t xml:space="preserve"> means a person authorized under state law to act on behalf of an individual (data subject).  Certain information may be collected from or disclosures may be made to personal representatives if they are so authorized under </w:t>
      </w:r>
      <w:smartTag w:uri="urn:schemas-microsoft-com:office:smarttags" w:element="place">
        <w:smartTag w:uri="urn:schemas-microsoft-com:office:smarttags" w:element="State">
          <w:r w:rsidRPr="00027122">
            <w:rPr>
              <w:rFonts w:cs="Arial"/>
              <w:sz w:val="22"/>
              <w:szCs w:val="22"/>
            </w:rPr>
            <w:t>Massachusetts</w:t>
          </w:r>
        </w:smartTag>
      </w:smartTag>
      <w:r w:rsidRPr="00027122">
        <w:rPr>
          <w:rFonts w:cs="Arial"/>
          <w:sz w:val="22"/>
          <w:szCs w:val="22"/>
        </w:rPr>
        <w:t xml:space="preserve"> law.</w:t>
      </w:r>
    </w:p>
    <w:p w14:paraId="7FDEB6E3" w14:textId="77777777" w:rsidR="00D5426A" w:rsidRPr="00027122" w:rsidRDefault="00D5426A" w:rsidP="00D5426A">
      <w:pPr>
        <w:rPr>
          <w:rFonts w:cs="Arial"/>
          <w:sz w:val="22"/>
          <w:szCs w:val="22"/>
        </w:rPr>
      </w:pPr>
    </w:p>
    <w:p w14:paraId="1E1B1D46"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Pledge of Confidentiality</w:t>
      </w:r>
      <w:r>
        <w:rPr>
          <w:rFonts w:ascii="ZWAdobeF" w:hAnsi="ZWAdobeF" w:cs="ZWAdobeF"/>
          <w:sz w:val="2"/>
          <w:szCs w:val="2"/>
        </w:rPr>
        <w:t>U</w:t>
      </w:r>
      <w:r w:rsidRPr="00027122">
        <w:rPr>
          <w:rFonts w:cs="Arial"/>
          <w:sz w:val="22"/>
          <w:szCs w:val="22"/>
        </w:rPr>
        <w:t xml:space="preserve"> means a written statement, dated and signed by an individual who is granted access to confidential information that certifies the individual's agreement to abide by the confidentiality restrictions stated in the written statement.</w:t>
      </w:r>
    </w:p>
    <w:p w14:paraId="113ED52F" w14:textId="77777777" w:rsidR="00D5426A" w:rsidRPr="00027122" w:rsidRDefault="00D5426A" w:rsidP="00D5426A">
      <w:pPr>
        <w:rPr>
          <w:rFonts w:cs="Arial"/>
          <w:sz w:val="22"/>
          <w:szCs w:val="22"/>
        </w:rPr>
      </w:pPr>
    </w:p>
    <w:p w14:paraId="32851BE1"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Privacy</w:t>
      </w:r>
      <w:r>
        <w:rPr>
          <w:rFonts w:ascii="ZWAdobeF" w:hAnsi="ZWAdobeF" w:cs="ZWAdobeF"/>
          <w:sz w:val="2"/>
          <w:szCs w:val="2"/>
        </w:rPr>
        <w:t>U</w:t>
      </w:r>
      <w:r w:rsidRPr="00027122">
        <w:rPr>
          <w:rFonts w:cs="Arial"/>
          <w:sz w:val="22"/>
          <w:szCs w:val="22"/>
        </w:rPr>
        <w:t xml:space="preserve"> means the right of an individual to control the disclosure of data or information about himself or herself, freedom from unreasonable interference in an individual's private life, and an individual's right to protection against inappropriate disclosure of his or her personal data.</w:t>
      </w:r>
    </w:p>
    <w:p w14:paraId="378B5C3B" w14:textId="77777777" w:rsidR="00D5426A" w:rsidRPr="00027122" w:rsidRDefault="00D5426A" w:rsidP="00D5426A">
      <w:pPr>
        <w:rPr>
          <w:rFonts w:cs="Arial"/>
          <w:sz w:val="22"/>
          <w:szCs w:val="22"/>
        </w:rPr>
      </w:pPr>
    </w:p>
    <w:p w14:paraId="785E26EF" w14:textId="77777777" w:rsidR="00D5426A" w:rsidRDefault="00D5426A" w:rsidP="00D5426A">
      <w:pPr>
        <w:autoSpaceDE w:val="0"/>
        <w:jc w:val="center"/>
        <w:rPr>
          <w:rFonts w:cs="Arial"/>
          <w:sz w:val="22"/>
          <w:szCs w:val="22"/>
          <w:u w:val="single"/>
        </w:rPr>
      </w:pPr>
      <w:r>
        <w:rPr>
          <w:rFonts w:cs="Arial"/>
          <w:sz w:val="22"/>
          <w:szCs w:val="22"/>
          <w:u w:val="single"/>
        </w:rPr>
        <w:br w:type="page"/>
      </w:r>
    </w:p>
    <w:p w14:paraId="4F08A76B"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Protected Health Information</w:t>
      </w:r>
      <w:r>
        <w:rPr>
          <w:rFonts w:ascii="ZWAdobeF" w:hAnsi="ZWAdobeF" w:cs="ZWAdobeF"/>
          <w:sz w:val="2"/>
          <w:szCs w:val="2"/>
        </w:rPr>
        <w:t>U</w:t>
      </w:r>
      <w:r w:rsidRPr="00027122">
        <w:rPr>
          <w:rFonts w:cs="Arial"/>
          <w:sz w:val="22"/>
          <w:szCs w:val="22"/>
        </w:rPr>
        <w:t xml:space="preserve"> has the same meaning as under the HIPAA Privacy Regulation, and means individually identifiable health information, with limited exceptions, that is:</w:t>
      </w:r>
    </w:p>
    <w:p w14:paraId="1A0B92CF" w14:textId="77777777" w:rsidR="00D5426A" w:rsidRPr="00027122" w:rsidRDefault="00D5426A">
      <w:pPr>
        <w:numPr>
          <w:ilvl w:val="0"/>
          <w:numId w:val="119"/>
        </w:numPr>
        <w:tabs>
          <w:tab w:val="clear" w:pos="720"/>
        </w:tabs>
        <w:ind w:right="360"/>
        <w:jc w:val="left"/>
        <w:rPr>
          <w:rFonts w:cs="Arial"/>
          <w:sz w:val="22"/>
          <w:szCs w:val="22"/>
        </w:rPr>
      </w:pPr>
      <w:r w:rsidRPr="00027122">
        <w:rPr>
          <w:rFonts w:cs="Arial"/>
          <w:sz w:val="22"/>
          <w:szCs w:val="22"/>
        </w:rPr>
        <w:t>Transmitted by electronic media;</w:t>
      </w:r>
    </w:p>
    <w:p w14:paraId="490BC7FF" w14:textId="77777777" w:rsidR="00D5426A" w:rsidRPr="00027122" w:rsidRDefault="00D5426A">
      <w:pPr>
        <w:numPr>
          <w:ilvl w:val="0"/>
          <w:numId w:val="119"/>
        </w:numPr>
        <w:tabs>
          <w:tab w:val="clear" w:pos="720"/>
        </w:tabs>
        <w:ind w:right="360"/>
        <w:jc w:val="left"/>
        <w:rPr>
          <w:rFonts w:cs="Arial"/>
          <w:sz w:val="22"/>
          <w:szCs w:val="22"/>
        </w:rPr>
      </w:pPr>
      <w:r w:rsidRPr="00027122">
        <w:rPr>
          <w:rFonts w:cs="Arial"/>
          <w:sz w:val="22"/>
          <w:szCs w:val="22"/>
        </w:rPr>
        <w:t xml:space="preserve">Maintained in any medium described in the definition of electronic media in the Privacy Regulation; or </w:t>
      </w:r>
    </w:p>
    <w:p w14:paraId="64044F56" w14:textId="77777777" w:rsidR="00D5426A" w:rsidRPr="00027122" w:rsidRDefault="00D5426A">
      <w:pPr>
        <w:numPr>
          <w:ilvl w:val="0"/>
          <w:numId w:val="119"/>
        </w:numPr>
        <w:tabs>
          <w:tab w:val="clear" w:pos="720"/>
        </w:tabs>
        <w:ind w:right="360"/>
        <w:jc w:val="left"/>
        <w:rPr>
          <w:rFonts w:cs="Arial"/>
          <w:sz w:val="22"/>
          <w:szCs w:val="22"/>
        </w:rPr>
      </w:pPr>
      <w:r w:rsidRPr="00027122">
        <w:rPr>
          <w:rFonts w:cs="Arial"/>
          <w:sz w:val="22"/>
          <w:szCs w:val="22"/>
        </w:rPr>
        <w:t>Is transmitted or maintained in any other form or medium.</w:t>
      </w:r>
    </w:p>
    <w:p w14:paraId="14647DF2" w14:textId="77777777" w:rsidR="00D5426A" w:rsidRPr="00027122" w:rsidRDefault="00D5426A" w:rsidP="00D5426A">
      <w:pPr>
        <w:rPr>
          <w:rFonts w:cs="Arial"/>
          <w:sz w:val="22"/>
          <w:szCs w:val="22"/>
        </w:rPr>
      </w:pPr>
    </w:p>
    <w:p w14:paraId="6E406F5F" w14:textId="77777777" w:rsidR="00D5426A" w:rsidRPr="00027122" w:rsidRDefault="00D5426A" w:rsidP="00D5426A">
      <w:pPr>
        <w:rPr>
          <w:rFonts w:cs="Arial"/>
          <w:sz w:val="22"/>
          <w:szCs w:val="22"/>
        </w:rPr>
      </w:pPr>
      <w:r w:rsidRPr="00027122">
        <w:rPr>
          <w:rFonts w:cs="Arial"/>
          <w:sz w:val="22"/>
          <w:szCs w:val="22"/>
        </w:rPr>
        <w:t>Protected Health Information is a subset of Confidential Information.</w:t>
      </w:r>
    </w:p>
    <w:p w14:paraId="38FD9423" w14:textId="77777777" w:rsidR="00D5426A" w:rsidRPr="00027122" w:rsidRDefault="00D5426A" w:rsidP="00D5426A">
      <w:pPr>
        <w:rPr>
          <w:rFonts w:cs="Arial"/>
          <w:sz w:val="22"/>
          <w:szCs w:val="22"/>
        </w:rPr>
      </w:pPr>
    </w:p>
    <w:p w14:paraId="7328C9AB"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Public Health Authority</w:t>
      </w:r>
      <w:r>
        <w:rPr>
          <w:rFonts w:ascii="ZWAdobeF" w:hAnsi="ZWAdobeF" w:cs="ZWAdobeF"/>
          <w:sz w:val="2"/>
          <w:szCs w:val="2"/>
        </w:rPr>
        <w:t>U</w:t>
      </w:r>
      <w:r w:rsidRPr="00027122">
        <w:rPr>
          <w:rFonts w:cs="Arial"/>
          <w:sz w:val="22"/>
          <w:szCs w:val="22"/>
        </w:rPr>
        <w:t xml:space="preserve"> has the same meaning as under the HIPAA Privacy Regulation, and means an agency or authority of the United States, a State, a territory, a political subdivision of a State or territory, or an Indian tribe, or a person or entity acting under a grant of authority from or contract with such public agency, including the employees or agents of such public agency or its contractors or persons or entities to whom it has granted authority, that is responsible for public health matters as part of its official mandate.</w:t>
      </w:r>
    </w:p>
    <w:p w14:paraId="7ECDA5D8" w14:textId="77777777" w:rsidR="00D5426A" w:rsidRPr="00027122" w:rsidRDefault="00D5426A" w:rsidP="00D5426A">
      <w:pPr>
        <w:rPr>
          <w:rFonts w:cs="Arial"/>
          <w:sz w:val="22"/>
          <w:szCs w:val="22"/>
        </w:rPr>
      </w:pPr>
    </w:p>
    <w:p w14:paraId="32605212"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Public Health Purpose</w:t>
      </w:r>
      <w:r>
        <w:rPr>
          <w:rFonts w:ascii="ZWAdobeF" w:hAnsi="ZWAdobeF" w:cs="ZWAdobeF"/>
          <w:sz w:val="2"/>
          <w:szCs w:val="2"/>
        </w:rPr>
        <w:t>U</w:t>
      </w:r>
      <w:r w:rsidRPr="00027122">
        <w:rPr>
          <w:rFonts w:cs="Arial"/>
          <w:sz w:val="22"/>
          <w:szCs w:val="22"/>
        </w:rPr>
        <w:t xml:space="preserve"> means a population-based activity primarily aimed at the reduction of morbidity or mortality; the prevention of injury, illness, disease, disability or premature mortality; the improvement of health outcomes; or the promotion of health in the community, including assessing the health needs and status of the community through public health reporting and surveillance, developing public health policy, and responding to public health needs and emergencies.</w:t>
      </w:r>
    </w:p>
    <w:p w14:paraId="34394718" w14:textId="77777777" w:rsidR="00D5426A" w:rsidRPr="00027122" w:rsidRDefault="00D5426A" w:rsidP="00D5426A">
      <w:pPr>
        <w:rPr>
          <w:rFonts w:cs="Arial"/>
          <w:sz w:val="22"/>
          <w:szCs w:val="22"/>
        </w:rPr>
      </w:pPr>
    </w:p>
    <w:p w14:paraId="1469334C"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Public Record</w:t>
      </w:r>
      <w:r>
        <w:rPr>
          <w:rFonts w:ascii="ZWAdobeF" w:hAnsi="ZWAdobeF" w:cs="ZWAdobeF"/>
          <w:sz w:val="2"/>
          <w:szCs w:val="2"/>
        </w:rPr>
        <w:t>U</w:t>
      </w:r>
      <w:r w:rsidRPr="00027122">
        <w:rPr>
          <w:rFonts w:cs="Arial"/>
          <w:sz w:val="22"/>
          <w:szCs w:val="22"/>
        </w:rPr>
        <w:t xml:space="preserve"> has the same meaning as under the Massachusetts Public Records Law, M.G.L. c. 4, § 7(26), and means all books, papers, maps, photographs, recorded tapes, financial statements, statistical tabulations, or other documentary materials or data, regardless of physical form or characteristics, made or received by an officer or employee of any agency, executive office, department, board, commission, bureau, division, or authority of the Commonwealth, or of any political subdivisions thereof, or of any authority established by the general court to serve a public purpose, unless such materials or data fall within the listed exemptions.</w:t>
      </w:r>
    </w:p>
    <w:p w14:paraId="22E19A57" w14:textId="77777777" w:rsidR="00D5426A" w:rsidRPr="00027122" w:rsidRDefault="00D5426A" w:rsidP="00D5426A">
      <w:pPr>
        <w:rPr>
          <w:rFonts w:cs="Arial"/>
          <w:sz w:val="22"/>
          <w:szCs w:val="22"/>
        </w:rPr>
      </w:pPr>
    </w:p>
    <w:p w14:paraId="43EACA21"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RaDAR</w:t>
      </w:r>
      <w:r>
        <w:rPr>
          <w:rFonts w:ascii="ZWAdobeF" w:hAnsi="ZWAdobeF" w:cs="ZWAdobeF"/>
          <w:sz w:val="2"/>
          <w:szCs w:val="2"/>
        </w:rPr>
        <w:t>U</w:t>
      </w:r>
      <w:r w:rsidRPr="00027122">
        <w:rPr>
          <w:rFonts w:cs="Arial"/>
          <w:sz w:val="22"/>
          <w:szCs w:val="22"/>
        </w:rPr>
        <w:t xml:space="preserve"> means the Research and Data Access Review Committee, which is the body responsible for reviewing applications for authorization of research or studies in accordance with M.G.L. c.111, §24A and for granting access to confidential MDPH data.  RaDAR makes recommendations to the Commissioner for approval.</w:t>
      </w:r>
    </w:p>
    <w:p w14:paraId="21593B9E" w14:textId="77777777" w:rsidR="00D5426A" w:rsidRPr="00027122" w:rsidRDefault="00D5426A" w:rsidP="00D5426A">
      <w:pPr>
        <w:rPr>
          <w:rFonts w:cs="Arial"/>
          <w:sz w:val="22"/>
          <w:szCs w:val="22"/>
        </w:rPr>
      </w:pPr>
    </w:p>
    <w:p w14:paraId="7750D7E3"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Required by Law</w:t>
      </w:r>
      <w:r>
        <w:rPr>
          <w:rFonts w:ascii="ZWAdobeF" w:hAnsi="ZWAdobeF" w:cs="ZWAdobeF"/>
          <w:sz w:val="2"/>
          <w:szCs w:val="2"/>
        </w:rPr>
        <w:t>U</w:t>
      </w:r>
      <w:r w:rsidRPr="00027122">
        <w:rPr>
          <w:rFonts w:cs="Arial"/>
          <w:sz w:val="22"/>
          <w:szCs w:val="22"/>
        </w:rPr>
        <w:t xml:space="preserve"> means, with respect to confidential information, a mandate contained in law that compels an entity to make a use or disclosure of confidential information and that is enforceable in a court of law.  Required by law includes, but is not limited to, court orders and court-ordered warrants; subpoenas or summons issued by a court, grand jury, a governmental or tribal inspector general, or an administrative body authorized to require the production of information; a civil or an authorized investigative demand; and statutes or regulations that require the production of information, including statutes or regulations that require such information if payment is sought under a government program providing public benefits.</w:t>
      </w:r>
    </w:p>
    <w:p w14:paraId="73772835" w14:textId="77777777" w:rsidR="00D5426A" w:rsidRPr="00027122" w:rsidRDefault="00D5426A" w:rsidP="00D5426A">
      <w:pPr>
        <w:rPr>
          <w:rFonts w:cs="Arial"/>
          <w:sz w:val="22"/>
          <w:szCs w:val="22"/>
        </w:rPr>
      </w:pPr>
    </w:p>
    <w:p w14:paraId="3D4E6620" w14:textId="77777777" w:rsidR="00D5426A" w:rsidRDefault="00D5426A" w:rsidP="00D5426A">
      <w:pPr>
        <w:autoSpaceDE w:val="0"/>
        <w:jc w:val="center"/>
        <w:rPr>
          <w:rFonts w:cs="Arial"/>
          <w:sz w:val="22"/>
          <w:szCs w:val="22"/>
          <w:u w:val="single"/>
        </w:rPr>
      </w:pPr>
      <w:r>
        <w:rPr>
          <w:rFonts w:cs="Arial"/>
          <w:sz w:val="22"/>
          <w:szCs w:val="22"/>
          <w:u w:val="single"/>
        </w:rPr>
        <w:br w:type="page"/>
      </w:r>
    </w:p>
    <w:p w14:paraId="03B0B09F"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Research</w:t>
      </w:r>
      <w:r>
        <w:rPr>
          <w:rFonts w:ascii="ZWAdobeF" w:hAnsi="ZWAdobeF" w:cs="ZWAdobeF"/>
          <w:sz w:val="2"/>
          <w:szCs w:val="2"/>
        </w:rPr>
        <w:t>U</w:t>
      </w:r>
      <w:r w:rsidRPr="00027122">
        <w:rPr>
          <w:rFonts w:cs="Arial"/>
          <w:sz w:val="22"/>
          <w:szCs w:val="22"/>
        </w:rPr>
        <w:t xml:space="preserve"> means a systematic investigation designed primarily to develop or contribute to general knowledge, including public health, medical, social, demographic and historical research.</w:t>
      </w:r>
    </w:p>
    <w:p w14:paraId="2C7472D1" w14:textId="77777777" w:rsidR="00D5426A" w:rsidRPr="00027122" w:rsidRDefault="00D5426A" w:rsidP="00D5426A">
      <w:pPr>
        <w:rPr>
          <w:rFonts w:cs="Arial"/>
          <w:sz w:val="22"/>
          <w:szCs w:val="22"/>
        </w:rPr>
      </w:pPr>
    </w:p>
    <w:p w14:paraId="0A659877" w14:textId="77777777" w:rsidR="00D5426A" w:rsidRPr="00027122" w:rsidRDefault="00D5426A" w:rsidP="00D5426A">
      <w:pPr>
        <w:autoSpaceDE w:val="0"/>
        <w:rPr>
          <w:rFonts w:cs="Arial"/>
          <w:sz w:val="22"/>
          <w:szCs w:val="22"/>
        </w:rPr>
      </w:pPr>
      <w:smartTag w:uri="urn:schemas-microsoft-com:office:smarttags" w:element="place">
        <w:smartTag w:uri="urn:schemas-microsoft-com:office:smarttags" w:element="PlaceName">
          <w:r>
            <w:rPr>
              <w:rFonts w:ascii="ZWAdobeF" w:hAnsi="ZWAdobeF" w:cs="ZWAdobeF"/>
              <w:sz w:val="2"/>
              <w:szCs w:val="2"/>
            </w:rPr>
            <w:t>U</w:t>
          </w:r>
          <w:r w:rsidRPr="00027122">
            <w:rPr>
              <w:rFonts w:cs="Arial"/>
              <w:sz w:val="22"/>
              <w:szCs w:val="22"/>
              <w:u w:val="single"/>
            </w:rPr>
            <w:t>Safe</w:t>
          </w:r>
        </w:smartTag>
        <w:r w:rsidRPr="00027122">
          <w:rPr>
            <w:rFonts w:cs="Arial"/>
            <w:sz w:val="22"/>
            <w:szCs w:val="22"/>
            <w:u w:val="single"/>
          </w:rPr>
          <w:t xml:space="preserve"> </w:t>
        </w:r>
        <w:smartTag w:uri="urn:schemas-microsoft-com:office:smarttags" w:element="PlaceType">
          <w:r w:rsidRPr="00027122">
            <w:rPr>
              <w:rFonts w:cs="Arial"/>
              <w:sz w:val="22"/>
              <w:szCs w:val="22"/>
              <w:u w:val="single"/>
            </w:rPr>
            <w:t>Harbor</w:t>
          </w:r>
        </w:smartTag>
      </w:smartTag>
      <w:r w:rsidRPr="00027122">
        <w:rPr>
          <w:rFonts w:cs="Arial"/>
          <w:sz w:val="22"/>
          <w:szCs w:val="22"/>
          <w:u w:val="single"/>
        </w:rPr>
        <w:t xml:space="preserve"> Method</w:t>
      </w:r>
      <w:r>
        <w:rPr>
          <w:rFonts w:ascii="ZWAdobeF" w:hAnsi="ZWAdobeF" w:cs="ZWAdobeF"/>
          <w:sz w:val="2"/>
          <w:szCs w:val="2"/>
        </w:rPr>
        <w:t>U</w:t>
      </w:r>
      <w:r w:rsidRPr="00027122">
        <w:rPr>
          <w:rFonts w:cs="Arial"/>
          <w:sz w:val="22"/>
          <w:szCs w:val="22"/>
        </w:rPr>
        <w:t xml:space="preserve"> means, as defined under the HIPAA Privacy Regulation and Procedure 7, that data are deemed to be de-identified when all specified identifiers are removed and the resulting data could not lead to the identity of any individual.</w:t>
      </w:r>
    </w:p>
    <w:p w14:paraId="7696CD37" w14:textId="77777777" w:rsidR="00D5426A" w:rsidRPr="00027122" w:rsidRDefault="00D5426A" w:rsidP="00D5426A">
      <w:pPr>
        <w:rPr>
          <w:rFonts w:cs="Arial"/>
          <w:sz w:val="22"/>
          <w:szCs w:val="22"/>
        </w:rPr>
      </w:pPr>
    </w:p>
    <w:p w14:paraId="124BBBD5"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 xml:space="preserve">Secure File and Email Delivery System (SFED) </w:t>
      </w:r>
      <w:r>
        <w:rPr>
          <w:rFonts w:ascii="ZWAdobeF" w:hAnsi="ZWAdobeF" w:cs="ZWAdobeF"/>
          <w:sz w:val="2"/>
          <w:szCs w:val="2"/>
        </w:rPr>
        <w:t>U</w:t>
      </w:r>
      <w:r w:rsidRPr="00027122">
        <w:rPr>
          <w:rFonts w:cs="Arial"/>
          <w:sz w:val="22"/>
          <w:szCs w:val="22"/>
        </w:rPr>
        <w:t>means a system used by Commonwealth governmental agencies to ensure the security of electronic transmission of Confidential Information.  The SFED system uses encryption to protect data during transmission.</w:t>
      </w:r>
    </w:p>
    <w:p w14:paraId="7E718FCD" w14:textId="77777777" w:rsidR="00D5426A" w:rsidRPr="00027122" w:rsidRDefault="00D5426A" w:rsidP="00D5426A">
      <w:pPr>
        <w:rPr>
          <w:rFonts w:cs="Arial"/>
          <w:sz w:val="22"/>
          <w:szCs w:val="22"/>
        </w:rPr>
      </w:pPr>
    </w:p>
    <w:p w14:paraId="65A698DE"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Security</w:t>
      </w:r>
      <w:r>
        <w:rPr>
          <w:rFonts w:ascii="ZWAdobeF" w:hAnsi="ZWAdobeF" w:cs="ZWAdobeF"/>
          <w:sz w:val="2"/>
          <w:szCs w:val="2"/>
        </w:rPr>
        <w:t>U</w:t>
      </w:r>
      <w:r w:rsidRPr="00027122">
        <w:rPr>
          <w:rFonts w:cs="Arial"/>
          <w:sz w:val="22"/>
          <w:szCs w:val="22"/>
        </w:rPr>
        <w:t xml:space="preserve"> means the manner of assessing the threats and risks posed to data and taking the appropriate steps to protect that data against unintended or unauthorized access, use, intrusion, or such other dangers as accidental loss or destruction.</w:t>
      </w:r>
    </w:p>
    <w:p w14:paraId="43435DFB" w14:textId="77777777" w:rsidR="00D5426A" w:rsidRPr="00027122" w:rsidRDefault="00D5426A" w:rsidP="00D5426A">
      <w:pPr>
        <w:rPr>
          <w:rFonts w:cs="Arial"/>
          <w:sz w:val="22"/>
          <w:szCs w:val="22"/>
        </w:rPr>
      </w:pPr>
    </w:p>
    <w:p w14:paraId="0A793E27"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Subpoena</w:t>
      </w:r>
      <w:r>
        <w:rPr>
          <w:rFonts w:ascii="ZWAdobeF" w:hAnsi="ZWAdobeF" w:cs="ZWAdobeF"/>
          <w:sz w:val="2"/>
          <w:szCs w:val="2"/>
        </w:rPr>
        <w:t>U</w:t>
      </w:r>
      <w:r w:rsidRPr="00027122">
        <w:rPr>
          <w:rFonts w:cs="Arial"/>
          <w:sz w:val="22"/>
          <w:szCs w:val="22"/>
        </w:rPr>
        <w:t xml:space="preserve"> means a formal request to compel MDPH to produce an individual to testify or to produce documents in relation to a proceeding in which MDPH may or may not be a party to the action.  A subpoena may be issued by an attorney or, in some instances, by the court.  It is often accompanied by a witness fee.  Failure to respond to a subpoena may result in legal sanctions.</w:t>
      </w:r>
    </w:p>
    <w:p w14:paraId="68521B15" w14:textId="77777777" w:rsidR="00D5426A" w:rsidRPr="00027122" w:rsidRDefault="00D5426A" w:rsidP="00D5426A">
      <w:pPr>
        <w:rPr>
          <w:rFonts w:cs="Arial"/>
          <w:sz w:val="22"/>
          <w:szCs w:val="22"/>
        </w:rPr>
      </w:pPr>
    </w:p>
    <w:p w14:paraId="30E5E852"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Surveillance</w:t>
      </w:r>
      <w:r>
        <w:rPr>
          <w:rFonts w:ascii="ZWAdobeF" w:hAnsi="ZWAdobeF" w:cs="ZWAdobeF"/>
          <w:sz w:val="2"/>
          <w:szCs w:val="2"/>
        </w:rPr>
        <w:t>U</w:t>
      </w:r>
      <w:r w:rsidRPr="00027122">
        <w:rPr>
          <w:rFonts w:cs="Arial"/>
          <w:sz w:val="22"/>
          <w:szCs w:val="22"/>
        </w:rPr>
        <w:t xml:space="preserve"> means the public health function of monitoring the occurrence and spread of disease and indications of such occurrence and spread.</w:t>
      </w:r>
    </w:p>
    <w:p w14:paraId="7F0E56A5" w14:textId="77777777" w:rsidR="00D5426A" w:rsidRPr="00027122" w:rsidRDefault="00D5426A" w:rsidP="00D5426A">
      <w:pPr>
        <w:rPr>
          <w:rFonts w:cs="Arial"/>
          <w:sz w:val="22"/>
          <w:szCs w:val="22"/>
        </w:rPr>
      </w:pPr>
    </w:p>
    <w:p w14:paraId="641EF55F"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Treatment, Payment and Health Care Operations</w:t>
      </w:r>
      <w:r>
        <w:rPr>
          <w:rFonts w:ascii="ZWAdobeF" w:hAnsi="ZWAdobeF" w:cs="ZWAdobeF"/>
          <w:sz w:val="2"/>
          <w:szCs w:val="2"/>
        </w:rPr>
        <w:t>U</w:t>
      </w:r>
      <w:r w:rsidRPr="00027122">
        <w:rPr>
          <w:rFonts w:cs="Arial"/>
          <w:sz w:val="22"/>
          <w:szCs w:val="22"/>
        </w:rPr>
        <w:t xml:space="preserve"> (TPO) has the same meaning as under the HIPAA Privacy Regulation and includes the following:</w:t>
      </w:r>
    </w:p>
    <w:p w14:paraId="12B81A0D" w14:textId="77777777" w:rsidR="00D5426A" w:rsidRPr="00027122" w:rsidRDefault="00D5426A">
      <w:pPr>
        <w:numPr>
          <w:ilvl w:val="0"/>
          <w:numId w:val="120"/>
        </w:numPr>
        <w:tabs>
          <w:tab w:val="clear" w:pos="720"/>
        </w:tabs>
        <w:autoSpaceDE w:val="0"/>
        <w:ind w:right="360"/>
        <w:jc w:val="left"/>
        <w:rPr>
          <w:rFonts w:cs="Arial"/>
          <w:sz w:val="22"/>
          <w:szCs w:val="22"/>
        </w:rPr>
      </w:pPr>
      <w:r>
        <w:rPr>
          <w:rFonts w:ascii="ZWAdobeF" w:hAnsi="ZWAdobeF" w:cs="ZWAdobeF"/>
          <w:sz w:val="2"/>
          <w:szCs w:val="2"/>
        </w:rPr>
        <w:t>U</w:t>
      </w:r>
      <w:r w:rsidRPr="00027122">
        <w:rPr>
          <w:rFonts w:cs="Arial"/>
          <w:sz w:val="22"/>
          <w:szCs w:val="22"/>
          <w:u w:val="single"/>
        </w:rPr>
        <w:t>Treatment</w:t>
      </w:r>
      <w:r>
        <w:rPr>
          <w:rFonts w:ascii="ZWAdobeF" w:hAnsi="ZWAdobeF" w:cs="ZWAdobeF"/>
          <w:sz w:val="2"/>
          <w:szCs w:val="2"/>
        </w:rPr>
        <w:t>U</w:t>
      </w:r>
      <w:r w:rsidRPr="00027122">
        <w:rPr>
          <w:rFonts w:cs="Arial"/>
          <w:sz w:val="22"/>
          <w:szCs w:val="22"/>
        </w:rPr>
        <w:t xml:space="preserve"> means the provision, coordination, or management of health care and related services, consultation between providers relating to an individual, or referral of an individual to another provider for health care.</w:t>
      </w:r>
    </w:p>
    <w:p w14:paraId="3BCC24B6" w14:textId="77777777" w:rsidR="00D5426A" w:rsidRPr="00027122" w:rsidRDefault="00D5426A">
      <w:pPr>
        <w:numPr>
          <w:ilvl w:val="0"/>
          <w:numId w:val="120"/>
        </w:numPr>
        <w:tabs>
          <w:tab w:val="clear" w:pos="720"/>
        </w:tabs>
        <w:autoSpaceDE w:val="0"/>
        <w:ind w:right="360"/>
        <w:jc w:val="left"/>
        <w:rPr>
          <w:rFonts w:cs="Arial"/>
          <w:sz w:val="22"/>
          <w:szCs w:val="22"/>
        </w:rPr>
      </w:pPr>
      <w:r>
        <w:rPr>
          <w:rFonts w:ascii="ZWAdobeF" w:hAnsi="ZWAdobeF" w:cs="ZWAdobeF"/>
          <w:sz w:val="2"/>
          <w:szCs w:val="2"/>
        </w:rPr>
        <w:t>U</w:t>
      </w:r>
      <w:r w:rsidRPr="00027122">
        <w:rPr>
          <w:rFonts w:cs="Arial"/>
          <w:sz w:val="22"/>
          <w:szCs w:val="22"/>
          <w:u w:val="single"/>
        </w:rPr>
        <w:t>Payment</w:t>
      </w:r>
      <w:r>
        <w:rPr>
          <w:rFonts w:ascii="ZWAdobeF" w:hAnsi="ZWAdobeF" w:cs="ZWAdobeF"/>
          <w:sz w:val="2"/>
          <w:szCs w:val="2"/>
        </w:rPr>
        <w:t>U</w:t>
      </w:r>
      <w:r w:rsidRPr="00027122">
        <w:rPr>
          <w:rFonts w:cs="Arial"/>
          <w:sz w:val="22"/>
          <w:szCs w:val="22"/>
        </w:rPr>
        <w:t xml:space="preserve"> means activities undertaken to obtain or provide reimbursement for health care, including determinations of eligibility or coverage, billing, collections activities, medical necessity determinations and utilization review.</w:t>
      </w:r>
    </w:p>
    <w:p w14:paraId="21A9389B" w14:textId="77777777" w:rsidR="00D5426A" w:rsidRPr="00027122" w:rsidRDefault="00D5426A">
      <w:pPr>
        <w:numPr>
          <w:ilvl w:val="0"/>
          <w:numId w:val="120"/>
        </w:numPr>
        <w:tabs>
          <w:tab w:val="clear" w:pos="720"/>
        </w:tabs>
        <w:autoSpaceDE w:val="0"/>
        <w:ind w:right="360"/>
        <w:jc w:val="left"/>
        <w:rPr>
          <w:rFonts w:cs="Arial"/>
          <w:sz w:val="22"/>
          <w:szCs w:val="22"/>
        </w:rPr>
      </w:pPr>
      <w:r>
        <w:rPr>
          <w:rFonts w:ascii="ZWAdobeF" w:hAnsi="ZWAdobeF" w:cs="ZWAdobeF"/>
          <w:sz w:val="2"/>
          <w:szCs w:val="2"/>
        </w:rPr>
        <w:t>U</w:t>
      </w:r>
      <w:r w:rsidRPr="00027122">
        <w:rPr>
          <w:rFonts w:cs="Arial"/>
          <w:sz w:val="22"/>
          <w:szCs w:val="22"/>
          <w:u w:val="single"/>
        </w:rPr>
        <w:t>Health Care Operations</w:t>
      </w:r>
      <w:r>
        <w:rPr>
          <w:rFonts w:ascii="ZWAdobeF" w:hAnsi="ZWAdobeF" w:cs="ZWAdobeF"/>
          <w:sz w:val="2"/>
          <w:szCs w:val="2"/>
        </w:rPr>
        <w:t>U</w:t>
      </w:r>
      <w:r w:rsidRPr="00027122">
        <w:rPr>
          <w:rFonts w:cs="Arial"/>
          <w:sz w:val="22"/>
          <w:szCs w:val="22"/>
        </w:rPr>
        <w:t xml:space="preserve"> includes functions such as quality assessment and improvement activities, reviewing competence or qualifications of health care professionals, conducting or arranging for medical review, legal services and auditing functions, business planning and development, and general business and administrative activities.</w:t>
      </w:r>
    </w:p>
    <w:p w14:paraId="73ED47A8" w14:textId="77777777" w:rsidR="00D5426A" w:rsidRPr="00027122" w:rsidRDefault="00D5426A" w:rsidP="00D5426A">
      <w:pPr>
        <w:rPr>
          <w:rFonts w:cs="Arial"/>
          <w:sz w:val="22"/>
          <w:szCs w:val="22"/>
        </w:rPr>
      </w:pPr>
    </w:p>
    <w:p w14:paraId="70E2DE75" w14:textId="77777777" w:rsidR="00D5426A" w:rsidRPr="00027122"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Use</w:t>
      </w:r>
      <w:r>
        <w:rPr>
          <w:rFonts w:ascii="ZWAdobeF" w:hAnsi="ZWAdobeF" w:cs="ZWAdobeF"/>
          <w:sz w:val="2"/>
          <w:szCs w:val="2"/>
        </w:rPr>
        <w:t>U</w:t>
      </w:r>
      <w:r w:rsidRPr="00027122">
        <w:rPr>
          <w:rFonts w:cs="Arial"/>
          <w:sz w:val="22"/>
          <w:szCs w:val="22"/>
        </w:rPr>
        <w:t xml:space="preserve"> has the same meaning as under the HIPAA Privacy Regulation, and means, with respect to individually identifiable health information, the sharing, employment, application, utilization, examination, or analysis of such information among the non-covered components and within each covered component.</w:t>
      </w:r>
    </w:p>
    <w:p w14:paraId="4A7D1408" w14:textId="77777777" w:rsidR="00D5426A" w:rsidRPr="00027122" w:rsidRDefault="00D5426A" w:rsidP="00D5426A">
      <w:pPr>
        <w:rPr>
          <w:rFonts w:cs="Arial"/>
          <w:sz w:val="22"/>
          <w:szCs w:val="22"/>
        </w:rPr>
      </w:pPr>
    </w:p>
    <w:p w14:paraId="3B76558B" w14:textId="77777777" w:rsidR="00D5426A" w:rsidRDefault="00D5426A" w:rsidP="00D5426A">
      <w:pPr>
        <w:autoSpaceDE w:val="0"/>
        <w:rPr>
          <w:rFonts w:cs="Arial"/>
          <w:sz w:val="22"/>
          <w:szCs w:val="22"/>
        </w:rPr>
      </w:pPr>
      <w:r>
        <w:rPr>
          <w:rFonts w:ascii="ZWAdobeF" w:hAnsi="ZWAdobeF" w:cs="ZWAdobeF"/>
          <w:sz w:val="2"/>
          <w:szCs w:val="2"/>
        </w:rPr>
        <w:t>U</w:t>
      </w:r>
      <w:r w:rsidRPr="00027122">
        <w:rPr>
          <w:rFonts w:cs="Arial"/>
          <w:sz w:val="22"/>
          <w:szCs w:val="22"/>
          <w:u w:val="single"/>
        </w:rPr>
        <w:t>Workforce Members</w:t>
      </w:r>
      <w:r>
        <w:rPr>
          <w:rFonts w:ascii="ZWAdobeF" w:hAnsi="ZWAdobeF" w:cs="ZWAdobeF"/>
          <w:sz w:val="2"/>
          <w:szCs w:val="2"/>
        </w:rPr>
        <w:t>U</w:t>
      </w:r>
      <w:r w:rsidRPr="00027122">
        <w:rPr>
          <w:rFonts w:cs="Arial"/>
          <w:sz w:val="22"/>
          <w:szCs w:val="22"/>
        </w:rPr>
        <w:t xml:space="preserve"> means all employees, volunteers, interns, long-term temporary workers, trainees, and other persons whose conduct, in the performance of work for MDPH is under the direct control of MDPH, whether or not they are paid by MDPH.</w:t>
      </w:r>
    </w:p>
    <w:p w14:paraId="45BC78C8" w14:textId="77777777" w:rsidR="008C1728" w:rsidRPr="00027122" w:rsidRDefault="008C1728" w:rsidP="00D5426A">
      <w:pPr>
        <w:autoSpaceDE w:val="0"/>
        <w:rPr>
          <w:rFonts w:cs="Arial"/>
          <w:sz w:val="22"/>
          <w:szCs w:val="22"/>
        </w:rPr>
      </w:pPr>
    </w:p>
    <w:p w14:paraId="75598F9A" w14:textId="77777777" w:rsidR="00E87CC4" w:rsidRDefault="00E87CC4" w:rsidP="008028A4">
      <w:pPr>
        <w:pStyle w:val="H1ProcedureSection"/>
        <w:sectPr w:rsidR="00E87CC4" w:rsidSect="005A6035">
          <w:headerReference w:type="default" r:id="rId21"/>
          <w:footerReference w:type="default" r:id="rId22"/>
          <w:footnotePr>
            <w:numRestart w:val="eachSect"/>
          </w:footnotePr>
          <w:pgSz w:w="12240" w:h="15840" w:code="1"/>
          <w:pgMar w:top="1440" w:right="1440" w:bottom="1440" w:left="1800" w:header="720" w:footer="720" w:gutter="0"/>
          <w:pgNumType w:fmt="lowerRoman"/>
          <w:cols w:space="720"/>
          <w:docGrid w:linePitch="360"/>
        </w:sectPr>
      </w:pPr>
    </w:p>
    <w:p w14:paraId="368D01E1" w14:textId="77777777" w:rsidR="00E87CC4" w:rsidRDefault="00E87CC4" w:rsidP="00290433">
      <w:pPr>
        <w:pStyle w:val="H1ProcedureSection"/>
      </w:pPr>
      <w:bookmarkStart w:id="7" w:name="ProcedureNumber"/>
      <w:bookmarkStart w:id="8" w:name="_Toc338928140"/>
      <w:bookmarkStart w:id="9" w:name="_Toc209771752"/>
      <w:r>
        <w:t>Procedure 1</w:t>
      </w:r>
      <w:bookmarkEnd w:id="7"/>
      <w:r>
        <w:tab/>
        <w:t>Personnel Requirements</w:t>
      </w:r>
      <w:bookmarkEnd w:id="8"/>
      <w:bookmarkEnd w:id="9"/>
    </w:p>
    <w:p w14:paraId="5A8DE762" w14:textId="77777777" w:rsidR="00E87CC4" w:rsidRPr="00D362EC" w:rsidRDefault="00E87CC4" w:rsidP="00290433">
      <w:pPr>
        <w:pStyle w:val="Version"/>
      </w:pPr>
      <w:r w:rsidRPr="00D362EC">
        <w:t xml:space="preserve">Version:  </w:t>
      </w:r>
      <w:r w:rsidRPr="00E52309">
        <w:t>4</w:t>
      </w:r>
      <w:r w:rsidRPr="00D362EC">
        <w:tab/>
        <w:t xml:space="preserve">Effective Date:  </w:t>
      </w:r>
      <w:r w:rsidRPr="00E72BF4">
        <w:t xml:space="preserve">October </w:t>
      </w:r>
      <w:r>
        <w:t>1</w:t>
      </w:r>
      <w:r w:rsidRPr="00E72BF4">
        <w:t>, 2025</w:t>
      </w:r>
    </w:p>
    <w:p w14:paraId="10F281DB" w14:textId="77777777" w:rsidR="00E87CC4" w:rsidRPr="004C5E42" w:rsidRDefault="00E87CC4" w:rsidP="00290433">
      <w:pPr>
        <w:pStyle w:val="H2Paragraph"/>
      </w:pPr>
      <w:bookmarkStart w:id="10" w:name="_Toc338928141"/>
      <w:bookmarkStart w:id="11" w:name="_Toc209771753"/>
      <w:r w:rsidRPr="004C5E42">
        <w:t>Purpose and Scope</w:t>
      </w:r>
      <w:bookmarkEnd w:id="10"/>
      <w:bookmarkEnd w:id="11"/>
    </w:p>
    <w:p w14:paraId="426C6D93" w14:textId="77777777" w:rsidR="00E87CC4" w:rsidRPr="00D362EC" w:rsidRDefault="00E87CC4" w:rsidP="00290433">
      <w:pPr>
        <w:pStyle w:val="H3Text"/>
      </w:pPr>
      <w:r>
        <w:t>This procedure describes personnel designations required by the Department and its Administrative Units, and privacy training requirements for Workforce Members.</w:t>
      </w:r>
    </w:p>
    <w:p w14:paraId="54B47106" w14:textId="77777777" w:rsidR="00E87CC4" w:rsidRPr="00D362EC" w:rsidRDefault="00E87CC4" w:rsidP="00290433">
      <w:pPr>
        <w:pStyle w:val="H2Paragraph"/>
      </w:pPr>
      <w:bookmarkStart w:id="12" w:name="_Toc338928142"/>
      <w:bookmarkStart w:id="13" w:name="_Toc209771754"/>
      <w:r w:rsidRPr="00D362EC">
        <w:t>Personnel Designations</w:t>
      </w:r>
      <w:bookmarkEnd w:id="12"/>
      <w:bookmarkEnd w:id="13"/>
    </w:p>
    <w:p w14:paraId="2960DE1B" w14:textId="77777777" w:rsidR="00E87CC4" w:rsidRPr="00D362EC" w:rsidRDefault="00E87CC4" w:rsidP="00290433">
      <w:pPr>
        <w:pStyle w:val="H3Text"/>
      </w:pPr>
      <w:r w:rsidRPr="00D362EC">
        <w:t>The Department must designate and document the following:</w:t>
      </w:r>
    </w:p>
    <w:p w14:paraId="04356D02" w14:textId="77777777" w:rsidR="00E87CC4" w:rsidRPr="00171151" w:rsidRDefault="00E87CC4" w:rsidP="00290433">
      <w:pPr>
        <w:pStyle w:val="H3SubParagraph"/>
      </w:pPr>
      <w:r w:rsidRPr="00171151">
        <w:t>Privacy Officer</w:t>
      </w:r>
    </w:p>
    <w:p w14:paraId="10A385E0" w14:textId="77777777" w:rsidR="00E87CC4" w:rsidRPr="00D362EC" w:rsidRDefault="00E87CC4" w:rsidP="00290433">
      <w:pPr>
        <w:pStyle w:val="H3Text"/>
      </w:pPr>
      <w:r w:rsidRPr="00D362EC">
        <w:t xml:space="preserve">The Department must designate an individual to be the </w:t>
      </w:r>
      <w:r>
        <w:t>P</w:t>
      </w:r>
      <w:r w:rsidRPr="00D362EC">
        <w:t xml:space="preserve">rivacy </w:t>
      </w:r>
      <w:r>
        <w:t>O</w:t>
      </w:r>
      <w:r w:rsidRPr="00D362EC">
        <w:t>fficer for the Department.</w:t>
      </w:r>
    </w:p>
    <w:p w14:paraId="6C5392ED" w14:textId="77777777" w:rsidR="00E87CC4" w:rsidRDefault="00E87CC4" w:rsidP="00C22611">
      <w:pPr>
        <w:pStyle w:val="H3Text"/>
      </w:pPr>
      <w:r>
        <w:t>The Privacy Officer is responsible for the maintenance, implementation, and enforcement of these Confidentiality Policy and Procedures.</w:t>
      </w:r>
    </w:p>
    <w:p w14:paraId="5D3882E9" w14:textId="77777777" w:rsidR="00E87CC4" w:rsidRDefault="00E87CC4" w:rsidP="00DD05BE">
      <w:pPr>
        <w:pStyle w:val="H3SubParagraph"/>
      </w:pPr>
      <w:r>
        <w:t>HIPAA Liaisons</w:t>
      </w:r>
    </w:p>
    <w:p w14:paraId="5C030560" w14:textId="77777777" w:rsidR="00E87CC4" w:rsidRPr="00D362EC" w:rsidRDefault="00E87CC4" w:rsidP="00C22611">
      <w:pPr>
        <w:pStyle w:val="H3Text"/>
      </w:pPr>
      <w:r>
        <w:t xml:space="preserve">Each DPH Public Health Hospital shall designate a </w:t>
      </w:r>
      <w:r w:rsidRPr="004B2011">
        <w:t>Health Insurance Portability and Accountability Act (HIPAA)</w:t>
      </w:r>
      <w:r>
        <w:t xml:space="preserve"> Liaison. The HIPAA Liaison will work with the Privacy Officer to help the Hospital meet and monitor compliance with the requirements of these Confidentiality Policy and Procedures. This shall include performing investigation of privacy incidents, with the support of the Privacy Officer. Each HIPAA liaison shall also be responsible for assisting their Hospital in meeting requirements defined in these Confidentiality Policy and Procedures, being a point of contact for the Hospital on matters of privacy, and being a point of contact for ad-hoc privacy-related projects led by the Privacy and Data Compliance Office (PDCO) (e.g., audit support, responses to EOHHS/EOTSS surveys, policy or governance feedback, etc.).</w:t>
      </w:r>
    </w:p>
    <w:p w14:paraId="7AF220D1" w14:textId="77777777" w:rsidR="00E87CC4" w:rsidRPr="00171151" w:rsidRDefault="00E87CC4" w:rsidP="00290433">
      <w:pPr>
        <w:pStyle w:val="H3SubParagraph"/>
        <w:autoSpaceDE w:val="0"/>
      </w:pPr>
      <w:r w:rsidRPr="00171151">
        <w:t>Privacy Liaisons</w:t>
      </w:r>
    </w:p>
    <w:p w14:paraId="35E1F62D" w14:textId="77777777" w:rsidR="00E87CC4" w:rsidRPr="00D362EC" w:rsidRDefault="00E87CC4" w:rsidP="00290433">
      <w:pPr>
        <w:pStyle w:val="H3Text"/>
      </w:pPr>
      <w:r>
        <w:t>Each Administrative Unit that does not have a HIPAA Liaison shall designate at least one person to serve as a Privacy Liaison to collaborate with PDCO. The Privacy Liaison(s) will work with the Privacy Officer to help their Administrative Unit meet and monitor compliance with the requirements of these Confidentiality Policy and Procedures. This shall include meeting any requirement(s) defined in these Confidentiality Policy and Procedures, maintaining any Administrative Unit-specific protocols required by these Procedures, being a point of contact for their Administrative Unit on matters of privacy, and being a point of contact for ad-hoc privacy-related projects led by PDCO (e.g., audit support, responses to EOHHS/EOTSS surveys, policy or governance feedback, etc.).</w:t>
      </w:r>
    </w:p>
    <w:p w14:paraId="38ADE6C1" w14:textId="77777777" w:rsidR="00E87CC4" w:rsidRPr="00171151" w:rsidRDefault="00E87CC4" w:rsidP="00290433">
      <w:pPr>
        <w:pStyle w:val="H3SubParagraph"/>
        <w:autoSpaceDE w:val="0"/>
      </w:pPr>
      <w:r w:rsidRPr="00171151">
        <w:t>Security Officer</w:t>
      </w:r>
    </w:p>
    <w:p w14:paraId="027A3BC1" w14:textId="77777777" w:rsidR="00E87CC4" w:rsidRPr="008367B9" w:rsidRDefault="00E87CC4" w:rsidP="002809ED">
      <w:pPr>
        <w:pStyle w:val="H3Text"/>
      </w:pPr>
      <w:r>
        <w:t>The Department must designate an individual to be the Security Officer for the Department. The Security Officer is responsible for liaising with EOTSS and EOHHS IT to ensure that the Department has a Security Policy and Procedures that are consistent with the HIPAA Security Rule.</w:t>
      </w:r>
    </w:p>
    <w:p w14:paraId="26531316" w14:textId="77777777" w:rsidR="00E87CC4" w:rsidRPr="00D362EC" w:rsidRDefault="00E87CC4" w:rsidP="00290433">
      <w:pPr>
        <w:pStyle w:val="H2Paragraph"/>
      </w:pPr>
      <w:bookmarkStart w:id="14" w:name="_Toc338928143"/>
      <w:bookmarkStart w:id="15" w:name="_Toc209771755"/>
      <w:r w:rsidRPr="00D362EC">
        <w:t>Privacy and Confidentiality Training Requirements</w:t>
      </w:r>
      <w:bookmarkEnd w:id="14"/>
      <w:bookmarkEnd w:id="15"/>
    </w:p>
    <w:p w14:paraId="5C1000C5" w14:textId="77777777" w:rsidR="00E87CC4" w:rsidRPr="00D362EC" w:rsidRDefault="00E87CC4" w:rsidP="00290433">
      <w:pPr>
        <w:pStyle w:val="H3Text"/>
      </w:pPr>
      <w:r>
        <w:t>The Department must meet the following obligations related to training Workforce Members:</w:t>
      </w:r>
    </w:p>
    <w:p w14:paraId="6CFA64DF" w14:textId="77777777" w:rsidR="00E87CC4" w:rsidRPr="00D362EC" w:rsidRDefault="00E87CC4" w:rsidP="00E60536">
      <w:pPr>
        <w:pStyle w:val="H3SubParagraph"/>
      </w:pPr>
      <w:r w:rsidRPr="00D362EC">
        <w:t>Thirty-day rule</w:t>
      </w:r>
    </w:p>
    <w:p w14:paraId="5CFCC103" w14:textId="77777777" w:rsidR="00E87CC4" w:rsidRPr="00D362EC" w:rsidRDefault="00E87CC4" w:rsidP="00A03A72">
      <w:pPr>
        <w:pStyle w:val="H3Text"/>
      </w:pPr>
      <w:r>
        <w:t xml:space="preserve">All Workforce Members who will work at the Department for one month or longer, or who will work at the Department for less than one month but who will have access to Confidential Information, must </w:t>
      </w:r>
      <w:r w:rsidRPr="00E0513C">
        <w:t>complete an online training</w:t>
      </w:r>
      <w:r>
        <w:t xml:space="preserve"> on these Confidentiality Policy and Procedures within the first month of their employment. Workforce Members should not have any access to Confidential Information before completing this training.</w:t>
      </w:r>
    </w:p>
    <w:p w14:paraId="67856F9F" w14:textId="77777777" w:rsidR="00E87CC4" w:rsidRPr="00D362EC" w:rsidRDefault="00E87CC4" w:rsidP="00A03A72">
      <w:pPr>
        <w:pStyle w:val="H3Text"/>
      </w:pPr>
      <w:r>
        <w:t>Workforce Members who will work at the Department for less than one month and will not have access to Confidential Information must review and acknowledge a summary of the Department’s privacy and confidentiality practices as maintained by PDCO.</w:t>
      </w:r>
    </w:p>
    <w:p w14:paraId="0518174F" w14:textId="77777777" w:rsidR="00E87CC4" w:rsidRPr="00D362EC" w:rsidRDefault="00E87CC4" w:rsidP="00AC61AF">
      <w:pPr>
        <w:pStyle w:val="H3SubParagraph"/>
      </w:pPr>
      <w:r>
        <w:t>Additional Training</w:t>
      </w:r>
    </w:p>
    <w:p w14:paraId="0842DE6F" w14:textId="77777777" w:rsidR="00E87CC4" w:rsidRDefault="00E87CC4" w:rsidP="00A03A72">
      <w:pPr>
        <w:pStyle w:val="H3Text"/>
      </w:pPr>
      <w:r>
        <w:t>Workforce Members</w:t>
      </w:r>
      <w:r w:rsidRPr="00D362EC">
        <w:t xml:space="preserve"> who routinely have access to </w:t>
      </w:r>
      <w:r>
        <w:t>C</w:t>
      </w:r>
      <w:r w:rsidRPr="00D362EC">
        <w:t xml:space="preserve">onfidential </w:t>
      </w:r>
      <w:r>
        <w:t>I</w:t>
      </w:r>
      <w:r w:rsidRPr="00D362EC">
        <w:t xml:space="preserve">nformation </w:t>
      </w:r>
      <w:r>
        <w:t>should</w:t>
      </w:r>
      <w:r w:rsidRPr="00D362EC">
        <w:t xml:space="preserve"> receive additional </w:t>
      </w:r>
      <w:r>
        <w:t xml:space="preserve">privacy and </w:t>
      </w:r>
      <w:r w:rsidRPr="00D362EC">
        <w:t>confidentiality training as it relates to specific job functions.</w:t>
      </w:r>
    </w:p>
    <w:p w14:paraId="085C0CAA" w14:textId="77777777" w:rsidR="00E87CC4" w:rsidRPr="00D362EC" w:rsidRDefault="00E87CC4" w:rsidP="00D04327">
      <w:pPr>
        <w:pStyle w:val="H3SubParagraph"/>
      </w:pPr>
      <w:r>
        <w:t>Applicability</w:t>
      </w:r>
    </w:p>
    <w:p w14:paraId="4E5E7C0C" w14:textId="77777777" w:rsidR="00E87CC4" w:rsidRPr="00D362EC" w:rsidRDefault="00E87CC4" w:rsidP="00A03A72">
      <w:pPr>
        <w:pStyle w:val="H3Text"/>
      </w:pPr>
      <w:r>
        <w:t>These requirements apply to all employees, volunteers, interns, long-term temporary workers, trainees, and other persons whose conduct is under the direct control of the Department</w:t>
      </w:r>
      <w:r w:rsidRPr="00E0513C">
        <w:t>, whether or not they are paid by the Department</w:t>
      </w:r>
      <w:r>
        <w:rPr>
          <w:rStyle w:val="FootnoteReference"/>
        </w:rPr>
        <w:footnoteReference w:id="2"/>
      </w:r>
      <w:r>
        <w:t>. These requirements apply despite any previous training that the workforce member may have received related to HIPAA, privacy, or confidentiality.</w:t>
      </w:r>
    </w:p>
    <w:p w14:paraId="19C9AB3C" w14:textId="77777777" w:rsidR="00E87CC4" w:rsidRDefault="00E87CC4" w:rsidP="00A03A72">
      <w:pPr>
        <w:pStyle w:val="H3Text"/>
      </w:pPr>
      <w:r>
        <w:t>These requirements do not apply to Workforce Members from the Bureau of Public Health Hospitals (including the State Office of Pharmacy Services (SOPS)), who must complete Hospital- or SOPS- mandated trainings.</w:t>
      </w:r>
    </w:p>
    <w:p w14:paraId="68BACC39" w14:textId="77777777" w:rsidR="00E87CC4" w:rsidRPr="00D362EC" w:rsidRDefault="00E87CC4" w:rsidP="00A03A72">
      <w:pPr>
        <w:pStyle w:val="H3Text"/>
      </w:pPr>
      <w:r>
        <w:t>Workforce Members who work within the Covered Components of the Department outside of the Bureau of Public Health Hospitals must complete additional HIPAA-specific training as directed by PDCO.</w:t>
      </w:r>
    </w:p>
    <w:p w14:paraId="6139A615" w14:textId="77777777" w:rsidR="00E87CC4" w:rsidRPr="00E60536" w:rsidRDefault="00E87CC4" w:rsidP="00E60536">
      <w:pPr>
        <w:pStyle w:val="H3SubParagraph"/>
        <w:rPr>
          <w:b w:val="0"/>
        </w:rPr>
      </w:pPr>
      <w:r w:rsidRPr="00E60536">
        <w:t xml:space="preserve">Training </w:t>
      </w:r>
      <w:r>
        <w:t>Records</w:t>
      </w:r>
    </w:p>
    <w:p w14:paraId="7BA56BBC" w14:textId="77777777" w:rsidR="00E87CC4" w:rsidRPr="00D362EC" w:rsidRDefault="00E87CC4" w:rsidP="00A03A72">
      <w:pPr>
        <w:pStyle w:val="H3Text"/>
      </w:pPr>
      <w:r w:rsidRPr="00D362EC">
        <w:t xml:space="preserve">The Department must document and maintain records of the successful completion of privacy and confidentiality training by </w:t>
      </w:r>
      <w:r>
        <w:t>Workforce Members</w:t>
      </w:r>
      <w:r w:rsidRPr="00D362EC">
        <w:t>.</w:t>
      </w:r>
    </w:p>
    <w:p w14:paraId="14231205" w14:textId="77777777" w:rsidR="00E87CC4" w:rsidRDefault="00E87CC4" w:rsidP="00290433"/>
    <w:p w14:paraId="20771413" w14:textId="77777777" w:rsidR="00E87CC4" w:rsidRDefault="00E87CC4" w:rsidP="00290433"/>
    <w:p w14:paraId="1349D09B" w14:textId="77777777" w:rsidR="00E87CC4" w:rsidRPr="00171151" w:rsidRDefault="00E87CC4" w:rsidP="00290433"/>
    <w:p w14:paraId="11D48A86" w14:textId="77777777" w:rsidR="00E87CC4" w:rsidRPr="004566B4" w:rsidRDefault="00E87CC4" w:rsidP="00290433">
      <w:pPr>
        <w:autoSpaceDE w:val="0"/>
        <w:rPr>
          <w:u w:val="single"/>
        </w:rPr>
      </w:pPr>
      <w:r w:rsidRPr="004566B4">
        <w:rPr>
          <w:u w:val="single"/>
        </w:rPr>
        <w:t>Authority:</w:t>
      </w:r>
    </w:p>
    <w:p w14:paraId="21D303B5" w14:textId="77777777" w:rsidR="00E87CC4" w:rsidRPr="00171151" w:rsidRDefault="00E87CC4" w:rsidP="00290433">
      <w:pPr>
        <w:pStyle w:val="H3Text"/>
      </w:pPr>
      <w:r w:rsidRPr="00171151">
        <w:t>M.G.L. c. 66A, §§ 2(a) and (b)</w:t>
      </w:r>
    </w:p>
    <w:p w14:paraId="3742061B" w14:textId="77777777" w:rsidR="00E87CC4" w:rsidRDefault="00E87CC4" w:rsidP="004A0E98">
      <w:pPr>
        <w:pStyle w:val="H3Text"/>
      </w:pPr>
      <w:r w:rsidRPr="00171151">
        <w:t>45 C.F.R. § 164.530</w:t>
      </w:r>
    </w:p>
    <w:p w14:paraId="1E5EB088" w14:textId="77777777" w:rsidR="00E87CC4" w:rsidRPr="00E60536" w:rsidRDefault="00E87CC4" w:rsidP="00E87CC4">
      <w:pPr>
        <w:pStyle w:val="H3Text"/>
        <w:ind w:left="0"/>
      </w:pPr>
    </w:p>
    <w:p w14:paraId="0390AEBA" w14:textId="77777777" w:rsidR="00E87CC4" w:rsidRDefault="00E87CC4" w:rsidP="00E87CC4">
      <w:pPr>
        <w:pStyle w:val="H1ProcedureSection"/>
        <w:ind w:left="0" w:firstLine="0"/>
        <w:sectPr w:rsidR="00E87CC4" w:rsidSect="00252193">
          <w:headerReference w:type="default" r:id="rId23"/>
          <w:footerReference w:type="default" r:id="rId24"/>
          <w:footnotePr>
            <w:numRestart w:val="eachSect"/>
          </w:footnotePr>
          <w:pgSz w:w="12240" w:h="15840" w:code="1"/>
          <w:pgMar w:top="1440" w:right="1440" w:bottom="990" w:left="1800" w:header="720" w:footer="720" w:gutter="0"/>
          <w:pgNumType w:start="1"/>
          <w:cols w:space="720"/>
          <w:docGrid w:linePitch="360"/>
        </w:sectPr>
      </w:pPr>
    </w:p>
    <w:p w14:paraId="2B9873D8" w14:textId="77777777" w:rsidR="00DF7FA2" w:rsidRDefault="008028A4" w:rsidP="008028A4">
      <w:pPr>
        <w:pStyle w:val="H1ProcedureSection"/>
      </w:pPr>
      <w:bookmarkStart w:id="16" w:name="_Toc209771756"/>
      <w:r>
        <w:t>Procedure 2</w:t>
      </w:r>
      <w:r>
        <w:tab/>
      </w:r>
      <w:r w:rsidR="00DF7FA2">
        <w:t>Breaches of Confidential Information</w:t>
      </w:r>
      <w:bookmarkEnd w:id="16"/>
    </w:p>
    <w:p w14:paraId="12A0F379" w14:textId="77777777" w:rsidR="00DF7FA2" w:rsidRPr="007F4964" w:rsidRDefault="00DF7FA2" w:rsidP="00874517">
      <w:pPr>
        <w:pStyle w:val="Version"/>
      </w:pPr>
      <w:r w:rsidRPr="007F4964">
        <w:t>Version</w:t>
      </w:r>
      <w:r>
        <w:t>:  6</w:t>
      </w:r>
      <w:r w:rsidRPr="007F4964">
        <w:tab/>
        <w:t xml:space="preserve">Effective Date:  </w:t>
      </w:r>
      <w:r>
        <w:t>June 1, 2009</w:t>
      </w:r>
    </w:p>
    <w:p w14:paraId="43A91FCE" w14:textId="77777777" w:rsidR="00DF7FA2" w:rsidRDefault="00DF7FA2">
      <w:pPr>
        <w:pStyle w:val="H2Paragraph"/>
        <w:numPr>
          <w:ilvl w:val="0"/>
          <w:numId w:val="122"/>
        </w:numPr>
      </w:pPr>
      <w:bookmarkStart w:id="17" w:name="_Toc209771757"/>
      <w:r>
        <w:t>Purpose &amp; definitions</w:t>
      </w:r>
      <w:bookmarkEnd w:id="17"/>
    </w:p>
    <w:p w14:paraId="4A35FA2D" w14:textId="77777777" w:rsidR="00DF7FA2" w:rsidRPr="002C3E27" w:rsidRDefault="00DF7FA2" w:rsidP="00874517">
      <w:pPr>
        <w:pStyle w:val="H3SubParagraph"/>
      </w:pPr>
      <w:r w:rsidRPr="002C3E27">
        <w:t>Introduction</w:t>
      </w:r>
    </w:p>
    <w:p w14:paraId="13CB701C" w14:textId="77777777" w:rsidR="00DF7FA2" w:rsidRDefault="00DF7FA2" w:rsidP="00874517">
      <w:pPr>
        <w:pStyle w:val="H3Text"/>
      </w:pPr>
      <w:r>
        <w:t>Federal and state laws require DPH to provide a process for individuals to lodge complaints regarding the handling of Confidential Information and to report possible violations of privacy laws and/or DPH Confidentiality Policies and Procedures.  This procedure establishes a process for the public and workforce members to register complaints regarding a possible Breach of Confidentiality.</w:t>
      </w:r>
    </w:p>
    <w:p w14:paraId="7E989AE4" w14:textId="77777777" w:rsidR="00DF7FA2" w:rsidRPr="002C3E27" w:rsidRDefault="00DF7FA2" w:rsidP="00874517">
      <w:pPr>
        <w:pStyle w:val="H3SubParagraph"/>
      </w:pPr>
      <w:r w:rsidRPr="002C3E27">
        <w:t>Purpose</w:t>
      </w:r>
    </w:p>
    <w:p w14:paraId="3F7B09ED" w14:textId="77777777" w:rsidR="00DF7FA2" w:rsidRDefault="00DF7FA2" w:rsidP="00874517">
      <w:pPr>
        <w:pStyle w:val="H3Text"/>
      </w:pPr>
      <w:r>
        <w:t>This procedure:</w:t>
      </w:r>
    </w:p>
    <w:p w14:paraId="6E388E8E" w14:textId="77777777" w:rsidR="00DF7FA2" w:rsidRDefault="00DF7FA2" w:rsidP="00874517">
      <w:pPr>
        <w:pStyle w:val="H3Text"/>
      </w:pPr>
      <w:r>
        <w:t>Describes the reporting and investigation procedures for Breaches of Confidentiality;</w:t>
      </w:r>
    </w:p>
    <w:p w14:paraId="0AC1C60A" w14:textId="77777777" w:rsidR="00DF7FA2" w:rsidRDefault="00DF7FA2" w:rsidP="00874517">
      <w:pPr>
        <w:pStyle w:val="H3Text"/>
      </w:pPr>
      <w:r>
        <w:t>Describes the notification procedure for Breaches of Confidentiality to Affected Individuals;</w:t>
      </w:r>
    </w:p>
    <w:p w14:paraId="46D72933" w14:textId="77777777" w:rsidR="00DF7FA2" w:rsidRDefault="00DF7FA2" w:rsidP="00874517">
      <w:pPr>
        <w:pStyle w:val="H3Text"/>
      </w:pPr>
      <w:r>
        <w:t>Specifies the possible disciplinary actions and Sanctions that may result from violation of DPH Confidentiality Policy and Procedures, any applicable state of federal privacy law, or failure to cooperate in any disciplinary investigation or proceeding relating to violations of law.</w:t>
      </w:r>
    </w:p>
    <w:p w14:paraId="475472E0" w14:textId="77777777" w:rsidR="00DF7FA2" w:rsidRPr="002C3E27" w:rsidRDefault="00DF7FA2" w:rsidP="00874517">
      <w:pPr>
        <w:pStyle w:val="H3SubParagraph"/>
      </w:pPr>
      <w:r w:rsidRPr="002C3E27">
        <w:t>Scope</w:t>
      </w:r>
    </w:p>
    <w:p w14:paraId="0DC7E40E" w14:textId="77777777" w:rsidR="00DF7FA2" w:rsidRDefault="00DF7FA2" w:rsidP="00874517">
      <w:pPr>
        <w:pStyle w:val="H3Text"/>
      </w:pPr>
      <w:r>
        <w:t>This procedure applies to both covered and non-covered components of the DPH and to all DPH workforce members.</w:t>
      </w:r>
    </w:p>
    <w:p w14:paraId="4884970C" w14:textId="77777777" w:rsidR="00DF7FA2" w:rsidRPr="002C3E27" w:rsidRDefault="00DF7FA2" w:rsidP="00874517">
      <w:pPr>
        <w:pStyle w:val="H3SubParagraph"/>
      </w:pPr>
      <w:r w:rsidRPr="002C3E27">
        <w:t>Definitions</w:t>
      </w:r>
    </w:p>
    <w:p w14:paraId="21A37669" w14:textId="77777777" w:rsidR="00DF7FA2" w:rsidRDefault="00DF7FA2" w:rsidP="00DF7FA2">
      <w:pPr>
        <w:pStyle w:val="H4SubNumberedParagraph"/>
      </w:pPr>
      <w:r>
        <w:t>Affected Individual</w:t>
      </w:r>
    </w:p>
    <w:p w14:paraId="170265D3" w14:textId="77777777" w:rsidR="00DF7FA2" w:rsidRPr="00503550" w:rsidRDefault="00DF7FA2" w:rsidP="00874517">
      <w:pPr>
        <w:pStyle w:val="H4Text"/>
      </w:pPr>
      <w:r>
        <w:t>A person who’s Confidential Information has been disclosed in violation of DPH Confidentiality Policy and Procedures.</w:t>
      </w:r>
    </w:p>
    <w:p w14:paraId="520914A9" w14:textId="77777777" w:rsidR="00DF7FA2" w:rsidRDefault="00DF7FA2" w:rsidP="00DF7FA2">
      <w:pPr>
        <w:pStyle w:val="H4SubNumberedParagraph"/>
      </w:pPr>
      <w:r w:rsidRPr="00223C47">
        <w:t>Breach of Confidentiality</w:t>
      </w:r>
      <w:r>
        <w:t xml:space="preserve"> (Breach)</w:t>
      </w:r>
    </w:p>
    <w:p w14:paraId="416A7C66" w14:textId="77777777" w:rsidR="00DF7FA2" w:rsidRDefault="00DF7FA2" w:rsidP="00874517">
      <w:pPr>
        <w:pStyle w:val="H4Text"/>
      </w:pPr>
      <w:r>
        <w:t>The use of or disclosure of Confidential Information in violation of applicable DPH Confidentiality Policy and Procedures.</w:t>
      </w:r>
    </w:p>
    <w:p w14:paraId="2D332933" w14:textId="77777777" w:rsidR="00DF7FA2" w:rsidRDefault="00DF7FA2" w:rsidP="00DF7FA2">
      <w:pPr>
        <w:pStyle w:val="H4SubNumberedParagraph"/>
      </w:pPr>
      <w:r w:rsidRPr="008F5C69">
        <w:t>Confidential Information</w:t>
      </w:r>
    </w:p>
    <w:p w14:paraId="1EC062B2" w14:textId="77777777" w:rsidR="00DF7FA2" w:rsidRPr="008F5C69" w:rsidRDefault="00DF7FA2" w:rsidP="00874517">
      <w:pPr>
        <w:pStyle w:val="H4Text"/>
      </w:pPr>
      <w:r w:rsidRPr="008F5C69">
        <w:t>For the purposes of this policy, any individually identifiable information, including, but not limited to, medical and demographic information that:</w:t>
      </w:r>
    </w:p>
    <w:p w14:paraId="5596FFFC" w14:textId="77777777" w:rsidR="00DF7FA2" w:rsidRPr="00D624F3" w:rsidRDefault="00DF7FA2" w:rsidP="00874517">
      <w:pPr>
        <w:pStyle w:val="H4Text"/>
      </w:pPr>
      <w:r w:rsidRPr="00D624F3">
        <w:t>Reveals the identity of the subject or is readily identified with the data subject such as name, address, telephone number, social security number, identification number, or date of birth; or</w:t>
      </w:r>
    </w:p>
    <w:p w14:paraId="1CE73EAA" w14:textId="77777777" w:rsidR="00DF7FA2" w:rsidRDefault="00DF7FA2" w:rsidP="00874517">
      <w:pPr>
        <w:pStyle w:val="H4Text"/>
      </w:pPr>
      <w:r w:rsidRPr="00D624F3">
        <w:t xml:space="preserve">Provides a reasonable basis to believe that the information could be used, either alone or in combination with other information to identify a data subject; </w:t>
      </w:r>
      <w:r>
        <w:t>and</w:t>
      </w:r>
    </w:p>
    <w:p w14:paraId="6E5BCA9C" w14:textId="77777777" w:rsidR="00DF7FA2" w:rsidRDefault="00DF7FA2" w:rsidP="00874517">
      <w:pPr>
        <w:pStyle w:val="H4Text"/>
      </w:pPr>
      <w:r w:rsidRPr="00D624F3">
        <w:t>Includes any protected health information as defined by HIPAA</w:t>
      </w:r>
      <w:r>
        <w:t>,</w:t>
      </w:r>
      <w:r w:rsidRPr="00D624F3">
        <w:t xml:space="preserve"> any personal data as defined by FIPA</w:t>
      </w:r>
      <w:r>
        <w:t>, and any personal information as defined by Chapter 93H.</w:t>
      </w:r>
    </w:p>
    <w:p w14:paraId="5278AE1E" w14:textId="77777777" w:rsidR="00DF7FA2" w:rsidRPr="008800D7" w:rsidRDefault="00DF7FA2" w:rsidP="00DF7FA2">
      <w:pPr>
        <w:pStyle w:val="H4SubNumberedParagraph"/>
      </w:pPr>
      <w:r>
        <w:br w:type="page"/>
      </w:r>
      <w:r w:rsidRPr="008800D7">
        <w:t>Data Owner</w:t>
      </w:r>
    </w:p>
    <w:p w14:paraId="7ABCA104" w14:textId="77777777" w:rsidR="00DF7FA2" w:rsidRDefault="00DF7FA2" w:rsidP="00874517">
      <w:pPr>
        <w:pStyle w:val="H4Text"/>
      </w:pPr>
      <w:r>
        <w:t>For the purposes of this procedure, the DPH Bureau director responsible for the Confidential Information that was used or disclosed in violation of the applicable MDPH Confidentiality Policy and Procedures</w:t>
      </w:r>
    </w:p>
    <w:p w14:paraId="317A1AC7" w14:textId="77777777" w:rsidR="00DF7FA2" w:rsidRDefault="00DF7FA2" w:rsidP="00DF7FA2">
      <w:pPr>
        <w:pStyle w:val="H4SubNumberedParagraph"/>
      </w:pPr>
      <w:r w:rsidRPr="00223C47">
        <w:t>Disclosure of Confidential Information</w:t>
      </w:r>
      <w:r>
        <w:t xml:space="preserve"> </w:t>
      </w:r>
    </w:p>
    <w:p w14:paraId="346215BE" w14:textId="77777777" w:rsidR="00DF7FA2" w:rsidRDefault="00DF7FA2" w:rsidP="00874517">
      <w:pPr>
        <w:pStyle w:val="H4Text"/>
      </w:pPr>
      <w:r>
        <w:t>The release, transfer, provision, access to, or divulging, in any other manner, information outside the entity holding the Confidential Information</w:t>
      </w:r>
    </w:p>
    <w:p w14:paraId="31E8DE82" w14:textId="77777777" w:rsidR="00DF7FA2" w:rsidRDefault="00DF7FA2" w:rsidP="00DF7FA2">
      <w:pPr>
        <w:pStyle w:val="H4SubNumberedParagraph"/>
      </w:pPr>
      <w:r w:rsidRPr="002C25F7">
        <w:t>Level I Breach</w:t>
      </w:r>
    </w:p>
    <w:p w14:paraId="4DACFBD0" w14:textId="77777777" w:rsidR="00DF7FA2" w:rsidRDefault="00DF7FA2" w:rsidP="00874517">
      <w:pPr>
        <w:pStyle w:val="H4Text"/>
      </w:pPr>
      <w:r>
        <w:t xml:space="preserve">Improper and/or Unintentional Breaches or Violations.  The unintentional or careless violation of DPH Confidentiality Policy and Procedures. </w:t>
      </w:r>
    </w:p>
    <w:p w14:paraId="00454B8F" w14:textId="77777777" w:rsidR="00DF7FA2" w:rsidRPr="008714CC" w:rsidRDefault="00DF7FA2" w:rsidP="00874517">
      <w:pPr>
        <w:ind w:left="1080"/>
        <w:rPr>
          <w:u w:val="single"/>
        </w:rPr>
      </w:pPr>
      <w:r w:rsidRPr="008714CC">
        <w:rPr>
          <w:u w:val="single"/>
        </w:rPr>
        <w:t>Examples include, but are not limited to unintentionally:</w:t>
      </w:r>
    </w:p>
    <w:p w14:paraId="7D705D20" w14:textId="77777777" w:rsidR="00DF7FA2" w:rsidRPr="001F690D" w:rsidRDefault="00DF7FA2">
      <w:pPr>
        <w:pStyle w:val="H4Text"/>
        <w:numPr>
          <w:ilvl w:val="0"/>
          <w:numId w:val="96"/>
        </w:numPr>
      </w:pPr>
      <w:r w:rsidRPr="001F690D">
        <w:t>Discussing Confidential Information in public areas</w:t>
      </w:r>
      <w:r>
        <w:t>;</w:t>
      </w:r>
    </w:p>
    <w:p w14:paraId="5AB18CF6" w14:textId="77777777" w:rsidR="00DF7FA2" w:rsidRPr="001F690D" w:rsidRDefault="00DF7FA2">
      <w:pPr>
        <w:pStyle w:val="H4Text"/>
        <w:numPr>
          <w:ilvl w:val="0"/>
          <w:numId w:val="96"/>
        </w:numPr>
      </w:pPr>
      <w:r w:rsidRPr="001F690D">
        <w:t>Leaving a copy of Client Confidential information in a public area</w:t>
      </w:r>
      <w:r>
        <w:t>;</w:t>
      </w:r>
    </w:p>
    <w:p w14:paraId="687996A7" w14:textId="77777777" w:rsidR="00DF7FA2" w:rsidRPr="001F690D" w:rsidRDefault="00DF7FA2">
      <w:pPr>
        <w:pStyle w:val="H4Text"/>
        <w:numPr>
          <w:ilvl w:val="0"/>
          <w:numId w:val="96"/>
        </w:numPr>
      </w:pPr>
      <w:r w:rsidRPr="001F690D">
        <w:t>Inadvertently faxing Confidential Information to the wrong fax number</w:t>
      </w:r>
      <w:r>
        <w:t>;</w:t>
      </w:r>
    </w:p>
    <w:p w14:paraId="1B9563FB" w14:textId="77777777" w:rsidR="00DF7FA2" w:rsidRPr="001F690D" w:rsidRDefault="00DF7FA2">
      <w:pPr>
        <w:pStyle w:val="H4Text"/>
        <w:numPr>
          <w:ilvl w:val="0"/>
          <w:numId w:val="96"/>
        </w:numPr>
      </w:pPr>
      <w:r w:rsidRPr="001F690D">
        <w:t>Leaving a computer unattended in an accessible area with Confidential Information unsecured</w:t>
      </w:r>
      <w:r>
        <w:t>;</w:t>
      </w:r>
    </w:p>
    <w:p w14:paraId="4D294975" w14:textId="77777777" w:rsidR="00DF7FA2" w:rsidRDefault="00DF7FA2" w:rsidP="00DF7FA2">
      <w:pPr>
        <w:pStyle w:val="H4SubNumberedParagraph"/>
      </w:pPr>
      <w:r>
        <w:t>L</w:t>
      </w:r>
      <w:r w:rsidRPr="002C25F7">
        <w:t>evel II Breach</w:t>
      </w:r>
    </w:p>
    <w:p w14:paraId="43F3ECF6" w14:textId="77777777" w:rsidR="00DF7FA2" w:rsidRDefault="00DF7FA2" w:rsidP="00874517">
      <w:pPr>
        <w:pStyle w:val="H4Text"/>
      </w:pPr>
      <w:r>
        <w:t>Unauthorized Use and/or Misuse.  The intentional access to or disclosure of Confidential Information that is inconsistent with DPH Confidentiality Policy and Procedures but not for personal gain.</w:t>
      </w:r>
    </w:p>
    <w:p w14:paraId="7FD682F0" w14:textId="77777777" w:rsidR="00DF7FA2" w:rsidRPr="008714CC" w:rsidRDefault="00DF7FA2" w:rsidP="00874517">
      <w:pPr>
        <w:ind w:left="1080"/>
        <w:rPr>
          <w:u w:val="single"/>
        </w:rPr>
      </w:pPr>
      <w:r w:rsidRPr="008714CC">
        <w:rPr>
          <w:u w:val="single"/>
        </w:rPr>
        <w:t>Examples include, but are not limited to:</w:t>
      </w:r>
    </w:p>
    <w:p w14:paraId="636A2EC4" w14:textId="77777777" w:rsidR="00DF7FA2" w:rsidRPr="001F690D" w:rsidRDefault="00DF7FA2">
      <w:pPr>
        <w:pStyle w:val="H4Text"/>
        <w:numPr>
          <w:ilvl w:val="0"/>
          <w:numId w:val="97"/>
        </w:numPr>
      </w:pPr>
      <w:r w:rsidRPr="001F690D">
        <w:t>Looking up the birth dates or addresses of friends or relatives</w:t>
      </w:r>
    </w:p>
    <w:p w14:paraId="7B90FF86" w14:textId="77777777" w:rsidR="00DF7FA2" w:rsidRPr="001F690D" w:rsidRDefault="00DF7FA2">
      <w:pPr>
        <w:pStyle w:val="H4Text"/>
        <w:numPr>
          <w:ilvl w:val="0"/>
          <w:numId w:val="97"/>
        </w:numPr>
      </w:pPr>
      <w:r w:rsidRPr="001F690D">
        <w:t>Disclosing Confidential Information to someone known to be without appropriate authorization</w:t>
      </w:r>
    </w:p>
    <w:p w14:paraId="04A7AE38" w14:textId="77777777" w:rsidR="00DF7FA2" w:rsidRPr="001F690D" w:rsidRDefault="00DF7FA2">
      <w:pPr>
        <w:pStyle w:val="H4Text"/>
        <w:numPr>
          <w:ilvl w:val="0"/>
          <w:numId w:val="97"/>
        </w:numPr>
      </w:pPr>
      <w:r w:rsidRPr="001F690D">
        <w:t>Reviewing a public personality’s Confidential Information</w:t>
      </w:r>
    </w:p>
    <w:p w14:paraId="2FD35B9C" w14:textId="77777777" w:rsidR="00DF7FA2" w:rsidRPr="001F690D" w:rsidRDefault="00DF7FA2">
      <w:pPr>
        <w:pStyle w:val="H4Text"/>
        <w:numPr>
          <w:ilvl w:val="0"/>
          <w:numId w:val="97"/>
        </w:numPr>
      </w:pPr>
      <w:r w:rsidRPr="001F690D">
        <w:t>Accessing and reviewing Confidential Information out of curiosity or concern</w:t>
      </w:r>
    </w:p>
    <w:p w14:paraId="5A6E2B2A" w14:textId="77777777" w:rsidR="00DF7FA2" w:rsidRDefault="00DF7FA2" w:rsidP="00DF7FA2">
      <w:pPr>
        <w:pStyle w:val="H4SubNumberedParagraph"/>
      </w:pPr>
      <w:r w:rsidRPr="002C25F7">
        <w:t>Level III Breach</w:t>
      </w:r>
    </w:p>
    <w:p w14:paraId="4F7ACCA3" w14:textId="77777777" w:rsidR="00DF7FA2" w:rsidRDefault="00DF7FA2" w:rsidP="00874517">
      <w:pPr>
        <w:pStyle w:val="H4Text"/>
      </w:pPr>
      <w:r>
        <w:t>Willful and/or Intentional Disclosures or Violations.  Access to, review, or disclosure of Confidential Information for personal gain or malicious intent.</w:t>
      </w:r>
    </w:p>
    <w:p w14:paraId="35097603" w14:textId="77777777" w:rsidR="00DF7FA2" w:rsidRPr="006351E0" w:rsidRDefault="00DF7FA2" w:rsidP="00874517">
      <w:pPr>
        <w:ind w:left="1080"/>
        <w:rPr>
          <w:u w:val="single"/>
        </w:rPr>
      </w:pPr>
      <w:r w:rsidRPr="006351E0">
        <w:rPr>
          <w:u w:val="single"/>
        </w:rPr>
        <w:t xml:space="preserve">Examples include, but are not limited to:  </w:t>
      </w:r>
    </w:p>
    <w:p w14:paraId="4701210A" w14:textId="77777777" w:rsidR="00DF7FA2" w:rsidRPr="001F690D" w:rsidRDefault="00DF7FA2">
      <w:pPr>
        <w:pStyle w:val="H4Text"/>
        <w:numPr>
          <w:ilvl w:val="0"/>
          <w:numId w:val="98"/>
        </w:numPr>
      </w:pPr>
      <w:r w:rsidRPr="001F690D">
        <w:t>Using or disclosing Confidential Information for commercial advantage or to improve one’s position</w:t>
      </w:r>
    </w:p>
    <w:p w14:paraId="115D4F35" w14:textId="77777777" w:rsidR="00DF7FA2" w:rsidRPr="001F690D" w:rsidRDefault="00DF7FA2">
      <w:pPr>
        <w:pStyle w:val="H4Text"/>
        <w:numPr>
          <w:ilvl w:val="0"/>
          <w:numId w:val="98"/>
        </w:numPr>
      </w:pPr>
      <w:r w:rsidRPr="001F690D">
        <w:t>Using or disclosing Confidential Information for harassment or to spread gossip</w:t>
      </w:r>
    </w:p>
    <w:p w14:paraId="43B45E2C" w14:textId="77777777" w:rsidR="00DF7FA2" w:rsidRDefault="00DF7FA2" w:rsidP="00DF7FA2">
      <w:pPr>
        <w:pStyle w:val="H4SubNumberedParagraph"/>
      </w:pPr>
      <w:r>
        <w:t>Sanction</w:t>
      </w:r>
    </w:p>
    <w:p w14:paraId="798DA77B" w14:textId="77777777" w:rsidR="00DF7FA2" w:rsidRDefault="00DF7FA2" w:rsidP="00874517">
      <w:pPr>
        <w:pStyle w:val="H4Text"/>
      </w:pPr>
      <w:r>
        <w:t>A penalty imposed upon finding that a person is responsible for a breach.</w:t>
      </w:r>
    </w:p>
    <w:p w14:paraId="4A5F104B" w14:textId="77777777" w:rsidR="00DF7FA2" w:rsidRDefault="00DF7FA2" w:rsidP="00DF7FA2">
      <w:pPr>
        <w:pStyle w:val="H4SubNumberedParagraph"/>
      </w:pPr>
      <w:r>
        <w:t>Security Incident</w:t>
      </w:r>
    </w:p>
    <w:p w14:paraId="3C00FBC4" w14:textId="77777777" w:rsidR="00DF7FA2" w:rsidRDefault="00DF7FA2" w:rsidP="00874517">
      <w:pPr>
        <w:pStyle w:val="H4Text"/>
      </w:pPr>
      <w:r>
        <w:t>I</w:t>
      </w:r>
      <w:r w:rsidRPr="00CB2168">
        <w:t>nternally or externally initiated events, intentional or accidental, that threaten or exploit an unauthorized and/or illegal use of Commonwealth electronic information systems and/or services.  Such events include, but are not limited to, a criminal use of Commonwealth systems and/or services as well as disclosure, destruction, and/or alteration of state-managed systems or data.</w:t>
      </w:r>
      <w:r>
        <w:t xml:space="preserve">  This may or may not involve a Breach of Confidential Information.</w:t>
      </w:r>
    </w:p>
    <w:p w14:paraId="0CC764F9" w14:textId="77777777" w:rsidR="00DF7FA2" w:rsidRDefault="00DF7FA2" w:rsidP="00874517"/>
    <w:p w14:paraId="587964F8" w14:textId="77777777" w:rsidR="00DF7FA2" w:rsidRPr="006351E0" w:rsidRDefault="00DF7FA2" w:rsidP="00874517">
      <w:pPr>
        <w:pStyle w:val="H2Paragraph"/>
      </w:pPr>
      <w:bookmarkStart w:id="18" w:name="_Toc209771758"/>
      <w:r w:rsidRPr="006351E0">
        <w:t>Reporting &amp; investigation protocols</w:t>
      </w:r>
      <w:bookmarkEnd w:id="18"/>
    </w:p>
    <w:p w14:paraId="442366FE" w14:textId="77777777" w:rsidR="00DF7FA2" w:rsidRPr="001853B6" w:rsidRDefault="00DF7FA2" w:rsidP="00874517">
      <w:pPr>
        <w:pStyle w:val="H3SubParagraph"/>
      </w:pPr>
      <w:r>
        <w:t>B</w:t>
      </w:r>
      <w:r w:rsidRPr="001853B6">
        <w:t>reach of Confidentiality Reporting Protocol – Workforce Member</w:t>
      </w:r>
    </w:p>
    <w:p w14:paraId="1D330381" w14:textId="77777777" w:rsidR="00DF7FA2" w:rsidRDefault="00DF7FA2" w:rsidP="00874517">
      <w:pPr>
        <w:pStyle w:val="H3Text"/>
      </w:pPr>
      <w:r>
        <w:t>T</w:t>
      </w:r>
      <w:r w:rsidRPr="00DD7363">
        <w:t>he reporting pro</w:t>
      </w:r>
      <w:r>
        <w:t>tocol</w:t>
      </w:r>
      <w:r w:rsidRPr="00DD7363">
        <w:t xml:space="preserve"> for the Breach of Confidentiality </w:t>
      </w:r>
      <w:r>
        <w:t xml:space="preserve">identified by a DPH workforce member </w:t>
      </w:r>
      <w:r w:rsidRPr="00DD7363">
        <w:t xml:space="preserve">organized by </w:t>
      </w:r>
      <w:r>
        <w:t>involved party is described in table 2.1.</w:t>
      </w:r>
    </w:p>
    <w:p w14:paraId="491A2E8D" w14:textId="77777777" w:rsidR="00DF7FA2" w:rsidRPr="00691C49" w:rsidRDefault="00DF7FA2" w:rsidP="00691C49">
      <w:pPr>
        <w:pStyle w:val="H4SubNumberedParagraph"/>
        <w:numPr>
          <w:ilvl w:val="0"/>
          <w:numId w:val="0"/>
        </w:numPr>
      </w:pPr>
      <w:r w:rsidRPr="006351E0">
        <w:t>Table 2.1:  Breach course of 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399"/>
        <w:gridCol w:w="2503"/>
        <w:gridCol w:w="3088"/>
      </w:tblGrid>
      <w:tr w:rsidR="00DF7FA2" w:rsidRPr="002C4E55" w14:paraId="06C7EA8F" w14:textId="77777777">
        <w:trPr>
          <w:cantSplit/>
          <w:tblHeader/>
        </w:trPr>
        <w:tc>
          <w:tcPr>
            <w:tcW w:w="0" w:type="auto"/>
            <w:shd w:val="clear" w:color="auto" w:fill="E0E0E0"/>
            <w:vAlign w:val="center"/>
          </w:tcPr>
          <w:p w14:paraId="0C78A407" w14:textId="77777777" w:rsidR="00DF7FA2" w:rsidRDefault="00DF7FA2">
            <w:pPr>
              <w:jc w:val="center"/>
              <w:rPr>
                <w:rFonts w:cs="Arial"/>
                <w:b/>
                <w:sz w:val="20"/>
                <w:szCs w:val="20"/>
              </w:rPr>
            </w:pPr>
            <w:r>
              <w:rPr>
                <w:rFonts w:cs="Arial"/>
                <w:b/>
                <w:sz w:val="20"/>
                <w:szCs w:val="20"/>
              </w:rPr>
              <w:t>Reporting Individual</w:t>
            </w:r>
          </w:p>
          <w:p w14:paraId="0B395AFE" w14:textId="77777777" w:rsidR="00DF7FA2" w:rsidRDefault="00DF7FA2">
            <w:pPr>
              <w:jc w:val="center"/>
              <w:rPr>
                <w:b/>
                <w:bCs/>
                <w:sz w:val="20"/>
                <w:szCs w:val="20"/>
              </w:rPr>
            </w:pPr>
            <w:r>
              <w:rPr>
                <w:rFonts w:cs="Arial"/>
                <w:b/>
                <w:bCs/>
                <w:sz w:val="20"/>
                <w:szCs w:val="20"/>
              </w:rPr>
              <w:t>(Workforce Member)</w:t>
            </w:r>
          </w:p>
        </w:tc>
        <w:tc>
          <w:tcPr>
            <w:tcW w:w="0" w:type="auto"/>
            <w:shd w:val="clear" w:color="auto" w:fill="E0E0E0"/>
            <w:vAlign w:val="center"/>
          </w:tcPr>
          <w:p w14:paraId="32646976" w14:textId="77777777" w:rsidR="00DF7FA2" w:rsidRDefault="00DF7FA2">
            <w:pPr>
              <w:jc w:val="center"/>
              <w:rPr>
                <w:rFonts w:cs="Arial"/>
                <w:b/>
                <w:sz w:val="20"/>
                <w:szCs w:val="20"/>
              </w:rPr>
            </w:pPr>
            <w:r>
              <w:rPr>
                <w:rFonts w:cs="Arial"/>
                <w:b/>
                <w:sz w:val="20"/>
                <w:szCs w:val="20"/>
              </w:rPr>
              <w:t>Reporting Individual’s Supervisor</w:t>
            </w:r>
          </w:p>
        </w:tc>
        <w:tc>
          <w:tcPr>
            <w:tcW w:w="0" w:type="auto"/>
            <w:tcBorders>
              <w:bottom w:val="single" w:sz="4" w:space="0" w:color="auto"/>
              <w:right w:val="single" w:sz="4" w:space="0" w:color="auto"/>
            </w:tcBorders>
            <w:shd w:val="clear" w:color="auto" w:fill="E0E0E0"/>
            <w:vAlign w:val="center"/>
          </w:tcPr>
          <w:p w14:paraId="512EADA1" w14:textId="77777777" w:rsidR="00DF7FA2" w:rsidRDefault="00DF7FA2">
            <w:pPr>
              <w:jc w:val="center"/>
              <w:rPr>
                <w:rFonts w:cs="Arial"/>
                <w:b/>
                <w:sz w:val="20"/>
                <w:szCs w:val="20"/>
              </w:rPr>
            </w:pPr>
            <w:r>
              <w:rPr>
                <w:rFonts w:cs="Arial"/>
                <w:b/>
                <w:sz w:val="20"/>
                <w:szCs w:val="20"/>
              </w:rPr>
              <w:t>Privacy Officer</w:t>
            </w:r>
          </w:p>
        </w:tc>
      </w:tr>
      <w:tr w:rsidR="00DF7FA2" w:rsidRPr="006B5DA7" w14:paraId="0AC36EAB" w14:textId="77777777">
        <w:trPr>
          <w:trHeight w:val="720"/>
        </w:trPr>
        <w:tc>
          <w:tcPr>
            <w:tcW w:w="0" w:type="auto"/>
            <w:vAlign w:val="center"/>
          </w:tcPr>
          <w:p w14:paraId="3E7E2719" w14:textId="77777777" w:rsidR="00DF7FA2" w:rsidRDefault="00DF7FA2">
            <w:pPr>
              <w:ind w:left="360" w:hanging="360"/>
              <w:rPr>
                <w:rFonts w:cs="Arial"/>
                <w:sz w:val="20"/>
                <w:szCs w:val="20"/>
              </w:rPr>
            </w:pPr>
            <w:r>
              <w:rPr>
                <w:rFonts w:cs="Arial"/>
                <w:sz w:val="20"/>
                <w:szCs w:val="20"/>
              </w:rPr>
              <w:t>1)</w:t>
            </w:r>
            <w:r>
              <w:rPr>
                <w:rFonts w:cs="Arial"/>
                <w:sz w:val="20"/>
                <w:szCs w:val="20"/>
              </w:rPr>
              <w:tab/>
              <w:t>Observes Breach of Confidentiality.</w:t>
            </w:r>
          </w:p>
        </w:tc>
        <w:tc>
          <w:tcPr>
            <w:tcW w:w="0" w:type="auto"/>
            <w:vAlign w:val="center"/>
          </w:tcPr>
          <w:p w14:paraId="08AEB7F0" w14:textId="77777777" w:rsidR="00DF7FA2" w:rsidRDefault="00DF7FA2">
            <w:pPr>
              <w:ind w:left="360" w:hanging="360"/>
              <w:rPr>
                <w:rFonts w:cs="Arial"/>
                <w:sz w:val="20"/>
                <w:szCs w:val="20"/>
              </w:rPr>
            </w:pPr>
          </w:p>
        </w:tc>
        <w:tc>
          <w:tcPr>
            <w:tcW w:w="0" w:type="auto"/>
            <w:tcBorders>
              <w:bottom w:val="single" w:sz="4" w:space="0" w:color="auto"/>
              <w:right w:val="single" w:sz="4" w:space="0" w:color="auto"/>
            </w:tcBorders>
            <w:vAlign w:val="center"/>
          </w:tcPr>
          <w:p w14:paraId="31D31B19" w14:textId="77777777" w:rsidR="00DF7FA2" w:rsidRDefault="00DF7FA2">
            <w:pPr>
              <w:ind w:left="360" w:hanging="360"/>
              <w:rPr>
                <w:rFonts w:cs="Arial"/>
                <w:sz w:val="20"/>
                <w:szCs w:val="20"/>
              </w:rPr>
            </w:pPr>
          </w:p>
        </w:tc>
      </w:tr>
      <w:tr w:rsidR="00DF7FA2" w:rsidRPr="006B5DA7" w14:paraId="70B7D1BA" w14:textId="77777777">
        <w:trPr>
          <w:trHeight w:val="720"/>
        </w:trPr>
        <w:tc>
          <w:tcPr>
            <w:tcW w:w="0" w:type="auto"/>
            <w:vAlign w:val="center"/>
          </w:tcPr>
          <w:p w14:paraId="06794EC5" w14:textId="77777777" w:rsidR="00DF7FA2" w:rsidRDefault="00DF7FA2">
            <w:pPr>
              <w:ind w:left="360" w:hanging="360"/>
              <w:rPr>
                <w:rFonts w:cs="Arial"/>
                <w:sz w:val="20"/>
                <w:szCs w:val="20"/>
              </w:rPr>
            </w:pPr>
            <w:r>
              <w:rPr>
                <w:rFonts w:cs="Arial"/>
                <w:sz w:val="20"/>
                <w:szCs w:val="20"/>
              </w:rPr>
              <w:t>2)</w:t>
            </w:r>
            <w:r>
              <w:rPr>
                <w:rFonts w:cs="Arial"/>
                <w:sz w:val="20"/>
                <w:szCs w:val="20"/>
              </w:rPr>
              <w:tab/>
              <w:t>Immediately informs supervisor.</w:t>
            </w:r>
          </w:p>
        </w:tc>
        <w:tc>
          <w:tcPr>
            <w:tcW w:w="0" w:type="auto"/>
            <w:vAlign w:val="center"/>
          </w:tcPr>
          <w:p w14:paraId="76CF9B54" w14:textId="77777777" w:rsidR="00DF7FA2" w:rsidRDefault="00DF7FA2">
            <w:pPr>
              <w:ind w:left="360" w:hanging="360"/>
              <w:rPr>
                <w:rFonts w:cs="Arial"/>
                <w:sz w:val="20"/>
                <w:szCs w:val="20"/>
              </w:rPr>
            </w:pPr>
            <w:r>
              <w:rPr>
                <w:rFonts w:cs="Arial"/>
                <w:sz w:val="20"/>
                <w:szCs w:val="20"/>
              </w:rPr>
              <w:t>3)</w:t>
            </w:r>
            <w:r>
              <w:rPr>
                <w:rFonts w:cs="Arial"/>
                <w:sz w:val="20"/>
                <w:szCs w:val="20"/>
              </w:rPr>
              <w:tab/>
              <w:t>Instructs reporting individual to complete an incident report.</w:t>
            </w:r>
          </w:p>
        </w:tc>
        <w:tc>
          <w:tcPr>
            <w:tcW w:w="0" w:type="auto"/>
            <w:tcBorders>
              <w:bottom w:val="single" w:sz="4" w:space="0" w:color="auto"/>
              <w:right w:val="single" w:sz="4" w:space="0" w:color="auto"/>
            </w:tcBorders>
            <w:vAlign w:val="center"/>
          </w:tcPr>
          <w:p w14:paraId="1586D576" w14:textId="77777777" w:rsidR="00DF7FA2" w:rsidRDefault="00DF7FA2">
            <w:pPr>
              <w:ind w:left="360" w:hanging="360"/>
              <w:rPr>
                <w:rFonts w:cs="Arial"/>
                <w:sz w:val="20"/>
                <w:szCs w:val="20"/>
              </w:rPr>
            </w:pPr>
          </w:p>
        </w:tc>
      </w:tr>
      <w:tr w:rsidR="00DF7FA2" w:rsidRPr="006B5DA7" w14:paraId="42218C2C" w14:textId="77777777">
        <w:trPr>
          <w:trHeight w:val="720"/>
        </w:trPr>
        <w:tc>
          <w:tcPr>
            <w:tcW w:w="0" w:type="auto"/>
            <w:tcBorders>
              <w:bottom w:val="single" w:sz="4" w:space="0" w:color="auto"/>
            </w:tcBorders>
            <w:vAlign w:val="center"/>
          </w:tcPr>
          <w:p w14:paraId="56F5BFCF" w14:textId="77777777" w:rsidR="00DF7FA2" w:rsidRDefault="00DF7FA2">
            <w:pPr>
              <w:ind w:left="360" w:hanging="360"/>
              <w:rPr>
                <w:rFonts w:cs="Arial"/>
                <w:sz w:val="20"/>
                <w:szCs w:val="20"/>
              </w:rPr>
            </w:pPr>
            <w:r>
              <w:rPr>
                <w:rFonts w:cs="Arial"/>
                <w:sz w:val="20"/>
                <w:szCs w:val="20"/>
              </w:rPr>
              <w:t>4)</w:t>
            </w:r>
            <w:r>
              <w:rPr>
                <w:rFonts w:cs="Arial"/>
                <w:sz w:val="20"/>
                <w:szCs w:val="20"/>
              </w:rPr>
              <w:tab/>
              <w:t xml:space="preserve">Completes incident report on same business day and faxes to privacy officer, 617.624.5234 </w:t>
            </w:r>
          </w:p>
        </w:tc>
        <w:tc>
          <w:tcPr>
            <w:tcW w:w="0" w:type="auto"/>
            <w:tcBorders>
              <w:bottom w:val="single" w:sz="4" w:space="0" w:color="auto"/>
            </w:tcBorders>
            <w:vAlign w:val="center"/>
          </w:tcPr>
          <w:p w14:paraId="2CCC5020" w14:textId="77777777" w:rsidR="00DF7FA2" w:rsidRDefault="00DF7FA2">
            <w:pPr>
              <w:ind w:left="360" w:hanging="360"/>
              <w:rPr>
                <w:rFonts w:cs="Arial"/>
                <w:sz w:val="20"/>
                <w:szCs w:val="20"/>
              </w:rPr>
            </w:pPr>
            <w:r>
              <w:rPr>
                <w:rFonts w:cs="Arial"/>
                <w:sz w:val="20"/>
                <w:szCs w:val="20"/>
              </w:rPr>
              <w:t>5)</w:t>
            </w:r>
            <w:r>
              <w:rPr>
                <w:rFonts w:cs="Arial"/>
                <w:sz w:val="20"/>
                <w:szCs w:val="20"/>
              </w:rPr>
              <w:tab/>
              <w:t>Contacts privacy officer on same business day.</w:t>
            </w:r>
          </w:p>
        </w:tc>
        <w:tc>
          <w:tcPr>
            <w:tcW w:w="0" w:type="auto"/>
            <w:tcBorders>
              <w:bottom w:val="single" w:sz="4" w:space="0" w:color="auto"/>
              <w:right w:val="single" w:sz="4" w:space="0" w:color="auto"/>
            </w:tcBorders>
            <w:vAlign w:val="center"/>
          </w:tcPr>
          <w:p w14:paraId="352AB2FE" w14:textId="77777777" w:rsidR="00DF7FA2" w:rsidRDefault="00DF7FA2">
            <w:pPr>
              <w:ind w:left="360" w:hanging="360"/>
              <w:rPr>
                <w:rFonts w:cs="Arial"/>
                <w:sz w:val="20"/>
                <w:szCs w:val="20"/>
              </w:rPr>
            </w:pPr>
            <w:r>
              <w:rPr>
                <w:rFonts w:cs="Arial"/>
                <w:sz w:val="20"/>
                <w:szCs w:val="20"/>
              </w:rPr>
              <w:t>6)</w:t>
            </w:r>
            <w:r>
              <w:rPr>
                <w:rFonts w:cs="Arial"/>
                <w:sz w:val="20"/>
                <w:szCs w:val="20"/>
              </w:rPr>
              <w:tab/>
              <w:t>Contacts reporting individual to obtain additional details about Breach on same day.</w:t>
            </w:r>
          </w:p>
        </w:tc>
      </w:tr>
      <w:tr w:rsidR="00DF7FA2" w:rsidRPr="006B5DA7" w14:paraId="2BDCB869" w14:textId="77777777">
        <w:trPr>
          <w:trHeight w:val="720"/>
        </w:trPr>
        <w:tc>
          <w:tcPr>
            <w:tcW w:w="0" w:type="auto"/>
            <w:tcBorders>
              <w:bottom w:val="single" w:sz="4" w:space="0" w:color="auto"/>
            </w:tcBorders>
            <w:vAlign w:val="center"/>
          </w:tcPr>
          <w:p w14:paraId="1C0B3BEB" w14:textId="77777777" w:rsidR="00DF7FA2" w:rsidRDefault="00DF7FA2">
            <w:pPr>
              <w:ind w:left="360" w:hanging="360"/>
              <w:rPr>
                <w:rFonts w:cs="Arial"/>
                <w:sz w:val="20"/>
                <w:szCs w:val="20"/>
              </w:rPr>
            </w:pPr>
          </w:p>
        </w:tc>
        <w:tc>
          <w:tcPr>
            <w:tcW w:w="0" w:type="auto"/>
            <w:tcBorders>
              <w:bottom w:val="single" w:sz="4" w:space="0" w:color="auto"/>
            </w:tcBorders>
            <w:vAlign w:val="center"/>
          </w:tcPr>
          <w:p w14:paraId="7606683B" w14:textId="77777777" w:rsidR="00DF7FA2" w:rsidRDefault="00DF7FA2">
            <w:pPr>
              <w:ind w:left="360" w:hanging="360"/>
              <w:rPr>
                <w:rFonts w:cs="Arial"/>
                <w:sz w:val="20"/>
                <w:szCs w:val="20"/>
              </w:rPr>
            </w:pPr>
          </w:p>
        </w:tc>
        <w:tc>
          <w:tcPr>
            <w:tcW w:w="0" w:type="auto"/>
            <w:tcBorders>
              <w:bottom w:val="single" w:sz="4" w:space="0" w:color="auto"/>
              <w:right w:val="single" w:sz="4" w:space="0" w:color="auto"/>
            </w:tcBorders>
            <w:vAlign w:val="center"/>
          </w:tcPr>
          <w:p w14:paraId="6ED992AC" w14:textId="77777777" w:rsidR="00DF7FA2" w:rsidRDefault="00DF7FA2">
            <w:pPr>
              <w:ind w:left="360" w:hanging="360"/>
              <w:rPr>
                <w:rFonts w:cs="Arial"/>
                <w:sz w:val="20"/>
                <w:szCs w:val="20"/>
              </w:rPr>
            </w:pPr>
            <w:r>
              <w:rPr>
                <w:rFonts w:cs="Arial"/>
                <w:sz w:val="20"/>
                <w:szCs w:val="20"/>
              </w:rPr>
              <w:t>7)</w:t>
            </w:r>
            <w:r>
              <w:rPr>
                <w:rFonts w:cs="Arial"/>
                <w:sz w:val="20"/>
                <w:szCs w:val="20"/>
              </w:rPr>
              <w:tab/>
              <w:t>Contacts Data Owner to initiate investigation procedure within one business day.</w:t>
            </w:r>
          </w:p>
        </w:tc>
      </w:tr>
    </w:tbl>
    <w:p w14:paraId="4D9B6B96" w14:textId="77777777" w:rsidR="00DF7FA2" w:rsidRDefault="00DF7FA2" w:rsidP="00874517">
      <w:pPr>
        <w:pStyle w:val="H3SubParagraph"/>
      </w:pPr>
      <w:r w:rsidRPr="001853B6">
        <w:t>Obligation to Report Breaches of Confidentiality</w:t>
      </w:r>
    </w:p>
    <w:p w14:paraId="5E7B325B" w14:textId="77777777" w:rsidR="00DF7FA2" w:rsidRDefault="00DF7FA2" w:rsidP="00874517">
      <w:pPr>
        <w:pStyle w:val="H3Text"/>
      </w:pPr>
      <w:r>
        <w:t xml:space="preserve">A workforce member who is responsible for a Breach of Confidentiality or who is aware of such a Breach must immediately report it to his or her supervisor.  Failure to report a Breach of Confidentiality of which the workforce member has knowledge may result in disciplinary action.  </w:t>
      </w:r>
    </w:p>
    <w:p w14:paraId="3747B73C" w14:textId="77777777" w:rsidR="00DF7FA2" w:rsidRPr="001853B6" w:rsidRDefault="00DF7FA2" w:rsidP="00874517">
      <w:pPr>
        <w:pStyle w:val="H3SubParagraph"/>
      </w:pPr>
      <w:r w:rsidRPr="001853B6">
        <w:t>Policy of No Retaliation for Good Faith Reporting</w:t>
      </w:r>
    </w:p>
    <w:p w14:paraId="554D3B08" w14:textId="77777777" w:rsidR="00DF7FA2" w:rsidRPr="00EA3DC7" w:rsidRDefault="00DF7FA2">
      <w:pPr>
        <w:pStyle w:val="H3Text"/>
        <w:numPr>
          <w:ilvl w:val="0"/>
          <w:numId w:val="99"/>
        </w:numPr>
      </w:pPr>
      <w:r w:rsidRPr="00EA3DC7">
        <w:t>A workforce member who makes a report in good faith of a suspected or actual violation will not be retaliated against for making the report.</w:t>
      </w:r>
    </w:p>
    <w:p w14:paraId="0EDE91A1" w14:textId="77777777" w:rsidR="00DF7FA2" w:rsidRDefault="00DF7FA2">
      <w:pPr>
        <w:pStyle w:val="H3Text"/>
        <w:numPr>
          <w:ilvl w:val="0"/>
          <w:numId w:val="99"/>
        </w:numPr>
      </w:pPr>
      <w:r w:rsidRPr="00EA3DC7">
        <w:t>Reporting a Breach of Confidentiality in bad faith or for malicious reasons are grounds for disciplinary action.</w:t>
      </w:r>
    </w:p>
    <w:p w14:paraId="0B857A4D" w14:textId="77777777" w:rsidR="00DF7FA2" w:rsidRPr="001853B6" w:rsidRDefault="00DF7FA2" w:rsidP="00874517">
      <w:pPr>
        <w:pStyle w:val="H3SubParagraph"/>
      </w:pPr>
      <w:r w:rsidRPr="001853B6">
        <w:t>Breach of Confidentiality Reporting Protocol – General Public</w:t>
      </w:r>
    </w:p>
    <w:p w14:paraId="1AB180EA" w14:textId="77777777" w:rsidR="00DF7FA2" w:rsidRDefault="00DF7FA2" w:rsidP="00874517">
      <w:pPr>
        <w:pStyle w:val="H3Text"/>
      </w:pPr>
      <w:r>
        <w:t>T</w:t>
      </w:r>
      <w:r w:rsidRPr="00DD7363">
        <w:t>he reporting pro</w:t>
      </w:r>
      <w:r>
        <w:t>tocol</w:t>
      </w:r>
      <w:r w:rsidRPr="00DD7363">
        <w:t xml:space="preserve"> for the Breach of Confidentiality </w:t>
      </w:r>
      <w:r>
        <w:t xml:space="preserve">identified by a member of the general public </w:t>
      </w:r>
      <w:r w:rsidRPr="00DD7363">
        <w:t xml:space="preserve">organized by </w:t>
      </w:r>
      <w:r>
        <w:t>involved party is described in table 2.2.</w:t>
      </w:r>
    </w:p>
    <w:p w14:paraId="26AB598A" w14:textId="77777777" w:rsidR="00DF7FA2" w:rsidRPr="00124E52" w:rsidRDefault="00DF7FA2" w:rsidP="00124E52">
      <w:pPr>
        <w:pStyle w:val="H4SubNumberedParagraph"/>
        <w:numPr>
          <w:ilvl w:val="0"/>
          <w:numId w:val="0"/>
        </w:numPr>
      </w:pPr>
      <w:r w:rsidRPr="00B131C7">
        <w:t>Table 2.2:  Breach reporting protocol</w:t>
      </w:r>
    </w:p>
    <w:tbl>
      <w:tblPr>
        <w:tblpPr w:leftFromText="187" w:rightFromText="187" w:vertAnchor="text" w:horzAnchor="margin"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891"/>
        <w:gridCol w:w="4091"/>
      </w:tblGrid>
      <w:tr w:rsidR="008E2DF7" w:rsidRPr="002C4E55" w14:paraId="70BCDC82" w14:textId="77777777">
        <w:trPr>
          <w:cantSplit/>
          <w:trHeight w:val="607"/>
        </w:trPr>
        <w:tc>
          <w:tcPr>
            <w:tcW w:w="0" w:type="auto"/>
            <w:shd w:val="clear" w:color="auto" w:fill="E0E0E0"/>
            <w:vAlign w:val="center"/>
          </w:tcPr>
          <w:p w14:paraId="1696D662" w14:textId="77777777" w:rsidR="00DF7FA2" w:rsidRDefault="00DF7FA2">
            <w:pPr>
              <w:jc w:val="center"/>
              <w:rPr>
                <w:rFonts w:cs="Arial"/>
                <w:b/>
                <w:sz w:val="20"/>
                <w:szCs w:val="20"/>
              </w:rPr>
            </w:pPr>
            <w:r>
              <w:rPr>
                <w:rFonts w:cs="Arial"/>
                <w:b/>
                <w:sz w:val="20"/>
                <w:szCs w:val="20"/>
              </w:rPr>
              <w:t>Reporting Individual</w:t>
            </w:r>
          </w:p>
          <w:p w14:paraId="33AB1983" w14:textId="77777777" w:rsidR="00DF7FA2" w:rsidRDefault="00DF7FA2">
            <w:pPr>
              <w:jc w:val="center"/>
              <w:rPr>
                <w:rFonts w:cs="Arial"/>
                <w:b/>
                <w:sz w:val="20"/>
                <w:szCs w:val="20"/>
              </w:rPr>
            </w:pPr>
            <w:r>
              <w:rPr>
                <w:rFonts w:cs="Arial"/>
                <w:b/>
                <w:sz w:val="20"/>
                <w:szCs w:val="20"/>
              </w:rPr>
              <w:t>(General Public)</w:t>
            </w:r>
          </w:p>
        </w:tc>
        <w:tc>
          <w:tcPr>
            <w:tcW w:w="0" w:type="auto"/>
            <w:shd w:val="clear" w:color="auto" w:fill="E0E0E0"/>
            <w:vAlign w:val="center"/>
          </w:tcPr>
          <w:p w14:paraId="45FE7B00" w14:textId="77777777" w:rsidR="00DF7FA2" w:rsidRDefault="00DF7FA2">
            <w:pPr>
              <w:jc w:val="center"/>
              <w:rPr>
                <w:rFonts w:cs="Arial"/>
                <w:b/>
                <w:sz w:val="20"/>
                <w:szCs w:val="20"/>
              </w:rPr>
            </w:pPr>
            <w:r>
              <w:rPr>
                <w:rFonts w:cs="Arial"/>
                <w:b/>
                <w:sz w:val="20"/>
                <w:szCs w:val="20"/>
              </w:rPr>
              <w:t>DPH Workforce Member Receiving Information</w:t>
            </w:r>
          </w:p>
        </w:tc>
        <w:tc>
          <w:tcPr>
            <w:tcW w:w="0" w:type="auto"/>
            <w:shd w:val="clear" w:color="auto" w:fill="E0E0E0"/>
            <w:vAlign w:val="center"/>
          </w:tcPr>
          <w:p w14:paraId="4EC1829F" w14:textId="77777777" w:rsidR="00DF7FA2" w:rsidRDefault="00DF7FA2">
            <w:pPr>
              <w:jc w:val="center"/>
              <w:rPr>
                <w:rFonts w:cs="Arial"/>
                <w:b/>
                <w:sz w:val="20"/>
                <w:szCs w:val="20"/>
              </w:rPr>
            </w:pPr>
            <w:r>
              <w:rPr>
                <w:rFonts w:cs="Arial"/>
                <w:b/>
                <w:sz w:val="20"/>
                <w:szCs w:val="20"/>
              </w:rPr>
              <w:t>Privacy Officer</w:t>
            </w:r>
          </w:p>
        </w:tc>
      </w:tr>
      <w:tr w:rsidR="00DF7FA2" w:rsidRPr="002C4E55" w14:paraId="638CAA98" w14:textId="77777777">
        <w:trPr>
          <w:cantSplit/>
          <w:trHeight w:val="992"/>
        </w:trPr>
        <w:tc>
          <w:tcPr>
            <w:tcW w:w="0" w:type="auto"/>
          </w:tcPr>
          <w:p w14:paraId="186463C3" w14:textId="77777777" w:rsidR="00DF7FA2" w:rsidRDefault="00DF7FA2">
            <w:pPr>
              <w:ind w:left="360" w:hanging="360"/>
              <w:rPr>
                <w:rFonts w:cs="Arial"/>
                <w:sz w:val="20"/>
                <w:szCs w:val="20"/>
              </w:rPr>
            </w:pPr>
            <w:r>
              <w:rPr>
                <w:rFonts w:cs="Arial"/>
                <w:sz w:val="20"/>
                <w:szCs w:val="20"/>
              </w:rPr>
              <w:t>1)</w:t>
            </w:r>
            <w:r>
              <w:rPr>
                <w:rFonts w:cs="Arial"/>
                <w:sz w:val="20"/>
                <w:szCs w:val="20"/>
              </w:rPr>
              <w:tab/>
              <w:t>Relays information to DPH workforce member or privacy officer.</w:t>
            </w:r>
          </w:p>
        </w:tc>
        <w:tc>
          <w:tcPr>
            <w:tcW w:w="0" w:type="auto"/>
          </w:tcPr>
          <w:p w14:paraId="5E53DF1E" w14:textId="77777777" w:rsidR="00DF7FA2" w:rsidRDefault="00DF7FA2">
            <w:pPr>
              <w:ind w:left="360" w:hanging="360"/>
              <w:rPr>
                <w:rFonts w:cs="Arial"/>
                <w:sz w:val="20"/>
                <w:szCs w:val="20"/>
              </w:rPr>
            </w:pPr>
            <w:r>
              <w:rPr>
                <w:rFonts w:cs="Arial"/>
                <w:sz w:val="20"/>
                <w:szCs w:val="20"/>
              </w:rPr>
              <w:t>2)</w:t>
            </w:r>
            <w:r>
              <w:rPr>
                <w:rFonts w:cs="Arial"/>
                <w:sz w:val="20"/>
                <w:szCs w:val="20"/>
              </w:rPr>
              <w:tab/>
              <w:t>Takes contact information from individual and informs the privacy officer within one business day.</w:t>
            </w:r>
          </w:p>
        </w:tc>
        <w:tc>
          <w:tcPr>
            <w:tcW w:w="0" w:type="auto"/>
          </w:tcPr>
          <w:p w14:paraId="52A37357" w14:textId="77777777" w:rsidR="00DF7FA2" w:rsidRDefault="00DF7FA2">
            <w:pPr>
              <w:ind w:left="360" w:hanging="360"/>
              <w:rPr>
                <w:rFonts w:cs="Arial"/>
                <w:sz w:val="20"/>
                <w:szCs w:val="20"/>
              </w:rPr>
            </w:pPr>
            <w:r>
              <w:rPr>
                <w:rFonts w:cs="Arial"/>
                <w:sz w:val="20"/>
                <w:szCs w:val="20"/>
              </w:rPr>
              <w:t>3)</w:t>
            </w:r>
            <w:r>
              <w:rPr>
                <w:rFonts w:cs="Arial"/>
                <w:sz w:val="20"/>
                <w:szCs w:val="20"/>
              </w:rPr>
              <w:tab/>
              <w:t>Contacts reporting individual, obtains additional details as necessary, and documents information about the Breach on a privacy complaint form within one business day.</w:t>
            </w:r>
          </w:p>
        </w:tc>
      </w:tr>
      <w:tr w:rsidR="00DF7FA2" w:rsidRPr="002C4E55" w14:paraId="43410282" w14:textId="77777777">
        <w:trPr>
          <w:cantSplit/>
          <w:trHeight w:val="740"/>
        </w:trPr>
        <w:tc>
          <w:tcPr>
            <w:tcW w:w="0" w:type="auto"/>
            <w:vAlign w:val="center"/>
          </w:tcPr>
          <w:p w14:paraId="267968D4" w14:textId="77777777" w:rsidR="00DF7FA2" w:rsidRDefault="00DF7FA2">
            <w:pPr>
              <w:ind w:left="360" w:hanging="360"/>
              <w:rPr>
                <w:rFonts w:cs="Arial"/>
                <w:sz w:val="20"/>
                <w:szCs w:val="20"/>
              </w:rPr>
            </w:pPr>
          </w:p>
        </w:tc>
        <w:tc>
          <w:tcPr>
            <w:tcW w:w="0" w:type="auto"/>
            <w:vAlign w:val="center"/>
          </w:tcPr>
          <w:p w14:paraId="1AB75E2A" w14:textId="77777777" w:rsidR="00DF7FA2" w:rsidRDefault="00DF7FA2">
            <w:pPr>
              <w:ind w:left="360" w:hanging="360"/>
              <w:rPr>
                <w:rFonts w:cs="Arial"/>
                <w:sz w:val="20"/>
                <w:szCs w:val="20"/>
              </w:rPr>
            </w:pPr>
          </w:p>
        </w:tc>
        <w:tc>
          <w:tcPr>
            <w:tcW w:w="0" w:type="auto"/>
            <w:vAlign w:val="center"/>
          </w:tcPr>
          <w:p w14:paraId="07A4403C" w14:textId="77777777" w:rsidR="00DF7FA2" w:rsidRDefault="00DF7FA2">
            <w:pPr>
              <w:ind w:left="360" w:hanging="360"/>
              <w:rPr>
                <w:rFonts w:cs="Arial"/>
                <w:sz w:val="20"/>
                <w:szCs w:val="20"/>
              </w:rPr>
            </w:pPr>
            <w:r>
              <w:rPr>
                <w:rFonts w:cs="Arial"/>
                <w:sz w:val="20"/>
                <w:szCs w:val="20"/>
              </w:rPr>
              <w:t>4)</w:t>
            </w:r>
            <w:r>
              <w:rPr>
                <w:rFonts w:cs="Arial"/>
                <w:sz w:val="20"/>
                <w:szCs w:val="20"/>
              </w:rPr>
              <w:tab/>
              <w:t>Contacts data owner to initiate investigation protocol within one business day.</w:t>
            </w:r>
          </w:p>
        </w:tc>
      </w:tr>
    </w:tbl>
    <w:p w14:paraId="3009FE5C" w14:textId="77777777" w:rsidR="00DF7FA2" w:rsidRPr="001853B6" w:rsidRDefault="00DF7FA2" w:rsidP="00874517">
      <w:pPr>
        <w:pStyle w:val="H3SubParagraph"/>
      </w:pPr>
      <w:r>
        <w:br w:type="page"/>
      </w:r>
      <w:r w:rsidRPr="001853B6">
        <w:t>Breach of Confidentiality Investigation Protocol</w:t>
      </w:r>
    </w:p>
    <w:p w14:paraId="0A6FCDB1" w14:textId="77777777" w:rsidR="00DF7FA2" w:rsidRDefault="00DF7FA2" w:rsidP="00874517">
      <w:pPr>
        <w:pStyle w:val="H3Text"/>
      </w:pPr>
      <w:r w:rsidRPr="00B957F6">
        <w:t xml:space="preserve">The investigation protocol for Breaches of Confidentiality organized by DPH function is </w:t>
      </w:r>
      <w:r>
        <w:t>described in table 2.3.</w:t>
      </w:r>
    </w:p>
    <w:p w14:paraId="7E32B09A" w14:textId="77777777" w:rsidR="00DF7FA2" w:rsidRPr="00B131C7" w:rsidRDefault="00DF7FA2" w:rsidP="00124E52">
      <w:pPr>
        <w:pStyle w:val="H4SubNumberedParagraph"/>
        <w:numPr>
          <w:ilvl w:val="0"/>
          <w:numId w:val="0"/>
        </w:numPr>
        <w:rPr>
          <w:b w:val="0"/>
        </w:rPr>
      </w:pPr>
      <w:r w:rsidRPr="00B131C7">
        <w:t>Table 2.3:  Breach investigation protocol</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160"/>
        <w:gridCol w:w="2160"/>
        <w:gridCol w:w="2756"/>
      </w:tblGrid>
      <w:tr w:rsidR="00DF7FA2" w:rsidRPr="00B957F6" w14:paraId="35D4C10B" w14:textId="77777777">
        <w:trPr>
          <w:cantSplit/>
          <w:tblHeader/>
        </w:trPr>
        <w:tc>
          <w:tcPr>
            <w:tcW w:w="2268" w:type="dxa"/>
            <w:shd w:val="clear" w:color="auto" w:fill="E0E0E0"/>
            <w:vAlign w:val="center"/>
          </w:tcPr>
          <w:p w14:paraId="79ADF1B6" w14:textId="77777777" w:rsidR="00DF7FA2" w:rsidRDefault="00DF7FA2">
            <w:pPr>
              <w:jc w:val="center"/>
              <w:rPr>
                <w:rFonts w:cs="Arial"/>
                <w:b/>
                <w:sz w:val="20"/>
                <w:szCs w:val="20"/>
              </w:rPr>
            </w:pPr>
            <w:r>
              <w:rPr>
                <w:rFonts w:cs="Arial"/>
                <w:b/>
                <w:sz w:val="20"/>
                <w:szCs w:val="20"/>
              </w:rPr>
              <w:t>Data Owner</w:t>
            </w:r>
          </w:p>
        </w:tc>
        <w:tc>
          <w:tcPr>
            <w:tcW w:w="2160" w:type="dxa"/>
            <w:shd w:val="clear" w:color="auto" w:fill="E0E0E0"/>
            <w:vAlign w:val="center"/>
          </w:tcPr>
          <w:p w14:paraId="211ED75E" w14:textId="77777777" w:rsidR="00DF7FA2" w:rsidRDefault="00DF7FA2">
            <w:pPr>
              <w:jc w:val="center"/>
              <w:rPr>
                <w:rFonts w:cs="Arial"/>
                <w:b/>
                <w:sz w:val="20"/>
                <w:szCs w:val="20"/>
              </w:rPr>
            </w:pPr>
            <w:r>
              <w:rPr>
                <w:rFonts w:cs="Arial"/>
                <w:b/>
                <w:sz w:val="20"/>
                <w:szCs w:val="20"/>
              </w:rPr>
              <w:t>Privacy Officer</w:t>
            </w:r>
          </w:p>
        </w:tc>
        <w:tc>
          <w:tcPr>
            <w:tcW w:w="2160" w:type="dxa"/>
            <w:shd w:val="clear" w:color="auto" w:fill="E0E0E0"/>
            <w:vAlign w:val="center"/>
          </w:tcPr>
          <w:p w14:paraId="3738FB8E" w14:textId="77777777" w:rsidR="00DF7FA2" w:rsidRDefault="00DF7FA2">
            <w:pPr>
              <w:jc w:val="center"/>
              <w:rPr>
                <w:rFonts w:cs="Arial"/>
                <w:b/>
                <w:sz w:val="20"/>
                <w:szCs w:val="20"/>
              </w:rPr>
            </w:pPr>
            <w:r>
              <w:rPr>
                <w:rFonts w:cs="Arial"/>
                <w:b/>
                <w:sz w:val="20"/>
                <w:szCs w:val="20"/>
              </w:rPr>
              <w:t>Office of General Counsel, Senior Management</w:t>
            </w:r>
          </w:p>
        </w:tc>
        <w:tc>
          <w:tcPr>
            <w:tcW w:w="2756" w:type="dxa"/>
            <w:tcBorders>
              <w:bottom w:val="single" w:sz="4" w:space="0" w:color="auto"/>
              <w:right w:val="single" w:sz="4" w:space="0" w:color="auto"/>
            </w:tcBorders>
            <w:shd w:val="clear" w:color="auto" w:fill="E0E0E0"/>
            <w:vAlign w:val="center"/>
          </w:tcPr>
          <w:p w14:paraId="2017383A" w14:textId="77777777" w:rsidR="00DF7FA2" w:rsidRDefault="00DF7FA2">
            <w:pPr>
              <w:jc w:val="center"/>
              <w:rPr>
                <w:rFonts w:cs="Arial"/>
                <w:b/>
                <w:sz w:val="20"/>
                <w:szCs w:val="20"/>
              </w:rPr>
            </w:pPr>
            <w:r>
              <w:rPr>
                <w:rFonts w:cs="Arial"/>
                <w:b/>
                <w:sz w:val="20"/>
                <w:szCs w:val="20"/>
              </w:rPr>
              <w:t>Human Resources</w:t>
            </w:r>
          </w:p>
        </w:tc>
      </w:tr>
      <w:tr w:rsidR="00DF7FA2" w:rsidRPr="00B957F6" w14:paraId="30110B23" w14:textId="77777777">
        <w:trPr>
          <w:cantSplit/>
          <w:trHeight w:val="720"/>
        </w:trPr>
        <w:tc>
          <w:tcPr>
            <w:tcW w:w="4428" w:type="dxa"/>
            <w:gridSpan w:val="2"/>
            <w:vAlign w:val="center"/>
          </w:tcPr>
          <w:p w14:paraId="3DFE90C6" w14:textId="77777777" w:rsidR="00DF7FA2" w:rsidRDefault="00DF7FA2">
            <w:pPr>
              <w:ind w:left="360" w:hanging="360"/>
              <w:rPr>
                <w:rFonts w:cs="Arial"/>
                <w:sz w:val="20"/>
                <w:szCs w:val="20"/>
              </w:rPr>
            </w:pPr>
            <w:r>
              <w:rPr>
                <w:rFonts w:cs="Arial"/>
                <w:sz w:val="20"/>
                <w:szCs w:val="20"/>
              </w:rPr>
              <w:t>1)</w:t>
            </w:r>
            <w:r>
              <w:rPr>
                <w:rFonts w:cs="Arial"/>
                <w:sz w:val="20"/>
                <w:szCs w:val="20"/>
              </w:rPr>
              <w:tab/>
              <w:t>Evaluate mitigation steps.</w:t>
            </w:r>
          </w:p>
        </w:tc>
        <w:tc>
          <w:tcPr>
            <w:tcW w:w="2160" w:type="dxa"/>
            <w:vAlign w:val="center"/>
          </w:tcPr>
          <w:p w14:paraId="6A04C43C" w14:textId="77777777" w:rsidR="00DF7FA2" w:rsidRDefault="00DF7FA2">
            <w:pPr>
              <w:ind w:left="360" w:hanging="360"/>
              <w:jc w:val="center"/>
              <w:rPr>
                <w:rFonts w:cs="Arial"/>
                <w:sz w:val="20"/>
                <w:szCs w:val="20"/>
              </w:rPr>
            </w:pPr>
          </w:p>
        </w:tc>
        <w:tc>
          <w:tcPr>
            <w:tcW w:w="2756" w:type="dxa"/>
            <w:tcBorders>
              <w:right w:val="single" w:sz="4" w:space="0" w:color="auto"/>
            </w:tcBorders>
            <w:vAlign w:val="center"/>
          </w:tcPr>
          <w:p w14:paraId="53E91680" w14:textId="77777777" w:rsidR="00DF7FA2" w:rsidRDefault="00DF7FA2">
            <w:pPr>
              <w:ind w:left="360" w:hanging="360"/>
              <w:rPr>
                <w:rFonts w:cs="Arial"/>
                <w:sz w:val="20"/>
                <w:szCs w:val="20"/>
              </w:rPr>
            </w:pPr>
          </w:p>
        </w:tc>
      </w:tr>
      <w:tr w:rsidR="00DF7FA2" w:rsidRPr="00B957F6" w14:paraId="7E5D5456" w14:textId="77777777">
        <w:trPr>
          <w:cantSplit/>
          <w:trHeight w:val="720"/>
        </w:trPr>
        <w:tc>
          <w:tcPr>
            <w:tcW w:w="4428" w:type="dxa"/>
            <w:gridSpan w:val="2"/>
            <w:vAlign w:val="center"/>
          </w:tcPr>
          <w:p w14:paraId="18E50101" w14:textId="77777777" w:rsidR="00DF7FA2" w:rsidRDefault="00DF7FA2">
            <w:pPr>
              <w:ind w:left="360" w:hanging="360"/>
              <w:rPr>
                <w:rFonts w:cs="Arial"/>
                <w:sz w:val="20"/>
                <w:szCs w:val="20"/>
              </w:rPr>
            </w:pPr>
            <w:r>
              <w:rPr>
                <w:rFonts w:cs="Arial"/>
                <w:sz w:val="20"/>
                <w:szCs w:val="20"/>
              </w:rPr>
              <w:t>2)</w:t>
            </w:r>
            <w:r>
              <w:rPr>
                <w:rFonts w:cs="Arial"/>
                <w:sz w:val="20"/>
                <w:szCs w:val="20"/>
              </w:rPr>
              <w:tab/>
              <w:t>Determine whether the Office of the General Counsel and/or senior management are required.</w:t>
            </w:r>
          </w:p>
        </w:tc>
        <w:tc>
          <w:tcPr>
            <w:tcW w:w="2160" w:type="dxa"/>
            <w:vAlign w:val="center"/>
          </w:tcPr>
          <w:p w14:paraId="24643B30" w14:textId="77777777" w:rsidR="00DF7FA2" w:rsidRDefault="00DF7FA2">
            <w:pPr>
              <w:ind w:left="360" w:hanging="360"/>
              <w:jc w:val="center"/>
              <w:rPr>
                <w:rFonts w:cs="Arial"/>
                <w:sz w:val="20"/>
                <w:szCs w:val="20"/>
              </w:rPr>
            </w:pPr>
          </w:p>
        </w:tc>
        <w:tc>
          <w:tcPr>
            <w:tcW w:w="2756" w:type="dxa"/>
            <w:tcBorders>
              <w:right w:val="single" w:sz="4" w:space="0" w:color="auto"/>
            </w:tcBorders>
            <w:vAlign w:val="center"/>
          </w:tcPr>
          <w:p w14:paraId="343F6047" w14:textId="77777777" w:rsidR="00DF7FA2" w:rsidRDefault="00DF7FA2">
            <w:pPr>
              <w:ind w:left="360" w:hanging="360"/>
              <w:rPr>
                <w:rFonts w:cs="Arial"/>
                <w:sz w:val="20"/>
                <w:szCs w:val="20"/>
              </w:rPr>
            </w:pPr>
          </w:p>
        </w:tc>
      </w:tr>
      <w:tr w:rsidR="00DF7FA2" w:rsidRPr="00B957F6" w14:paraId="371E6FFB" w14:textId="77777777">
        <w:trPr>
          <w:cantSplit/>
          <w:trHeight w:val="720"/>
        </w:trPr>
        <w:tc>
          <w:tcPr>
            <w:tcW w:w="4428" w:type="dxa"/>
            <w:gridSpan w:val="2"/>
            <w:vAlign w:val="center"/>
          </w:tcPr>
          <w:p w14:paraId="5D79718F" w14:textId="77777777" w:rsidR="00DF7FA2" w:rsidRDefault="00DF7FA2">
            <w:pPr>
              <w:ind w:left="360" w:hanging="360"/>
              <w:rPr>
                <w:rFonts w:cs="Arial"/>
                <w:sz w:val="20"/>
                <w:szCs w:val="20"/>
              </w:rPr>
            </w:pPr>
            <w:r>
              <w:rPr>
                <w:rFonts w:cs="Arial"/>
                <w:sz w:val="20"/>
                <w:szCs w:val="20"/>
              </w:rPr>
              <w:t>3)</w:t>
            </w:r>
            <w:r>
              <w:rPr>
                <w:rFonts w:cs="Arial"/>
                <w:sz w:val="20"/>
                <w:szCs w:val="20"/>
              </w:rPr>
              <w:tab/>
              <w:t>Notify Human Resources of the reported incident.</w:t>
            </w:r>
          </w:p>
        </w:tc>
        <w:tc>
          <w:tcPr>
            <w:tcW w:w="2160" w:type="dxa"/>
            <w:vAlign w:val="center"/>
          </w:tcPr>
          <w:p w14:paraId="170660C8" w14:textId="77777777" w:rsidR="00DF7FA2" w:rsidRDefault="00DF7FA2">
            <w:pPr>
              <w:ind w:left="360" w:hanging="360"/>
              <w:jc w:val="center"/>
              <w:rPr>
                <w:rFonts w:cs="Arial"/>
                <w:sz w:val="20"/>
                <w:szCs w:val="20"/>
              </w:rPr>
            </w:pPr>
          </w:p>
        </w:tc>
        <w:tc>
          <w:tcPr>
            <w:tcW w:w="2756" w:type="dxa"/>
            <w:tcBorders>
              <w:right w:val="single" w:sz="4" w:space="0" w:color="auto"/>
            </w:tcBorders>
            <w:vAlign w:val="center"/>
          </w:tcPr>
          <w:p w14:paraId="6ABB865C" w14:textId="77777777" w:rsidR="00DF7FA2" w:rsidRDefault="00DF7FA2">
            <w:pPr>
              <w:ind w:left="360" w:hanging="360"/>
              <w:rPr>
                <w:rFonts w:cs="Arial"/>
                <w:sz w:val="20"/>
                <w:szCs w:val="20"/>
              </w:rPr>
            </w:pPr>
          </w:p>
        </w:tc>
      </w:tr>
      <w:tr w:rsidR="00DF7FA2" w:rsidRPr="00B957F6" w14:paraId="7FB29D0A" w14:textId="77777777">
        <w:trPr>
          <w:cantSplit/>
          <w:trHeight w:val="720"/>
        </w:trPr>
        <w:tc>
          <w:tcPr>
            <w:tcW w:w="4428" w:type="dxa"/>
            <w:gridSpan w:val="2"/>
            <w:tcBorders>
              <w:top w:val="dashed" w:sz="4" w:space="0" w:color="auto"/>
              <w:left w:val="single" w:sz="4" w:space="0" w:color="auto"/>
              <w:bottom w:val="single" w:sz="4" w:space="0" w:color="auto"/>
              <w:right w:val="dashed" w:sz="4" w:space="0" w:color="auto"/>
            </w:tcBorders>
            <w:vAlign w:val="center"/>
          </w:tcPr>
          <w:p w14:paraId="25BAD3FD" w14:textId="77777777" w:rsidR="00DF7FA2" w:rsidRDefault="00DF7FA2">
            <w:pPr>
              <w:ind w:left="360" w:hanging="360"/>
              <w:rPr>
                <w:rFonts w:cs="Arial"/>
                <w:sz w:val="20"/>
                <w:szCs w:val="20"/>
              </w:rPr>
            </w:pPr>
            <w:r>
              <w:rPr>
                <w:rFonts w:cs="Arial"/>
                <w:sz w:val="20"/>
                <w:szCs w:val="20"/>
              </w:rPr>
              <w:t>4)</w:t>
            </w:r>
            <w:r>
              <w:rPr>
                <w:rFonts w:cs="Arial"/>
                <w:sz w:val="20"/>
                <w:szCs w:val="20"/>
              </w:rPr>
              <w:tab/>
              <w:t>Assign responsibilities for investigating and validating facts included in the incident report.</w:t>
            </w:r>
          </w:p>
        </w:tc>
        <w:tc>
          <w:tcPr>
            <w:tcW w:w="4916" w:type="dxa"/>
            <w:gridSpan w:val="2"/>
            <w:tcBorders>
              <w:left w:val="dashed" w:sz="4" w:space="0" w:color="auto"/>
              <w:right w:val="single" w:sz="4" w:space="0" w:color="auto"/>
            </w:tcBorders>
            <w:vAlign w:val="center"/>
          </w:tcPr>
          <w:p w14:paraId="0B6368A8" w14:textId="77777777" w:rsidR="00DF7FA2" w:rsidRDefault="00DF7FA2">
            <w:pPr>
              <w:ind w:left="360" w:hanging="360"/>
              <w:rPr>
                <w:rFonts w:cs="Arial"/>
                <w:i/>
                <w:sz w:val="20"/>
                <w:szCs w:val="20"/>
              </w:rPr>
            </w:pPr>
            <w:r>
              <w:rPr>
                <w:rFonts w:cs="Arial"/>
                <w:i/>
                <w:sz w:val="20"/>
                <w:szCs w:val="20"/>
              </w:rPr>
              <w:t>[Participates as appropriate]</w:t>
            </w:r>
          </w:p>
        </w:tc>
      </w:tr>
      <w:tr w:rsidR="00DF7FA2" w:rsidRPr="00B957F6" w14:paraId="6ADD06FD" w14:textId="77777777">
        <w:trPr>
          <w:cantSplit/>
          <w:trHeight w:val="720"/>
        </w:trPr>
        <w:tc>
          <w:tcPr>
            <w:tcW w:w="4428" w:type="dxa"/>
            <w:gridSpan w:val="2"/>
            <w:tcBorders>
              <w:top w:val="single" w:sz="4" w:space="0" w:color="auto"/>
              <w:right w:val="dashed" w:sz="4" w:space="0" w:color="auto"/>
            </w:tcBorders>
            <w:vAlign w:val="center"/>
          </w:tcPr>
          <w:p w14:paraId="023F88B0" w14:textId="77777777" w:rsidR="00DF7FA2" w:rsidRDefault="00DF7FA2">
            <w:pPr>
              <w:ind w:left="360" w:hanging="360"/>
              <w:rPr>
                <w:rFonts w:cs="Arial"/>
                <w:sz w:val="20"/>
                <w:szCs w:val="20"/>
              </w:rPr>
            </w:pPr>
            <w:r>
              <w:rPr>
                <w:rFonts w:cs="Arial"/>
                <w:sz w:val="20"/>
                <w:szCs w:val="20"/>
              </w:rPr>
              <w:t>5)</w:t>
            </w:r>
            <w:r>
              <w:rPr>
                <w:rFonts w:cs="Arial"/>
                <w:sz w:val="20"/>
                <w:szCs w:val="20"/>
              </w:rPr>
              <w:tab/>
              <w:t>Review investigation materials and make findings.</w:t>
            </w:r>
          </w:p>
        </w:tc>
        <w:tc>
          <w:tcPr>
            <w:tcW w:w="4916" w:type="dxa"/>
            <w:gridSpan w:val="2"/>
            <w:tcBorders>
              <w:left w:val="dashed" w:sz="4" w:space="0" w:color="auto"/>
              <w:right w:val="single" w:sz="4" w:space="0" w:color="auto"/>
            </w:tcBorders>
            <w:vAlign w:val="center"/>
          </w:tcPr>
          <w:p w14:paraId="5A6B8BBF" w14:textId="77777777" w:rsidR="00DF7FA2" w:rsidRDefault="00DF7FA2">
            <w:pPr>
              <w:ind w:left="360" w:hanging="360"/>
              <w:rPr>
                <w:rFonts w:cs="Arial"/>
                <w:i/>
                <w:sz w:val="20"/>
                <w:szCs w:val="20"/>
              </w:rPr>
            </w:pPr>
            <w:r>
              <w:rPr>
                <w:rFonts w:cs="Arial"/>
                <w:i/>
                <w:sz w:val="20"/>
                <w:szCs w:val="20"/>
              </w:rPr>
              <w:t>[Participates as appropriate]</w:t>
            </w:r>
          </w:p>
        </w:tc>
      </w:tr>
      <w:tr w:rsidR="00DF7FA2" w:rsidRPr="00B957F6" w14:paraId="45B109C6" w14:textId="77777777">
        <w:trPr>
          <w:cantSplit/>
          <w:trHeight w:val="864"/>
        </w:trPr>
        <w:tc>
          <w:tcPr>
            <w:tcW w:w="2268" w:type="dxa"/>
            <w:vAlign w:val="center"/>
          </w:tcPr>
          <w:p w14:paraId="3C61F845" w14:textId="77777777" w:rsidR="00DF7FA2" w:rsidRDefault="00DF7FA2">
            <w:pPr>
              <w:ind w:left="360" w:hanging="360"/>
              <w:rPr>
                <w:rFonts w:cs="Arial"/>
                <w:sz w:val="20"/>
                <w:szCs w:val="20"/>
              </w:rPr>
            </w:pPr>
          </w:p>
        </w:tc>
        <w:tc>
          <w:tcPr>
            <w:tcW w:w="2160" w:type="dxa"/>
            <w:vAlign w:val="center"/>
          </w:tcPr>
          <w:p w14:paraId="157E3953" w14:textId="77777777" w:rsidR="00DF7FA2" w:rsidRDefault="00DF7FA2">
            <w:pPr>
              <w:ind w:left="252" w:hanging="252"/>
              <w:rPr>
                <w:rFonts w:cs="Arial"/>
                <w:sz w:val="20"/>
                <w:szCs w:val="20"/>
              </w:rPr>
            </w:pPr>
            <w:r>
              <w:rPr>
                <w:rFonts w:cs="Arial"/>
                <w:sz w:val="20"/>
                <w:szCs w:val="20"/>
              </w:rPr>
              <w:t>6)</w:t>
            </w:r>
            <w:r>
              <w:rPr>
                <w:rFonts w:cs="Arial"/>
                <w:sz w:val="20"/>
                <w:szCs w:val="20"/>
              </w:rPr>
              <w:tab/>
              <w:t>Convene Breach Response Team as appropriate (see Section F).</w:t>
            </w:r>
          </w:p>
        </w:tc>
        <w:tc>
          <w:tcPr>
            <w:tcW w:w="4916" w:type="dxa"/>
            <w:gridSpan w:val="2"/>
            <w:tcBorders>
              <w:right w:val="single" w:sz="4" w:space="0" w:color="auto"/>
            </w:tcBorders>
            <w:vAlign w:val="center"/>
          </w:tcPr>
          <w:p w14:paraId="2669D8DB" w14:textId="77777777" w:rsidR="00DF7FA2" w:rsidRDefault="00DF7FA2">
            <w:pPr>
              <w:ind w:left="360" w:hanging="360"/>
              <w:rPr>
                <w:rFonts w:cs="Arial"/>
                <w:sz w:val="20"/>
                <w:szCs w:val="20"/>
              </w:rPr>
            </w:pPr>
          </w:p>
        </w:tc>
      </w:tr>
      <w:tr w:rsidR="00DF7FA2" w:rsidRPr="00B957F6" w14:paraId="201086C7" w14:textId="77777777">
        <w:trPr>
          <w:cantSplit/>
          <w:trHeight w:val="1250"/>
        </w:trPr>
        <w:tc>
          <w:tcPr>
            <w:tcW w:w="2268" w:type="dxa"/>
            <w:vAlign w:val="center"/>
          </w:tcPr>
          <w:p w14:paraId="33D0BDF5" w14:textId="77777777" w:rsidR="00DF7FA2" w:rsidRDefault="00DF7FA2">
            <w:pPr>
              <w:ind w:left="360" w:hanging="360"/>
              <w:rPr>
                <w:rFonts w:cs="Arial"/>
                <w:sz w:val="20"/>
                <w:szCs w:val="20"/>
              </w:rPr>
            </w:pPr>
          </w:p>
        </w:tc>
        <w:tc>
          <w:tcPr>
            <w:tcW w:w="2160" w:type="dxa"/>
            <w:vAlign w:val="center"/>
          </w:tcPr>
          <w:p w14:paraId="6A142F5A" w14:textId="77777777" w:rsidR="00DF7FA2" w:rsidRDefault="00DF7FA2">
            <w:pPr>
              <w:ind w:left="252" w:hanging="252"/>
              <w:rPr>
                <w:rFonts w:cs="Arial"/>
                <w:sz w:val="20"/>
                <w:szCs w:val="20"/>
              </w:rPr>
            </w:pPr>
            <w:r>
              <w:rPr>
                <w:rFonts w:cs="Arial"/>
                <w:sz w:val="20"/>
                <w:szCs w:val="20"/>
              </w:rPr>
              <w:t>7)</w:t>
            </w:r>
            <w:r>
              <w:rPr>
                <w:rFonts w:cs="Arial"/>
                <w:sz w:val="20"/>
                <w:szCs w:val="20"/>
              </w:rPr>
              <w:tab/>
              <w:t>Determine whether any intra-governmental notifications are required (see Section H) and follow through as required.</w:t>
            </w:r>
          </w:p>
        </w:tc>
        <w:tc>
          <w:tcPr>
            <w:tcW w:w="4916" w:type="dxa"/>
            <w:gridSpan w:val="2"/>
            <w:tcBorders>
              <w:right w:val="single" w:sz="4" w:space="0" w:color="auto"/>
            </w:tcBorders>
            <w:vAlign w:val="center"/>
          </w:tcPr>
          <w:p w14:paraId="23697740" w14:textId="77777777" w:rsidR="00DF7FA2" w:rsidRDefault="00DF7FA2">
            <w:pPr>
              <w:ind w:left="252" w:hanging="252"/>
              <w:rPr>
                <w:rFonts w:cs="Arial"/>
                <w:sz w:val="20"/>
                <w:szCs w:val="20"/>
              </w:rPr>
            </w:pPr>
            <w:r>
              <w:rPr>
                <w:rFonts w:cs="Arial"/>
                <w:sz w:val="20"/>
                <w:szCs w:val="20"/>
              </w:rPr>
              <w:t>8)</w:t>
            </w:r>
            <w:r>
              <w:rPr>
                <w:rFonts w:cs="Arial"/>
                <w:sz w:val="20"/>
                <w:szCs w:val="20"/>
              </w:rPr>
              <w:tab/>
              <w:t>Recommend an appropriate Sanction (see “Sanctions Against Workforce Members Committing Breaches of Confidentiality”).</w:t>
            </w:r>
          </w:p>
        </w:tc>
      </w:tr>
      <w:tr w:rsidR="00DF7FA2" w:rsidRPr="00B957F6" w14:paraId="42E002F7" w14:textId="77777777">
        <w:trPr>
          <w:cantSplit/>
          <w:trHeight w:val="1250"/>
        </w:trPr>
        <w:tc>
          <w:tcPr>
            <w:tcW w:w="2268" w:type="dxa"/>
            <w:vAlign w:val="center"/>
          </w:tcPr>
          <w:p w14:paraId="350F406F" w14:textId="77777777" w:rsidR="00DF7FA2" w:rsidRDefault="00DF7FA2">
            <w:pPr>
              <w:ind w:left="360" w:hanging="360"/>
              <w:rPr>
                <w:rFonts w:cs="Arial"/>
                <w:sz w:val="20"/>
                <w:szCs w:val="20"/>
              </w:rPr>
            </w:pPr>
          </w:p>
        </w:tc>
        <w:tc>
          <w:tcPr>
            <w:tcW w:w="2160" w:type="dxa"/>
            <w:vAlign w:val="center"/>
          </w:tcPr>
          <w:p w14:paraId="2527A862" w14:textId="77777777" w:rsidR="00DF7FA2" w:rsidRDefault="00DF7FA2">
            <w:pPr>
              <w:ind w:left="360" w:hanging="360"/>
              <w:rPr>
                <w:rFonts w:cs="Arial"/>
                <w:sz w:val="20"/>
                <w:szCs w:val="20"/>
              </w:rPr>
            </w:pPr>
          </w:p>
        </w:tc>
        <w:tc>
          <w:tcPr>
            <w:tcW w:w="2160" w:type="dxa"/>
            <w:vAlign w:val="center"/>
          </w:tcPr>
          <w:p w14:paraId="7D738B11" w14:textId="77777777" w:rsidR="00DF7FA2" w:rsidRDefault="00DF7FA2">
            <w:pPr>
              <w:ind w:left="360" w:hanging="360"/>
              <w:rPr>
                <w:rFonts w:cs="Arial"/>
                <w:sz w:val="20"/>
                <w:szCs w:val="20"/>
              </w:rPr>
            </w:pPr>
          </w:p>
        </w:tc>
        <w:tc>
          <w:tcPr>
            <w:tcW w:w="2756" w:type="dxa"/>
            <w:tcBorders>
              <w:right w:val="single" w:sz="4" w:space="0" w:color="auto"/>
            </w:tcBorders>
            <w:vAlign w:val="center"/>
          </w:tcPr>
          <w:p w14:paraId="54AB18B7" w14:textId="77777777" w:rsidR="00DF7FA2" w:rsidRDefault="00DF7FA2">
            <w:pPr>
              <w:ind w:left="252" w:hanging="252"/>
              <w:rPr>
                <w:rFonts w:cs="Arial"/>
                <w:sz w:val="20"/>
                <w:szCs w:val="20"/>
              </w:rPr>
            </w:pPr>
            <w:r>
              <w:rPr>
                <w:rFonts w:cs="Arial"/>
                <w:sz w:val="20"/>
                <w:szCs w:val="20"/>
              </w:rPr>
              <w:t>9)</w:t>
            </w:r>
            <w:r>
              <w:rPr>
                <w:rFonts w:cs="Arial"/>
                <w:sz w:val="20"/>
                <w:szCs w:val="20"/>
              </w:rPr>
              <w:tab/>
              <w:t>Provide the sanctioned workforce member with a notice of the finding and the recommended Sanction in accordance with Civil Service or collective bargaining procedures, if applicable.</w:t>
            </w:r>
          </w:p>
        </w:tc>
      </w:tr>
      <w:tr w:rsidR="00DF7FA2" w:rsidRPr="00B957F6" w14:paraId="654EAFC5" w14:textId="77777777">
        <w:trPr>
          <w:cantSplit/>
          <w:trHeight w:val="530"/>
        </w:trPr>
        <w:tc>
          <w:tcPr>
            <w:tcW w:w="2268" w:type="dxa"/>
            <w:vAlign w:val="center"/>
          </w:tcPr>
          <w:p w14:paraId="26DE9972" w14:textId="77777777" w:rsidR="00DF7FA2" w:rsidRDefault="00DF7FA2">
            <w:pPr>
              <w:ind w:left="360" w:hanging="360"/>
              <w:rPr>
                <w:rFonts w:cs="Arial"/>
                <w:sz w:val="20"/>
                <w:szCs w:val="20"/>
              </w:rPr>
            </w:pPr>
          </w:p>
        </w:tc>
        <w:tc>
          <w:tcPr>
            <w:tcW w:w="7076" w:type="dxa"/>
            <w:gridSpan w:val="3"/>
            <w:tcBorders>
              <w:right w:val="single" w:sz="4" w:space="0" w:color="auto"/>
            </w:tcBorders>
            <w:vAlign w:val="center"/>
          </w:tcPr>
          <w:p w14:paraId="44B16A7A" w14:textId="77777777" w:rsidR="00DF7FA2" w:rsidRDefault="00DF7FA2">
            <w:pPr>
              <w:ind w:left="360" w:hanging="360"/>
              <w:rPr>
                <w:rFonts w:cs="Arial"/>
                <w:sz w:val="20"/>
                <w:szCs w:val="20"/>
              </w:rPr>
            </w:pPr>
            <w:r>
              <w:rPr>
                <w:rFonts w:cs="Arial"/>
                <w:sz w:val="20"/>
                <w:szCs w:val="20"/>
              </w:rPr>
              <w:t>10)</w:t>
            </w:r>
            <w:r>
              <w:rPr>
                <w:rFonts w:cs="Arial"/>
                <w:sz w:val="20"/>
                <w:szCs w:val="20"/>
              </w:rPr>
              <w:tab/>
              <w:t>Document the investigation in accordance with Department policies and applicable laws.</w:t>
            </w:r>
          </w:p>
        </w:tc>
      </w:tr>
    </w:tbl>
    <w:p w14:paraId="16BA1686" w14:textId="77777777" w:rsidR="00DF7FA2" w:rsidRPr="001853B6" w:rsidRDefault="00DF7FA2" w:rsidP="00874517">
      <w:pPr>
        <w:pStyle w:val="H3SubParagraph"/>
      </w:pPr>
      <w:r>
        <w:br w:type="page"/>
      </w:r>
      <w:r w:rsidRPr="001853B6">
        <w:t>Convening a Breach Response Team</w:t>
      </w:r>
    </w:p>
    <w:p w14:paraId="7BFED31D" w14:textId="77777777" w:rsidR="00DF7FA2" w:rsidRPr="00B957F6" w:rsidRDefault="00DF7FA2" w:rsidP="00874517">
      <w:pPr>
        <w:pStyle w:val="H3Text"/>
      </w:pPr>
      <w:r w:rsidRPr="00B957F6">
        <w:t>The privacy officer shall convene a Breach Response Team as s/he determines necessary.  The members of the Breach Response Team shall consist of:</w:t>
      </w:r>
    </w:p>
    <w:p w14:paraId="79F607D4" w14:textId="77777777" w:rsidR="00DF7FA2" w:rsidRPr="00520C7A" w:rsidRDefault="00DF7FA2">
      <w:pPr>
        <w:pStyle w:val="H3Text"/>
        <w:numPr>
          <w:ilvl w:val="0"/>
          <w:numId w:val="100"/>
        </w:numPr>
      </w:pPr>
      <w:r w:rsidRPr="00520C7A">
        <w:t>The DPH privacy officer;</w:t>
      </w:r>
    </w:p>
    <w:p w14:paraId="6E973970" w14:textId="77777777" w:rsidR="00DF7FA2" w:rsidRPr="00520C7A" w:rsidRDefault="00DF7FA2">
      <w:pPr>
        <w:pStyle w:val="H3Text"/>
        <w:numPr>
          <w:ilvl w:val="0"/>
          <w:numId w:val="100"/>
        </w:numPr>
      </w:pPr>
      <w:r w:rsidRPr="00520C7A">
        <w:t>The director of the Privacy &amp; Data Access Office;</w:t>
      </w:r>
    </w:p>
    <w:p w14:paraId="3A836D68" w14:textId="77777777" w:rsidR="00DF7FA2" w:rsidRPr="00520C7A" w:rsidRDefault="00DF7FA2">
      <w:pPr>
        <w:pStyle w:val="H3Text"/>
        <w:numPr>
          <w:ilvl w:val="0"/>
          <w:numId w:val="100"/>
        </w:numPr>
      </w:pPr>
      <w:r w:rsidRPr="00520C7A">
        <w:t>The DPH security officer;</w:t>
      </w:r>
    </w:p>
    <w:p w14:paraId="5F090206" w14:textId="77777777" w:rsidR="00DF7FA2" w:rsidRPr="00520C7A" w:rsidRDefault="00DF7FA2">
      <w:pPr>
        <w:pStyle w:val="H3Text"/>
        <w:numPr>
          <w:ilvl w:val="0"/>
          <w:numId w:val="100"/>
        </w:numPr>
      </w:pPr>
      <w:r w:rsidRPr="00520C7A">
        <w:t>The director, Public Health Strategies &amp; Communications; and</w:t>
      </w:r>
    </w:p>
    <w:p w14:paraId="779F98D0" w14:textId="77777777" w:rsidR="00DF7FA2" w:rsidRDefault="00DF7FA2">
      <w:pPr>
        <w:pStyle w:val="H3Text"/>
        <w:numPr>
          <w:ilvl w:val="0"/>
          <w:numId w:val="100"/>
        </w:numPr>
      </w:pPr>
      <w:r w:rsidRPr="00520C7A">
        <w:t>Other individuals as appropriate to the specific situation.</w:t>
      </w:r>
    </w:p>
    <w:p w14:paraId="40B64E56" w14:textId="77777777" w:rsidR="00DF7FA2" w:rsidRDefault="00DF7FA2" w:rsidP="00874517">
      <w:pPr>
        <w:pStyle w:val="H3SubParagraph"/>
      </w:pPr>
      <w:r w:rsidRPr="001853B6">
        <w:t>Responsibilities of the Breach Response Tea</w:t>
      </w:r>
      <w:r>
        <w:t>m</w:t>
      </w:r>
    </w:p>
    <w:p w14:paraId="2CE80CF0" w14:textId="77777777" w:rsidR="00DF7FA2" w:rsidRPr="00B957F6" w:rsidRDefault="00DF7FA2" w:rsidP="00874517">
      <w:pPr>
        <w:pStyle w:val="H3Text"/>
      </w:pPr>
      <w:r w:rsidRPr="00B957F6">
        <w:t>The responsibilities of the Breach Response Team are as follows:</w:t>
      </w:r>
    </w:p>
    <w:p w14:paraId="5D4528E7" w14:textId="77777777" w:rsidR="00DF7FA2" w:rsidRPr="00520C7A" w:rsidRDefault="00DF7FA2" w:rsidP="00874517">
      <w:pPr>
        <w:pStyle w:val="H3Text"/>
      </w:pPr>
      <w:r w:rsidRPr="00520C7A">
        <w:t>As appropriate to the situation:</w:t>
      </w:r>
    </w:p>
    <w:p w14:paraId="413F1E54" w14:textId="77777777" w:rsidR="00DF7FA2" w:rsidRPr="00520C7A" w:rsidRDefault="00DF7FA2">
      <w:pPr>
        <w:pStyle w:val="H3Text"/>
        <w:numPr>
          <w:ilvl w:val="0"/>
          <w:numId w:val="101"/>
        </w:numPr>
      </w:pPr>
      <w:r w:rsidRPr="00520C7A">
        <w:t>Develop and oversee a mitigation plan;</w:t>
      </w:r>
    </w:p>
    <w:p w14:paraId="2D7B5263" w14:textId="77777777" w:rsidR="00DF7FA2" w:rsidRPr="00520C7A" w:rsidRDefault="00DF7FA2">
      <w:pPr>
        <w:pStyle w:val="H3Text"/>
        <w:numPr>
          <w:ilvl w:val="0"/>
          <w:numId w:val="101"/>
        </w:numPr>
      </w:pPr>
      <w:r w:rsidRPr="00520C7A">
        <w:t>Develop and oversee the notification of Affected Individuals; and</w:t>
      </w:r>
    </w:p>
    <w:p w14:paraId="6F145995" w14:textId="77777777" w:rsidR="00DF7FA2" w:rsidRDefault="00DF7FA2">
      <w:pPr>
        <w:pStyle w:val="H3Text"/>
        <w:numPr>
          <w:ilvl w:val="0"/>
          <w:numId w:val="101"/>
        </w:numPr>
      </w:pPr>
      <w:r w:rsidRPr="00520C7A">
        <w:t>Coordinate internal and external communication.</w:t>
      </w:r>
    </w:p>
    <w:p w14:paraId="7ABD9D1D" w14:textId="77777777" w:rsidR="00DF7FA2" w:rsidRDefault="00DF7FA2" w:rsidP="00874517">
      <w:pPr>
        <w:pStyle w:val="H3SubParagraph"/>
      </w:pPr>
      <w:r>
        <w:t>Intra-Governmental Notification Requirements</w:t>
      </w:r>
    </w:p>
    <w:p w14:paraId="574168A1" w14:textId="77777777" w:rsidR="00DF7FA2" w:rsidRDefault="00DF7FA2" w:rsidP="00874517">
      <w:pPr>
        <w:pStyle w:val="H3Text"/>
      </w:pPr>
      <w:r>
        <w:t xml:space="preserve">Pursuant to Chapter 93H, Executive Order 504, and the </w:t>
      </w:r>
      <w:r w:rsidRPr="00656EBD">
        <w:t>Enterprise Cyber crime &amp; Security Incident Response Policy and Procedures</w:t>
      </w:r>
      <w:r>
        <w:t>, the following Intra-Governmental notifications are required for breaches meeting the criteria outlined in table 2.4.</w:t>
      </w:r>
    </w:p>
    <w:p w14:paraId="0357D583" w14:textId="77777777" w:rsidR="00DF7FA2" w:rsidRPr="00B131C7" w:rsidRDefault="00DF7FA2" w:rsidP="00124E52">
      <w:pPr>
        <w:pStyle w:val="H4SubNumberedParagraph"/>
        <w:numPr>
          <w:ilvl w:val="0"/>
          <w:numId w:val="0"/>
        </w:numPr>
        <w:rPr>
          <w:b w:val="0"/>
        </w:rPr>
      </w:pPr>
      <w:r>
        <w:br w:type="page"/>
        <w:t>Table 2.4:  Breach notification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980"/>
        <w:gridCol w:w="4068"/>
      </w:tblGrid>
      <w:tr w:rsidR="008E2DF7" w14:paraId="1F811FBE" w14:textId="77777777">
        <w:trPr>
          <w:cantSplit/>
          <w:tblHeader/>
        </w:trPr>
        <w:tc>
          <w:tcPr>
            <w:tcW w:w="2808" w:type="dxa"/>
            <w:tcBorders>
              <w:bottom w:val="single" w:sz="4" w:space="0" w:color="auto"/>
            </w:tcBorders>
            <w:shd w:val="clear" w:color="auto" w:fill="E6E6E6"/>
            <w:vAlign w:val="center"/>
          </w:tcPr>
          <w:p w14:paraId="5BA6C114" w14:textId="77777777" w:rsidR="00DF7FA2" w:rsidRDefault="00DF7FA2">
            <w:pPr>
              <w:jc w:val="center"/>
              <w:rPr>
                <w:rFonts w:cs="Arial"/>
                <w:b/>
                <w:bCs/>
                <w:sz w:val="20"/>
                <w:szCs w:val="20"/>
              </w:rPr>
            </w:pPr>
            <w:r>
              <w:rPr>
                <w:b/>
                <w:bCs/>
                <w:sz w:val="20"/>
              </w:rPr>
              <w:br w:type="page"/>
            </w:r>
            <w:r>
              <w:rPr>
                <w:rFonts w:cs="Arial"/>
                <w:b/>
                <w:bCs/>
                <w:sz w:val="20"/>
                <w:szCs w:val="20"/>
              </w:rPr>
              <w:t>Nature of Breach</w:t>
            </w:r>
          </w:p>
        </w:tc>
        <w:tc>
          <w:tcPr>
            <w:tcW w:w="1980" w:type="dxa"/>
            <w:shd w:val="clear" w:color="auto" w:fill="E6E6E6"/>
            <w:vAlign w:val="center"/>
          </w:tcPr>
          <w:p w14:paraId="274A08D7" w14:textId="77777777" w:rsidR="00DF7FA2" w:rsidRDefault="00DF7FA2">
            <w:pPr>
              <w:jc w:val="center"/>
              <w:rPr>
                <w:rFonts w:cs="Arial"/>
                <w:b/>
                <w:sz w:val="20"/>
                <w:szCs w:val="20"/>
              </w:rPr>
            </w:pPr>
            <w:r>
              <w:rPr>
                <w:rFonts w:cs="Arial"/>
                <w:b/>
                <w:sz w:val="20"/>
                <w:szCs w:val="20"/>
              </w:rPr>
              <w:t>Departments to be Notified</w:t>
            </w:r>
          </w:p>
        </w:tc>
        <w:tc>
          <w:tcPr>
            <w:tcW w:w="4068" w:type="dxa"/>
            <w:shd w:val="clear" w:color="auto" w:fill="E6E6E6"/>
            <w:vAlign w:val="center"/>
          </w:tcPr>
          <w:p w14:paraId="5E41DB26" w14:textId="77777777" w:rsidR="00DF7FA2" w:rsidRDefault="00DF7FA2">
            <w:pPr>
              <w:jc w:val="center"/>
              <w:rPr>
                <w:rFonts w:cs="Arial"/>
                <w:b/>
                <w:sz w:val="20"/>
                <w:szCs w:val="20"/>
              </w:rPr>
            </w:pPr>
            <w:r>
              <w:rPr>
                <w:rFonts w:cs="Arial"/>
                <w:b/>
                <w:sz w:val="20"/>
                <w:szCs w:val="20"/>
              </w:rPr>
              <w:t>Contents of Notification</w:t>
            </w:r>
          </w:p>
        </w:tc>
      </w:tr>
      <w:tr w:rsidR="008E2DF7" w14:paraId="6E4E9FA9" w14:textId="77777777">
        <w:trPr>
          <w:cantSplit/>
        </w:trPr>
        <w:tc>
          <w:tcPr>
            <w:tcW w:w="2808" w:type="dxa"/>
            <w:tcBorders>
              <w:bottom w:val="nil"/>
            </w:tcBorders>
          </w:tcPr>
          <w:p w14:paraId="37AB74D2" w14:textId="77777777" w:rsidR="00DF7FA2" w:rsidRDefault="00DF7FA2" w:rsidP="00874517">
            <w:pPr>
              <w:rPr>
                <w:rFonts w:cs="Arial"/>
                <w:sz w:val="20"/>
                <w:szCs w:val="20"/>
              </w:rPr>
            </w:pPr>
            <w:r>
              <w:rPr>
                <w:rFonts w:cs="Arial"/>
                <w:sz w:val="20"/>
                <w:szCs w:val="20"/>
              </w:rPr>
              <w:t>Unauthorized acquisition or unauthorized use of unencrypted data or encrypted data with the key that involves a resident's first name and last name or first initial and last name in combination with any one or more of the following data elements that relate to such resident: (a) Social Security number; (b) driver's license number or state-issued identification card number; or (c) financial account number, or credit or debit card number, with or without any required security code, access code, personal identification number or password, that would permit access to a resident's financial account  (Chapter 93H)</w:t>
            </w:r>
          </w:p>
        </w:tc>
        <w:tc>
          <w:tcPr>
            <w:tcW w:w="1980" w:type="dxa"/>
          </w:tcPr>
          <w:p w14:paraId="47AD69FD" w14:textId="77777777" w:rsidR="00DF7FA2" w:rsidRDefault="00DF7FA2">
            <w:pPr>
              <w:numPr>
                <w:ilvl w:val="0"/>
                <w:numId w:val="102"/>
              </w:numPr>
              <w:jc w:val="left"/>
              <w:rPr>
                <w:rFonts w:cs="Arial"/>
                <w:sz w:val="20"/>
                <w:szCs w:val="20"/>
              </w:rPr>
            </w:pPr>
            <w:r>
              <w:rPr>
                <w:rFonts w:cs="Arial"/>
                <w:sz w:val="20"/>
                <w:szCs w:val="20"/>
              </w:rPr>
              <w:t xml:space="preserve">Office of Consumer Affairs and Regulation </w:t>
            </w:r>
          </w:p>
          <w:p w14:paraId="62C7F69C" w14:textId="77777777" w:rsidR="00DF7FA2" w:rsidRDefault="00DF7FA2">
            <w:pPr>
              <w:numPr>
                <w:ilvl w:val="0"/>
                <w:numId w:val="102"/>
              </w:numPr>
              <w:jc w:val="left"/>
              <w:rPr>
                <w:rFonts w:cs="Arial"/>
                <w:sz w:val="20"/>
                <w:szCs w:val="20"/>
              </w:rPr>
            </w:pPr>
            <w:r>
              <w:rPr>
                <w:rFonts w:cs="Arial"/>
                <w:sz w:val="20"/>
                <w:szCs w:val="20"/>
              </w:rPr>
              <w:t>Attorney General</w:t>
            </w:r>
          </w:p>
          <w:p w14:paraId="2C4CA780" w14:textId="77777777" w:rsidR="00DF7FA2" w:rsidRDefault="00DF7FA2" w:rsidP="00874517">
            <w:pPr>
              <w:rPr>
                <w:rFonts w:cs="Arial"/>
                <w:sz w:val="20"/>
                <w:szCs w:val="20"/>
              </w:rPr>
            </w:pPr>
          </w:p>
        </w:tc>
        <w:tc>
          <w:tcPr>
            <w:tcW w:w="4068" w:type="dxa"/>
          </w:tcPr>
          <w:p w14:paraId="13C29166" w14:textId="77777777" w:rsidR="00DF7FA2" w:rsidRDefault="00DF7FA2">
            <w:pPr>
              <w:numPr>
                <w:ilvl w:val="0"/>
                <w:numId w:val="102"/>
              </w:numPr>
              <w:jc w:val="left"/>
              <w:rPr>
                <w:rFonts w:cs="Arial"/>
                <w:sz w:val="20"/>
                <w:szCs w:val="20"/>
              </w:rPr>
            </w:pPr>
            <w:r>
              <w:rPr>
                <w:rFonts w:cs="Arial"/>
                <w:sz w:val="20"/>
                <w:szCs w:val="20"/>
              </w:rPr>
              <w:t xml:space="preserve">A detailed description of the nature and circumstances of the breach of security or unauthorized acquisition or use of personal information </w:t>
            </w:r>
          </w:p>
          <w:p w14:paraId="2A50BCDD" w14:textId="77777777" w:rsidR="00DF7FA2" w:rsidRDefault="00DF7FA2">
            <w:pPr>
              <w:numPr>
                <w:ilvl w:val="0"/>
                <w:numId w:val="102"/>
              </w:numPr>
              <w:jc w:val="left"/>
              <w:rPr>
                <w:rFonts w:cs="Arial"/>
                <w:sz w:val="20"/>
                <w:szCs w:val="20"/>
              </w:rPr>
            </w:pPr>
            <w:r>
              <w:rPr>
                <w:rFonts w:cs="Arial"/>
                <w:sz w:val="20"/>
                <w:szCs w:val="20"/>
              </w:rPr>
              <w:t xml:space="preserve">The number of </w:t>
            </w:r>
            <w:smartTag w:uri="urn:schemas-microsoft-com:office:smarttags" w:element="place">
              <w:smartTag w:uri="urn:schemas-microsoft-com:office:smarttags" w:element="State">
                <w:r>
                  <w:rPr>
                    <w:rFonts w:cs="Arial"/>
                    <w:sz w:val="20"/>
                    <w:szCs w:val="20"/>
                  </w:rPr>
                  <w:t>Massachusetts</w:t>
                </w:r>
              </w:smartTag>
            </w:smartTag>
            <w:r>
              <w:rPr>
                <w:rFonts w:cs="Arial"/>
                <w:sz w:val="20"/>
                <w:szCs w:val="20"/>
              </w:rPr>
              <w:t xml:space="preserve"> residents affected as of the time of notification</w:t>
            </w:r>
          </w:p>
          <w:p w14:paraId="766A36B6" w14:textId="77777777" w:rsidR="00DF7FA2" w:rsidRDefault="00DF7FA2">
            <w:pPr>
              <w:numPr>
                <w:ilvl w:val="0"/>
                <w:numId w:val="102"/>
              </w:numPr>
              <w:jc w:val="left"/>
              <w:rPr>
                <w:rFonts w:cs="Arial"/>
                <w:sz w:val="20"/>
                <w:szCs w:val="20"/>
              </w:rPr>
            </w:pPr>
            <w:r>
              <w:rPr>
                <w:rFonts w:cs="Arial"/>
                <w:sz w:val="20"/>
                <w:szCs w:val="20"/>
              </w:rPr>
              <w:t>The steps already taken relative to the incident</w:t>
            </w:r>
          </w:p>
          <w:p w14:paraId="63C1C872" w14:textId="77777777" w:rsidR="00DF7FA2" w:rsidRDefault="00DF7FA2">
            <w:pPr>
              <w:numPr>
                <w:ilvl w:val="0"/>
                <w:numId w:val="102"/>
              </w:numPr>
              <w:jc w:val="left"/>
              <w:rPr>
                <w:rFonts w:cs="Arial"/>
                <w:sz w:val="20"/>
                <w:szCs w:val="20"/>
              </w:rPr>
            </w:pPr>
            <w:r>
              <w:rPr>
                <w:rFonts w:cs="Arial"/>
                <w:sz w:val="20"/>
                <w:szCs w:val="20"/>
              </w:rPr>
              <w:t xml:space="preserve">Any steps intended to be taken relative to the incident subsequent to notification </w:t>
            </w:r>
          </w:p>
          <w:p w14:paraId="1C339FA6" w14:textId="77777777" w:rsidR="00DF7FA2" w:rsidRDefault="00DF7FA2">
            <w:pPr>
              <w:numPr>
                <w:ilvl w:val="0"/>
                <w:numId w:val="102"/>
              </w:numPr>
              <w:jc w:val="left"/>
              <w:rPr>
                <w:rFonts w:cs="Arial"/>
                <w:sz w:val="20"/>
                <w:szCs w:val="20"/>
              </w:rPr>
            </w:pPr>
            <w:r>
              <w:rPr>
                <w:rFonts w:cs="Arial"/>
                <w:sz w:val="20"/>
                <w:szCs w:val="20"/>
              </w:rPr>
              <w:t>Information regarding whether law enforcement is engaged investigating the incident.</w:t>
            </w:r>
          </w:p>
          <w:p w14:paraId="03805BCE" w14:textId="77777777" w:rsidR="00DF7FA2" w:rsidRDefault="00DF7FA2" w:rsidP="00874517">
            <w:pPr>
              <w:rPr>
                <w:rFonts w:cs="Arial"/>
                <w:sz w:val="20"/>
                <w:szCs w:val="20"/>
              </w:rPr>
            </w:pPr>
          </w:p>
        </w:tc>
      </w:tr>
      <w:tr w:rsidR="008E2DF7" w14:paraId="763A0BDD" w14:textId="77777777">
        <w:trPr>
          <w:cantSplit/>
        </w:trPr>
        <w:tc>
          <w:tcPr>
            <w:tcW w:w="2808" w:type="dxa"/>
            <w:tcBorders>
              <w:top w:val="nil"/>
            </w:tcBorders>
          </w:tcPr>
          <w:p w14:paraId="59500E94" w14:textId="77777777" w:rsidR="00DF7FA2" w:rsidRDefault="00DF7FA2" w:rsidP="00874517">
            <w:pPr>
              <w:rPr>
                <w:rFonts w:cs="Arial"/>
                <w:sz w:val="20"/>
                <w:szCs w:val="20"/>
              </w:rPr>
            </w:pPr>
          </w:p>
        </w:tc>
        <w:tc>
          <w:tcPr>
            <w:tcW w:w="1980" w:type="dxa"/>
          </w:tcPr>
          <w:p w14:paraId="6F4C2B17" w14:textId="77777777" w:rsidR="00DF7FA2" w:rsidRDefault="00DF7FA2">
            <w:pPr>
              <w:numPr>
                <w:ilvl w:val="0"/>
                <w:numId w:val="102"/>
              </w:numPr>
              <w:jc w:val="left"/>
              <w:rPr>
                <w:rFonts w:cs="Arial"/>
                <w:sz w:val="20"/>
                <w:szCs w:val="20"/>
              </w:rPr>
            </w:pPr>
            <w:r>
              <w:rPr>
                <w:rFonts w:cs="Arial"/>
                <w:sz w:val="20"/>
                <w:szCs w:val="20"/>
              </w:rPr>
              <w:t>ITD</w:t>
            </w:r>
          </w:p>
          <w:p w14:paraId="581DFDB3" w14:textId="77777777" w:rsidR="00DF7FA2" w:rsidRDefault="00DF7FA2">
            <w:pPr>
              <w:numPr>
                <w:ilvl w:val="0"/>
                <w:numId w:val="102"/>
              </w:numPr>
              <w:jc w:val="left"/>
              <w:rPr>
                <w:rFonts w:cs="Arial"/>
                <w:sz w:val="20"/>
                <w:szCs w:val="20"/>
              </w:rPr>
            </w:pPr>
            <w:r>
              <w:rPr>
                <w:rFonts w:cs="Arial"/>
                <w:sz w:val="20"/>
                <w:szCs w:val="20"/>
              </w:rPr>
              <w:t>Department of Public Records</w:t>
            </w:r>
          </w:p>
        </w:tc>
        <w:tc>
          <w:tcPr>
            <w:tcW w:w="4068" w:type="dxa"/>
          </w:tcPr>
          <w:p w14:paraId="119AAF0C" w14:textId="77777777" w:rsidR="00DF7FA2" w:rsidRDefault="00DF7FA2">
            <w:pPr>
              <w:numPr>
                <w:ilvl w:val="0"/>
                <w:numId w:val="102"/>
              </w:numPr>
              <w:jc w:val="left"/>
              <w:rPr>
                <w:rFonts w:cs="Arial"/>
                <w:sz w:val="20"/>
                <w:szCs w:val="20"/>
              </w:rPr>
            </w:pPr>
            <w:r>
              <w:rPr>
                <w:rFonts w:cs="Arial"/>
                <w:sz w:val="20"/>
                <w:szCs w:val="20"/>
              </w:rPr>
              <w:t>Written notification of the nature and circumstances of the breach or unauthorized acquisition or use</w:t>
            </w:r>
          </w:p>
        </w:tc>
      </w:tr>
      <w:tr w:rsidR="00DF7FA2" w14:paraId="10F53F70" w14:textId="77777777">
        <w:trPr>
          <w:cantSplit/>
        </w:trPr>
        <w:tc>
          <w:tcPr>
            <w:tcW w:w="2808" w:type="dxa"/>
          </w:tcPr>
          <w:p w14:paraId="2BE61971" w14:textId="77777777" w:rsidR="00DF7FA2" w:rsidRDefault="00DF7FA2" w:rsidP="00874517">
            <w:pPr>
              <w:rPr>
                <w:rFonts w:cs="Arial"/>
                <w:sz w:val="20"/>
                <w:szCs w:val="20"/>
              </w:rPr>
            </w:pPr>
            <w:r>
              <w:rPr>
                <w:rFonts w:cs="Arial"/>
                <w:sz w:val="20"/>
                <w:szCs w:val="20"/>
              </w:rPr>
              <w:t xml:space="preserve">Security Incident (ITD </w:t>
            </w:r>
            <w:smartTag w:uri="urn:schemas-microsoft-com:office:smarttags" w:element="place">
              <w:smartTag w:uri="urn:schemas-microsoft-com:office:smarttags" w:element="City">
                <w:r>
                  <w:rPr>
                    <w:rFonts w:cs="Arial"/>
                    <w:sz w:val="20"/>
                    <w:szCs w:val="20"/>
                  </w:rPr>
                  <w:t>Enterprise</w:t>
                </w:r>
              </w:smartTag>
            </w:smartTag>
            <w:r>
              <w:rPr>
                <w:rFonts w:cs="Arial"/>
                <w:sz w:val="20"/>
                <w:szCs w:val="20"/>
              </w:rPr>
              <w:t xml:space="preserve"> Cybercrime &amp; Security Incident Response Policy and Procedures)</w:t>
            </w:r>
          </w:p>
        </w:tc>
        <w:tc>
          <w:tcPr>
            <w:tcW w:w="1980" w:type="dxa"/>
          </w:tcPr>
          <w:p w14:paraId="356ADD24" w14:textId="77777777" w:rsidR="00DF7FA2" w:rsidRDefault="00DF7FA2" w:rsidP="00874517">
            <w:pPr>
              <w:rPr>
                <w:rFonts w:cs="Arial"/>
                <w:sz w:val="20"/>
                <w:szCs w:val="20"/>
              </w:rPr>
            </w:pPr>
            <w:r>
              <w:rPr>
                <w:rFonts w:cs="Arial"/>
                <w:sz w:val="20"/>
                <w:szCs w:val="20"/>
              </w:rPr>
              <w:t>CommonHelp</w:t>
            </w:r>
          </w:p>
          <w:p w14:paraId="5FB286CB" w14:textId="77777777" w:rsidR="00DF7FA2" w:rsidRDefault="00DF7FA2" w:rsidP="00874517">
            <w:pPr>
              <w:rPr>
                <w:rFonts w:cs="Arial"/>
                <w:sz w:val="20"/>
                <w:szCs w:val="20"/>
              </w:rPr>
            </w:pPr>
            <w:r>
              <w:rPr>
                <w:rFonts w:cs="Arial"/>
                <w:sz w:val="20"/>
                <w:szCs w:val="20"/>
              </w:rPr>
              <w:t>(866) 888-2808</w:t>
            </w:r>
          </w:p>
        </w:tc>
        <w:tc>
          <w:tcPr>
            <w:tcW w:w="4068" w:type="dxa"/>
          </w:tcPr>
          <w:p w14:paraId="5EE9F5FB" w14:textId="77777777" w:rsidR="00DF7FA2" w:rsidRDefault="00DF7FA2">
            <w:pPr>
              <w:numPr>
                <w:ilvl w:val="0"/>
                <w:numId w:val="103"/>
              </w:numPr>
              <w:jc w:val="left"/>
              <w:rPr>
                <w:rFonts w:cs="Arial"/>
                <w:sz w:val="20"/>
                <w:szCs w:val="20"/>
              </w:rPr>
            </w:pPr>
            <w:r>
              <w:rPr>
                <w:rFonts w:cs="Arial"/>
                <w:sz w:val="20"/>
                <w:szCs w:val="20"/>
              </w:rPr>
              <w:t>Date</w:t>
            </w:r>
          </w:p>
          <w:p w14:paraId="508E8F06" w14:textId="77777777" w:rsidR="00DF7FA2" w:rsidRDefault="00DF7FA2">
            <w:pPr>
              <w:numPr>
                <w:ilvl w:val="0"/>
                <w:numId w:val="103"/>
              </w:numPr>
              <w:jc w:val="left"/>
              <w:rPr>
                <w:rFonts w:cs="Arial"/>
                <w:sz w:val="20"/>
                <w:szCs w:val="20"/>
              </w:rPr>
            </w:pPr>
            <w:r>
              <w:rPr>
                <w:rFonts w:cs="Arial"/>
                <w:sz w:val="20"/>
                <w:szCs w:val="20"/>
              </w:rPr>
              <w:t>Name of person reporting Incident</w:t>
            </w:r>
          </w:p>
          <w:p w14:paraId="0811C827" w14:textId="77777777" w:rsidR="00DF7FA2" w:rsidRDefault="00DF7FA2">
            <w:pPr>
              <w:numPr>
                <w:ilvl w:val="0"/>
                <w:numId w:val="103"/>
              </w:numPr>
              <w:jc w:val="left"/>
              <w:rPr>
                <w:rFonts w:cs="Arial"/>
                <w:sz w:val="20"/>
                <w:szCs w:val="20"/>
              </w:rPr>
            </w:pPr>
            <w:r>
              <w:rPr>
                <w:rFonts w:cs="Arial"/>
                <w:sz w:val="20"/>
                <w:szCs w:val="20"/>
              </w:rPr>
              <w:t>Agency MMARS Code</w:t>
            </w:r>
          </w:p>
          <w:p w14:paraId="2D383405" w14:textId="77777777" w:rsidR="00DF7FA2" w:rsidRDefault="00DF7FA2">
            <w:pPr>
              <w:numPr>
                <w:ilvl w:val="0"/>
                <w:numId w:val="103"/>
              </w:numPr>
              <w:jc w:val="left"/>
              <w:rPr>
                <w:rFonts w:cs="Arial"/>
                <w:sz w:val="20"/>
                <w:szCs w:val="20"/>
              </w:rPr>
            </w:pPr>
            <w:r>
              <w:rPr>
                <w:rFonts w:cs="Arial"/>
                <w:sz w:val="20"/>
                <w:szCs w:val="20"/>
              </w:rPr>
              <w:t>Date/Time CommonHelp was contacted (Include ticket number)</w:t>
            </w:r>
          </w:p>
          <w:p w14:paraId="603071F7" w14:textId="77777777" w:rsidR="00DF7FA2" w:rsidRDefault="00DF7FA2">
            <w:pPr>
              <w:numPr>
                <w:ilvl w:val="0"/>
                <w:numId w:val="103"/>
              </w:numPr>
              <w:jc w:val="left"/>
              <w:rPr>
                <w:rFonts w:cs="Arial"/>
                <w:sz w:val="20"/>
                <w:szCs w:val="20"/>
              </w:rPr>
            </w:pPr>
            <w:r>
              <w:rPr>
                <w:rFonts w:cs="Arial"/>
                <w:sz w:val="20"/>
                <w:szCs w:val="20"/>
              </w:rPr>
              <w:t>Date/Time/Person at Agency contacted</w:t>
            </w:r>
          </w:p>
          <w:p w14:paraId="3D90FBE1" w14:textId="77777777" w:rsidR="00DF7FA2" w:rsidRDefault="00DF7FA2">
            <w:pPr>
              <w:numPr>
                <w:ilvl w:val="0"/>
                <w:numId w:val="103"/>
              </w:numPr>
              <w:jc w:val="left"/>
              <w:rPr>
                <w:rFonts w:cs="Arial"/>
                <w:sz w:val="20"/>
                <w:szCs w:val="20"/>
              </w:rPr>
            </w:pPr>
            <w:r>
              <w:rPr>
                <w:rFonts w:cs="Arial"/>
                <w:sz w:val="20"/>
                <w:szCs w:val="20"/>
              </w:rPr>
              <w:t xml:space="preserve">Description of threat or incident </w:t>
            </w:r>
          </w:p>
          <w:p w14:paraId="7E1BB6D5" w14:textId="77777777" w:rsidR="00DF7FA2" w:rsidRDefault="00DF7FA2">
            <w:pPr>
              <w:numPr>
                <w:ilvl w:val="0"/>
                <w:numId w:val="103"/>
              </w:numPr>
              <w:jc w:val="left"/>
              <w:rPr>
                <w:rFonts w:cs="Arial"/>
                <w:sz w:val="20"/>
                <w:szCs w:val="20"/>
              </w:rPr>
            </w:pPr>
            <w:r>
              <w:rPr>
                <w:rFonts w:cs="Arial"/>
                <w:sz w:val="20"/>
                <w:szCs w:val="20"/>
              </w:rPr>
              <w:t>Whether the incident is continuing</w:t>
            </w:r>
          </w:p>
          <w:p w14:paraId="08421041" w14:textId="77777777" w:rsidR="00DF7FA2" w:rsidRDefault="00DF7FA2">
            <w:pPr>
              <w:numPr>
                <w:ilvl w:val="0"/>
                <w:numId w:val="103"/>
              </w:numPr>
              <w:jc w:val="left"/>
              <w:rPr>
                <w:rFonts w:cs="Arial"/>
                <w:sz w:val="20"/>
                <w:szCs w:val="20"/>
              </w:rPr>
            </w:pPr>
            <w:r>
              <w:rPr>
                <w:rFonts w:cs="Arial"/>
                <w:sz w:val="20"/>
                <w:szCs w:val="20"/>
              </w:rPr>
              <w:t>How the incident began</w:t>
            </w:r>
          </w:p>
          <w:p w14:paraId="69763F4A" w14:textId="77777777" w:rsidR="00DF7FA2" w:rsidRDefault="00DF7FA2">
            <w:pPr>
              <w:numPr>
                <w:ilvl w:val="0"/>
                <w:numId w:val="103"/>
              </w:numPr>
              <w:jc w:val="left"/>
              <w:rPr>
                <w:rFonts w:cs="Arial"/>
                <w:sz w:val="20"/>
                <w:szCs w:val="20"/>
              </w:rPr>
            </w:pPr>
            <w:r>
              <w:rPr>
                <w:rFonts w:cs="Arial"/>
                <w:sz w:val="20"/>
                <w:szCs w:val="20"/>
              </w:rPr>
              <w:t>IT assets being compromised, including identification and classification (i.e., level of confidentiality) of affected data or systems</w:t>
            </w:r>
          </w:p>
          <w:p w14:paraId="7866E421" w14:textId="77777777" w:rsidR="00DF7FA2" w:rsidRDefault="00DF7FA2">
            <w:pPr>
              <w:numPr>
                <w:ilvl w:val="0"/>
                <w:numId w:val="103"/>
              </w:numPr>
              <w:jc w:val="left"/>
              <w:rPr>
                <w:rFonts w:cs="Arial"/>
                <w:sz w:val="20"/>
                <w:szCs w:val="20"/>
              </w:rPr>
            </w:pPr>
            <w:r>
              <w:rPr>
                <w:rFonts w:cs="Arial"/>
                <w:sz w:val="20"/>
                <w:szCs w:val="20"/>
              </w:rPr>
              <w:t>Whether DPH has determined the cause and origination of the incident</w:t>
            </w:r>
          </w:p>
          <w:p w14:paraId="1E4AB58F" w14:textId="77777777" w:rsidR="00DF7FA2" w:rsidRDefault="00DF7FA2">
            <w:pPr>
              <w:numPr>
                <w:ilvl w:val="0"/>
                <w:numId w:val="103"/>
              </w:numPr>
              <w:jc w:val="left"/>
              <w:rPr>
                <w:rFonts w:cs="Arial"/>
                <w:sz w:val="20"/>
                <w:szCs w:val="20"/>
              </w:rPr>
            </w:pPr>
            <w:r>
              <w:rPr>
                <w:rFonts w:cs="Arial"/>
                <w:sz w:val="20"/>
                <w:szCs w:val="20"/>
              </w:rPr>
              <w:t>A list of the actions which must be and/or have been taken and the resources required to stop and/or remedy the incident</w:t>
            </w:r>
          </w:p>
          <w:p w14:paraId="3323F442" w14:textId="77777777" w:rsidR="00DF7FA2" w:rsidRDefault="00DF7FA2">
            <w:pPr>
              <w:numPr>
                <w:ilvl w:val="0"/>
                <w:numId w:val="103"/>
              </w:numPr>
              <w:jc w:val="left"/>
              <w:rPr>
                <w:rFonts w:cs="Arial"/>
                <w:sz w:val="20"/>
                <w:szCs w:val="20"/>
              </w:rPr>
            </w:pPr>
            <w:r>
              <w:rPr>
                <w:rFonts w:cs="Arial"/>
                <w:sz w:val="20"/>
                <w:szCs w:val="20"/>
              </w:rPr>
              <w:t>The steps taken to mitigate or remediate the damage</w:t>
            </w:r>
          </w:p>
          <w:p w14:paraId="055E627E" w14:textId="77777777" w:rsidR="00DF7FA2" w:rsidRDefault="00DF7FA2">
            <w:pPr>
              <w:numPr>
                <w:ilvl w:val="0"/>
                <w:numId w:val="103"/>
              </w:numPr>
              <w:jc w:val="left"/>
              <w:rPr>
                <w:rFonts w:cs="Arial"/>
                <w:sz w:val="20"/>
                <w:szCs w:val="20"/>
              </w:rPr>
            </w:pPr>
            <w:r>
              <w:rPr>
                <w:rFonts w:cs="Arial"/>
                <w:sz w:val="20"/>
                <w:szCs w:val="20"/>
              </w:rPr>
              <w:t>Evidence available to assist in the investigation (e.g., log files)</w:t>
            </w:r>
          </w:p>
        </w:tc>
      </w:tr>
    </w:tbl>
    <w:p w14:paraId="2B8F5FFD" w14:textId="77777777" w:rsidR="00DF7FA2" w:rsidRPr="00CE0291" w:rsidRDefault="00DF7FA2" w:rsidP="00874517">
      <w:pPr>
        <w:pStyle w:val="H2Paragraph"/>
      </w:pPr>
      <w:r>
        <w:br w:type="page"/>
      </w:r>
      <w:bookmarkStart w:id="19" w:name="_Toc209771759"/>
      <w:r w:rsidRPr="00CE0291">
        <w:t xml:space="preserve">Notification of </w:t>
      </w:r>
      <w:r>
        <w:t>A</w:t>
      </w:r>
      <w:r w:rsidRPr="00CE0291">
        <w:t xml:space="preserve">ffected </w:t>
      </w:r>
      <w:r>
        <w:t>I</w:t>
      </w:r>
      <w:r w:rsidRPr="00CE0291">
        <w:t>ndividuals</w:t>
      </w:r>
      <w:bookmarkEnd w:id="19"/>
    </w:p>
    <w:p w14:paraId="36623E82" w14:textId="77777777" w:rsidR="00DF7FA2" w:rsidRPr="001853B6" w:rsidRDefault="00DF7FA2" w:rsidP="00874517">
      <w:pPr>
        <w:pStyle w:val="H3SubParagraph"/>
      </w:pPr>
      <w:r w:rsidRPr="001853B6">
        <w:t>Notification of Affected Individuals</w:t>
      </w:r>
    </w:p>
    <w:p w14:paraId="7204D3A5" w14:textId="77777777" w:rsidR="00DF7FA2" w:rsidRPr="00B957F6" w:rsidRDefault="00DF7FA2" w:rsidP="00874517">
      <w:pPr>
        <w:pStyle w:val="H3Text"/>
      </w:pPr>
      <w:r w:rsidRPr="00B957F6">
        <w:t>The notification of Affected Individuals is made on a case-by-case basis in consideration of the following factors:</w:t>
      </w:r>
    </w:p>
    <w:p w14:paraId="3E3859A7" w14:textId="77777777" w:rsidR="00DF7FA2" w:rsidRDefault="00DF7FA2" w:rsidP="00DF7FA2">
      <w:pPr>
        <w:pStyle w:val="H4SubNumberedParagraph"/>
      </w:pPr>
      <w:r w:rsidRPr="00B957F6">
        <w:t xml:space="preserve">Federal or </w:t>
      </w:r>
      <w:smartTag w:uri="urn:schemas-microsoft-com:office:smarttags" w:element="place">
        <w:smartTag w:uri="urn:schemas-microsoft-com:office:smarttags" w:element="State">
          <w:r w:rsidRPr="00B957F6">
            <w:t>Massachusetts</w:t>
          </w:r>
        </w:smartTag>
      </w:smartTag>
      <w:r w:rsidRPr="00B957F6">
        <w:t xml:space="preserve"> Regulations Requiring Notification</w:t>
      </w:r>
      <w:r>
        <w:t>.</w:t>
      </w:r>
    </w:p>
    <w:p w14:paraId="12D42720" w14:textId="77777777" w:rsidR="00DF7FA2" w:rsidRPr="00B957F6" w:rsidRDefault="00DF7FA2" w:rsidP="00874517">
      <w:pPr>
        <w:pStyle w:val="H4Text"/>
      </w:pPr>
      <w:r w:rsidRPr="00B957F6">
        <w:t xml:space="preserve">DPH shall comply with all applicable state and federal requirements including </w:t>
      </w:r>
      <w:r>
        <w:t>Chapter 93H.</w:t>
      </w:r>
    </w:p>
    <w:p w14:paraId="6FEDA6BA" w14:textId="77777777" w:rsidR="00DF7FA2" w:rsidRDefault="00DF7FA2" w:rsidP="00DF7FA2">
      <w:pPr>
        <w:pStyle w:val="H4SubNumberedParagraph"/>
      </w:pPr>
      <w:r w:rsidRPr="00B957F6">
        <w:t>Risk of Identity Theft.</w:t>
      </w:r>
    </w:p>
    <w:p w14:paraId="0B221EF1" w14:textId="77777777" w:rsidR="00DF7FA2" w:rsidRDefault="00DF7FA2" w:rsidP="00874517">
      <w:pPr>
        <w:pStyle w:val="H4Text"/>
        <w:rPr>
          <w:rFonts w:cs="Arial"/>
          <w:szCs w:val="22"/>
        </w:rPr>
      </w:pPr>
      <w:r w:rsidRPr="00B957F6">
        <w:t>Does the Breach of Confidentiality put the Affected Individual(s) at risk of identity theft or other fraud?  This is a concern if the Breach of Confidentiality includes unencrypted information such as first and last names in conjunction with Social Security Numbers, medical record numbers, or other information that can be used for fraud by third parties.</w:t>
      </w:r>
    </w:p>
    <w:p w14:paraId="3709B049" w14:textId="77777777" w:rsidR="00DF7FA2" w:rsidRDefault="00DF7FA2" w:rsidP="00DF7FA2">
      <w:pPr>
        <w:pStyle w:val="H4SubNumberedParagraph"/>
      </w:pPr>
      <w:r>
        <w:t>Risk of Further Damage.</w:t>
      </w:r>
    </w:p>
    <w:p w14:paraId="09BCA4DC" w14:textId="77777777" w:rsidR="00DF7FA2" w:rsidRPr="0008553C" w:rsidRDefault="00DF7FA2" w:rsidP="00874517">
      <w:pPr>
        <w:pStyle w:val="H4Text"/>
      </w:pPr>
      <w:r>
        <w:t>Will notification potentially compound the problem by increasing awareness of breached sensitive information?</w:t>
      </w:r>
    </w:p>
    <w:p w14:paraId="250D3236" w14:textId="77777777" w:rsidR="00DF7FA2" w:rsidRDefault="00DF7FA2" w:rsidP="00DF7FA2">
      <w:pPr>
        <w:pStyle w:val="H4SubNumberedParagraph"/>
      </w:pPr>
      <w:r w:rsidRPr="00B957F6">
        <w:t>Risk of Physical Harm.</w:t>
      </w:r>
    </w:p>
    <w:p w14:paraId="064C147E" w14:textId="77777777" w:rsidR="00DF7FA2" w:rsidRPr="00B957F6" w:rsidRDefault="00DF7FA2" w:rsidP="00874517">
      <w:pPr>
        <w:pStyle w:val="H4Text"/>
      </w:pPr>
      <w:r w:rsidRPr="00B957F6">
        <w:t>Does the loss of information place any Affected Individual at risk of physical harm or harassment?  Does the loss of information put the public health of any segment of the population at risk?</w:t>
      </w:r>
    </w:p>
    <w:p w14:paraId="2FBAD534" w14:textId="77777777" w:rsidR="00DF7FA2" w:rsidRDefault="00DF7FA2" w:rsidP="00DF7FA2">
      <w:pPr>
        <w:pStyle w:val="H4SubNumberedParagraph"/>
      </w:pPr>
      <w:r w:rsidRPr="00B957F6">
        <w:t>Risk of Humiliation or Damage to Reputation to Individual.</w:t>
      </w:r>
    </w:p>
    <w:p w14:paraId="2D9204E8" w14:textId="77777777" w:rsidR="00DF7FA2" w:rsidRPr="00B957F6" w:rsidRDefault="00DF7FA2" w:rsidP="00874517">
      <w:pPr>
        <w:pStyle w:val="H4Text"/>
      </w:pPr>
      <w:r w:rsidRPr="00B957F6">
        <w:t>This type of harm can occur with the loss of information such as behavioral health, medical, or personnel records.</w:t>
      </w:r>
    </w:p>
    <w:p w14:paraId="55D30A07" w14:textId="77777777" w:rsidR="00DF7FA2" w:rsidRDefault="00DF7FA2" w:rsidP="00DF7FA2">
      <w:pPr>
        <w:pStyle w:val="H4SubNumberedParagraph"/>
      </w:pPr>
      <w:r w:rsidRPr="00B957F6">
        <w:t>Risk of Humiliation or Damage to Reputation to DPH.</w:t>
      </w:r>
    </w:p>
    <w:p w14:paraId="1C348EE7" w14:textId="77777777" w:rsidR="00DF7FA2" w:rsidRPr="00B957F6" w:rsidRDefault="00DF7FA2" w:rsidP="00874517">
      <w:pPr>
        <w:pStyle w:val="H4Text"/>
      </w:pPr>
      <w:r w:rsidRPr="00B957F6">
        <w:t>Could the loss of information result in damage to the reputation to the Department, the loss of trust in one or more of its programs, the loss of its assets, or put it at risk for a lawsuit or legal claim?</w:t>
      </w:r>
    </w:p>
    <w:p w14:paraId="275AFE06" w14:textId="77777777" w:rsidR="00DF7FA2" w:rsidRDefault="00DF7FA2" w:rsidP="00DF7FA2">
      <w:pPr>
        <w:pStyle w:val="H4SubNumberedParagraph"/>
      </w:pPr>
      <w:r w:rsidRPr="00B957F6">
        <w:t>Risk of Loss of Business or Employment Opportunities.</w:t>
      </w:r>
    </w:p>
    <w:p w14:paraId="68CFF84E" w14:textId="77777777" w:rsidR="00DF7FA2" w:rsidRPr="00B957F6" w:rsidRDefault="00DF7FA2" w:rsidP="00874517">
      <w:pPr>
        <w:pStyle w:val="H4Text"/>
      </w:pPr>
      <w:r w:rsidRPr="00B957F6">
        <w:t>Could the loss of information result in damage to the reputation to an Individual, affecting business or employment opportunities?</w:t>
      </w:r>
    </w:p>
    <w:p w14:paraId="0D75B729" w14:textId="77777777" w:rsidR="00DF7FA2" w:rsidRDefault="00DF7FA2" w:rsidP="00874517">
      <w:pPr>
        <w:pStyle w:val="H4Text"/>
      </w:pPr>
      <w:r w:rsidRPr="00B957F6">
        <w:t>Notifications of Affected Individuals require approval from the Office of the Commissioner.</w:t>
      </w:r>
    </w:p>
    <w:p w14:paraId="780045CE" w14:textId="77777777" w:rsidR="00DF7FA2" w:rsidRPr="001853B6" w:rsidRDefault="00DF7FA2" w:rsidP="00874517">
      <w:pPr>
        <w:pStyle w:val="H3SubParagraph"/>
      </w:pPr>
      <w:r w:rsidRPr="001853B6">
        <w:t>Method for Contacting Affected Individuals</w:t>
      </w:r>
    </w:p>
    <w:p w14:paraId="3D82EC98" w14:textId="77777777" w:rsidR="00DF7FA2" w:rsidRDefault="00DF7FA2" w:rsidP="00874517">
      <w:pPr>
        <w:pStyle w:val="H3Text"/>
      </w:pPr>
      <w:r w:rsidRPr="00B957F6">
        <w:t xml:space="preserve">The appropriate Bureau director, in collaboration with the director of the Privacy &amp; Data Access Office, the privacy officer, the Office of the General Counsel, the Communications Department, the Commissioner’s Office, and others as appropriate, shall determine the method for contacting the Affected Individuals based on the nature of the Breach, </w:t>
      </w:r>
      <w:r>
        <w:t xml:space="preserve">applicable state and federal requirements, the </w:t>
      </w:r>
      <w:r w:rsidRPr="00B957F6">
        <w:t>number of Affected Individuals involved, and the availability of contact information.</w:t>
      </w:r>
    </w:p>
    <w:p w14:paraId="62BB4754" w14:textId="77777777" w:rsidR="00DF7FA2" w:rsidRPr="001853B6" w:rsidRDefault="00DF7FA2" w:rsidP="00874517">
      <w:pPr>
        <w:pStyle w:val="H3SubParagraph"/>
      </w:pPr>
      <w:r w:rsidRPr="001853B6">
        <w:t>Contents of Written Notification</w:t>
      </w:r>
    </w:p>
    <w:p w14:paraId="45AC3FA0" w14:textId="77777777" w:rsidR="00DF7FA2" w:rsidRPr="00B957F6" w:rsidRDefault="00DF7FA2" w:rsidP="00874517">
      <w:pPr>
        <w:pStyle w:val="H3Text"/>
      </w:pPr>
      <w:r w:rsidRPr="00B957F6">
        <w:t>The Department shall determine the elements contained in the notification based on:</w:t>
      </w:r>
    </w:p>
    <w:p w14:paraId="7C11BC5B" w14:textId="77777777" w:rsidR="00DF7FA2" w:rsidRPr="00811E82" w:rsidRDefault="00DF7FA2">
      <w:pPr>
        <w:pStyle w:val="H3Text"/>
        <w:numPr>
          <w:ilvl w:val="0"/>
          <w:numId w:val="104"/>
        </w:numPr>
      </w:pPr>
      <w:r>
        <w:t>T</w:t>
      </w:r>
      <w:r w:rsidRPr="00811E82">
        <w:t xml:space="preserve">he nature of the Breach; and </w:t>
      </w:r>
    </w:p>
    <w:p w14:paraId="4F73EA17" w14:textId="77777777" w:rsidR="00DF7FA2" w:rsidRDefault="00DF7FA2">
      <w:pPr>
        <w:pStyle w:val="H3Text"/>
        <w:numPr>
          <w:ilvl w:val="0"/>
          <w:numId w:val="104"/>
        </w:numPr>
      </w:pPr>
      <w:r>
        <w:t>A</w:t>
      </w:r>
      <w:r w:rsidRPr="00811E82">
        <w:t>pplicable regulatory and statutory requirements.</w:t>
      </w:r>
    </w:p>
    <w:p w14:paraId="2CE85816" w14:textId="77777777" w:rsidR="00DF7FA2" w:rsidRPr="00CE0291" w:rsidRDefault="00DF7FA2" w:rsidP="00874517">
      <w:pPr>
        <w:pStyle w:val="H2Paragraph"/>
      </w:pPr>
      <w:r>
        <w:br w:type="page"/>
      </w:r>
      <w:bookmarkStart w:id="20" w:name="_Toc209771760"/>
      <w:r w:rsidRPr="00CE0291">
        <w:t>Sanctions</w:t>
      </w:r>
      <w:bookmarkEnd w:id="20"/>
    </w:p>
    <w:p w14:paraId="688814C3" w14:textId="77777777" w:rsidR="00DF7FA2" w:rsidRPr="002C3E27" w:rsidRDefault="00DF7FA2" w:rsidP="00874517">
      <w:pPr>
        <w:pStyle w:val="H3SubParagraph"/>
      </w:pPr>
      <w:r w:rsidRPr="002C3E27">
        <w:t xml:space="preserve">Sanctions Against Workforce Members Committing Breaches of Confidentiality </w:t>
      </w:r>
    </w:p>
    <w:p w14:paraId="479175B3" w14:textId="77777777" w:rsidR="00DF7FA2" w:rsidRPr="00B957F6" w:rsidRDefault="00DF7FA2" w:rsidP="00874517">
      <w:pPr>
        <w:pStyle w:val="H3Text"/>
      </w:pPr>
      <w:r w:rsidRPr="00B957F6">
        <w:t>DPH is strongly committed to ensuring that workforce members perform their duties in a professional manner that protects the confidentiality of information.  Nothing in this procedure, however, should be construed to contain binding terms and conditions of employment or to construe a contract between DPH and its workforce members.</w:t>
      </w:r>
    </w:p>
    <w:p w14:paraId="325D2D58" w14:textId="77777777" w:rsidR="00DF7FA2" w:rsidRPr="00B957F6" w:rsidRDefault="00DF7FA2" w:rsidP="00874517">
      <w:pPr>
        <w:pStyle w:val="H3Text"/>
      </w:pPr>
      <w:r w:rsidRPr="00B957F6">
        <w:t>Sanctions against workforce members committing a Breach of Confidentiality will be handled in accordance with applicable laws, collective bargaining units, civil service regulations, and DPH procedures depending on the classification of workforce member being disciplined.  Additionally, the type of Sanction will depend on the intent of the individual and the severity of the violation.  Sanctions shall be proportionate to the severity of noncompliance and may reflect, among other things, the extent to which non-compliance affects the confidentiality of the information, the workforce member’s awareness of non-compliance, and the past record of the workforce member with respect to non-compliance as well as other work history.</w:t>
      </w:r>
    </w:p>
    <w:p w14:paraId="3BA1503A" w14:textId="77777777" w:rsidR="00DF7FA2" w:rsidRDefault="00DF7FA2" w:rsidP="00874517">
      <w:pPr>
        <w:pStyle w:val="H3SubParagraph"/>
      </w:pPr>
      <w:smartTag w:uri="urn:schemas-microsoft-com:office:smarttags" w:element="place">
        <w:smartTag w:uri="urn:schemas-microsoft-com:office:smarttags" w:element="PlaceType">
          <w:r w:rsidRPr="002C3E27">
            <w:t>Range</w:t>
          </w:r>
        </w:smartTag>
        <w:r w:rsidRPr="002C3E27">
          <w:t xml:space="preserve"> of </w:t>
        </w:r>
        <w:smartTag w:uri="urn:schemas-microsoft-com:office:smarttags" w:element="PlaceName">
          <w:r w:rsidRPr="002C3E27">
            <w:t>Sanctions</w:t>
          </w:r>
        </w:smartTag>
      </w:smartTag>
    </w:p>
    <w:p w14:paraId="368F90F2" w14:textId="77777777" w:rsidR="00DF7FA2" w:rsidRDefault="00DF7FA2" w:rsidP="00874517">
      <w:pPr>
        <w:pStyle w:val="H3Text"/>
      </w:pPr>
      <w:r w:rsidRPr="00B957F6">
        <w:t xml:space="preserve">As described in “Sanctions </w:t>
      </w:r>
      <w:r>
        <w:t>A</w:t>
      </w:r>
      <w:r w:rsidRPr="00B957F6">
        <w:t>gainst Workforce Members Committing Breaches,” the Sanction levied is determined on a case-by-case basis taking into account factors including, but not limited to, the specific facts surrounding the incident and any mitigating or aggra</w:t>
      </w:r>
      <w:r>
        <w:t xml:space="preserve">vating circumstances.  Table 2.5 </w:t>
      </w:r>
      <w:r w:rsidRPr="00B957F6">
        <w:t>is intended to assist the Department in the consistent application of Sanctions.</w:t>
      </w:r>
    </w:p>
    <w:p w14:paraId="3CB85F84" w14:textId="77777777" w:rsidR="00DF7FA2" w:rsidRPr="000C300B" w:rsidRDefault="00DF7FA2" w:rsidP="00E37BEC">
      <w:pPr>
        <w:pStyle w:val="H4SubNumberedParagraph"/>
        <w:numPr>
          <w:ilvl w:val="0"/>
          <w:numId w:val="0"/>
        </w:numPr>
        <w:rPr>
          <w:b w:val="0"/>
        </w:rPr>
      </w:pPr>
      <w:r>
        <w:t>Table 2.5</w:t>
      </w:r>
      <w:r w:rsidRPr="000C300B">
        <w:t>:  Range of Sanctions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3"/>
        <w:gridCol w:w="5317"/>
      </w:tblGrid>
      <w:tr w:rsidR="00DF7FA2" w:rsidRPr="00B957F6" w14:paraId="2AF5A1D8" w14:textId="77777777">
        <w:tc>
          <w:tcPr>
            <w:tcW w:w="4043" w:type="dxa"/>
            <w:shd w:val="clear" w:color="auto" w:fill="E0E0E0"/>
          </w:tcPr>
          <w:p w14:paraId="08352F5C" w14:textId="77777777" w:rsidR="00DF7FA2" w:rsidRDefault="00DF7FA2">
            <w:pPr>
              <w:jc w:val="center"/>
              <w:rPr>
                <w:rFonts w:cs="Arial"/>
                <w:b/>
                <w:sz w:val="20"/>
                <w:szCs w:val="20"/>
              </w:rPr>
            </w:pPr>
            <w:r>
              <w:rPr>
                <w:rFonts w:cs="Arial"/>
                <w:b/>
                <w:sz w:val="20"/>
                <w:szCs w:val="20"/>
              </w:rPr>
              <w:t>Level of Breach of Confidentiality</w:t>
            </w:r>
          </w:p>
        </w:tc>
        <w:tc>
          <w:tcPr>
            <w:tcW w:w="5317" w:type="dxa"/>
            <w:shd w:val="clear" w:color="auto" w:fill="E0E0E0"/>
          </w:tcPr>
          <w:p w14:paraId="7B669F2E" w14:textId="77777777" w:rsidR="00DF7FA2" w:rsidRDefault="00DF7FA2">
            <w:pPr>
              <w:jc w:val="center"/>
              <w:rPr>
                <w:rFonts w:cs="Arial"/>
                <w:b/>
                <w:sz w:val="20"/>
                <w:szCs w:val="20"/>
              </w:rPr>
            </w:pPr>
            <w:r>
              <w:rPr>
                <w:rFonts w:cs="Arial"/>
                <w:b/>
                <w:sz w:val="20"/>
                <w:szCs w:val="20"/>
              </w:rPr>
              <w:t xml:space="preserve">Recommended </w:t>
            </w:r>
            <w:smartTag w:uri="urn:schemas-microsoft-com:office:smarttags" w:element="place">
              <w:smartTag w:uri="urn:schemas-microsoft-com:office:smarttags" w:element="PlaceType">
                <w:r>
                  <w:rPr>
                    <w:rFonts w:cs="Arial"/>
                    <w:b/>
                    <w:sz w:val="20"/>
                    <w:szCs w:val="20"/>
                  </w:rPr>
                  <w:t>Range</w:t>
                </w:r>
              </w:smartTag>
              <w:r>
                <w:rPr>
                  <w:rFonts w:cs="Arial"/>
                  <w:b/>
                  <w:sz w:val="20"/>
                  <w:szCs w:val="20"/>
                </w:rPr>
                <w:t xml:space="preserve"> of </w:t>
              </w:r>
              <w:smartTag w:uri="urn:schemas-microsoft-com:office:smarttags" w:element="PlaceName">
                <w:r>
                  <w:rPr>
                    <w:rFonts w:cs="Arial"/>
                    <w:b/>
                    <w:sz w:val="20"/>
                    <w:szCs w:val="20"/>
                  </w:rPr>
                  <w:t>Sanctions</w:t>
                </w:r>
              </w:smartTag>
            </w:smartTag>
          </w:p>
        </w:tc>
      </w:tr>
      <w:tr w:rsidR="00DF7FA2" w:rsidRPr="00E37071" w14:paraId="541BF323" w14:textId="77777777">
        <w:tc>
          <w:tcPr>
            <w:tcW w:w="4043" w:type="dxa"/>
          </w:tcPr>
          <w:p w14:paraId="2C4EB84E" w14:textId="77777777" w:rsidR="00DF7FA2" w:rsidRDefault="00DF7FA2" w:rsidP="00874517">
            <w:pPr>
              <w:rPr>
                <w:rFonts w:cs="Arial"/>
                <w:sz w:val="20"/>
                <w:szCs w:val="20"/>
              </w:rPr>
            </w:pPr>
            <w:r>
              <w:rPr>
                <w:rFonts w:cs="Arial"/>
                <w:sz w:val="20"/>
                <w:szCs w:val="20"/>
              </w:rPr>
              <w:t>Improper and/or Unintentional Breaches or Violations</w:t>
            </w:r>
          </w:p>
        </w:tc>
        <w:tc>
          <w:tcPr>
            <w:tcW w:w="5317" w:type="dxa"/>
          </w:tcPr>
          <w:p w14:paraId="63016432" w14:textId="77777777" w:rsidR="00DF7FA2" w:rsidRDefault="00DF7FA2">
            <w:pPr>
              <w:numPr>
                <w:ilvl w:val="0"/>
                <w:numId w:val="105"/>
              </w:numPr>
              <w:jc w:val="left"/>
              <w:rPr>
                <w:rFonts w:cs="Arial"/>
                <w:sz w:val="20"/>
                <w:szCs w:val="20"/>
              </w:rPr>
            </w:pPr>
            <w:r>
              <w:rPr>
                <w:rFonts w:cs="Arial"/>
                <w:sz w:val="20"/>
                <w:szCs w:val="20"/>
              </w:rPr>
              <w:t>Documentation by supervisor of first-time offense which, using discretion, does not warrant an official verbal warning</w:t>
            </w:r>
          </w:p>
          <w:p w14:paraId="476DC687" w14:textId="77777777" w:rsidR="00DF7FA2" w:rsidRDefault="00DF7FA2">
            <w:pPr>
              <w:numPr>
                <w:ilvl w:val="0"/>
                <w:numId w:val="105"/>
              </w:numPr>
              <w:jc w:val="left"/>
              <w:rPr>
                <w:rFonts w:cs="Arial"/>
                <w:sz w:val="20"/>
                <w:szCs w:val="20"/>
              </w:rPr>
            </w:pPr>
            <w:r>
              <w:rPr>
                <w:rFonts w:cs="Arial"/>
                <w:sz w:val="20"/>
                <w:szCs w:val="20"/>
              </w:rPr>
              <w:t>Verbal warning</w:t>
            </w:r>
          </w:p>
          <w:p w14:paraId="59660641" w14:textId="77777777" w:rsidR="00DF7FA2" w:rsidRDefault="00DF7FA2">
            <w:pPr>
              <w:numPr>
                <w:ilvl w:val="0"/>
                <w:numId w:val="105"/>
              </w:numPr>
              <w:jc w:val="left"/>
              <w:rPr>
                <w:rFonts w:cs="Arial"/>
                <w:sz w:val="20"/>
                <w:szCs w:val="20"/>
              </w:rPr>
            </w:pPr>
            <w:r>
              <w:rPr>
                <w:rFonts w:cs="Arial"/>
                <w:sz w:val="20"/>
                <w:szCs w:val="20"/>
              </w:rPr>
              <w:t>Written warning</w:t>
            </w:r>
          </w:p>
          <w:p w14:paraId="3A0AC3F4" w14:textId="77777777" w:rsidR="00DF7FA2" w:rsidRDefault="00DF7FA2">
            <w:pPr>
              <w:numPr>
                <w:ilvl w:val="0"/>
                <w:numId w:val="105"/>
              </w:numPr>
              <w:jc w:val="left"/>
              <w:rPr>
                <w:rFonts w:cs="Arial"/>
                <w:sz w:val="20"/>
                <w:szCs w:val="20"/>
              </w:rPr>
            </w:pPr>
            <w:r>
              <w:rPr>
                <w:rFonts w:cs="Arial"/>
                <w:sz w:val="20"/>
                <w:szCs w:val="20"/>
              </w:rPr>
              <w:t>Retraining</w:t>
            </w:r>
          </w:p>
          <w:p w14:paraId="4A0C4766" w14:textId="77777777" w:rsidR="00DF7FA2" w:rsidRDefault="00DF7FA2" w:rsidP="00874517">
            <w:pPr>
              <w:rPr>
                <w:rFonts w:cs="Arial"/>
                <w:sz w:val="20"/>
                <w:szCs w:val="20"/>
              </w:rPr>
            </w:pPr>
            <w:r>
              <w:rPr>
                <w:rFonts w:cs="Arial"/>
                <w:sz w:val="20"/>
                <w:szCs w:val="20"/>
                <w:u w:val="single"/>
              </w:rPr>
              <w:t>Note:</w:t>
            </w:r>
            <w:r>
              <w:rPr>
                <w:rFonts w:cs="Arial"/>
                <w:sz w:val="20"/>
                <w:szCs w:val="20"/>
              </w:rPr>
              <w:t xml:space="preserve">  The recurring violation of same Breach may warrant a more severe Sanction.  Repeated Breaches of Group I violations may be treated as a Group II or III breach.</w:t>
            </w:r>
          </w:p>
        </w:tc>
      </w:tr>
      <w:tr w:rsidR="00DF7FA2" w:rsidRPr="00E37071" w14:paraId="4F7CF580" w14:textId="77777777">
        <w:tc>
          <w:tcPr>
            <w:tcW w:w="4043" w:type="dxa"/>
          </w:tcPr>
          <w:p w14:paraId="4F4B72CF" w14:textId="77777777" w:rsidR="00DF7FA2" w:rsidRDefault="00DF7FA2" w:rsidP="00874517">
            <w:pPr>
              <w:rPr>
                <w:rFonts w:cs="Arial"/>
                <w:sz w:val="20"/>
                <w:szCs w:val="20"/>
              </w:rPr>
            </w:pPr>
            <w:r>
              <w:rPr>
                <w:rFonts w:cs="Arial"/>
                <w:sz w:val="20"/>
                <w:szCs w:val="20"/>
              </w:rPr>
              <w:t>Unauthorized Use and/or Misuse</w:t>
            </w:r>
          </w:p>
        </w:tc>
        <w:tc>
          <w:tcPr>
            <w:tcW w:w="5317" w:type="dxa"/>
          </w:tcPr>
          <w:p w14:paraId="1C805B06" w14:textId="77777777" w:rsidR="00DF7FA2" w:rsidRDefault="00DF7FA2">
            <w:pPr>
              <w:numPr>
                <w:ilvl w:val="0"/>
                <w:numId w:val="106"/>
              </w:numPr>
              <w:jc w:val="left"/>
              <w:rPr>
                <w:rFonts w:cs="Arial"/>
                <w:sz w:val="20"/>
                <w:szCs w:val="20"/>
              </w:rPr>
            </w:pPr>
            <w:r>
              <w:rPr>
                <w:rFonts w:cs="Arial"/>
                <w:sz w:val="20"/>
                <w:szCs w:val="20"/>
              </w:rPr>
              <w:t>Written warning</w:t>
            </w:r>
          </w:p>
          <w:p w14:paraId="0330B745" w14:textId="77777777" w:rsidR="00DF7FA2" w:rsidRDefault="00DF7FA2">
            <w:pPr>
              <w:numPr>
                <w:ilvl w:val="0"/>
                <w:numId w:val="106"/>
              </w:numPr>
              <w:jc w:val="left"/>
              <w:rPr>
                <w:rFonts w:cs="Arial"/>
                <w:sz w:val="20"/>
                <w:szCs w:val="20"/>
              </w:rPr>
            </w:pPr>
            <w:r>
              <w:rPr>
                <w:rFonts w:cs="Arial"/>
                <w:sz w:val="20"/>
                <w:szCs w:val="20"/>
              </w:rPr>
              <w:t>Suspension</w:t>
            </w:r>
          </w:p>
          <w:p w14:paraId="7EF38D7B" w14:textId="77777777" w:rsidR="00DF7FA2" w:rsidRDefault="00DF7FA2">
            <w:pPr>
              <w:numPr>
                <w:ilvl w:val="0"/>
                <w:numId w:val="106"/>
              </w:numPr>
              <w:jc w:val="left"/>
              <w:rPr>
                <w:rFonts w:cs="Arial"/>
                <w:sz w:val="20"/>
                <w:szCs w:val="20"/>
              </w:rPr>
            </w:pPr>
            <w:r>
              <w:rPr>
                <w:rFonts w:cs="Arial"/>
                <w:sz w:val="20"/>
                <w:szCs w:val="20"/>
              </w:rPr>
              <w:t>Retraining</w:t>
            </w:r>
          </w:p>
          <w:p w14:paraId="6087A976" w14:textId="77777777" w:rsidR="00DF7FA2" w:rsidRDefault="00DF7FA2" w:rsidP="00874517">
            <w:pPr>
              <w:rPr>
                <w:rFonts w:cs="Arial"/>
                <w:sz w:val="20"/>
                <w:szCs w:val="20"/>
              </w:rPr>
            </w:pPr>
            <w:r>
              <w:rPr>
                <w:rFonts w:cs="Arial"/>
                <w:sz w:val="20"/>
                <w:szCs w:val="20"/>
                <w:u w:val="single"/>
              </w:rPr>
              <w:t>Note:</w:t>
            </w:r>
            <w:r>
              <w:rPr>
                <w:rFonts w:cs="Arial"/>
                <w:sz w:val="20"/>
                <w:szCs w:val="20"/>
              </w:rPr>
              <w:t xml:space="preserve">  The recurring violation of same breach may warrant a more severe Sanction.  Repeated Breaches of Group II violations may be treated as a Group III Breach.</w:t>
            </w:r>
          </w:p>
        </w:tc>
      </w:tr>
      <w:tr w:rsidR="00DF7FA2" w:rsidRPr="00E37071" w14:paraId="036DB0D9" w14:textId="77777777">
        <w:tc>
          <w:tcPr>
            <w:tcW w:w="4043" w:type="dxa"/>
          </w:tcPr>
          <w:p w14:paraId="07E2FCFB" w14:textId="77777777" w:rsidR="00DF7FA2" w:rsidRDefault="00DF7FA2" w:rsidP="00874517">
            <w:pPr>
              <w:rPr>
                <w:rFonts w:cs="Arial"/>
                <w:sz w:val="20"/>
                <w:szCs w:val="20"/>
              </w:rPr>
            </w:pPr>
            <w:r>
              <w:rPr>
                <w:rFonts w:cs="Arial"/>
                <w:sz w:val="20"/>
                <w:szCs w:val="20"/>
              </w:rPr>
              <w:t>Willful and/or Intentional Disclosures or Violations</w:t>
            </w:r>
          </w:p>
        </w:tc>
        <w:tc>
          <w:tcPr>
            <w:tcW w:w="5317" w:type="dxa"/>
          </w:tcPr>
          <w:p w14:paraId="2A0FD59E" w14:textId="77777777" w:rsidR="00DF7FA2" w:rsidRDefault="00DF7FA2">
            <w:pPr>
              <w:numPr>
                <w:ilvl w:val="0"/>
                <w:numId w:val="107"/>
              </w:numPr>
              <w:jc w:val="left"/>
              <w:rPr>
                <w:rFonts w:cs="Arial"/>
                <w:sz w:val="20"/>
                <w:szCs w:val="20"/>
              </w:rPr>
            </w:pPr>
            <w:r>
              <w:rPr>
                <w:rFonts w:cs="Arial"/>
                <w:sz w:val="20"/>
                <w:szCs w:val="20"/>
              </w:rPr>
              <w:t>Suspension</w:t>
            </w:r>
          </w:p>
          <w:p w14:paraId="3C82DD39" w14:textId="77777777" w:rsidR="00DF7FA2" w:rsidRDefault="00DF7FA2">
            <w:pPr>
              <w:numPr>
                <w:ilvl w:val="0"/>
                <w:numId w:val="107"/>
              </w:numPr>
              <w:jc w:val="left"/>
              <w:rPr>
                <w:rFonts w:cs="Arial"/>
                <w:sz w:val="20"/>
                <w:szCs w:val="20"/>
              </w:rPr>
            </w:pPr>
            <w:r>
              <w:rPr>
                <w:rFonts w:cs="Arial"/>
                <w:sz w:val="20"/>
                <w:szCs w:val="20"/>
              </w:rPr>
              <w:t>Termination</w:t>
            </w:r>
          </w:p>
        </w:tc>
      </w:tr>
    </w:tbl>
    <w:p w14:paraId="22261FD8" w14:textId="77777777" w:rsidR="00DF7FA2" w:rsidRDefault="00DF7FA2" w:rsidP="00874517"/>
    <w:p w14:paraId="2BA05EFD" w14:textId="77777777" w:rsidR="00DF7FA2" w:rsidRPr="00FC76BF" w:rsidRDefault="00DF7FA2" w:rsidP="00874517">
      <w:pPr>
        <w:rPr>
          <w:rFonts w:cs="Arial"/>
          <w:u w:val="single"/>
        </w:rPr>
      </w:pPr>
      <w:r w:rsidRPr="00FC76BF">
        <w:rPr>
          <w:rFonts w:cs="Arial"/>
          <w:u w:val="single"/>
        </w:rPr>
        <w:t>Authority:</w:t>
      </w:r>
    </w:p>
    <w:p w14:paraId="4268C842" w14:textId="77777777" w:rsidR="00DF7FA2" w:rsidRDefault="00DF7FA2" w:rsidP="00874517">
      <w:pPr>
        <w:pStyle w:val="H3Text"/>
      </w:pPr>
      <w:r>
        <w:t>M.G.L. c. 66A, § 2(b)</w:t>
      </w:r>
    </w:p>
    <w:p w14:paraId="48D7563B" w14:textId="77777777" w:rsidR="00DF7FA2" w:rsidRDefault="00DF7FA2" w:rsidP="00874517">
      <w:pPr>
        <w:pStyle w:val="H3Text"/>
      </w:pPr>
      <w:r>
        <w:t>45 C.F.R. § 164.530(e)</w:t>
      </w:r>
    </w:p>
    <w:p w14:paraId="0813EF80" w14:textId="77777777" w:rsidR="00DF7FA2" w:rsidRDefault="00DF7FA2" w:rsidP="00874517">
      <w:pPr>
        <w:pStyle w:val="H3Text"/>
      </w:pPr>
      <w:r>
        <w:t>M.G.L. c. 93H</w:t>
      </w:r>
    </w:p>
    <w:p w14:paraId="6ECB83D0" w14:textId="77777777" w:rsidR="00252193" w:rsidRDefault="00DF7FA2" w:rsidP="0066596F">
      <w:pPr>
        <w:pStyle w:val="H3Text"/>
        <w:sectPr w:rsidR="00252193" w:rsidSect="00D87220">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2240" w:h="15840" w:code="1"/>
          <w:pgMar w:top="1440" w:right="1440" w:bottom="1008" w:left="1800" w:header="720" w:footer="720" w:gutter="0"/>
          <w:cols w:space="720"/>
          <w:docGrid w:linePitch="360"/>
        </w:sectPr>
      </w:pPr>
      <w:r>
        <w:t>Executive Order 504</w:t>
      </w:r>
    </w:p>
    <w:p w14:paraId="449B9551" w14:textId="77777777" w:rsidR="00252193" w:rsidRDefault="00252193" w:rsidP="007B1556">
      <w:pPr>
        <w:pStyle w:val="H1ProcedureSection"/>
      </w:pPr>
      <w:bookmarkStart w:id="21" w:name="_Toc338928155"/>
      <w:bookmarkStart w:id="22" w:name="_Toc209771761"/>
      <w:r>
        <w:t>Procedure 3</w:t>
      </w:r>
      <w:r>
        <w:tab/>
        <w:t>Permitted Collection, Use, and Disclosure of Confidential Information</w:t>
      </w:r>
      <w:bookmarkEnd w:id="21"/>
      <w:bookmarkEnd w:id="22"/>
    </w:p>
    <w:p w14:paraId="1FBC2AB5" w14:textId="77777777" w:rsidR="00252193" w:rsidRDefault="00252193" w:rsidP="007B1556">
      <w:pPr>
        <w:pStyle w:val="Version"/>
      </w:pPr>
      <w:r>
        <w:t>Version</w:t>
      </w:r>
      <w:r w:rsidRPr="00892F5A">
        <w:t>:  5</w:t>
      </w:r>
      <w:r>
        <w:tab/>
        <w:t>Effective Date:  October 1, 2025</w:t>
      </w:r>
    </w:p>
    <w:p w14:paraId="10BF12E9" w14:textId="77777777" w:rsidR="00252193" w:rsidRPr="00612957" w:rsidRDefault="00252193">
      <w:pPr>
        <w:pStyle w:val="H2Paragraph"/>
        <w:numPr>
          <w:ilvl w:val="0"/>
          <w:numId w:val="164"/>
        </w:numPr>
      </w:pPr>
      <w:bookmarkStart w:id="23" w:name="_Toc209771762"/>
      <w:bookmarkStart w:id="24" w:name="_Toc338928156"/>
      <w:r w:rsidRPr="00612957">
        <w:t>Purpose and Scope</w:t>
      </w:r>
      <w:bookmarkEnd w:id="23"/>
      <w:r w:rsidRPr="00612957">
        <w:t xml:space="preserve"> </w:t>
      </w:r>
      <w:bookmarkEnd w:id="24"/>
    </w:p>
    <w:p w14:paraId="0D452E1E" w14:textId="77777777" w:rsidR="00252193" w:rsidRPr="00A442F1" w:rsidRDefault="00252193" w:rsidP="00A442F1">
      <w:pPr>
        <w:pStyle w:val="H3Text"/>
      </w:pPr>
      <w:r w:rsidRPr="00A442F1">
        <w:t>This Procedure describes the circumstances under which Workforce Members may Collect, Use, and Disclose Confidential Information, as well as the standards and controls which govern the same. These standards and controls include:</w:t>
      </w:r>
    </w:p>
    <w:p w14:paraId="3206F497" w14:textId="77777777" w:rsidR="00252193" w:rsidRPr="00A442F1" w:rsidRDefault="00252193">
      <w:pPr>
        <w:pStyle w:val="H3Text"/>
        <w:numPr>
          <w:ilvl w:val="0"/>
          <w:numId w:val="138"/>
        </w:numPr>
        <w:ind w:left="1080"/>
      </w:pPr>
      <w:r w:rsidRPr="00A442F1">
        <w:t xml:space="preserve">Designation of responsible individuals for all Confidential Information Collected, Used, or Disclosed; </w:t>
      </w:r>
    </w:p>
    <w:p w14:paraId="4FE20777" w14:textId="77777777" w:rsidR="00252193" w:rsidRPr="00A442F1" w:rsidRDefault="00252193">
      <w:pPr>
        <w:pStyle w:val="H3Text"/>
        <w:numPr>
          <w:ilvl w:val="0"/>
          <w:numId w:val="138"/>
        </w:numPr>
        <w:ind w:left="1080"/>
      </w:pPr>
      <w:r w:rsidRPr="00A442F1">
        <w:t xml:space="preserve">Compliance with the Minimum Necessary Standard; </w:t>
      </w:r>
    </w:p>
    <w:p w14:paraId="2D454C6E" w14:textId="77777777" w:rsidR="00252193" w:rsidRPr="00A442F1" w:rsidRDefault="00252193">
      <w:pPr>
        <w:pStyle w:val="H3Text"/>
        <w:numPr>
          <w:ilvl w:val="0"/>
          <w:numId w:val="138"/>
        </w:numPr>
        <w:ind w:left="1080"/>
      </w:pPr>
      <w:r w:rsidRPr="00A442F1">
        <w:t xml:space="preserve">Compliance with Role-Based Access Requirements; and </w:t>
      </w:r>
    </w:p>
    <w:p w14:paraId="5691D686" w14:textId="77777777" w:rsidR="00252193" w:rsidRPr="00A442F1" w:rsidRDefault="00252193">
      <w:pPr>
        <w:pStyle w:val="H3Text"/>
        <w:numPr>
          <w:ilvl w:val="0"/>
          <w:numId w:val="138"/>
        </w:numPr>
        <w:ind w:left="1080"/>
      </w:pPr>
      <w:r w:rsidRPr="00A442F1">
        <w:t xml:space="preserve">Compliance with documentation requirements. </w:t>
      </w:r>
    </w:p>
    <w:p w14:paraId="33DFC638" w14:textId="77777777" w:rsidR="00252193" w:rsidRPr="00A442F1" w:rsidRDefault="00252193" w:rsidP="00A442F1">
      <w:pPr>
        <w:pStyle w:val="H3Text"/>
      </w:pPr>
      <w:r w:rsidRPr="00A442F1">
        <w:t xml:space="preserve">This Procedure applies to all Workforce Members – i.e., Workforce Members of both Covered Components and Non-Covered Components of the Department. Collection, Use, and/or Disclosure of Confidential Information not in accordance with this Procedure is not permitted, and is a Privacy Incident that should be reported to the Privacy and Data Compliance Office (PDCO, see Procedure 2 (Privacy Incident Protocols)). </w:t>
      </w:r>
    </w:p>
    <w:p w14:paraId="2AC42FA2" w14:textId="77777777" w:rsidR="00252193" w:rsidRPr="00C204EC" w:rsidRDefault="00252193" w:rsidP="002823E8">
      <w:pPr>
        <w:pStyle w:val="H3Text"/>
        <w:rPr>
          <w:szCs w:val="22"/>
        </w:rPr>
      </w:pPr>
      <w:r w:rsidRPr="00A442F1">
        <w:t>With respect to Disclosures of Confidential Information, this Procedure should be read in conjunction with Procedure 4 (Responding to Requests for Confidential Information), and/or Procedure 11 (Individual Data Subject Rights Related to their Confidential Information). Additionally, with respect to requests from individual Data Subjects for an accounting of the Disclosures of their Confidential Information, please see Procedure 12 (Accounting of Disclosures).</w:t>
      </w:r>
    </w:p>
    <w:p w14:paraId="436412CC" w14:textId="77777777" w:rsidR="00252193" w:rsidRPr="00D0225F" w:rsidRDefault="00252193" w:rsidP="00890B62">
      <w:pPr>
        <w:pStyle w:val="H2Paragraph"/>
      </w:pPr>
      <w:bookmarkStart w:id="25" w:name="_Toc209771763"/>
      <w:bookmarkStart w:id="26" w:name="_Toc338928157"/>
      <w:r w:rsidRPr="00D0225F">
        <w:t>Standards Applicable to Collection, Use, and Disclosure of All Confidential Information</w:t>
      </w:r>
      <w:bookmarkEnd w:id="25"/>
    </w:p>
    <w:p w14:paraId="7131F7BE" w14:textId="77777777" w:rsidR="00252193" w:rsidRPr="003E06B1" w:rsidRDefault="00252193" w:rsidP="00252193">
      <w:pPr>
        <w:pStyle w:val="H3SubParagraph"/>
        <w:tabs>
          <w:tab w:val="clear" w:pos="720"/>
        </w:tabs>
      </w:pPr>
      <w:r w:rsidRPr="003E06B1">
        <w:t>Roles and Responsibilities</w:t>
      </w:r>
      <w:r>
        <w:t xml:space="preserve"> </w:t>
      </w:r>
    </w:p>
    <w:p w14:paraId="24FA39D9" w14:textId="77777777" w:rsidR="00252193" w:rsidRPr="00546723" w:rsidRDefault="00252193" w:rsidP="005D6CB4">
      <w:pPr>
        <w:pStyle w:val="H4SubNumberedParagraph"/>
      </w:pPr>
      <w:r w:rsidRPr="00546723">
        <w:t>General Requirements</w:t>
      </w:r>
    </w:p>
    <w:p w14:paraId="2E89FD32" w14:textId="77777777" w:rsidR="00252193" w:rsidRPr="00A16430" w:rsidRDefault="00252193">
      <w:pPr>
        <w:pStyle w:val="H4Text"/>
        <w:numPr>
          <w:ilvl w:val="0"/>
          <w:numId w:val="139"/>
        </w:numPr>
        <w:ind w:left="1440"/>
        <w:rPr>
          <w:b/>
          <w:bCs/>
        </w:rPr>
      </w:pPr>
      <w:r w:rsidRPr="00614291">
        <w:t>Any Administrative Unit</w:t>
      </w:r>
      <w:r w:rsidRPr="00A16430">
        <w:t xml:space="preserve"> involved in the Collection, Use, and/or Disclosure of Confidential Information must appoint, for all Confidential Information Collected, Used, and/or Disclosed (e.g., where the Administrative Unit is a ‘Holder’ of the data, regardless of whether the Administrative Unit is a Data Contributor and/or a Data Recipient), one or more: </w:t>
      </w:r>
    </w:p>
    <w:p w14:paraId="7EC325F3" w14:textId="77777777" w:rsidR="00252193" w:rsidRDefault="00252193">
      <w:pPr>
        <w:pStyle w:val="H4Text"/>
        <w:numPr>
          <w:ilvl w:val="0"/>
          <w:numId w:val="140"/>
        </w:numPr>
        <w:ind w:left="1800"/>
        <w:rPr>
          <w:b/>
          <w:bCs/>
        </w:rPr>
      </w:pPr>
      <w:r w:rsidRPr="00A16430">
        <w:t>Data Steward(s)</w:t>
      </w:r>
      <w:r>
        <w:rPr>
          <w:rStyle w:val="FootnoteReference"/>
        </w:rPr>
        <w:footnoteReference w:id="3"/>
      </w:r>
      <w:r w:rsidRPr="00A16430">
        <w:t xml:space="preserve">; and </w:t>
      </w:r>
    </w:p>
    <w:p w14:paraId="1F93E3B9" w14:textId="77777777" w:rsidR="00252193" w:rsidRDefault="00252193">
      <w:pPr>
        <w:pStyle w:val="H4Text"/>
        <w:numPr>
          <w:ilvl w:val="0"/>
          <w:numId w:val="140"/>
        </w:numPr>
        <w:ind w:left="1800"/>
        <w:rPr>
          <w:b/>
          <w:bCs/>
        </w:rPr>
      </w:pPr>
      <w:r w:rsidRPr="00A16430">
        <w:t>Data Manager(s)</w:t>
      </w:r>
      <w:r>
        <w:t>.</w:t>
      </w:r>
    </w:p>
    <w:p w14:paraId="07940135" w14:textId="77777777" w:rsidR="00252193" w:rsidRPr="00A16430" w:rsidRDefault="00252193">
      <w:pPr>
        <w:pStyle w:val="H4Text"/>
        <w:numPr>
          <w:ilvl w:val="0"/>
          <w:numId w:val="139"/>
        </w:numPr>
        <w:ind w:left="1440"/>
        <w:rPr>
          <w:b/>
          <w:bCs/>
        </w:rPr>
      </w:pPr>
      <w:r w:rsidRPr="00B10AE3">
        <w:t>The Director of the Administrative Unit is responsible for ensuring that all</w:t>
      </w:r>
      <w:r w:rsidRPr="00A16430">
        <w:t xml:space="preserve"> Confidential Information the Administrative Unit Collects, Uses, or Discloses has:</w:t>
      </w:r>
    </w:p>
    <w:p w14:paraId="53FF0F4A" w14:textId="77777777" w:rsidR="00252193" w:rsidRPr="00457D89" w:rsidRDefault="00252193">
      <w:pPr>
        <w:pStyle w:val="H4Text"/>
        <w:numPr>
          <w:ilvl w:val="0"/>
          <w:numId w:val="141"/>
        </w:numPr>
        <w:ind w:left="1800"/>
      </w:pPr>
      <w:r w:rsidRPr="00A16430">
        <w:t>A Data Steward</w:t>
      </w:r>
      <w:r>
        <w:t>(s). I</w:t>
      </w:r>
      <w:r w:rsidRPr="00A16430">
        <w:t>f a Data Steward(s) is not appointed, the Data Steward is the Director of the Administrative Unit.</w:t>
      </w:r>
    </w:p>
    <w:p w14:paraId="7AFA7D32" w14:textId="77777777" w:rsidR="00252193" w:rsidRPr="00457D89" w:rsidRDefault="00252193">
      <w:pPr>
        <w:pStyle w:val="H4Text"/>
        <w:numPr>
          <w:ilvl w:val="0"/>
          <w:numId w:val="141"/>
        </w:numPr>
        <w:ind w:left="1800"/>
      </w:pPr>
      <w:r w:rsidRPr="00A16430">
        <w:t>At least one Data Manager</w:t>
      </w:r>
      <w:r>
        <w:t>. I</w:t>
      </w:r>
      <w:r w:rsidRPr="00A16430">
        <w:t>f a Data Manager(s) is not appointed for an Administrative Unit, the Data Manager(s) for a given Administrative Unit is the Director of the Administrative Unit.</w:t>
      </w:r>
    </w:p>
    <w:p w14:paraId="76A1D5E8" w14:textId="77777777" w:rsidR="00252193" w:rsidRPr="00546723" w:rsidRDefault="00252193" w:rsidP="005D6CB4">
      <w:pPr>
        <w:pStyle w:val="H4SubNumberedParagraph"/>
      </w:pPr>
      <w:r w:rsidRPr="00546723">
        <w:t>Responsibilities of Data Steward(s)</w:t>
      </w:r>
    </w:p>
    <w:p w14:paraId="3998111B" w14:textId="77777777" w:rsidR="00252193" w:rsidRDefault="00252193">
      <w:pPr>
        <w:pStyle w:val="H4Text"/>
        <w:numPr>
          <w:ilvl w:val="0"/>
          <w:numId w:val="142"/>
        </w:numPr>
      </w:pPr>
      <w:r w:rsidRPr="00546723">
        <w:t>Each Data Steward is responsible for ensuring their Administrative Unit’s</w:t>
      </w:r>
      <w:r w:rsidRPr="00B37135">
        <w:t xml:space="preserve"> Collection, Use, and/or Disclosure of Confidential Information is permitted and</w:t>
      </w:r>
      <w:r>
        <w:t xml:space="preserve"> is</w:t>
      </w:r>
      <w:r w:rsidRPr="00B37135">
        <w:t xml:space="preserve"> in compliance with the DPH Confidentiality Policy and Procedures, including ensuring proper documentation of </w:t>
      </w:r>
      <w:r>
        <w:t>any</w:t>
      </w:r>
      <w:r w:rsidRPr="00BD0CA2">
        <w:t xml:space="preserve"> intradepartmental or other Uses</w:t>
      </w:r>
      <w:r>
        <w:t xml:space="preserve"> or Disclosures</w:t>
      </w:r>
      <w:r w:rsidRPr="00B37135">
        <w:t xml:space="preserve"> in accordance with this Procedure 3. </w:t>
      </w:r>
    </w:p>
    <w:p w14:paraId="19D4FAF9" w14:textId="77777777" w:rsidR="00252193" w:rsidRPr="00B37135" w:rsidRDefault="00252193">
      <w:pPr>
        <w:pStyle w:val="H4Text"/>
        <w:numPr>
          <w:ilvl w:val="0"/>
          <w:numId w:val="142"/>
        </w:numPr>
      </w:pPr>
      <w:r>
        <w:t>D</w:t>
      </w:r>
      <w:r w:rsidRPr="00B37135">
        <w:t xml:space="preserve">epending upon the data sharing role of the Administrative Unit – e.g., Holder, Data Contributor, and/or Data Recipient – the Data Steward(s) may have additional compliance, data quality, and/or other data management responsibilities, as set forth in the applicable DPH data operations or procedural documents. </w:t>
      </w:r>
    </w:p>
    <w:p w14:paraId="1AACE4D9" w14:textId="77777777" w:rsidR="00252193" w:rsidRPr="00BD0CA2" w:rsidRDefault="00252193" w:rsidP="005D6CB4">
      <w:pPr>
        <w:pStyle w:val="H4SubNumberedParagraph"/>
      </w:pPr>
      <w:r>
        <w:t xml:space="preserve">Responsibilities of </w:t>
      </w:r>
      <w:r w:rsidRPr="00BD0CA2">
        <w:t>Data Manager</w:t>
      </w:r>
      <w:r>
        <w:t>(s)</w:t>
      </w:r>
    </w:p>
    <w:p w14:paraId="75D409C2" w14:textId="77777777" w:rsidR="00252193" w:rsidRPr="00910357" w:rsidRDefault="00252193">
      <w:pPr>
        <w:pStyle w:val="H4Text"/>
        <w:numPr>
          <w:ilvl w:val="0"/>
          <w:numId w:val="143"/>
        </w:numPr>
      </w:pPr>
      <w:r w:rsidRPr="00910357">
        <w:t xml:space="preserve">Each Data Manager is responsible for overseeing the activities of the Data Steward(s), and ensuring their Administrative Unit’s Collection, Use, and/or Disclosure of Confidential Information is permitted and in compliance with the DPH Confidentiality Policy and Procedures, including approving or acknowledging any intradepartmental or other Uses or Disclosures in accordance with this Procedure 3 (if designated to do so by the Director of the Administrative Unit). </w:t>
      </w:r>
    </w:p>
    <w:p w14:paraId="628748C4" w14:textId="77777777" w:rsidR="00252193" w:rsidRPr="00910357" w:rsidRDefault="00252193">
      <w:pPr>
        <w:pStyle w:val="H4Text"/>
        <w:numPr>
          <w:ilvl w:val="0"/>
          <w:numId w:val="143"/>
        </w:numPr>
      </w:pPr>
      <w:r w:rsidRPr="00910357">
        <w:t xml:space="preserve">Depending upon the data sharing role of the Administrative Unit – e.g., Holder, Data Contributor, and/or Data Recipient – the Data Manager(s) may have additional compliance, data quality, and/or other data management responsibilities, as set forth in the applicable DPH data operations or procedural documents. </w:t>
      </w:r>
    </w:p>
    <w:p w14:paraId="7AFF799E" w14:textId="77777777" w:rsidR="00252193" w:rsidRPr="00BD0CA2" w:rsidRDefault="00252193" w:rsidP="005D6CB4">
      <w:pPr>
        <w:pStyle w:val="H4SubNumberedParagraph"/>
      </w:pPr>
      <w:r>
        <w:t xml:space="preserve">Additional Responsibilities of </w:t>
      </w:r>
      <w:r w:rsidRPr="00BD0CA2">
        <w:t xml:space="preserve">Director of Administrative Unit </w:t>
      </w:r>
    </w:p>
    <w:p w14:paraId="35E98A40" w14:textId="77777777" w:rsidR="00252193" w:rsidRPr="00910357" w:rsidRDefault="00252193">
      <w:pPr>
        <w:pStyle w:val="H4Text"/>
        <w:numPr>
          <w:ilvl w:val="0"/>
          <w:numId w:val="144"/>
        </w:numPr>
      </w:pPr>
      <w:r w:rsidRPr="00910357">
        <w:t xml:space="preserve">The Director of each Administrative Unit is responsible for overseeing the activities of the Data Manager(s), and ensuring their Administrative Unit’s Collection, Use, and/or Disclosure of Confidential Information is permitted and in compliance with the DPH Confidentiality Policy and Procedures, including approving or acknowledging any intradepartmental or other Uses or Disclosures in accordance with this Procedure 3, or delegating the same to the Data Manager(s). </w:t>
      </w:r>
    </w:p>
    <w:p w14:paraId="5B6989CC" w14:textId="77777777" w:rsidR="00252193" w:rsidRPr="00910357" w:rsidRDefault="00252193">
      <w:pPr>
        <w:pStyle w:val="H4Text"/>
        <w:numPr>
          <w:ilvl w:val="0"/>
          <w:numId w:val="144"/>
        </w:numPr>
      </w:pPr>
      <w:r w:rsidRPr="00910357">
        <w:t>Depending upon the data sharing role of the Administrative Unit – e.g., Holder, Data Contributor, and/or Data Recipient – the Director of the Administrative Unit may have additional compliance, data quality, and/or other data management responsibilities, as set forth in the applicable DPH data operations or procedural documents.</w:t>
      </w:r>
    </w:p>
    <w:p w14:paraId="7AD83B0F" w14:textId="77777777" w:rsidR="00252193" w:rsidRPr="00890A31" w:rsidRDefault="00252193" w:rsidP="00252193">
      <w:pPr>
        <w:pStyle w:val="H3SubParagraph"/>
        <w:tabs>
          <w:tab w:val="clear" w:pos="720"/>
        </w:tabs>
      </w:pPr>
      <w:r w:rsidRPr="00890A31">
        <w:t>Minimum Necessary Standard</w:t>
      </w:r>
    </w:p>
    <w:p w14:paraId="545EBA7D" w14:textId="77777777" w:rsidR="00252193" w:rsidRPr="00BD0CA2" w:rsidRDefault="00252193" w:rsidP="00C77836">
      <w:pPr>
        <w:pStyle w:val="H3Text"/>
      </w:pPr>
      <w:r w:rsidRPr="00BD0CA2">
        <w:t xml:space="preserve">Confidential </w:t>
      </w:r>
      <w:r w:rsidRPr="00C77836">
        <w:t>Information</w:t>
      </w:r>
      <w:r w:rsidRPr="00BD0CA2">
        <w:t xml:space="preserve"> Collected, Used, and</w:t>
      </w:r>
      <w:r>
        <w:t>/or</w:t>
      </w:r>
      <w:r w:rsidRPr="00BD0CA2">
        <w:t xml:space="preserve"> Disclosed by authorized persons shall be limited to the Minimum Necessary to fulfill the purpose of the Collection, Use, or Disclosure.</w:t>
      </w:r>
    </w:p>
    <w:p w14:paraId="512539FB" w14:textId="77777777" w:rsidR="00252193" w:rsidRPr="00BD0CA2" w:rsidRDefault="00252193" w:rsidP="005D6CB4">
      <w:pPr>
        <w:pStyle w:val="H4SubNumberedParagraph"/>
      </w:pPr>
      <w:r w:rsidRPr="00BD0CA2">
        <w:t xml:space="preserve">How </w:t>
      </w:r>
      <w:r w:rsidRPr="005650F4">
        <w:t>to</w:t>
      </w:r>
      <w:r w:rsidRPr="00BD0CA2">
        <w:t xml:space="preserve"> Determine the Minimum Necessary</w:t>
      </w:r>
    </w:p>
    <w:p w14:paraId="1C2E3398" w14:textId="77777777" w:rsidR="00252193" w:rsidRPr="00B81E6B" w:rsidRDefault="00252193" w:rsidP="0008321A">
      <w:pPr>
        <w:pStyle w:val="H4Text"/>
      </w:pPr>
      <w:r>
        <w:t xml:space="preserve">Administrative Units and Workforce Members should consider the following when determining </w:t>
      </w:r>
      <w:r w:rsidRPr="005650F4">
        <w:t>the</w:t>
      </w:r>
      <w:r>
        <w:t xml:space="preserve"> Minimum Necessary Confidential Information required for Collection, Use, and/or Disclosure:</w:t>
      </w:r>
    </w:p>
    <w:p w14:paraId="337E06CA" w14:textId="77777777" w:rsidR="00252193" w:rsidRPr="00761A95" w:rsidRDefault="00252193">
      <w:pPr>
        <w:pStyle w:val="H4Text"/>
        <w:numPr>
          <w:ilvl w:val="0"/>
          <w:numId w:val="145"/>
        </w:numPr>
        <w:ind w:left="1440"/>
      </w:pPr>
      <w:r w:rsidRPr="00761A95">
        <w:t>Statutory or regulatory requirements;</w:t>
      </w:r>
    </w:p>
    <w:p w14:paraId="04D7528C" w14:textId="77777777" w:rsidR="00252193" w:rsidRPr="00761A95" w:rsidRDefault="00252193">
      <w:pPr>
        <w:pStyle w:val="H4Text"/>
        <w:numPr>
          <w:ilvl w:val="0"/>
          <w:numId w:val="145"/>
        </w:numPr>
        <w:ind w:left="1440"/>
      </w:pPr>
      <w:r w:rsidRPr="00761A95">
        <w:t xml:space="preserve">The scope of the Authorization (see Procedure 4 (Responding to Requests for Confidential Information)); </w:t>
      </w:r>
    </w:p>
    <w:p w14:paraId="53866C32" w14:textId="77777777" w:rsidR="00252193" w:rsidRPr="00761A95" w:rsidRDefault="00252193">
      <w:pPr>
        <w:pStyle w:val="H4Text"/>
        <w:numPr>
          <w:ilvl w:val="0"/>
          <w:numId w:val="145"/>
        </w:numPr>
        <w:ind w:left="1440"/>
      </w:pPr>
      <w:r w:rsidRPr="00761A95">
        <w:t xml:space="preserve">The grant specifications, provided there is underlying legal authority; and </w:t>
      </w:r>
    </w:p>
    <w:p w14:paraId="66F1A1DD" w14:textId="77777777" w:rsidR="00252193" w:rsidRPr="00761A95" w:rsidRDefault="00252193">
      <w:pPr>
        <w:pStyle w:val="H4Text"/>
        <w:numPr>
          <w:ilvl w:val="0"/>
          <w:numId w:val="145"/>
        </w:numPr>
        <w:ind w:left="1440"/>
      </w:pPr>
      <w:r w:rsidRPr="00761A95">
        <w:t>The purpose of the Collection, Use, or Disclosure.</w:t>
      </w:r>
    </w:p>
    <w:p w14:paraId="5EDB841C" w14:textId="77777777" w:rsidR="00252193" w:rsidRPr="004C4C27" w:rsidRDefault="00252193" w:rsidP="0008321A">
      <w:pPr>
        <w:pStyle w:val="H4Text"/>
      </w:pPr>
      <w:r w:rsidRPr="004C4C27">
        <w:t>Under some circumstances</w:t>
      </w:r>
      <w:r>
        <w:t>,</w:t>
      </w:r>
      <w:r w:rsidRPr="004C4C27">
        <w:t xml:space="preserve"> and at their discretion, Administrative Units may also rely on the judgment of </w:t>
      </w:r>
      <w:r>
        <w:t xml:space="preserve">the respective </w:t>
      </w:r>
      <w:r w:rsidRPr="004C4C27">
        <w:t>part</w:t>
      </w:r>
      <w:r>
        <w:t xml:space="preserve">ies involved in the data Collection, Use, or Disclosure </w:t>
      </w:r>
      <w:r w:rsidRPr="004C4C27">
        <w:t>as to what constitutes “Minimum Necessary.”</w:t>
      </w:r>
    </w:p>
    <w:p w14:paraId="2668046F" w14:textId="77777777" w:rsidR="00252193" w:rsidRPr="00BD0CA2" w:rsidRDefault="00252193" w:rsidP="005D6CB4">
      <w:pPr>
        <w:pStyle w:val="H4SubNumberedParagraph"/>
      </w:pPr>
      <w:r w:rsidRPr="00B9299E">
        <w:t>Administrative</w:t>
      </w:r>
      <w:r w:rsidRPr="00BD0CA2">
        <w:t xml:space="preserve"> Unit-Specific Minimum Necessary Procedures for Collection, Use, and Disclosure of Confidential Information </w:t>
      </w:r>
    </w:p>
    <w:p w14:paraId="7F7EDD21" w14:textId="77777777" w:rsidR="00252193" w:rsidRPr="004C4C27" w:rsidRDefault="00252193" w:rsidP="00F3514B">
      <w:pPr>
        <w:pStyle w:val="H4Text"/>
        <w:rPr>
          <w:b/>
        </w:rPr>
      </w:pPr>
      <w:r w:rsidRPr="004C4C27">
        <w:t>Administrative Units, in conjunction with their Privacy Liaison, must develop internal procedures to help ensure the Minimum Necessary Confidential Information is Collected, Used, and Disclosed, and document those procedures in writing. At minimum, Administrative Unit(s) internal procedures should include the following:</w:t>
      </w:r>
      <w:r w:rsidRPr="004C4C27">
        <w:rPr>
          <w:b/>
        </w:rPr>
        <w:t> </w:t>
      </w:r>
    </w:p>
    <w:p w14:paraId="40F62DC7" w14:textId="77777777" w:rsidR="00252193" w:rsidRPr="004C4C27" w:rsidRDefault="00252193">
      <w:pPr>
        <w:pStyle w:val="H4Text"/>
        <w:numPr>
          <w:ilvl w:val="0"/>
          <w:numId w:val="146"/>
        </w:numPr>
      </w:pPr>
      <w:r w:rsidRPr="004C4C27">
        <w:t>Where the Collection, Use, or Disclosure of Confidential Information is routine and recurring, a list or matrix that describes:</w:t>
      </w:r>
      <w:r w:rsidRPr="004C4C27">
        <w:tab/>
      </w:r>
    </w:p>
    <w:p w14:paraId="3F470F9F" w14:textId="77777777" w:rsidR="00252193" w:rsidRPr="004C4C27" w:rsidRDefault="00252193">
      <w:pPr>
        <w:pStyle w:val="H4Text"/>
        <w:numPr>
          <w:ilvl w:val="0"/>
          <w:numId w:val="147"/>
        </w:numPr>
      </w:pPr>
      <w:r>
        <w:t>The specific</w:t>
      </w:r>
      <w:r w:rsidRPr="004C4C27">
        <w:t xml:space="preserve"> data elements to be Collected, Used, or Disclosed; </w:t>
      </w:r>
    </w:p>
    <w:p w14:paraId="242F28EB" w14:textId="77777777" w:rsidR="00252193" w:rsidRPr="004C4C27" w:rsidRDefault="00252193">
      <w:pPr>
        <w:pStyle w:val="H4Text"/>
        <w:numPr>
          <w:ilvl w:val="0"/>
          <w:numId w:val="147"/>
        </w:numPr>
      </w:pPr>
      <w:r w:rsidRPr="004C4C27">
        <w:t xml:space="preserve">The </w:t>
      </w:r>
      <w:r>
        <w:t xml:space="preserve">overall </w:t>
      </w:r>
      <w:r w:rsidRPr="004C4C27">
        <w:t xml:space="preserve">purpose of the Collection, Use, or Disclosure; and </w:t>
      </w:r>
    </w:p>
    <w:p w14:paraId="40419743" w14:textId="77777777" w:rsidR="00252193" w:rsidRPr="004C4C27" w:rsidRDefault="00252193">
      <w:pPr>
        <w:pStyle w:val="H4Text"/>
        <w:numPr>
          <w:ilvl w:val="0"/>
          <w:numId w:val="147"/>
        </w:numPr>
      </w:pPr>
      <w:r w:rsidRPr="004C4C27">
        <w:t xml:space="preserve">The recipient of the Collection, Use, or Disclosure. </w:t>
      </w:r>
    </w:p>
    <w:p w14:paraId="2F54C1A7" w14:textId="77777777" w:rsidR="00252193" w:rsidRPr="004C4C27" w:rsidRDefault="00252193">
      <w:pPr>
        <w:pStyle w:val="H4Text"/>
        <w:numPr>
          <w:ilvl w:val="0"/>
          <w:numId w:val="146"/>
        </w:numPr>
      </w:pPr>
      <w:r w:rsidRPr="004C4C27">
        <w:t>Where the Collection, Use</w:t>
      </w:r>
      <w:r>
        <w:t>,</w:t>
      </w:r>
      <w:r w:rsidRPr="004C4C27">
        <w:t xml:space="preserve"> or Disclosure of Confidential Information is non-routine, </w:t>
      </w:r>
      <w:r w:rsidRPr="00BD0CA2">
        <w:t xml:space="preserve">at least one level of </w:t>
      </w:r>
      <w:r>
        <w:t xml:space="preserve">Administrative Unit managerial </w:t>
      </w:r>
      <w:r w:rsidRPr="00BD0CA2">
        <w:t>review and approval of the data elements to be Collected, Used, or Disclosed.</w:t>
      </w:r>
    </w:p>
    <w:p w14:paraId="6195F51D" w14:textId="77777777" w:rsidR="00252193" w:rsidRPr="004C4C27" w:rsidRDefault="00252193" w:rsidP="000C3C9D">
      <w:pPr>
        <w:pStyle w:val="H4Text"/>
      </w:pPr>
      <w:r w:rsidRPr="00336701">
        <w:t>Administrative Unit-specific internal procedures shall be made available to PDCO upon request. </w:t>
      </w:r>
    </w:p>
    <w:p w14:paraId="50E94462" w14:textId="77777777" w:rsidR="00252193" w:rsidRPr="00FB6FE0" w:rsidRDefault="00252193" w:rsidP="00252193">
      <w:pPr>
        <w:pStyle w:val="H3SubParagraph"/>
        <w:tabs>
          <w:tab w:val="clear" w:pos="720"/>
        </w:tabs>
      </w:pPr>
      <w:r w:rsidRPr="00FB6FE0">
        <w:t>Role-Based Access Standard</w:t>
      </w:r>
    </w:p>
    <w:p w14:paraId="1FF13E31" w14:textId="77777777" w:rsidR="00252193" w:rsidRPr="00BD0CA2" w:rsidRDefault="00252193" w:rsidP="00CE4582">
      <w:pPr>
        <w:pStyle w:val="H3Text"/>
      </w:pPr>
      <w:r w:rsidRPr="00CE4582">
        <w:t>Roles</w:t>
      </w:r>
      <w:r w:rsidRPr="00BD0CA2">
        <w:t xml:space="preserve"> should be defined in a consistent and uniform manner that correspond to a given data user’s job responsibilities</w:t>
      </w:r>
      <w:r>
        <w:t>,</w:t>
      </w:r>
      <w:r w:rsidRPr="00BD0CA2">
        <w:t xml:space="preserve"> and the Confidential Information to which they are permitted access rights. </w:t>
      </w:r>
    </w:p>
    <w:p w14:paraId="04EBA86F" w14:textId="77777777" w:rsidR="00252193" w:rsidRPr="00BD0CA2" w:rsidRDefault="00252193" w:rsidP="005D6CB4">
      <w:pPr>
        <w:pStyle w:val="H4SubNumberedParagraph"/>
      </w:pPr>
      <w:r w:rsidRPr="00846D17">
        <w:t>Administrative</w:t>
      </w:r>
      <w:r w:rsidRPr="00BD0CA2">
        <w:t xml:space="preserve"> Unit-Specific Procedures for Role-Based Access Standard </w:t>
      </w:r>
    </w:p>
    <w:p w14:paraId="5FA95A80" w14:textId="77777777" w:rsidR="00252193" w:rsidRPr="00BD0CA2" w:rsidRDefault="00252193" w:rsidP="00846D17">
      <w:pPr>
        <w:pStyle w:val="H4Text"/>
      </w:pPr>
      <w:r w:rsidRPr="00BD0CA2">
        <w:t>Administrative Units, in conjunction with their Privacy Liaison, must develop internal procedures to help ensure that Role-Based Access Standards are applied in connection with the Collection, Use, and Disclosure of Confidential Information, and document those procedures in writing. At minimum, Administrative Unit(s) internal procedures should include the following:</w:t>
      </w:r>
    </w:p>
    <w:p w14:paraId="7F01D8D5" w14:textId="77777777" w:rsidR="00252193" w:rsidRPr="00BD0CA2" w:rsidRDefault="00252193">
      <w:pPr>
        <w:pStyle w:val="H4Text"/>
        <w:numPr>
          <w:ilvl w:val="0"/>
          <w:numId w:val="148"/>
        </w:numPr>
      </w:pPr>
      <w:r w:rsidRPr="00D91991">
        <w:rPr>
          <w:u w:val="single"/>
        </w:rPr>
        <w:t>Auditable Listing of Who can Collect, Use, or Disclose the Confidential Information</w:t>
      </w:r>
      <w:r w:rsidRPr="001365BC">
        <w:t>: A</w:t>
      </w:r>
      <w:r w:rsidRPr="00BD0CA2">
        <w:t>dministrative Units shall maintain an auditable listing of who can Collect, Use, or Disclose Confidential Information</w:t>
      </w:r>
      <w:r>
        <w:t>,</w:t>
      </w:r>
      <w:r w:rsidRPr="00BD0CA2">
        <w:t xml:space="preserve"> and what Confidential Information they can Collect, Use, or Disclose. This listing may be maintained leveraging technology solutions made available by the Department. The listing shall include, at minimum, the following information: </w:t>
      </w:r>
    </w:p>
    <w:p w14:paraId="04E858A5" w14:textId="77777777" w:rsidR="00252193" w:rsidRPr="001365BC" w:rsidRDefault="00252193">
      <w:pPr>
        <w:pStyle w:val="H4Text"/>
        <w:numPr>
          <w:ilvl w:val="0"/>
          <w:numId w:val="149"/>
        </w:numPr>
        <w:ind w:hanging="180"/>
      </w:pPr>
      <w:r>
        <w:t xml:space="preserve">How the role is defined – e.g., identified based upon functional responsibilities, which may include job title or other appropriate level;  </w:t>
      </w:r>
    </w:p>
    <w:p w14:paraId="609D6FC1" w14:textId="77777777" w:rsidR="00252193" w:rsidRPr="00BD0CA2" w:rsidRDefault="00252193">
      <w:pPr>
        <w:pStyle w:val="H4Text"/>
        <w:numPr>
          <w:ilvl w:val="0"/>
          <w:numId w:val="149"/>
        </w:numPr>
        <w:ind w:hanging="180"/>
        <w:rPr>
          <w:szCs w:val="22"/>
        </w:rPr>
      </w:pPr>
      <w:r w:rsidRPr="00BD0CA2">
        <w:rPr>
          <w:szCs w:val="22"/>
        </w:rPr>
        <w:t>Name or description and location of data accessed;</w:t>
      </w:r>
    </w:p>
    <w:p w14:paraId="12D539B3" w14:textId="77777777" w:rsidR="00252193" w:rsidRPr="00BD0CA2" w:rsidRDefault="00252193">
      <w:pPr>
        <w:pStyle w:val="H4Text"/>
        <w:numPr>
          <w:ilvl w:val="0"/>
          <w:numId w:val="149"/>
        </w:numPr>
        <w:ind w:hanging="180"/>
        <w:rPr>
          <w:szCs w:val="22"/>
        </w:rPr>
      </w:pPr>
      <w:r w:rsidRPr="00BD0CA2">
        <w:rPr>
          <w:szCs w:val="22"/>
        </w:rPr>
        <w:t>Limitations to the access, which may include specific data elements, time</w:t>
      </w:r>
      <w:r>
        <w:rPr>
          <w:szCs w:val="22"/>
        </w:rPr>
        <w:t>,</w:t>
      </w:r>
      <w:r w:rsidRPr="00BD0CA2">
        <w:rPr>
          <w:szCs w:val="22"/>
        </w:rPr>
        <w:t xml:space="preserve"> or frequency, or any other limitations; and</w:t>
      </w:r>
    </w:p>
    <w:p w14:paraId="191341CD" w14:textId="77777777" w:rsidR="00252193" w:rsidRPr="00BD0CA2" w:rsidRDefault="00252193">
      <w:pPr>
        <w:pStyle w:val="H4Text"/>
        <w:numPr>
          <w:ilvl w:val="0"/>
          <w:numId w:val="149"/>
        </w:numPr>
        <w:ind w:hanging="180"/>
        <w:rPr>
          <w:szCs w:val="22"/>
        </w:rPr>
      </w:pPr>
      <w:r w:rsidRPr="00BD0CA2">
        <w:rPr>
          <w:szCs w:val="22"/>
        </w:rPr>
        <w:t xml:space="preserve">Access and authentication controls – e.g., how the data user is logging in, and how the data user’s identity and authority is being verified. </w:t>
      </w:r>
    </w:p>
    <w:p w14:paraId="12D00AAD" w14:textId="77777777" w:rsidR="00252193" w:rsidRPr="007E76E5" w:rsidRDefault="00252193" w:rsidP="005D6CB4">
      <w:pPr>
        <w:pStyle w:val="H4SubNumberedParagraph"/>
      </w:pPr>
      <w:r w:rsidRPr="007E76E5">
        <w:t>Responsible Individual(s)</w:t>
      </w:r>
    </w:p>
    <w:p w14:paraId="523640F9" w14:textId="77777777" w:rsidR="00252193" w:rsidRPr="00BD0CA2" w:rsidRDefault="00252193" w:rsidP="00FC7A02">
      <w:pPr>
        <w:pStyle w:val="H4Text"/>
        <w:rPr>
          <w:b/>
          <w:bCs/>
        </w:rPr>
      </w:pPr>
      <w:r w:rsidRPr="007E76E5">
        <w:t>The Data Steward, with oversight from the Data Manager, shall be responsible for the maintenance of the listing, including updates, approving access, and other changes. The Director of the Administrative Unit, or their designee(s), is responsible for ensuring at all times that the listing is accurate.</w:t>
      </w:r>
    </w:p>
    <w:p w14:paraId="06677E28" w14:textId="77777777" w:rsidR="00252193" w:rsidRPr="00BD0CA2" w:rsidRDefault="00252193">
      <w:pPr>
        <w:pStyle w:val="H4Text"/>
        <w:numPr>
          <w:ilvl w:val="0"/>
          <w:numId w:val="151"/>
        </w:numPr>
        <w:rPr>
          <w:b/>
          <w:bCs/>
        </w:rPr>
      </w:pPr>
      <w:r w:rsidRPr="00BD0CA2">
        <w:rPr>
          <w:u w:val="single"/>
        </w:rPr>
        <w:t>Updates to Listing</w:t>
      </w:r>
      <w:r w:rsidRPr="00BD0CA2">
        <w:t xml:space="preserve">: </w:t>
      </w:r>
      <w:r w:rsidRPr="000B0AA0">
        <w:t>T</w:t>
      </w:r>
      <w:r w:rsidRPr="00BD0CA2">
        <w:t>o ensure accuracy, the listing shall be updated whenever any of the following circumstances occur:</w:t>
      </w:r>
    </w:p>
    <w:p w14:paraId="4B5F7502" w14:textId="77777777" w:rsidR="00252193" w:rsidRPr="00BD0CA2" w:rsidRDefault="00252193">
      <w:pPr>
        <w:pStyle w:val="H4Text"/>
        <w:numPr>
          <w:ilvl w:val="0"/>
          <w:numId w:val="150"/>
        </w:numPr>
      </w:pPr>
      <w:r>
        <w:t>Workforce Member</w:t>
      </w:r>
      <w:r w:rsidRPr="00BD0CA2">
        <w:t xml:space="preserve"> terminations</w:t>
      </w:r>
    </w:p>
    <w:p w14:paraId="2818BB93" w14:textId="77777777" w:rsidR="00252193" w:rsidRPr="00BD0CA2" w:rsidRDefault="00252193">
      <w:pPr>
        <w:pStyle w:val="H4Text"/>
        <w:numPr>
          <w:ilvl w:val="0"/>
          <w:numId w:val="150"/>
        </w:numPr>
      </w:pPr>
      <w:r w:rsidRPr="00BD0CA2">
        <w:t>Change in job responsibilities</w:t>
      </w:r>
    </w:p>
    <w:p w14:paraId="57E0B4D1" w14:textId="77777777" w:rsidR="00252193" w:rsidRPr="00BD0CA2" w:rsidRDefault="00252193">
      <w:pPr>
        <w:pStyle w:val="H4Text"/>
        <w:numPr>
          <w:ilvl w:val="0"/>
          <w:numId w:val="150"/>
        </w:numPr>
      </w:pPr>
      <w:r w:rsidRPr="00BD0CA2">
        <w:t>Addition of new Workforce Members, job titles, or functions</w:t>
      </w:r>
    </w:p>
    <w:p w14:paraId="62859B87" w14:textId="77777777" w:rsidR="00252193" w:rsidRPr="00BD0CA2" w:rsidRDefault="00252193">
      <w:pPr>
        <w:pStyle w:val="H4Text"/>
        <w:numPr>
          <w:ilvl w:val="0"/>
          <w:numId w:val="150"/>
        </w:numPr>
      </w:pPr>
      <w:r w:rsidRPr="00BD0CA2">
        <w:t xml:space="preserve">Change in scope of the project or intended data use </w:t>
      </w:r>
    </w:p>
    <w:p w14:paraId="3AAC6F92" w14:textId="77777777" w:rsidR="00252193" w:rsidRPr="00BD0CA2" w:rsidRDefault="00252193">
      <w:pPr>
        <w:pStyle w:val="H4Text"/>
        <w:numPr>
          <w:ilvl w:val="0"/>
          <w:numId w:val="150"/>
        </w:numPr>
      </w:pPr>
      <w:r w:rsidRPr="00BD0CA2">
        <w:t>Change in the nature of the data set</w:t>
      </w:r>
    </w:p>
    <w:p w14:paraId="0441129A" w14:textId="77777777" w:rsidR="00252193" w:rsidRPr="00BD0CA2" w:rsidRDefault="00252193">
      <w:pPr>
        <w:pStyle w:val="H4Text"/>
        <w:numPr>
          <w:ilvl w:val="0"/>
          <w:numId w:val="150"/>
        </w:numPr>
      </w:pPr>
      <w:r w:rsidRPr="00BD0CA2">
        <w:t xml:space="preserve">Other circumstances that would impact access by an individual, group, </w:t>
      </w:r>
      <w:r>
        <w:t xml:space="preserve">and/or </w:t>
      </w:r>
      <w:r w:rsidRPr="00BD0CA2">
        <w:t>all data users</w:t>
      </w:r>
    </w:p>
    <w:p w14:paraId="4F735A43" w14:textId="77777777" w:rsidR="00252193" w:rsidRPr="00BD0CA2" w:rsidRDefault="00252193" w:rsidP="005D796A">
      <w:pPr>
        <w:pStyle w:val="H4Text"/>
        <w:ind w:left="1440"/>
      </w:pPr>
      <w:r w:rsidRPr="00BD0CA2">
        <w:t xml:space="preserve">Any updates to the listing shall include the date </w:t>
      </w:r>
      <w:r>
        <w:t xml:space="preserve">on </w:t>
      </w:r>
      <w:r w:rsidRPr="00BD0CA2">
        <w:t xml:space="preserve">which the update was made, and, if different, the effective date of the update. </w:t>
      </w:r>
    </w:p>
    <w:p w14:paraId="175A9EA6" w14:textId="77777777" w:rsidR="00252193" w:rsidRPr="00D91991" w:rsidRDefault="00252193">
      <w:pPr>
        <w:pStyle w:val="H4Text"/>
        <w:numPr>
          <w:ilvl w:val="0"/>
          <w:numId w:val="151"/>
        </w:numPr>
      </w:pPr>
      <w:r w:rsidRPr="00D91991">
        <w:rPr>
          <w:u w:val="single"/>
        </w:rPr>
        <w:t>Periodic Reviews</w:t>
      </w:r>
      <w:r w:rsidRPr="00D91991">
        <w:t xml:space="preserve">: In addition to the circumstantial updates above, at least once a year, </w:t>
      </w:r>
      <w:r>
        <w:t xml:space="preserve">the Director of the </w:t>
      </w:r>
      <w:r w:rsidRPr="00D91991">
        <w:t>Administrative Unit</w:t>
      </w:r>
      <w:r>
        <w:t xml:space="preserve">, </w:t>
      </w:r>
      <w:r w:rsidRPr="00D91991">
        <w:t>or their designee(s)</w:t>
      </w:r>
      <w:r>
        <w:t>,</w:t>
      </w:r>
      <w:r w:rsidRPr="00D91991">
        <w:t xml:space="preserve"> shall perform a comprehensive review of the listing for accuracy, and update it as needed. Administrative Units should keep written records documenting the completion of this annual review for each data set.</w:t>
      </w:r>
    </w:p>
    <w:p w14:paraId="0A8505C6" w14:textId="77777777" w:rsidR="00252193" w:rsidRPr="00D91991" w:rsidRDefault="00252193" w:rsidP="00480357">
      <w:pPr>
        <w:spacing w:after="120"/>
        <w:ind w:left="1080"/>
        <w:jc w:val="left"/>
        <w:rPr>
          <w:sz w:val="22"/>
          <w:szCs w:val="22"/>
        </w:rPr>
      </w:pPr>
      <w:r w:rsidRPr="00D91991">
        <w:rPr>
          <w:sz w:val="22"/>
          <w:szCs w:val="22"/>
        </w:rPr>
        <w:t>Administrative Unit-specific internal procedures and/or required documentation shall be made available to PDCO upon request. </w:t>
      </w:r>
    </w:p>
    <w:p w14:paraId="2C3B2AA3" w14:textId="77777777" w:rsidR="00252193" w:rsidRPr="00890A31" w:rsidRDefault="00252193" w:rsidP="00252193">
      <w:pPr>
        <w:pStyle w:val="H3SubParagraph"/>
        <w:tabs>
          <w:tab w:val="clear" w:pos="720"/>
        </w:tabs>
      </w:pPr>
      <w:r w:rsidRPr="00FB6FE0">
        <w:t>Receipt</w:t>
      </w:r>
      <w:r w:rsidRPr="00890A31">
        <w:t xml:space="preserve"> of Unauthorized Confidential Information</w:t>
      </w:r>
    </w:p>
    <w:p w14:paraId="74DF8169" w14:textId="77777777" w:rsidR="00252193" w:rsidRPr="00C204EC" w:rsidRDefault="00252193" w:rsidP="005D6CB4">
      <w:pPr>
        <w:pStyle w:val="H3Text"/>
      </w:pPr>
      <w:r>
        <w:t xml:space="preserve">Workforce </w:t>
      </w:r>
      <w:r w:rsidRPr="005D6CB4">
        <w:t>members</w:t>
      </w:r>
      <w:r>
        <w:t xml:space="preserve"> that receive Confidential Information (1) they are not authorized to receive or (2) that is in excess of the Minimum Necessary to achieve the intended business purpose must:</w:t>
      </w:r>
    </w:p>
    <w:p w14:paraId="3D747CF3" w14:textId="77777777" w:rsidR="00252193" w:rsidRPr="00F22329" w:rsidRDefault="00252193">
      <w:pPr>
        <w:pStyle w:val="H4Text"/>
        <w:numPr>
          <w:ilvl w:val="0"/>
          <w:numId w:val="152"/>
        </w:numPr>
      </w:pPr>
      <w:r w:rsidRPr="00F22329">
        <w:t xml:space="preserve">Inform the disclosing party that the Confidential Information should not have been disclosed; </w:t>
      </w:r>
    </w:p>
    <w:p w14:paraId="38EA4E05" w14:textId="77777777" w:rsidR="00252193" w:rsidRPr="00F22329" w:rsidRDefault="00252193">
      <w:pPr>
        <w:pStyle w:val="H4Text"/>
        <w:numPr>
          <w:ilvl w:val="0"/>
          <w:numId w:val="152"/>
        </w:numPr>
      </w:pPr>
      <w:r w:rsidRPr="00F22329">
        <w:t xml:space="preserve">Inform (a) their supervisor and (b) for repeat instances or where the sender is a Workforce Member, the Administrative Unit’s Privacy Liaison, of the unauthorized receipt of Confidential Information; </w:t>
      </w:r>
    </w:p>
    <w:p w14:paraId="0FBFE432" w14:textId="77777777" w:rsidR="00252193" w:rsidRPr="00F22329" w:rsidRDefault="00252193">
      <w:pPr>
        <w:pStyle w:val="H4Text"/>
        <w:numPr>
          <w:ilvl w:val="0"/>
          <w:numId w:val="152"/>
        </w:numPr>
      </w:pPr>
      <w:r w:rsidRPr="00F22329">
        <w:t>Work with the disclosing party to determine what to do with the Confidential Information, for example, destroying it or returning it to the disclosing party; and</w:t>
      </w:r>
    </w:p>
    <w:p w14:paraId="4FA2057D" w14:textId="77777777" w:rsidR="00252193" w:rsidRPr="00F22329" w:rsidRDefault="00252193">
      <w:pPr>
        <w:pStyle w:val="H4Text"/>
        <w:numPr>
          <w:ilvl w:val="0"/>
          <w:numId w:val="152"/>
        </w:numPr>
      </w:pPr>
      <w:r w:rsidRPr="00F22329">
        <w:t>Work with the disclosing party to prevent a reoccurrence in the future.</w:t>
      </w:r>
    </w:p>
    <w:p w14:paraId="15B97683" w14:textId="77777777" w:rsidR="00252193" w:rsidRPr="00C204EC" w:rsidRDefault="00252193" w:rsidP="00C905D7">
      <w:pPr>
        <w:pStyle w:val="H3Text"/>
        <w:rPr>
          <w:szCs w:val="22"/>
        </w:rPr>
      </w:pPr>
      <w:r>
        <w:t xml:space="preserve">The </w:t>
      </w:r>
      <w:r w:rsidRPr="00C905D7">
        <w:t>Administrative</w:t>
      </w:r>
      <w:r>
        <w:t xml:space="preserve"> Unit’s Privacy Liaison will assist in determining whether the unauthorized receipt of the Confidential Information is a reportable Privacy Incident (as set forth in Procedure 2 (Privacy Incident Protocols)).</w:t>
      </w:r>
    </w:p>
    <w:p w14:paraId="07043ADD" w14:textId="77777777" w:rsidR="00252193" w:rsidRPr="00BD72E8" w:rsidRDefault="00252193" w:rsidP="00C905D7">
      <w:pPr>
        <w:pStyle w:val="H2Paragraph"/>
      </w:pPr>
      <w:bookmarkStart w:id="27" w:name="_Toc209771764"/>
      <w:r w:rsidRPr="00BD72E8">
        <w:t>The Collection of Confidential Information</w:t>
      </w:r>
      <w:bookmarkEnd w:id="26"/>
      <w:bookmarkEnd w:id="27"/>
    </w:p>
    <w:p w14:paraId="4852D766" w14:textId="77777777" w:rsidR="00252193" w:rsidRPr="004E4502" w:rsidRDefault="00252193" w:rsidP="00C905D7">
      <w:pPr>
        <w:pStyle w:val="H3Text"/>
      </w:pPr>
      <w:r w:rsidRPr="004E4502">
        <w:t xml:space="preserve">The </w:t>
      </w:r>
      <w:r>
        <w:t>“</w:t>
      </w:r>
      <w:r w:rsidRPr="004E4502">
        <w:t>Collection</w:t>
      </w:r>
      <w:r>
        <w:t>”</w:t>
      </w:r>
      <w:r w:rsidRPr="004E4502">
        <w:t xml:space="preserve"> of Confidential Information includes the process of gathering data (that includes Confidential Information) from</w:t>
      </w:r>
      <w:r>
        <w:t xml:space="preserve"> any party, such as:</w:t>
      </w:r>
      <w:r w:rsidRPr="004E4502">
        <w:t xml:space="preserve"> (1) a Data Subject (or their </w:t>
      </w:r>
      <w:r>
        <w:t xml:space="preserve">legally-authorized </w:t>
      </w:r>
      <w:r w:rsidRPr="004E4502">
        <w:t xml:space="preserve">representative); (2) another Administrative Unit; (3) another Commonwealth agency or branch; (4) a vendor; or (5) another third party. Collection of Confidential Information is </w:t>
      </w:r>
      <w:r>
        <w:t>p</w:t>
      </w:r>
      <w:r w:rsidRPr="004E4502">
        <w:t xml:space="preserve">ermitted when it is Collected in accordance with this Procedure 3; otherwise the </w:t>
      </w:r>
      <w:r>
        <w:t>Confidential Information may not be Collected</w:t>
      </w:r>
      <w:r w:rsidRPr="004E4502">
        <w:t xml:space="preserve">.  </w:t>
      </w:r>
    </w:p>
    <w:p w14:paraId="2D1E36DA" w14:textId="77777777" w:rsidR="00252193" w:rsidRPr="00890A31" w:rsidRDefault="00252193" w:rsidP="00252193">
      <w:pPr>
        <w:pStyle w:val="H3SubParagraph"/>
        <w:tabs>
          <w:tab w:val="clear" w:pos="720"/>
        </w:tabs>
      </w:pPr>
      <w:r w:rsidRPr="00C905D7">
        <w:t>Permitted</w:t>
      </w:r>
      <w:r w:rsidRPr="00890A31">
        <w:t xml:space="preserve"> Collection of Confidential Information </w:t>
      </w:r>
    </w:p>
    <w:p w14:paraId="7B2B1804" w14:textId="77777777" w:rsidR="00252193" w:rsidRDefault="00252193" w:rsidP="00C905D7">
      <w:pPr>
        <w:pStyle w:val="H3Text"/>
      </w:pPr>
      <w:r>
        <w:t xml:space="preserve">Each Administrative Unit shall develop protocols governing the Collection of Confidential </w:t>
      </w:r>
      <w:r w:rsidRPr="00C905D7">
        <w:t>Information</w:t>
      </w:r>
      <w:r>
        <w:t xml:space="preserve">. Such Protocols shall address what Confidential Information may be Collected and for what purpose, and shall be consistent with applicable state and federal law governing such Collection. Administrative Unit-specific protocols shall be made available to PDCO upon request. </w:t>
      </w:r>
    </w:p>
    <w:p w14:paraId="3F4554F4" w14:textId="77777777" w:rsidR="00252193" w:rsidRDefault="00252193" w:rsidP="00C905D7">
      <w:pPr>
        <w:pStyle w:val="H3Text"/>
      </w:pPr>
      <w:r>
        <w:t>W</w:t>
      </w:r>
      <w:r w:rsidRPr="00C204EC">
        <w:t xml:space="preserve">orkforce </w:t>
      </w:r>
      <w:r>
        <w:t>M</w:t>
      </w:r>
      <w:r w:rsidRPr="00C204EC">
        <w:t xml:space="preserve">embers may </w:t>
      </w:r>
      <w:r>
        <w:t>C</w:t>
      </w:r>
      <w:r w:rsidRPr="00C204EC">
        <w:t>ollect</w:t>
      </w:r>
      <w:r>
        <w:t xml:space="preserve"> only the amount of</w:t>
      </w:r>
      <w:r w:rsidRPr="00C204EC">
        <w:t xml:space="preserve"> Confidential Information</w:t>
      </w:r>
      <w:r>
        <w:t xml:space="preserve"> that is reasonably necessary (1) in accordance with their Administrative Unit’s protocols and (2) to perform their job functions.</w:t>
      </w:r>
    </w:p>
    <w:p w14:paraId="61D8E616" w14:textId="77777777" w:rsidR="00252193" w:rsidRPr="00890A31" w:rsidRDefault="00252193" w:rsidP="00252193">
      <w:pPr>
        <w:pStyle w:val="H3SubParagraph"/>
        <w:tabs>
          <w:tab w:val="clear" w:pos="720"/>
        </w:tabs>
      </w:pPr>
      <w:r w:rsidRPr="00C905D7">
        <w:t>Collection</w:t>
      </w:r>
      <w:r w:rsidRPr="00890A31">
        <w:t xml:space="preserve"> of 42 C.F.R. Part 2 Covered Information</w:t>
      </w:r>
    </w:p>
    <w:p w14:paraId="58FFC4D7" w14:textId="77777777" w:rsidR="00252193" w:rsidRPr="007B5FD5" w:rsidRDefault="00252193" w:rsidP="00C905D7">
      <w:pPr>
        <w:pStyle w:val="H3Text"/>
      </w:pPr>
      <w:r w:rsidRPr="007B5FD5">
        <w:rPr>
          <w:rStyle w:val="normaltextrun"/>
          <w:szCs w:val="22"/>
        </w:rPr>
        <w:t xml:space="preserve">To the extent that any records containing </w:t>
      </w:r>
      <w:r>
        <w:rPr>
          <w:rStyle w:val="normaltextrun"/>
          <w:szCs w:val="22"/>
        </w:rPr>
        <w:t>“</w:t>
      </w:r>
      <w:r w:rsidRPr="007B5FD5">
        <w:rPr>
          <w:rStyle w:val="normaltextrun"/>
          <w:szCs w:val="22"/>
        </w:rPr>
        <w:t>patient identifying information</w:t>
      </w:r>
      <w:r>
        <w:rPr>
          <w:rStyle w:val="normaltextrun"/>
          <w:szCs w:val="22"/>
        </w:rPr>
        <w:t>”</w:t>
      </w:r>
      <w:r w:rsidRPr="007B5FD5">
        <w:rPr>
          <w:rStyle w:val="normaltextrun"/>
          <w:szCs w:val="22"/>
        </w:rPr>
        <w:t xml:space="preserve"> as defined in 42 C.F.R. § 2.11 are collected by the Department pursuant to 42 C.F.R. § 2.53(b), the Department </w:t>
      </w:r>
      <w:r>
        <w:rPr>
          <w:rStyle w:val="normaltextrun"/>
          <w:szCs w:val="22"/>
        </w:rPr>
        <w:t>will</w:t>
      </w:r>
      <w:r w:rsidRPr="007B5FD5">
        <w:rPr>
          <w:rStyle w:val="normaltextrun"/>
          <w:szCs w:val="22"/>
        </w:rPr>
        <w:t>:</w:t>
      </w:r>
      <w:r w:rsidRPr="007B5FD5">
        <w:rPr>
          <w:rStyle w:val="eop"/>
          <w:szCs w:val="22"/>
        </w:rPr>
        <w:t> </w:t>
      </w:r>
    </w:p>
    <w:p w14:paraId="672F46B1" w14:textId="77777777" w:rsidR="00252193" w:rsidRPr="0099790F" w:rsidRDefault="00252193">
      <w:pPr>
        <w:pStyle w:val="H4Text"/>
        <w:numPr>
          <w:ilvl w:val="0"/>
          <w:numId w:val="158"/>
        </w:numPr>
      </w:pPr>
      <w:r w:rsidRPr="0099790F">
        <w:rPr>
          <w:rStyle w:val="normaltextrun"/>
        </w:rPr>
        <w:t>Maintain and destroy patient identifying information in a manner consistent with the polices and procedures established herein, and consistent with 42 C.F.R. § 2.16;</w:t>
      </w:r>
    </w:p>
    <w:p w14:paraId="1BB7E54C" w14:textId="77777777" w:rsidR="00252193" w:rsidRPr="0099790F" w:rsidRDefault="00252193">
      <w:pPr>
        <w:pStyle w:val="H4Text"/>
        <w:numPr>
          <w:ilvl w:val="0"/>
          <w:numId w:val="158"/>
        </w:numPr>
      </w:pPr>
      <w:r w:rsidRPr="0099790F">
        <w:rPr>
          <w:rStyle w:val="normaltextrun"/>
        </w:rPr>
        <w:t>Retain records in compliance with applicable federal, state, and local record retention laws; and</w:t>
      </w:r>
    </w:p>
    <w:p w14:paraId="78E444C9" w14:textId="77777777" w:rsidR="00252193" w:rsidRPr="0099790F" w:rsidRDefault="00252193">
      <w:pPr>
        <w:pStyle w:val="H4Text"/>
        <w:numPr>
          <w:ilvl w:val="0"/>
          <w:numId w:val="158"/>
        </w:numPr>
        <w:rPr>
          <w:rStyle w:val="eop"/>
        </w:rPr>
      </w:pPr>
      <w:r w:rsidRPr="0099790F">
        <w:rPr>
          <w:rStyle w:val="normaltextrun"/>
        </w:rPr>
        <w:t>Comply with the limitations on use and disclosure set forth in 42 C.F.R. § 2.53(f)</w:t>
      </w:r>
      <w:r w:rsidRPr="0099790F">
        <w:rPr>
          <w:rStyle w:val="eop"/>
        </w:rPr>
        <w:t>.</w:t>
      </w:r>
    </w:p>
    <w:p w14:paraId="682FCB5A" w14:textId="77777777" w:rsidR="00252193" w:rsidRPr="00890A31" w:rsidRDefault="00252193" w:rsidP="00252193">
      <w:pPr>
        <w:pStyle w:val="H3SubParagraph"/>
        <w:tabs>
          <w:tab w:val="clear" w:pos="720"/>
        </w:tabs>
      </w:pPr>
      <w:r w:rsidRPr="00890A31">
        <w:t>When Confidential Information may not be Collected</w:t>
      </w:r>
    </w:p>
    <w:p w14:paraId="0C99311D" w14:textId="77777777" w:rsidR="00252193" w:rsidRPr="00C204EC" w:rsidRDefault="00252193" w:rsidP="009E414B">
      <w:pPr>
        <w:pStyle w:val="H3Text"/>
      </w:pPr>
      <w:r w:rsidRPr="004E4502">
        <w:t xml:space="preserve">Confidential Information </w:t>
      </w:r>
      <w:r>
        <w:t>may not be Collected if</w:t>
      </w:r>
      <w:r w:rsidRPr="004E4502">
        <w:t>:</w:t>
      </w:r>
    </w:p>
    <w:p w14:paraId="6BFDCAD9" w14:textId="77777777" w:rsidR="00252193" w:rsidRPr="00C204EC" w:rsidRDefault="00252193">
      <w:pPr>
        <w:pStyle w:val="H4Text"/>
        <w:numPr>
          <w:ilvl w:val="0"/>
          <w:numId w:val="159"/>
        </w:numPr>
        <w:rPr>
          <w:snapToGrid w:val="0"/>
        </w:rPr>
      </w:pPr>
      <w:r>
        <w:t xml:space="preserve">The </w:t>
      </w:r>
      <w:r w:rsidRPr="00C204EC">
        <w:t xml:space="preserve">Collection fails to </w:t>
      </w:r>
      <w:r>
        <w:t>comply with the Administrative Unit’s protocols;</w:t>
      </w:r>
      <w:r w:rsidRPr="00C204EC">
        <w:t xml:space="preserve"> </w:t>
      </w:r>
    </w:p>
    <w:p w14:paraId="025BD235" w14:textId="77777777" w:rsidR="00252193" w:rsidRPr="00C204EC" w:rsidRDefault="00252193">
      <w:pPr>
        <w:pStyle w:val="H4Text"/>
        <w:numPr>
          <w:ilvl w:val="0"/>
          <w:numId w:val="159"/>
        </w:numPr>
        <w:rPr>
          <w:snapToGrid w:val="0"/>
        </w:rPr>
      </w:pPr>
      <w:r>
        <w:rPr>
          <w:snapToGrid w:val="0"/>
        </w:rPr>
        <w:t xml:space="preserve">The Collection in any </w:t>
      </w:r>
      <w:r w:rsidRPr="002A54C2">
        <w:rPr>
          <w:snapToGrid w:val="0"/>
        </w:rPr>
        <w:t>way conflicts with restrictions made by the Data Subject on an Authorization or consent form (s</w:t>
      </w:r>
      <w:r w:rsidRPr="002A54C2">
        <w:t>ee Procedure 4 (Responding to Requests for Confidential Information)</w:t>
      </w:r>
      <w:r w:rsidRPr="002A54C2">
        <w:rPr>
          <w:snapToGrid w:val="0"/>
        </w:rPr>
        <w:t>, if applicable;</w:t>
      </w:r>
    </w:p>
    <w:p w14:paraId="179BF9F9" w14:textId="77777777" w:rsidR="00252193" w:rsidRPr="004E4502" w:rsidRDefault="00252193">
      <w:pPr>
        <w:pStyle w:val="H4Text"/>
        <w:numPr>
          <w:ilvl w:val="0"/>
          <w:numId w:val="159"/>
        </w:numPr>
        <w:rPr>
          <w:snapToGrid w:val="0"/>
        </w:rPr>
      </w:pPr>
      <w:r>
        <w:t xml:space="preserve">The </w:t>
      </w:r>
      <w:r w:rsidRPr="00C204EC">
        <w:t xml:space="preserve">Data is </w:t>
      </w:r>
      <w:r>
        <w:t>C</w:t>
      </w:r>
      <w:r w:rsidRPr="00C204EC">
        <w:t xml:space="preserve">ollected outside of the scope of a </w:t>
      </w:r>
      <w:r>
        <w:t>Workforce Member</w:t>
      </w:r>
      <w:r w:rsidRPr="00C204EC">
        <w:t>’s role or assignment</w:t>
      </w:r>
      <w:r>
        <w:t>; or</w:t>
      </w:r>
    </w:p>
    <w:p w14:paraId="55D17A35" w14:textId="77777777" w:rsidR="00252193" w:rsidRPr="00C204EC" w:rsidRDefault="00252193">
      <w:pPr>
        <w:pStyle w:val="H4Text"/>
        <w:numPr>
          <w:ilvl w:val="0"/>
          <w:numId w:val="159"/>
        </w:numPr>
        <w:rPr>
          <w:snapToGrid w:val="0"/>
        </w:rPr>
      </w:pPr>
      <w:r>
        <w:rPr>
          <w:snapToGrid w:val="0"/>
        </w:rPr>
        <w:t xml:space="preserve">The Data is Collected for a </w:t>
      </w:r>
      <w:r w:rsidRPr="00C204EC">
        <w:rPr>
          <w:snapToGrid w:val="0"/>
        </w:rPr>
        <w:t xml:space="preserve">Workforce </w:t>
      </w:r>
      <w:r>
        <w:rPr>
          <w:snapToGrid w:val="0"/>
        </w:rPr>
        <w:t>M</w:t>
      </w:r>
      <w:r w:rsidRPr="00C204EC">
        <w:rPr>
          <w:snapToGrid w:val="0"/>
        </w:rPr>
        <w:t>ember</w:t>
      </w:r>
      <w:r>
        <w:rPr>
          <w:snapToGrid w:val="0"/>
        </w:rPr>
        <w:t>’</w:t>
      </w:r>
      <w:r w:rsidRPr="00C204EC">
        <w:rPr>
          <w:snapToGrid w:val="0"/>
        </w:rPr>
        <w:t xml:space="preserve">s </w:t>
      </w:r>
      <w:r>
        <w:rPr>
          <w:snapToGrid w:val="0"/>
        </w:rPr>
        <w:t>personal use (e.g., research conducted in connection with a degree program), unless subject to a valid 24A or authorization.</w:t>
      </w:r>
      <w:r w:rsidRPr="00C204EC">
        <w:rPr>
          <w:snapToGrid w:val="0"/>
        </w:rPr>
        <w:t xml:space="preserve"> </w:t>
      </w:r>
    </w:p>
    <w:p w14:paraId="604A2F4D" w14:textId="77777777" w:rsidR="00252193" w:rsidRPr="004E4502" w:rsidRDefault="00252193" w:rsidP="00940535">
      <w:pPr>
        <w:pStyle w:val="H3Text"/>
        <w:rPr>
          <w:szCs w:val="22"/>
        </w:rPr>
      </w:pPr>
      <w:r>
        <w:t xml:space="preserve">The Collection of </w:t>
      </w:r>
      <w:r w:rsidRPr="00940535">
        <w:t>Data</w:t>
      </w:r>
      <w:r>
        <w:t xml:space="preserve"> </w:t>
      </w:r>
      <w:r w:rsidRPr="00C204EC">
        <w:t xml:space="preserve">(including Confidential Information) </w:t>
      </w:r>
      <w:r>
        <w:t>as described in this Section C</w:t>
      </w:r>
      <w:r w:rsidRPr="00C204EC">
        <w:t xml:space="preserve"> is a </w:t>
      </w:r>
      <w:r>
        <w:t xml:space="preserve">violation of these Procedures, </w:t>
      </w:r>
      <w:r w:rsidRPr="00C204EC">
        <w:t>and is subject to the requirements set forth in Procedure 2</w:t>
      </w:r>
      <w:r>
        <w:t xml:space="preserve"> (Privacy Incident Protocols).</w:t>
      </w:r>
    </w:p>
    <w:p w14:paraId="190573F8" w14:textId="77777777" w:rsidR="00252193" w:rsidRPr="00BD72E8" w:rsidRDefault="00252193" w:rsidP="00940535">
      <w:pPr>
        <w:pStyle w:val="H2Paragraph"/>
      </w:pPr>
      <w:bookmarkStart w:id="28" w:name="_Toc209771765"/>
      <w:r w:rsidRPr="00BD72E8">
        <w:t xml:space="preserve">The </w:t>
      </w:r>
      <w:r w:rsidRPr="00940535">
        <w:t>Use</w:t>
      </w:r>
      <w:r w:rsidRPr="00BD72E8">
        <w:t xml:space="preserve"> of Confidential Information</w:t>
      </w:r>
      <w:bookmarkEnd w:id="28"/>
    </w:p>
    <w:p w14:paraId="013EA027" w14:textId="77777777" w:rsidR="00252193" w:rsidRPr="00BD0CA2" w:rsidRDefault="00252193" w:rsidP="00940535">
      <w:pPr>
        <w:pStyle w:val="H3Text"/>
      </w:pPr>
      <w:r w:rsidRPr="00BD0CA2">
        <w:t xml:space="preserve">The </w:t>
      </w:r>
      <w:r>
        <w:t>“</w:t>
      </w:r>
      <w:r w:rsidRPr="00BD0CA2">
        <w:t>Use</w:t>
      </w:r>
      <w:r>
        <w:t>”</w:t>
      </w:r>
      <w:r w:rsidRPr="00BD0CA2">
        <w:t xml:space="preserve"> of Confidential Information includes one or more of the </w:t>
      </w:r>
      <w:r>
        <w:t>followin</w:t>
      </w:r>
      <w:r w:rsidRPr="00BD0CA2">
        <w:t>g</w:t>
      </w:r>
      <w:r>
        <w:t xml:space="preserve"> activities by and amongst Administrative Units</w:t>
      </w:r>
      <w:r w:rsidRPr="00BD0CA2">
        <w:t xml:space="preserve">: </w:t>
      </w:r>
      <w:r>
        <w:t>the</w:t>
      </w:r>
      <w:r w:rsidRPr="00BD0CA2">
        <w:t xml:space="preserve"> application, utilization, examination, analysis, or sharing of </w:t>
      </w:r>
      <w:r>
        <w:t>Confidential Information</w:t>
      </w:r>
      <w:r w:rsidRPr="00BD0CA2">
        <w:t xml:space="preserve">. Use of Confidential Information is permitted when it is Used in accordance with this Procedure 3; otherwise the Confidential Information may not be Used.  </w:t>
      </w:r>
    </w:p>
    <w:p w14:paraId="5A92AE57" w14:textId="77777777" w:rsidR="00252193" w:rsidRPr="00890A31" w:rsidRDefault="00252193" w:rsidP="00252193">
      <w:pPr>
        <w:pStyle w:val="H3SubParagraph"/>
        <w:tabs>
          <w:tab w:val="clear" w:pos="720"/>
        </w:tabs>
      </w:pPr>
      <w:r w:rsidRPr="00890A31">
        <w:t>Permitted Use of Confidential Information for all Confidential Information by and amongst Administrative Units</w:t>
      </w:r>
    </w:p>
    <w:p w14:paraId="483725F5" w14:textId="77777777" w:rsidR="00252193" w:rsidRPr="00BD0CA2" w:rsidRDefault="00252193" w:rsidP="00940535">
      <w:pPr>
        <w:pStyle w:val="H3Text"/>
      </w:pPr>
      <w:r w:rsidRPr="00BD0CA2">
        <w:t xml:space="preserve">Workforce </w:t>
      </w:r>
      <w:r w:rsidRPr="00940535">
        <w:t>Members</w:t>
      </w:r>
      <w:r w:rsidRPr="00BD0CA2">
        <w:t xml:space="preserve"> may Use only the amount of Confidential Information that is reasonably necessary to perform their job functions. In general, Workforce Members may Use Confidential Information only</w:t>
      </w:r>
      <w:r>
        <w:t xml:space="preserve"> when</w:t>
      </w:r>
      <w:r w:rsidRPr="00BD0CA2">
        <w:t>:</w:t>
      </w:r>
    </w:p>
    <w:p w14:paraId="06B811F5" w14:textId="77777777" w:rsidR="00252193" w:rsidRPr="00BD0CA2" w:rsidRDefault="00252193">
      <w:pPr>
        <w:pStyle w:val="H4Text"/>
        <w:numPr>
          <w:ilvl w:val="0"/>
          <w:numId w:val="153"/>
        </w:numPr>
        <w:rPr>
          <w:b/>
          <w:bCs/>
        </w:rPr>
      </w:pPr>
      <w:r>
        <w:t>The Use is f</w:t>
      </w:r>
      <w:r w:rsidRPr="00BD0CA2">
        <w:t xml:space="preserve">or a specific purpose; and </w:t>
      </w:r>
    </w:p>
    <w:p w14:paraId="5E959156" w14:textId="77777777" w:rsidR="00252193" w:rsidRPr="00BD0CA2" w:rsidRDefault="00252193">
      <w:pPr>
        <w:pStyle w:val="H4Text"/>
        <w:numPr>
          <w:ilvl w:val="0"/>
          <w:numId w:val="153"/>
        </w:numPr>
        <w:rPr>
          <w:b/>
          <w:bCs/>
        </w:rPr>
      </w:pPr>
      <w:r>
        <w:t>The Use is e</w:t>
      </w:r>
      <w:r w:rsidRPr="00BD0CA2">
        <w:t>ither (i) authorized by law or regulation or (ii) consistent with the intent of a law or regulation that required or allowed the Use (e.g.,</w:t>
      </w:r>
      <w:r w:rsidRPr="00BD0CA2">
        <w:rPr>
          <w:snapToGrid w:val="0"/>
        </w:rPr>
        <w:t xml:space="preserve"> for program evaluation; quality improvement; payment verification; public health investigation, surveillance, or intervention; or other health care operations)</w:t>
      </w:r>
      <w:r w:rsidRPr="00BD0CA2">
        <w:t>.</w:t>
      </w:r>
    </w:p>
    <w:p w14:paraId="2AF565F6" w14:textId="77777777" w:rsidR="00252193" w:rsidRPr="00BD0CA2" w:rsidRDefault="00252193">
      <w:pPr>
        <w:pStyle w:val="H4Text"/>
        <w:numPr>
          <w:ilvl w:val="0"/>
          <w:numId w:val="154"/>
        </w:numPr>
      </w:pPr>
      <w:r w:rsidRPr="00BD0CA2">
        <w:t>Examples include</w:t>
      </w:r>
      <w:r>
        <w:t>:</w:t>
      </w:r>
      <w:r w:rsidRPr="00BD0CA2">
        <w:t xml:space="preserve"> </w:t>
      </w:r>
      <w:r w:rsidRPr="00BD0CA2">
        <w:rPr>
          <w:snapToGrid w:val="0"/>
        </w:rPr>
        <w:t xml:space="preserve">M.G.L. c. 111, § 24A, or other statutes authorizing public health research, or HIPAA </w:t>
      </w:r>
    </w:p>
    <w:p w14:paraId="2355606A" w14:textId="77777777" w:rsidR="00252193" w:rsidRPr="00BD0CA2" w:rsidRDefault="00252193" w:rsidP="00570597">
      <w:pPr>
        <w:pStyle w:val="H3Text"/>
      </w:pPr>
      <w:r w:rsidRPr="00BD0CA2">
        <w:t xml:space="preserve">Administrative Units may establish additional or enhanced specific protocols governing Use that correspond to their internal operations, provided such protocols are consistent with the </w:t>
      </w:r>
      <w:r>
        <w:t>requirements</w:t>
      </w:r>
      <w:r w:rsidRPr="00BD0CA2">
        <w:t xml:space="preserve"> set forth above. Such protocols shall also align with DPH data management and governance policies, including promoting secure and role-based access to data, avoiding unrestricted data centralization, and promoting frequent and deep collaborations both internally and externally</w:t>
      </w:r>
      <w:r>
        <w:t>,</w:t>
      </w:r>
      <w:r w:rsidRPr="00BD0CA2">
        <w:t xml:space="preserve"> where appropriate. Administrative Unit-specific protocols shall be made available to PDCO upon request.</w:t>
      </w:r>
    </w:p>
    <w:p w14:paraId="1D609861" w14:textId="77777777" w:rsidR="00252193" w:rsidRPr="00890A31" w:rsidRDefault="00252193" w:rsidP="00252193">
      <w:pPr>
        <w:pStyle w:val="H3SubParagraph"/>
        <w:tabs>
          <w:tab w:val="clear" w:pos="720"/>
        </w:tabs>
      </w:pPr>
      <w:r w:rsidRPr="00890A31">
        <w:t xml:space="preserve">Permitted </w:t>
      </w:r>
      <w:r w:rsidRPr="00570597">
        <w:t>Use</w:t>
      </w:r>
      <w:r w:rsidRPr="00890A31">
        <w:t xml:space="preserve"> of Confidential Information amongst more than one Administrative Unit</w:t>
      </w:r>
    </w:p>
    <w:p w14:paraId="1DC27ADC" w14:textId="77777777" w:rsidR="00252193" w:rsidRPr="00BD0CA2" w:rsidRDefault="00252193" w:rsidP="00570597">
      <w:pPr>
        <w:pStyle w:val="H3Text"/>
      </w:pPr>
      <w:r w:rsidRPr="00BD0CA2">
        <w:t>In addition to meeting the requirements in Section A above, Use of Confidential Information is permitted amongst more than one Administrative Unit only when the following are met:</w:t>
      </w:r>
    </w:p>
    <w:p w14:paraId="48F0178C" w14:textId="77777777" w:rsidR="00252193" w:rsidRPr="00BD0CA2" w:rsidRDefault="00252193">
      <w:pPr>
        <w:pStyle w:val="H4Text"/>
        <w:numPr>
          <w:ilvl w:val="0"/>
          <w:numId w:val="155"/>
        </w:numPr>
      </w:pPr>
      <w:r w:rsidRPr="00BD0CA2">
        <w:t xml:space="preserve">The intradepartmental Use is recorded. </w:t>
      </w:r>
    </w:p>
    <w:p w14:paraId="3DC43698" w14:textId="77777777" w:rsidR="00252193" w:rsidRPr="00BD0CA2" w:rsidRDefault="00252193">
      <w:pPr>
        <w:pStyle w:val="H4Text"/>
        <w:numPr>
          <w:ilvl w:val="0"/>
          <w:numId w:val="157"/>
        </w:numPr>
        <w:rPr>
          <w:b/>
          <w:bCs/>
        </w:rPr>
      </w:pPr>
      <w:r w:rsidRPr="00BD0CA2">
        <w:rPr>
          <w:snapToGrid w:val="0"/>
        </w:rPr>
        <w:t xml:space="preserve">Where a Non-Covered Component is the Administrative Unit from which the data originates (including in derived form), the Department’s </w:t>
      </w:r>
      <w:r w:rsidRPr="00BD0CA2">
        <w:t>internal data access documentation framework for Non-Covered Components</w:t>
      </w:r>
      <w:r>
        <w:t>, as maintained by the Privacy and Data Compliance Office,</w:t>
      </w:r>
      <w:r w:rsidRPr="00BD0CA2">
        <w:t xml:space="preserve"> shall be used. </w:t>
      </w:r>
    </w:p>
    <w:p w14:paraId="2B6F2BCE" w14:textId="77777777" w:rsidR="00252193" w:rsidRDefault="00252193">
      <w:pPr>
        <w:pStyle w:val="H4Text"/>
        <w:numPr>
          <w:ilvl w:val="0"/>
          <w:numId w:val="157"/>
        </w:numPr>
        <w:rPr>
          <w:b/>
          <w:bCs/>
        </w:rPr>
      </w:pPr>
      <w:r w:rsidRPr="00BD0CA2">
        <w:t xml:space="preserve">Where </w:t>
      </w:r>
      <w:r w:rsidRPr="00BD0CA2">
        <w:rPr>
          <w:snapToGrid w:val="0"/>
        </w:rPr>
        <w:t xml:space="preserve">a Covered Component is the Administrative Unit from which the data originates (including in derived form), the Department’s </w:t>
      </w:r>
      <w:r w:rsidRPr="00BD0CA2">
        <w:t>internal data access documentation framework for Covered Components</w:t>
      </w:r>
      <w:r>
        <w:t>, as maintained by the Privacy and Data Compliance Office,</w:t>
      </w:r>
      <w:r w:rsidRPr="00BD0CA2">
        <w:t xml:space="preserve"> shall be used.</w:t>
      </w:r>
      <w:r>
        <w:t xml:space="preserve"> The Department’s internal data access documentation framework for Covered Components shall be made in a HIPAA-compliant manner, including a Business Associate Agreement where required. </w:t>
      </w:r>
    </w:p>
    <w:p w14:paraId="62F0355B" w14:textId="77777777" w:rsidR="00252193" w:rsidRPr="00025E39" w:rsidRDefault="00252193">
      <w:pPr>
        <w:pStyle w:val="H4Text"/>
        <w:numPr>
          <w:ilvl w:val="0"/>
          <w:numId w:val="157"/>
        </w:numPr>
        <w:rPr>
          <w:b/>
          <w:bCs/>
        </w:rPr>
      </w:pPr>
      <w:r w:rsidRPr="00025E39">
        <w:t>Internal data access documentation</w:t>
      </w:r>
      <w:r>
        <w:t>, as maintained by the Privacy and Data Compliance Office,</w:t>
      </w:r>
      <w:r w:rsidRPr="00025E39">
        <w:t xml:space="preserve"> should include, at minimum, the following information with respect to the data shared:</w:t>
      </w:r>
    </w:p>
    <w:p w14:paraId="343BD4C0" w14:textId="77777777" w:rsidR="00252193" w:rsidRPr="00A37A3B" w:rsidRDefault="00252193">
      <w:pPr>
        <w:pStyle w:val="H4Text"/>
        <w:numPr>
          <w:ilvl w:val="0"/>
          <w:numId w:val="156"/>
        </w:numPr>
      </w:pPr>
      <w:r w:rsidRPr="00A37A3B">
        <w:t>Administrative Units involved, their relationship (e.g., data contributor, data recipient), and the Workforce Members fulfilling the roles set forth in Part II.A of this Procedure 3;</w:t>
      </w:r>
    </w:p>
    <w:p w14:paraId="765DAAC7" w14:textId="77777777" w:rsidR="00252193" w:rsidRPr="00A37A3B" w:rsidRDefault="00252193">
      <w:pPr>
        <w:pStyle w:val="H4Text"/>
        <w:numPr>
          <w:ilvl w:val="0"/>
          <w:numId w:val="156"/>
        </w:numPr>
      </w:pPr>
      <w:r w:rsidRPr="00A37A3B">
        <w:t>Purpose of the data sharing;</w:t>
      </w:r>
    </w:p>
    <w:p w14:paraId="026D9D1E" w14:textId="77777777" w:rsidR="00252193" w:rsidRPr="00A37A3B" w:rsidRDefault="00252193">
      <w:pPr>
        <w:pStyle w:val="H4Text"/>
        <w:numPr>
          <w:ilvl w:val="0"/>
          <w:numId w:val="156"/>
        </w:numPr>
      </w:pPr>
      <w:r w:rsidRPr="00A37A3B">
        <w:t>How the data will be used;</w:t>
      </w:r>
    </w:p>
    <w:p w14:paraId="42312F16" w14:textId="77777777" w:rsidR="00252193" w:rsidRPr="00A37A3B" w:rsidRDefault="00252193">
      <w:pPr>
        <w:pStyle w:val="H4Text"/>
        <w:numPr>
          <w:ilvl w:val="0"/>
          <w:numId w:val="156"/>
        </w:numPr>
      </w:pPr>
      <w:r w:rsidRPr="00A37A3B">
        <w:t>Regulatory/statutory authority to support the Use;</w:t>
      </w:r>
    </w:p>
    <w:p w14:paraId="73E838C1" w14:textId="77777777" w:rsidR="00252193" w:rsidRPr="00A37A3B" w:rsidRDefault="00252193">
      <w:pPr>
        <w:pStyle w:val="H4Text"/>
        <w:numPr>
          <w:ilvl w:val="0"/>
          <w:numId w:val="156"/>
        </w:numPr>
      </w:pPr>
      <w:r w:rsidRPr="00A37A3B">
        <w:t xml:space="preserve">Who will be using the data (e.g., a listing of defined roles); </w:t>
      </w:r>
    </w:p>
    <w:p w14:paraId="2ED64C2F" w14:textId="77777777" w:rsidR="00252193" w:rsidRPr="00A37A3B" w:rsidRDefault="00252193">
      <w:pPr>
        <w:pStyle w:val="H4Text"/>
        <w:numPr>
          <w:ilvl w:val="0"/>
          <w:numId w:val="156"/>
        </w:numPr>
      </w:pPr>
      <w:r w:rsidRPr="00A37A3B">
        <w:t>Data elements shared;</w:t>
      </w:r>
    </w:p>
    <w:p w14:paraId="6E357B84" w14:textId="77777777" w:rsidR="00252193" w:rsidRPr="00A37A3B" w:rsidRDefault="00252193">
      <w:pPr>
        <w:pStyle w:val="H4Text"/>
        <w:numPr>
          <w:ilvl w:val="0"/>
          <w:numId w:val="156"/>
        </w:numPr>
      </w:pPr>
      <w:r w:rsidRPr="00A37A3B">
        <w:t>How the data will be secured (e.g., storage, remote access, destruction, and access revocation upon termination);</w:t>
      </w:r>
    </w:p>
    <w:p w14:paraId="14D06BFE" w14:textId="77777777" w:rsidR="00252193" w:rsidRPr="00A37A3B" w:rsidRDefault="00252193">
      <w:pPr>
        <w:pStyle w:val="H4Text"/>
        <w:numPr>
          <w:ilvl w:val="0"/>
          <w:numId w:val="156"/>
        </w:numPr>
      </w:pPr>
      <w:r w:rsidRPr="00A37A3B">
        <w:t xml:space="preserve">Duration of sharing; </w:t>
      </w:r>
    </w:p>
    <w:p w14:paraId="1ACBBEA0" w14:textId="77777777" w:rsidR="00252193" w:rsidRPr="00A37A3B" w:rsidRDefault="00252193">
      <w:pPr>
        <w:pStyle w:val="H4Text"/>
        <w:numPr>
          <w:ilvl w:val="0"/>
          <w:numId w:val="156"/>
        </w:numPr>
      </w:pPr>
      <w:r w:rsidRPr="00A37A3B">
        <w:t xml:space="preserve">Additional required obligations (by law, grant, or contract, for example) applicable to the Use of the data; and </w:t>
      </w:r>
    </w:p>
    <w:p w14:paraId="155CC151" w14:textId="77777777" w:rsidR="00252193" w:rsidRPr="00A37A3B" w:rsidRDefault="00252193">
      <w:pPr>
        <w:pStyle w:val="H4Text"/>
        <w:numPr>
          <w:ilvl w:val="0"/>
          <w:numId w:val="156"/>
        </w:numPr>
      </w:pPr>
      <w:r w:rsidRPr="00A37A3B">
        <w:t>An acknowledgment of the documented data sharing by the appropriate designees of each Administrative Unit involved in the data sharing.</w:t>
      </w:r>
    </w:p>
    <w:p w14:paraId="2270F4F4" w14:textId="77777777" w:rsidR="00252193" w:rsidRPr="00BD0CA2" w:rsidRDefault="00252193">
      <w:pPr>
        <w:pStyle w:val="H4Text"/>
        <w:numPr>
          <w:ilvl w:val="0"/>
          <w:numId w:val="157"/>
        </w:numPr>
        <w:rPr>
          <w:b/>
          <w:bCs/>
        </w:rPr>
      </w:pPr>
      <w:r w:rsidRPr="0045644A">
        <w:rPr>
          <w:snapToGrid w:val="0"/>
        </w:rPr>
        <w:t>The</w:t>
      </w:r>
      <w:r w:rsidRPr="00BD0CA2">
        <w:t xml:space="preserve"> </w:t>
      </w:r>
      <w:r w:rsidRPr="00BD0CA2">
        <w:rPr>
          <w:snapToGrid w:val="0"/>
        </w:rPr>
        <w:t>Data Steward of each Administrative Unit involved in the data Use, with oversight from their respective Data Managers, are</w:t>
      </w:r>
      <w:r w:rsidRPr="00BD0CA2">
        <w:t xml:space="preserve"> responsible for maintaining complete, accurate, and up-to-date documentation regarding the intradepartmental </w:t>
      </w:r>
      <w:r>
        <w:t>U</w:t>
      </w:r>
      <w:r w:rsidRPr="00BD0CA2">
        <w:t>se of data, and making this documentation available upon request to the Privacy and Data Compliance Office.</w:t>
      </w:r>
    </w:p>
    <w:p w14:paraId="6271F4C7" w14:textId="77777777" w:rsidR="00252193" w:rsidRPr="00890A31" w:rsidRDefault="00252193" w:rsidP="00252193">
      <w:pPr>
        <w:pStyle w:val="H3SubParagraph"/>
        <w:tabs>
          <w:tab w:val="clear" w:pos="720"/>
        </w:tabs>
      </w:pPr>
      <w:r w:rsidRPr="00890A31">
        <w:t>When Confidential Information may not be Used</w:t>
      </w:r>
    </w:p>
    <w:p w14:paraId="48C862B7" w14:textId="77777777" w:rsidR="00252193" w:rsidRPr="00BD0CA2" w:rsidRDefault="00252193" w:rsidP="0099790F">
      <w:pPr>
        <w:pStyle w:val="H3Text"/>
      </w:pPr>
      <w:r w:rsidRPr="00BD0CA2">
        <w:t>Confidential Information may not be Used if:</w:t>
      </w:r>
    </w:p>
    <w:p w14:paraId="4A7FD9F3" w14:textId="77777777" w:rsidR="00252193" w:rsidRPr="00BD0CA2" w:rsidRDefault="00252193">
      <w:pPr>
        <w:pStyle w:val="H4Text"/>
        <w:numPr>
          <w:ilvl w:val="0"/>
          <w:numId w:val="160"/>
        </w:numPr>
      </w:pPr>
      <w:r w:rsidRPr="00BD0CA2">
        <w:t>The Use fails to comply with the Administrative Unit’s protocols;</w:t>
      </w:r>
    </w:p>
    <w:p w14:paraId="25D92675" w14:textId="77777777" w:rsidR="00252193" w:rsidRPr="00BD0CA2" w:rsidRDefault="00252193">
      <w:pPr>
        <w:pStyle w:val="H4Text"/>
        <w:numPr>
          <w:ilvl w:val="0"/>
          <w:numId w:val="160"/>
        </w:numPr>
      </w:pPr>
      <w:r w:rsidRPr="00BD0CA2">
        <w:t xml:space="preserve">The Use </w:t>
      </w:r>
      <w:r w:rsidRPr="00BA5268">
        <w:t>is i</w:t>
      </w:r>
      <w:r w:rsidRPr="00BA5268">
        <w:rPr>
          <w:snapToGrid w:val="0"/>
        </w:rPr>
        <w:t>n conflict with</w:t>
      </w:r>
      <w:r w:rsidRPr="002A54C2">
        <w:rPr>
          <w:snapToGrid w:val="0"/>
        </w:rPr>
        <w:t xml:space="preserve"> restrictions made by the Data Subject on an Authorization or consent form (s</w:t>
      </w:r>
      <w:r w:rsidRPr="002A54C2">
        <w:t>ee Procedure 4 (Responding to Requests for Confidential Information)),</w:t>
      </w:r>
      <w:r w:rsidRPr="002A54C2">
        <w:rPr>
          <w:snapToGrid w:val="0"/>
        </w:rPr>
        <w:t xml:space="preserve"> if applicable;</w:t>
      </w:r>
    </w:p>
    <w:p w14:paraId="16A50E8E" w14:textId="77777777" w:rsidR="00252193" w:rsidRPr="00BD0CA2" w:rsidRDefault="00252193">
      <w:pPr>
        <w:pStyle w:val="H4Text"/>
        <w:numPr>
          <w:ilvl w:val="0"/>
          <w:numId w:val="160"/>
        </w:numPr>
        <w:rPr>
          <w:snapToGrid w:val="0"/>
        </w:rPr>
      </w:pPr>
      <w:r w:rsidRPr="00BD0CA2">
        <w:t>The Use is outside of the scope of a Workforce Member’s role or assignment; or</w:t>
      </w:r>
    </w:p>
    <w:p w14:paraId="552C0BF7" w14:textId="77777777" w:rsidR="00252193" w:rsidRPr="00BD0CA2" w:rsidRDefault="00252193">
      <w:pPr>
        <w:pStyle w:val="H4Text"/>
        <w:numPr>
          <w:ilvl w:val="0"/>
          <w:numId w:val="160"/>
        </w:numPr>
      </w:pPr>
      <w:r>
        <w:rPr>
          <w:snapToGrid w:val="0"/>
        </w:rPr>
        <w:t xml:space="preserve">The Data is Collected for a </w:t>
      </w:r>
      <w:r w:rsidRPr="00C204EC">
        <w:rPr>
          <w:snapToGrid w:val="0"/>
        </w:rPr>
        <w:t xml:space="preserve">Workforce </w:t>
      </w:r>
      <w:r>
        <w:rPr>
          <w:snapToGrid w:val="0"/>
        </w:rPr>
        <w:t>M</w:t>
      </w:r>
      <w:r w:rsidRPr="00C204EC">
        <w:rPr>
          <w:snapToGrid w:val="0"/>
        </w:rPr>
        <w:t>ember</w:t>
      </w:r>
      <w:r>
        <w:rPr>
          <w:snapToGrid w:val="0"/>
        </w:rPr>
        <w:t>’</w:t>
      </w:r>
      <w:r w:rsidRPr="00C204EC">
        <w:rPr>
          <w:snapToGrid w:val="0"/>
        </w:rPr>
        <w:t xml:space="preserve">s </w:t>
      </w:r>
      <w:r>
        <w:rPr>
          <w:snapToGrid w:val="0"/>
        </w:rPr>
        <w:t>personal use (e.g., research conducted in connection with a degree program), unless subject to a valid 24A or authorization</w:t>
      </w:r>
      <w:r w:rsidRPr="00BD0CA2">
        <w:rPr>
          <w:snapToGrid w:val="0"/>
        </w:rPr>
        <w:t>.</w:t>
      </w:r>
      <w:r w:rsidRPr="00BD0CA2">
        <w:t xml:space="preserve"> </w:t>
      </w:r>
    </w:p>
    <w:p w14:paraId="15D3ED48" w14:textId="77777777" w:rsidR="00252193" w:rsidRPr="004E4502" w:rsidRDefault="00252193" w:rsidP="00693B08">
      <w:pPr>
        <w:pStyle w:val="H3Text"/>
        <w:rPr>
          <w:szCs w:val="22"/>
        </w:rPr>
      </w:pPr>
      <w:r w:rsidRPr="00BD0CA2">
        <w:t xml:space="preserve">The Use of Data (including Confidential Information) as described in this Section C is a </w:t>
      </w:r>
      <w:r>
        <w:t>violation of these Procedures,</w:t>
      </w:r>
      <w:r w:rsidRPr="00BD0CA2">
        <w:t xml:space="preserve"> and is subject to the requirements set forth in Procedure 2 (Privacy Incident Protocols).</w:t>
      </w:r>
    </w:p>
    <w:p w14:paraId="7E42A1DE" w14:textId="77777777" w:rsidR="00252193" w:rsidRPr="00BD72E8" w:rsidRDefault="00252193" w:rsidP="00693B08">
      <w:pPr>
        <w:pStyle w:val="H2Paragraph"/>
      </w:pPr>
      <w:bookmarkStart w:id="29" w:name="_Toc209771766"/>
      <w:r w:rsidRPr="00BD72E8">
        <w:t xml:space="preserve">The Disclosure of </w:t>
      </w:r>
      <w:r w:rsidRPr="00693B08">
        <w:t>Confidential</w:t>
      </w:r>
      <w:r w:rsidRPr="00BD72E8">
        <w:t xml:space="preserve"> Information</w:t>
      </w:r>
      <w:bookmarkEnd w:id="29"/>
    </w:p>
    <w:p w14:paraId="5D48C320" w14:textId="77777777" w:rsidR="00252193" w:rsidRPr="00BD0CA2" w:rsidRDefault="00252193" w:rsidP="00693B08">
      <w:pPr>
        <w:pStyle w:val="H3Text"/>
      </w:pPr>
      <w:r w:rsidRPr="00BD0CA2">
        <w:t xml:space="preserve">The </w:t>
      </w:r>
      <w:r>
        <w:t>“</w:t>
      </w:r>
      <w:r w:rsidRPr="00BD0CA2">
        <w:t>Disclosure</w:t>
      </w:r>
      <w:r>
        <w:t>”</w:t>
      </w:r>
      <w:r w:rsidRPr="00BD0CA2">
        <w:t xml:space="preserve"> of Confidential Information includes the release of data (that includes Confidential Information) from DPH to a non-DPH party. Disclosure of Confidential Information is permitted when it is Disclosed in accordance with this Procedure 3; otherwise the Confidential Information may not be Disclosed.  </w:t>
      </w:r>
    </w:p>
    <w:p w14:paraId="4B7277AB" w14:textId="77777777" w:rsidR="00252193" w:rsidRPr="00890A31" w:rsidRDefault="00252193" w:rsidP="00252193">
      <w:pPr>
        <w:pStyle w:val="H3SubParagraph"/>
        <w:tabs>
          <w:tab w:val="clear" w:pos="720"/>
        </w:tabs>
      </w:pPr>
      <w:r w:rsidRPr="00890A31">
        <w:t xml:space="preserve">Permitted Disclosure of Confidential Information </w:t>
      </w:r>
    </w:p>
    <w:p w14:paraId="0165BB2F" w14:textId="77777777" w:rsidR="00252193" w:rsidRPr="00BD0CA2" w:rsidRDefault="00252193" w:rsidP="00693B08">
      <w:pPr>
        <w:pStyle w:val="H3Text"/>
      </w:pPr>
      <w:r w:rsidRPr="00BD0CA2">
        <w:t xml:space="preserve">Workforce Members may Disclose only the amount of Confidential Information that is reasonably </w:t>
      </w:r>
      <w:r w:rsidRPr="00693B08">
        <w:t>necessary</w:t>
      </w:r>
      <w:r w:rsidRPr="00BD0CA2">
        <w:t xml:space="preserve"> to effectuate the purpose of the Disclosure. In general, Workforce Members may Disclose Confidential Information only when:</w:t>
      </w:r>
    </w:p>
    <w:p w14:paraId="36CAA84E" w14:textId="77777777" w:rsidR="00252193" w:rsidRPr="00710A0B" w:rsidRDefault="00252193">
      <w:pPr>
        <w:pStyle w:val="H4Text"/>
        <w:numPr>
          <w:ilvl w:val="0"/>
          <w:numId w:val="161"/>
        </w:numPr>
      </w:pPr>
      <w:r w:rsidRPr="00710A0B">
        <w:t>The Disclosure is for a specific purpose; and</w:t>
      </w:r>
    </w:p>
    <w:p w14:paraId="17A794F4" w14:textId="77777777" w:rsidR="00252193" w:rsidRPr="00710A0B" w:rsidRDefault="00252193">
      <w:pPr>
        <w:pStyle w:val="H4Text"/>
        <w:numPr>
          <w:ilvl w:val="0"/>
          <w:numId w:val="161"/>
        </w:numPr>
      </w:pPr>
      <w:r w:rsidRPr="00710A0B">
        <w:t>The Disclosure is either (i) authorized by law or regulation or (ii) consistent with the intent of a law or regulation that required or allowed the Disclosure (e.g.,</w:t>
      </w:r>
      <w:r w:rsidRPr="00710A0B">
        <w:rPr>
          <w:snapToGrid w:val="0"/>
        </w:rPr>
        <w:t xml:space="preserve"> for program evaluation; quality improvement; payment verification; public health investigation, surveillance, or intervention; public health research; or other health care operations)</w:t>
      </w:r>
      <w:r w:rsidRPr="00710A0B">
        <w:t>; and</w:t>
      </w:r>
    </w:p>
    <w:p w14:paraId="130A00B4" w14:textId="77777777" w:rsidR="00252193" w:rsidRPr="00710A0B" w:rsidRDefault="00252193">
      <w:pPr>
        <w:pStyle w:val="H4Text"/>
        <w:numPr>
          <w:ilvl w:val="0"/>
          <w:numId w:val="161"/>
        </w:numPr>
      </w:pPr>
      <w:r w:rsidRPr="00710A0B">
        <w:t>The Disclosure is in accordance with the requirements set forth in Procedure 4 (Responding to Requests for Confidential Information); and</w:t>
      </w:r>
    </w:p>
    <w:p w14:paraId="01C9A561" w14:textId="77777777" w:rsidR="00252193" w:rsidRPr="00710A0B" w:rsidRDefault="00252193">
      <w:pPr>
        <w:pStyle w:val="H4Text"/>
        <w:numPr>
          <w:ilvl w:val="0"/>
          <w:numId w:val="161"/>
        </w:numPr>
      </w:pPr>
      <w:r w:rsidRPr="00710A0B">
        <w:t>Administrative Units must document all Disclosures of Confidential Information. Disclosures must be documented as set forth in Table 3.1, where applicable. For all Disclosures, the documentation should include, at minimum, the following information with respect to the Confidential Information shared:</w:t>
      </w:r>
    </w:p>
    <w:p w14:paraId="2FDA1F41" w14:textId="77777777" w:rsidR="00252193" w:rsidRPr="00710A0B" w:rsidRDefault="00252193">
      <w:pPr>
        <w:pStyle w:val="H4Text"/>
        <w:numPr>
          <w:ilvl w:val="1"/>
          <w:numId w:val="162"/>
        </w:numPr>
      </w:pPr>
      <w:r w:rsidRPr="00710A0B">
        <w:t>Names of the parties involved, their relationship (e.g., data contributor, data recipient), and, with respect to the Department, the Workforce Members fulfilling the roles set forth in Part II.A of this Procedure 3;</w:t>
      </w:r>
    </w:p>
    <w:p w14:paraId="5DEDD01D" w14:textId="77777777" w:rsidR="00252193" w:rsidRPr="00710A0B" w:rsidRDefault="00252193">
      <w:pPr>
        <w:pStyle w:val="H4Text"/>
        <w:numPr>
          <w:ilvl w:val="1"/>
          <w:numId w:val="162"/>
        </w:numPr>
      </w:pPr>
      <w:r w:rsidRPr="00710A0B">
        <w:t>Purpose of the data sharing;</w:t>
      </w:r>
    </w:p>
    <w:p w14:paraId="0755CEAB" w14:textId="77777777" w:rsidR="00252193" w:rsidRPr="00710A0B" w:rsidRDefault="00252193">
      <w:pPr>
        <w:pStyle w:val="H4Text"/>
        <w:numPr>
          <w:ilvl w:val="1"/>
          <w:numId w:val="162"/>
        </w:numPr>
      </w:pPr>
      <w:r w:rsidRPr="00710A0B">
        <w:t>How the data will be used;</w:t>
      </w:r>
    </w:p>
    <w:p w14:paraId="01E61957" w14:textId="77777777" w:rsidR="00252193" w:rsidRPr="00710A0B" w:rsidRDefault="00252193">
      <w:pPr>
        <w:pStyle w:val="H4Text"/>
        <w:numPr>
          <w:ilvl w:val="1"/>
          <w:numId w:val="162"/>
        </w:numPr>
      </w:pPr>
      <w:r w:rsidRPr="00710A0B">
        <w:t>Regulatory/statutory authority to support the Disclosure;</w:t>
      </w:r>
    </w:p>
    <w:p w14:paraId="7366E051" w14:textId="77777777" w:rsidR="00252193" w:rsidRPr="00710A0B" w:rsidRDefault="00252193">
      <w:pPr>
        <w:pStyle w:val="H4Text"/>
        <w:numPr>
          <w:ilvl w:val="1"/>
          <w:numId w:val="162"/>
        </w:numPr>
      </w:pPr>
      <w:r w:rsidRPr="00710A0B">
        <w:t xml:space="preserve">Who will be using the data (e.g., a listing of defined roles); </w:t>
      </w:r>
    </w:p>
    <w:p w14:paraId="4CB868BB" w14:textId="77777777" w:rsidR="00252193" w:rsidRPr="00710A0B" w:rsidRDefault="00252193">
      <w:pPr>
        <w:pStyle w:val="H4Text"/>
        <w:numPr>
          <w:ilvl w:val="1"/>
          <w:numId w:val="162"/>
        </w:numPr>
      </w:pPr>
      <w:r w:rsidRPr="00710A0B">
        <w:t>Data elements shared;</w:t>
      </w:r>
    </w:p>
    <w:p w14:paraId="5996AEAA" w14:textId="77777777" w:rsidR="00252193" w:rsidRPr="00710A0B" w:rsidRDefault="00252193">
      <w:pPr>
        <w:pStyle w:val="H4Text"/>
        <w:numPr>
          <w:ilvl w:val="1"/>
          <w:numId w:val="162"/>
        </w:numPr>
      </w:pPr>
      <w:r w:rsidRPr="00710A0B">
        <w:t>How the data will be secured (e.g., storage, remote access, destruction, and access revocation upon termination);</w:t>
      </w:r>
    </w:p>
    <w:p w14:paraId="04B79CB5" w14:textId="77777777" w:rsidR="00252193" w:rsidRPr="00710A0B" w:rsidRDefault="00252193">
      <w:pPr>
        <w:pStyle w:val="H4Text"/>
        <w:numPr>
          <w:ilvl w:val="1"/>
          <w:numId w:val="162"/>
        </w:numPr>
      </w:pPr>
      <w:r w:rsidRPr="00710A0B">
        <w:t xml:space="preserve">Duration of sharing; </w:t>
      </w:r>
    </w:p>
    <w:p w14:paraId="13038347" w14:textId="77777777" w:rsidR="00252193" w:rsidRPr="00710A0B" w:rsidRDefault="00252193">
      <w:pPr>
        <w:pStyle w:val="H4Text"/>
        <w:numPr>
          <w:ilvl w:val="1"/>
          <w:numId w:val="162"/>
        </w:numPr>
      </w:pPr>
      <w:r w:rsidRPr="00710A0B">
        <w:t xml:space="preserve">Additional required obligations (by law, grant, or contract, for example) applicable to the Disclosure of the data; and </w:t>
      </w:r>
    </w:p>
    <w:p w14:paraId="08D00520" w14:textId="77777777" w:rsidR="00252193" w:rsidRPr="00710A0B" w:rsidRDefault="00252193">
      <w:pPr>
        <w:pStyle w:val="H4Text"/>
        <w:numPr>
          <w:ilvl w:val="1"/>
          <w:numId w:val="162"/>
        </w:numPr>
      </w:pPr>
      <w:r w:rsidRPr="00710A0B">
        <w:t>An acknowledgment of the documented data sharing relationship by the appropriate designees of each party involved in the data sharing.</w:t>
      </w:r>
    </w:p>
    <w:p w14:paraId="2F61574C" w14:textId="77777777" w:rsidR="00252193" w:rsidRPr="00710A0B" w:rsidRDefault="00252193" w:rsidP="00EA7144">
      <w:pPr>
        <w:pStyle w:val="H4Text"/>
      </w:pPr>
      <w:r w:rsidRPr="00710A0B">
        <w:t xml:space="preserve">The </w:t>
      </w:r>
      <w:r w:rsidRPr="00710A0B">
        <w:rPr>
          <w:snapToGrid w:val="0"/>
        </w:rPr>
        <w:t xml:space="preserve">Data Steward, with oversight from the Data Manager, </w:t>
      </w:r>
      <w:r w:rsidRPr="00710A0B">
        <w:t>is responsible for maintaining complete, accurate, and up-to-date documentation regarding the Disclosure of Confidential Information, and making this documentation available upon request to the Privacy and Data Compliance Office.</w:t>
      </w:r>
    </w:p>
    <w:p w14:paraId="445EBAB4" w14:textId="77777777" w:rsidR="00252193" w:rsidRPr="00710A0B" w:rsidRDefault="00252193">
      <w:pPr>
        <w:pStyle w:val="H4Text"/>
        <w:numPr>
          <w:ilvl w:val="0"/>
          <w:numId w:val="161"/>
        </w:numPr>
      </w:pPr>
      <w:r w:rsidRPr="00710A0B">
        <w:t>Administrative Units may establish additional or enhanced specific protocols governing Disclosure that correspond to their internal operations, provided such protocols are consistent with the requirements set forth above. Such protocols shall also align with DPH data management and governance policies, including promoting secure and role-based access to data, avoiding unrestricted data centralization, and promoting frequent and deep collaborations both internally and externally, where appropriate. Administrative Unit-specific protocols shall be made available to PDCO upon request.</w:t>
      </w:r>
    </w:p>
    <w:p w14:paraId="012D58CC" w14:textId="77777777" w:rsidR="00252193" w:rsidRPr="00890A31" w:rsidRDefault="00252193" w:rsidP="00252193">
      <w:pPr>
        <w:pStyle w:val="H3SubParagraph"/>
        <w:tabs>
          <w:tab w:val="clear" w:pos="720"/>
        </w:tabs>
      </w:pPr>
      <w:r w:rsidRPr="00890A31">
        <w:t xml:space="preserve">When </w:t>
      </w:r>
      <w:r w:rsidRPr="001F19ED">
        <w:t>Confidential</w:t>
      </w:r>
      <w:r w:rsidRPr="00890A31">
        <w:t xml:space="preserve"> Information may not be Disclosed</w:t>
      </w:r>
    </w:p>
    <w:p w14:paraId="43B42F93" w14:textId="77777777" w:rsidR="00252193" w:rsidRPr="00BD0CA2" w:rsidRDefault="00252193" w:rsidP="001F19ED">
      <w:pPr>
        <w:pStyle w:val="H3Text"/>
      </w:pPr>
      <w:r w:rsidRPr="00BD0CA2">
        <w:t>Confidential Information may not be Disclosed if:</w:t>
      </w:r>
    </w:p>
    <w:p w14:paraId="7291ED59" w14:textId="77777777" w:rsidR="00252193" w:rsidRPr="00BD0CA2" w:rsidRDefault="00252193">
      <w:pPr>
        <w:pStyle w:val="H4Text"/>
        <w:numPr>
          <w:ilvl w:val="0"/>
          <w:numId w:val="163"/>
        </w:numPr>
      </w:pPr>
      <w:r w:rsidRPr="00BD0CA2">
        <w:t>The Disclosure fails to comply with the Administrative Unit’s protocols;</w:t>
      </w:r>
    </w:p>
    <w:p w14:paraId="634B578E" w14:textId="77777777" w:rsidR="00252193" w:rsidRPr="00BD0CA2" w:rsidRDefault="00252193">
      <w:pPr>
        <w:pStyle w:val="H4Text"/>
        <w:numPr>
          <w:ilvl w:val="0"/>
          <w:numId w:val="163"/>
        </w:numPr>
      </w:pPr>
      <w:r w:rsidRPr="00BD0CA2">
        <w:rPr>
          <w:snapToGrid w:val="0"/>
        </w:rPr>
        <w:t xml:space="preserve">The </w:t>
      </w:r>
      <w:r w:rsidRPr="00BA5268">
        <w:rPr>
          <w:snapToGrid w:val="0"/>
        </w:rPr>
        <w:t>Disclosure is in conflict with</w:t>
      </w:r>
      <w:r w:rsidRPr="00BD0CA2">
        <w:rPr>
          <w:snapToGrid w:val="0"/>
        </w:rPr>
        <w:t xml:space="preserve"> restrictions made by the Data Subject on an </w:t>
      </w:r>
      <w:r>
        <w:rPr>
          <w:snapToGrid w:val="0"/>
        </w:rPr>
        <w:t>A</w:t>
      </w:r>
      <w:r w:rsidRPr="00BD0CA2">
        <w:rPr>
          <w:snapToGrid w:val="0"/>
        </w:rPr>
        <w:t xml:space="preserve">uthorization or consent form </w:t>
      </w:r>
      <w:r w:rsidRPr="00BD0CA2">
        <w:t xml:space="preserve">(see </w:t>
      </w:r>
      <w:r w:rsidRPr="007A6732">
        <w:t>Procedure 4</w:t>
      </w:r>
      <w:r w:rsidRPr="00BD0CA2">
        <w:t xml:space="preserve"> (Responding to Requests for Confidential Information)</w:t>
      </w:r>
      <w:r w:rsidRPr="00BD0CA2">
        <w:rPr>
          <w:snapToGrid w:val="0"/>
        </w:rPr>
        <w:t>, if applicable;</w:t>
      </w:r>
    </w:p>
    <w:p w14:paraId="5C6AD5E6" w14:textId="77777777" w:rsidR="00252193" w:rsidRPr="00BD0CA2" w:rsidRDefault="00252193">
      <w:pPr>
        <w:pStyle w:val="H4Text"/>
        <w:numPr>
          <w:ilvl w:val="0"/>
          <w:numId w:val="163"/>
        </w:numPr>
        <w:rPr>
          <w:snapToGrid w:val="0"/>
        </w:rPr>
      </w:pPr>
      <w:r w:rsidRPr="00BD0CA2">
        <w:t>The Disclosure is outside of the scope of a Workforce Member’s role or assignment; or</w:t>
      </w:r>
    </w:p>
    <w:p w14:paraId="099CC74D" w14:textId="77777777" w:rsidR="00252193" w:rsidRPr="00BD0CA2" w:rsidRDefault="00252193">
      <w:pPr>
        <w:pStyle w:val="H4Text"/>
        <w:numPr>
          <w:ilvl w:val="0"/>
          <w:numId w:val="163"/>
        </w:numPr>
      </w:pPr>
      <w:r w:rsidRPr="00BD0CA2">
        <w:rPr>
          <w:snapToGrid w:val="0"/>
        </w:rPr>
        <w:t xml:space="preserve">The </w:t>
      </w:r>
      <w:r w:rsidRPr="00025E39">
        <w:rPr>
          <w:snapToGrid w:val="0"/>
        </w:rPr>
        <w:t>Disclosure is for a Workforce Member’s personal use (unless subject to a valid 24A or authorization) (e.g., research conducted in connection with a degree program).</w:t>
      </w:r>
    </w:p>
    <w:p w14:paraId="5E969A48" w14:textId="77777777" w:rsidR="00252193" w:rsidRDefault="00252193" w:rsidP="001D53B0">
      <w:pPr>
        <w:pStyle w:val="H3Text"/>
      </w:pPr>
      <w:r w:rsidRPr="00BD0CA2">
        <w:t xml:space="preserve">The </w:t>
      </w:r>
      <w:r w:rsidRPr="001D53B0">
        <w:t>Disclosure</w:t>
      </w:r>
      <w:r w:rsidRPr="00BD0CA2">
        <w:t xml:space="preserve"> of Data (including Confidential Information) as described in this Section B </w:t>
      </w:r>
      <w:r w:rsidRPr="00C204EC">
        <w:t xml:space="preserve">is a </w:t>
      </w:r>
      <w:r>
        <w:t>violation of these Procedures</w:t>
      </w:r>
      <w:r w:rsidRPr="00BD0CA2">
        <w:t>, and is subject to the requirements set forth in Procedure 2 (Privacy Incident Protocols).</w:t>
      </w:r>
    </w:p>
    <w:p w14:paraId="52A996AB" w14:textId="77777777" w:rsidR="00252193" w:rsidRPr="00BD0CA2" w:rsidRDefault="00252193" w:rsidP="001D53B0">
      <w:pPr>
        <w:pStyle w:val="H3Text"/>
        <w:rPr>
          <w:snapToGrid w:val="0"/>
        </w:rPr>
      </w:pPr>
    </w:p>
    <w:p w14:paraId="4F060825" w14:textId="77777777" w:rsidR="00252193" w:rsidRPr="00502879" w:rsidRDefault="00252193" w:rsidP="00FC5B4A">
      <w:pPr>
        <w:pStyle w:val="H4SubNumberedParagraph"/>
        <w:numPr>
          <w:ilvl w:val="0"/>
          <w:numId w:val="0"/>
        </w:numPr>
      </w:pPr>
      <w:r w:rsidRPr="00502879">
        <w:t xml:space="preserve">Table 3.1: </w:t>
      </w:r>
      <w:r>
        <w:t>Documentation of Permitted</w:t>
      </w:r>
      <w:r w:rsidRPr="00502879">
        <w:t xml:space="preserve"> Disclosures of Confidential Information</w:t>
      </w:r>
    </w:p>
    <w:tbl>
      <w:tblPr>
        <w:tblW w:w="10350" w:type="dxa"/>
        <w:tblInd w:w="-4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9" w:type="dxa"/>
          <w:left w:w="115" w:type="dxa"/>
          <w:right w:w="115" w:type="dxa"/>
        </w:tblCellMar>
        <w:tblLook w:val="01E0" w:firstRow="1" w:lastRow="1" w:firstColumn="1" w:lastColumn="1" w:noHBand="0" w:noVBand="0"/>
      </w:tblPr>
      <w:tblGrid>
        <w:gridCol w:w="1440"/>
        <w:gridCol w:w="3870"/>
        <w:gridCol w:w="5040"/>
      </w:tblGrid>
      <w:tr w:rsidR="00252193" w:rsidRPr="00502879" w14:paraId="2C6D703D" w14:textId="77777777" w:rsidTr="00430D07">
        <w:trPr>
          <w:trHeight w:val="483"/>
          <w:tblHeader/>
        </w:trPr>
        <w:tc>
          <w:tcPr>
            <w:tcW w:w="1440" w:type="dxa"/>
            <w:shd w:val="clear" w:color="auto" w:fill="E0E0E0"/>
            <w:vAlign w:val="center"/>
          </w:tcPr>
          <w:p w14:paraId="35734E1B" w14:textId="77777777" w:rsidR="00252193" w:rsidRPr="00502879" w:rsidRDefault="00252193" w:rsidP="00430D07">
            <w:pPr>
              <w:pStyle w:val="Text"/>
              <w:spacing w:after="0"/>
              <w:ind w:left="0"/>
              <w:jc w:val="center"/>
              <w:rPr>
                <w:b/>
                <w:sz w:val="18"/>
                <w:szCs w:val="18"/>
              </w:rPr>
            </w:pPr>
            <w:r w:rsidRPr="00502879">
              <w:rPr>
                <w:b/>
                <w:sz w:val="18"/>
                <w:szCs w:val="18"/>
              </w:rPr>
              <w:t>To whom</w:t>
            </w:r>
          </w:p>
        </w:tc>
        <w:tc>
          <w:tcPr>
            <w:tcW w:w="3870" w:type="dxa"/>
            <w:shd w:val="clear" w:color="auto" w:fill="E0E0E0"/>
            <w:vAlign w:val="center"/>
          </w:tcPr>
          <w:p w14:paraId="23883368" w14:textId="77777777" w:rsidR="00252193" w:rsidRPr="00502879" w:rsidRDefault="00252193">
            <w:pPr>
              <w:pStyle w:val="Text"/>
              <w:spacing w:after="0"/>
              <w:ind w:left="12"/>
              <w:jc w:val="center"/>
              <w:rPr>
                <w:b/>
                <w:sz w:val="18"/>
                <w:szCs w:val="18"/>
              </w:rPr>
            </w:pPr>
            <w:r w:rsidRPr="00502879">
              <w:rPr>
                <w:b/>
                <w:sz w:val="18"/>
                <w:szCs w:val="18"/>
              </w:rPr>
              <w:t>Nature of Disclosure</w:t>
            </w:r>
          </w:p>
        </w:tc>
        <w:tc>
          <w:tcPr>
            <w:tcW w:w="5040" w:type="dxa"/>
            <w:shd w:val="clear" w:color="auto" w:fill="E0E0E0"/>
            <w:vAlign w:val="center"/>
          </w:tcPr>
          <w:p w14:paraId="3B28EF34" w14:textId="77777777" w:rsidR="00252193" w:rsidRPr="00502879" w:rsidRDefault="00252193">
            <w:pPr>
              <w:pStyle w:val="Text"/>
              <w:spacing w:after="0"/>
              <w:ind w:left="12"/>
              <w:jc w:val="center"/>
              <w:rPr>
                <w:b/>
                <w:sz w:val="18"/>
                <w:szCs w:val="18"/>
              </w:rPr>
            </w:pPr>
            <w:r w:rsidRPr="00502879">
              <w:rPr>
                <w:b/>
                <w:sz w:val="18"/>
                <w:szCs w:val="18"/>
              </w:rPr>
              <w:t>Documentation Required</w:t>
            </w:r>
          </w:p>
        </w:tc>
      </w:tr>
      <w:tr w:rsidR="00252193" w:rsidRPr="00502879" w14:paraId="0EAAE4DB" w14:textId="77777777" w:rsidTr="00430D07">
        <w:trPr>
          <w:trHeight w:val="300"/>
        </w:trPr>
        <w:tc>
          <w:tcPr>
            <w:tcW w:w="1440" w:type="dxa"/>
          </w:tcPr>
          <w:p w14:paraId="7D779F89" w14:textId="77777777" w:rsidR="00252193" w:rsidRPr="00BD0CA2" w:rsidRDefault="00252193" w:rsidP="00430D07">
            <w:pPr>
              <w:jc w:val="left"/>
              <w:rPr>
                <w:rFonts w:cs="Arial"/>
                <w:sz w:val="18"/>
                <w:szCs w:val="18"/>
              </w:rPr>
            </w:pPr>
            <w:r w:rsidRPr="00BD0CA2">
              <w:rPr>
                <w:rFonts w:cs="Arial"/>
                <w:sz w:val="18"/>
                <w:szCs w:val="18"/>
              </w:rPr>
              <w:t>EOHHS or another EOHHS agency pursuant to 101 CMR 16.00</w:t>
            </w:r>
          </w:p>
        </w:tc>
        <w:tc>
          <w:tcPr>
            <w:tcW w:w="3870" w:type="dxa"/>
          </w:tcPr>
          <w:p w14:paraId="713040A1" w14:textId="77777777" w:rsidR="00252193" w:rsidRPr="00BD0CA2" w:rsidRDefault="00252193">
            <w:pPr>
              <w:rPr>
                <w:rFonts w:cs="Arial"/>
                <w:sz w:val="18"/>
                <w:szCs w:val="18"/>
              </w:rPr>
            </w:pPr>
            <w:r w:rsidRPr="00BD0CA2">
              <w:rPr>
                <w:rFonts w:cs="Arial"/>
                <w:sz w:val="18"/>
                <w:szCs w:val="18"/>
              </w:rPr>
              <w:t>Confidential Information directly connected to the administration of an agency’s program and the use or disclosure is not inconsistent with federal or state law, for example:</w:t>
            </w:r>
          </w:p>
          <w:p w14:paraId="632C560D" w14:textId="77777777" w:rsidR="00252193" w:rsidRPr="00BD0CA2" w:rsidRDefault="00252193">
            <w:pPr>
              <w:numPr>
                <w:ilvl w:val="0"/>
                <w:numId w:val="4"/>
              </w:numPr>
              <w:tabs>
                <w:tab w:val="clear" w:pos="360"/>
                <w:tab w:val="num" w:pos="205"/>
              </w:tabs>
              <w:ind w:left="205" w:hanging="205"/>
              <w:jc w:val="left"/>
              <w:rPr>
                <w:rFonts w:cs="Arial"/>
                <w:sz w:val="18"/>
                <w:szCs w:val="18"/>
              </w:rPr>
            </w:pPr>
            <w:r w:rsidRPr="00BD0CA2">
              <w:rPr>
                <w:rFonts w:cs="Arial"/>
                <w:sz w:val="18"/>
                <w:szCs w:val="18"/>
              </w:rPr>
              <w:t xml:space="preserve">Administration of agency programs; </w:t>
            </w:r>
          </w:p>
          <w:p w14:paraId="36EE0A6A" w14:textId="77777777" w:rsidR="00252193" w:rsidRPr="00BD0CA2" w:rsidRDefault="00252193">
            <w:pPr>
              <w:numPr>
                <w:ilvl w:val="0"/>
                <w:numId w:val="4"/>
              </w:numPr>
              <w:tabs>
                <w:tab w:val="clear" w:pos="360"/>
                <w:tab w:val="num" w:pos="205"/>
              </w:tabs>
              <w:ind w:left="205" w:hanging="205"/>
              <w:jc w:val="left"/>
              <w:rPr>
                <w:rFonts w:cs="Arial"/>
                <w:sz w:val="18"/>
                <w:szCs w:val="18"/>
              </w:rPr>
            </w:pPr>
            <w:r w:rsidRPr="00BD0CA2">
              <w:rPr>
                <w:rFonts w:cs="Arial"/>
                <w:sz w:val="18"/>
                <w:szCs w:val="18"/>
              </w:rPr>
              <w:t>Eligibility determinations or benefit amounts;</w:t>
            </w:r>
          </w:p>
          <w:p w14:paraId="6512483E" w14:textId="77777777" w:rsidR="00252193" w:rsidRPr="00BD0CA2" w:rsidRDefault="00252193">
            <w:pPr>
              <w:numPr>
                <w:ilvl w:val="0"/>
                <w:numId w:val="4"/>
              </w:numPr>
              <w:tabs>
                <w:tab w:val="clear" w:pos="360"/>
                <w:tab w:val="num" w:pos="205"/>
              </w:tabs>
              <w:ind w:left="205" w:hanging="205"/>
              <w:jc w:val="left"/>
              <w:rPr>
                <w:rFonts w:cs="Arial"/>
                <w:sz w:val="18"/>
                <w:szCs w:val="18"/>
              </w:rPr>
            </w:pPr>
            <w:r w:rsidRPr="00BD0CA2">
              <w:rPr>
                <w:rFonts w:cs="Arial"/>
                <w:sz w:val="18"/>
                <w:szCs w:val="18"/>
              </w:rPr>
              <w:t xml:space="preserve">Helping clients obtain services; </w:t>
            </w:r>
          </w:p>
          <w:p w14:paraId="096A5429" w14:textId="77777777" w:rsidR="00252193" w:rsidRPr="00BD0CA2" w:rsidRDefault="00252193">
            <w:pPr>
              <w:numPr>
                <w:ilvl w:val="0"/>
                <w:numId w:val="4"/>
              </w:numPr>
              <w:tabs>
                <w:tab w:val="clear" w:pos="360"/>
                <w:tab w:val="num" w:pos="205"/>
              </w:tabs>
              <w:ind w:left="205" w:hanging="205"/>
              <w:jc w:val="left"/>
              <w:rPr>
                <w:rFonts w:cs="Arial"/>
                <w:sz w:val="18"/>
                <w:szCs w:val="18"/>
              </w:rPr>
            </w:pPr>
            <w:r w:rsidRPr="00BD0CA2">
              <w:rPr>
                <w:rFonts w:cs="Arial"/>
                <w:sz w:val="18"/>
                <w:szCs w:val="18"/>
              </w:rPr>
              <w:t>Improve coordination or management of services;</w:t>
            </w:r>
          </w:p>
          <w:p w14:paraId="4F2B5002" w14:textId="77777777" w:rsidR="00252193" w:rsidRPr="00BD0CA2" w:rsidRDefault="00252193">
            <w:pPr>
              <w:numPr>
                <w:ilvl w:val="0"/>
                <w:numId w:val="4"/>
              </w:numPr>
              <w:tabs>
                <w:tab w:val="clear" w:pos="360"/>
                <w:tab w:val="num" w:pos="205"/>
              </w:tabs>
              <w:ind w:left="205" w:hanging="205"/>
              <w:jc w:val="left"/>
              <w:rPr>
                <w:rFonts w:cs="Arial"/>
                <w:sz w:val="18"/>
                <w:szCs w:val="18"/>
              </w:rPr>
            </w:pPr>
            <w:r w:rsidRPr="00BD0CA2">
              <w:rPr>
                <w:rFonts w:cs="Arial"/>
                <w:sz w:val="18"/>
                <w:szCs w:val="18"/>
              </w:rPr>
              <w:t xml:space="preserve">Quality assurance activities; </w:t>
            </w:r>
          </w:p>
          <w:p w14:paraId="4BA92F86" w14:textId="77777777" w:rsidR="00252193" w:rsidRPr="00BD0CA2" w:rsidRDefault="00252193">
            <w:pPr>
              <w:numPr>
                <w:ilvl w:val="0"/>
                <w:numId w:val="4"/>
              </w:numPr>
              <w:tabs>
                <w:tab w:val="clear" w:pos="360"/>
                <w:tab w:val="num" w:pos="205"/>
              </w:tabs>
              <w:ind w:left="205" w:hanging="205"/>
              <w:jc w:val="left"/>
              <w:rPr>
                <w:rFonts w:cs="Arial"/>
                <w:sz w:val="18"/>
                <w:szCs w:val="18"/>
              </w:rPr>
            </w:pPr>
            <w:r w:rsidRPr="00BD0CA2">
              <w:rPr>
                <w:rFonts w:cs="Arial"/>
                <w:sz w:val="18"/>
                <w:szCs w:val="18"/>
              </w:rPr>
              <w:t>Serving the interests of agencies’ clients;</w:t>
            </w:r>
          </w:p>
          <w:p w14:paraId="3490F681" w14:textId="77777777" w:rsidR="00252193" w:rsidRPr="00BD0CA2" w:rsidRDefault="00252193">
            <w:pPr>
              <w:numPr>
                <w:ilvl w:val="0"/>
                <w:numId w:val="4"/>
              </w:numPr>
              <w:tabs>
                <w:tab w:val="clear" w:pos="360"/>
                <w:tab w:val="num" w:pos="205"/>
              </w:tabs>
              <w:ind w:left="205" w:hanging="205"/>
              <w:jc w:val="left"/>
              <w:rPr>
                <w:rFonts w:cs="Arial"/>
                <w:sz w:val="18"/>
                <w:szCs w:val="18"/>
              </w:rPr>
            </w:pPr>
            <w:r w:rsidRPr="00BD0CA2">
              <w:rPr>
                <w:rFonts w:cs="Arial"/>
                <w:sz w:val="18"/>
                <w:szCs w:val="18"/>
              </w:rPr>
              <w:t>Other circumstances that improve the provision of services</w:t>
            </w:r>
          </w:p>
        </w:tc>
        <w:tc>
          <w:tcPr>
            <w:tcW w:w="5040" w:type="dxa"/>
          </w:tcPr>
          <w:p w14:paraId="384D9000" w14:textId="77777777" w:rsidR="00252193" w:rsidRPr="00BD0CA2" w:rsidRDefault="00252193">
            <w:pPr>
              <w:rPr>
                <w:rFonts w:cs="Arial"/>
                <w:sz w:val="18"/>
                <w:szCs w:val="18"/>
              </w:rPr>
            </w:pPr>
            <w:r w:rsidRPr="00BD0CA2">
              <w:rPr>
                <w:rFonts w:cs="Arial"/>
                <w:sz w:val="18"/>
                <w:szCs w:val="18"/>
              </w:rPr>
              <w:t xml:space="preserve">Confidential Information may be released pursuant to a valid Authorization or if it is legally permissible to release the Confidential Information without </w:t>
            </w:r>
            <w:r>
              <w:rPr>
                <w:rFonts w:cs="Arial"/>
                <w:sz w:val="18"/>
                <w:szCs w:val="18"/>
              </w:rPr>
              <w:t>data use terms</w:t>
            </w:r>
            <w:r w:rsidRPr="00BD0CA2">
              <w:rPr>
                <w:rFonts w:cs="Arial"/>
                <w:sz w:val="18"/>
                <w:szCs w:val="18"/>
              </w:rPr>
              <w:t xml:space="preserve"> as determined by the Administrative Unit and their Program Attorney, with assistance, as needed</w:t>
            </w:r>
            <w:r>
              <w:rPr>
                <w:rFonts w:cs="Arial"/>
                <w:sz w:val="18"/>
                <w:szCs w:val="18"/>
              </w:rPr>
              <w:t>,</w:t>
            </w:r>
            <w:r w:rsidRPr="00BD0CA2">
              <w:rPr>
                <w:rFonts w:cs="Arial"/>
                <w:sz w:val="18"/>
                <w:szCs w:val="18"/>
              </w:rPr>
              <w:t xml:space="preserve"> from the Privacy and Data Compliance Office. Administrative Units and their Program Attorneys may develop standard operating procedures for recurring requests such that Program Attorney consultation is not needed. </w:t>
            </w:r>
          </w:p>
          <w:p w14:paraId="129A2160" w14:textId="77777777" w:rsidR="00252193" w:rsidRPr="00BD0CA2" w:rsidRDefault="00252193">
            <w:pPr>
              <w:rPr>
                <w:rFonts w:cs="Arial"/>
                <w:sz w:val="18"/>
                <w:szCs w:val="18"/>
              </w:rPr>
            </w:pPr>
          </w:p>
          <w:p w14:paraId="3DFF1D64" w14:textId="77777777" w:rsidR="00252193" w:rsidRPr="00BD0CA2" w:rsidRDefault="00252193">
            <w:pPr>
              <w:rPr>
                <w:rFonts w:cs="Arial"/>
                <w:sz w:val="18"/>
                <w:szCs w:val="18"/>
              </w:rPr>
            </w:pPr>
            <w:r w:rsidRPr="00BD0CA2">
              <w:rPr>
                <w:rFonts w:cs="Arial"/>
                <w:sz w:val="18"/>
                <w:szCs w:val="18"/>
              </w:rPr>
              <w:t xml:space="preserve">For both Covered and Non-Covered Components, if </w:t>
            </w:r>
            <w:r>
              <w:rPr>
                <w:rFonts w:cs="Arial"/>
                <w:sz w:val="18"/>
                <w:szCs w:val="18"/>
              </w:rPr>
              <w:t>data use terms</w:t>
            </w:r>
            <w:r w:rsidRPr="00BD0CA2">
              <w:rPr>
                <w:rFonts w:cs="Arial"/>
                <w:sz w:val="18"/>
                <w:szCs w:val="18"/>
              </w:rPr>
              <w:t xml:space="preserve"> </w:t>
            </w:r>
            <w:r>
              <w:rPr>
                <w:rFonts w:cs="Arial"/>
                <w:sz w:val="18"/>
                <w:szCs w:val="18"/>
              </w:rPr>
              <w:t>are</w:t>
            </w:r>
            <w:r w:rsidRPr="00BD0CA2">
              <w:rPr>
                <w:rFonts w:cs="Arial"/>
                <w:sz w:val="18"/>
                <w:szCs w:val="18"/>
              </w:rPr>
              <w:t xml:space="preserve"> used, the </w:t>
            </w:r>
            <w:r>
              <w:rPr>
                <w:rFonts w:cs="Arial"/>
                <w:sz w:val="18"/>
                <w:szCs w:val="18"/>
              </w:rPr>
              <w:t>data use terms</w:t>
            </w:r>
            <w:r w:rsidRPr="00BD0CA2">
              <w:rPr>
                <w:rFonts w:cs="Arial"/>
                <w:sz w:val="18"/>
                <w:szCs w:val="18"/>
              </w:rPr>
              <w:t xml:space="preserve"> should, at minimum, include the elements listed in Part V.A.4, as well as: </w:t>
            </w:r>
          </w:p>
          <w:p w14:paraId="7F176409" w14:textId="77777777" w:rsidR="00252193" w:rsidRPr="00BD0CA2" w:rsidRDefault="00252193">
            <w:pPr>
              <w:rPr>
                <w:rFonts w:cs="Arial"/>
                <w:sz w:val="18"/>
                <w:szCs w:val="18"/>
              </w:rPr>
            </w:pPr>
          </w:p>
          <w:p w14:paraId="3F659DE3" w14:textId="77777777" w:rsidR="00252193" w:rsidRPr="00BD0CA2" w:rsidRDefault="00252193">
            <w:pPr>
              <w:rPr>
                <w:rFonts w:cs="Arial"/>
                <w:sz w:val="18"/>
                <w:szCs w:val="18"/>
              </w:rPr>
            </w:pPr>
            <w:r w:rsidRPr="00BD0CA2">
              <w:rPr>
                <w:rFonts w:cs="Arial"/>
                <w:sz w:val="18"/>
                <w:szCs w:val="18"/>
                <w:u w:val="single"/>
              </w:rPr>
              <w:t>Covered Components</w:t>
            </w:r>
            <w:r w:rsidRPr="00BD0CA2">
              <w:rPr>
                <w:rFonts w:cs="Arial"/>
                <w:sz w:val="18"/>
                <w:szCs w:val="18"/>
              </w:rPr>
              <w:t xml:space="preserve">: Data </w:t>
            </w:r>
            <w:r>
              <w:rPr>
                <w:rFonts w:cs="Arial"/>
                <w:sz w:val="18"/>
                <w:szCs w:val="18"/>
              </w:rPr>
              <w:t>use terms</w:t>
            </w:r>
            <w:r w:rsidRPr="00BD0CA2">
              <w:rPr>
                <w:rFonts w:cs="Arial"/>
                <w:sz w:val="18"/>
                <w:szCs w:val="18"/>
              </w:rPr>
              <w:t xml:space="preserve"> that include the terms of a Business Associate Agreement</w:t>
            </w:r>
            <w:r>
              <w:rPr>
                <w:rFonts w:cs="Arial"/>
                <w:sz w:val="18"/>
                <w:szCs w:val="18"/>
              </w:rPr>
              <w:t>.</w:t>
            </w:r>
          </w:p>
          <w:p w14:paraId="3866E79B" w14:textId="77777777" w:rsidR="00252193" w:rsidRPr="00BD0CA2" w:rsidRDefault="00252193">
            <w:pPr>
              <w:rPr>
                <w:rFonts w:cs="Arial"/>
                <w:sz w:val="18"/>
                <w:szCs w:val="18"/>
              </w:rPr>
            </w:pPr>
          </w:p>
          <w:p w14:paraId="5ECFEC7D" w14:textId="77777777" w:rsidR="00252193" w:rsidRPr="00BD0CA2" w:rsidRDefault="00252193" w:rsidP="00D07A3F">
            <w:pPr>
              <w:rPr>
                <w:rFonts w:cs="Arial"/>
                <w:sz w:val="18"/>
                <w:szCs w:val="18"/>
              </w:rPr>
            </w:pPr>
            <w:r w:rsidRPr="00BD0CA2">
              <w:rPr>
                <w:rFonts w:cs="Arial"/>
                <w:sz w:val="18"/>
                <w:szCs w:val="18"/>
              </w:rPr>
              <w:t xml:space="preserve">The </w:t>
            </w:r>
            <w:r>
              <w:rPr>
                <w:rFonts w:cs="Arial"/>
                <w:sz w:val="18"/>
                <w:szCs w:val="18"/>
              </w:rPr>
              <w:t>data use terms</w:t>
            </w:r>
            <w:r w:rsidRPr="00BD0CA2">
              <w:rPr>
                <w:rFonts w:cs="Arial"/>
                <w:sz w:val="18"/>
                <w:szCs w:val="18"/>
              </w:rPr>
              <w:t xml:space="preserve"> can vary depending upon the nature of the particular project, and can</w:t>
            </w:r>
            <w:r>
              <w:rPr>
                <w:rFonts w:cs="Arial"/>
                <w:sz w:val="18"/>
                <w:szCs w:val="18"/>
              </w:rPr>
              <w:t xml:space="preserve"> leverage, for example, the following forms</w:t>
            </w:r>
            <w:r w:rsidRPr="00BD0CA2">
              <w:rPr>
                <w:rFonts w:cs="Arial"/>
                <w:sz w:val="18"/>
                <w:szCs w:val="18"/>
              </w:rPr>
              <w:t xml:space="preserve">: (a) Appendix B to the MOU for Data Sharing Between and Among EOHHS and its Constituent Agencies; (b) </w:t>
            </w:r>
            <w:r w:rsidRPr="00BD0CA2">
              <w:rPr>
                <w:rFonts w:cs="Arial"/>
                <w:color w:val="141414"/>
                <w:sz w:val="18"/>
                <w:szCs w:val="18"/>
              </w:rPr>
              <w:t>inter-agency Data Use License Agreement (DULA) under the statewide data-sharing framework; (c) another form mutually agreed upon by the parties; or (d)</w:t>
            </w:r>
            <w:r w:rsidRPr="00BD0CA2">
              <w:rPr>
                <w:rFonts w:cs="Arial"/>
                <w:sz w:val="18"/>
                <w:szCs w:val="18"/>
              </w:rPr>
              <w:t xml:space="preserve"> data use and confidentiality terms included as part of a larger relationship agreement, such as an</w:t>
            </w:r>
            <w:r>
              <w:rPr>
                <w:rFonts w:cs="Arial"/>
                <w:sz w:val="18"/>
                <w:szCs w:val="18"/>
              </w:rPr>
              <w:t xml:space="preserve"> Interdepartmental Service Agreement (</w:t>
            </w:r>
            <w:r w:rsidRPr="00BD0CA2">
              <w:rPr>
                <w:rFonts w:cs="Arial"/>
                <w:sz w:val="18"/>
                <w:szCs w:val="18"/>
              </w:rPr>
              <w:t>ISA</w:t>
            </w:r>
            <w:r>
              <w:rPr>
                <w:rFonts w:cs="Arial"/>
                <w:sz w:val="18"/>
                <w:szCs w:val="18"/>
              </w:rPr>
              <w:t>)</w:t>
            </w:r>
            <w:r w:rsidRPr="00BD0CA2">
              <w:rPr>
                <w:rFonts w:cs="Arial"/>
                <w:sz w:val="18"/>
                <w:szCs w:val="18"/>
              </w:rPr>
              <w:t xml:space="preserve">. </w:t>
            </w:r>
          </w:p>
          <w:p w14:paraId="69B066AD" w14:textId="77777777" w:rsidR="00252193" w:rsidRPr="00BD0CA2" w:rsidRDefault="00252193">
            <w:pPr>
              <w:rPr>
                <w:rFonts w:cs="Arial"/>
                <w:sz w:val="18"/>
                <w:szCs w:val="18"/>
              </w:rPr>
            </w:pPr>
          </w:p>
          <w:p w14:paraId="2F5FF0F0" w14:textId="77777777" w:rsidR="00252193" w:rsidRPr="00BD0CA2" w:rsidRDefault="00252193" w:rsidP="00BD0CA2">
            <w:pPr>
              <w:rPr>
                <w:rFonts w:cs="Arial"/>
                <w:sz w:val="18"/>
                <w:szCs w:val="18"/>
              </w:rPr>
            </w:pPr>
            <w:r w:rsidRPr="00BD0CA2">
              <w:rPr>
                <w:rFonts w:cs="Arial"/>
                <w:sz w:val="18"/>
                <w:szCs w:val="18"/>
              </w:rPr>
              <w:t xml:space="preserve">The </w:t>
            </w:r>
            <w:r>
              <w:rPr>
                <w:rFonts w:cs="Arial"/>
                <w:sz w:val="18"/>
                <w:szCs w:val="18"/>
              </w:rPr>
              <w:t>data use terms</w:t>
            </w:r>
            <w:r w:rsidRPr="00BD0CA2">
              <w:rPr>
                <w:rFonts w:cs="Arial"/>
                <w:sz w:val="18"/>
                <w:szCs w:val="18"/>
              </w:rPr>
              <w:t xml:space="preserve"> for a particular project should be legally appropriate and be determined by the Administrative Unit and their Program Attorney, with assistance, as needed from the Privacy and Data Compliance Office.</w:t>
            </w:r>
          </w:p>
        </w:tc>
      </w:tr>
      <w:tr w:rsidR="00252193" w:rsidRPr="00502879" w14:paraId="74FDC798" w14:textId="77777777" w:rsidTr="00430D07">
        <w:trPr>
          <w:trHeight w:val="300"/>
        </w:trPr>
        <w:tc>
          <w:tcPr>
            <w:tcW w:w="1440" w:type="dxa"/>
          </w:tcPr>
          <w:p w14:paraId="4D1A6BD7" w14:textId="77777777" w:rsidR="00252193" w:rsidRPr="00BD0CA2" w:rsidRDefault="00252193" w:rsidP="00430D07">
            <w:pPr>
              <w:jc w:val="left"/>
              <w:rPr>
                <w:rFonts w:cs="Arial"/>
                <w:sz w:val="18"/>
                <w:szCs w:val="18"/>
              </w:rPr>
            </w:pPr>
            <w:r w:rsidRPr="00BD0CA2">
              <w:rPr>
                <w:rFonts w:cs="Arial"/>
                <w:sz w:val="18"/>
                <w:szCs w:val="18"/>
              </w:rPr>
              <w:t>EOHHS or another EOHHS agency not covered under 101 CMR 16.00</w:t>
            </w:r>
          </w:p>
        </w:tc>
        <w:tc>
          <w:tcPr>
            <w:tcW w:w="3870" w:type="dxa"/>
          </w:tcPr>
          <w:p w14:paraId="09A7FF7C" w14:textId="77777777" w:rsidR="00252193" w:rsidRPr="00BD0CA2" w:rsidRDefault="00252193">
            <w:pPr>
              <w:rPr>
                <w:rFonts w:cs="Arial"/>
                <w:sz w:val="18"/>
                <w:szCs w:val="18"/>
              </w:rPr>
            </w:pPr>
            <w:r w:rsidRPr="00BD0CA2">
              <w:rPr>
                <w:rFonts w:cs="Arial"/>
                <w:sz w:val="18"/>
                <w:szCs w:val="18"/>
              </w:rPr>
              <w:t>Disclosures of Confidential Information not covered under 101 CMR 16.00</w:t>
            </w:r>
          </w:p>
        </w:tc>
        <w:tc>
          <w:tcPr>
            <w:tcW w:w="5040" w:type="dxa"/>
          </w:tcPr>
          <w:p w14:paraId="0D00EC80" w14:textId="77777777" w:rsidR="00252193" w:rsidRPr="00BD0CA2" w:rsidRDefault="00252193" w:rsidP="009B7D83">
            <w:pPr>
              <w:rPr>
                <w:rFonts w:cs="Arial"/>
                <w:sz w:val="18"/>
                <w:szCs w:val="18"/>
              </w:rPr>
            </w:pPr>
            <w:r w:rsidRPr="00BD0CA2">
              <w:rPr>
                <w:rFonts w:cs="Arial"/>
                <w:sz w:val="18"/>
                <w:szCs w:val="18"/>
              </w:rPr>
              <w:t xml:space="preserve">Confidential Information may be released pursuant to a valid Authorization or if it is legally permissible to release the Confidential Information without </w:t>
            </w:r>
            <w:r>
              <w:rPr>
                <w:rFonts w:cs="Arial"/>
                <w:sz w:val="18"/>
                <w:szCs w:val="18"/>
              </w:rPr>
              <w:t>data use terms</w:t>
            </w:r>
            <w:r w:rsidRPr="00BD0CA2">
              <w:rPr>
                <w:rFonts w:cs="Arial"/>
                <w:sz w:val="18"/>
                <w:szCs w:val="18"/>
              </w:rPr>
              <w:t xml:space="preserve"> as determined by the Administrative Unit and their Program Attorney, with assistance, as needed</w:t>
            </w:r>
            <w:r>
              <w:rPr>
                <w:rFonts w:cs="Arial"/>
                <w:sz w:val="18"/>
                <w:szCs w:val="18"/>
              </w:rPr>
              <w:t>,</w:t>
            </w:r>
            <w:r w:rsidRPr="00BD0CA2">
              <w:rPr>
                <w:rFonts w:cs="Arial"/>
                <w:sz w:val="18"/>
                <w:szCs w:val="18"/>
              </w:rPr>
              <w:t xml:space="preserve"> from the Privacy and Data Compliance Office. Administrative Units and their Program Attorneys may develop standard operating procedures for recurring requests such that Program Attorney consultation is not needed. </w:t>
            </w:r>
          </w:p>
          <w:p w14:paraId="777DA3AB" w14:textId="77777777" w:rsidR="00252193" w:rsidRPr="00BD0CA2" w:rsidRDefault="00252193" w:rsidP="009B7D83">
            <w:pPr>
              <w:rPr>
                <w:rFonts w:cs="Arial"/>
                <w:sz w:val="18"/>
                <w:szCs w:val="18"/>
              </w:rPr>
            </w:pPr>
          </w:p>
          <w:p w14:paraId="29FCC7AA" w14:textId="77777777" w:rsidR="00252193" w:rsidRPr="00BD0CA2" w:rsidRDefault="00252193" w:rsidP="009B7D83">
            <w:pPr>
              <w:rPr>
                <w:rFonts w:cs="Arial"/>
                <w:sz w:val="18"/>
                <w:szCs w:val="18"/>
              </w:rPr>
            </w:pPr>
            <w:r w:rsidRPr="00BD0CA2">
              <w:rPr>
                <w:rFonts w:cs="Arial"/>
                <w:sz w:val="18"/>
                <w:szCs w:val="18"/>
              </w:rPr>
              <w:t xml:space="preserve">For both Covered and Non-Covered Components, if </w:t>
            </w:r>
            <w:r>
              <w:rPr>
                <w:rFonts w:cs="Arial"/>
                <w:sz w:val="18"/>
                <w:szCs w:val="18"/>
              </w:rPr>
              <w:t>data use terms are</w:t>
            </w:r>
            <w:r w:rsidRPr="00BD0CA2">
              <w:rPr>
                <w:rFonts w:cs="Arial"/>
                <w:sz w:val="18"/>
                <w:szCs w:val="18"/>
              </w:rPr>
              <w:t xml:space="preserve"> used, the </w:t>
            </w:r>
            <w:r>
              <w:rPr>
                <w:rFonts w:cs="Arial"/>
                <w:sz w:val="18"/>
                <w:szCs w:val="18"/>
              </w:rPr>
              <w:t>data use terms</w:t>
            </w:r>
            <w:r w:rsidRPr="00BD0CA2">
              <w:rPr>
                <w:rFonts w:cs="Arial"/>
                <w:sz w:val="18"/>
                <w:szCs w:val="18"/>
              </w:rPr>
              <w:t xml:space="preserve"> should, at minimum, include the elements listed in Part V.A.4, as well</w:t>
            </w:r>
            <w:r>
              <w:rPr>
                <w:rFonts w:cs="Arial"/>
                <w:sz w:val="18"/>
                <w:szCs w:val="18"/>
              </w:rPr>
              <w:t xml:space="preserve"> as</w:t>
            </w:r>
            <w:r w:rsidRPr="00BD0CA2">
              <w:rPr>
                <w:rFonts w:cs="Arial"/>
                <w:sz w:val="18"/>
                <w:szCs w:val="18"/>
              </w:rPr>
              <w:t xml:space="preserve">: </w:t>
            </w:r>
          </w:p>
          <w:p w14:paraId="61849800" w14:textId="77777777" w:rsidR="00252193" w:rsidRPr="00BD0CA2" w:rsidRDefault="00252193">
            <w:pPr>
              <w:rPr>
                <w:rFonts w:cs="Arial"/>
                <w:sz w:val="18"/>
                <w:szCs w:val="18"/>
                <w:u w:val="single"/>
              </w:rPr>
            </w:pPr>
          </w:p>
          <w:p w14:paraId="36C830A3" w14:textId="77777777" w:rsidR="00252193" w:rsidRDefault="00252193">
            <w:pPr>
              <w:rPr>
                <w:rFonts w:cs="Arial"/>
                <w:sz w:val="18"/>
                <w:szCs w:val="18"/>
              </w:rPr>
            </w:pPr>
            <w:r w:rsidRPr="00BD0CA2">
              <w:rPr>
                <w:rFonts w:cs="Arial"/>
                <w:sz w:val="18"/>
                <w:szCs w:val="18"/>
                <w:u w:val="single"/>
              </w:rPr>
              <w:t>Covered Components</w:t>
            </w:r>
            <w:r w:rsidRPr="00BD0CA2">
              <w:rPr>
                <w:rFonts w:cs="Arial"/>
                <w:sz w:val="18"/>
                <w:szCs w:val="18"/>
              </w:rPr>
              <w:t xml:space="preserve">: Data </w:t>
            </w:r>
            <w:r>
              <w:rPr>
                <w:rFonts w:cs="Arial"/>
                <w:sz w:val="18"/>
                <w:szCs w:val="18"/>
              </w:rPr>
              <w:t>use terms</w:t>
            </w:r>
            <w:r w:rsidRPr="00BD0CA2">
              <w:rPr>
                <w:rFonts w:cs="Arial"/>
                <w:sz w:val="18"/>
                <w:szCs w:val="18"/>
              </w:rPr>
              <w:t xml:space="preserve"> that include the terms of a Business Associate Agreement</w:t>
            </w:r>
            <w:r>
              <w:rPr>
                <w:rFonts w:cs="Arial"/>
                <w:sz w:val="18"/>
                <w:szCs w:val="18"/>
              </w:rPr>
              <w:t>.</w:t>
            </w:r>
          </w:p>
          <w:p w14:paraId="38FEA1A0" w14:textId="77777777" w:rsidR="00252193" w:rsidRPr="00BD0CA2" w:rsidRDefault="00252193">
            <w:pPr>
              <w:rPr>
                <w:rFonts w:cs="Arial"/>
                <w:sz w:val="18"/>
                <w:szCs w:val="18"/>
              </w:rPr>
            </w:pPr>
          </w:p>
          <w:p w14:paraId="1B8B4ABF" w14:textId="77777777" w:rsidR="00252193" w:rsidRPr="00BD0CA2" w:rsidRDefault="00252193">
            <w:pPr>
              <w:rPr>
                <w:rFonts w:cs="Arial"/>
                <w:sz w:val="18"/>
                <w:szCs w:val="18"/>
              </w:rPr>
            </w:pPr>
            <w:r w:rsidRPr="00BD0CA2">
              <w:rPr>
                <w:rFonts w:cs="Arial"/>
                <w:sz w:val="18"/>
                <w:szCs w:val="18"/>
              </w:rPr>
              <w:t xml:space="preserve">The </w:t>
            </w:r>
            <w:r>
              <w:rPr>
                <w:rFonts w:cs="Arial"/>
                <w:sz w:val="18"/>
                <w:szCs w:val="18"/>
              </w:rPr>
              <w:t>data use terms</w:t>
            </w:r>
            <w:r w:rsidRPr="00BD0CA2">
              <w:rPr>
                <w:rFonts w:cs="Arial"/>
                <w:sz w:val="18"/>
                <w:szCs w:val="18"/>
              </w:rPr>
              <w:t xml:space="preserve"> can vary depending upon the nature of the particular project, and can</w:t>
            </w:r>
            <w:r>
              <w:rPr>
                <w:rFonts w:cs="Arial"/>
                <w:sz w:val="18"/>
                <w:szCs w:val="18"/>
              </w:rPr>
              <w:t xml:space="preserve"> leverage, for example, the following forms</w:t>
            </w:r>
            <w:r w:rsidRPr="00BD0CA2">
              <w:rPr>
                <w:rFonts w:cs="Arial"/>
                <w:sz w:val="18"/>
                <w:szCs w:val="18"/>
              </w:rPr>
              <w:t xml:space="preserve">: (a) </w:t>
            </w:r>
            <w:r w:rsidRPr="00BD0CA2">
              <w:rPr>
                <w:rFonts w:cs="Arial"/>
                <w:color w:val="141414"/>
                <w:sz w:val="18"/>
                <w:szCs w:val="18"/>
              </w:rPr>
              <w:t>inter-agency Data Use License Agreement (DULA) under the statewide data-sharing framework; (b) another form mutually agreed upon by the parties; or (c)</w:t>
            </w:r>
            <w:r w:rsidRPr="00BD0CA2">
              <w:rPr>
                <w:rFonts w:cs="Arial"/>
                <w:sz w:val="18"/>
                <w:szCs w:val="18"/>
              </w:rPr>
              <w:t xml:space="preserve"> data use and confidentiality terms included as part of a larger relationship agreement, such as an </w:t>
            </w:r>
            <w:r>
              <w:rPr>
                <w:rFonts w:cs="Arial"/>
                <w:sz w:val="18"/>
                <w:szCs w:val="18"/>
              </w:rPr>
              <w:t>Interdepartmental Service Agreement (</w:t>
            </w:r>
            <w:r w:rsidRPr="00BD0CA2">
              <w:rPr>
                <w:rFonts w:cs="Arial"/>
                <w:sz w:val="18"/>
                <w:szCs w:val="18"/>
              </w:rPr>
              <w:t>ISA</w:t>
            </w:r>
            <w:r>
              <w:rPr>
                <w:rFonts w:cs="Arial"/>
                <w:sz w:val="18"/>
                <w:szCs w:val="18"/>
              </w:rPr>
              <w:t>)</w:t>
            </w:r>
            <w:r w:rsidRPr="00BD0CA2">
              <w:rPr>
                <w:rFonts w:cs="Arial"/>
                <w:sz w:val="18"/>
                <w:szCs w:val="18"/>
              </w:rPr>
              <w:t xml:space="preserve">. </w:t>
            </w:r>
          </w:p>
          <w:p w14:paraId="49BF5023" w14:textId="77777777" w:rsidR="00252193" w:rsidRPr="00BD0CA2" w:rsidRDefault="00252193">
            <w:pPr>
              <w:rPr>
                <w:rFonts w:cs="Arial"/>
                <w:sz w:val="18"/>
                <w:szCs w:val="18"/>
              </w:rPr>
            </w:pPr>
          </w:p>
          <w:p w14:paraId="4B7224E2" w14:textId="77777777" w:rsidR="00252193" w:rsidRPr="00BD0CA2" w:rsidRDefault="00252193">
            <w:pPr>
              <w:rPr>
                <w:rFonts w:cs="Arial"/>
                <w:sz w:val="18"/>
                <w:szCs w:val="18"/>
              </w:rPr>
            </w:pPr>
            <w:r w:rsidRPr="00BD0CA2">
              <w:rPr>
                <w:rFonts w:cs="Arial"/>
                <w:sz w:val="18"/>
                <w:szCs w:val="18"/>
              </w:rPr>
              <w:t xml:space="preserve">The </w:t>
            </w:r>
            <w:r>
              <w:rPr>
                <w:rFonts w:cs="Arial"/>
                <w:sz w:val="18"/>
                <w:szCs w:val="18"/>
              </w:rPr>
              <w:t>data use terms</w:t>
            </w:r>
            <w:r w:rsidRPr="00BD0CA2">
              <w:rPr>
                <w:rFonts w:cs="Arial"/>
                <w:sz w:val="18"/>
                <w:szCs w:val="18"/>
              </w:rPr>
              <w:t xml:space="preserve"> for a particular project should be legally appropriate and be determined by the Administrative Unit and their Program Attorney, with assistance, as needed from the Privacy and Data Compliance Office.</w:t>
            </w:r>
          </w:p>
        </w:tc>
      </w:tr>
      <w:tr w:rsidR="00252193" w:rsidRPr="00502879" w14:paraId="3BAB66F3" w14:textId="77777777" w:rsidTr="00430D07">
        <w:trPr>
          <w:trHeight w:val="300"/>
        </w:trPr>
        <w:tc>
          <w:tcPr>
            <w:tcW w:w="1440" w:type="dxa"/>
          </w:tcPr>
          <w:p w14:paraId="46DEF5B9" w14:textId="77777777" w:rsidR="00252193" w:rsidRPr="00BD0CA2" w:rsidRDefault="00252193" w:rsidP="00430D07">
            <w:pPr>
              <w:jc w:val="left"/>
              <w:rPr>
                <w:rFonts w:cs="Arial"/>
                <w:sz w:val="18"/>
                <w:szCs w:val="18"/>
              </w:rPr>
            </w:pPr>
            <w:r w:rsidRPr="00BD0CA2">
              <w:rPr>
                <w:rFonts w:cs="Arial"/>
                <w:sz w:val="18"/>
                <w:szCs w:val="18"/>
              </w:rPr>
              <w:t>Non-EOHHS agency</w:t>
            </w:r>
          </w:p>
        </w:tc>
        <w:tc>
          <w:tcPr>
            <w:tcW w:w="3870" w:type="dxa"/>
          </w:tcPr>
          <w:p w14:paraId="72859C6F" w14:textId="77777777" w:rsidR="00252193" w:rsidRPr="00BD0CA2" w:rsidRDefault="00252193">
            <w:pPr>
              <w:rPr>
                <w:rFonts w:cs="Arial"/>
                <w:sz w:val="18"/>
                <w:szCs w:val="18"/>
              </w:rPr>
            </w:pPr>
            <w:r w:rsidRPr="00BD0CA2">
              <w:rPr>
                <w:rFonts w:cs="Arial"/>
                <w:sz w:val="18"/>
                <w:szCs w:val="18"/>
              </w:rPr>
              <w:t>Confidential Information disclosed to a Massachusetts state agency outside of EOHHS</w:t>
            </w:r>
          </w:p>
        </w:tc>
        <w:tc>
          <w:tcPr>
            <w:tcW w:w="5040" w:type="dxa"/>
          </w:tcPr>
          <w:p w14:paraId="0ACF538D" w14:textId="77777777" w:rsidR="00252193" w:rsidRPr="00BD0CA2" w:rsidRDefault="00252193" w:rsidP="009B7D83">
            <w:pPr>
              <w:rPr>
                <w:rFonts w:cs="Arial"/>
                <w:sz w:val="18"/>
                <w:szCs w:val="18"/>
              </w:rPr>
            </w:pPr>
            <w:r w:rsidRPr="00BD0CA2">
              <w:rPr>
                <w:rFonts w:cs="Arial"/>
                <w:sz w:val="18"/>
                <w:szCs w:val="18"/>
              </w:rPr>
              <w:t xml:space="preserve">Confidential Information may be released pursuant to a valid Authorization or if it is legally permissible to release the Confidential Information without </w:t>
            </w:r>
            <w:r>
              <w:rPr>
                <w:rFonts w:cs="Arial"/>
                <w:sz w:val="18"/>
                <w:szCs w:val="18"/>
              </w:rPr>
              <w:t>data use terms</w:t>
            </w:r>
            <w:r w:rsidRPr="00BD0CA2">
              <w:rPr>
                <w:rFonts w:cs="Arial"/>
                <w:sz w:val="18"/>
                <w:szCs w:val="18"/>
              </w:rPr>
              <w:t xml:space="preserve"> as determined by the Administrative Unit and their Program Attorney, with assistance, as needed</w:t>
            </w:r>
            <w:r>
              <w:rPr>
                <w:rFonts w:cs="Arial"/>
                <w:sz w:val="18"/>
                <w:szCs w:val="18"/>
              </w:rPr>
              <w:t>,</w:t>
            </w:r>
            <w:r w:rsidRPr="00BD0CA2">
              <w:rPr>
                <w:rFonts w:cs="Arial"/>
                <w:sz w:val="18"/>
                <w:szCs w:val="18"/>
              </w:rPr>
              <w:t xml:space="preserve"> from the Privacy and Data Compliance Office. Administrative Units and their Program Attorneys may develop standard operating procedures for recurring requests such that Program Attorney consultation is not needed. </w:t>
            </w:r>
          </w:p>
          <w:p w14:paraId="4EC4FA33" w14:textId="77777777" w:rsidR="00252193" w:rsidRPr="00BD0CA2" w:rsidRDefault="00252193" w:rsidP="009B7D83">
            <w:pPr>
              <w:rPr>
                <w:rFonts w:cs="Arial"/>
                <w:sz w:val="18"/>
                <w:szCs w:val="18"/>
              </w:rPr>
            </w:pPr>
          </w:p>
          <w:p w14:paraId="75BF5648" w14:textId="77777777" w:rsidR="00252193" w:rsidRPr="00BD0CA2" w:rsidRDefault="00252193" w:rsidP="009B7D83">
            <w:pPr>
              <w:rPr>
                <w:rFonts w:cs="Arial"/>
                <w:sz w:val="18"/>
                <w:szCs w:val="18"/>
              </w:rPr>
            </w:pPr>
            <w:r w:rsidRPr="00BD0CA2">
              <w:rPr>
                <w:rFonts w:cs="Arial"/>
                <w:sz w:val="18"/>
                <w:szCs w:val="18"/>
              </w:rPr>
              <w:t xml:space="preserve">For both Covered and Non-Covered Components, if </w:t>
            </w:r>
            <w:r>
              <w:rPr>
                <w:rFonts w:cs="Arial"/>
                <w:sz w:val="18"/>
                <w:szCs w:val="18"/>
              </w:rPr>
              <w:t>data use terms are</w:t>
            </w:r>
            <w:r w:rsidRPr="00BD0CA2">
              <w:rPr>
                <w:rFonts w:cs="Arial"/>
                <w:sz w:val="18"/>
                <w:szCs w:val="18"/>
              </w:rPr>
              <w:t xml:space="preserve"> used, the </w:t>
            </w:r>
            <w:r>
              <w:rPr>
                <w:rFonts w:cs="Arial"/>
                <w:sz w:val="18"/>
                <w:szCs w:val="18"/>
              </w:rPr>
              <w:t>data use terms</w:t>
            </w:r>
            <w:r w:rsidRPr="00BD0CA2">
              <w:rPr>
                <w:rFonts w:cs="Arial"/>
                <w:sz w:val="18"/>
                <w:szCs w:val="18"/>
              </w:rPr>
              <w:t xml:space="preserve"> should, at minimum, include the elements listed in Part V.A.4, as well as: </w:t>
            </w:r>
          </w:p>
          <w:p w14:paraId="485E0D9A" w14:textId="77777777" w:rsidR="00252193" w:rsidRPr="00BD0CA2" w:rsidRDefault="00252193">
            <w:pPr>
              <w:rPr>
                <w:rFonts w:cs="Arial"/>
                <w:sz w:val="18"/>
                <w:szCs w:val="18"/>
                <w:u w:val="single"/>
              </w:rPr>
            </w:pPr>
          </w:p>
          <w:p w14:paraId="5B3CBA1D" w14:textId="77777777" w:rsidR="00252193" w:rsidRPr="00BD0CA2" w:rsidRDefault="00252193">
            <w:pPr>
              <w:rPr>
                <w:rFonts w:cs="Arial"/>
                <w:sz w:val="18"/>
                <w:szCs w:val="18"/>
              </w:rPr>
            </w:pPr>
            <w:r w:rsidRPr="00BD0CA2">
              <w:rPr>
                <w:rFonts w:cs="Arial"/>
                <w:sz w:val="18"/>
                <w:szCs w:val="18"/>
                <w:u w:val="single"/>
              </w:rPr>
              <w:t>Covered Components</w:t>
            </w:r>
            <w:r w:rsidRPr="00BD0CA2">
              <w:rPr>
                <w:rFonts w:cs="Arial"/>
                <w:sz w:val="18"/>
                <w:szCs w:val="18"/>
              </w:rPr>
              <w:t xml:space="preserve">: Data </w:t>
            </w:r>
            <w:r>
              <w:rPr>
                <w:rFonts w:cs="Arial"/>
                <w:sz w:val="18"/>
                <w:szCs w:val="18"/>
              </w:rPr>
              <w:t>use terms</w:t>
            </w:r>
            <w:r w:rsidRPr="00BD0CA2">
              <w:rPr>
                <w:rFonts w:cs="Arial"/>
                <w:sz w:val="18"/>
                <w:szCs w:val="18"/>
              </w:rPr>
              <w:t xml:space="preserve"> that include the terms of a Business Associate Agreemen</w:t>
            </w:r>
            <w:r>
              <w:rPr>
                <w:rFonts w:cs="Arial"/>
                <w:sz w:val="18"/>
                <w:szCs w:val="18"/>
              </w:rPr>
              <w:t>t.</w:t>
            </w:r>
          </w:p>
          <w:p w14:paraId="43BCDD53" w14:textId="77777777" w:rsidR="00252193" w:rsidRPr="00BD0CA2" w:rsidRDefault="00252193">
            <w:pPr>
              <w:rPr>
                <w:rFonts w:cs="Arial"/>
                <w:sz w:val="18"/>
                <w:szCs w:val="18"/>
              </w:rPr>
            </w:pPr>
          </w:p>
          <w:p w14:paraId="3F839D7B" w14:textId="77777777" w:rsidR="00252193" w:rsidRPr="00BD0CA2" w:rsidRDefault="00252193">
            <w:pPr>
              <w:rPr>
                <w:rFonts w:cs="Arial"/>
                <w:sz w:val="18"/>
                <w:szCs w:val="18"/>
              </w:rPr>
            </w:pPr>
            <w:r w:rsidRPr="00BD0CA2">
              <w:rPr>
                <w:rFonts w:cs="Arial"/>
                <w:sz w:val="18"/>
                <w:szCs w:val="18"/>
              </w:rPr>
              <w:t xml:space="preserve">The </w:t>
            </w:r>
            <w:r>
              <w:rPr>
                <w:rFonts w:cs="Arial"/>
                <w:sz w:val="18"/>
                <w:szCs w:val="18"/>
              </w:rPr>
              <w:t>data use terms</w:t>
            </w:r>
            <w:r w:rsidRPr="00BD0CA2">
              <w:rPr>
                <w:rFonts w:cs="Arial"/>
                <w:sz w:val="18"/>
                <w:szCs w:val="18"/>
              </w:rPr>
              <w:t xml:space="preserve"> can vary depending upon the nature of the particular project, and can</w:t>
            </w:r>
            <w:r>
              <w:rPr>
                <w:rFonts w:cs="Arial"/>
                <w:sz w:val="18"/>
                <w:szCs w:val="18"/>
              </w:rPr>
              <w:t xml:space="preserve"> leverage, for example, the following forms</w:t>
            </w:r>
            <w:r w:rsidRPr="00BD0CA2">
              <w:rPr>
                <w:rFonts w:cs="Arial"/>
                <w:sz w:val="18"/>
                <w:szCs w:val="18"/>
              </w:rPr>
              <w:t xml:space="preserve">: (a) </w:t>
            </w:r>
            <w:r w:rsidRPr="00BD0CA2">
              <w:rPr>
                <w:rFonts w:cs="Arial"/>
                <w:color w:val="141414"/>
                <w:sz w:val="18"/>
                <w:szCs w:val="18"/>
              </w:rPr>
              <w:t>inter-agency Data Use License Agreement (DULA) under the statewide data-sharing framework; (b) another form mutually agreed upon by the parties; or (c)</w:t>
            </w:r>
            <w:r w:rsidRPr="00BD0CA2">
              <w:rPr>
                <w:rFonts w:cs="Arial"/>
                <w:sz w:val="18"/>
                <w:szCs w:val="18"/>
              </w:rPr>
              <w:t xml:space="preserve"> data use and confidentiality terms included as part of a larger relationship agreement, such as an </w:t>
            </w:r>
            <w:r>
              <w:rPr>
                <w:rFonts w:cs="Arial"/>
                <w:sz w:val="18"/>
                <w:szCs w:val="18"/>
              </w:rPr>
              <w:t>Interdepartmental Service Agreement (</w:t>
            </w:r>
            <w:r w:rsidRPr="00BD0CA2">
              <w:rPr>
                <w:rFonts w:cs="Arial"/>
                <w:sz w:val="18"/>
                <w:szCs w:val="18"/>
              </w:rPr>
              <w:t>ISA</w:t>
            </w:r>
            <w:r>
              <w:rPr>
                <w:rFonts w:cs="Arial"/>
                <w:sz w:val="18"/>
                <w:szCs w:val="18"/>
              </w:rPr>
              <w:t>)</w:t>
            </w:r>
            <w:r w:rsidRPr="00BD0CA2">
              <w:rPr>
                <w:rFonts w:cs="Arial"/>
                <w:sz w:val="18"/>
                <w:szCs w:val="18"/>
              </w:rPr>
              <w:t xml:space="preserve">. </w:t>
            </w:r>
          </w:p>
          <w:p w14:paraId="373D59D7" w14:textId="77777777" w:rsidR="00252193" w:rsidRPr="00BD0CA2" w:rsidRDefault="00252193">
            <w:pPr>
              <w:rPr>
                <w:rFonts w:cs="Arial"/>
                <w:sz w:val="18"/>
                <w:szCs w:val="18"/>
              </w:rPr>
            </w:pPr>
          </w:p>
          <w:p w14:paraId="47AC64FF" w14:textId="77777777" w:rsidR="00252193" w:rsidRPr="00BD0CA2" w:rsidRDefault="00252193">
            <w:pPr>
              <w:rPr>
                <w:rFonts w:cs="Arial"/>
                <w:sz w:val="18"/>
                <w:szCs w:val="18"/>
              </w:rPr>
            </w:pPr>
            <w:r w:rsidRPr="00BD0CA2">
              <w:rPr>
                <w:rFonts w:cs="Arial"/>
                <w:sz w:val="18"/>
                <w:szCs w:val="18"/>
              </w:rPr>
              <w:t xml:space="preserve">The </w:t>
            </w:r>
            <w:r>
              <w:rPr>
                <w:rFonts w:cs="Arial"/>
                <w:sz w:val="18"/>
                <w:szCs w:val="18"/>
              </w:rPr>
              <w:t>data use terms</w:t>
            </w:r>
            <w:r w:rsidRPr="00BD0CA2">
              <w:rPr>
                <w:rFonts w:cs="Arial"/>
                <w:sz w:val="18"/>
                <w:szCs w:val="18"/>
              </w:rPr>
              <w:t xml:space="preserve"> for a particular project should be legally appropriate and be determined by the Administrative Unit and their Program Attorney, with assistance, as needed from the Privacy and Data Compliance Office.</w:t>
            </w:r>
          </w:p>
        </w:tc>
      </w:tr>
      <w:tr w:rsidR="00252193" w:rsidRPr="00502879" w14:paraId="7FDD994C" w14:textId="77777777" w:rsidTr="00430D07">
        <w:trPr>
          <w:trHeight w:val="300"/>
        </w:trPr>
        <w:tc>
          <w:tcPr>
            <w:tcW w:w="1440" w:type="dxa"/>
          </w:tcPr>
          <w:p w14:paraId="399949BA" w14:textId="77777777" w:rsidR="00252193" w:rsidRPr="00BD0CA2" w:rsidRDefault="00252193" w:rsidP="00430D07">
            <w:pPr>
              <w:jc w:val="left"/>
              <w:rPr>
                <w:rFonts w:cs="Arial"/>
                <w:sz w:val="18"/>
                <w:szCs w:val="18"/>
              </w:rPr>
            </w:pPr>
            <w:r w:rsidRPr="00BD0CA2">
              <w:rPr>
                <w:rFonts w:cs="Arial"/>
                <w:sz w:val="18"/>
                <w:szCs w:val="18"/>
              </w:rPr>
              <w:t xml:space="preserve">Vendor or Provider Procurements and Contracts where DPH is the contracting party </w:t>
            </w:r>
          </w:p>
        </w:tc>
        <w:tc>
          <w:tcPr>
            <w:tcW w:w="3870" w:type="dxa"/>
          </w:tcPr>
          <w:p w14:paraId="48AE290E" w14:textId="77777777" w:rsidR="00252193" w:rsidRPr="00BD0CA2" w:rsidRDefault="00252193">
            <w:pPr>
              <w:rPr>
                <w:rFonts w:cs="Arial"/>
                <w:sz w:val="18"/>
                <w:szCs w:val="18"/>
              </w:rPr>
            </w:pPr>
            <w:r w:rsidRPr="00BD0CA2">
              <w:rPr>
                <w:rFonts w:cs="Arial"/>
                <w:sz w:val="18"/>
                <w:szCs w:val="18"/>
              </w:rPr>
              <w:t>Confidential Information required to perform the services under the contract between the vendor/provider and DPH</w:t>
            </w:r>
          </w:p>
        </w:tc>
        <w:tc>
          <w:tcPr>
            <w:tcW w:w="5040" w:type="dxa"/>
          </w:tcPr>
          <w:p w14:paraId="5C69D8AC" w14:textId="77777777" w:rsidR="00252193" w:rsidRDefault="00252193">
            <w:pPr>
              <w:rPr>
                <w:rFonts w:cs="Arial"/>
                <w:sz w:val="18"/>
                <w:szCs w:val="18"/>
              </w:rPr>
            </w:pPr>
            <w:r w:rsidRPr="00BD0CA2">
              <w:rPr>
                <w:rFonts w:cs="Arial"/>
                <w:sz w:val="18"/>
                <w:szCs w:val="18"/>
              </w:rPr>
              <w:t xml:space="preserve">For both Covered and Non-Covered Components, the </w:t>
            </w:r>
            <w:r>
              <w:rPr>
                <w:rFonts w:cs="Arial"/>
                <w:sz w:val="18"/>
                <w:szCs w:val="18"/>
              </w:rPr>
              <w:t xml:space="preserve">data use terms </w:t>
            </w:r>
            <w:r w:rsidRPr="00BD0CA2">
              <w:rPr>
                <w:rFonts w:cs="Arial"/>
                <w:sz w:val="18"/>
                <w:szCs w:val="18"/>
              </w:rPr>
              <w:t>should, at minimum, include the elements listed in Part V.A.4</w:t>
            </w:r>
            <w:r>
              <w:rPr>
                <w:rFonts w:cs="Arial"/>
                <w:sz w:val="18"/>
                <w:szCs w:val="18"/>
              </w:rPr>
              <w:t xml:space="preserve"> </w:t>
            </w:r>
            <w:r w:rsidRPr="00BD0CA2">
              <w:rPr>
                <w:rFonts w:cs="Arial"/>
                <w:sz w:val="18"/>
                <w:szCs w:val="18"/>
              </w:rPr>
              <w:t xml:space="preserve">should, as well as. </w:t>
            </w:r>
          </w:p>
          <w:p w14:paraId="63AA2F79" w14:textId="77777777" w:rsidR="00252193" w:rsidRDefault="00252193">
            <w:pPr>
              <w:rPr>
                <w:rFonts w:cs="Arial"/>
                <w:sz w:val="18"/>
                <w:szCs w:val="18"/>
              </w:rPr>
            </w:pPr>
          </w:p>
          <w:p w14:paraId="12EC31DE" w14:textId="77777777" w:rsidR="00252193" w:rsidRPr="00BD0CA2" w:rsidRDefault="00252193">
            <w:pPr>
              <w:rPr>
                <w:rFonts w:cs="Arial"/>
                <w:sz w:val="18"/>
                <w:szCs w:val="18"/>
              </w:rPr>
            </w:pPr>
            <w:r w:rsidRPr="00BD0CA2">
              <w:rPr>
                <w:rFonts w:cs="Arial"/>
                <w:sz w:val="18"/>
                <w:szCs w:val="18"/>
                <w:u w:val="single"/>
              </w:rPr>
              <w:t>Covered Components</w:t>
            </w:r>
            <w:r w:rsidRPr="00BD0CA2">
              <w:rPr>
                <w:rFonts w:cs="Arial"/>
                <w:sz w:val="18"/>
                <w:szCs w:val="18"/>
              </w:rPr>
              <w:t>:</w:t>
            </w:r>
          </w:p>
          <w:p w14:paraId="0A41BD43" w14:textId="77777777" w:rsidR="00252193" w:rsidRPr="00BD0CA2" w:rsidRDefault="00252193" w:rsidP="00871F1C">
            <w:pPr>
              <w:rPr>
                <w:rFonts w:cs="Arial"/>
                <w:sz w:val="18"/>
                <w:szCs w:val="18"/>
              </w:rPr>
            </w:pPr>
            <w:r w:rsidRPr="00BD0CA2">
              <w:rPr>
                <w:rFonts w:cs="Arial"/>
                <w:sz w:val="18"/>
                <w:szCs w:val="18"/>
              </w:rPr>
              <w:t xml:space="preserve">Data </w:t>
            </w:r>
            <w:r>
              <w:rPr>
                <w:rFonts w:cs="Arial"/>
                <w:sz w:val="18"/>
                <w:szCs w:val="18"/>
              </w:rPr>
              <w:t>use terms</w:t>
            </w:r>
            <w:r w:rsidRPr="00BD0CA2">
              <w:rPr>
                <w:rFonts w:cs="Arial"/>
                <w:sz w:val="18"/>
                <w:szCs w:val="18"/>
              </w:rPr>
              <w:t xml:space="preserve"> that include the terms of a Business Associate Agreement</w:t>
            </w:r>
            <w:r>
              <w:rPr>
                <w:rFonts w:cs="Arial"/>
                <w:sz w:val="18"/>
                <w:szCs w:val="18"/>
              </w:rPr>
              <w:t xml:space="preserve">. </w:t>
            </w:r>
            <w:r w:rsidRPr="00BD0CA2">
              <w:rPr>
                <w:rFonts w:cs="Arial"/>
                <w:sz w:val="18"/>
                <w:szCs w:val="18"/>
              </w:rPr>
              <w:t xml:space="preserve">The </w:t>
            </w:r>
            <w:r>
              <w:rPr>
                <w:rFonts w:cs="Arial"/>
                <w:sz w:val="18"/>
                <w:szCs w:val="18"/>
              </w:rPr>
              <w:t>data use terms</w:t>
            </w:r>
            <w:r w:rsidRPr="00BD0CA2">
              <w:rPr>
                <w:rFonts w:cs="Arial"/>
                <w:sz w:val="18"/>
                <w:szCs w:val="18"/>
              </w:rPr>
              <w:t xml:space="preserve"> can vary depending upon the nature of the particular project, and </w:t>
            </w:r>
            <w:r>
              <w:rPr>
                <w:rFonts w:cs="Arial"/>
                <w:sz w:val="18"/>
                <w:szCs w:val="18"/>
              </w:rPr>
              <w:t xml:space="preserve">should use the following form: DPH’s standard form Business Associate Agreement. </w:t>
            </w:r>
          </w:p>
          <w:p w14:paraId="17065BE1" w14:textId="77777777" w:rsidR="00252193" w:rsidRPr="00BD0CA2" w:rsidRDefault="00252193">
            <w:pPr>
              <w:rPr>
                <w:rFonts w:cs="Arial"/>
                <w:sz w:val="18"/>
                <w:szCs w:val="18"/>
              </w:rPr>
            </w:pPr>
          </w:p>
          <w:p w14:paraId="69FF847A" w14:textId="77777777" w:rsidR="00252193" w:rsidRPr="00BD0CA2" w:rsidRDefault="00252193">
            <w:pPr>
              <w:rPr>
                <w:rFonts w:cs="Arial"/>
                <w:sz w:val="18"/>
                <w:szCs w:val="18"/>
              </w:rPr>
            </w:pPr>
            <w:r w:rsidRPr="00BD0CA2">
              <w:rPr>
                <w:rFonts w:cs="Arial"/>
                <w:sz w:val="18"/>
                <w:szCs w:val="18"/>
                <w:u w:val="single"/>
              </w:rPr>
              <w:t>Non-Covered Components</w:t>
            </w:r>
            <w:r w:rsidRPr="00BD0CA2">
              <w:rPr>
                <w:rFonts w:cs="Arial"/>
                <w:sz w:val="18"/>
                <w:szCs w:val="18"/>
              </w:rPr>
              <w:t>:</w:t>
            </w:r>
          </w:p>
          <w:p w14:paraId="0A8A2FF0" w14:textId="77777777" w:rsidR="00252193" w:rsidRPr="00BD0CA2" w:rsidRDefault="00252193">
            <w:pPr>
              <w:rPr>
                <w:rFonts w:cs="Arial"/>
                <w:sz w:val="18"/>
                <w:szCs w:val="18"/>
              </w:rPr>
            </w:pPr>
            <w:r w:rsidRPr="00BD0CA2">
              <w:rPr>
                <w:rFonts w:cs="Arial"/>
                <w:sz w:val="18"/>
                <w:szCs w:val="18"/>
              </w:rPr>
              <w:t xml:space="preserve">The </w:t>
            </w:r>
            <w:r>
              <w:rPr>
                <w:rFonts w:cs="Arial"/>
                <w:sz w:val="18"/>
                <w:szCs w:val="18"/>
              </w:rPr>
              <w:t>data use terms</w:t>
            </w:r>
            <w:r w:rsidRPr="00BD0CA2">
              <w:rPr>
                <w:rFonts w:cs="Arial"/>
                <w:sz w:val="18"/>
                <w:szCs w:val="18"/>
              </w:rPr>
              <w:t xml:space="preserve"> can vary depending upon the nature of the particular project, and </w:t>
            </w:r>
            <w:r>
              <w:rPr>
                <w:rFonts w:cs="Arial"/>
                <w:sz w:val="18"/>
                <w:szCs w:val="18"/>
              </w:rPr>
              <w:t xml:space="preserve">should use the following form: DPH’s standard </w:t>
            </w:r>
            <w:r w:rsidRPr="00BD0CA2">
              <w:rPr>
                <w:rFonts w:cs="Arial"/>
                <w:sz w:val="18"/>
                <w:szCs w:val="18"/>
              </w:rPr>
              <w:t xml:space="preserve">Confidentiality Agreement </w:t>
            </w:r>
            <w:r>
              <w:rPr>
                <w:rFonts w:cs="Arial"/>
                <w:sz w:val="18"/>
                <w:szCs w:val="18"/>
              </w:rPr>
              <w:t>(including the Confidentiality Pledge).</w:t>
            </w:r>
          </w:p>
          <w:p w14:paraId="725DC813" w14:textId="77777777" w:rsidR="00252193" w:rsidRDefault="00252193" w:rsidP="00F43E57">
            <w:pPr>
              <w:rPr>
                <w:rFonts w:cs="Arial"/>
                <w:sz w:val="18"/>
                <w:szCs w:val="18"/>
              </w:rPr>
            </w:pPr>
          </w:p>
          <w:p w14:paraId="12D18275" w14:textId="77777777" w:rsidR="00252193" w:rsidRPr="00F43E57" w:rsidRDefault="00252193" w:rsidP="00166C87">
            <w:pPr>
              <w:rPr>
                <w:rFonts w:cs="Arial"/>
                <w:sz w:val="18"/>
                <w:szCs w:val="18"/>
              </w:rPr>
            </w:pPr>
            <w:r>
              <w:rPr>
                <w:rFonts w:cs="Arial"/>
                <w:sz w:val="18"/>
                <w:szCs w:val="18"/>
              </w:rPr>
              <w:t>In addition, f</w:t>
            </w:r>
            <w:r w:rsidRPr="00BD0CA2">
              <w:rPr>
                <w:rFonts w:cs="Arial"/>
                <w:sz w:val="18"/>
                <w:szCs w:val="18"/>
              </w:rPr>
              <w:t>or vendors/providers of both Covered and Non-Covered Components, whose personnel</w:t>
            </w:r>
            <w:r>
              <w:rPr>
                <w:rFonts w:cs="Arial"/>
                <w:sz w:val="18"/>
                <w:szCs w:val="18"/>
              </w:rPr>
              <w:t xml:space="preserve"> (i)</w:t>
            </w:r>
            <w:r w:rsidRPr="00BD0CA2">
              <w:rPr>
                <w:rFonts w:cs="Arial"/>
                <w:sz w:val="18"/>
                <w:szCs w:val="18"/>
              </w:rPr>
              <w:t xml:space="preserve"> are not DPH Workforce Members</w:t>
            </w:r>
            <w:r>
              <w:rPr>
                <w:rFonts w:cs="Arial"/>
                <w:sz w:val="18"/>
                <w:szCs w:val="18"/>
              </w:rPr>
              <w:t xml:space="preserve"> </w:t>
            </w:r>
            <w:r w:rsidRPr="007A6732">
              <w:rPr>
                <w:rFonts w:cs="Arial"/>
                <w:sz w:val="18"/>
                <w:szCs w:val="18"/>
                <w:u w:val="single"/>
              </w:rPr>
              <w:t>and</w:t>
            </w:r>
            <w:r>
              <w:rPr>
                <w:rFonts w:cs="Arial"/>
                <w:sz w:val="18"/>
                <w:szCs w:val="18"/>
              </w:rPr>
              <w:t xml:space="preserve"> either (ii) handle the following Confidential Information as part of the contracted services: </w:t>
            </w:r>
          </w:p>
          <w:p w14:paraId="0A86783B" w14:textId="77777777" w:rsidR="00252193" w:rsidRDefault="00252193">
            <w:pPr>
              <w:numPr>
                <w:ilvl w:val="0"/>
                <w:numId w:val="137"/>
              </w:numPr>
              <w:rPr>
                <w:rFonts w:cs="Arial"/>
                <w:sz w:val="18"/>
                <w:szCs w:val="18"/>
              </w:rPr>
            </w:pPr>
            <w:r>
              <w:rPr>
                <w:rFonts w:cs="Arial"/>
                <w:sz w:val="18"/>
                <w:szCs w:val="18"/>
              </w:rPr>
              <w:t>Full Social Security Numbers</w:t>
            </w:r>
          </w:p>
          <w:p w14:paraId="63BF2BF9" w14:textId="77777777" w:rsidR="00252193" w:rsidRPr="00F43E57" w:rsidRDefault="00252193">
            <w:pPr>
              <w:numPr>
                <w:ilvl w:val="0"/>
                <w:numId w:val="137"/>
              </w:numPr>
              <w:rPr>
                <w:rFonts w:cs="Arial"/>
                <w:sz w:val="18"/>
                <w:szCs w:val="18"/>
              </w:rPr>
            </w:pPr>
            <w:r w:rsidRPr="00F43E57">
              <w:rPr>
                <w:rFonts w:cs="Arial"/>
                <w:sz w:val="18"/>
                <w:szCs w:val="18"/>
              </w:rPr>
              <w:t>Full driver’s license/state ID</w:t>
            </w:r>
          </w:p>
          <w:p w14:paraId="3806E6AB" w14:textId="77777777" w:rsidR="00252193" w:rsidRPr="00F43E57" w:rsidRDefault="00252193">
            <w:pPr>
              <w:numPr>
                <w:ilvl w:val="0"/>
                <w:numId w:val="137"/>
              </w:numPr>
              <w:rPr>
                <w:rFonts w:cs="Arial"/>
                <w:sz w:val="18"/>
                <w:szCs w:val="18"/>
              </w:rPr>
            </w:pPr>
            <w:r w:rsidRPr="00F43E57">
              <w:rPr>
                <w:rFonts w:cs="Arial"/>
                <w:sz w:val="18"/>
                <w:szCs w:val="18"/>
              </w:rPr>
              <w:t>Full financial account numbers</w:t>
            </w:r>
          </w:p>
          <w:p w14:paraId="7BCC0795" w14:textId="77777777" w:rsidR="00252193" w:rsidRPr="00F43E57" w:rsidRDefault="00252193">
            <w:pPr>
              <w:numPr>
                <w:ilvl w:val="0"/>
                <w:numId w:val="137"/>
              </w:numPr>
              <w:rPr>
                <w:rFonts w:cs="Arial"/>
                <w:sz w:val="18"/>
                <w:szCs w:val="18"/>
              </w:rPr>
            </w:pPr>
            <w:r w:rsidRPr="00F43E57">
              <w:rPr>
                <w:rFonts w:cs="Arial"/>
                <w:sz w:val="18"/>
                <w:szCs w:val="18"/>
              </w:rPr>
              <w:t>Identifying photos</w:t>
            </w:r>
          </w:p>
          <w:p w14:paraId="5D4BDAAF" w14:textId="77777777" w:rsidR="00252193" w:rsidRDefault="00252193">
            <w:pPr>
              <w:numPr>
                <w:ilvl w:val="0"/>
                <w:numId w:val="137"/>
              </w:numPr>
              <w:rPr>
                <w:rFonts w:cs="Arial"/>
                <w:sz w:val="18"/>
                <w:szCs w:val="18"/>
              </w:rPr>
            </w:pPr>
            <w:r w:rsidRPr="00F43E57">
              <w:rPr>
                <w:rFonts w:cs="Arial"/>
                <w:sz w:val="18"/>
                <w:szCs w:val="18"/>
              </w:rPr>
              <w:t>Personal security or access codes to any system</w:t>
            </w:r>
          </w:p>
          <w:p w14:paraId="421159A5" w14:textId="77777777" w:rsidR="00252193" w:rsidRDefault="00252193">
            <w:pPr>
              <w:numPr>
                <w:ilvl w:val="0"/>
                <w:numId w:val="137"/>
              </w:numPr>
              <w:rPr>
                <w:rFonts w:cs="Arial"/>
                <w:sz w:val="18"/>
                <w:szCs w:val="18"/>
              </w:rPr>
            </w:pPr>
            <w:r>
              <w:rPr>
                <w:rFonts w:cs="Arial"/>
                <w:sz w:val="18"/>
                <w:szCs w:val="18"/>
              </w:rPr>
              <w:t xml:space="preserve">Other Confidential Information that an Administrative Unit would designate as highly sensitive; </w:t>
            </w:r>
            <w:r w:rsidRPr="008B79CB">
              <w:rPr>
                <w:rFonts w:cs="Arial"/>
                <w:sz w:val="18"/>
                <w:szCs w:val="18"/>
                <w:u w:val="single"/>
              </w:rPr>
              <w:t>or</w:t>
            </w:r>
          </w:p>
          <w:p w14:paraId="2EA8E243" w14:textId="77777777" w:rsidR="00252193" w:rsidRPr="00BD0CA2" w:rsidRDefault="00252193">
            <w:pPr>
              <w:rPr>
                <w:rFonts w:cs="Arial"/>
                <w:sz w:val="18"/>
                <w:szCs w:val="18"/>
              </w:rPr>
            </w:pPr>
            <w:r>
              <w:rPr>
                <w:rFonts w:cs="Arial"/>
                <w:sz w:val="18"/>
                <w:szCs w:val="18"/>
              </w:rPr>
              <w:t>(iii) are required to be trained in confidentiality or privacy matters due to a legal or regulatory obligation (such as a requirement of a grant), the Director of the Administrative Unit</w:t>
            </w:r>
            <w:r>
              <w:rPr>
                <w:rStyle w:val="FootnoteReference"/>
                <w:rFonts w:cs="Arial"/>
                <w:sz w:val="18"/>
                <w:szCs w:val="18"/>
              </w:rPr>
              <w:footnoteReference w:id="4"/>
            </w:r>
            <w:r>
              <w:rPr>
                <w:rFonts w:cs="Arial"/>
                <w:sz w:val="18"/>
                <w:szCs w:val="18"/>
              </w:rPr>
              <w:t xml:space="preserve"> or their designee shall require, </w:t>
            </w:r>
            <w:r w:rsidRPr="007A6732">
              <w:rPr>
                <w:rFonts w:cs="Arial"/>
                <w:sz w:val="18"/>
                <w:szCs w:val="18"/>
              </w:rPr>
              <w:t>as one of the vendor’s performance obligations under the contract,</w:t>
            </w:r>
            <w:r>
              <w:rPr>
                <w:rFonts w:cs="Arial"/>
                <w:sz w:val="18"/>
                <w:szCs w:val="18"/>
              </w:rPr>
              <w:t xml:space="preserve"> that such vendor personnel </w:t>
            </w:r>
            <w:r w:rsidRPr="00BD0CA2">
              <w:rPr>
                <w:rFonts w:cs="Arial"/>
                <w:sz w:val="18"/>
                <w:szCs w:val="18"/>
              </w:rPr>
              <w:t xml:space="preserve">take </w:t>
            </w:r>
            <w:r>
              <w:rPr>
                <w:rFonts w:cs="Arial"/>
                <w:sz w:val="18"/>
                <w:szCs w:val="18"/>
              </w:rPr>
              <w:t xml:space="preserve">confidentiality training(s) as required by the Director of the Administrative Unit or their designee, with consultation from PDCO as necessary. The Director of the Administrative Unit or their designee are responsible for ensuring that the vendor personnel complete that appropriate confidentiality training(s). </w:t>
            </w:r>
          </w:p>
          <w:p w14:paraId="1FFCFD95" w14:textId="77777777" w:rsidR="00252193" w:rsidRPr="00BD0CA2" w:rsidRDefault="00252193">
            <w:pPr>
              <w:rPr>
                <w:rFonts w:cs="Arial"/>
                <w:sz w:val="18"/>
                <w:szCs w:val="18"/>
              </w:rPr>
            </w:pPr>
          </w:p>
          <w:p w14:paraId="4798FD6B" w14:textId="77777777" w:rsidR="00252193" w:rsidRPr="00BD0CA2" w:rsidRDefault="00252193">
            <w:pPr>
              <w:rPr>
                <w:rFonts w:cs="Arial"/>
                <w:sz w:val="18"/>
                <w:szCs w:val="18"/>
              </w:rPr>
            </w:pPr>
            <w:r w:rsidRPr="00BD0CA2">
              <w:rPr>
                <w:rFonts w:cs="Arial"/>
                <w:sz w:val="18"/>
                <w:szCs w:val="18"/>
              </w:rPr>
              <w:t xml:space="preserve">The </w:t>
            </w:r>
            <w:r>
              <w:rPr>
                <w:rFonts w:cs="Arial"/>
                <w:sz w:val="18"/>
                <w:szCs w:val="18"/>
              </w:rPr>
              <w:t>data use terms</w:t>
            </w:r>
            <w:r w:rsidRPr="00BD0CA2">
              <w:rPr>
                <w:rFonts w:cs="Arial"/>
                <w:sz w:val="18"/>
                <w:szCs w:val="18"/>
              </w:rPr>
              <w:t xml:space="preserve"> for a particular project</w:t>
            </w:r>
            <w:r>
              <w:rPr>
                <w:rFonts w:cs="Arial"/>
                <w:sz w:val="18"/>
                <w:szCs w:val="18"/>
              </w:rPr>
              <w:t>, including if a DPH standard form is not used,</w:t>
            </w:r>
            <w:r w:rsidRPr="00BD0CA2">
              <w:rPr>
                <w:rFonts w:cs="Arial"/>
                <w:sz w:val="18"/>
                <w:szCs w:val="18"/>
              </w:rPr>
              <w:t xml:space="preserve"> should be legally appropriate and be determined by the Administrative Unit and their Program Attorney, with assistance, as needed, from the Privacy and Data Compliance Office.</w:t>
            </w:r>
          </w:p>
          <w:p w14:paraId="533EC5DD" w14:textId="77777777" w:rsidR="00252193" w:rsidRPr="00BD0CA2" w:rsidRDefault="00252193">
            <w:pPr>
              <w:rPr>
                <w:rFonts w:cs="Arial"/>
                <w:sz w:val="18"/>
                <w:szCs w:val="18"/>
              </w:rPr>
            </w:pPr>
          </w:p>
          <w:p w14:paraId="2A39A0E1" w14:textId="77777777" w:rsidR="00252193" w:rsidRPr="00BD0CA2" w:rsidRDefault="00252193">
            <w:pPr>
              <w:rPr>
                <w:rFonts w:cs="Arial"/>
                <w:sz w:val="18"/>
                <w:szCs w:val="18"/>
              </w:rPr>
            </w:pPr>
            <w:r w:rsidRPr="00BD0CA2">
              <w:rPr>
                <w:rFonts w:cs="Arial"/>
                <w:sz w:val="18"/>
                <w:szCs w:val="18"/>
              </w:rPr>
              <w:t xml:space="preserve">See Procedure 14 (Confidentiality Agreements) for additional obligations. </w:t>
            </w:r>
          </w:p>
        </w:tc>
      </w:tr>
      <w:tr w:rsidR="00252193" w:rsidRPr="00502879" w14:paraId="44F06C98" w14:textId="77777777" w:rsidTr="00430D07">
        <w:trPr>
          <w:trHeight w:val="300"/>
        </w:trPr>
        <w:tc>
          <w:tcPr>
            <w:tcW w:w="1440" w:type="dxa"/>
          </w:tcPr>
          <w:p w14:paraId="734EF656" w14:textId="77777777" w:rsidR="00252193" w:rsidRPr="00BD0CA2" w:rsidRDefault="00252193" w:rsidP="00430D07">
            <w:pPr>
              <w:jc w:val="left"/>
              <w:rPr>
                <w:rFonts w:cs="Arial"/>
                <w:sz w:val="18"/>
                <w:szCs w:val="18"/>
              </w:rPr>
            </w:pPr>
            <w:r w:rsidRPr="00BD0CA2">
              <w:rPr>
                <w:rFonts w:cs="Arial"/>
                <w:sz w:val="18"/>
                <w:szCs w:val="18"/>
              </w:rPr>
              <w:t>Vendor or Provider Procurements and Contracts entered into by EOTSS or EOHHS for the benefit of or on behalf of DPH</w:t>
            </w:r>
          </w:p>
        </w:tc>
        <w:tc>
          <w:tcPr>
            <w:tcW w:w="3870" w:type="dxa"/>
          </w:tcPr>
          <w:p w14:paraId="374D39A7" w14:textId="77777777" w:rsidR="00252193" w:rsidRPr="00BD0CA2" w:rsidRDefault="00252193">
            <w:pPr>
              <w:rPr>
                <w:rFonts w:cs="Arial"/>
                <w:sz w:val="18"/>
                <w:szCs w:val="18"/>
              </w:rPr>
            </w:pPr>
            <w:r w:rsidRPr="00BD0CA2">
              <w:rPr>
                <w:rFonts w:cs="Arial"/>
                <w:sz w:val="18"/>
                <w:szCs w:val="18"/>
              </w:rPr>
              <w:t>DPH Confidential Information required to perform the services for DPH as set forth in the contract</w:t>
            </w:r>
          </w:p>
        </w:tc>
        <w:tc>
          <w:tcPr>
            <w:tcW w:w="5040" w:type="dxa"/>
          </w:tcPr>
          <w:p w14:paraId="28A9919D" w14:textId="77777777" w:rsidR="00252193" w:rsidRPr="00BD0CA2" w:rsidRDefault="00252193">
            <w:pPr>
              <w:rPr>
                <w:rFonts w:cs="Arial"/>
                <w:sz w:val="18"/>
                <w:szCs w:val="18"/>
              </w:rPr>
            </w:pPr>
            <w:r w:rsidRPr="00BD0CA2">
              <w:rPr>
                <w:rFonts w:cs="Arial"/>
                <w:sz w:val="18"/>
                <w:szCs w:val="18"/>
              </w:rPr>
              <w:t xml:space="preserve">Administrative Units (both Covered and Non-Covered Components), with their Program Attorneys and with assistance from PDCO as needed, shall ensure there are appropriate </w:t>
            </w:r>
            <w:r>
              <w:rPr>
                <w:rFonts w:cs="Arial"/>
                <w:sz w:val="18"/>
                <w:szCs w:val="18"/>
              </w:rPr>
              <w:t>data use terms</w:t>
            </w:r>
            <w:r w:rsidRPr="00BD0CA2">
              <w:rPr>
                <w:rFonts w:cs="Arial"/>
                <w:sz w:val="18"/>
                <w:szCs w:val="18"/>
              </w:rPr>
              <w:t xml:space="preserve"> in place; otherwise the good(s)/service(s) shall not be able to be used until appropriate </w:t>
            </w:r>
            <w:r>
              <w:rPr>
                <w:rFonts w:cs="Arial"/>
                <w:sz w:val="18"/>
                <w:szCs w:val="18"/>
              </w:rPr>
              <w:t>data use terms</w:t>
            </w:r>
            <w:r w:rsidRPr="00BD0CA2">
              <w:rPr>
                <w:rFonts w:cs="Arial"/>
                <w:sz w:val="18"/>
                <w:szCs w:val="18"/>
              </w:rPr>
              <w:t xml:space="preserve"> are put in place by EOTSS or EOHHS.</w:t>
            </w:r>
          </w:p>
          <w:p w14:paraId="0C43F4A0" w14:textId="77777777" w:rsidR="00252193" w:rsidRPr="00BD0CA2" w:rsidRDefault="00252193">
            <w:pPr>
              <w:rPr>
                <w:rFonts w:cs="Arial"/>
                <w:sz w:val="18"/>
                <w:szCs w:val="18"/>
              </w:rPr>
            </w:pPr>
          </w:p>
          <w:p w14:paraId="260C67A2" w14:textId="77777777" w:rsidR="00252193" w:rsidRPr="00BD0CA2" w:rsidRDefault="00252193">
            <w:pPr>
              <w:rPr>
                <w:rFonts w:cs="Arial"/>
                <w:sz w:val="18"/>
                <w:szCs w:val="18"/>
              </w:rPr>
            </w:pPr>
            <w:r w:rsidRPr="00BD0CA2">
              <w:rPr>
                <w:rFonts w:cs="Arial"/>
                <w:sz w:val="18"/>
                <w:szCs w:val="18"/>
              </w:rPr>
              <w:t xml:space="preserve">The </w:t>
            </w:r>
            <w:r>
              <w:rPr>
                <w:rFonts w:cs="Arial"/>
                <w:sz w:val="18"/>
                <w:szCs w:val="18"/>
              </w:rPr>
              <w:t>data use terms</w:t>
            </w:r>
            <w:r w:rsidRPr="00BD0CA2">
              <w:rPr>
                <w:rFonts w:cs="Arial"/>
                <w:sz w:val="18"/>
                <w:szCs w:val="18"/>
              </w:rPr>
              <w:t xml:space="preserve"> should, at minimum, include the elements listed in Part V.A.4. See Procedure 14 (Confidentiality Agreements) for additional obligations.</w:t>
            </w:r>
          </w:p>
        </w:tc>
      </w:tr>
      <w:tr w:rsidR="00252193" w:rsidRPr="00502879" w14:paraId="5C2DAD90" w14:textId="77777777" w:rsidTr="00430D07">
        <w:trPr>
          <w:trHeight w:val="300"/>
        </w:trPr>
        <w:tc>
          <w:tcPr>
            <w:tcW w:w="1440" w:type="dxa"/>
          </w:tcPr>
          <w:p w14:paraId="5682ECA4" w14:textId="77777777" w:rsidR="00252193" w:rsidRPr="00BD0CA2" w:rsidRDefault="00252193" w:rsidP="00430D07">
            <w:pPr>
              <w:jc w:val="left"/>
              <w:rPr>
                <w:rFonts w:cs="Arial"/>
                <w:sz w:val="18"/>
                <w:szCs w:val="18"/>
              </w:rPr>
            </w:pPr>
            <w:r w:rsidRPr="00BD0CA2">
              <w:rPr>
                <w:rFonts w:cs="Arial"/>
                <w:sz w:val="18"/>
                <w:szCs w:val="18"/>
              </w:rPr>
              <w:t>Researcher – IRB</w:t>
            </w:r>
          </w:p>
          <w:p w14:paraId="77BD3F38" w14:textId="77777777" w:rsidR="00252193" w:rsidRPr="00BD0CA2" w:rsidRDefault="00252193" w:rsidP="00430D07">
            <w:pPr>
              <w:jc w:val="left"/>
              <w:rPr>
                <w:rFonts w:cs="Arial"/>
                <w:sz w:val="18"/>
                <w:szCs w:val="18"/>
              </w:rPr>
            </w:pPr>
          </w:p>
        </w:tc>
        <w:tc>
          <w:tcPr>
            <w:tcW w:w="3870" w:type="dxa"/>
          </w:tcPr>
          <w:p w14:paraId="322F39E9" w14:textId="77777777" w:rsidR="00252193" w:rsidRPr="00BD0CA2" w:rsidRDefault="00252193">
            <w:pPr>
              <w:rPr>
                <w:rFonts w:cs="Arial"/>
                <w:sz w:val="18"/>
                <w:szCs w:val="18"/>
              </w:rPr>
            </w:pPr>
            <w:r w:rsidRPr="00BD0CA2">
              <w:rPr>
                <w:rFonts w:cs="Arial"/>
                <w:sz w:val="18"/>
                <w:szCs w:val="18"/>
              </w:rPr>
              <w:t>Individually identifiable data or partially de-identified data for research or scientific studies pursuant to MGL c. 111 §24A or other statutes authorizing public health research as authorized by the Commissioner of DPH</w:t>
            </w:r>
          </w:p>
        </w:tc>
        <w:tc>
          <w:tcPr>
            <w:tcW w:w="5040" w:type="dxa"/>
          </w:tcPr>
          <w:p w14:paraId="58CD6F24" w14:textId="77777777" w:rsidR="00252193" w:rsidRPr="00BD0CA2" w:rsidRDefault="00252193">
            <w:pPr>
              <w:rPr>
                <w:rFonts w:cs="Arial"/>
                <w:sz w:val="18"/>
                <w:szCs w:val="18"/>
              </w:rPr>
            </w:pPr>
            <w:r w:rsidRPr="00BD0CA2">
              <w:rPr>
                <w:rFonts w:cs="Arial"/>
                <w:sz w:val="18"/>
                <w:szCs w:val="18"/>
              </w:rPr>
              <w:t>24A approval letter co-signed by the Principal Investigator.</w:t>
            </w:r>
            <w:r>
              <w:rPr>
                <w:rFonts w:cs="Arial"/>
                <w:sz w:val="18"/>
                <w:szCs w:val="18"/>
              </w:rPr>
              <w:t xml:space="preserve"> Additionally, a </w:t>
            </w:r>
            <w:r w:rsidRPr="00BD0CA2">
              <w:rPr>
                <w:rFonts w:cs="Arial"/>
                <w:sz w:val="18"/>
                <w:szCs w:val="18"/>
              </w:rPr>
              <w:t xml:space="preserve">Pledge of Confidentiality </w:t>
            </w:r>
            <w:r>
              <w:rPr>
                <w:rFonts w:cs="Arial"/>
                <w:sz w:val="18"/>
                <w:szCs w:val="18"/>
              </w:rPr>
              <w:t xml:space="preserve">must be </w:t>
            </w:r>
            <w:r w:rsidRPr="00BD0CA2">
              <w:rPr>
                <w:rFonts w:cs="Arial"/>
                <w:sz w:val="18"/>
                <w:szCs w:val="18"/>
              </w:rPr>
              <w:t>submitted for each research project team member with access to Confidential Information.  </w:t>
            </w:r>
          </w:p>
        </w:tc>
      </w:tr>
      <w:tr w:rsidR="00252193" w:rsidRPr="00502879" w14:paraId="150257DD" w14:textId="77777777" w:rsidTr="00430D07">
        <w:trPr>
          <w:trHeight w:val="300"/>
        </w:trPr>
        <w:tc>
          <w:tcPr>
            <w:tcW w:w="1440" w:type="dxa"/>
          </w:tcPr>
          <w:p w14:paraId="5F686652" w14:textId="77777777" w:rsidR="00252193" w:rsidRPr="00BD0CA2" w:rsidRDefault="00252193" w:rsidP="00430D07">
            <w:pPr>
              <w:jc w:val="left"/>
              <w:rPr>
                <w:rFonts w:cs="Arial"/>
                <w:sz w:val="18"/>
                <w:szCs w:val="18"/>
              </w:rPr>
            </w:pPr>
            <w:r w:rsidRPr="00BD0CA2">
              <w:rPr>
                <w:rFonts w:cs="Arial"/>
                <w:sz w:val="18"/>
                <w:szCs w:val="18"/>
              </w:rPr>
              <w:t>Other third party not covered by this table</w:t>
            </w:r>
          </w:p>
        </w:tc>
        <w:tc>
          <w:tcPr>
            <w:tcW w:w="3870" w:type="dxa"/>
          </w:tcPr>
          <w:p w14:paraId="432A3F0A" w14:textId="77777777" w:rsidR="00252193" w:rsidRPr="00BD0CA2" w:rsidRDefault="00252193">
            <w:pPr>
              <w:rPr>
                <w:rFonts w:cs="Arial"/>
                <w:sz w:val="18"/>
                <w:szCs w:val="18"/>
                <w:highlight w:val="yellow"/>
              </w:rPr>
            </w:pPr>
            <w:r w:rsidRPr="00BD0CA2">
              <w:rPr>
                <w:rFonts w:cs="Arial"/>
                <w:sz w:val="18"/>
                <w:szCs w:val="18"/>
              </w:rPr>
              <w:t>Confidential Information disclosed to the third party</w:t>
            </w:r>
          </w:p>
        </w:tc>
        <w:tc>
          <w:tcPr>
            <w:tcW w:w="5040" w:type="dxa"/>
          </w:tcPr>
          <w:p w14:paraId="46C14803" w14:textId="77777777" w:rsidR="00252193" w:rsidRPr="00BD0CA2" w:rsidRDefault="00252193" w:rsidP="00D45C7C">
            <w:pPr>
              <w:rPr>
                <w:rFonts w:cs="Arial"/>
                <w:sz w:val="18"/>
                <w:szCs w:val="18"/>
              </w:rPr>
            </w:pPr>
            <w:r w:rsidRPr="00BD0CA2">
              <w:rPr>
                <w:rFonts w:cs="Arial"/>
                <w:sz w:val="18"/>
                <w:szCs w:val="18"/>
              </w:rPr>
              <w:t xml:space="preserve">Confidential Information may be released pursuant to a valid Authorization or if it is legally permissible to release the Confidential Information without </w:t>
            </w:r>
            <w:r>
              <w:rPr>
                <w:rFonts w:cs="Arial"/>
                <w:sz w:val="18"/>
                <w:szCs w:val="18"/>
              </w:rPr>
              <w:t>data use terms</w:t>
            </w:r>
            <w:r w:rsidRPr="00BD0CA2">
              <w:rPr>
                <w:rFonts w:cs="Arial"/>
                <w:sz w:val="18"/>
                <w:szCs w:val="18"/>
              </w:rPr>
              <w:t xml:space="preserve"> as determined by the Administrative Unit and their Program Attorney, with assistance, as needed</w:t>
            </w:r>
            <w:r>
              <w:rPr>
                <w:rFonts w:cs="Arial"/>
                <w:sz w:val="18"/>
                <w:szCs w:val="18"/>
              </w:rPr>
              <w:t>,</w:t>
            </w:r>
            <w:r w:rsidRPr="00BD0CA2">
              <w:rPr>
                <w:rFonts w:cs="Arial"/>
                <w:sz w:val="18"/>
                <w:szCs w:val="18"/>
              </w:rPr>
              <w:t xml:space="preserve"> from the Privacy and Data Compliance Office. Administrative Units and their Program Attorneys may develop standard operating procedures for recurring requests such that Program Attorney consultation is not needed. </w:t>
            </w:r>
          </w:p>
          <w:p w14:paraId="7FF46BB6" w14:textId="77777777" w:rsidR="00252193" w:rsidRPr="00BD0CA2" w:rsidRDefault="00252193" w:rsidP="00D45C7C">
            <w:pPr>
              <w:rPr>
                <w:rFonts w:cs="Arial"/>
                <w:sz w:val="18"/>
                <w:szCs w:val="18"/>
              </w:rPr>
            </w:pPr>
          </w:p>
          <w:p w14:paraId="5ED5100A" w14:textId="77777777" w:rsidR="00252193" w:rsidRPr="00BD0CA2" w:rsidRDefault="00252193" w:rsidP="00D45C7C">
            <w:pPr>
              <w:rPr>
                <w:rFonts w:cs="Arial"/>
                <w:sz w:val="18"/>
                <w:szCs w:val="18"/>
              </w:rPr>
            </w:pPr>
            <w:r w:rsidRPr="00BD0CA2">
              <w:rPr>
                <w:rFonts w:cs="Arial"/>
                <w:sz w:val="18"/>
                <w:szCs w:val="18"/>
              </w:rPr>
              <w:t xml:space="preserve">For both Covered and Non-Covered Components, if </w:t>
            </w:r>
            <w:r>
              <w:rPr>
                <w:rFonts w:cs="Arial"/>
                <w:sz w:val="18"/>
                <w:szCs w:val="18"/>
              </w:rPr>
              <w:t>data use terms are</w:t>
            </w:r>
            <w:r w:rsidRPr="00BD0CA2">
              <w:rPr>
                <w:rFonts w:cs="Arial"/>
                <w:sz w:val="18"/>
                <w:szCs w:val="18"/>
              </w:rPr>
              <w:t xml:space="preserve"> used, the </w:t>
            </w:r>
            <w:r>
              <w:rPr>
                <w:rFonts w:cs="Arial"/>
                <w:sz w:val="18"/>
                <w:szCs w:val="18"/>
              </w:rPr>
              <w:t>data use terms</w:t>
            </w:r>
            <w:r w:rsidRPr="00BD0CA2">
              <w:rPr>
                <w:rFonts w:cs="Arial"/>
                <w:sz w:val="18"/>
                <w:szCs w:val="18"/>
              </w:rPr>
              <w:t xml:space="preserve"> should, at minimum, include the elements listed in Part V.A.4, as well as: </w:t>
            </w:r>
          </w:p>
          <w:p w14:paraId="2ED53144" w14:textId="77777777" w:rsidR="00252193" w:rsidRPr="00BD0CA2" w:rsidRDefault="00252193" w:rsidP="00D45C7C">
            <w:pPr>
              <w:rPr>
                <w:rFonts w:cs="Arial"/>
                <w:sz w:val="18"/>
                <w:szCs w:val="18"/>
                <w:u w:val="single"/>
              </w:rPr>
            </w:pPr>
          </w:p>
          <w:p w14:paraId="43CFCB2E" w14:textId="77777777" w:rsidR="00252193" w:rsidRPr="00BD0CA2" w:rsidRDefault="00252193" w:rsidP="00D45C7C">
            <w:pPr>
              <w:rPr>
                <w:rFonts w:cs="Arial"/>
                <w:sz w:val="18"/>
                <w:szCs w:val="18"/>
              </w:rPr>
            </w:pPr>
            <w:r w:rsidRPr="00BD0CA2">
              <w:rPr>
                <w:rFonts w:cs="Arial"/>
                <w:sz w:val="18"/>
                <w:szCs w:val="18"/>
                <w:u w:val="single"/>
              </w:rPr>
              <w:t>Covered Components</w:t>
            </w:r>
            <w:r w:rsidRPr="00BD0CA2">
              <w:rPr>
                <w:rFonts w:cs="Arial"/>
                <w:sz w:val="18"/>
                <w:szCs w:val="18"/>
              </w:rPr>
              <w:t xml:space="preserve">: Data </w:t>
            </w:r>
            <w:r>
              <w:rPr>
                <w:rFonts w:cs="Arial"/>
                <w:sz w:val="18"/>
                <w:szCs w:val="18"/>
              </w:rPr>
              <w:t>use terms</w:t>
            </w:r>
            <w:r w:rsidRPr="00BD0CA2">
              <w:rPr>
                <w:rFonts w:cs="Arial"/>
                <w:sz w:val="18"/>
                <w:szCs w:val="18"/>
              </w:rPr>
              <w:t xml:space="preserve"> that include the terms of a Business Associate Agreement </w:t>
            </w:r>
          </w:p>
          <w:p w14:paraId="15B27682" w14:textId="77777777" w:rsidR="00252193" w:rsidRPr="00BD0CA2" w:rsidRDefault="00252193" w:rsidP="00D45C7C">
            <w:pPr>
              <w:rPr>
                <w:rFonts w:cs="Arial"/>
                <w:sz w:val="18"/>
                <w:szCs w:val="18"/>
              </w:rPr>
            </w:pPr>
          </w:p>
          <w:p w14:paraId="7A79280C" w14:textId="77777777" w:rsidR="00252193" w:rsidRPr="00BD0CA2" w:rsidRDefault="00252193">
            <w:pPr>
              <w:rPr>
                <w:rFonts w:cs="Arial"/>
                <w:sz w:val="18"/>
                <w:szCs w:val="18"/>
              </w:rPr>
            </w:pPr>
            <w:r w:rsidRPr="00BD0CA2">
              <w:rPr>
                <w:rFonts w:cs="Arial"/>
                <w:sz w:val="18"/>
                <w:szCs w:val="18"/>
              </w:rPr>
              <w:t xml:space="preserve">The </w:t>
            </w:r>
            <w:r>
              <w:rPr>
                <w:rFonts w:cs="Arial"/>
                <w:sz w:val="18"/>
                <w:szCs w:val="18"/>
              </w:rPr>
              <w:t>data use terms</w:t>
            </w:r>
            <w:r w:rsidRPr="00BD0CA2">
              <w:rPr>
                <w:rFonts w:cs="Arial"/>
                <w:sz w:val="18"/>
                <w:szCs w:val="18"/>
              </w:rPr>
              <w:t xml:space="preserve"> for a particular project should be legally appropriate and be determined by the Administrative Unit and their Program Attorney, with assistance, as needed from the Privacy and Data Compliance Office.</w:t>
            </w:r>
          </w:p>
        </w:tc>
      </w:tr>
    </w:tbl>
    <w:p w14:paraId="15F1645F" w14:textId="77777777" w:rsidR="00252193" w:rsidRDefault="00252193" w:rsidP="00297895">
      <w:pPr>
        <w:rPr>
          <w:rFonts w:cs="Arial"/>
        </w:rPr>
      </w:pPr>
    </w:p>
    <w:p w14:paraId="68A454FE" w14:textId="77777777" w:rsidR="00252193" w:rsidRDefault="00252193" w:rsidP="007B1556"/>
    <w:p w14:paraId="035D953B" w14:textId="77777777" w:rsidR="00252193" w:rsidRDefault="00252193" w:rsidP="007B1556"/>
    <w:p w14:paraId="38329CB3" w14:textId="77777777" w:rsidR="00252193" w:rsidRDefault="00252193" w:rsidP="007B1556">
      <w:pPr>
        <w:rPr>
          <w:rFonts w:cs="Arial"/>
          <w:u w:val="single"/>
        </w:rPr>
      </w:pPr>
      <w:r>
        <w:rPr>
          <w:rFonts w:cs="Arial"/>
          <w:u w:val="single"/>
        </w:rPr>
        <w:t>Authority:</w:t>
      </w:r>
    </w:p>
    <w:p w14:paraId="08B25593" w14:textId="77777777" w:rsidR="00252193" w:rsidRDefault="00252193" w:rsidP="007B1556">
      <w:pPr>
        <w:pStyle w:val="H3Text"/>
      </w:pPr>
      <w:r>
        <w:t>M.G.L. c. 66A, § 2</w:t>
      </w:r>
    </w:p>
    <w:p w14:paraId="3C899403" w14:textId="77777777" w:rsidR="00252193" w:rsidRDefault="00252193" w:rsidP="00D77D2C">
      <w:pPr>
        <w:pStyle w:val="H3Text"/>
      </w:pPr>
      <w:r>
        <w:t>45 C.F.R § 164.502(e) and 164.506-512</w:t>
      </w:r>
    </w:p>
    <w:p w14:paraId="7FD7C1B6" w14:textId="77777777" w:rsidR="00166AD9" w:rsidRDefault="00166AD9" w:rsidP="00252193">
      <w:pPr>
        <w:pStyle w:val="H3Text"/>
        <w:ind w:left="0"/>
      </w:pPr>
    </w:p>
    <w:p w14:paraId="132F5683" w14:textId="77777777" w:rsidR="0066596F" w:rsidRPr="00166AD9" w:rsidRDefault="0066596F" w:rsidP="00166AD9">
      <w:pPr>
        <w:sectPr w:rsidR="0066596F" w:rsidRPr="00166AD9" w:rsidSect="00313F3B">
          <w:headerReference w:type="default" r:id="rId31"/>
          <w:footerReference w:type="default" r:id="rId32"/>
          <w:footnotePr>
            <w:numRestart w:val="eachSect"/>
          </w:footnotePr>
          <w:pgSz w:w="12240" w:h="15840" w:code="1"/>
          <w:pgMar w:top="1440" w:right="1440" w:bottom="1440" w:left="1800" w:header="720" w:footer="720" w:gutter="0"/>
          <w:cols w:space="720"/>
          <w:docGrid w:linePitch="360"/>
        </w:sectPr>
      </w:pPr>
    </w:p>
    <w:p w14:paraId="2D9034A8" w14:textId="2F76FBEB" w:rsidR="00606BB4" w:rsidRDefault="00606BB4" w:rsidP="00132A93">
      <w:pPr>
        <w:pStyle w:val="H1ProcedureSection"/>
      </w:pPr>
      <w:bookmarkStart w:id="30" w:name="_Toc209771767"/>
      <w:r>
        <w:t xml:space="preserve">Procedure </w:t>
      </w:r>
      <w:r w:rsidRPr="0066389F">
        <w:t>4</w:t>
      </w:r>
      <w:r>
        <w:t xml:space="preserve"> </w:t>
      </w:r>
      <w:r w:rsidR="00B958D3">
        <w:tab/>
      </w:r>
      <w:r>
        <w:t>Responding to Requests for Confidential Information</w:t>
      </w:r>
      <w:bookmarkEnd w:id="30"/>
    </w:p>
    <w:p w14:paraId="1040C9FB" w14:textId="77777777" w:rsidR="00606BB4" w:rsidRPr="00A462F5" w:rsidRDefault="00606BB4" w:rsidP="005912F1">
      <w:pPr>
        <w:pStyle w:val="Version"/>
        <w:rPr>
          <w:b/>
          <w:bCs/>
        </w:rPr>
      </w:pPr>
      <w:r w:rsidRPr="00A462F5">
        <w:rPr>
          <w:bCs/>
        </w:rPr>
        <w:t>Version: 5</w:t>
      </w:r>
      <w:r w:rsidRPr="00A462F5">
        <w:rPr>
          <w:bCs/>
        </w:rPr>
        <w:tab/>
        <w:t>Effective Date:  October 1, 2025</w:t>
      </w:r>
    </w:p>
    <w:p w14:paraId="20915776" w14:textId="77777777" w:rsidR="00606BB4" w:rsidRPr="00181F50" w:rsidRDefault="00606BB4">
      <w:pPr>
        <w:pStyle w:val="H2Paragraph"/>
        <w:numPr>
          <w:ilvl w:val="0"/>
          <w:numId w:val="178"/>
        </w:numPr>
        <w:rPr>
          <w:sz w:val="22"/>
          <w:szCs w:val="22"/>
        </w:rPr>
      </w:pPr>
      <w:bookmarkStart w:id="31" w:name="_Toc209771768"/>
      <w:r w:rsidRPr="00181F50">
        <w:rPr>
          <w:sz w:val="22"/>
          <w:szCs w:val="22"/>
        </w:rPr>
        <w:t>Purpose and Scope</w:t>
      </w:r>
      <w:bookmarkEnd w:id="31"/>
    </w:p>
    <w:p w14:paraId="02D502F7" w14:textId="77777777" w:rsidR="00606BB4" w:rsidRPr="00F82BBE" w:rsidRDefault="00606BB4" w:rsidP="009A52B1">
      <w:pPr>
        <w:pStyle w:val="H3Text"/>
      </w:pPr>
      <w:r w:rsidRPr="00F82BBE">
        <w:t xml:space="preserve">Unless </w:t>
      </w:r>
      <w:r w:rsidRPr="009A52B1">
        <w:t>there</w:t>
      </w:r>
      <w:r w:rsidRPr="00F82BBE">
        <w:t xml:space="preserve"> is a statute or regulation that requires otherwise, this Procedure describes how an Administrative Unit should respond to a request for Confidential Information received from various individuals or entities. As further described in this Procedure, Administrative Units must confirm that the answer is ‘yes’ to the following questions prior to disclosing Confidential Information in response to a request by an individual or entity:</w:t>
      </w:r>
    </w:p>
    <w:p w14:paraId="40DF80F1" w14:textId="77777777" w:rsidR="00606BB4" w:rsidRPr="00F82BBE" w:rsidRDefault="00606BB4">
      <w:pPr>
        <w:pStyle w:val="H3Text"/>
        <w:numPr>
          <w:ilvl w:val="0"/>
          <w:numId w:val="169"/>
        </w:numPr>
        <w:ind w:left="1080"/>
      </w:pPr>
      <w:r w:rsidRPr="00F82BBE">
        <w:t>Is this individual or entity who they say they are?;</w:t>
      </w:r>
    </w:p>
    <w:p w14:paraId="596274C5" w14:textId="77777777" w:rsidR="00606BB4" w:rsidRPr="00F82BBE" w:rsidRDefault="00606BB4">
      <w:pPr>
        <w:pStyle w:val="H3Text"/>
        <w:numPr>
          <w:ilvl w:val="0"/>
          <w:numId w:val="169"/>
        </w:numPr>
        <w:ind w:left="1080"/>
      </w:pPr>
      <w:r w:rsidRPr="00F82BBE">
        <w:t>Does the individual or entity have the authority to see the Confidential Information?; and</w:t>
      </w:r>
    </w:p>
    <w:p w14:paraId="31268488" w14:textId="77777777" w:rsidR="00606BB4" w:rsidRPr="00F82BBE" w:rsidRDefault="00606BB4">
      <w:pPr>
        <w:pStyle w:val="H3Text"/>
        <w:numPr>
          <w:ilvl w:val="0"/>
          <w:numId w:val="169"/>
        </w:numPr>
        <w:ind w:left="1080"/>
      </w:pPr>
      <w:r w:rsidRPr="00F82BBE">
        <w:t>Do I have the correct Confidential Information?</w:t>
      </w:r>
    </w:p>
    <w:p w14:paraId="2DB71C84" w14:textId="77777777" w:rsidR="00606BB4" w:rsidRPr="00F82BBE" w:rsidRDefault="00606BB4" w:rsidP="009A52B1">
      <w:pPr>
        <w:pStyle w:val="H3Text"/>
      </w:pPr>
      <w:r w:rsidRPr="00F82BBE">
        <w:t>This Procedure also sets forth the requirements needed for a valid Authorization (</w:t>
      </w:r>
      <w:r>
        <w:t xml:space="preserve">also applies to </w:t>
      </w:r>
      <w:r w:rsidRPr="00F82BBE">
        <w:t>a Consent as defined in 42 C.F.R. Part 2) to receive Confidential Information.</w:t>
      </w:r>
    </w:p>
    <w:p w14:paraId="64CDB5E3" w14:textId="77777777" w:rsidR="00606BB4" w:rsidRPr="00F82BBE" w:rsidRDefault="00606BB4" w:rsidP="009A52B1">
      <w:pPr>
        <w:pStyle w:val="H3Text"/>
      </w:pPr>
      <w:r w:rsidRPr="00F82BBE">
        <w:t>With respect to requests from an individual Data Subject for their own Confidential Information, this Procedure should be read in conjunction with Procedure 11 (Individual Data Subject Rights Related to their Confidential Information), which describes additional obligations DPH must comply with under applicable state and federal laws relating to those requests.</w:t>
      </w:r>
    </w:p>
    <w:p w14:paraId="42C7BFAC" w14:textId="77777777" w:rsidR="00606BB4" w:rsidRPr="00F82BBE" w:rsidRDefault="00606BB4" w:rsidP="009B6562">
      <w:pPr>
        <w:pStyle w:val="H2Paragraph"/>
        <w:rPr>
          <w:sz w:val="22"/>
          <w:szCs w:val="22"/>
        </w:rPr>
      </w:pPr>
      <w:bookmarkStart w:id="32" w:name="_Toc209771769"/>
      <w:r w:rsidRPr="00F82BBE">
        <w:rPr>
          <w:sz w:val="22"/>
          <w:szCs w:val="22"/>
        </w:rPr>
        <w:t>General Requirements</w:t>
      </w:r>
      <w:bookmarkEnd w:id="32"/>
    </w:p>
    <w:p w14:paraId="04110D25" w14:textId="77777777" w:rsidR="00606BB4" w:rsidRPr="00FC3715" w:rsidRDefault="00606BB4" w:rsidP="00FC3715">
      <w:pPr>
        <w:pStyle w:val="H3SubParagraph"/>
      </w:pPr>
      <w:r w:rsidRPr="00FC3715">
        <w:t>Requests for Confidential Information Held by a Single Administrative Unit</w:t>
      </w:r>
    </w:p>
    <w:p w14:paraId="1D31E7E3" w14:textId="77777777" w:rsidR="00606BB4" w:rsidRPr="00E275C7" w:rsidRDefault="00606BB4" w:rsidP="009A52B1">
      <w:pPr>
        <w:pStyle w:val="H3Text"/>
      </w:pPr>
      <w:r w:rsidRPr="00E275C7">
        <w:t xml:space="preserve">Prior to </w:t>
      </w:r>
      <w:r w:rsidRPr="00E23251">
        <w:t>disclosing</w:t>
      </w:r>
      <w:r w:rsidRPr="00E275C7">
        <w:t xml:space="preserve"> Confidential Information in response to a request from an individual or entity, and unless otherwise specified by applicable statute or regulation, Workforce Members shall:</w:t>
      </w:r>
    </w:p>
    <w:p w14:paraId="1E999FB9" w14:textId="77777777" w:rsidR="00606BB4" w:rsidRPr="00F82BBE" w:rsidRDefault="00606BB4">
      <w:pPr>
        <w:pStyle w:val="H3Text"/>
        <w:numPr>
          <w:ilvl w:val="0"/>
          <w:numId w:val="25"/>
        </w:numPr>
        <w:tabs>
          <w:tab w:val="clear" w:pos="1080"/>
        </w:tabs>
      </w:pPr>
      <w:r w:rsidRPr="00F82BBE">
        <w:t>Classify the type of requestor, including the relationship to the Data Subject whose Confidential Information is being requested (</w:t>
      </w:r>
      <w:r>
        <w:t>e.g</w:t>
      </w:r>
      <w:r w:rsidRPr="00F82BBE">
        <w:t>., Data Subject requesting their own Confidential Information; an attorney for the Data Subject; parent of the Data Subject; or the legally-</w:t>
      </w:r>
      <w:r>
        <w:t>authoriz</w:t>
      </w:r>
      <w:r w:rsidRPr="00F82BBE">
        <w:t>ed representative of the Data Subject); then</w:t>
      </w:r>
    </w:p>
    <w:p w14:paraId="06912ECA" w14:textId="77777777" w:rsidR="00606BB4" w:rsidRPr="00F82BBE" w:rsidRDefault="00606BB4">
      <w:pPr>
        <w:pStyle w:val="H3Text"/>
        <w:numPr>
          <w:ilvl w:val="0"/>
          <w:numId w:val="25"/>
        </w:numPr>
        <w:tabs>
          <w:tab w:val="clear" w:pos="1080"/>
        </w:tabs>
      </w:pPr>
      <w:r w:rsidRPr="00F82BBE">
        <w:t>Verify the identity of the individual (including an individual acting on behalf of an entity) requesting access to the Confidential Information as discussed in Part III; then</w:t>
      </w:r>
    </w:p>
    <w:p w14:paraId="0ABC9FCD" w14:textId="77777777" w:rsidR="00606BB4" w:rsidRPr="00F82BBE" w:rsidRDefault="00606BB4">
      <w:pPr>
        <w:pStyle w:val="H3Text"/>
        <w:numPr>
          <w:ilvl w:val="0"/>
          <w:numId w:val="25"/>
        </w:numPr>
        <w:tabs>
          <w:tab w:val="clear" w:pos="1080"/>
        </w:tabs>
      </w:pPr>
      <w:r w:rsidRPr="00F82BBE">
        <w:t>Verify the authority of the individual or entity to receive access to the Confidential Information that is requested as discussed in Part IV and, if applicable, Part V; then</w:t>
      </w:r>
    </w:p>
    <w:p w14:paraId="014B3998" w14:textId="77777777" w:rsidR="00606BB4" w:rsidRPr="00F82BBE" w:rsidRDefault="00606BB4">
      <w:pPr>
        <w:pStyle w:val="H3Text"/>
        <w:numPr>
          <w:ilvl w:val="0"/>
          <w:numId w:val="25"/>
        </w:numPr>
        <w:tabs>
          <w:tab w:val="clear" w:pos="1080"/>
        </w:tabs>
      </w:pPr>
      <w:r w:rsidRPr="00F82BBE">
        <w:t xml:space="preserve">Verify the Confidential Information to be provided in response to the request is the correct Confidential Information as discussed in Part VI; then (as applicable) </w:t>
      </w:r>
    </w:p>
    <w:p w14:paraId="3DED1F96" w14:textId="77777777" w:rsidR="00606BB4" w:rsidRPr="00F82BBE" w:rsidRDefault="00606BB4">
      <w:pPr>
        <w:pStyle w:val="H3Text"/>
        <w:numPr>
          <w:ilvl w:val="0"/>
          <w:numId w:val="25"/>
        </w:numPr>
        <w:tabs>
          <w:tab w:val="clear" w:pos="1080"/>
        </w:tabs>
      </w:pPr>
      <w:r w:rsidRPr="00F82BBE">
        <w:t>Comply with the additional obligations described in Procedure 11 (Individual Data Subject Rights Related to their Confidential Information) – only for requests from an individual Data Subject.</w:t>
      </w:r>
    </w:p>
    <w:p w14:paraId="4CE18D24" w14:textId="77777777" w:rsidR="00606BB4" w:rsidRPr="00F82BBE" w:rsidRDefault="00606BB4" w:rsidP="009A52B1">
      <w:pPr>
        <w:pStyle w:val="H3Text"/>
      </w:pPr>
      <w:r w:rsidRPr="00F82BBE">
        <w:t>The process set forth in this Procedure is a minimum standard, and, as needed, Administrative Units should establish additional or enhanced specific protocols that correspond to their internal operations. Administrative Unit-specific protocols shall be made available to PDCO upon request.</w:t>
      </w:r>
    </w:p>
    <w:p w14:paraId="03F0869B" w14:textId="77777777" w:rsidR="00606BB4" w:rsidRPr="00F82BBE" w:rsidRDefault="00606BB4" w:rsidP="00FC3715">
      <w:pPr>
        <w:pStyle w:val="H3SubParagraph"/>
      </w:pPr>
      <w:r w:rsidRPr="00F82BBE">
        <w:t xml:space="preserve">Requests for Confidential Information Held by </w:t>
      </w:r>
      <w:r w:rsidRPr="001F08EE">
        <w:t>Multiple</w:t>
      </w:r>
      <w:r w:rsidRPr="00F82BBE">
        <w:t xml:space="preserve"> Administrative Units</w:t>
      </w:r>
    </w:p>
    <w:p w14:paraId="3D68AAB2" w14:textId="77777777" w:rsidR="00606BB4" w:rsidRPr="00F82BBE" w:rsidRDefault="00606BB4" w:rsidP="009A52B1">
      <w:pPr>
        <w:pStyle w:val="H3Text"/>
      </w:pPr>
      <w:r w:rsidRPr="00F82BBE">
        <w:t>When requests for Confidential Information held by (</w:t>
      </w:r>
      <w:r>
        <w:t>1</w:t>
      </w:r>
      <w:r w:rsidRPr="00F82BBE">
        <w:t>) multiple Non-Covered Components of the Department or (</w:t>
      </w:r>
      <w:r>
        <w:t>2</w:t>
      </w:r>
      <w:r w:rsidRPr="00F82BBE">
        <w:t>) multiple Covered Components of the Department are received, the Administrative Unit that maintains the most records shall coordinate the release, in conjunction with the Office of General Counsel. If it’s not clear which Administrative Unit maintains the most records, and/or if information relevant to a request is held by both Covered Components of the Department and Non-Covered Components of the Department, the Office of General Counsel shall coordinate the release.</w:t>
      </w:r>
      <w:r w:rsidRPr="00F82BBE" w:rsidDel="00EE245E">
        <w:t xml:space="preserve"> </w:t>
      </w:r>
    </w:p>
    <w:p w14:paraId="736945F4" w14:textId="77777777" w:rsidR="00606BB4" w:rsidRPr="00F82BBE" w:rsidRDefault="00606BB4" w:rsidP="00931DDC">
      <w:pPr>
        <w:pStyle w:val="H2Paragraph"/>
        <w:rPr>
          <w:sz w:val="22"/>
          <w:szCs w:val="22"/>
        </w:rPr>
      </w:pPr>
      <w:bookmarkStart w:id="33" w:name="_Toc209771770"/>
      <w:r w:rsidRPr="00F82BBE">
        <w:rPr>
          <w:sz w:val="22"/>
          <w:szCs w:val="22"/>
        </w:rPr>
        <w:t>Verification of the Requestor’s Identity</w:t>
      </w:r>
      <w:bookmarkEnd w:id="33"/>
    </w:p>
    <w:p w14:paraId="28AD92EF" w14:textId="77777777" w:rsidR="00606BB4" w:rsidRPr="00F82BBE" w:rsidRDefault="00606BB4" w:rsidP="009A52B1">
      <w:pPr>
        <w:pStyle w:val="H3Text"/>
      </w:pPr>
      <w:r w:rsidRPr="00F82BBE">
        <w:t>Make sure that the individual (including an individual acting on behalf of an entity) requesting the Confidential Information is who they claim to be. If the person is known from prior experience, no further verification is required. If the individual is not known, i</w:t>
      </w:r>
      <w:r w:rsidRPr="00F82BBE">
        <w:rPr>
          <w:rFonts w:cs="Arial"/>
        </w:rPr>
        <w:t>dentification can be verified by one of the following methods:</w:t>
      </w:r>
      <w:r w:rsidRPr="00F82BBE">
        <w:t xml:space="preserve"> </w:t>
      </w:r>
    </w:p>
    <w:p w14:paraId="25EAA6E1" w14:textId="77777777" w:rsidR="00606BB4" w:rsidRPr="00F82BBE" w:rsidRDefault="00606BB4">
      <w:pPr>
        <w:pStyle w:val="H3Text"/>
        <w:numPr>
          <w:ilvl w:val="0"/>
          <w:numId w:val="170"/>
        </w:numPr>
        <w:ind w:left="1080"/>
      </w:pPr>
      <w:r w:rsidRPr="00F82BBE">
        <w:t xml:space="preserve">Presentation or copy of a government-issued photo identification; </w:t>
      </w:r>
    </w:p>
    <w:p w14:paraId="3610C73A" w14:textId="77777777" w:rsidR="00606BB4" w:rsidRPr="00F82BBE" w:rsidRDefault="00606BB4">
      <w:pPr>
        <w:pStyle w:val="H3Text"/>
        <w:numPr>
          <w:ilvl w:val="0"/>
          <w:numId w:val="170"/>
        </w:numPr>
        <w:ind w:left="1080"/>
      </w:pPr>
      <w:r w:rsidRPr="00F82BBE">
        <w:t xml:space="preserve">Recognition of the individual by a Workforce Member; </w:t>
      </w:r>
    </w:p>
    <w:p w14:paraId="3CB7CC78" w14:textId="77777777" w:rsidR="00606BB4" w:rsidRPr="00F82BBE" w:rsidRDefault="00606BB4">
      <w:pPr>
        <w:pStyle w:val="H3Text"/>
        <w:numPr>
          <w:ilvl w:val="0"/>
          <w:numId w:val="170"/>
        </w:numPr>
        <w:ind w:left="1080"/>
      </w:pPr>
      <w:r w:rsidRPr="00F82BBE">
        <w:t xml:space="preserve">A notarized signature; or </w:t>
      </w:r>
    </w:p>
    <w:p w14:paraId="722BED9C" w14:textId="77777777" w:rsidR="00606BB4" w:rsidRPr="00F82BBE" w:rsidRDefault="00606BB4">
      <w:pPr>
        <w:pStyle w:val="H3Text"/>
        <w:numPr>
          <w:ilvl w:val="0"/>
          <w:numId w:val="170"/>
        </w:numPr>
        <w:ind w:left="1080"/>
      </w:pPr>
      <w:r w:rsidRPr="00F82BBE">
        <w:t xml:space="preserve">A Commonwealth-managed identity verification portal. </w:t>
      </w:r>
    </w:p>
    <w:p w14:paraId="1A476798" w14:textId="77777777" w:rsidR="00606BB4" w:rsidRPr="00F82BBE" w:rsidRDefault="00606BB4" w:rsidP="009A52B1">
      <w:pPr>
        <w:pStyle w:val="H3Text"/>
      </w:pPr>
      <w:r w:rsidRPr="00F82BBE">
        <w:t xml:space="preserve">Under appropriate circumstances, alternative methods of identity verification, such as the provision of information that only the individual would know or a comparison of an individual’s signature with a copy of the individual’s signature in an existing DPH file, may be used.  </w:t>
      </w:r>
    </w:p>
    <w:p w14:paraId="405DF7AD" w14:textId="77777777" w:rsidR="00606BB4" w:rsidRPr="00F82BBE" w:rsidRDefault="00606BB4" w:rsidP="009A52B1">
      <w:pPr>
        <w:pStyle w:val="H3Text"/>
      </w:pPr>
      <w:r w:rsidRPr="00F82BBE">
        <w:t>Additional information may be requested for certain categories of individuals such as:</w:t>
      </w:r>
    </w:p>
    <w:p w14:paraId="6FF3904C" w14:textId="77777777" w:rsidR="00606BB4" w:rsidRPr="00F82BBE" w:rsidRDefault="00606BB4">
      <w:pPr>
        <w:pStyle w:val="H3Text"/>
        <w:numPr>
          <w:ilvl w:val="0"/>
          <w:numId w:val="171"/>
        </w:numPr>
        <w:ind w:left="1080"/>
      </w:pPr>
      <w:r w:rsidRPr="00F82BBE">
        <w:rPr>
          <w:i/>
        </w:rPr>
        <w:t>The Data Subject, if the Data Subject has a different name</w:t>
      </w:r>
      <w:r w:rsidRPr="00F82BBE">
        <w:t>: Verification that they are the same individual as Data Subject, based on, for example, documentation showing the same address, or documentation showing name change.</w:t>
      </w:r>
    </w:p>
    <w:p w14:paraId="6DF39563" w14:textId="77777777" w:rsidR="00606BB4" w:rsidRPr="00F82BBE" w:rsidRDefault="00606BB4">
      <w:pPr>
        <w:pStyle w:val="H3Text"/>
        <w:numPr>
          <w:ilvl w:val="0"/>
          <w:numId w:val="171"/>
        </w:numPr>
        <w:ind w:left="1080"/>
      </w:pPr>
      <w:r w:rsidRPr="00F82BBE">
        <w:rPr>
          <w:i/>
        </w:rPr>
        <w:t>Attorney for Data Subject</w:t>
      </w:r>
      <w:r w:rsidRPr="00F82BBE">
        <w:t>: The attorney’s request must be on letterhead or email identifying the name and address of law firm or attorney identified as representing the Data Subject.</w:t>
      </w:r>
    </w:p>
    <w:p w14:paraId="34B6F8D1" w14:textId="77777777" w:rsidR="00606BB4" w:rsidRPr="00F82BBE" w:rsidRDefault="00606BB4">
      <w:pPr>
        <w:pStyle w:val="H3Text"/>
        <w:numPr>
          <w:ilvl w:val="0"/>
          <w:numId w:val="171"/>
        </w:numPr>
        <w:ind w:left="1080"/>
        <w:rPr>
          <w:rFonts w:cs="Arial"/>
        </w:rPr>
      </w:pPr>
      <w:r w:rsidRPr="00F82BBE">
        <w:rPr>
          <w:i/>
        </w:rPr>
        <w:t>Legislator of Data Subject</w:t>
      </w:r>
      <w:r w:rsidRPr="00F82BBE">
        <w:rPr>
          <w:rFonts w:cs="Arial"/>
        </w:rPr>
        <w:t>: The Legislator’s request must be on letterhead or email identifying the name and address of legislator identified as acting on behalf of the Data Subject.</w:t>
      </w:r>
    </w:p>
    <w:p w14:paraId="6A743B85" w14:textId="77777777" w:rsidR="00606BB4" w:rsidRPr="00F82BBE" w:rsidRDefault="00606BB4">
      <w:pPr>
        <w:pStyle w:val="H3Text"/>
        <w:numPr>
          <w:ilvl w:val="0"/>
          <w:numId w:val="171"/>
        </w:numPr>
        <w:ind w:left="1080"/>
        <w:rPr>
          <w:rFonts w:cs="Arial"/>
        </w:rPr>
      </w:pPr>
      <w:r w:rsidRPr="00F82BBE">
        <w:rPr>
          <w:i/>
        </w:rPr>
        <w:t>Requests from third parties</w:t>
      </w:r>
      <w:r>
        <w:rPr>
          <w:i/>
        </w:rPr>
        <w:t xml:space="preserve"> (</w:t>
      </w:r>
      <w:r w:rsidRPr="00F82BBE">
        <w:rPr>
          <w:i/>
        </w:rPr>
        <w:t>e.g., spouse, relative, friend, or other person</w:t>
      </w:r>
      <w:r>
        <w:rPr>
          <w:i/>
        </w:rPr>
        <w:t>)</w:t>
      </w:r>
      <w:r w:rsidRPr="00F82BBE">
        <w:rPr>
          <w:i/>
        </w:rPr>
        <w:t xml:space="preserve"> when the Data Subject is present and does not object</w:t>
      </w:r>
      <w:r w:rsidRPr="00F82BBE">
        <w:rPr>
          <w:rFonts w:cs="Arial"/>
        </w:rPr>
        <w:t>: Verify the identity of the Data Subject in the same manner that you would if the Data Subject were alone. It is not necessary to verify the identity of the other person identified by the Data Subject. You should note the name of the other person in the file.</w:t>
      </w:r>
    </w:p>
    <w:p w14:paraId="081C561B" w14:textId="77777777" w:rsidR="00606BB4" w:rsidRPr="00F82BBE" w:rsidRDefault="00606BB4" w:rsidP="009A52B1">
      <w:pPr>
        <w:pStyle w:val="H3Text"/>
      </w:pPr>
      <w:r w:rsidRPr="00F82BBE">
        <w:t>A Workforce Member should use reasonable judgement when verifying identity. For example, if reasonable under the circumstances, a Workforce Member may rely on documents, statements, or representations that on their face meet the applicable requirements.</w:t>
      </w:r>
    </w:p>
    <w:p w14:paraId="421FF5CB" w14:textId="77777777" w:rsidR="00606BB4" w:rsidRPr="00F82BBE" w:rsidRDefault="00606BB4" w:rsidP="009B6562">
      <w:pPr>
        <w:pStyle w:val="H2Paragraph"/>
        <w:rPr>
          <w:sz w:val="22"/>
          <w:szCs w:val="22"/>
        </w:rPr>
      </w:pPr>
      <w:bookmarkStart w:id="34" w:name="_Toc209771771"/>
      <w:r w:rsidRPr="00F82BBE">
        <w:rPr>
          <w:snapToGrid w:val="0"/>
          <w:sz w:val="22"/>
          <w:szCs w:val="22"/>
        </w:rPr>
        <w:t>Verification of the Requestor’s Authority</w:t>
      </w:r>
      <w:bookmarkEnd w:id="34"/>
      <w:r w:rsidRPr="00F82BBE">
        <w:rPr>
          <w:sz w:val="22"/>
          <w:szCs w:val="22"/>
        </w:rPr>
        <w:t xml:space="preserve"> </w:t>
      </w:r>
    </w:p>
    <w:p w14:paraId="5F25381F" w14:textId="77777777" w:rsidR="00606BB4" w:rsidRPr="00F82BBE" w:rsidRDefault="00606BB4" w:rsidP="009A52B1">
      <w:pPr>
        <w:pStyle w:val="H3Text"/>
      </w:pPr>
      <w:r w:rsidRPr="00F82BBE">
        <w:t xml:space="preserve">Determine whether the individual or entity requesting the disclosure of Confidential Information is permitted to have access </w:t>
      </w:r>
      <w:r w:rsidRPr="00E579C2">
        <w:t>to the Confidential</w:t>
      </w:r>
      <w:r w:rsidRPr="00F82BBE">
        <w:t xml:space="preserve"> Information based upon the requirements for authority verification in </w:t>
      </w:r>
      <w:r w:rsidRPr="009A0607">
        <w:rPr>
          <w:u w:val="single"/>
        </w:rPr>
        <w:t>Table 4.1:</w:t>
      </w:r>
      <w:r w:rsidRPr="00F82BBE">
        <w:rPr>
          <w:u w:val="single"/>
        </w:rPr>
        <w:t xml:space="preserve"> Verification of Authority</w:t>
      </w:r>
      <w:r w:rsidRPr="00F82BBE">
        <w:t xml:space="preserve"> (below). </w:t>
      </w:r>
    </w:p>
    <w:p w14:paraId="31E6F320" w14:textId="77777777" w:rsidR="00606BB4" w:rsidRPr="00F82BBE" w:rsidRDefault="00606BB4" w:rsidP="009A52B1">
      <w:pPr>
        <w:pStyle w:val="H3Text"/>
      </w:pPr>
      <w:r w:rsidRPr="00F82BBE">
        <w:t>Use reasonable judgment in requesting and reviewing any documentation. It is appropriate to rely on a written Authorization for authority to release information to the individual or entity named in the Authorization, unless there is something about the Authorization that raises questions about its authenticity, or the Authorization does not comply with the requirements in Part V of this Procedure.</w:t>
      </w:r>
    </w:p>
    <w:p w14:paraId="0409E1C1" w14:textId="77777777" w:rsidR="00606BB4" w:rsidRPr="00EA3942" w:rsidRDefault="00606BB4" w:rsidP="00EA3942">
      <w:pPr>
        <w:pStyle w:val="H4SubNumberedParagraph"/>
        <w:numPr>
          <w:ilvl w:val="0"/>
          <w:numId w:val="0"/>
        </w:numPr>
      </w:pPr>
      <w:r w:rsidRPr="00EA3942">
        <w:t>Table 4.1: Verification of Authority</w:t>
      </w:r>
    </w:p>
    <w:tbl>
      <w:tblPr>
        <w:tblW w:w="993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right w:w="115" w:type="dxa"/>
        </w:tblCellMar>
        <w:tblLook w:val="01E0" w:firstRow="1" w:lastRow="1" w:firstColumn="1" w:lastColumn="1" w:noHBand="0" w:noVBand="0"/>
      </w:tblPr>
      <w:tblGrid>
        <w:gridCol w:w="2610"/>
        <w:gridCol w:w="7327"/>
      </w:tblGrid>
      <w:tr w:rsidR="00606BB4" w:rsidRPr="001A3BF3" w14:paraId="4D9004EE" w14:textId="77777777" w:rsidTr="00AD2EC4">
        <w:trPr>
          <w:cantSplit/>
          <w:tblHeader/>
        </w:trPr>
        <w:tc>
          <w:tcPr>
            <w:tcW w:w="2610" w:type="dxa"/>
            <w:shd w:val="clear" w:color="auto" w:fill="D9D9D9"/>
            <w:tcMar>
              <w:top w:w="29" w:type="dxa"/>
              <w:left w:w="115" w:type="dxa"/>
              <w:right w:w="115" w:type="dxa"/>
            </w:tcMar>
            <w:vAlign w:val="center"/>
          </w:tcPr>
          <w:p w14:paraId="0A265566" w14:textId="77777777" w:rsidR="00606BB4" w:rsidRPr="006C044C" w:rsidRDefault="00606BB4" w:rsidP="00181F50">
            <w:pPr>
              <w:jc w:val="center"/>
              <w:rPr>
                <w:rFonts w:cs="Arial"/>
                <w:b/>
                <w:sz w:val="20"/>
                <w:szCs w:val="20"/>
              </w:rPr>
            </w:pPr>
            <w:r w:rsidRPr="006C044C">
              <w:rPr>
                <w:rFonts w:cs="Arial"/>
                <w:b/>
                <w:sz w:val="20"/>
                <w:szCs w:val="20"/>
              </w:rPr>
              <w:t>Individual Requesting Confidential Information</w:t>
            </w:r>
          </w:p>
        </w:tc>
        <w:tc>
          <w:tcPr>
            <w:tcW w:w="7327" w:type="dxa"/>
            <w:shd w:val="clear" w:color="auto" w:fill="D9D9D9"/>
            <w:tcMar>
              <w:top w:w="29" w:type="dxa"/>
              <w:left w:w="115" w:type="dxa"/>
              <w:right w:w="115" w:type="dxa"/>
            </w:tcMar>
            <w:vAlign w:val="center"/>
          </w:tcPr>
          <w:p w14:paraId="7BA6EAF0" w14:textId="77777777" w:rsidR="00606BB4" w:rsidRPr="0036317A" w:rsidRDefault="00606BB4" w:rsidP="007201F9">
            <w:pPr>
              <w:jc w:val="center"/>
              <w:rPr>
                <w:rFonts w:cs="Arial"/>
                <w:b/>
                <w:sz w:val="20"/>
                <w:szCs w:val="20"/>
              </w:rPr>
            </w:pPr>
            <w:r w:rsidRPr="0036317A">
              <w:rPr>
                <w:rFonts w:cs="Arial"/>
                <w:b/>
                <w:sz w:val="20"/>
                <w:szCs w:val="20"/>
              </w:rPr>
              <w:t>Authority required to Release Information to Individual Requesting Confidential Information</w:t>
            </w:r>
          </w:p>
        </w:tc>
      </w:tr>
      <w:tr w:rsidR="00606BB4" w:rsidRPr="001A3BF3" w14:paraId="60E85DB1" w14:textId="77777777" w:rsidTr="00AD2EC4">
        <w:trPr>
          <w:cantSplit/>
        </w:trPr>
        <w:tc>
          <w:tcPr>
            <w:tcW w:w="2610" w:type="dxa"/>
            <w:tcMar>
              <w:top w:w="29" w:type="dxa"/>
              <w:left w:w="115" w:type="dxa"/>
              <w:right w:w="115" w:type="dxa"/>
            </w:tcMar>
          </w:tcPr>
          <w:p w14:paraId="2919EF29" w14:textId="77777777" w:rsidR="00606BB4" w:rsidRPr="001A3BF3" w:rsidRDefault="00606BB4" w:rsidP="00181F50">
            <w:pPr>
              <w:jc w:val="left"/>
              <w:rPr>
                <w:rFonts w:cs="Arial"/>
                <w:sz w:val="19"/>
                <w:szCs w:val="19"/>
              </w:rPr>
            </w:pPr>
            <w:r w:rsidRPr="001A3BF3">
              <w:rPr>
                <w:rFonts w:cs="Arial"/>
                <w:sz w:val="19"/>
                <w:szCs w:val="19"/>
              </w:rPr>
              <w:t xml:space="preserve">The </w:t>
            </w:r>
            <w:r>
              <w:rPr>
                <w:rFonts w:cs="Arial"/>
                <w:sz w:val="19"/>
                <w:szCs w:val="19"/>
              </w:rPr>
              <w:t>D</w:t>
            </w:r>
            <w:r w:rsidRPr="001A3BF3">
              <w:rPr>
                <w:rFonts w:cs="Arial"/>
                <w:sz w:val="19"/>
                <w:szCs w:val="19"/>
              </w:rPr>
              <w:t xml:space="preserve">ata </w:t>
            </w:r>
            <w:r>
              <w:rPr>
                <w:rFonts w:cs="Arial"/>
                <w:sz w:val="19"/>
                <w:szCs w:val="19"/>
              </w:rPr>
              <w:t>S</w:t>
            </w:r>
            <w:r w:rsidRPr="001A3BF3">
              <w:rPr>
                <w:rFonts w:cs="Arial"/>
                <w:sz w:val="19"/>
                <w:szCs w:val="19"/>
              </w:rPr>
              <w:t>ubject</w:t>
            </w:r>
          </w:p>
        </w:tc>
        <w:tc>
          <w:tcPr>
            <w:tcW w:w="7327" w:type="dxa"/>
            <w:tcMar>
              <w:top w:w="29" w:type="dxa"/>
              <w:left w:w="115" w:type="dxa"/>
              <w:right w:w="115" w:type="dxa"/>
            </w:tcMar>
          </w:tcPr>
          <w:p w14:paraId="62F8C36C" w14:textId="77777777" w:rsidR="00606BB4" w:rsidRDefault="00606BB4" w:rsidP="007201F9">
            <w:pPr>
              <w:rPr>
                <w:rFonts w:cs="Arial"/>
                <w:sz w:val="19"/>
                <w:szCs w:val="19"/>
              </w:rPr>
            </w:pPr>
            <w:r w:rsidRPr="001A3BF3">
              <w:rPr>
                <w:rFonts w:cs="Arial"/>
                <w:sz w:val="19"/>
                <w:szCs w:val="19"/>
              </w:rPr>
              <w:t>None required</w:t>
            </w:r>
            <w:r>
              <w:rPr>
                <w:rFonts w:cs="Arial"/>
                <w:sz w:val="19"/>
                <w:szCs w:val="19"/>
              </w:rPr>
              <w:t>.</w:t>
            </w:r>
          </w:p>
          <w:p w14:paraId="7C6DE3AB" w14:textId="77777777" w:rsidR="00606BB4" w:rsidRDefault="00606BB4" w:rsidP="007201F9">
            <w:pPr>
              <w:rPr>
                <w:rFonts w:cs="Arial"/>
                <w:sz w:val="19"/>
                <w:szCs w:val="19"/>
              </w:rPr>
            </w:pPr>
          </w:p>
          <w:p w14:paraId="1EC4045E" w14:textId="77777777" w:rsidR="00606BB4" w:rsidRPr="00CF616B" w:rsidRDefault="00606BB4" w:rsidP="007201F9">
            <w:pPr>
              <w:rPr>
                <w:rFonts w:cs="Arial"/>
                <w:sz w:val="19"/>
                <w:szCs w:val="19"/>
                <w:u w:val="single"/>
              </w:rPr>
            </w:pPr>
            <w:r w:rsidRPr="00CF616B">
              <w:rPr>
                <w:rFonts w:cs="Arial"/>
                <w:sz w:val="19"/>
                <w:szCs w:val="19"/>
              </w:rPr>
              <w:t xml:space="preserve">See Procedure 11 (Individual Data Subject Rights Related to their Confidential Information) for additional obligations. </w:t>
            </w:r>
          </w:p>
        </w:tc>
      </w:tr>
      <w:tr w:rsidR="00606BB4" w:rsidRPr="001A3BF3" w14:paraId="2F565E2A" w14:textId="77777777" w:rsidTr="00AD2EC4">
        <w:trPr>
          <w:cantSplit/>
        </w:trPr>
        <w:tc>
          <w:tcPr>
            <w:tcW w:w="2610" w:type="dxa"/>
            <w:tcMar>
              <w:top w:w="29" w:type="dxa"/>
              <w:left w:w="115" w:type="dxa"/>
              <w:right w:w="115" w:type="dxa"/>
            </w:tcMar>
          </w:tcPr>
          <w:p w14:paraId="4D5F3D72" w14:textId="77777777" w:rsidR="00606BB4" w:rsidRPr="001A3BF3" w:rsidRDefault="00606BB4" w:rsidP="00181F50">
            <w:pPr>
              <w:jc w:val="left"/>
              <w:rPr>
                <w:rFonts w:cs="Arial"/>
                <w:sz w:val="19"/>
                <w:szCs w:val="19"/>
              </w:rPr>
            </w:pPr>
            <w:r w:rsidRPr="001A3BF3">
              <w:rPr>
                <w:rFonts w:cs="Arial"/>
                <w:sz w:val="19"/>
                <w:szCs w:val="19"/>
              </w:rPr>
              <w:t xml:space="preserve">The </w:t>
            </w:r>
            <w:r>
              <w:rPr>
                <w:rFonts w:cs="Arial"/>
                <w:sz w:val="19"/>
                <w:szCs w:val="19"/>
              </w:rPr>
              <w:t>D</w:t>
            </w:r>
            <w:r w:rsidRPr="001A3BF3">
              <w:rPr>
                <w:rFonts w:cs="Arial"/>
                <w:sz w:val="19"/>
                <w:szCs w:val="19"/>
              </w:rPr>
              <w:t xml:space="preserve">ata </w:t>
            </w:r>
            <w:r>
              <w:rPr>
                <w:rFonts w:cs="Arial"/>
                <w:sz w:val="19"/>
                <w:szCs w:val="19"/>
              </w:rPr>
              <w:t>S</w:t>
            </w:r>
            <w:r w:rsidRPr="001A3BF3">
              <w:rPr>
                <w:rFonts w:cs="Arial"/>
                <w:sz w:val="19"/>
                <w:szCs w:val="19"/>
              </w:rPr>
              <w:t xml:space="preserve">ubject, if the </w:t>
            </w:r>
            <w:r>
              <w:rPr>
                <w:rFonts w:cs="Arial"/>
                <w:sz w:val="19"/>
                <w:szCs w:val="19"/>
              </w:rPr>
              <w:t>D</w:t>
            </w:r>
            <w:r w:rsidRPr="001A3BF3">
              <w:rPr>
                <w:rFonts w:cs="Arial"/>
                <w:sz w:val="19"/>
                <w:szCs w:val="19"/>
              </w:rPr>
              <w:t xml:space="preserve">ata </w:t>
            </w:r>
            <w:r>
              <w:rPr>
                <w:rFonts w:cs="Arial"/>
                <w:sz w:val="19"/>
                <w:szCs w:val="19"/>
              </w:rPr>
              <w:t>S</w:t>
            </w:r>
            <w:r w:rsidRPr="001A3BF3">
              <w:rPr>
                <w:rFonts w:cs="Arial"/>
                <w:sz w:val="19"/>
                <w:szCs w:val="19"/>
              </w:rPr>
              <w:t>ubject has a different name</w:t>
            </w:r>
          </w:p>
        </w:tc>
        <w:tc>
          <w:tcPr>
            <w:tcW w:w="7327" w:type="dxa"/>
            <w:tcMar>
              <w:top w:w="29" w:type="dxa"/>
              <w:left w:w="115" w:type="dxa"/>
              <w:right w:w="115" w:type="dxa"/>
            </w:tcMar>
          </w:tcPr>
          <w:p w14:paraId="59C518B4" w14:textId="77777777" w:rsidR="00606BB4" w:rsidRDefault="00606BB4" w:rsidP="007201F9">
            <w:pPr>
              <w:rPr>
                <w:rFonts w:cs="Arial"/>
                <w:sz w:val="19"/>
                <w:szCs w:val="19"/>
              </w:rPr>
            </w:pPr>
            <w:r w:rsidRPr="001A3BF3">
              <w:rPr>
                <w:rFonts w:cs="Arial"/>
                <w:sz w:val="19"/>
                <w:szCs w:val="19"/>
              </w:rPr>
              <w:t>None required</w:t>
            </w:r>
            <w:r>
              <w:rPr>
                <w:rFonts w:cs="Arial"/>
                <w:sz w:val="19"/>
                <w:szCs w:val="19"/>
              </w:rPr>
              <w:t>.</w:t>
            </w:r>
          </w:p>
          <w:p w14:paraId="79518682" w14:textId="77777777" w:rsidR="00606BB4" w:rsidRDefault="00606BB4" w:rsidP="007201F9">
            <w:pPr>
              <w:rPr>
                <w:rFonts w:cs="Arial"/>
                <w:sz w:val="19"/>
                <w:szCs w:val="19"/>
              </w:rPr>
            </w:pPr>
          </w:p>
          <w:p w14:paraId="47A21041" w14:textId="77777777" w:rsidR="00606BB4" w:rsidRPr="001A3BF3" w:rsidRDefault="00606BB4" w:rsidP="007201F9">
            <w:pPr>
              <w:rPr>
                <w:rFonts w:cs="Arial"/>
                <w:sz w:val="19"/>
                <w:szCs w:val="19"/>
              </w:rPr>
            </w:pPr>
            <w:r w:rsidRPr="00CF616B">
              <w:rPr>
                <w:rFonts w:cs="Arial"/>
                <w:sz w:val="19"/>
                <w:szCs w:val="19"/>
              </w:rPr>
              <w:t>See Procedure 11 (Individual Data Subject Rights Related to their Confidential Information) for additional obligations.</w:t>
            </w:r>
          </w:p>
        </w:tc>
      </w:tr>
      <w:tr w:rsidR="00606BB4" w:rsidRPr="001A3BF3" w14:paraId="10884F6D" w14:textId="77777777" w:rsidTr="00AD2EC4">
        <w:trPr>
          <w:cantSplit/>
        </w:trPr>
        <w:tc>
          <w:tcPr>
            <w:tcW w:w="2610" w:type="dxa"/>
            <w:tcMar>
              <w:top w:w="29" w:type="dxa"/>
              <w:left w:w="115" w:type="dxa"/>
              <w:right w:w="115" w:type="dxa"/>
            </w:tcMar>
          </w:tcPr>
          <w:p w14:paraId="1F672EDA" w14:textId="77777777" w:rsidR="00606BB4" w:rsidRPr="001A3BF3" w:rsidRDefault="00606BB4" w:rsidP="00181F50">
            <w:pPr>
              <w:jc w:val="left"/>
              <w:rPr>
                <w:rFonts w:cs="Arial"/>
                <w:sz w:val="19"/>
                <w:szCs w:val="19"/>
              </w:rPr>
            </w:pPr>
            <w:r w:rsidRPr="001A3BF3">
              <w:rPr>
                <w:rFonts w:cs="Arial"/>
                <w:sz w:val="19"/>
                <w:szCs w:val="19"/>
              </w:rPr>
              <w:t>Attorney for</w:t>
            </w:r>
            <w:r>
              <w:rPr>
                <w:rFonts w:cs="Arial"/>
                <w:sz w:val="19"/>
                <w:szCs w:val="19"/>
              </w:rPr>
              <w:t xml:space="preserve"> the</w:t>
            </w:r>
            <w:r w:rsidRPr="001A3BF3">
              <w:rPr>
                <w:rFonts w:cs="Arial"/>
                <w:sz w:val="19"/>
                <w:szCs w:val="19"/>
              </w:rPr>
              <w:t xml:space="preserve"> </w:t>
            </w:r>
            <w:r>
              <w:rPr>
                <w:rFonts w:cs="Arial"/>
                <w:sz w:val="19"/>
                <w:szCs w:val="19"/>
              </w:rPr>
              <w:t>D</w:t>
            </w:r>
            <w:r w:rsidRPr="001A3BF3">
              <w:rPr>
                <w:rFonts w:cs="Arial"/>
                <w:sz w:val="19"/>
                <w:szCs w:val="19"/>
              </w:rPr>
              <w:t xml:space="preserve">ata </w:t>
            </w:r>
            <w:r>
              <w:rPr>
                <w:rFonts w:cs="Arial"/>
                <w:sz w:val="19"/>
                <w:szCs w:val="19"/>
              </w:rPr>
              <w:t>S</w:t>
            </w:r>
            <w:r w:rsidRPr="001A3BF3">
              <w:rPr>
                <w:rFonts w:cs="Arial"/>
                <w:sz w:val="19"/>
                <w:szCs w:val="19"/>
              </w:rPr>
              <w:t>ubject</w:t>
            </w:r>
          </w:p>
        </w:tc>
        <w:tc>
          <w:tcPr>
            <w:tcW w:w="7327" w:type="dxa"/>
            <w:tcMar>
              <w:top w:w="29" w:type="dxa"/>
              <w:left w:w="115" w:type="dxa"/>
              <w:right w:w="115" w:type="dxa"/>
            </w:tcMar>
          </w:tcPr>
          <w:p w14:paraId="547D2082" w14:textId="77777777" w:rsidR="00606BB4" w:rsidRPr="00F64639" w:rsidRDefault="00606BB4">
            <w:pPr>
              <w:numPr>
                <w:ilvl w:val="0"/>
                <w:numId w:val="165"/>
              </w:numPr>
              <w:spacing w:after="120"/>
              <w:ind w:left="519" w:hanging="274"/>
              <w:jc w:val="left"/>
              <w:rPr>
                <w:rFonts w:cs="Arial"/>
                <w:sz w:val="19"/>
                <w:szCs w:val="19"/>
              </w:rPr>
            </w:pPr>
            <w:r w:rsidRPr="00F64639">
              <w:rPr>
                <w:rFonts w:cs="Arial"/>
                <w:sz w:val="19"/>
                <w:szCs w:val="19"/>
              </w:rPr>
              <w:t>Written Authorization in compliance with Part V of this Procedure from the Data Subject (i.e., release that the attorney has permission to access the Confidential Information)</w:t>
            </w:r>
            <w:r>
              <w:rPr>
                <w:rFonts w:cs="Arial"/>
                <w:sz w:val="19"/>
                <w:szCs w:val="19"/>
              </w:rPr>
              <w:t>.</w:t>
            </w:r>
            <w:r w:rsidRPr="00F64639">
              <w:rPr>
                <w:rFonts w:cs="Arial"/>
                <w:sz w:val="19"/>
                <w:szCs w:val="19"/>
              </w:rPr>
              <w:t xml:space="preserve"> </w:t>
            </w:r>
          </w:p>
          <w:p w14:paraId="5F5507B9" w14:textId="77777777" w:rsidR="00606BB4" w:rsidRPr="00F64639" w:rsidRDefault="00606BB4" w:rsidP="00DD7E1C">
            <w:pPr>
              <w:spacing w:after="120"/>
              <w:ind w:left="519" w:hanging="274"/>
              <w:rPr>
                <w:rFonts w:cs="Arial"/>
                <w:sz w:val="19"/>
                <w:szCs w:val="19"/>
                <w:u w:val="single"/>
              </w:rPr>
            </w:pPr>
            <w:r w:rsidRPr="00F64639">
              <w:rPr>
                <w:rFonts w:cs="Arial"/>
                <w:b/>
                <w:bCs/>
                <w:sz w:val="19"/>
                <w:szCs w:val="19"/>
                <w:u w:val="single"/>
              </w:rPr>
              <w:t>AND</w:t>
            </w:r>
          </w:p>
          <w:p w14:paraId="5C161EA5" w14:textId="77777777" w:rsidR="00606BB4" w:rsidRPr="00F64639" w:rsidRDefault="00606BB4">
            <w:pPr>
              <w:numPr>
                <w:ilvl w:val="0"/>
                <w:numId w:val="165"/>
              </w:numPr>
              <w:spacing w:after="120"/>
              <w:ind w:left="519" w:hanging="274"/>
              <w:jc w:val="left"/>
              <w:rPr>
                <w:rFonts w:cs="Arial"/>
                <w:sz w:val="19"/>
                <w:szCs w:val="19"/>
              </w:rPr>
            </w:pPr>
            <w:r w:rsidRPr="00F64639">
              <w:rPr>
                <w:rFonts w:cs="Arial"/>
                <w:sz w:val="19"/>
                <w:szCs w:val="19"/>
              </w:rPr>
              <w:t>Statement from attorney that the attorney is representing the Data Subject</w:t>
            </w:r>
            <w:r>
              <w:rPr>
                <w:rFonts w:cs="Arial"/>
                <w:sz w:val="19"/>
                <w:szCs w:val="19"/>
              </w:rPr>
              <w:t>.</w:t>
            </w:r>
          </w:p>
          <w:p w14:paraId="57A282FF" w14:textId="77777777" w:rsidR="00606BB4" w:rsidRPr="00F64639" w:rsidRDefault="00606BB4" w:rsidP="00DD7E1C">
            <w:pPr>
              <w:spacing w:after="120"/>
              <w:rPr>
                <w:rFonts w:cs="Arial"/>
                <w:sz w:val="19"/>
                <w:szCs w:val="19"/>
              </w:rPr>
            </w:pPr>
            <w:r w:rsidRPr="005A3F40">
              <w:rPr>
                <w:rFonts w:cs="Arial"/>
                <w:sz w:val="19"/>
                <w:szCs w:val="19"/>
                <w:u w:val="single"/>
              </w:rPr>
              <w:t>Note</w:t>
            </w:r>
            <w:r w:rsidRPr="00F64639">
              <w:rPr>
                <w:rFonts w:cs="Arial"/>
                <w:sz w:val="19"/>
                <w:szCs w:val="19"/>
              </w:rPr>
              <w:t xml:space="preserve">: A statement regarding representation is not sufficient without the Authorization. </w:t>
            </w:r>
          </w:p>
        </w:tc>
      </w:tr>
      <w:tr w:rsidR="00606BB4" w:rsidRPr="001A3BF3" w14:paraId="1740AD5E" w14:textId="77777777" w:rsidTr="006A3632">
        <w:trPr>
          <w:cantSplit/>
        </w:trPr>
        <w:tc>
          <w:tcPr>
            <w:tcW w:w="2610" w:type="dxa"/>
            <w:tcMar>
              <w:top w:w="29" w:type="dxa"/>
              <w:left w:w="115" w:type="dxa"/>
              <w:right w:w="115" w:type="dxa"/>
            </w:tcMar>
          </w:tcPr>
          <w:p w14:paraId="585BB375" w14:textId="77777777" w:rsidR="00606BB4" w:rsidRDefault="00606BB4" w:rsidP="00181F50">
            <w:pPr>
              <w:jc w:val="left"/>
              <w:rPr>
                <w:rFonts w:cs="Arial"/>
                <w:sz w:val="19"/>
                <w:szCs w:val="19"/>
              </w:rPr>
            </w:pPr>
            <w:r w:rsidRPr="001A3BF3">
              <w:rPr>
                <w:rFonts w:cs="Arial"/>
                <w:sz w:val="19"/>
                <w:szCs w:val="19"/>
              </w:rPr>
              <w:t>Legislator of</w:t>
            </w:r>
            <w:r>
              <w:rPr>
                <w:rFonts w:cs="Arial"/>
                <w:sz w:val="19"/>
                <w:szCs w:val="19"/>
              </w:rPr>
              <w:t xml:space="preserve"> the</w:t>
            </w:r>
            <w:r w:rsidRPr="001A3BF3">
              <w:rPr>
                <w:rFonts w:cs="Arial"/>
                <w:sz w:val="19"/>
                <w:szCs w:val="19"/>
              </w:rPr>
              <w:t xml:space="preserve"> </w:t>
            </w:r>
            <w:r>
              <w:rPr>
                <w:rFonts w:cs="Arial"/>
                <w:sz w:val="19"/>
                <w:szCs w:val="19"/>
              </w:rPr>
              <w:t>D</w:t>
            </w:r>
            <w:r w:rsidRPr="001A3BF3">
              <w:rPr>
                <w:rFonts w:cs="Arial"/>
                <w:sz w:val="19"/>
                <w:szCs w:val="19"/>
              </w:rPr>
              <w:t xml:space="preserve">ata </w:t>
            </w:r>
            <w:r>
              <w:rPr>
                <w:rFonts w:cs="Arial"/>
                <w:sz w:val="19"/>
                <w:szCs w:val="19"/>
              </w:rPr>
              <w:t>S</w:t>
            </w:r>
            <w:r w:rsidRPr="001A3BF3">
              <w:rPr>
                <w:rFonts w:cs="Arial"/>
                <w:sz w:val="19"/>
                <w:szCs w:val="19"/>
              </w:rPr>
              <w:t>ubject</w:t>
            </w:r>
          </w:p>
        </w:tc>
        <w:tc>
          <w:tcPr>
            <w:tcW w:w="7327" w:type="dxa"/>
            <w:tcMar>
              <w:top w:w="29" w:type="dxa"/>
              <w:left w:w="115" w:type="dxa"/>
              <w:right w:w="115" w:type="dxa"/>
            </w:tcMar>
          </w:tcPr>
          <w:p w14:paraId="51006572" w14:textId="77777777" w:rsidR="00606BB4" w:rsidRPr="00F64639" w:rsidRDefault="00606BB4" w:rsidP="00DD7E1C">
            <w:pPr>
              <w:spacing w:after="120"/>
              <w:rPr>
                <w:rFonts w:cs="Arial"/>
                <w:sz w:val="19"/>
                <w:szCs w:val="19"/>
              </w:rPr>
            </w:pPr>
            <w:r w:rsidRPr="00F64639">
              <w:rPr>
                <w:rFonts w:cs="Arial"/>
                <w:sz w:val="19"/>
                <w:szCs w:val="19"/>
              </w:rPr>
              <w:t>Written Authorization in compliance with Part V of this Procedure from the Data Subject (i.e., release that the legislator has permission to access the Confidential Information)</w:t>
            </w:r>
            <w:r>
              <w:rPr>
                <w:rFonts w:cs="Arial"/>
                <w:sz w:val="19"/>
                <w:szCs w:val="19"/>
              </w:rPr>
              <w:t>.</w:t>
            </w:r>
          </w:p>
        </w:tc>
      </w:tr>
      <w:tr w:rsidR="00606BB4" w:rsidRPr="001A3BF3" w14:paraId="0CE89749" w14:textId="77777777" w:rsidTr="00AD2EC4">
        <w:trPr>
          <w:cantSplit/>
          <w:trHeight w:val="2357"/>
        </w:trPr>
        <w:tc>
          <w:tcPr>
            <w:tcW w:w="2610" w:type="dxa"/>
            <w:tcMar>
              <w:top w:w="29" w:type="dxa"/>
              <w:left w:w="115" w:type="dxa"/>
              <w:right w:w="115" w:type="dxa"/>
            </w:tcMar>
          </w:tcPr>
          <w:p w14:paraId="2747B8A8" w14:textId="77777777" w:rsidR="00606BB4" w:rsidRPr="001A3BF3" w:rsidRDefault="00606BB4" w:rsidP="00181F50">
            <w:pPr>
              <w:jc w:val="left"/>
              <w:rPr>
                <w:rFonts w:cs="Arial"/>
                <w:sz w:val="19"/>
                <w:szCs w:val="19"/>
              </w:rPr>
            </w:pPr>
            <w:r>
              <w:rPr>
                <w:rFonts w:cs="Arial"/>
                <w:sz w:val="19"/>
                <w:szCs w:val="19"/>
              </w:rPr>
              <w:t xml:space="preserve">Parent </w:t>
            </w:r>
            <w:r w:rsidRPr="005A3F40">
              <w:rPr>
                <w:rFonts w:cs="Arial"/>
                <w:sz w:val="19"/>
                <w:szCs w:val="19"/>
                <w:u w:val="single"/>
              </w:rPr>
              <w:t>and</w:t>
            </w:r>
            <w:r>
              <w:rPr>
                <w:rFonts w:cs="Arial"/>
                <w:sz w:val="19"/>
                <w:szCs w:val="19"/>
              </w:rPr>
              <w:t xml:space="preserve"> Legally-Authorized Representative of Minor D</w:t>
            </w:r>
            <w:r w:rsidRPr="001A3BF3">
              <w:rPr>
                <w:rFonts w:cs="Arial"/>
                <w:sz w:val="19"/>
                <w:szCs w:val="19"/>
              </w:rPr>
              <w:t xml:space="preserve">ata </w:t>
            </w:r>
            <w:r>
              <w:rPr>
                <w:rFonts w:cs="Arial"/>
                <w:sz w:val="19"/>
                <w:szCs w:val="19"/>
              </w:rPr>
              <w:t>S</w:t>
            </w:r>
            <w:r w:rsidRPr="001A3BF3">
              <w:rPr>
                <w:rFonts w:cs="Arial"/>
                <w:sz w:val="19"/>
                <w:szCs w:val="19"/>
              </w:rPr>
              <w:t>ubject</w:t>
            </w:r>
            <w:r>
              <w:rPr>
                <w:rFonts w:cs="Arial"/>
                <w:sz w:val="19"/>
                <w:szCs w:val="19"/>
              </w:rPr>
              <w:t xml:space="preserve"> (if the Parent is not a Legally-Authorized Representative of the Minor Data Subject, see Guardian, below)</w:t>
            </w:r>
          </w:p>
        </w:tc>
        <w:tc>
          <w:tcPr>
            <w:tcW w:w="7327" w:type="dxa"/>
            <w:tcMar>
              <w:top w:w="29" w:type="dxa"/>
              <w:left w:w="115" w:type="dxa"/>
              <w:right w:w="115" w:type="dxa"/>
            </w:tcMar>
          </w:tcPr>
          <w:p w14:paraId="0583BFC7" w14:textId="77777777" w:rsidR="00606BB4" w:rsidRPr="00E579C2" w:rsidRDefault="00606BB4">
            <w:pPr>
              <w:numPr>
                <w:ilvl w:val="0"/>
                <w:numId w:val="166"/>
              </w:numPr>
              <w:spacing w:after="120"/>
              <w:ind w:left="515"/>
              <w:jc w:val="left"/>
              <w:rPr>
                <w:rFonts w:cs="Arial"/>
                <w:sz w:val="19"/>
                <w:szCs w:val="19"/>
              </w:rPr>
            </w:pPr>
            <w:r w:rsidRPr="00E579C2">
              <w:rPr>
                <w:rFonts w:cs="Arial"/>
                <w:sz w:val="19"/>
                <w:szCs w:val="19"/>
              </w:rPr>
              <w:t xml:space="preserve">Copy of acceptable documentation showing that the individual is the parent of the minor Data Subject. The documentation required should be reasonable based upon the circumstances and nature of the request, and can include: copy of the birth certificate of the minor Data Subject showing the minor Data Subject’s date and place of birth and the names of the parent and the minor Data Subject (matching their names on other official documents), as well as evidence that the certificate was issued by the appropriate government authority of the minor Data Subject’s country of birth; affidavit of birth (sworn letters by relatives or other persons with personal knowledge of the minor Data Subject’s birth); medical records; school records; and/or religious records showing the name of the parent and the minor Data Subject. </w:t>
            </w:r>
          </w:p>
          <w:p w14:paraId="2A60F85B" w14:textId="77777777" w:rsidR="00606BB4" w:rsidRPr="00E579C2" w:rsidRDefault="00606BB4" w:rsidP="00DD7E1C">
            <w:pPr>
              <w:spacing w:after="120"/>
              <w:ind w:left="227"/>
              <w:rPr>
                <w:rFonts w:cs="Arial"/>
                <w:b/>
                <w:bCs/>
                <w:sz w:val="19"/>
                <w:szCs w:val="19"/>
                <w:u w:val="single"/>
              </w:rPr>
            </w:pPr>
            <w:r w:rsidRPr="00E579C2">
              <w:rPr>
                <w:rFonts w:cs="Arial"/>
                <w:b/>
                <w:bCs/>
                <w:sz w:val="19"/>
                <w:szCs w:val="19"/>
                <w:u w:val="single"/>
              </w:rPr>
              <w:t>AND</w:t>
            </w:r>
          </w:p>
          <w:p w14:paraId="65248456" w14:textId="77777777" w:rsidR="00606BB4" w:rsidRPr="00E579C2" w:rsidRDefault="00606BB4">
            <w:pPr>
              <w:numPr>
                <w:ilvl w:val="0"/>
                <w:numId w:val="166"/>
              </w:numPr>
              <w:spacing w:after="120"/>
              <w:ind w:left="515"/>
              <w:jc w:val="left"/>
              <w:rPr>
                <w:rFonts w:cs="Arial"/>
                <w:sz w:val="19"/>
                <w:szCs w:val="19"/>
              </w:rPr>
            </w:pPr>
            <w:r w:rsidRPr="00E579C2">
              <w:rPr>
                <w:rFonts w:cs="Arial"/>
                <w:sz w:val="19"/>
                <w:szCs w:val="19"/>
              </w:rPr>
              <w:t>A written and signed (including electronic) statement from the requestor that they are a current legally-authorized representative of the minor Data Subject and have rights to access the information.</w:t>
            </w:r>
          </w:p>
          <w:p w14:paraId="44F5C9CF" w14:textId="77777777" w:rsidR="00606BB4" w:rsidRPr="00E579C2" w:rsidRDefault="00606BB4" w:rsidP="00DD7E1C">
            <w:pPr>
              <w:spacing w:after="120"/>
              <w:ind w:left="227"/>
              <w:rPr>
                <w:rFonts w:cs="Arial"/>
                <w:b/>
                <w:bCs/>
                <w:sz w:val="19"/>
                <w:szCs w:val="19"/>
                <w:u w:val="single"/>
              </w:rPr>
            </w:pPr>
            <w:r w:rsidRPr="00E579C2">
              <w:rPr>
                <w:rFonts w:cs="Arial"/>
                <w:b/>
                <w:bCs/>
                <w:sz w:val="19"/>
                <w:szCs w:val="19"/>
                <w:u w:val="single"/>
              </w:rPr>
              <w:t>AND</w:t>
            </w:r>
          </w:p>
          <w:p w14:paraId="244BD9A0" w14:textId="77777777" w:rsidR="00606BB4" w:rsidRPr="00E579C2" w:rsidRDefault="00606BB4">
            <w:pPr>
              <w:numPr>
                <w:ilvl w:val="0"/>
                <w:numId w:val="166"/>
              </w:numPr>
              <w:spacing w:after="120"/>
              <w:ind w:left="515"/>
              <w:jc w:val="left"/>
              <w:rPr>
                <w:rFonts w:cs="Arial"/>
                <w:sz w:val="19"/>
                <w:szCs w:val="19"/>
              </w:rPr>
            </w:pPr>
            <w:r w:rsidRPr="00E579C2">
              <w:rPr>
                <w:rFonts w:cs="Arial"/>
                <w:sz w:val="19"/>
                <w:szCs w:val="19"/>
              </w:rPr>
              <w:t xml:space="preserve">Verification that no laws prohibit the release of the Confidential Information without the consent of the minor Data Subject. For example, under Massachusetts law, a minor can consent to certain of their own medical treatment, and, therefore, holds the authority to consent to the release of information regarding that treatment. Examples of treatments that minors can consent to include: treatment for substance use disorder, inpatient mental health treatment, testing and treatment for diseases dangerous to the public health and sexually transmitted diseases, pregnancy or those who may believe themselves to be pregnant, parenting teens, and family planning services. The determination of whether release of the Confidential Information is prohibited by law should be made by Administrative Units in conjunction with their Program Attorney, with assistance from PDCO as needed. Administrative Units and their Program Attorneys may develop standard operating procedures for recurring requests such that Program Attorney consultation is not needed. If release of the Confidential Information is prohibited by law, Confidential Information can only be released if there is a written Authorization in compliance with Part V of this Procedure from the minor Data Subject, or appropriate court order. In the absence of these items, the Confidential Information cannot be released. </w:t>
            </w:r>
          </w:p>
        </w:tc>
      </w:tr>
      <w:tr w:rsidR="00606BB4" w:rsidRPr="001A3BF3" w14:paraId="1D061411" w14:textId="77777777" w:rsidTr="00F6608A">
        <w:trPr>
          <w:cantSplit/>
        </w:trPr>
        <w:tc>
          <w:tcPr>
            <w:tcW w:w="2610" w:type="dxa"/>
            <w:tcMar>
              <w:top w:w="29" w:type="dxa"/>
              <w:left w:w="115" w:type="dxa"/>
              <w:right w:w="115" w:type="dxa"/>
            </w:tcMar>
          </w:tcPr>
          <w:p w14:paraId="52007BEC" w14:textId="77777777" w:rsidR="00606BB4" w:rsidRDefault="00606BB4" w:rsidP="00181F50">
            <w:pPr>
              <w:jc w:val="left"/>
              <w:rPr>
                <w:rFonts w:cs="Arial"/>
                <w:sz w:val="19"/>
                <w:szCs w:val="19"/>
              </w:rPr>
            </w:pPr>
            <w:r>
              <w:rPr>
                <w:rFonts w:cs="Arial"/>
                <w:sz w:val="19"/>
                <w:szCs w:val="19"/>
              </w:rPr>
              <w:t>Parent of Adult Data Subject</w:t>
            </w:r>
          </w:p>
        </w:tc>
        <w:tc>
          <w:tcPr>
            <w:tcW w:w="7327" w:type="dxa"/>
            <w:tcMar>
              <w:top w:w="29" w:type="dxa"/>
              <w:left w:w="115" w:type="dxa"/>
              <w:right w:w="115" w:type="dxa"/>
            </w:tcMar>
          </w:tcPr>
          <w:p w14:paraId="779EF39C" w14:textId="77777777" w:rsidR="00606BB4" w:rsidRPr="00E579C2" w:rsidRDefault="00606BB4" w:rsidP="004F40E4">
            <w:pPr>
              <w:spacing w:after="120"/>
              <w:rPr>
                <w:rFonts w:cs="Arial"/>
                <w:sz w:val="19"/>
                <w:szCs w:val="19"/>
              </w:rPr>
            </w:pPr>
            <w:r w:rsidRPr="00E579C2">
              <w:rPr>
                <w:rFonts w:cs="Arial"/>
                <w:sz w:val="19"/>
                <w:szCs w:val="19"/>
              </w:rPr>
              <w:t>Either:</w:t>
            </w:r>
          </w:p>
          <w:p w14:paraId="27F49093" w14:textId="77777777" w:rsidR="00606BB4" w:rsidRPr="00E579C2" w:rsidRDefault="00606BB4">
            <w:pPr>
              <w:numPr>
                <w:ilvl w:val="0"/>
                <w:numId w:val="168"/>
              </w:numPr>
              <w:spacing w:after="120"/>
              <w:ind w:left="515" w:hanging="270"/>
              <w:jc w:val="left"/>
              <w:rPr>
                <w:rFonts w:cs="Arial"/>
                <w:sz w:val="19"/>
                <w:szCs w:val="19"/>
              </w:rPr>
            </w:pPr>
            <w:r w:rsidRPr="00E579C2">
              <w:rPr>
                <w:rFonts w:cs="Arial"/>
                <w:sz w:val="19"/>
                <w:szCs w:val="19"/>
              </w:rPr>
              <w:t xml:space="preserve">Written Authorization in compliance with Part V of this Procedure from the Data Subject (i.e., release that the parent has permission to access the Confidential Information). </w:t>
            </w:r>
          </w:p>
          <w:p w14:paraId="6C5B1644" w14:textId="77777777" w:rsidR="00606BB4" w:rsidRPr="00E579C2" w:rsidRDefault="00606BB4" w:rsidP="004F40E4">
            <w:pPr>
              <w:spacing w:after="120"/>
              <w:ind w:left="515" w:hanging="270"/>
              <w:rPr>
                <w:rFonts w:cs="Arial"/>
                <w:b/>
                <w:bCs/>
                <w:sz w:val="19"/>
                <w:szCs w:val="19"/>
                <w:u w:val="single"/>
              </w:rPr>
            </w:pPr>
            <w:r w:rsidRPr="00E579C2">
              <w:rPr>
                <w:rFonts w:cs="Arial"/>
                <w:b/>
                <w:bCs/>
                <w:sz w:val="19"/>
                <w:szCs w:val="19"/>
                <w:u w:val="single"/>
              </w:rPr>
              <w:t>OR</w:t>
            </w:r>
          </w:p>
          <w:p w14:paraId="7D7217C0" w14:textId="77777777" w:rsidR="00606BB4" w:rsidRPr="00E579C2" w:rsidRDefault="00606BB4">
            <w:pPr>
              <w:pStyle w:val="ListParagraph"/>
              <w:numPr>
                <w:ilvl w:val="0"/>
                <w:numId w:val="168"/>
              </w:numPr>
              <w:spacing w:after="120"/>
              <w:ind w:left="515" w:hanging="270"/>
              <w:contextualSpacing/>
              <w:jc w:val="left"/>
              <w:rPr>
                <w:rFonts w:cs="Arial"/>
                <w:sz w:val="19"/>
                <w:szCs w:val="19"/>
              </w:rPr>
            </w:pPr>
            <w:r w:rsidRPr="00E579C2">
              <w:rPr>
                <w:rFonts w:cs="Arial"/>
                <w:sz w:val="19"/>
                <w:szCs w:val="19"/>
              </w:rPr>
              <w:t>If the parent is the Guardian and legally-authorized representative of the adult Data Subject, see below in this Table for requirements.</w:t>
            </w:r>
          </w:p>
        </w:tc>
      </w:tr>
      <w:tr w:rsidR="00606BB4" w:rsidRPr="001A3BF3" w14:paraId="06C98FC7" w14:textId="77777777" w:rsidTr="00AD2EC4">
        <w:trPr>
          <w:cantSplit/>
          <w:trHeight w:val="2357"/>
        </w:trPr>
        <w:tc>
          <w:tcPr>
            <w:tcW w:w="2610" w:type="dxa"/>
            <w:tcMar>
              <w:top w:w="29" w:type="dxa"/>
              <w:left w:w="115" w:type="dxa"/>
              <w:right w:w="115" w:type="dxa"/>
            </w:tcMar>
          </w:tcPr>
          <w:p w14:paraId="0D3C98A3" w14:textId="77777777" w:rsidR="00606BB4" w:rsidRPr="001A3BF3" w:rsidRDefault="00606BB4" w:rsidP="00181F50">
            <w:pPr>
              <w:jc w:val="left"/>
              <w:rPr>
                <w:rFonts w:cs="Arial"/>
                <w:sz w:val="19"/>
                <w:szCs w:val="19"/>
              </w:rPr>
            </w:pPr>
            <w:r w:rsidRPr="001A3BF3">
              <w:rPr>
                <w:rFonts w:cs="Arial"/>
                <w:sz w:val="19"/>
                <w:szCs w:val="19"/>
              </w:rPr>
              <w:t>Guardian</w:t>
            </w:r>
            <w:r>
              <w:rPr>
                <w:rFonts w:cs="Arial"/>
                <w:sz w:val="19"/>
                <w:szCs w:val="19"/>
              </w:rPr>
              <w:t xml:space="preserve"> </w:t>
            </w:r>
            <w:r w:rsidRPr="005A3F40">
              <w:rPr>
                <w:rFonts w:cs="Arial"/>
                <w:sz w:val="19"/>
                <w:szCs w:val="19"/>
                <w:u w:val="single"/>
              </w:rPr>
              <w:t>and</w:t>
            </w:r>
            <w:r>
              <w:rPr>
                <w:rFonts w:cs="Arial"/>
                <w:sz w:val="19"/>
                <w:szCs w:val="19"/>
              </w:rPr>
              <w:t xml:space="preserve"> Legally-Authorized Representative of Data Subject (can include Minor Data Subject and Adult Data Subject)</w:t>
            </w:r>
          </w:p>
          <w:p w14:paraId="68B84B20" w14:textId="77777777" w:rsidR="00606BB4" w:rsidRPr="001A3BF3" w:rsidRDefault="00606BB4" w:rsidP="00181F50">
            <w:pPr>
              <w:jc w:val="left"/>
              <w:rPr>
                <w:rFonts w:cs="Arial"/>
                <w:sz w:val="19"/>
                <w:szCs w:val="19"/>
              </w:rPr>
            </w:pPr>
          </w:p>
          <w:p w14:paraId="01270762" w14:textId="77777777" w:rsidR="00606BB4" w:rsidRPr="001A3BF3" w:rsidRDefault="00606BB4" w:rsidP="00181F50">
            <w:pPr>
              <w:jc w:val="left"/>
              <w:rPr>
                <w:rFonts w:cs="Arial"/>
                <w:sz w:val="19"/>
                <w:szCs w:val="19"/>
              </w:rPr>
            </w:pPr>
            <w:r>
              <w:rPr>
                <w:rFonts w:cs="Arial"/>
                <w:sz w:val="19"/>
                <w:szCs w:val="19"/>
              </w:rPr>
              <w:t xml:space="preserve">Rogers Plan </w:t>
            </w:r>
            <w:r w:rsidRPr="001A3BF3">
              <w:rPr>
                <w:rFonts w:cs="Arial"/>
                <w:sz w:val="19"/>
                <w:szCs w:val="19"/>
              </w:rPr>
              <w:t>Treatment Monitor/Rogers Guardian</w:t>
            </w:r>
          </w:p>
          <w:p w14:paraId="5152FEA3" w14:textId="77777777" w:rsidR="00606BB4" w:rsidRPr="001A3BF3" w:rsidRDefault="00606BB4" w:rsidP="00181F50">
            <w:pPr>
              <w:jc w:val="left"/>
              <w:rPr>
                <w:rFonts w:cs="Arial"/>
                <w:sz w:val="19"/>
                <w:szCs w:val="19"/>
              </w:rPr>
            </w:pPr>
          </w:p>
          <w:p w14:paraId="77FF8A5B" w14:textId="77777777" w:rsidR="00606BB4" w:rsidRPr="001A3BF3" w:rsidRDefault="00606BB4" w:rsidP="00181F50">
            <w:pPr>
              <w:jc w:val="left"/>
              <w:rPr>
                <w:rFonts w:cs="Arial"/>
                <w:sz w:val="19"/>
                <w:szCs w:val="19"/>
              </w:rPr>
            </w:pPr>
            <w:r w:rsidRPr="001A3BF3">
              <w:rPr>
                <w:rFonts w:cs="Arial"/>
                <w:sz w:val="19"/>
                <w:szCs w:val="19"/>
              </w:rPr>
              <w:t>Custody of the State (DSS/DYS)</w:t>
            </w:r>
          </w:p>
          <w:p w14:paraId="216BB3E1" w14:textId="77777777" w:rsidR="00606BB4" w:rsidRPr="001A3BF3" w:rsidRDefault="00606BB4" w:rsidP="00181F50">
            <w:pPr>
              <w:jc w:val="left"/>
              <w:rPr>
                <w:rFonts w:cs="Arial"/>
                <w:sz w:val="19"/>
                <w:szCs w:val="19"/>
              </w:rPr>
            </w:pPr>
          </w:p>
          <w:p w14:paraId="3BE08B17" w14:textId="77777777" w:rsidR="00606BB4" w:rsidRPr="001A3BF3" w:rsidRDefault="00606BB4" w:rsidP="00181F50">
            <w:pPr>
              <w:jc w:val="left"/>
              <w:rPr>
                <w:rFonts w:cs="Arial"/>
                <w:sz w:val="19"/>
                <w:szCs w:val="19"/>
              </w:rPr>
            </w:pPr>
            <w:r>
              <w:rPr>
                <w:rFonts w:cs="Arial"/>
                <w:sz w:val="19"/>
                <w:szCs w:val="19"/>
              </w:rPr>
              <w:t>Representative of D</w:t>
            </w:r>
            <w:r w:rsidRPr="001A3BF3">
              <w:rPr>
                <w:rFonts w:cs="Arial"/>
                <w:sz w:val="19"/>
                <w:szCs w:val="19"/>
              </w:rPr>
              <w:t xml:space="preserve">ata </w:t>
            </w:r>
            <w:r>
              <w:rPr>
                <w:rFonts w:cs="Arial"/>
                <w:sz w:val="19"/>
                <w:szCs w:val="19"/>
              </w:rPr>
              <w:t>S</w:t>
            </w:r>
            <w:r w:rsidRPr="001A3BF3">
              <w:rPr>
                <w:rFonts w:cs="Arial"/>
                <w:sz w:val="19"/>
                <w:szCs w:val="19"/>
              </w:rPr>
              <w:t>ubject</w:t>
            </w:r>
            <w:r>
              <w:rPr>
                <w:rFonts w:cs="Arial"/>
                <w:sz w:val="19"/>
                <w:szCs w:val="19"/>
              </w:rPr>
              <w:t>’s</w:t>
            </w:r>
            <w:r w:rsidRPr="001A3BF3">
              <w:rPr>
                <w:rFonts w:cs="Arial"/>
                <w:sz w:val="19"/>
                <w:szCs w:val="19"/>
              </w:rPr>
              <w:t xml:space="preserve"> </w:t>
            </w:r>
            <w:r>
              <w:rPr>
                <w:rFonts w:cs="Arial"/>
                <w:sz w:val="19"/>
                <w:szCs w:val="19"/>
              </w:rPr>
              <w:t>E</w:t>
            </w:r>
            <w:r w:rsidRPr="001A3BF3">
              <w:rPr>
                <w:rFonts w:cs="Arial"/>
                <w:sz w:val="19"/>
                <w:szCs w:val="19"/>
              </w:rPr>
              <w:t>state</w:t>
            </w:r>
            <w:r>
              <w:rPr>
                <w:rFonts w:cs="Arial"/>
                <w:sz w:val="19"/>
                <w:szCs w:val="19"/>
              </w:rPr>
              <w:t xml:space="preserve"> Appointed by a Court* </w:t>
            </w:r>
          </w:p>
          <w:p w14:paraId="3044CEB8" w14:textId="77777777" w:rsidR="00606BB4" w:rsidRPr="001A3BF3" w:rsidRDefault="00606BB4" w:rsidP="00181F50">
            <w:pPr>
              <w:jc w:val="left"/>
              <w:rPr>
                <w:rFonts w:cs="Arial"/>
                <w:sz w:val="19"/>
                <w:szCs w:val="19"/>
              </w:rPr>
            </w:pPr>
          </w:p>
          <w:p w14:paraId="5ABB28C2" w14:textId="77777777" w:rsidR="00606BB4" w:rsidRPr="001A3BF3" w:rsidRDefault="00606BB4" w:rsidP="00181F50">
            <w:pPr>
              <w:jc w:val="left"/>
              <w:rPr>
                <w:rFonts w:cs="Arial"/>
                <w:sz w:val="19"/>
                <w:szCs w:val="19"/>
              </w:rPr>
            </w:pPr>
            <w:r w:rsidRPr="001A3BF3">
              <w:rPr>
                <w:rFonts w:cs="Arial"/>
                <w:sz w:val="19"/>
                <w:szCs w:val="19"/>
              </w:rPr>
              <w:t>Conservator</w:t>
            </w:r>
          </w:p>
        </w:tc>
        <w:tc>
          <w:tcPr>
            <w:tcW w:w="7327" w:type="dxa"/>
            <w:tcMar>
              <w:top w:w="29" w:type="dxa"/>
              <w:left w:w="115" w:type="dxa"/>
              <w:right w:w="115" w:type="dxa"/>
            </w:tcMar>
          </w:tcPr>
          <w:p w14:paraId="591771FE" w14:textId="77777777" w:rsidR="00606BB4" w:rsidRPr="00E579C2" w:rsidRDefault="00606BB4">
            <w:pPr>
              <w:numPr>
                <w:ilvl w:val="0"/>
                <w:numId w:val="173"/>
              </w:numPr>
              <w:spacing w:after="120"/>
              <w:ind w:left="515" w:hanging="270"/>
              <w:jc w:val="left"/>
              <w:rPr>
                <w:rFonts w:cs="Arial"/>
                <w:sz w:val="19"/>
                <w:szCs w:val="19"/>
              </w:rPr>
            </w:pPr>
            <w:r w:rsidRPr="00E579C2">
              <w:rPr>
                <w:rFonts w:cs="Arial"/>
                <w:sz w:val="19"/>
                <w:szCs w:val="19"/>
              </w:rPr>
              <w:t>Copy of the relevant court appointment. The Program Attorney for the Administrative Unit should verify that the court appointment does not limit the requestor from obtaining the Confidential Information requested.*</w:t>
            </w:r>
          </w:p>
          <w:p w14:paraId="737CFD1B" w14:textId="77777777" w:rsidR="00606BB4" w:rsidRPr="00E579C2" w:rsidRDefault="00606BB4" w:rsidP="006432BE">
            <w:pPr>
              <w:spacing w:after="120"/>
              <w:ind w:left="245"/>
              <w:rPr>
                <w:rFonts w:cs="Arial"/>
                <w:b/>
                <w:bCs/>
                <w:sz w:val="19"/>
                <w:szCs w:val="19"/>
                <w:u w:val="single"/>
              </w:rPr>
            </w:pPr>
            <w:r w:rsidRPr="00E579C2">
              <w:rPr>
                <w:rFonts w:cs="Arial"/>
                <w:b/>
                <w:bCs/>
                <w:sz w:val="19"/>
                <w:szCs w:val="19"/>
                <w:u w:val="single"/>
              </w:rPr>
              <w:t>AND</w:t>
            </w:r>
          </w:p>
          <w:p w14:paraId="1D06DADD" w14:textId="77777777" w:rsidR="00606BB4" w:rsidRPr="00E579C2" w:rsidRDefault="00606BB4">
            <w:pPr>
              <w:numPr>
                <w:ilvl w:val="0"/>
                <w:numId w:val="173"/>
              </w:numPr>
              <w:spacing w:after="120"/>
              <w:ind w:left="515" w:hanging="270"/>
              <w:jc w:val="left"/>
              <w:rPr>
                <w:rFonts w:cs="Arial"/>
                <w:sz w:val="19"/>
                <w:szCs w:val="19"/>
              </w:rPr>
            </w:pPr>
            <w:r w:rsidRPr="00E579C2">
              <w:rPr>
                <w:rFonts w:cs="Arial"/>
                <w:sz w:val="19"/>
                <w:szCs w:val="19"/>
              </w:rPr>
              <w:t>A written and signed (including electronic) statement from the requestor that they are a current legally-authorized representative of the Data Subject and have rights to access the information.</w:t>
            </w:r>
          </w:p>
          <w:p w14:paraId="2B07130C" w14:textId="77777777" w:rsidR="00606BB4" w:rsidRPr="00E579C2" w:rsidRDefault="00606BB4" w:rsidP="006432BE">
            <w:pPr>
              <w:spacing w:after="120"/>
              <w:ind w:left="245"/>
              <w:rPr>
                <w:rFonts w:cs="Arial"/>
                <w:b/>
                <w:bCs/>
                <w:sz w:val="19"/>
                <w:szCs w:val="19"/>
                <w:u w:val="single"/>
              </w:rPr>
            </w:pPr>
            <w:r w:rsidRPr="00E579C2">
              <w:rPr>
                <w:rFonts w:cs="Arial"/>
                <w:b/>
                <w:bCs/>
                <w:sz w:val="19"/>
                <w:szCs w:val="19"/>
                <w:u w:val="single"/>
              </w:rPr>
              <w:t>AND</w:t>
            </w:r>
          </w:p>
          <w:p w14:paraId="49728721" w14:textId="77777777" w:rsidR="00606BB4" w:rsidRPr="00E579C2" w:rsidRDefault="00606BB4">
            <w:pPr>
              <w:numPr>
                <w:ilvl w:val="0"/>
                <w:numId w:val="173"/>
              </w:numPr>
              <w:spacing w:after="120"/>
              <w:ind w:left="515" w:hanging="270"/>
              <w:jc w:val="left"/>
              <w:rPr>
                <w:rFonts w:cs="Arial"/>
                <w:sz w:val="19"/>
                <w:szCs w:val="19"/>
              </w:rPr>
            </w:pPr>
            <w:r w:rsidRPr="00E579C2">
              <w:rPr>
                <w:rFonts w:cs="Arial"/>
                <w:sz w:val="19"/>
                <w:szCs w:val="19"/>
              </w:rPr>
              <w:t>Verification that no laws prohibit the release of the Confidential Information without the consent of the Data Subject. For example, under Massachusetts law, a minor can consent to certain of their own medical treatment, and, therefore, holds the authority to consent to the release of information regarding that treatment. Examples of treatments that minors can consent to include: treatment for substance use disorder, inpatient mental health treatment, testing and treatment for diseases dangerous to the public health and sexually transmitted diseases, pregnancy or those who may believe themselves to be pregnant, parenting teens, and family planning services. The determination of whether release of the Confidential Information is prohibited by law should be made by Administrative Units in conjunction with their Program Attorney, with assistance from PDCO as needed. Administrative Units and their Program Attorneys may develop standard operating procedures for recurring requests such that Program Attorney consultation is not needed. If release of the Confidential Information is prohibited by law, Confidential Information can only be released if there is a written Authorization in compliance with Part V of this Procedure from the Data Subject, or appropriate court order. In the absence of these items, the Confidential Information cannot be released.</w:t>
            </w:r>
          </w:p>
          <w:p w14:paraId="49B6D9AD" w14:textId="77777777" w:rsidR="00606BB4" w:rsidRPr="00E579C2" w:rsidRDefault="00606BB4" w:rsidP="006432BE">
            <w:pPr>
              <w:spacing w:after="120"/>
              <w:rPr>
                <w:rFonts w:cs="Arial"/>
                <w:sz w:val="19"/>
                <w:szCs w:val="19"/>
              </w:rPr>
            </w:pPr>
            <w:r w:rsidRPr="00E579C2">
              <w:rPr>
                <w:rFonts w:cs="Arial"/>
                <w:sz w:val="19"/>
                <w:szCs w:val="19"/>
              </w:rPr>
              <w:t xml:space="preserve">*Where the requestor is a representative of the Data Subject’s estate that has </w:t>
            </w:r>
            <w:r w:rsidRPr="00E579C2">
              <w:rPr>
                <w:rFonts w:cs="Arial"/>
                <w:sz w:val="19"/>
                <w:szCs w:val="19"/>
                <w:u w:val="single"/>
              </w:rPr>
              <w:t>not</w:t>
            </w:r>
            <w:r w:rsidRPr="00E579C2">
              <w:rPr>
                <w:rFonts w:cs="Arial"/>
                <w:sz w:val="19"/>
                <w:szCs w:val="19"/>
              </w:rPr>
              <w:t xml:space="preserve"> been appointed by a court (or where there is </w:t>
            </w:r>
            <w:r w:rsidRPr="00E579C2">
              <w:rPr>
                <w:rFonts w:cs="Arial"/>
                <w:sz w:val="19"/>
                <w:szCs w:val="19"/>
                <w:u w:val="single"/>
              </w:rPr>
              <w:t>not</w:t>
            </w:r>
            <w:r w:rsidRPr="00E579C2">
              <w:rPr>
                <w:rFonts w:cs="Arial"/>
                <w:sz w:val="19"/>
                <w:szCs w:val="19"/>
              </w:rPr>
              <w:t xml:space="preserve"> a relevant court appointment), the request should be referred to the Program Attorney and PDCO for response.</w:t>
            </w:r>
          </w:p>
        </w:tc>
      </w:tr>
      <w:tr w:rsidR="00606BB4" w:rsidRPr="001A3BF3" w14:paraId="5B2D4418" w14:textId="77777777" w:rsidTr="00AD2EC4">
        <w:trPr>
          <w:cantSplit/>
          <w:trHeight w:val="951"/>
        </w:trPr>
        <w:tc>
          <w:tcPr>
            <w:tcW w:w="2610" w:type="dxa"/>
            <w:tcMar>
              <w:top w:w="29" w:type="dxa"/>
              <w:left w:w="115" w:type="dxa"/>
              <w:right w:w="115" w:type="dxa"/>
            </w:tcMar>
          </w:tcPr>
          <w:p w14:paraId="7D9D752B" w14:textId="77777777" w:rsidR="00606BB4" w:rsidRPr="006471D1" w:rsidRDefault="00606BB4" w:rsidP="00181F50">
            <w:pPr>
              <w:jc w:val="left"/>
              <w:rPr>
                <w:sz w:val="19"/>
                <w:highlight w:val="yellow"/>
              </w:rPr>
            </w:pPr>
            <w:r w:rsidRPr="00C57C2B">
              <w:rPr>
                <w:rFonts w:cs="Arial"/>
                <w:sz w:val="19"/>
                <w:szCs w:val="19"/>
              </w:rPr>
              <w:t>Government Agency not within EOHHS (from any jurisdiction)</w:t>
            </w:r>
          </w:p>
        </w:tc>
        <w:tc>
          <w:tcPr>
            <w:tcW w:w="7327" w:type="dxa"/>
            <w:tcMar>
              <w:top w:w="29" w:type="dxa"/>
              <w:left w:w="115" w:type="dxa"/>
              <w:right w:w="115" w:type="dxa"/>
            </w:tcMar>
          </w:tcPr>
          <w:p w14:paraId="1CA4F573" w14:textId="77777777" w:rsidR="00606BB4" w:rsidRPr="00C57C2B" w:rsidRDefault="00606BB4">
            <w:pPr>
              <w:numPr>
                <w:ilvl w:val="0"/>
                <w:numId w:val="174"/>
              </w:numPr>
              <w:spacing w:after="120"/>
              <w:ind w:left="515" w:hanging="270"/>
              <w:jc w:val="left"/>
              <w:rPr>
                <w:rFonts w:cs="Arial"/>
                <w:sz w:val="19"/>
                <w:szCs w:val="19"/>
              </w:rPr>
            </w:pPr>
            <w:r w:rsidRPr="00C57C2B">
              <w:rPr>
                <w:rFonts w:cs="Arial"/>
                <w:sz w:val="19"/>
                <w:szCs w:val="19"/>
              </w:rPr>
              <w:t>Authority to receive the Confidential Information (e.g.</w:t>
            </w:r>
            <w:r>
              <w:rPr>
                <w:rFonts w:cs="Arial"/>
                <w:sz w:val="19"/>
                <w:szCs w:val="19"/>
              </w:rPr>
              <w:t>,</w:t>
            </w:r>
            <w:r w:rsidRPr="00C57C2B">
              <w:rPr>
                <w:rFonts w:cs="Arial"/>
                <w:sz w:val="19"/>
                <w:szCs w:val="19"/>
              </w:rPr>
              <w:t xml:space="preserve"> state or federal law,</w:t>
            </w:r>
            <w:r>
              <w:rPr>
                <w:rFonts w:cs="Arial"/>
                <w:sz w:val="19"/>
                <w:szCs w:val="19"/>
              </w:rPr>
              <w:t xml:space="preserve"> or</w:t>
            </w:r>
            <w:r w:rsidRPr="00C57C2B">
              <w:rPr>
                <w:rFonts w:cs="Arial"/>
                <w:sz w:val="19"/>
                <w:szCs w:val="19"/>
              </w:rPr>
              <w:t xml:space="preserve"> a subpoena or court order; if a subpoena or court order, see Procedure 5</w:t>
            </w:r>
            <w:r>
              <w:rPr>
                <w:rFonts w:cs="Arial"/>
                <w:sz w:val="19"/>
                <w:szCs w:val="19"/>
              </w:rPr>
              <w:t xml:space="preserve"> (Subpoenas and Court Orders)</w:t>
            </w:r>
            <w:r w:rsidRPr="00C57C2B">
              <w:rPr>
                <w:rFonts w:cs="Arial"/>
                <w:sz w:val="19"/>
                <w:szCs w:val="19"/>
              </w:rPr>
              <w:t xml:space="preserve">). </w:t>
            </w:r>
          </w:p>
          <w:p w14:paraId="7F68F5F2" w14:textId="77777777" w:rsidR="00606BB4" w:rsidRPr="00595782" w:rsidRDefault="00606BB4" w:rsidP="006432BE">
            <w:pPr>
              <w:spacing w:after="120"/>
              <w:ind w:left="245"/>
              <w:rPr>
                <w:rFonts w:cs="Arial"/>
                <w:b/>
                <w:bCs/>
                <w:sz w:val="19"/>
                <w:szCs w:val="19"/>
                <w:u w:val="single"/>
              </w:rPr>
            </w:pPr>
            <w:r w:rsidRPr="00595782">
              <w:rPr>
                <w:rFonts w:cs="Arial"/>
                <w:b/>
                <w:bCs/>
                <w:sz w:val="19"/>
                <w:szCs w:val="19"/>
                <w:u w:val="single"/>
              </w:rPr>
              <w:t>AND</w:t>
            </w:r>
          </w:p>
          <w:p w14:paraId="78B03574" w14:textId="77777777" w:rsidR="00606BB4" w:rsidRPr="00C57C2B" w:rsidRDefault="00606BB4">
            <w:pPr>
              <w:numPr>
                <w:ilvl w:val="0"/>
                <w:numId w:val="174"/>
              </w:numPr>
              <w:spacing w:after="120"/>
              <w:ind w:left="515" w:hanging="270"/>
              <w:jc w:val="left"/>
              <w:rPr>
                <w:rFonts w:cs="Arial"/>
                <w:sz w:val="19"/>
                <w:szCs w:val="19"/>
              </w:rPr>
            </w:pPr>
            <w:r w:rsidRPr="00C57C2B">
              <w:rPr>
                <w:rFonts w:cs="Arial"/>
                <w:sz w:val="19"/>
                <w:szCs w:val="19"/>
              </w:rPr>
              <w:t xml:space="preserve">Demonstration that they meet the requirements of the authority enabling them to receive the Confidential Information, including any restrictions or limitations imposed by the authority (e.g., consent of the Data Subject). </w:t>
            </w:r>
          </w:p>
          <w:p w14:paraId="1AFF9CC0" w14:textId="77777777" w:rsidR="00606BB4" w:rsidRPr="006471D1" w:rsidRDefault="00606BB4" w:rsidP="006432BE">
            <w:pPr>
              <w:spacing w:after="120"/>
              <w:rPr>
                <w:sz w:val="19"/>
                <w:highlight w:val="yellow"/>
              </w:rPr>
            </w:pPr>
            <w:r w:rsidRPr="00B50C9F">
              <w:rPr>
                <w:rFonts w:cs="Arial"/>
                <w:sz w:val="19"/>
                <w:szCs w:val="19"/>
              </w:rPr>
              <w:t>The determination of whether</w:t>
            </w:r>
            <w:r>
              <w:rPr>
                <w:rFonts w:cs="Arial"/>
                <w:sz w:val="19"/>
                <w:szCs w:val="19"/>
              </w:rPr>
              <w:t xml:space="preserve"> the Confidential Information can be released</w:t>
            </w:r>
            <w:r w:rsidRPr="00B50C9F">
              <w:rPr>
                <w:rFonts w:cs="Arial"/>
                <w:sz w:val="19"/>
                <w:szCs w:val="19"/>
              </w:rPr>
              <w:t xml:space="preserve"> should be made by Administrative Units i</w:t>
            </w:r>
            <w:r w:rsidRPr="00A663BE">
              <w:rPr>
                <w:rFonts w:cs="Arial"/>
                <w:sz w:val="19"/>
                <w:szCs w:val="19"/>
              </w:rPr>
              <w:t xml:space="preserve">n conjunction with their Program </w:t>
            </w:r>
            <w:r w:rsidRPr="00F16CB4">
              <w:rPr>
                <w:rFonts w:cs="Arial"/>
                <w:sz w:val="19"/>
                <w:szCs w:val="19"/>
              </w:rPr>
              <w:t>Attorney, with assistance from PDCO as needed.</w:t>
            </w:r>
            <w:r>
              <w:rPr>
                <w:rFonts w:cs="Arial"/>
                <w:sz w:val="19"/>
                <w:szCs w:val="19"/>
              </w:rPr>
              <w:t xml:space="preserve"> Administrative Units and their Program Attorneys may develop standard operating procedures for recurring requests such that Program Attorney consultation is not needed.</w:t>
            </w:r>
          </w:p>
        </w:tc>
      </w:tr>
      <w:tr w:rsidR="00606BB4" w:rsidRPr="001A3BF3" w14:paraId="7DFC44D9" w14:textId="77777777" w:rsidTr="00AD2EC4">
        <w:trPr>
          <w:cantSplit/>
          <w:trHeight w:val="951"/>
        </w:trPr>
        <w:tc>
          <w:tcPr>
            <w:tcW w:w="2610" w:type="dxa"/>
            <w:tcMar>
              <w:top w:w="29" w:type="dxa"/>
              <w:left w:w="115" w:type="dxa"/>
              <w:right w:w="115" w:type="dxa"/>
            </w:tcMar>
          </w:tcPr>
          <w:p w14:paraId="729A3E75" w14:textId="77777777" w:rsidR="00606BB4" w:rsidRPr="001A3BF3" w:rsidRDefault="00606BB4" w:rsidP="00181F50">
            <w:pPr>
              <w:jc w:val="left"/>
              <w:rPr>
                <w:rFonts w:cs="Arial"/>
                <w:sz w:val="19"/>
                <w:szCs w:val="19"/>
              </w:rPr>
            </w:pPr>
            <w:r>
              <w:rPr>
                <w:rFonts w:cs="Arial"/>
                <w:sz w:val="19"/>
                <w:szCs w:val="19"/>
              </w:rPr>
              <w:t>Law Enforcement Agency (from any jurisdiction)</w:t>
            </w:r>
          </w:p>
        </w:tc>
        <w:tc>
          <w:tcPr>
            <w:tcW w:w="7327" w:type="dxa"/>
            <w:tcMar>
              <w:top w:w="29" w:type="dxa"/>
              <w:left w:w="115" w:type="dxa"/>
              <w:right w:w="115" w:type="dxa"/>
            </w:tcMar>
          </w:tcPr>
          <w:p w14:paraId="225B045E" w14:textId="77777777" w:rsidR="00606BB4" w:rsidRDefault="00606BB4" w:rsidP="00341B14">
            <w:pPr>
              <w:rPr>
                <w:rFonts w:cs="Arial"/>
                <w:sz w:val="19"/>
                <w:szCs w:val="19"/>
              </w:rPr>
            </w:pPr>
            <w:r>
              <w:rPr>
                <w:rFonts w:cs="Arial"/>
                <w:sz w:val="19"/>
                <w:szCs w:val="19"/>
              </w:rPr>
              <w:t>See Procedure 5 (Subpoenas and Court Orders).</w:t>
            </w:r>
          </w:p>
          <w:p w14:paraId="18C3595A" w14:textId="77777777" w:rsidR="00606BB4" w:rsidRDefault="00606BB4" w:rsidP="00341B14">
            <w:pPr>
              <w:rPr>
                <w:rFonts w:cs="Arial"/>
                <w:sz w:val="19"/>
                <w:szCs w:val="19"/>
              </w:rPr>
            </w:pPr>
          </w:p>
          <w:p w14:paraId="194784F3" w14:textId="77777777" w:rsidR="00606BB4" w:rsidRDefault="00606BB4" w:rsidP="00341B14">
            <w:pPr>
              <w:rPr>
                <w:rFonts w:cs="Arial"/>
                <w:sz w:val="19"/>
                <w:szCs w:val="19"/>
              </w:rPr>
            </w:pPr>
            <w:r w:rsidRPr="00DD6617">
              <w:rPr>
                <w:rFonts w:cs="Arial"/>
                <w:sz w:val="19"/>
                <w:szCs w:val="19"/>
                <w:u w:val="single"/>
              </w:rPr>
              <w:t>Note</w:t>
            </w:r>
            <w:r>
              <w:rPr>
                <w:rFonts w:cs="Arial"/>
                <w:sz w:val="19"/>
                <w:szCs w:val="19"/>
              </w:rPr>
              <w:t xml:space="preserve">: Confidential Information should not be released to a law enforcement agency without a valid subpoena or court order.* </w:t>
            </w:r>
          </w:p>
          <w:p w14:paraId="67C41B0B" w14:textId="77777777" w:rsidR="00606BB4" w:rsidRDefault="00606BB4" w:rsidP="00341B14">
            <w:pPr>
              <w:rPr>
                <w:rFonts w:cs="Arial"/>
                <w:sz w:val="19"/>
                <w:szCs w:val="19"/>
              </w:rPr>
            </w:pPr>
          </w:p>
          <w:p w14:paraId="694E5ABF" w14:textId="77777777" w:rsidR="00606BB4" w:rsidRPr="001A3BF3" w:rsidRDefault="00606BB4" w:rsidP="00341B14">
            <w:pPr>
              <w:rPr>
                <w:rFonts w:cs="Arial"/>
                <w:sz w:val="19"/>
                <w:szCs w:val="19"/>
              </w:rPr>
            </w:pPr>
            <w:r>
              <w:rPr>
                <w:rFonts w:cs="Arial"/>
                <w:sz w:val="19"/>
                <w:szCs w:val="19"/>
              </w:rPr>
              <w:t xml:space="preserve">*Prior to the release of any Confidential Information that includes substance use disorder information, Administrative Units should consult their Program Attorney, </w:t>
            </w:r>
            <w:r w:rsidRPr="00F16CB4">
              <w:rPr>
                <w:rFonts w:cs="Arial"/>
                <w:sz w:val="19"/>
                <w:szCs w:val="19"/>
              </w:rPr>
              <w:t>with assistance from PDCO as needed</w:t>
            </w:r>
            <w:r>
              <w:rPr>
                <w:rFonts w:cs="Arial"/>
                <w:sz w:val="19"/>
                <w:szCs w:val="19"/>
              </w:rPr>
              <w:t>.</w:t>
            </w:r>
          </w:p>
        </w:tc>
      </w:tr>
      <w:tr w:rsidR="00606BB4" w:rsidRPr="001A3BF3" w14:paraId="0490CA55" w14:textId="77777777" w:rsidTr="00AD2EC4">
        <w:trPr>
          <w:cantSplit/>
          <w:trHeight w:val="951"/>
        </w:trPr>
        <w:tc>
          <w:tcPr>
            <w:tcW w:w="2610" w:type="dxa"/>
            <w:tcMar>
              <w:top w:w="29" w:type="dxa"/>
              <w:left w:w="115" w:type="dxa"/>
              <w:right w:w="115" w:type="dxa"/>
            </w:tcMar>
          </w:tcPr>
          <w:p w14:paraId="51EA3583" w14:textId="77777777" w:rsidR="00606BB4" w:rsidRPr="001A3BF3" w:rsidRDefault="00606BB4" w:rsidP="00181F50">
            <w:pPr>
              <w:jc w:val="left"/>
              <w:rPr>
                <w:rFonts w:cs="Arial"/>
                <w:sz w:val="19"/>
                <w:szCs w:val="19"/>
              </w:rPr>
            </w:pPr>
            <w:r>
              <w:rPr>
                <w:rFonts w:cs="Arial"/>
                <w:sz w:val="19"/>
                <w:szCs w:val="19"/>
              </w:rPr>
              <w:t>Prison, Correctional Institute, or Custody Agency (from any jurisdiction)</w:t>
            </w:r>
          </w:p>
        </w:tc>
        <w:tc>
          <w:tcPr>
            <w:tcW w:w="7327" w:type="dxa"/>
            <w:tcMar>
              <w:top w:w="29" w:type="dxa"/>
              <w:left w:w="115" w:type="dxa"/>
              <w:right w:w="115" w:type="dxa"/>
            </w:tcMar>
          </w:tcPr>
          <w:p w14:paraId="2113C606" w14:textId="77777777" w:rsidR="00606BB4" w:rsidRPr="000A265D" w:rsidRDefault="00606BB4">
            <w:pPr>
              <w:numPr>
                <w:ilvl w:val="0"/>
                <w:numId w:val="175"/>
              </w:numPr>
              <w:spacing w:after="120"/>
              <w:ind w:left="519" w:hanging="274"/>
              <w:jc w:val="left"/>
              <w:rPr>
                <w:rFonts w:cs="Arial"/>
                <w:sz w:val="19"/>
                <w:szCs w:val="19"/>
              </w:rPr>
            </w:pPr>
            <w:r w:rsidRPr="000A265D">
              <w:rPr>
                <w:rFonts w:cs="Arial"/>
                <w:sz w:val="19"/>
                <w:szCs w:val="19"/>
              </w:rPr>
              <w:t>If there is a Subpoena or Court Order, see Procedure 5 (Subpoenas and Court Orders).</w:t>
            </w:r>
          </w:p>
          <w:p w14:paraId="0EA08915" w14:textId="77777777" w:rsidR="00606BB4" w:rsidRPr="00167C2D" w:rsidRDefault="00606BB4" w:rsidP="00E579C2">
            <w:pPr>
              <w:spacing w:after="120"/>
              <w:ind w:left="519" w:hanging="274"/>
              <w:rPr>
                <w:rFonts w:cs="Arial"/>
                <w:b/>
                <w:bCs/>
                <w:sz w:val="19"/>
                <w:szCs w:val="19"/>
              </w:rPr>
            </w:pPr>
            <w:r w:rsidRPr="00167C2D">
              <w:rPr>
                <w:rFonts w:cs="Arial"/>
                <w:b/>
                <w:bCs/>
                <w:sz w:val="19"/>
                <w:szCs w:val="19"/>
              </w:rPr>
              <w:t>OR</w:t>
            </w:r>
          </w:p>
          <w:p w14:paraId="3FB7A73F" w14:textId="77777777" w:rsidR="00606BB4" w:rsidRPr="000A265D" w:rsidRDefault="00606BB4">
            <w:pPr>
              <w:numPr>
                <w:ilvl w:val="0"/>
                <w:numId w:val="175"/>
              </w:numPr>
              <w:spacing w:after="120"/>
              <w:ind w:left="519" w:hanging="274"/>
              <w:jc w:val="left"/>
              <w:rPr>
                <w:rFonts w:cs="Arial"/>
                <w:sz w:val="19"/>
                <w:szCs w:val="19"/>
              </w:rPr>
            </w:pPr>
            <w:r w:rsidRPr="000A265D">
              <w:rPr>
                <w:rFonts w:cs="Arial"/>
                <w:sz w:val="19"/>
                <w:szCs w:val="19"/>
              </w:rPr>
              <w:t xml:space="preserve">Written Authorization in compliance with Part V of this Procedure from the Data Subject (i.e., release that the facility has permission to access the Confidential Information). If the request is from a third party provider of the facility, such as a healthcare provider, the request should also include a statement from the provider of their relationship to the facility (e.g., a contracted provider). A </w:t>
            </w:r>
            <w:r>
              <w:rPr>
                <w:rFonts w:cs="Arial"/>
                <w:sz w:val="19"/>
                <w:szCs w:val="19"/>
              </w:rPr>
              <w:t>W</w:t>
            </w:r>
            <w:r w:rsidRPr="000A265D">
              <w:rPr>
                <w:rFonts w:cs="Arial"/>
                <w:sz w:val="19"/>
                <w:szCs w:val="19"/>
              </w:rPr>
              <w:t xml:space="preserve">orkforce </w:t>
            </w:r>
            <w:r>
              <w:rPr>
                <w:rFonts w:cs="Arial"/>
                <w:sz w:val="19"/>
                <w:szCs w:val="19"/>
              </w:rPr>
              <w:t>M</w:t>
            </w:r>
            <w:r w:rsidRPr="000A265D">
              <w:rPr>
                <w:rFonts w:cs="Arial"/>
                <w:sz w:val="19"/>
                <w:szCs w:val="19"/>
              </w:rPr>
              <w:t xml:space="preserve">ember should use reasonable judgement when confirming the relationship of the third party provider. For example, if reasonable under the circumstances, a </w:t>
            </w:r>
            <w:r>
              <w:rPr>
                <w:rFonts w:cs="Arial"/>
                <w:sz w:val="19"/>
                <w:szCs w:val="19"/>
              </w:rPr>
              <w:t>W</w:t>
            </w:r>
            <w:r w:rsidRPr="000A265D">
              <w:rPr>
                <w:rFonts w:cs="Arial"/>
                <w:sz w:val="19"/>
                <w:szCs w:val="19"/>
              </w:rPr>
              <w:t xml:space="preserve">orkforce </w:t>
            </w:r>
            <w:r>
              <w:rPr>
                <w:rFonts w:cs="Arial"/>
                <w:sz w:val="19"/>
                <w:szCs w:val="19"/>
              </w:rPr>
              <w:t>M</w:t>
            </w:r>
            <w:r w:rsidRPr="000A265D">
              <w:rPr>
                <w:rFonts w:cs="Arial"/>
                <w:sz w:val="19"/>
                <w:szCs w:val="19"/>
              </w:rPr>
              <w:t xml:space="preserve">ember may rely on documents, statements, or representations that on their face meet the applicable requirements. </w:t>
            </w:r>
          </w:p>
          <w:p w14:paraId="0397F3B5" w14:textId="77777777" w:rsidR="00606BB4" w:rsidRPr="00167C2D" w:rsidRDefault="00606BB4" w:rsidP="00E579C2">
            <w:pPr>
              <w:spacing w:after="120"/>
              <w:ind w:left="519" w:hanging="274"/>
              <w:rPr>
                <w:rFonts w:cs="Arial"/>
                <w:b/>
                <w:bCs/>
                <w:sz w:val="19"/>
                <w:szCs w:val="19"/>
              </w:rPr>
            </w:pPr>
            <w:r w:rsidRPr="00167C2D">
              <w:rPr>
                <w:rFonts w:cs="Arial"/>
                <w:b/>
                <w:bCs/>
                <w:sz w:val="19"/>
                <w:szCs w:val="19"/>
              </w:rPr>
              <w:t>OR</w:t>
            </w:r>
          </w:p>
          <w:p w14:paraId="776D15BB" w14:textId="77777777" w:rsidR="00606BB4" w:rsidRPr="00B60C93" w:rsidRDefault="00606BB4">
            <w:pPr>
              <w:numPr>
                <w:ilvl w:val="0"/>
                <w:numId w:val="175"/>
              </w:numPr>
              <w:spacing w:after="120"/>
              <w:ind w:left="519" w:hanging="274"/>
              <w:jc w:val="left"/>
              <w:rPr>
                <w:rFonts w:cs="Arial"/>
                <w:sz w:val="19"/>
                <w:szCs w:val="19"/>
              </w:rPr>
            </w:pPr>
            <w:r w:rsidRPr="000A265D">
              <w:rPr>
                <w:rFonts w:cs="Arial"/>
                <w:sz w:val="19"/>
                <w:szCs w:val="19"/>
              </w:rPr>
              <w:t>When necessary for Commonwealth</w:t>
            </w:r>
            <w:r>
              <w:rPr>
                <w:rFonts w:cs="Arial"/>
                <w:sz w:val="19"/>
                <w:szCs w:val="19"/>
              </w:rPr>
              <w:t>’</w:t>
            </w:r>
            <w:r w:rsidRPr="000A265D">
              <w:rPr>
                <w:rFonts w:cs="Arial"/>
                <w:sz w:val="19"/>
                <w:szCs w:val="19"/>
              </w:rPr>
              <w:t>s or local jurisdiction</w:t>
            </w:r>
            <w:r>
              <w:rPr>
                <w:rFonts w:cs="Arial"/>
                <w:sz w:val="19"/>
                <w:szCs w:val="19"/>
              </w:rPr>
              <w:t>’</w:t>
            </w:r>
            <w:r w:rsidRPr="000A265D">
              <w:rPr>
                <w:rFonts w:cs="Arial"/>
                <w:sz w:val="19"/>
                <w:szCs w:val="19"/>
              </w:rPr>
              <w:t>s disease investigation, control, treatment</w:t>
            </w:r>
            <w:r>
              <w:rPr>
                <w:rFonts w:cs="Arial"/>
                <w:sz w:val="19"/>
                <w:szCs w:val="19"/>
              </w:rPr>
              <w:t>,</w:t>
            </w:r>
            <w:r w:rsidRPr="000A265D">
              <w:rPr>
                <w:rFonts w:cs="Arial"/>
                <w:sz w:val="19"/>
                <w:szCs w:val="19"/>
              </w:rPr>
              <w:t xml:space="preserve"> and prevention purposes (</w:t>
            </w:r>
            <w:r>
              <w:rPr>
                <w:rFonts w:cs="Arial"/>
                <w:sz w:val="19"/>
                <w:szCs w:val="19"/>
              </w:rPr>
              <w:t xml:space="preserve">e.g., a </w:t>
            </w:r>
            <w:r w:rsidRPr="000A265D">
              <w:rPr>
                <w:rFonts w:cs="Arial"/>
                <w:sz w:val="19"/>
                <w:szCs w:val="19"/>
              </w:rPr>
              <w:t>public health necessity). The determination of whether the Confidential Information can be released should be made by Administrative Units in conjunction with their Program Attorney, with assistance from PDCO</w:t>
            </w:r>
            <w:r>
              <w:rPr>
                <w:rFonts w:cs="Arial"/>
                <w:sz w:val="19"/>
                <w:szCs w:val="19"/>
              </w:rPr>
              <w:t xml:space="preserve">, </w:t>
            </w:r>
            <w:r w:rsidRPr="000A265D">
              <w:rPr>
                <w:rFonts w:cs="Arial"/>
                <w:sz w:val="19"/>
                <w:szCs w:val="19"/>
              </w:rPr>
              <w:t xml:space="preserve">Administrative </w:t>
            </w:r>
            <w:r w:rsidRPr="00B60C93">
              <w:rPr>
                <w:rFonts w:cs="Arial"/>
                <w:sz w:val="19"/>
                <w:szCs w:val="19"/>
              </w:rPr>
              <w:t>Unit leadership, and/or the Commissioner’s Office, as needed. Administrative Units</w:t>
            </w:r>
            <w:r w:rsidRPr="00A9666B">
              <w:rPr>
                <w:rFonts w:cs="Arial"/>
                <w:sz w:val="19"/>
                <w:szCs w:val="19"/>
              </w:rPr>
              <w:t xml:space="preserve">, in conjunction with </w:t>
            </w:r>
            <w:r w:rsidRPr="00B60C93">
              <w:rPr>
                <w:rFonts w:cs="Arial"/>
                <w:sz w:val="19"/>
                <w:szCs w:val="19"/>
              </w:rPr>
              <w:t>their Program Attorney</w:t>
            </w:r>
            <w:r w:rsidRPr="00A9666B">
              <w:rPr>
                <w:rFonts w:cs="Arial"/>
                <w:sz w:val="19"/>
                <w:szCs w:val="19"/>
              </w:rPr>
              <w:t xml:space="preserve"> and others as needed,</w:t>
            </w:r>
            <w:r w:rsidRPr="00B60C93">
              <w:rPr>
                <w:rFonts w:cs="Arial"/>
                <w:sz w:val="19"/>
                <w:szCs w:val="19"/>
              </w:rPr>
              <w:t xml:space="preserve"> may develop standard operating procedures for recurring requests.</w:t>
            </w:r>
          </w:p>
          <w:p w14:paraId="2EE7A2DE" w14:textId="77777777" w:rsidR="00606BB4" w:rsidRPr="002151FE" w:rsidRDefault="00606BB4" w:rsidP="00E579C2">
            <w:pPr>
              <w:spacing w:after="120"/>
              <w:ind w:left="519" w:hanging="274"/>
              <w:rPr>
                <w:rFonts w:cs="Arial"/>
                <w:b/>
                <w:bCs/>
                <w:sz w:val="19"/>
                <w:szCs w:val="19"/>
              </w:rPr>
            </w:pPr>
            <w:r w:rsidRPr="002151FE">
              <w:rPr>
                <w:rFonts w:cs="Arial"/>
                <w:b/>
                <w:bCs/>
                <w:sz w:val="19"/>
                <w:szCs w:val="19"/>
              </w:rPr>
              <w:t>OR</w:t>
            </w:r>
          </w:p>
          <w:p w14:paraId="075FE2E9" w14:textId="77777777" w:rsidR="00606BB4" w:rsidRPr="00804176" w:rsidRDefault="00606BB4">
            <w:pPr>
              <w:numPr>
                <w:ilvl w:val="0"/>
                <w:numId w:val="175"/>
              </w:numPr>
              <w:spacing w:after="120"/>
              <w:ind w:left="519" w:hanging="274"/>
              <w:jc w:val="left"/>
              <w:rPr>
                <w:rFonts w:cs="Arial"/>
                <w:sz w:val="19"/>
                <w:szCs w:val="19"/>
              </w:rPr>
            </w:pPr>
            <w:r w:rsidRPr="000A265D">
              <w:rPr>
                <w:rFonts w:cs="Arial"/>
                <w:sz w:val="19"/>
                <w:szCs w:val="19"/>
              </w:rPr>
              <w:t xml:space="preserve">If, in connection with the official having lawful custody of the individual, the information is needed to provide health care to the individual; for the health and safety of the individual, other inmates, officers or employees of or others at a correctional institution or responsible for the transporting or transferring inmates; or for the administration and maintenance of the safety, security, and good order of the correctional facility, including law enforcement on the premises of the facility. </w:t>
            </w:r>
            <w:r>
              <w:rPr>
                <w:rFonts w:cs="Arial"/>
                <w:sz w:val="19"/>
                <w:szCs w:val="19"/>
              </w:rPr>
              <w:t xml:space="preserve">This request should be made by an officer of the facility, and include a justification or rationale for the request. </w:t>
            </w:r>
            <w:r w:rsidRPr="000A265D">
              <w:rPr>
                <w:rFonts w:cs="Arial"/>
                <w:sz w:val="19"/>
                <w:szCs w:val="19"/>
              </w:rPr>
              <w:t>The determination of whether the Confidential Information can be released should be made by Administrative Unit</w:t>
            </w:r>
            <w:r>
              <w:rPr>
                <w:rFonts w:cs="Arial"/>
                <w:sz w:val="19"/>
                <w:szCs w:val="19"/>
              </w:rPr>
              <w:t xml:space="preserve"> leadership</w:t>
            </w:r>
            <w:r w:rsidRPr="000A265D">
              <w:rPr>
                <w:rFonts w:cs="Arial"/>
                <w:sz w:val="19"/>
                <w:szCs w:val="19"/>
              </w:rPr>
              <w:t xml:space="preserve"> in conjunction with their Program Attorney, </w:t>
            </w:r>
            <w:r>
              <w:rPr>
                <w:rFonts w:cs="Arial"/>
                <w:sz w:val="19"/>
                <w:szCs w:val="19"/>
              </w:rPr>
              <w:t>the General Counsel, PDCO, and the Commissioner’s Office</w:t>
            </w:r>
            <w:r w:rsidRPr="000A265D">
              <w:rPr>
                <w:rFonts w:cs="Arial"/>
                <w:sz w:val="19"/>
                <w:szCs w:val="19"/>
              </w:rPr>
              <w:t>.</w:t>
            </w:r>
            <w:r>
              <w:rPr>
                <w:rFonts w:cs="Arial"/>
                <w:sz w:val="19"/>
                <w:szCs w:val="19"/>
              </w:rPr>
              <w:t xml:space="preserve"> </w:t>
            </w:r>
            <w:r w:rsidRPr="000A265D">
              <w:rPr>
                <w:rFonts w:cs="Arial"/>
                <w:sz w:val="19"/>
                <w:szCs w:val="19"/>
              </w:rPr>
              <w:t>Administrative Units</w:t>
            </w:r>
            <w:r>
              <w:rPr>
                <w:rFonts w:cs="Arial"/>
                <w:sz w:val="19"/>
                <w:szCs w:val="19"/>
              </w:rPr>
              <w:t>,</w:t>
            </w:r>
            <w:r w:rsidRPr="000A265D">
              <w:rPr>
                <w:rFonts w:cs="Arial"/>
                <w:sz w:val="19"/>
                <w:szCs w:val="19"/>
              </w:rPr>
              <w:t xml:space="preserve"> in conjunction with their Program Attorney</w:t>
            </w:r>
            <w:r>
              <w:rPr>
                <w:rFonts w:cs="Arial"/>
                <w:sz w:val="19"/>
                <w:szCs w:val="19"/>
              </w:rPr>
              <w:t xml:space="preserve"> and others as needed,</w:t>
            </w:r>
            <w:r w:rsidRPr="000A265D">
              <w:rPr>
                <w:rFonts w:cs="Arial"/>
                <w:sz w:val="19"/>
                <w:szCs w:val="19"/>
              </w:rPr>
              <w:t xml:space="preserve"> may develop standard operati</w:t>
            </w:r>
            <w:r>
              <w:rPr>
                <w:rFonts w:cs="Arial"/>
                <w:sz w:val="19"/>
                <w:szCs w:val="19"/>
              </w:rPr>
              <w:t>ng</w:t>
            </w:r>
            <w:r w:rsidRPr="000A265D">
              <w:rPr>
                <w:rFonts w:cs="Arial"/>
                <w:sz w:val="19"/>
                <w:szCs w:val="19"/>
              </w:rPr>
              <w:t xml:space="preserve"> procedures for recurring requests</w:t>
            </w:r>
            <w:r>
              <w:rPr>
                <w:rFonts w:cs="Arial"/>
                <w:sz w:val="19"/>
                <w:szCs w:val="19"/>
              </w:rPr>
              <w:t>.</w:t>
            </w:r>
          </w:p>
        </w:tc>
      </w:tr>
      <w:tr w:rsidR="00606BB4" w:rsidRPr="001A3BF3" w14:paraId="645B98CE" w14:textId="77777777" w:rsidTr="00AD2EC4">
        <w:trPr>
          <w:cantSplit/>
          <w:trHeight w:val="951"/>
        </w:trPr>
        <w:tc>
          <w:tcPr>
            <w:tcW w:w="2610" w:type="dxa"/>
            <w:tcMar>
              <w:top w:w="29" w:type="dxa"/>
              <w:left w:w="115" w:type="dxa"/>
              <w:right w:w="115" w:type="dxa"/>
            </w:tcMar>
          </w:tcPr>
          <w:p w14:paraId="41AECF82" w14:textId="77777777" w:rsidR="00606BB4" w:rsidRPr="001A3BF3" w:rsidRDefault="00606BB4" w:rsidP="00181F50">
            <w:pPr>
              <w:jc w:val="left"/>
              <w:rPr>
                <w:rFonts w:cs="Arial"/>
                <w:sz w:val="19"/>
                <w:szCs w:val="19"/>
              </w:rPr>
            </w:pPr>
            <w:r w:rsidRPr="001A3BF3">
              <w:rPr>
                <w:rFonts w:cs="Arial"/>
                <w:sz w:val="19"/>
                <w:szCs w:val="19"/>
              </w:rPr>
              <w:t>Health Care Agent</w:t>
            </w:r>
            <w:r>
              <w:rPr>
                <w:rFonts w:cs="Arial"/>
                <w:sz w:val="19"/>
                <w:szCs w:val="19"/>
              </w:rPr>
              <w:t xml:space="preserve"> (as designated by a Health Care Proxy)</w:t>
            </w:r>
          </w:p>
        </w:tc>
        <w:tc>
          <w:tcPr>
            <w:tcW w:w="7327" w:type="dxa"/>
            <w:tcMar>
              <w:top w:w="29" w:type="dxa"/>
              <w:left w:w="115" w:type="dxa"/>
              <w:right w:w="115" w:type="dxa"/>
            </w:tcMar>
          </w:tcPr>
          <w:p w14:paraId="6A5B83A4" w14:textId="77777777" w:rsidR="00606BB4" w:rsidRPr="00DD6617" w:rsidRDefault="00606BB4">
            <w:pPr>
              <w:numPr>
                <w:ilvl w:val="0"/>
                <w:numId w:val="167"/>
              </w:numPr>
              <w:spacing w:after="120"/>
              <w:ind w:left="515" w:hanging="270"/>
              <w:jc w:val="left"/>
              <w:rPr>
                <w:rFonts w:cs="Arial"/>
                <w:sz w:val="19"/>
                <w:szCs w:val="19"/>
              </w:rPr>
            </w:pPr>
            <w:r w:rsidRPr="001A3BF3">
              <w:rPr>
                <w:rFonts w:cs="Arial"/>
                <w:sz w:val="19"/>
                <w:szCs w:val="19"/>
              </w:rPr>
              <w:t xml:space="preserve">Copy of the Health Care Proxy signed by the </w:t>
            </w:r>
            <w:r>
              <w:rPr>
                <w:rFonts w:cs="Arial"/>
                <w:sz w:val="19"/>
                <w:szCs w:val="19"/>
              </w:rPr>
              <w:t>D</w:t>
            </w:r>
            <w:r w:rsidRPr="001A3BF3">
              <w:rPr>
                <w:rFonts w:cs="Arial"/>
                <w:sz w:val="19"/>
                <w:szCs w:val="19"/>
              </w:rPr>
              <w:t xml:space="preserve">ata </w:t>
            </w:r>
            <w:r>
              <w:rPr>
                <w:rFonts w:cs="Arial"/>
                <w:sz w:val="19"/>
                <w:szCs w:val="19"/>
              </w:rPr>
              <w:t>S</w:t>
            </w:r>
            <w:r w:rsidRPr="001A3BF3">
              <w:rPr>
                <w:rFonts w:cs="Arial"/>
                <w:sz w:val="19"/>
                <w:szCs w:val="19"/>
              </w:rPr>
              <w:t>ubject</w:t>
            </w:r>
            <w:r>
              <w:rPr>
                <w:rFonts w:cs="Arial"/>
                <w:sz w:val="19"/>
                <w:szCs w:val="19"/>
              </w:rPr>
              <w:t>.</w:t>
            </w:r>
            <w:r w:rsidRPr="001A3BF3">
              <w:rPr>
                <w:rFonts w:cs="Arial"/>
                <w:sz w:val="19"/>
                <w:szCs w:val="19"/>
              </w:rPr>
              <w:t xml:space="preserve"> </w:t>
            </w:r>
          </w:p>
          <w:p w14:paraId="53D62D7A" w14:textId="77777777" w:rsidR="00606BB4" w:rsidRPr="00DD6617" w:rsidRDefault="00606BB4" w:rsidP="00E579C2">
            <w:pPr>
              <w:spacing w:after="120"/>
              <w:ind w:left="515" w:hanging="270"/>
              <w:rPr>
                <w:rFonts w:cs="Arial"/>
                <w:b/>
                <w:bCs/>
                <w:sz w:val="19"/>
                <w:szCs w:val="19"/>
                <w:u w:val="single"/>
              </w:rPr>
            </w:pPr>
            <w:r w:rsidRPr="00DD6617">
              <w:rPr>
                <w:rFonts w:cs="Arial"/>
                <w:b/>
                <w:bCs/>
                <w:sz w:val="19"/>
                <w:szCs w:val="19"/>
                <w:u w:val="single"/>
              </w:rPr>
              <w:t>AND</w:t>
            </w:r>
          </w:p>
          <w:p w14:paraId="5A9B87AC" w14:textId="77777777" w:rsidR="00606BB4" w:rsidRDefault="00606BB4">
            <w:pPr>
              <w:numPr>
                <w:ilvl w:val="0"/>
                <w:numId w:val="167"/>
              </w:numPr>
              <w:spacing w:after="120"/>
              <w:ind w:left="515" w:hanging="270"/>
              <w:jc w:val="left"/>
              <w:rPr>
                <w:rFonts w:cs="Arial"/>
                <w:sz w:val="19"/>
                <w:szCs w:val="19"/>
              </w:rPr>
            </w:pPr>
            <w:r>
              <w:rPr>
                <w:rFonts w:cs="Arial"/>
                <w:sz w:val="19"/>
                <w:szCs w:val="19"/>
              </w:rPr>
              <w:t>D</w:t>
            </w:r>
            <w:r w:rsidRPr="001A3BF3">
              <w:rPr>
                <w:rFonts w:cs="Arial"/>
                <w:sz w:val="19"/>
                <w:szCs w:val="19"/>
              </w:rPr>
              <w:t>ocumentation</w:t>
            </w:r>
            <w:r>
              <w:rPr>
                <w:rFonts w:cs="Arial"/>
                <w:sz w:val="19"/>
                <w:szCs w:val="19"/>
              </w:rPr>
              <w:t xml:space="preserve"> that the Data Subject is incapacitated </w:t>
            </w:r>
            <w:r w:rsidRPr="006471D1">
              <w:rPr>
                <w:sz w:val="19"/>
              </w:rPr>
              <w:t>and</w:t>
            </w:r>
            <w:r>
              <w:rPr>
                <w:rFonts w:cs="Arial"/>
                <w:sz w:val="19"/>
                <w:szCs w:val="19"/>
              </w:rPr>
              <w:t xml:space="preserve"> the Health Care Proxy has been activated. </w:t>
            </w:r>
          </w:p>
          <w:p w14:paraId="1BB0AFF9" w14:textId="77777777" w:rsidR="00606BB4" w:rsidRPr="00DD6617" w:rsidRDefault="00606BB4" w:rsidP="00E579C2">
            <w:pPr>
              <w:spacing w:after="120"/>
              <w:rPr>
                <w:rFonts w:cs="Arial"/>
                <w:sz w:val="19"/>
                <w:szCs w:val="19"/>
              </w:rPr>
            </w:pPr>
            <w:r w:rsidRPr="00DD6617">
              <w:rPr>
                <w:rFonts w:cs="Arial"/>
                <w:sz w:val="19"/>
                <w:szCs w:val="19"/>
                <w:u w:val="single"/>
              </w:rPr>
              <w:t>Note</w:t>
            </w:r>
            <w:r w:rsidRPr="00DD6617">
              <w:rPr>
                <w:rFonts w:cs="Arial"/>
                <w:sz w:val="19"/>
                <w:szCs w:val="19"/>
              </w:rPr>
              <w:t xml:space="preserve">: </w:t>
            </w:r>
            <w:r>
              <w:rPr>
                <w:rFonts w:cs="Arial"/>
                <w:sz w:val="19"/>
                <w:szCs w:val="19"/>
              </w:rPr>
              <w:t xml:space="preserve">The Health Care Proxy alone </w:t>
            </w:r>
            <w:r w:rsidRPr="00DD6617">
              <w:rPr>
                <w:rFonts w:cs="Arial"/>
                <w:sz w:val="19"/>
                <w:szCs w:val="19"/>
              </w:rPr>
              <w:t>is insufficient authority.</w:t>
            </w:r>
          </w:p>
        </w:tc>
      </w:tr>
      <w:tr w:rsidR="00606BB4" w:rsidRPr="001A3BF3" w14:paraId="606CBCED" w14:textId="77777777" w:rsidTr="00AD2EC4">
        <w:trPr>
          <w:cantSplit/>
          <w:trHeight w:val="1212"/>
        </w:trPr>
        <w:tc>
          <w:tcPr>
            <w:tcW w:w="2610" w:type="dxa"/>
            <w:tcMar>
              <w:top w:w="29" w:type="dxa"/>
              <w:left w:w="115" w:type="dxa"/>
              <w:right w:w="115" w:type="dxa"/>
            </w:tcMar>
          </w:tcPr>
          <w:p w14:paraId="2901FD44" w14:textId="77777777" w:rsidR="00606BB4" w:rsidRPr="001A3BF3" w:rsidRDefault="00606BB4" w:rsidP="00181F50">
            <w:pPr>
              <w:jc w:val="left"/>
              <w:rPr>
                <w:rFonts w:cs="Arial"/>
                <w:sz w:val="19"/>
                <w:szCs w:val="19"/>
              </w:rPr>
            </w:pPr>
            <w:r w:rsidRPr="001A3BF3">
              <w:rPr>
                <w:rFonts w:cs="Arial"/>
                <w:sz w:val="19"/>
                <w:szCs w:val="19"/>
              </w:rPr>
              <w:t>Requests from third parties, e.g., spouse, relative, friend, or other person</w:t>
            </w:r>
            <w:r>
              <w:rPr>
                <w:rFonts w:cs="Arial"/>
                <w:sz w:val="19"/>
                <w:szCs w:val="19"/>
              </w:rPr>
              <w:t>,</w:t>
            </w:r>
            <w:r w:rsidRPr="001A3BF3">
              <w:rPr>
                <w:rFonts w:cs="Arial"/>
                <w:sz w:val="19"/>
                <w:szCs w:val="19"/>
              </w:rPr>
              <w:t xml:space="preserve"> </w:t>
            </w:r>
            <w:r w:rsidRPr="005D1AE8">
              <w:rPr>
                <w:rFonts w:cs="Arial"/>
                <w:sz w:val="19"/>
                <w:szCs w:val="19"/>
                <w:u w:val="single"/>
              </w:rPr>
              <w:t>when the Data Subject is pre</w:t>
            </w:r>
            <w:r w:rsidRPr="008F77F5">
              <w:rPr>
                <w:rFonts w:cs="Arial"/>
                <w:sz w:val="19"/>
                <w:szCs w:val="19"/>
                <w:u w:val="single"/>
              </w:rPr>
              <w:t>sent and consenting</w:t>
            </w:r>
            <w:r w:rsidRPr="00D20CBA">
              <w:rPr>
                <w:rFonts w:cs="Arial"/>
                <w:sz w:val="19"/>
                <w:szCs w:val="19"/>
              </w:rPr>
              <w:t xml:space="preserve"> </w:t>
            </w:r>
          </w:p>
        </w:tc>
        <w:tc>
          <w:tcPr>
            <w:tcW w:w="7327" w:type="dxa"/>
            <w:tcMar>
              <w:top w:w="29" w:type="dxa"/>
              <w:left w:w="115" w:type="dxa"/>
              <w:right w:w="115" w:type="dxa"/>
            </w:tcMar>
          </w:tcPr>
          <w:p w14:paraId="4C5DD8CB" w14:textId="77777777" w:rsidR="00606BB4" w:rsidRDefault="00606BB4" w:rsidP="00A051D1">
            <w:pPr>
              <w:rPr>
                <w:rFonts w:cs="Arial"/>
                <w:sz w:val="19"/>
                <w:szCs w:val="19"/>
              </w:rPr>
            </w:pPr>
            <w:r w:rsidRPr="001A3BF3">
              <w:rPr>
                <w:rFonts w:cs="Arial"/>
                <w:sz w:val="19"/>
                <w:szCs w:val="19"/>
              </w:rPr>
              <w:t xml:space="preserve">None required. It is the same as the </w:t>
            </w:r>
            <w:r>
              <w:rPr>
                <w:rFonts w:cs="Arial"/>
                <w:sz w:val="19"/>
                <w:szCs w:val="19"/>
              </w:rPr>
              <w:t>D</w:t>
            </w:r>
            <w:r w:rsidRPr="001A3BF3">
              <w:rPr>
                <w:rFonts w:cs="Arial"/>
                <w:sz w:val="19"/>
                <w:szCs w:val="19"/>
              </w:rPr>
              <w:t xml:space="preserve">ata </w:t>
            </w:r>
            <w:r>
              <w:rPr>
                <w:rFonts w:cs="Arial"/>
                <w:sz w:val="19"/>
                <w:szCs w:val="19"/>
              </w:rPr>
              <w:t>S</w:t>
            </w:r>
            <w:r w:rsidRPr="001A3BF3">
              <w:rPr>
                <w:rFonts w:cs="Arial"/>
                <w:sz w:val="19"/>
                <w:szCs w:val="19"/>
              </w:rPr>
              <w:t xml:space="preserve">ubject above. Since the </w:t>
            </w:r>
            <w:r>
              <w:rPr>
                <w:rFonts w:cs="Arial"/>
                <w:sz w:val="19"/>
                <w:szCs w:val="19"/>
              </w:rPr>
              <w:t>D</w:t>
            </w:r>
            <w:r w:rsidRPr="001A3BF3">
              <w:rPr>
                <w:rFonts w:cs="Arial"/>
                <w:sz w:val="19"/>
                <w:szCs w:val="19"/>
              </w:rPr>
              <w:t xml:space="preserve">ata </w:t>
            </w:r>
            <w:r>
              <w:rPr>
                <w:rFonts w:cs="Arial"/>
                <w:sz w:val="19"/>
                <w:szCs w:val="19"/>
              </w:rPr>
              <w:t>S</w:t>
            </w:r>
            <w:r w:rsidRPr="001A3BF3">
              <w:rPr>
                <w:rFonts w:cs="Arial"/>
                <w:sz w:val="19"/>
                <w:szCs w:val="19"/>
              </w:rPr>
              <w:t xml:space="preserve">ubject is present and gives verbal consent for DPH to speak to or give documentation to the other individual and indicates the scope of the information, it is permissible to disclose information to the other person. This can only be done with the </w:t>
            </w:r>
            <w:r>
              <w:rPr>
                <w:rFonts w:cs="Arial"/>
                <w:sz w:val="19"/>
                <w:szCs w:val="19"/>
              </w:rPr>
              <w:t>D</w:t>
            </w:r>
            <w:r w:rsidRPr="001A3BF3">
              <w:rPr>
                <w:rFonts w:cs="Arial"/>
                <w:sz w:val="19"/>
                <w:szCs w:val="19"/>
              </w:rPr>
              <w:t xml:space="preserve">ata </w:t>
            </w:r>
            <w:r>
              <w:rPr>
                <w:rFonts w:cs="Arial"/>
                <w:sz w:val="19"/>
                <w:szCs w:val="19"/>
              </w:rPr>
              <w:t>S</w:t>
            </w:r>
            <w:r w:rsidRPr="001A3BF3">
              <w:rPr>
                <w:rFonts w:cs="Arial"/>
                <w:sz w:val="19"/>
                <w:szCs w:val="19"/>
              </w:rPr>
              <w:t xml:space="preserve">ubject present. </w:t>
            </w:r>
          </w:p>
          <w:p w14:paraId="4752BB56" w14:textId="77777777" w:rsidR="00606BB4" w:rsidRDefault="00606BB4" w:rsidP="00A051D1">
            <w:pPr>
              <w:rPr>
                <w:rFonts w:cs="Arial"/>
                <w:sz w:val="19"/>
                <w:szCs w:val="19"/>
              </w:rPr>
            </w:pPr>
          </w:p>
          <w:p w14:paraId="4BE9B90B" w14:textId="77777777" w:rsidR="00606BB4" w:rsidRPr="001A3BF3" w:rsidRDefault="00606BB4" w:rsidP="00A051D1">
            <w:pPr>
              <w:rPr>
                <w:rFonts w:cs="Arial"/>
                <w:sz w:val="19"/>
                <w:szCs w:val="19"/>
              </w:rPr>
            </w:pPr>
            <w:r w:rsidRPr="00CF616B">
              <w:rPr>
                <w:rFonts w:cs="Arial"/>
                <w:sz w:val="19"/>
                <w:szCs w:val="19"/>
              </w:rPr>
              <w:t>See Procedure 11 (Individual Data Subject Rights Related to their Confidential Information) for additional obligations.</w:t>
            </w:r>
          </w:p>
        </w:tc>
      </w:tr>
      <w:tr w:rsidR="00606BB4" w:rsidRPr="001A3BF3" w14:paraId="1E27C9AE" w14:textId="77777777" w:rsidTr="00AD2EC4">
        <w:trPr>
          <w:cantSplit/>
          <w:trHeight w:val="1140"/>
        </w:trPr>
        <w:tc>
          <w:tcPr>
            <w:tcW w:w="2610" w:type="dxa"/>
            <w:tcMar>
              <w:top w:w="29" w:type="dxa"/>
              <w:left w:w="115" w:type="dxa"/>
              <w:right w:w="115" w:type="dxa"/>
            </w:tcMar>
          </w:tcPr>
          <w:p w14:paraId="4698B972" w14:textId="77777777" w:rsidR="00606BB4" w:rsidRPr="001A3BF3" w:rsidRDefault="00606BB4" w:rsidP="00181F50">
            <w:pPr>
              <w:jc w:val="left"/>
              <w:rPr>
                <w:rFonts w:cs="Arial"/>
                <w:sz w:val="19"/>
                <w:szCs w:val="19"/>
              </w:rPr>
            </w:pPr>
            <w:r w:rsidRPr="001A3BF3">
              <w:rPr>
                <w:rFonts w:cs="Arial"/>
                <w:sz w:val="19"/>
                <w:szCs w:val="19"/>
              </w:rPr>
              <w:t>Requests from third parties, e.g., spouse, relative, friend, or other person</w:t>
            </w:r>
            <w:r w:rsidRPr="00070DE9">
              <w:rPr>
                <w:rFonts w:cs="Arial"/>
                <w:sz w:val="19"/>
                <w:szCs w:val="19"/>
              </w:rPr>
              <w:t xml:space="preserve">, </w:t>
            </w:r>
            <w:r w:rsidRPr="008F77F5">
              <w:rPr>
                <w:rFonts w:cs="Arial"/>
                <w:sz w:val="19"/>
                <w:szCs w:val="19"/>
                <w:u w:val="single"/>
              </w:rPr>
              <w:t>when the Data Subject is not present or unable to consent</w:t>
            </w:r>
          </w:p>
        </w:tc>
        <w:tc>
          <w:tcPr>
            <w:tcW w:w="7327" w:type="dxa"/>
            <w:tcMar>
              <w:top w:w="29" w:type="dxa"/>
              <w:left w:w="115" w:type="dxa"/>
              <w:right w:w="115" w:type="dxa"/>
            </w:tcMar>
          </w:tcPr>
          <w:p w14:paraId="6C0F3316" w14:textId="77777777" w:rsidR="00606BB4" w:rsidRPr="001A3BF3" w:rsidRDefault="00606BB4" w:rsidP="00A051D1">
            <w:pPr>
              <w:rPr>
                <w:rFonts w:cs="Arial"/>
                <w:sz w:val="19"/>
                <w:szCs w:val="19"/>
              </w:rPr>
            </w:pPr>
            <w:r w:rsidRPr="001A3BF3">
              <w:rPr>
                <w:rFonts w:cs="Arial"/>
                <w:sz w:val="19"/>
                <w:szCs w:val="19"/>
              </w:rPr>
              <w:t xml:space="preserve">Since the </w:t>
            </w:r>
            <w:r>
              <w:rPr>
                <w:rFonts w:cs="Arial"/>
                <w:sz w:val="19"/>
                <w:szCs w:val="19"/>
              </w:rPr>
              <w:t>D</w:t>
            </w:r>
            <w:r w:rsidRPr="001A3BF3">
              <w:rPr>
                <w:rFonts w:cs="Arial"/>
                <w:sz w:val="19"/>
                <w:szCs w:val="19"/>
              </w:rPr>
              <w:t xml:space="preserve">ata </w:t>
            </w:r>
            <w:r>
              <w:rPr>
                <w:rFonts w:cs="Arial"/>
                <w:sz w:val="19"/>
                <w:szCs w:val="19"/>
              </w:rPr>
              <w:t>S</w:t>
            </w:r>
            <w:r w:rsidRPr="001A3BF3">
              <w:rPr>
                <w:rFonts w:cs="Arial"/>
                <w:sz w:val="19"/>
                <w:szCs w:val="19"/>
              </w:rPr>
              <w:t>ubject is not present</w:t>
            </w:r>
            <w:r>
              <w:rPr>
                <w:rFonts w:cs="Arial"/>
                <w:sz w:val="19"/>
                <w:szCs w:val="19"/>
              </w:rPr>
              <w:t xml:space="preserve"> or able to consent</w:t>
            </w:r>
            <w:r w:rsidRPr="001A3BF3">
              <w:rPr>
                <w:rFonts w:cs="Arial"/>
                <w:sz w:val="19"/>
                <w:szCs w:val="19"/>
              </w:rPr>
              <w:t xml:space="preserve">, a written </w:t>
            </w:r>
            <w:r>
              <w:rPr>
                <w:rFonts w:cs="Arial"/>
                <w:sz w:val="19"/>
                <w:szCs w:val="19"/>
              </w:rPr>
              <w:t>A</w:t>
            </w:r>
            <w:r w:rsidRPr="001A3BF3">
              <w:rPr>
                <w:rFonts w:cs="Arial"/>
                <w:sz w:val="19"/>
                <w:szCs w:val="19"/>
              </w:rPr>
              <w:t xml:space="preserve">uthorization in compliance </w:t>
            </w:r>
            <w:r w:rsidRPr="00915FEF">
              <w:rPr>
                <w:rFonts w:cs="Arial"/>
                <w:sz w:val="19"/>
                <w:szCs w:val="19"/>
              </w:rPr>
              <w:t xml:space="preserve">with </w:t>
            </w:r>
            <w:r w:rsidRPr="00A42E60">
              <w:rPr>
                <w:rFonts w:cs="Arial"/>
                <w:sz w:val="19"/>
                <w:szCs w:val="19"/>
              </w:rPr>
              <w:t>Part V of this Procedure</w:t>
            </w:r>
            <w:r w:rsidRPr="00915FEF">
              <w:rPr>
                <w:rFonts w:cs="Arial"/>
                <w:sz w:val="19"/>
                <w:szCs w:val="19"/>
              </w:rPr>
              <w:t xml:space="preserve"> is required</w:t>
            </w:r>
            <w:r>
              <w:rPr>
                <w:rFonts w:cs="Arial"/>
                <w:sz w:val="19"/>
                <w:szCs w:val="19"/>
              </w:rPr>
              <w:t>.</w:t>
            </w:r>
          </w:p>
        </w:tc>
      </w:tr>
      <w:tr w:rsidR="00606BB4" w:rsidRPr="001A3BF3" w14:paraId="514DA1F9" w14:textId="77777777" w:rsidTr="00AD2EC4">
        <w:trPr>
          <w:cantSplit/>
          <w:trHeight w:val="1140"/>
        </w:trPr>
        <w:tc>
          <w:tcPr>
            <w:tcW w:w="2610" w:type="dxa"/>
            <w:tcMar>
              <w:top w:w="29" w:type="dxa"/>
              <w:left w:w="115" w:type="dxa"/>
              <w:right w:w="115" w:type="dxa"/>
            </w:tcMar>
          </w:tcPr>
          <w:p w14:paraId="7770E742" w14:textId="77777777" w:rsidR="00606BB4" w:rsidRPr="001A3BF3" w:rsidRDefault="00606BB4" w:rsidP="00181F50">
            <w:pPr>
              <w:jc w:val="left"/>
              <w:rPr>
                <w:rFonts w:cs="Arial"/>
                <w:sz w:val="19"/>
                <w:szCs w:val="19"/>
              </w:rPr>
            </w:pPr>
            <w:r>
              <w:rPr>
                <w:rFonts w:cs="Arial"/>
                <w:sz w:val="19"/>
                <w:szCs w:val="19"/>
              </w:rPr>
              <w:t>Other individuals or entities not covered by this table</w:t>
            </w:r>
          </w:p>
        </w:tc>
        <w:tc>
          <w:tcPr>
            <w:tcW w:w="7327" w:type="dxa"/>
            <w:tcMar>
              <w:top w:w="29" w:type="dxa"/>
              <w:left w:w="115" w:type="dxa"/>
              <w:right w:w="115" w:type="dxa"/>
            </w:tcMar>
          </w:tcPr>
          <w:p w14:paraId="4164C105" w14:textId="77777777" w:rsidR="00606BB4" w:rsidRPr="001A3BF3" w:rsidRDefault="00606BB4" w:rsidP="00A051D1">
            <w:pPr>
              <w:rPr>
                <w:rFonts w:cs="Arial"/>
                <w:sz w:val="19"/>
                <w:szCs w:val="19"/>
              </w:rPr>
            </w:pPr>
            <w:r w:rsidRPr="00B50C9F">
              <w:rPr>
                <w:rFonts w:cs="Arial"/>
                <w:sz w:val="19"/>
                <w:szCs w:val="19"/>
              </w:rPr>
              <w:t xml:space="preserve">The determination </w:t>
            </w:r>
            <w:r>
              <w:rPr>
                <w:rFonts w:cs="Arial"/>
                <w:sz w:val="19"/>
                <w:szCs w:val="19"/>
              </w:rPr>
              <w:t xml:space="preserve">of the specific authorization requirements </w:t>
            </w:r>
            <w:r w:rsidRPr="00B50C9F">
              <w:rPr>
                <w:rFonts w:cs="Arial"/>
                <w:sz w:val="19"/>
                <w:szCs w:val="19"/>
              </w:rPr>
              <w:t>should be made by Administrative Units i</w:t>
            </w:r>
            <w:r w:rsidRPr="00A663BE">
              <w:rPr>
                <w:rFonts w:cs="Arial"/>
                <w:sz w:val="19"/>
                <w:szCs w:val="19"/>
              </w:rPr>
              <w:t xml:space="preserve">n conjunction </w:t>
            </w:r>
            <w:r w:rsidRPr="00B60C93">
              <w:rPr>
                <w:rFonts w:cs="Arial"/>
                <w:sz w:val="19"/>
                <w:szCs w:val="19"/>
              </w:rPr>
              <w:t>with their Program Attorney, with assistance from PDCO, Administrative Unit leadership, and</w:t>
            </w:r>
            <w:r>
              <w:rPr>
                <w:rFonts w:cs="Arial"/>
                <w:sz w:val="19"/>
                <w:szCs w:val="19"/>
              </w:rPr>
              <w:t>/or</w:t>
            </w:r>
            <w:r w:rsidRPr="00B60C93">
              <w:rPr>
                <w:rFonts w:cs="Arial"/>
                <w:sz w:val="19"/>
                <w:szCs w:val="19"/>
              </w:rPr>
              <w:t xml:space="preserve"> the Commissioner’s Office, as needed. Administrative Units, </w:t>
            </w:r>
            <w:r w:rsidRPr="00A9666B">
              <w:rPr>
                <w:rFonts w:cs="Arial"/>
                <w:sz w:val="19"/>
                <w:szCs w:val="19"/>
              </w:rPr>
              <w:t xml:space="preserve">in conjunction with </w:t>
            </w:r>
            <w:r w:rsidRPr="00B60C93">
              <w:rPr>
                <w:rFonts w:cs="Arial"/>
                <w:sz w:val="19"/>
                <w:szCs w:val="19"/>
              </w:rPr>
              <w:t>their Program Attorney and others as needed</w:t>
            </w:r>
            <w:r w:rsidRPr="00A9666B">
              <w:rPr>
                <w:rFonts w:cs="Arial"/>
                <w:sz w:val="19"/>
                <w:szCs w:val="19"/>
              </w:rPr>
              <w:t>,</w:t>
            </w:r>
            <w:r w:rsidRPr="00B60C93">
              <w:rPr>
                <w:rFonts w:cs="Arial"/>
                <w:sz w:val="19"/>
                <w:szCs w:val="19"/>
              </w:rPr>
              <w:t xml:space="preserve"> may develop standard operating procedures for recurring requests.</w:t>
            </w:r>
          </w:p>
        </w:tc>
      </w:tr>
    </w:tbl>
    <w:p w14:paraId="2A4BC066" w14:textId="77777777" w:rsidR="00606BB4" w:rsidRPr="00B50C9F" w:rsidRDefault="00606BB4" w:rsidP="00A051D1">
      <w:pPr>
        <w:rPr>
          <w:rFonts w:cs="Arial"/>
          <w:sz w:val="19"/>
          <w:szCs w:val="19"/>
        </w:rPr>
      </w:pPr>
    </w:p>
    <w:p w14:paraId="3720D4F5" w14:textId="77777777" w:rsidR="00606BB4" w:rsidRPr="00F82BBE" w:rsidRDefault="00606BB4" w:rsidP="00B4258A">
      <w:pPr>
        <w:pStyle w:val="H2Paragraph"/>
        <w:rPr>
          <w:sz w:val="22"/>
          <w:szCs w:val="22"/>
        </w:rPr>
      </w:pPr>
      <w:bookmarkStart w:id="35" w:name="_Toc209771772"/>
      <w:r w:rsidRPr="00F82BBE">
        <w:rPr>
          <w:sz w:val="22"/>
          <w:szCs w:val="22"/>
        </w:rPr>
        <w:t>Authorization Requirements</w:t>
      </w:r>
      <w:bookmarkEnd w:id="35"/>
    </w:p>
    <w:p w14:paraId="019694EC" w14:textId="77777777" w:rsidR="00606BB4" w:rsidRPr="00384399" w:rsidRDefault="00606BB4" w:rsidP="00D30591">
      <w:pPr>
        <w:pStyle w:val="H3SubParagraph"/>
      </w:pPr>
      <w:r w:rsidRPr="00384399">
        <w:t>Core Elements of a Valid Authorization (also applies to a Consent as defined in 42 C.F.R. Part 2)</w:t>
      </w:r>
    </w:p>
    <w:p w14:paraId="08DBD404" w14:textId="77777777" w:rsidR="00606BB4" w:rsidRPr="00F82BBE" w:rsidRDefault="00606BB4" w:rsidP="009A52B1">
      <w:pPr>
        <w:pStyle w:val="H3Text"/>
      </w:pPr>
      <w:r w:rsidRPr="00F82BBE">
        <w:t>Covered Components of the Department</w:t>
      </w:r>
      <w:r>
        <w:t xml:space="preserve"> </w:t>
      </w:r>
      <w:r w:rsidRPr="00F82BBE">
        <w:t xml:space="preserve">must ensure that Authorizations to release Confidential Information include ten specific elements required by HIPAA, as set forth below. </w:t>
      </w:r>
    </w:p>
    <w:p w14:paraId="74614C5B" w14:textId="77777777" w:rsidR="00606BB4" w:rsidRDefault="00606BB4" w:rsidP="009A52B1">
      <w:pPr>
        <w:pStyle w:val="H3Text"/>
      </w:pPr>
      <w:r w:rsidRPr="00F82BBE">
        <w:t>Non-Covered Components of the Department are encouraged to provide Authorizations that include all ten elements, but retain the discretion to release Confidential Information in response to an Authorization that does not meet this standard. When an Authorization is required and the one provided does not include all ten elements, the Director of the Administrative Unit (or their designee) must review and approve the release of Confidential Information, before it is released.</w:t>
      </w:r>
    </w:p>
    <w:p w14:paraId="53BB3F86" w14:textId="77777777" w:rsidR="00606BB4" w:rsidRDefault="00606BB4" w:rsidP="009A52B1">
      <w:pPr>
        <w:pStyle w:val="H3Text"/>
      </w:pPr>
      <w:r>
        <w:t xml:space="preserve">Both Covered and Non-Covered Components must consult Section B (below) to determine whether additional Authorization requirements apply to the type of data being released. </w:t>
      </w:r>
    </w:p>
    <w:p w14:paraId="5180CEAC" w14:textId="77777777" w:rsidR="00606BB4" w:rsidRPr="00F82BBE" w:rsidRDefault="00606BB4" w:rsidP="009A52B1">
      <w:pPr>
        <w:pStyle w:val="H3Text"/>
      </w:pPr>
      <w:r w:rsidRPr="00F82BBE">
        <w:t>The ten elements required by HIPAA in an Authorization are:</w:t>
      </w:r>
    </w:p>
    <w:p w14:paraId="558571E7" w14:textId="77777777" w:rsidR="00606BB4" w:rsidRPr="00F82BBE" w:rsidRDefault="00606BB4">
      <w:pPr>
        <w:pStyle w:val="H3Text"/>
        <w:numPr>
          <w:ilvl w:val="0"/>
          <w:numId w:val="108"/>
        </w:numPr>
        <w:tabs>
          <w:tab w:val="clear" w:pos="1800"/>
        </w:tabs>
        <w:ind w:left="1080"/>
      </w:pPr>
      <w:r w:rsidRPr="00FF40FE">
        <w:t>Description of the Information</w:t>
      </w:r>
      <w:r w:rsidRPr="00FF40FE">
        <w:br/>
      </w:r>
      <w:r w:rsidRPr="00F82BBE">
        <w:t xml:space="preserve">A specific and meaningful </w:t>
      </w:r>
      <w:r w:rsidRPr="00F82BBE">
        <w:rPr>
          <w:i/>
        </w:rPr>
        <w:t>description of the information</w:t>
      </w:r>
      <w:r w:rsidRPr="00F82BBE">
        <w:t xml:space="preserve"> to be used.</w:t>
      </w:r>
      <w:r w:rsidRPr="00F82BBE">
        <w:br/>
      </w:r>
      <w:r w:rsidRPr="00F82BBE">
        <w:rPr>
          <w:u w:val="single"/>
        </w:rPr>
        <w:t>Example</w:t>
      </w:r>
      <w:r w:rsidRPr="00F82BBE">
        <w:t>: My medical records for my cancer treatment.</w:t>
      </w:r>
    </w:p>
    <w:p w14:paraId="7B6F8773" w14:textId="77777777" w:rsidR="00606BB4" w:rsidRPr="00F82BBE" w:rsidRDefault="00606BB4">
      <w:pPr>
        <w:pStyle w:val="H3Text"/>
        <w:numPr>
          <w:ilvl w:val="0"/>
          <w:numId w:val="108"/>
        </w:numPr>
        <w:tabs>
          <w:tab w:val="clear" w:pos="1800"/>
        </w:tabs>
        <w:ind w:left="1080"/>
        <w:rPr>
          <w:i/>
          <w:iCs/>
        </w:rPr>
      </w:pPr>
      <w:r w:rsidRPr="007D106F">
        <w:rPr>
          <w:iCs/>
        </w:rPr>
        <w:t>Person or person(s)</w:t>
      </w:r>
      <w:r w:rsidRPr="00F82BBE">
        <w:rPr>
          <w:iCs/>
        </w:rPr>
        <w:t xml:space="preserve"> authorized to make the requested Use or Disclosure</w:t>
      </w:r>
      <w:r w:rsidRPr="00F82BBE">
        <w:br/>
        <w:t xml:space="preserve">The name or other specific identification of the category of </w:t>
      </w:r>
      <w:r w:rsidRPr="00F82BBE">
        <w:rPr>
          <w:i/>
        </w:rPr>
        <w:t>person or person(s) authorized to make the requested Use or Disclosure</w:t>
      </w:r>
      <w:r w:rsidRPr="00F82BBE">
        <w:t>.</w:t>
      </w:r>
      <w:r w:rsidRPr="00F82BBE">
        <w:br/>
      </w:r>
      <w:r w:rsidRPr="00F82BBE">
        <w:rPr>
          <w:u w:val="single"/>
        </w:rPr>
        <w:t>Example</w:t>
      </w:r>
      <w:r w:rsidRPr="00F82BBE">
        <w:t>: Dr. Alex Smith; Tewksbury Hospital</w:t>
      </w:r>
    </w:p>
    <w:p w14:paraId="00AC537F" w14:textId="77777777" w:rsidR="00606BB4" w:rsidRPr="00F82BBE" w:rsidRDefault="00606BB4">
      <w:pPr>
        <w:pStyle w:val="H3Text"/>
        <w:numPr>
          <w:ilvl w:val="0"/>
          <w:numId w:val="108"/>
        </w:numPr>
        <w:tabs>
          <w:tab w:val="clear" w:pos="1800"/>
        </w:tabs>
        <w:ind w:left="1080"/>
      </w:pPr>
      <w:r w:rsidRPr="007D106F">
        <w:t>Person or person(s)</w:t>
      </w:r>
      <w:r w:rsidRPr="00F82BBE">
        <w:t xml:space="preserve"> to whom the requested Use or Disclosure may be made</w:t>
      </w:r>
      <w:r w:rsidRPr="00F82BBE">
        <w:br/>
        <w:t xml:space="preserve">The name or other specific identification of the category </w:t>
      </w:r>
      <w:r w:rsidRPr="007D106F">
        <w:t xml:space="preserve">of </w:t>
      </w:r>
      <w:r w:rsidRPr="007D106F">
        <w:rPr>
          <w:i/>
        </w:rPr>
        <w:t>person or person(s)</w:t>
      </w:r>
      <w:r w:rsidRPr="00F82BBE">
        <w:rPr>
          <w:i/>
        </w:rPr>
        <w:t xml:space="preserve"> to whom the requested Use or Disclosure may be made</w:t>
      </w:r>
      <w:r w:rsidRPr="00F82BBE">
        <w:t>.</w:t>
      </w:r>
      <w:r w:rsidRPr="00F82BBE">
        <w:br/>
      </w:r>
      <w:r w:rsidRPr="00F82BBE">
        <w:rPr>
          <w:u w:val="single"/>
        </w:rPr>
        <w:t>Example</w:t>
      </w:r>
      <w:r w:rsidRPr="00F82BBE">
        <w:t>: Dr. Blaise Smith; South Shore Hospital; Harvard School of Public Health Epidemiology Department</w:t>
      </w:r>
    </w:p>
    <w:p w14:paraId="6E0BE768" w14:textId="77777777" w:rsidR="00606BB4" w:rsidRPr="00F82BBE" w:rsidRDefault="00606BB4">
      <w:pPr>
        <w:pStyle w:val="H3Text"/>
        <w:numPr>
          <w:ilvl w:val="0"/>
          <w:numId w:val="108"/>
        </w:numPr>
        <w:tabs>
          <w:tab w:val="clear" w:pos="1800"/>
        </w:tabs>
        <w:ind w:left="1080"/>
      </w:pPr>
      <w:r w:rsidRPr="00F82BBE">
        <w:rPr>
          <w:iCs/>
        </w:rPr>
        <w:t>Purpose of the Disclosure</w:t>
      </w:r>
      <w:r w:rsidRPr="00F82BBE">
        <w:br/>
        <w:t xml:space="preserve">A description of </w:t>
      </w:r>
      <w:r w:rsidRPr="00F82BBE">
        <w:rPr>
          <w:iCs/>
        </w:rPr>
        <w:t>the</w:t>
      </w:r>
      <w:r w:rsidRPr="00F82BBE">
        <w:rPr>
          <w:i/>
        </w:rPr>
        <w:t xml:space="preserve"> purpose of the Disclosure</w:t>
      </w:r>
      <w:r w:rsidRPr="00F82BBE">
        <w:t xml:space="preserve"> or, if the Data Subject chooses not to state a purpose, a statement to that effect.</w:t>
      </w:r>
    </w:p>
    <w:p w14:paraId="59B96A6E" w14:textId="77777777" w:rsidR="00606BB4" w:rsidRPr="00F82BBE" w:rsidRDefault="00606BB4">
      <w:pPr>
        <w:pStyle w:val="H3Text"/>
        <w:numPr>
          <w:ilvl w:val="0"/>
          <w:numId w:val="108"/>
        </w:numPr>
        <w:tabs>
          <w:tab w:val="clear" w:pos="1800"/>
        </w:tabs>
        <w:ind w:left="1080"/>
      </w:pPr>
      <w:r w:rsidRPr="00F82BBE">
        <w:t>Expiration Date</w:t>
      </w:r>
      <w:r w:rsidRPr="00F82BBE">
        <w:br/>
        <w:t xml:space="preserve">An </w:t>
      </w:r>
      <w:r w:rsidRPr="00F82BBE">
        <w:rPr>
          <w:i/>
        </w:rPr>
        <w:t>expiration date</w:t>
      </w:r>
      <w:r w:rsidRPr="00F82BBE">
        <w:t xml:space="preserve"> or expiration event.</w:t>
      </w:r>
      <w:r w:rsidRPr="00F82BBE">
        <w:br/>
      </w:r>
      <w:r w:rsidRPr="00F82BBE">
        <w:rPr>
          <w:u w:val="single"/>
        </w:rPr>
        <w:t>Example</w:t>
      </w:r>
      <w:r w:rsidRPr="00F82BBE">
        <w:t>: The end of the research study</w:t>
      </w:r>
    </w:p>
    <w:p w14:paraId="3934E7AF" w14:textId="77777777" w:rsidR="00606BB4" w:rsidRPr="00F82BBE" w:rsidRDefault="00606BB4">
      <w:pPr>
        <w:pStyle w:val="H3Text"/>
        <w:numPr>
          <w:ilvl w:val="0"/>
          <w:numId w:val="108"/>
        </w:numPr>
        <w:tabs>
          <w:tab w:val="clear" w:pos="1800"/>
        </w:tabs>
        <w:ind w:left="1080"/>
      </w:pPr>
      <w:r w:rsidRPr="00F82BBE">
        <w:rPr>
          <w:iCs/>
        </w:rPr>
        <w:t>Right to Revoke</w:t>
      </w:r>
      <w:r w:rsidRPr="00F82BBE">
        <w:br/>
        <w:t xml:space="preserve">A statement regarding the </w:t>
      </w:r>
      <w:r w:rsidRPr="00F82BBE">
        <w:rPr>
          <w:i/>
        </w:rPr>
        <w:t>Data Subject's right to revoke</w:t>
      </w:r>
      <w:r w:rsidRPr="00F82BBE">
        <w:t xml:space="preserve"> the Authorization in writing, including a description of the process for doing so. It must also include a statement that information previously released based on the Authorization is not affected by the revocation.</w:t>
      </w:r>
    </w:p>
    <w:p w14:paraId="3DA909BA" w14:textId="77777777" w:rsidR="00606BB4" w:rsidRPr="00F82BBE" w:rsidRDefault="00606BB4">
      <w:pPr>
        <w:pStyle w:val="H3Text"/>
        <w:numPr>
          <w:ilvl w:val="0"/>
          <w:numId w:val="108"/>
        </w:numPr>
        <w:tabs>
          <w:tab w:val="clear" w:pos="1800"/>
        </w:tabs>
        <w:ind w:left="1080"/>
      </w:pPr>
      <w:r w:rsidRPr="00F82BBE">
        <w:t>Conditioning of the Authorization</w:t>
      </w:r>
      <w:r w:rsidRPr="00F82BBE">
        <w:br/>
        <w:t xml:space="preserve">A statement regarding </w:t>
      </w:r>
      <w:r w:rsidRPr="00F82BBE">
        <w:rPr>
          <w:iCs/>
        </w:rPr>
        <w:t>the</w:t>
      </w:r>
      <w:r w:rsidRPr="00F82BBE">
        <w:rPr>
          <w:i/>
        </w:rPr>
        <w:t xml:space="preserve"> conditioning of the Authorization</w:t>
      </w:r>
      <w:r w:rsidRPr="00F82BBE">
        <w:t>. Generally, the provision of treatment, payment, enrollment, or eligibility for benefits cannot be conditioned on signing the Authorization. Research-related treatment, health plan enrollment, the determination of eligibility for benefits, or the provision of health care that is solely for the purpose of creating confidential health information for disclosure to a third party may be conditioned on signing an Authorization. Authorizations that are pre-conditioned in this manner cannot be combined with other Authorizations.</w:t>
      </w:r>
      <w:r w:rsidRPr="00F82BBE">
        <w:br/>
      </w:r>
      <w:r w:rsidRPr="00F82BBE">
        <w:rPr>
          <w:u w:val="single"/>
        </w:rPr>
        <w:t>Example</w:t>
      </w:r>
      <w:r w:rsidRPr="00F82BBE">
        <w:t>: Participation in a research study can be conditioned on Authorization to disclose to the researchers, but that Authorization cannot be combined with other Authorizations related to the receipt of general treatment, payment, enrollment, or other benefits.</w:t>
      </w:r>
    </w:p>
    <w:p w14:paraId="18E706A7" w14:textId="77777777" w:rsidR="00606BB4" w:rsidRPr="00F82BBE" w:rsidRDefault="00606BB4">
      <w:pPr>
        <w:pStyle w:val="H3Text"/>
        <w:numPr>
          <w:ilvl w:val="0"/>
          <w:numId w:val="108"/>
        </w:numPr>
        <w:tabs>
          <w:tab w:val="clear" w:pos="1800"/>
        </w:tabs>
        <w:ind w:left="1080"/>
      </w:pPr>
      <w:r w:rsidRPr="00F82BBE">
        <w:t>Redisclosure</w:t>
      </w:r>
      <w:r w:rsidRPr="00F82BBE">
        <w:br/>
        <w:t xml:space="preserve">A statement that there is potential for information disclosed pursuant to the Authorization to be </w:t>
      </w:r>
      <w:r w:rsidRPr="00F82BBE">
        <w:rPr>
          <w:i/>
        </w:rPr>
        <w:t>subject to redisclosure</w:t>
      </w:r>
      <w:r w:rsidRPr="00F82BBE">
        <w:t xml:space="preserve"> by the recipient, who may not be subject to state or federal privacy laws.</w:t>
      </w:r>
    </w:p>
    <w:p w14:paraId="71F70596" w14:textId="77777777" w:rsidR="00606BB4" w:rsidRPr="00F82BBE" w:rsidRDefault="00606BB4">
      <w:pPr>
        <w:pStyle w:val="H3Text"/>
        <w:numPr>
          <w:ilvl w:val="0"/>
          <w:numId w:val="108"/>
        </w:numPr>
        <w:tabs>
          <w:tab w:val="clear" w:pos="1800"/>
        </w:tabs>
        <w:ind w:left="1080"/>
      </w:pPr>
      <w:r w:rsidRPr="00F82BBE">
        <w:t>Signature of the Data Subject</w:t>
      </w:r>
      <w:r w:rsidRPr="00F82BBE">
        <w:br/>
        <w:t xml:space="preserve">The </w:t>
      </w:r>
      <w:r w:rsidRPr="00F82BBE">
        <w:rPr>
          <w:i/>
        </w:rPr>
        <w:t>signature of the Data Subject</w:t>
      </w:r>
      <w:r w:rsidRPr="00F82BBE">
        <w:t xml:space="preserve"> or their parent or legally-</w:t>
      </w:r>
      <w:r>
        <w:t>authoriz</w:t>
      </w:r>
      <w:r w:rsidRPr="00F82BBE">
        <w:t>ed representative and the date. A digital signature is acceptable.</w:t>
      </w:r>
    </w:p>
    <w:p w14:paraId="2C9E524A" w14:textId="77777777" w:rsidR="00606BB4" w:rsidRPr="00F82BBE" w:rsidRDefault="00606BB4">
      <w:pPr>
        <w:pStyle w:val="H3Text"/>
        <w:numPr>
          <w:ilvl w:val="0"/>
          <w:numId w:val="108"/>
        </w:numPr>
        <w:tabs>
          <w:tab w:val="clear" w:pos="1800"/>
        </w:tabs>
        <w:ind w:left="1080"/>
      </w:pPr>
      <w:r w:rsidRPr="00F82BBE">
        <w:t>Description of Authority</w:t>
      </w:r>
      <w:r w:rsidRPr="00F82BBE">
        <w:br/>
        <w:t>If the Authorization is signed by a parent or legally-</w:t>
      </w:r>
      <w:r>
        <w:t>authoriz</w:t>
      </w:r>
      <w:r w:rsidRPr="00F82BBE">
        <w:t xml:space="preserve">ed representative of the Data Subject, </w:t>
      </w:r>
      <w:r w:rsidRPr="00F82BBE">
        <w:rPr>
          <w:i/>
        </w:rPr>
        <w:t>a description of the signatory’s authority</w:t>
      </w:r>
      <w:r w:rsidRPr="00F82BBE">
        <w:t xml:space="preserve"> to act on the Data Subject’s behalf.</w:t>
      </w:r>
      <w:r w:rsidRPr="00F82BBE">
        <w:br/>
      </w:r>
      <w:r w:rsidRPr="00F82BBE">
        <w:rPr>
          <w:u w:val="single"/>
        </w:rPr>
        <w:t>Example</w:t>
      </w:r>
      <w:r w:rsidRPr="00F82BBE">
        <w:t>: Parent</w:t>
      </w:r>
    </w:p>
    <w:p w14:paraId="50C7B208" w14:textId="77777777" w:rsidR="00606BB4" w:rsidRPr="00F82BBE" w:rsidRDefault="00606BB4" w:rsidP="009A52B1">
      <w:pPr>
        <w:pStyle w:val="H3Text"/>
      </w:pPr>
      <w:r w:rsidRPr="00F82BBE">
        <w:t>DPH Model Authorizations that, when fully completed, in</w:t>
      </w:r>
      <w:r w:rsidRPr="001F606D">
        <w:t>clude all ten elements, can be found on the internal PDCO webpage.</w:t>
      </w:r>
    </w:p>
    <w:p w14:paraId="1805ABE2" w14:textId="77777777" w:rsidR="00606BB4" w:rsidRPr="00384399" w:rsidRDefault="00606BB4" w:rsidP="00C70F46">
      <w:pPr>
        <w:pStyle w:val="H3SubParagraph"/>
        <w:spacing w:after="120"/>
      </w:pPr>
      <w:r w:rsidRPr="00384399">
        <w:t>Special Rules Governing Certain Types of Authorizations</w:t>
      </w:r>
    </w:p>
    <w:p w14:paraId="2C9FC1D0" w14:textId="77777777" w:rsidR="00606BB4" w:rsidRPr="009120E5" w:rsidRDefault="00606BB4">
      <w:pPr>
        <w:pStyle w:val="H4SubNumberedParagraph"/>
        <w:numPr>
          <w:ilvl w:val="0"/>
          <w:numId w:val="176"/>
        </w:numPr>
        <w:ind w:left="1080"/>
      </w:pPr>
      <w:r w:rsidRPr="009120E5">
        <w:t>Substance Use Disorder Information</w:t>
      </w:r>
    </w:p>
    <w:p w14:paraId="07DB11B2" w14:textId="77777777" w:rsidR="00606BB4" w:rsidRPr="00F82BBE" w:rsidRDefault="00606BB4" w:rsidP="009120E5">
      <w:pPr>
        <w:pStyle w:val="H3Text"/>
        <w:ind w:left="1080"/>
      </w:pPr>
      <w:r w:rsidRPr="00F82BBE">
        <w:t>Records that contain information about substance use disorder treatment are protected by 42 C.F.R. Part 2. Such information shall not be released, except as provided under 42 C.F.R. Part 2, without specific Authorization (a Consent as defined in 42 C.F.R. Part 2), separately acknowledged, or the use of a separate Authorization. Any Authorization for information concerning substance use disorder treatment must also include a separate notice prohibiting the redisclosure of the information. However, to the extent the substance use disorder information will be disclosed for the purpose of treatment, payment, and healthcare operations as defined in the HIPAA Privacy Rule, a separate Authorization may not be required. The determination of whether an Authorization is required should be made by Administrative Units in conjunction with their Program Attorney, with assistance from PDCO as needed.</w:t>
      </w:r>
    </w:p>
    <w:p w14:paraId="7A4297ED" w14:textId="77777777" w:rsidR="00606BB4" w:rsidRPr="00D35CD5" w:rsidRDefault="00606BB4">
      <w:pPr>
        <w:pStyle w:val="H4SubNumberedParagraph"/>
        <w:numPr>
          <w:ilvl w:val="0"/>
          <w:numId w:val="176"/>
        </w:numPr>
        <w:ind w:left="1080"/>
      </w:pPr>
      <w:r w:rsidRPr="00D35CD5">
        <w:t>Psychotherapy Notes</w:t>
      </w:r>
    </w:p>
    <w:p w14:paraId="67CB5D20" w14:textId="77777777" w:rsidR="00606BB4" w:rsidRPr="00F82BBE" w:rsidRDefault="00606BB4" w:rsidP="009120E5">
      <w:pPr>
        <w:pStyle w:val="H3Text"/>
        <w:ind w:left="1080"/>
      </w:pPr>
      <w:r w:rsidRPr="00F82BBE">
        <w:t xml:space="preserve">A separate Authorization is required for the Use and Disclosure of Psychotherapy Notes.  </w:t>
      </w:r>
    </w:p>
    <w:p w14:paraId="7FC0828B" w14:textId="77777777" w:rsidR="00606BB4" w:rsidRPr="00D35CD5" w:rsidRDefault="00606BB4">
      <w:pPr>
        <w:pStyle w:val="H4SubNumberedParagraph"/>
        <w:numPr>
          <w:ilvl w:val="0"/>
          <w:numId w:val="176"/>
        </w:numPr>
        <w:ind w:left="1080"/>
      </w:pPr>
      <w:r w:rsidRPr="00D35CD5">
        <w:t>Substance Use Disorder Counseling Notes</w:t>
      </w:r>
    </w:p>
    <w:p w14:paraId="175CFA3F" w14:textId="77777777" w:rsidR="00606BB4" w:rsidRPr="00F82BBE" w:rsidRDefault="00606BB4" w:rsidP="00D35CD5">
      <w:pPr>
        <w:spacing w:after="120"/>
        <w:ind w:left="1080"/>
        <w:rPr>
          <w:rFonts w:cs="Arial"/>
          <w:sz w:val="22"/>
          <w:szCs w:val="22"/>
        </w:rPr>
      </w:pPr>
      <w:r w:rsidRPr="00F82BBE">
        <w:rPr>
          <w:rFonts w:cs="Arial"/>
          <w:sz w:val="22"/>
          <w:szCs w:val="22"/>
        </w:rPr>
        <w:t>A separate Authorization is generally required for the Use and Disclosure of substance use disorder counseling notes. The determination of whether such Authorization is required should be made by Administrative Units in conjunction with their Program Attorney, with assistance from PDCO as needed.</w:t>
      </w:r>
    </w:p>
    <w:p w14:paraId="64F8FE27" w14:textId="77777777" w:rsidR="00606BB4" w:rsidRPr="00F82BBE" w:rsidRDefault="00606BB4" w:rsidP="00FC3715">
      <w:pPr>
        <w:pStyle w:val="H3SubParagraph"/>
      </w:pPr>
      <w:r w:rsidRPr="00F82BBE">
        <w:t>Record Retention</w:t>
      </w:r>
    </w:p>
    <w:p w14:paraId="3F3B1202" w14:textId="77777777" w:rsidR="00606BB4" w:rsidRPr="00F82BBE" w:rsidRDefault="00606BB4" w:rsidP="009D3C49">
      <w:pPr>
        <w:spacing w:before="120" w:after="120"/>
        <w:ind w:left="720"/>
        <w:rPr>
          <w:rFonts w:cs="Arial"/>
          <w:sz w:val="22"/>
          <w:szCs w:val="22"/>
        </w:rPr>
      </w:pPr>
      <w:r w:rsidRPr="00F82BBE">
        <w:rPr>
          <w:rFonts w:cs="Arial"/>
          <w:sz w:val="22"/>
          <w:szCs w:val="22"/>
        </w:rPr>
        <w:t>Authorizations must be retained according to the Commonwealth’s Record Retention Policy.</w:t>
      </w:r>
    </w:p>
    <w:p w14:paraId="582EA985" w14:textId="77777777" w:rsidR="00606BB4" w:rsidRPr="00F82BBE" w:rsidRDefault="00606BB4" w:rsidP="00D01A47">
      <w:pPr>
        <w:pStyle w:val="H2Paragraph"/>
        <w:rPr>
          <w:sz w:val="22"/>
          <w:szCs w:val="22"/>
        </w:rPr>
      </w:pPr>
      <w:bookmarkStart w:id="36" w:name="_Toc209771773"/>
      <w:r w:rsidRPr="00F82BBE">
        <w:rPr>
          <w:sz w:val="22"/>
          <w:szCs w:val="22"/>
        </w:rPr>
        <w:t>Verification of the Confidential Information Provided</w:t>
      </w:r>
      <w:bookmarkEnd w:id="36"/>
    </w:p>
    <w:p w14:paraId="112A4882" w14:textId="77777777" w:rsidR="00606BB4" w:rsidRPr="00F82BBE" w:rsidRDefault="00606BB4" w:rsidP="009A52B1">
      <w:pPr>
        <w:pStyle w:val="H3Text"/>
      </w:pPr>
      <w:r w:rsidRPr="00F82BBE">
        <w:t>After verifying the identity of the requestor and determining that the requestor has the authority to receive the Confidential Information, Workforce Members must take steps to verify that the Confidential Information provided in response to the request is the correct Confidential Information. Administrative Units should require the requestor provide sufficient information that matches the Confidential Information to be provided and is reasonable under the circumstances to show that they are receiving the correct Confidential Information, which, where available, should include:</w:t>
      </w:r>
    </w:p>
    <w:p w14:paraId="1E2C5A00" w14:textId="77777777" w:rsidR="00606BB4" w:rsidRPr="00F82BBE" w:rsidRDefault="00606BB4">
      <w:pPr>
        <w:pStyle w:val="H3Text"/>
        <w:numPr>
          <w:ilvl w:val="0"/>
          <w:numId w:val="172"/>
        </w:numPr>
        <w:ind w:left="1080"/>
      </w:pPr>
      <w:r w:rsidRPr="00F82BBE">
        <w:t xml:space="preserve">the full name of the Data Subject; </w:t>
      </w:r>
      <w:r w:rsidRPr="00F82BBE">
        <w:rPr>
          <w:u w:val="single"/>
        </w:rPr>
        <w:t>and</w:t>
      </w:r>
      <w:r w:rsidRPr="00F82BBE">
        <w:t xml:space="preserve"> </w:t>
      </w:r>
    </w:p>
    <w:p w14:paraId="26858360" w14:textId="77777777" w:rsidR="00606BB4" w:rsidRPr="00F82BBE" w:rsidRDefault="00606BB4">
      <w:pPr>
        <w:pStyle w:val="H3Text"/>
        <w:numPr>
          <w:ilvl w:val="0"/>
          <w:numId w:val="172"/>
        </w:numPr>
        <w:ind w:left="1080"/>
      </w:pPr>
      <w:r w:rsidRPr="00F82BBE">
        <w:t xml:space="preserve">at least one of the following data elements: </w:t>
      </w:r>
    </w:p>
    <w:p w14:paraId="6B0DB764" w14:textId="77777777" w:rsidR="00606BB4" w:rsidRPr="00F82BBE" w:rsidRDefault="00606BB4">
      <w:pPr>
        <w:pStyle w:val="H4Text"/>
        <w:numPr>
          <w:ilvl w:val="0"/>
          <w:numId w:val="177"/>
        </w:numPr>
      </w:pPr>
      <w:r w:rsidRPr="00F82BBE">
        <w:t>Last four digits of Social Security Number of Data Subject;</w:t>
      </w:r>
    </w:p>
    <w:p w14:paraId="0841560B" w14:textId="77777777" w:rsidR="00606BB4" w:rsidRPr="00F82BBE" w:rsidRDefault="00606BB4">
      <w:pPr>
        <w:pStyle w:val="H4Text"/>
        <w:numPr>
          <w:ilvl w:val="0"/>
          <w:numId w:val="177"/>
        </w:numPr>
      </w:pPr>
      <w:r w:rsidRPr="00F82BBE">
        <w:t>Date of birth of Data Subject;</w:t>
      </w:r>
    </w:p>
    <w:p w14:paraId="4D8E87E3" w14:textId="77777777" w:rsidR="00606BB4" w:rsidRPr="00F82BBE" w:rsidRDefault="00606BB4">
      <w:pPr>
        <w:pStyle w:val="H4Text"/>
        <w:numPr>
          <w:ilvl w:val="0"/>
          <w:numId w:val="177"/>
        </w:numPr>
      </w:pPr>
      <w:r w:rsidRPr="00F82BBE">
        <w:t>Address of Data Subject;</w:t>
      </w:r>
    </w:p>
    <w:p w14:paraId="6FFFE987" w14:textId="77777777" w:rsidR="00606BB4" w:rsidRPr="00F82BBE" w:rsidRDefault="00606BB4">
      <w:pPr>
        <w:pStyle w:val="H4Text"/>
        <w:numPr>
          <w:ilvl w:val="0"/>
          <w:numId w:val="177"/>
        </w:numPr>
      </w:pPr>
      <w:r w:rsidRPr="00F82BBE">
        <w:t>Name of parent or legally-a</w:t>
      </w:r>
      <w:r>
        <w:t>uthoriz</w:t>
      </w:r>
      <w:r w:rsidRPr="00F82BBE">
        <w:t>ed representative of Data Subject; or</w:t>
      </w:r>
    </w:p>
    <w:p w14:paraId="47AEC69F" w14:textId="77777777" w:rsidR="00606BB4" w:rsidRPr="00F82BBE" w:rsidRDefault="00606BB4">
      <w:pPr>
        <w:pStyle w:val="H4Text"/>
        <w:numPr>
          <w:ilvl w:val="0"/>
          <w:numId w:val="177"/>
        </w:numPr>
      </w:pPr>
      <w:r w:rsidRPr="00F82BBE">
        <w:t xml:space="preserve">Other data element(s) as appropriate. </w:t>
      </w:r>
    </w:p>
    <w:p w14:paraId="17068EDE" w14:textId="77777777" w:rsidR="00606BB4" w:rsidRDefault="00606BB4" w:rsidP="00C65162">
      <w:pPr>
        <w:rPr>
          <w:rFonts w:cs="Arial"/>
          <w:sz w:val="22"/>
          <w:szCs w:val="22"/>
        </w:rPr>
      </w:pPr>
    </w:p>
    <w:p w14:paraId="71A38A9A" w14:textId="77777777" w:rsidR="00606BB4" w:rsidRDefault="00606BB4" w:rsidP="00C65162">
      <w:pPr>
        <w:rPr>
          <w:rFonts w:cs="Arial"/>
          <w:sz w:val="22"/>
          <w:szCs w:val="22"/>
        </w:rPr>
      </w:pPr>
    </w:p>
    <w:p w14:paraId="2A091960" w14:textId="77777777" w:rsidR="00606BB4" w:rsidRPr="00F82BBE" w:rsidRDefault="00606BB4" w:rsidP="00C65162">
      <w:pPr>
        <w:rPr>
          <w:rFonts w:cs="Arial"/>
          <w:sz w:val="22"/>
          <w:szCs w:val="22"/>
        </w:rPr>
      </w:pPr>
    </w:p>
    <w:p w14:paraId="3A1F5337" w14:textId="77777777" w:rsidR="00606BB4" w:rsidRPr="00F82BBE" w:rsidRDefault="00606BB4" w:rsidP="00C65162">
      <w:pPr>
        <w:rPr>
          <w:rFonts w:cs="Arial"/>
          <w:sz w:val="22"/>
          <w:szCs w:val="22"/>
          <w:u w:val="single"/>
        </w:rPr>
      </w:pPr>
      <w:r w:rsidRPr="00F82BBE">
        <w:rPr>
          <w:rFonts w:cs="Arial"/>
          <w:sz w:val="22"/>
          <w:szCs w:val="22"/>
          <w:u w:val="single"/>
        </w:rPr>
        <w:t>Authority</w:t>
      </w:r>
      <w:r w:rsidRPr="00F82BBE">
        <w:rPr>
          <w:rFonts w:cs="Arial"/>
          <w:sz w:val="22"/>
          <w:szCs w:val="22"/>
        </w:rPr>
        <w:t>:</w:t>
      </w:r>
    </w:p>
    <w:p w14:paraId="5EC82890" w14:textId="77777777" w:rsidR="00606BB4" w:rsidRPr="00F82BBE" w:rsidRDefault="00606BB4" w:rsidP="005B2911">
      <w:pPr>
        <w:spacing w:after="120"/>
        <w:ind w:left="720"/>
        <w:rPr>
          <w:rFonts w:cs="Arial"/>
          <w:sz w:val="22"/>
          <w:szCs w:val="22"/>
        </w:rPr>
      </w:pPr>
      <w:r w:rsidRPr="00F82BBE">
        <w:rPr>
          <w:rFonts w:cs="Arial"/>
          <w:sz w:val="22"/>
          <w:szCs w:val="22"/>
        </w:rPr>
        <w:t xml:space="preserve">M.G.L. c. 66A </w:t>
      </w:r>
    </w:p>
    <w:p w14:paraId="3FC9165F" w14:textId="77777777" w:rsidR="00606BB4" w:rsidRPr="00F82BBE" w:rsidRDefault="00606BB4" w:rsidP="005B2911">
      <w:pPr>
        <w:pStyle w:val="H3Text"/>
      </w:pPr>
      <w:r w:rsidRPr="00F82BBE">
        <w:t xml:space="preserve">45 C.F.R. §§ 164.508, 164.514(h), and 164.532 (a)-(c) </w:t>
      </w:r>
    </w:p>
    <w:p w14:paraId="206C103B" w14:textId="77777777" w:rsidR="00606BB4" w:rsidRPr="00F82BBE" w:rsidRDefault="00606BB4" w:rsidP="005B2911">
      <w:pPr>
        <w:pStyle w:val="H3Text"/>
      </w:pPr>
      <w:r w:rsidRPr="00F82BBE">
        <w:t>105 C.M.R. 300.120</w:t>
      </w:r>
    </w:p>
    <w:p w14:paraId="6CB7797A" w14:textId="77777777" w:rsidR="00606BB4" w:rsidRDefault="00606BB4" w:rsidP="005B2911">
      <w:pPr>
        <w:pStyle w:val="H3Text"/>
      </w:pPr>
      <w:r w:rsidRPr="00F82BBE">
        <w:t>42 C.F.R. Part 2</w:t>
      </w:r>
    </w:p>
    <w:p w14:paraId="52C44499" w14:textId="77777777" w:rsidR="00181F50" w:rsidRPr="00F82BBE" w:rsidRDefault="00181F50" w:rsidP="00181F50">
      <w:pPr>
        <w:pStyle w:val="H3Text"/>
        <w:ind w:left="0"/>
        <w:rPr>
          <w:rFonts w:cs="Arial"/>
        </w:rPr>
      </w:pPr>
    </w:p>
    <w:p w14:paraId="40011C4F" w14:textId="77777777" w:rsidR="008355B4" w:rsidRDefault="008355B4" w:rsidP="008355B4">
      <w:pPr>
        <w:sectPr w:rsidR="008355B4" w:rsidSect="003173E2">
          <w:headerReference w:type="default" r:id="rId33"/>
          <w:footerReference w:type="default" r:id="rId34"/>
          <w:pgSz w:w="12240" w:h="15840" w:code="1"/>
          <w:pgMar w:top="1080" w:right="1440" w:bottom="1440" w:left="1800" w:header="720" w:footer="720" w:gutter="0"/>
          <w:cols w:space="720"/>
          <w:docGrid w:linePitch="360"/>
        </w:sectPr>
      </w:pPr>
    </w:p>
    <w:p w14:paraId="44E6FFBE" w14:textId="77777777" w:rsidR="006A24F0" w:rsidRDefault="006A24F0" w:rsidP="00C30273">
      <w:pPr>
        <w:rPr>
          <w:rFonts w:cs="Arial"/>
          <w:sz w:val="22"/>
          <w:szCs w:val="22"/>
        </w:rPr>
      </w:pPr>
    </w:p>
    <w:p w14:paraId="416BC9D5" w14:textId="77777777" w:rsidR="00E40DFE" w:rsidRDefault="00E40DFE" w:rsidP="00E40DFE">
      <w:pPr>
        <w:jc w:val="left"/>
        <w:rPr>
          <w:rFonts w:cs="Arial"/>
        </w:rPr>
      </w:pPr>
    </w:p>
    <w:p w14:paraId="5F2AD2E8" w14:textId="77777777" w:rsidR="00E40DFE" w:rsidRDefault="00E40DFE" w:rsidP="00E40DFE">
      <w:pPr>
        <w:jc w:val="left"/>
        <w:rPr>
          <w:rFonts w:cs="Arial"/>
        </w:rPr>
      </w:pPr>
    </w:p>
    <w:p w14:paraId="08EA0904" w14:textId="77777777" w:rsidR="00E40DFE" w:rsidRDefault="00E40DFE" w:rsidP="00E40DFE">
      <w:pPr>
        <w:jc w:val="left"/>
        <w:rPr>
          <w:rFonts w:cs="Arial"/>
        </w:rPr>
      </w:pPr>
    </w:p>
    <w:p w14:paraId="1568A62A" w14:textId="77777777" w:rsidR="00E40DFE" w:rsidRDefault="00E40DFE" w:rsidP="00E40DFE">
      <w:pPr>
        <w:jc w:val="left"/>
        <w:rPr>
          <w:rFonts w:cs="Arial"/>
        </w:rPr>
      </w:pPr>
    </w:p>
    <w:p w14:paraId="6ABB4636" w14:textId="77777777" w:rsidR="00E40DFE" w:rsidRDefault="00E40DFE" w:rsidP="00E40DFE">
      <w:pPr>
        <w:jc w:val="left"/>
        <w:rPr>
          <w:rFonts w:cs="Arial"/>
        </w:rPr>
      </w:pPr>
    </w:p>
    <w:p w14:paraId="2D818539" w14:textId="77777777" w:rsidR="00E40DFE" w:rsidRDefault="00E40DFE" w:rsidP="00E40DFE">
      <w:pPr>
        <w:jc w:val="left"/>
        <w:rPr>
          <w:rFonts w:cs="Arial"/>
        </w:rPr>
      </w:pPr>
    </w:p>
    <w:p w14:paraId="5CE09BFE" w14:textId="77777777" w:rsidR="00E40DFE" w:rsidRDefault="00E40DFE" w:rsidP="00E40DFE">
      <w:pPr>
        <w:jc w:val="left"/>
        <w:rPr>
          <w:rFonts w:cs="Arial"/>
        </w:rPr>
      </w:pPr>
    </w:p>
    <w:p w14:paraId="2FCD59A2" w14:textId="77777777" w:rsidR="00E40DFE" w:rsidRDefault="00E40DFE" w:rsidP="00E40DFE">
      <w:pPr>
        <w:jc w:val="left"/>
        <w:rPr>
          <w:rFonts w:cs="Arial"/>
        </w:rPr>
      </w:pPr>
    </w:p>
    <w:p w14:paraId="73F46714" w14:textId="77777777" w:rsidR="00E40DFE" w:rsidRDefault="00E40DFE" w:rsidP="00E40DFE">
      <w:pPr>
        <w:jc w:val="left"/>
        <w:rPr>
          <w:rFonts w:cs="Arial"/>
        </w:rPr>
      </w:pPr>
    </w:p>
    <w:p w14:paraId="02235232" w14:textId="77777777" w:rsidR="00E40DFE" w:rsidRDefault="00E40DFE" w:rsidP="00E40DFE">
      <w:pPr>
        <w:jc w:val="center"/>
        <w:rPr>
          <w:rFonts w:cs="Arial"/>
        </w:rPr>
      </w:pPr>
      <w:r>
        <w:rPr>
          <w:rFonts w:cs="Arial"/>
        </w:rPr>
        <w:t>( Page intentionally blank )</w:t>
      </w:r>
    </w:p>
    <w:p w14:paraId="1C0EAFF8" w14:textId="77777777" w:rsidR="0041175B" w:rsidRDefault="0041175B" w:rsidP="00C30273">
      <w:pPr>
        <w:rPr>
          <w:rFonts w:cs="Arial"/>
          <w:sz w:val="22"/>
          <w:szCs w:val="22"/>
        </w:rPr>
      </w:pPr>
    </w:p>
    <w:p w14:paraId="6CEDF02A" w14:textId="77777777" w:rsidR="00E40DFE" w:rsidRDefault="00E40DFE" w:rsidP="00C30273">
      <w:pPr>
        <w:rPr>
          <w:rFonts w:cs="Arial"/>
          <w:sz w:val="22"/>
          <w:szCs w:val="22"/>
        </w:rPr>
        <w:sectPr w:rsidR="00E40DFE" w:rsidSect="00D87220">
          <w:headerReference w:type="default" r:id="rId35"/>
          <w:footerReference w:type="default" r:id="rId36"/>
          <w:footnotePr>
            <w:numRestart w:val="eachSect"/>
          </w:footnotePr>
          <w:pgSz w:w="12240" w:h="15840" w:code="1"/>
          <w:pgMar w:top="1440" w:right="1440" w:bottom="1440" w:left="1800" w:header="720" w:footer="720" w:gutter="0"/>
          <w:cols w:space="720"/>
          <w:docGrid w:linePitch="360"/>
        </w:sectPr>
      </w:pPr>
    </w:p>
    <w:p w14:paraId="7F237AC8" w14:textId="77777777" w:rsidR="0041175B" w:rsidRPr="00D16AF3" w:rsidRDefault="008028A4" w:rsidP="008028A4">
      <w:pPr>
        <w:pStyle w:val="H1ProcedureSection"/>
      </w:pPr>
      <w:bookmarkStart w:id="37" w:name="_Toc209771774"/>
      <w:r>
        <w:t>Procedure 5</w:t>
      </w:r>
      <w:r>
        <w:tab/>
      </w:r>
      <w:r w:rsidR="0041175B" w:rsidRPr="00D16AF3">
        <w:t>Subpoenas or Court Orders</w:t>
      </w:r>
      <w:bookmarkEnd w:id="37"/>
    </w:p>
    <w:p w14:paraId="0F2A50DB" w14:textId="77777777" w:rsidR="0041175B" w:rsidRPr="00A3344C" w:rsidRDefault="0041175B" w:rsidP="00450ABF">
      <w:pPr>
        <w:pStyle w:val="Version"/>
      </w:pPr>
      <w:r w:rsidRPr="007F4964">
        <w:t xml:space="preserve">Version:  </w:t>
      </w:r>
      <w:r>
        <w:t>3</w:t>
      </w:r>
      <w:r w:rsidRPr="007F4964">
        <w:tab/>
        <w:t xml:space="preserve">Effective Date:  </w:t>
      </w:r>
      <w:r>
        <w:t>April 21, 2008</w:t>
      </w:r>
    </w:p>
    <w:p w14:paraId="656CA152" w14:textId="77777777" w:rsidR="0041175B" w:rsidRDefault="0041175B">
      <w:pPr>
        <w:pStyle w:val="H2Paragraph"/>
        <w:numPr>
          <w:ilvl w:val="0"/>
          <w:numId w:val="54"/>
        </w:numPr>
      </w:pPr>
      <w:bookmarkStart w:id="38" w:name="_Toc209771775"/>
      <w:r>
        <w:t>Purpose and Scope</w:t>
      </w:r>
      <w:bookmarkEnd w:id="38"/>
    </w:p>
    <w:p w14:paraId="1375B6BC" w14:textId="77777777" w:rsidR="0041175B" w:rsidRDefault="0041175B" w:rsidP="00450ABF">
      <w:pPr>
        <w:pStyle w:val="H3Text"/>
      </w:pPr>
      <w:r>
        <w:t>This procedure establishes uniform standards for responding to subpoenas</w:t>
      </w:r>
      <w:r>
        <w:rPr>
          <w:rStyle w:val="FootnoteReference"/>
        </w:rPr>
        <w:footnoteReference w:id="5"/>
      </w:r>
      <w:r>
        <w:t xml:space="preserve"> and court orders and ensuring that confidential information/personal data related to data subjects is not released without the authorization of the data subject when sought pursuant to a subpoena or court order.</w:t>
      </w:r>
      <w:r>
        <w:rPr>
          <w:rStyle w:val="FootnoteReference"/>
        </w:rPr>
        <w:footnoteReference w:id="6"/>
      </w:r>
    </w:p>
    <w:p w14:paraId="25F00C03" w14:textId="77777777" w:rsidR="0041175B" w:rsidRDefault="0041175B" w:rsidP="00450ABF">
      <w:pPr>
        <w:pStyle w:val="H3Text"/>
      </w:pPr>
      <w:r>
        <w:t xml:space="preserve">As described in </w:t>
      </w:r>
      <w:r w:rsidRPr="00354056">
        <w:t>s</w:t>
      </w:r>
      <w:bookmarkStart w:id="39" w:name="_Hlt66100171"/>
      <w:r w:rsidRPr="00354056">
        <w:t>e</w:t>
      </w:r>
      <w:bookmarkEnd w:id="39"/>
      <w:r w:rsidRPr="00354056">
        <w:t>ctio</w:t>
      </w:r>
      <w:bookmarkStart w:id="40" w:name="_Hlt66429012"/>
      <w:r w:rsidRPr="00354056">
        <w:t>n</w:t>
      </w:r>
      <w:bookmarkEnd w:id="40"/>
      <w:r w:rsidRPr="00354056">
        <w:t xml:space="preserve"> IV</w:t>
      </w:r>
      <w:r>
        <w:t>, the Fair Information Practices Act (FIPA) establishes a stricter standard for the release of information pursuant to a subpoena than does the Health Insurance Portability and Accountability Act (HIPAA).  The FIPA standard will be followed by all parts of the Department responding to subpoenas, regardless of whether the Bureau or program is a covered health care component under HIPAA.</w:t>
      </w:r>
    </w:p>
    <w:p w14:paraId="05098E09" w14:textId="77777777" w:rsidR="0041175B" w:rsidRDefault="0041175B" w:rsidP="00450ABF">
      <w:pPr>
        <w:pStyle w:val="H3Text"/>
      </w:pPr>
      <w:r>
        <w:t>Procedure 5 applies to both covered and non-covered components of the Department and all Department workforce members.</w:t>
      </w:r>
    </w:p>
    <w:p w14:paraId="5A9A928F" w14:textId="77777777" w:rsidR="0041175B" w:rsidRDefault="0041175B" w:rsidP="00450ABF">
      <w:pPr>
        <w:pStyle w:val="H2Paragraph"/>
      </w:pPr>
      <w:bookmarkStart w:id="41" w:name="_Toc209771776"/>
      <w:r>
        <w:t>Procedure for Responding to Subpoenas and Court Orders</w:t>
      </w:r>
      <w:bookmarkEnd w:id="41"/>
    </w:p>
    <w:p w14:paraId="76F566FD" w14:textId="77777777" w:rsidR="0041175B" w:rsidRDefault="0041175B" w:rsidP="00450ABF">
      <w:pPr>
        <w:pStyle w:val="H3SubParagraph"/>
      </w:pPr>
      <w:r>
        <w:t>Model letters available on Healthnet</w:t>
      </w:r>
    </w:p>
    <w:p w14:paraId="3F7CFF75" w14:textId="77777777" w:rsidR="0041175B" w:rsidRDefault="0041175B" w:rsidP="00450ABF">
      <w:pPr>
        <w:pStyle w:val="H3Text"/>
      </w:pPr>
      <w:r>
        <w:t>Sample letters referenced in this procedure may be found on HealthNet.   If a sample letter corresponds to a particular section of this procedure it will be referenced as “Sample Letter #___.” (</w:t>
      </w:r>
      <w:hyperlink r:id="rId37" w:history="1">
        <w:r>
          <w:rPr>
            <w:rStyle w:val="Hyperlink"/>
            <w:sz w:val="20"/>
            <w:szCs w:val="20"/>
          </w:rPr>
          <w:t>http://healthnet.dph.state.ma.us/privsec/forms/forms.htm</w:t>
        </w:r>
      </w:hyperlink>
      <w:r>
        <w:t xml:space="preserve"> </w:t>
      </w:r>
      <w:r w:rsidRPr="00A1799B">
        <w:rPr>
          <w:sz w:val="20"/>
          <w:szCs w:val="20"/>
        </w:rPr>
        <w:t xml:space="preserve">- </w:t>
      </w:r>
      <w:r w:rsidRPr="00A1799B">
        <w:rPr>
          <w:i/>
          <w:sz w:val="20"/>
          <w:szCs w:val="20"/>
        </w:rPr>
        <w:t>Avail</w:t>
      </w:r>
      <w:r w:rsidRPr="00A1799B">
        <w:rPr>
          <w:rFonts w:cs="Arial"/>
          <w:i/>
          <w:sz w:val="20"/>
          <w:szCs w:val="20"/>
        </w:rPr>
        <w:t>able to MDPH Intranet users only</w:t>
      </w:r>
      <w:r w:rsidRPr="003324C0">
        <w:rPr>
          <w:rFonts w:cs="Arial"/>
          <w:szCs w:val="22"/>
        </w:rPr>
        <w:t>)</w:t>
      </w:r>
      <w:r>
        <w:t xml:space="preserve"> </w:t>
      </w:r>
    </w:p>
    <w:p w14:paraId="3960F59C" w14:textId="77777777" w:rsidR="0041175B" w:rsidRDefault="0041175B" w:rsidP="00450ABF">
      <w:pPr>
        <w:pStyle w:val="H3SubParagraph"/>
      </w:pPr>
      <w:r>
        <w:t>Contact the Office of General Counsel</w:t>
      </w:r>
    </w:p>
    <w:p w14:paraId="57BB2DCC" w14:textId="77777777" w:rsidR="0041175B" w:rsidRDefault="0041175B" w:rsidP="00450ABF">
      <w:pPr>
        <w:pStyle w:val="H3Text"/>
      </w:pPr>
      <w:r>
        <w:t xml:space="preserve">Upon receipt of a subpoena or court order for DPH data, notify the MDPH attorney assigned to the program that received the subpoena.  The only exception to this rule is if there is an established protocol, described in </w:t>
      </w:r>
      <w:r w:rsidRPr="006540B8">
        <w:t>section III</w:t>
      </w:r>
      <w:r>
        <w:t xml:space="preserve">. </w:t>
      </w:r>
    </w:p>
    <w:p w14:paraId="42D8D9EE" w14:textId="77777777" w:rsidR="0041175B" w:rsidRDefault="0041175B" w:rsidP="00450ABF">
      <w:pPr>
        <w:pStyle w:val="H3SubParagraph"/>
      </w:pPr>
      <w:r>
        <w:t>Determine if the Subpoena or Court Order Seeks Personal Data</w:t>
      </w:r>
    </w:p>
    <w:p w14:paraId="142D4BBE" w14:textId="77777777" w:rsidR="0041175B" w:rsidRPr="00A17C6F" w:rsidRDefault="0041175B" w:rsidP="00450ABF">
      <w:pPr>
        <w:pStyle w:val="H3Text"/>
      </w:pPr>
      <w:r>
        <w:t xml:space="preserve">With the assistance of the Office of General Counsel determine whether the subpoena or court order seeks personal data subject to FIPA or whether the information constitutes a public record.  Information that constitutes a public record may be released see </w:t>
      </w:r>
      <w:r w:rsidRPr="00A1799B">
        <w:rPr>
          <w:i/>
        </w:rPr>
        <w:t xml:space="preserve">Sample-Letter </w:t>
      </w:r>
      <w:r>
        <w:rPr>
          <w:i/>
        </w:rPr>
        <w:t>1</w:t>
      </w:r>
      <w:r>
        <w:t xml:space="preserve">.  The keeper of the records from the DPH program should certify the records, either using </w:t>
      </w:r>
      <w:r w:rsidRPr="00A1799B">
        <w:rPr>
          <w:i/>
        </w:rPr>
        <w:t xml:space="preserve">Sample-Letter </w:t>
      </w:r>
      <w:r>
        <w:rPr>
          <w:i/>
        </w:rPr>
        <w:t xml:space="preserve">1 </w:t>
      </w:r>
      <w:r w:rsidRPr="00A17C6F">
        <w:t>or the certification provided by the attorney.</w:t>
      </w:r>
    </w:p>
    <w:p w14:paraId="28BF680E" w14:textId="77777777" w:rsidR="0041175B" w:rsidRDefault="0041175B" w:rsidP="00450ABF">
      <w:pPr>
        <w:pStyle w:val="H3SubParagraph"/>
      </w:pPr>
      <w:r>
        <w:t>Determine if the Subpoena includes an Appropriate Authorization from Data Subject</w:t>
      </w:r>
    </w:p>
    <w:p w14:paraId="5207A51F" w14:textId="77777777" w:rsidR="0041175B" w:rsidRPr="00A17C6F" w:rsidRDefault="0041175B" w:rsidP="00450ABF">
      <w:pPr>
        <w:pStyle w:val="H3Text"/>
      </w:pPr>
      <w:r>
        <w:t xml:space="preserve">If the subpoena seeks personal data, determine if it is accompanied by an authorization for the release of personal data that complies with </w:t>
      </w:r>
      <w:r w:rsidRPr="006540B8">
        <w:t>Procedure # 4:  Authorizations for the Use and Disclosure of Confidential Information</w:t>
      </w:r>
      <w:r>
        <w:t xml:space="preserve">.  If there is a compliant authorization, the information specified in the authorization may be released, see </w:t>
      </w:r>
      <w:r w:rsidRPr="00A1799B">
        <w:rPr>
          <w:i/>
        </w:rPr>
        <w:t xml:space="preserve">Sample-Letter </w:t>
      </w:r>
      <w:r>
        <w:rPr>
          <w:i/>
        </w:rPr>
        <w:t>1</w:t>
      </w:r>
      <w:r>
        <w:t>.</w:t>
      </w:r>
      <w:r w:rsidRPr="00A17C6F">
        <w:t xml:space="preserve"> </w:t>
      </w:r>
      <w:r>
        <w:t xml:space="preserve">The keeper of the records from the DPH program should certify the records, either using </w:t>
      </w:r>
      <w:r w:rsidRPr="00A1799B">
        <w:rPr>
          <w:i/>
        </w:rPr>
        <w:t xml:space="preserve">Sample-Letter </w:t>
      </w:r>
      <w:r>
        <w:rPr>
          <w:i/>
        </w:rPr>
        <w:t xml:space="preserve">1 </w:t>
      </w:r>
      <w:r w:rsidRPr="00A17C6F">
        <w:t>or the certification provided by the attorney.</w:t>
      </w:r>
    </w:p>
    <w:p w14:paraId="0A566D68" w14:textId="77777777" w:rsidR="0041175B" w:rsidRDefault="0041175B" w:rsidP="00450ABF">
      <w:pPr>
        <w:pStyle w:val="H3SubParagraph"/>
      </w:pPr>
      <w:r>
        <w:t>Determine if the Subpoena or Court Order Seeks  Non-medical or Medical Data</w:t>
      </w:r>
    </w:p>
    <w:p w14:paraId="30AFEBC6" w14:textId="77777777" w:rsidR="0041175B" w:rsidRDefault="0041175B" w:rsidP="00450ABF">
      <w:pPr>
        <w:pStyle w:val="H3Text"/>
      </w:pPr>
      <w:r>
        <w:t>If the subpoena or court order is for documents that contain personal data and there is no authorization from the data subject allowing the disclosure, determine whether the requested personal data is medical information.</w:t>
      </w:r>
    </w:p>
    <w:p w14:paraId="67F4DF39" w14:textId="77777777" w:rsidR="0041175B" w:rsidRPr="00DB4B19" w:rsidRDefault="0041175B" w:rsidP="00E562E4">
      <w:pPr>
        <w:pStyle w:val="H4SubNumberedParagraph"/>
      </w:pPr>
      <w:r w:rsidRPr="00DB4B19">
        <w:t>Non-Medical</w:t>
      </w:r>
      <w:r>
        <w:t xml:space="preserve"> </w:t>
      </w:r>
      <w:r w:rsidRPr="00CD1791">
        <w:rPr>
          <w:u w:val="single"/>
        </w:rPr>
        <w:t>and</w:t>
      </w:r>
      <w:r>
        <w:t xml:space="preserve"> De-identified</w:t>
      </w:r>
    </w:p>
    <w:p w14:paraId="382474CF" w14:textId="77777777" w:rsidR="0041175B" w:rsidRPr="00DB4B19" w:rsidRDefault="0041175B" w:rsidP="00450ABF">
      <w:pPr>
        <w:pStyle w:val="H4Text"/>
      </w:pPr>
      <w:r w:rsidRPr="00DB4B19">
        <w:t xml:space="preserve">If the </w:t>
      </w:r>
      <w:r w:rsidRPr="00963232">
        <w:rPr>
          <w:b/>
          <w:u w:val="single"/>
        </w:rPr>
        <w:t>subpoena or court order</w:t>
      </w:r>
      <w:r w:rsidRPr="00DB4B19">
        <w:t xml:space="preserve"> is for non-medical information and it can be de-identified in compliance with Confidentiality </w:t>
      </w:r>
      <w:r w:rsidRPr="006540B8">
        <w:t>Procedure # 7:  De-Identification, Limited Data Sets and Aggregate Data</w:t>
      </w:r>
      <w:r>
        <w:t>,</w:t>
      </w:r>
      <w:r w:rsidRPr="00DB4B19">
        <w:t xml:space="preserve"> and still be responsive to the request, the documents may be released after they are fully de-identified</w:t>
      </w:r>
      <w:r>
        <w:t xml:space="preserve">, using </w:t>
      </w:r>
      <w:r w:rsidRPr="00A1799B">
        <w:rPr>
          <w:i/>
        </w:rPr>
        <w:t xml:space="preserve">Sample-Letter </w:t>
      </w:r>
      <w:r>
        <w:rPr>
          <w:i/>
        </w:rPr>
        <w:t>1</w:t>
      </w:r>
      <w:r w:rsidRPr="00DB4B19">
        <w:t>.</w:t>
      </w:r>
      <w:r w:rsidRPr="00A17C6F">
        <w:t xml:space="preserve"> </w:t>
      </w:r>
      <w:r>
        <w:t xml:space="preserve">The keeper of the records from the DPH program should certify the records, either using </w:t>
      </w:r>
      <w:r w:rsidRPr="00A1799B">
        <w:rPr>
          <w:i/>
        </w:rPr>
        <w:t xml:space="preserve">Sample-Letter </w:t>
      </w:r>
      <w:r>
        <w:rPr>
          <w:i/>
        </w:rPr>
        <w:t xml:space="preserve">1 </w:t>
      </w:r>
      <w:r w:rsidRPr="00A17C6F">
        <w:t>or the certification provided by the attorney.</w:t>
      </w:r>
    </w:p>
    <w:p w14:paraId="69A200A3" w14:textId="77777777" w:rsidR="0041175B" w:rsidRDefault="0041175B" w:rsidP="00E562E4">
      <w:pPr>
        <w:pStyle w:val="H4SubNumberedParagraph"/>
      </w:pPr>
      <w:r>
        <w:t xml:space="preserve">Medical </w:t>
      </w:r>
      <w:r w:rsidRPr="00CD1791">
        <w:rPr>
          <w:u w:val="single"/>
        </w:rPr>
        <w:t>or</w:t>
      </w:r>
      <w:r>
        <w:t xml:space="preserve"> Non-medical but Identifiable</w:t>
      </w:r>
    </w:p>
    <w:p w14:paraId="06FF6C72" w14:textId="77777777" w:rsidR="0041175B" w:rsidRDefault="0041175B" w:rsidP="00450ABF">
      <w:pPr>
        <w:pStyle w:val="H5SubAlphaParagraph"/>
      </w:pPr>
      <w:r>
        <w:t>Subpoena</w:t>
      </w:r>
    </w:p>
    <w:p w14:paraId="0FF0153A" w14:textId="77777777" w:rsidR="0041175B" w:rsidRDefault="0041175B" w:rsidP="00450ABF">
      <w:pPr>
        <w:pStyle w:val="H5Text"/>
      </w:pPr>
      <w:r>
        <w:t>If</w:t>
      </w:r>
      <w:r w:rsidRPr="00DB4B19">
        <w:t xml:space="preserve"> the </w:t>
      </w:r>
      <w:r w:rsidRPr="00963232">
        <w:t>subpoena</w:t>
      </w:r>
      <w:r w:rsidRPr="00DB4B19">
        <w:t xml:space="preserve"> is for</w:t>
      </w:r>
      <w:r>
        <w:t xml:space="preserve"> medical information,</w:t>
      </w:r>
      <w:r w:rsidRPr="00DB4B19">
        <w:t xml:space="preserve"> or </w:t>
      </w:r>
      <w:r>
        <w:t>n</w:t>
      </w:r>
      <w:r w:rsidRPr="00DB4B19">
        <w:t>on-medical information that cannot be de-identified</w:t>
      </w:r>
      <w:r>
        <w:t xml:space="preserve">, </w:t>
      </w:r>
      <w:r w:rsidRPr="00DB4B19">
        <w:t>and</w:t>
      </w:r>
      <w:r>
        <w:t xml:space="preserve"> t</w:t>
      </w:r>
      <w:r w:rsidRPr="00DB4B19">
        <w:t>here is no authorization from the data subject allowing the disclosure of information</w:t>
      </w:r>
      <w:r>
        <w:t>, t</w:t>
      </w:r>
      <w:r w:rsidRPr="00DB4B19">
        <w:t>hen</w:t>
      </w:r>
      <w:r w:rsidRPr="003718DD">
        <w:t xml:space="preserve"> </w:t>
      </w:r>
      <w:r>
        <w:t xml:space="preserve">the </w:t>
      </w:r>
      <w:r w:rsidRPr="003718DD">
        <w:t xml:space="preserve">documents </w:t>
      </w:r>
      <w:r>
        <w:t>cannot</w:t>
      </w:r>
      <w:r w:rsidRPr="003718DD">
        <w:t xml:space="preserve"> be released, and two further steps must be taken:</w:t>
      </w:r>
    </w:p>
    <w:p w14:paraId="086B1450" w14:textId="77777777" w:rsidR="0041175B" w:rsidRPr="00A108CC" w:rsidRDefault="0041175B" w:rsidP="0041175B">
      <w:pPr>
        <w:pStyle w:val="H6Subnumber"/>
        <w:jc w:val="left"/>
      </w:pPr>
      <w:r w:rsidRPr="00A108CC">
        <w:t>Rule 45 Objections</w:t>
      </w:r>
    </w:p>
    <w:p w14:paraId="0EF6E40F" w14:textId="77777777" w:rsidR="0041175B" w:rsidRPr="00A108CC" w:rsidRDefault="0041175B" w:rsidP="00450ABF">
      <w:pPr>
        <w:pStyle w:val="H6Text"/>
      </w:pPr>
      <w:r w:rsidRPr="00A108CC">
        <w:t>File objections to the production of documents pursuant to Massachusetts Rules of Civil Procedure, Rule 45, because information sought is subject to FIPA and cannot be released without consent of data subject, (see Sample-Letter 2). MDPH must serve a “written objection” on the attorney designated in the subpoena within 10 days of service of the subpoena (if the subpoena requires production of documents in fewer than 10 days, then the objection must be filed prior to that date).  Once an objection is sent, the requesting party is not entitled to the documents without a court order unless the data subject provides an authorization for the requested data.</w:t>
      </w:r>
    </w:p>
    <w:p w14:paraId="3097C042" w14:textId="77777777" w:rsidR="0041175B" w:rsidRPr="00A108CC" w:rsidRDefault="0041175B" w:rsidP="00450ABF">
      <w:pPr>
        <w:pStyle w:val="H6Text"/>
      </w:pPr>
      <w:r w:rsidRPr="00A108CC">
        <w:t>In some instances the subpoena demands the production of some records that can be disclosed and others that cannot. In these circumstances, the letter to the attorney (see, Sample-Letter 3) should include a certification of what is being released as well as the Rule 45 objection and explanation related to those documents which are not released. The letter to the data subject should inform the data subject of the documents that were released and the documents for which an authorization is requested.</w:t>
      </w:r>
    </w:p>
    <w:p w14:paraId="48B76F47" w14:textId="77777777" w:rsidR="0041175B" w:rsidRPr="00A108CC" w:rsidRDefault="0041175B" w:rsidP="0041175B">
      <w:pPr>
        <w:pStyle w:val="H6Subnumber"/>
        <w:jc w:val="left"/>
      </w:pPr>
      <w:r w:rsidRPr="00A108CC">
        <w:t>Contact the Data Subject</w:t>
      </w:r>
    </w:p>
    <w:p w14:paraId="4034E5B0" w14:textId="77777777" w:rsidR="0041175B" w:rsidRPr="00A108CC" w:rsidRDefault="0041175B" w:rsidP="00450ABF">
      <w:pPr>
        <w:pStyle w:val="H6Text"/>
      </w:pPr>
      <w:r w:rsidRPr="00C515AE">
        <w:t>Contact the data subject(s) regarding the subpoena.  Give notice that the Department received a subpoena requesting personal data about the data</w:t>
      </w:r>
      <w:r w:rsidRPr="00A108CC">
        <w:t xml:space="preserve"> subject, see Sample-Letter 4.  Also, include:</w:t>
      </w:r>
    </w:p>
    <w:p w14:paraId="485C642F" w14:textId="77777777" w:rsidR="0041175B" w:rsidRPr="00C6465A" w:rsidRDefault="0041175B">
      <w:pPr>
        <w:pStyle w:val="H6Text"/>
        <w:numPr>
          <w:ilvl w:val="0"/>
          <w:numId w:val="8"/>
        </w:numPr>
        <w:jc w:val="left"/>
      </w:pPr>
      <w:r w:rsidRPr="00C6465A">
        <w:t>An authorization to release the information (use the MDPH Model Authorization form</w:t>
      </w:r>
      <w:r>
        <w:t>)</w:t>
      </w:r>
      <w:r w:rsidRPr="00C6465A">
        <w:t>; and</w:t>
      </w:r>
    </w:p>
    <w:p w14:paraId="1B7C3159" w14:textId="77777777" w:rsidR="0041175B" w:rsidRPr="00C6465A" w:rsidRDefault="0041175B">
      <w:pPr>
        <w:pStyle w:val="H6Text"/>
        <w:numPr>
          <w:ilvl w:val="0"/>
          <w:numId w:val="8"/>
        </w:numPr>
        <w:jc w:val="left"/>
      </w:pPr>
      <w:r w:rsidRPr="00C6465A">
        <w:t>The date by which the data subject should either respond with the authorization, move to quash the subpoena, or seek a limiting or protective order from the court.</w:t>
      </w:r>
      <w:r>
        <w:t xml:space="preserve">  This should be at a minimum 7 business days.  </w:t>
      </w:r>
    </w:p>
    <w:p w14:paraId="067DE7BF" w14:textId="77777777" w:rsidR="0041175B" w:rsidRPr="00C6465A" w:rsidRDefault="0041175B">
      <w:pPr>
        <w:pStyle w:val="H6Text"/>
        <w:numPr>
          <w:ilvl w:val="0"/>
          <w:numId w:val="8"/>
        </w:numPr>
        <w:jc w:val="left"/>
      </w:pPr>
      <w:r w:rsidRPr="00C6465A">
        <w:t xml:space="preserve">If the data subject authorizes the release in writing, the documents referenced in the authorization may be released, </w:t>
      </w:r>
      <w:r>
        <w:t xml:space="preserve">see </w:t>
      </w:r>
      <w:r w:rsidRPr="00A1799B">
        <w:rPr>
          <w:i/>
        </w:rPr>
        <w:t xml:space="preserve">Sample-Letter </w:t>
      </w:r>
      <w:r>
        <w:rPr>
          <w:i/>
        </w:rPr>
        <w:t>1</w:t>
      </w:r>
      <w:r w:rsidRPr="00C6465A">
        <w:t>.</w:t>
      </w:r>
      <w:r w:rsidRPr="00A17C6F">
        <w:t xml:space="preserve"> </w:t>
      </w:r>
      <w:r>
        <w:t xml:space="preserve">The keeper of the records from the DPH program should certify the records, either using </w:t>
      </w:r>
      <w:r w:rsidRPr="00A1799B">
        <w:rPr>
          <w:i/>
        </w:rPr>
        <w:t xml:space="preserve">Sample-Letter </w:t>
      </w:r>
      <w:r>
        <w:rPr>
          <w:i/>
        </w:rPr>
        <w:t xml:space="preserve">1 </w:t>
      </w:r>
      <w:r w:rsidRPr="00A17C6F">
        <w:t>or the certification provided by the attorney.</w:t>
      </w:r>
      <w:r>
        <w:t xml:space="preserve">  </w:t>
      </w:r>
      <w:r w:rsidRPr="00C6465A">
        <w:t xml:space="preserve">If the data subject fails to respond or refuses to authorize the release, then no documents may be released and the attorney who issued the subpoena and was served with a </w:t>
      </w:r>
      <w:r>
        <w:t xml:space="preserve">Rule 45 </w:t>
      </w:r>
      <w:r w:rsidRPr="00C6465A">
        <w:t>objection must seek a court order.</w:t>
      </w:r>
      <w:r>
        <w:t xml:space="preserve"> Contact attorney using </w:t>
      </w:r>
      <w:r w:rsidRPr="00125F4B">
        <w:rPr>
          <w:i/>
        </w:rPr>
        <w:t xml:space="preserve">Sample-Letter </w:t>
      </w:r>
      <w:r>
        <w:rPr>
          <w:i/>
        </w:rPr>
        <w:t>5</w:t>
      </w:r>
      <w:r>
        <w:t>.</w:t>
      </w:r>
    </w:p>
    <w:p w14:paraId="273037A5" w14:textId="77777777" w:rsidR="0041175B" w:rsidRDefault="0041175B" w:rsidP="00450ABF">
      <w:pPr>
        <w:pStyle w:val="H5Text"/>
      </w:pPr>
      <w:r>
        <w:t>If the attorney moves to compel, contact the Attorney General’s Office for representation.</w:t>
      </w:r>
    </w:p>
    <w:p w14:paraId="7FD383B0" w14:textId="77777777" w:rsidR="0041175B" w:rsidRDefault="0041175B" w:rsidP="00450ABF">
      <w:pPr>
        <w:pStyle w:val="H5SubAlphaParagraph"/>
      </w:pPr>
      <w:r>
        <w:t>Court Order</w:t>
      </w:r>
    </w:p>
    <w:p w14:paraId="706FF377" w14:textId="77777777" w:rsidR="0041175B" w:rsidRDefault="0041175B" w:rsidP="00450ABF">
      <w:pPr>
        <w:pStyle w:val="H5Text"/>
      </w:pPr>
      <w:r w:rsidRPr="005F502E">
        <w:t>If the court order is for medical information or non-medical information that</w:t>
      </w:r>
      <w:r w:rsidRPr="00EE345D">
        <w:t xml:space="preserve"> cannot</w:t>
      </w:r>
      <w:r>
        <w:t xml:space="preserve"> </w:t>
      </w:r>
      <w:r w:rsidRPr="00EE345D">
        <w:t xml:space="preserve">be de-identified </w:t>
      </w:r>
      <w:r>
        <w:t>t</w:t>
      </w:r>
      <w:r w:rsidRPr="00EE345D">
        <w:t>hen documents shall not be released</w:t>
      </w:r>
      <w:r>
        <w:t xml:space="preserve"> and:</w:t>
      </w:r>
      <w:r w:rsidRPr="00EE345D">
        <w:t xml:space="preserve">  </w:t>
      </w:r>
    </w:p>
    <w:p w14:paraId="11DC183D" w14:textId="77777777" w:rsidR="0041175B" w:rsidRDefault="0041175B">
      <w:pPr>
        <w:pStyle w:val="H6Subnumber"/>
        <w:numPr>
          <w:ilvl w:val="4"/>
          <w:numId w:val="7"/>
        </w:numPr>
        <w:jc w:val="left"/>
      </w:pPr>
      <w:r>
        <w:t>Notify data subject</w:t>
      </w:r>
    </w:p>
    <w:p w14:paraId="439AA750" w14:textId="77777777" w:rsidR="0041175B" w:rsidRDefault="0041175B" w:rsidP="00450ABF">
      <w:pPr>
        <w:pStyle w:val="H6Text"/>
      </w:pPr>
      <w:r w:rsidRPr="00EE345D">
        <w:t>Notice of the court order and request for personal data shall be sent to the data subject as soon as possible, including an authorization form to allow for the release of the data.  The letter sh</w:t>
      </w:r>
      <w:r>
        <w:t>all</w:t>
      </w:r>
      <w:r w:rsidRPr="00EE345D">
        <w:t xml:space="preserve"> provide the data subject with </w:t>
      </w:r>
      <w:r>
        <w:t>fourteen</w:t>
      </w:r>
      <w:r w:rsidRPr="00EE345D">
        <w:t xml:space="preserve"> days to respond</w:t>
      </w:r>
      <w:r>
        <w:t xml:space="preserve"> unless the return date in court is earlier.  The letter shall also</w:t>
      </w:r>
      <w:r w:rsidRPr="00EE345D">
        <w:t xml:space="preserve"> indicate that after th</w:t>
      </w:r>
      <w:r>
        <w:t>e</w:t>
      </w:r>
      <w:r w:rsidRPr="00EE345D">
        <w:t xml:space="preserve"> date </w:t>
      </w:r>
      <w:r>
        <w:t xml:space="preserve">set in the letter </w:t>
      </w:r>
      <w:r w:rsidRPr="00EE345D">
        <w:t>the Department will release the subject’s personal data in compliance with the court order</w:t>
      </w:r>
      <w:r>
        <w:t>.</w:t>
      </w:r>
      <w:r w:rsidRPr="00EE345D">
        <w:t xml:space="preserve"> </w:t>
      </w:r>
      <w:r>
        <w:t>Use</w:t>
      </w:r>
      <w:r w:rsidRPr="00EE345D">
        <w:t xml:space="preserve"> </w:t>
      </w:r>
      <w:r w:rsidRPr="00C03A24">
        <w:t>Sample-letter 6</w:t>
      </w:r>
      <w:r>
        <w:t>.</w:t>
      </w:r>
    </w:p>
    <w:p w14:paraId="1F118906" w14:textId="77777777" w:rsidR="0041175B" w:rsidRDefault="0041175B" w:rsidP="0041175B">
      <w:pPr>
        <w:pStyle w:val="H6Subnumber"/>
        <w:jc w:val="left"/>
      </w:pPr>
      <w:r>
        <w:t>Release of records</w:t>
      </w:r>
    </w:p>
    <w:p w14:paraId="7EC2604D" w14:textId="77777777" w:rsidR="0041175B" w:rsidRPr="00A17C6F" w:rsidRDefault="0041175B" w:rsidP="00450ABF">
      <w:pPr>
        <w:pStyle w:val="H6Text"/>
      </w:pPr>
      <w:r w:rsidRPr="00A17C6F">
        <w:t>If the data subject fails to respond within the time period set, the Department shall release the information requested in the court order, with notice to the data subject.  The keeper of the records from the DPH program should certify the records, using Sample-Letter 1</w:t>
      </w:r>
      <w:r>
        <w:t>.</w:t>
      </w:r>
    </w:p>
    <w:p w14:paraId="01F561DD" w14:textId="77777777" w:rsidR="0041175B" w:rsidRDefault="0041175B" w:rsidP="00450ABF">
      <w:pPr>
        <w:pStyle w:val="H2Paragraph"/>
      </w:pPr>
      <w:bookmarkStart w:id="42" w:name="_Toc209771777"/>
      <w:r>
        <w:t>Establishing Protocols</w:t>
      </w:r>
      <w:bookmarkEnd w:id="42"/>
    </w:p>
    <w:p w14:paraId="3DB80060" w14:textId="77777777" w:rsidR="0041175B" w:rsidRDefault="0041175B" w:rsidP="00450ABF">
      <w:pPr>
        <w:pStyle w:val="H3Text"/>
      </w:pPr>
      <w:r>
        <w:t>Programs that handle many subpoenas should work with their program's attorney to decide if they should establish a protocol of how to process routine subpoenas including when the program should contact the attorney.</w:t>
      </w:r>
    </w:p>
    <w:p w14:paraId="56F33958" w14:textId="77777777" w:rsidR="0041175B" w:rsidRDefault="0041175B" w:rsidP="00450ABF">
      <w:pPr>
        <w:pStyle w:val="H2Paragraph"/>
      </w:pPr>
      <w:bookmarkStart w:id="43" w:name="_Toc209771778"/>
      <w:r>
        <w:t>HIPAA:  Subpoena Requirements</w:t>
      </w:r>
      <w:bookmarkEnd w:id="43"/>
    </w:p>
    <w:p w14:paraId="4BEBC6F9" w14:textId="77777777" w:rsidR="0041175B" w:rsidRDefault="0041175B" w:rsidP="00450ABF">
      <w:pPr>
        <w:pStyle w:val="H3SubParagraph"/>
      </w:pPr>
      <w:r>
        <w:t>General Requirements</w:t>
      </w:r>
    </w:p>
    <w:p w14:paraId="2F3D2EC7" w14:textId="77777777" w:rsidR="0041175B" w:rsidRDefault="0041175B" w:rsidP="00450ABF">
      <w:pPr>
        <w:pStyle w:val="H3Text"/>
      </w:pPr>
      <w:r>
        <w:t>Under HIPAA, a covered entity may release information pursuant to a subpoena</w:t>
      </w:r>
      <w:r>
        <w:rPr>
          <w:b/>
        </w:rPr>
        <w:t xml:space="preserve"> </w:t>
      </w:r>
      <w:r>
        <w:t xml:space="preserve">that is </w:t>
      </w:r>
      <w:r>
        <w:rPr>
          <w:i/>
        </w:rPr>
        <w:t>not</w:t>
      </w:r>
      <w:r>
        <w:t xml:space="preserve"> authorized or accompanied by a court order if it receives a "satisfactory assurance"</w:t>
      </w:r>
      <w:r>
        <w:rPr>
          <w:rStyle w:val="FootnoteReference"/>
        </w:rPr>
        <w:footnoteReference w:id="7"/>
      </w:r>
      <w:r>
        <w:t xml:space="preserve"> as described below.  FIPA has a more restrictive standard, requiring the data subject's authorization or a court order, with notice to the data subject before the Department may release information pursuant to a subpoena.  The FIPA standard will be followed by all parts of the Department when </w:t>
      </w:r>
      <w:r w:rsidRPr="00651D09">
        <w:rPr>
          <w:b/>
        </w:rPr>
        <w:t>responding</w:t>
      </w:r>
      <w:r>
        <w:t xml:space="preserve"> to subpoenas regardless of whether the Center or program is a covered health care component under HIPAA.  As described in </w:t>
      </w:r>
      <w:r w:rsidRPr="00A54428">
        <w:t>sectio</w:t>
      </w:r>
      <w:bookmarkStart w:id="44" w:name="_Hlt66590492"/>
      <w:r w:rsidRPr="00A54428">
        <w:t>n</w:t>
      </w:r>
      <w:bookmarkEnd w:id="44"/>
      <w:r w:rsidRPr="00A54428">
        <w:t xml:space="preserve"> IV.</w:t>
      </w:r>
      <w:r>
        <w:t xml:space="preserve">B, however, the Department must follow the requirements of HIPAA when </w:t>
      </w:r>
      <w:r w:rsidRPr="00651D09">
        <w:rPr>
          <w:b/>
        </w:rPr>
        <w:t>issuing</w:t>
      </w:r>
      <w:r>
        <w:t xml:space="preserve"> a subpoena to a HIPAA covered entity.</w:t>
      </w:r>
    </w:p>
    <w:p w14:paraId="5938467B" w14:textId="77777777" w:rsidR="0041175B" w:rsidRDefault="0041175B" w:rsidP="008F5959">
      <w:pPr>
        <w:pStyle w:val="H4SubNumberedParagraph"/>
      </w:pPr>
      <w:r>
        <w:t>Satisfactory Assurance from the individual-HIPAA Standard</w:t>
      </w:r>
    </w:p>
    <w:p w14:paraId="5EF4D3BE" w14:textId="77777777" w:rsidR="0041175B" w:rsidRPr="006540B8" w:rsidRDefault="0041175B">
      <w:pPr>
        <w:pStyle w:val="H5SubAlphaParagraph"/>
        <w:numPr>
          <w:ilvl w:val="3"/>
          <w:numId w:val="123"/>
        </w:numPr>
      </w:pPr>
      <w:r w:rsidRPr="006540B8">
        <w:t>Written notice</w:t>
      </w:r>
    </w:p>
    <w:p w14:paraId="716C11E9" w14:textId="77777777" w:rsidR="0041175B" w:rsidRPr="006540B8" w:rsidRDefault="0041175B" w:rsidP="00450ABF">
      <w:pPr>
        <w:pStyle w:val="H5Text"/>
      </w:pPr>
      <w:r w:rsidRPr="006540B8">
        <w:t xml:space="preserve">The party issuing the subpoena made a good faith attempt to provide written notice to the subject of the PHI, sufficient to permit the individual to raise an objection (mailing to individual's last know address is deemed sufficient); and </w:t>
      </w:r>
    </w:p>
    <w:p w14:paraId="59F81B71" w14:textId="77777777" w:rsidR="0041175B" w:rsidRPr="006540B8" w:rsidRDefault="0041175B" w:rsidP="00450ABF">
      <w:pPr>
        <w:pStyle w:val="H5SubAlphaParagraph"/>
      </w:pPr>
      <w:r w:rsidRPr="006540B8">
        <w:t>Sufficient time to respond</w:t>
      </w:r>
    </w:p>
    <w:p w14:paraId="1E41AB60" w14:textId="77777777" w:rsidR="0041175B" w:rsidRPr="006540B8" w:rsidRDefault="0041175B" w:rsidP="00450ABF">
      <w:pPr>
        <w:pStyle w:val="H5Text"/>
      </w:pPr>
      <w:r w:rsidRPr="006540B8">
        <w:t>The time to raise objections has elapsed, and</w:t>
      </w:r>
    </w:p>
    <w:p w14:paraId="585835E0" w14:textId="77777777" w:rsidR="0041175B" w:rsidRPr="006540B8" w:rsidRDefault="0041175B" w:rsidP="00450ABF">
      <w:pPr>
        <w:pStyle w:val="H5Text"/>
      </w:pPr>
      <w:r w:rsidRPr="006540B8">
        <w:t xml:space="preserve">No objections were filed; or </w:t>
      </w:r>
    </w:p>
    <w:p w14:paraId="4B17AE76" w14:textId="77777777" w:rsidR="0041175B" w:rsidRPr="006540B8" w:rsidRDefault="0041175B" w:rsidP="00450ABF">
      <w:pPr>
        <w:pStyle w:val="H5Text"/>
      </w:pPr>
      <w:r w:rsidRPr="006540B8">
        <w:t>All objections filed were resolved by the court or administrative tribunal, and disclosures are consistent with the resolution.</w:t>
      </w:r>
    </w:p>
    <w:p w14:paraId="668CC7C5" w14:textId="77777777" w:rsidR="0041175B" w:rsidRPr="00DB4B19" w:rsidRDefault="0041175B" w:rsidP="008F5959">
      <w:pPr>
        <w:pStyle w:val="H4SubNumberedParagraph"/>
      </w:pPr>
      <w:r w:rsidRPr="00DB4B19">
        <w:t>Satisfactory Assurance that steps were taken to secure a qualified protective order</w:t>
      </w:r>
      <w:r>
        <w:rPr>
          <w:rStyle w:val="FootnoteReference"/>
        </w:rPr>
        <w:footnoteReference w:id="8"/>
      </w:r>
    </w:p>
    <w:p w14:paraId="41D8C7C7" w14:textId="77777777" w:rsidR="0041175B" w:rsidRPr="00736510" w:rsidRDefault="0041175B">
      <w:pPr>
        <w:pStyle w:val="H4Text"/>
        <w:numPr>
          <w:ilvl w:val="0"/>
          <w:numId w:val="5"/>
        </w:numPr>
      </w:pPr>
      <w:r w:rsidRPr="00736510">
        <w:t>The parties have agreed to a qualified protective order and have presented it to the court or administrative tribunal with jurisdiction over the dispute; or</w:t>
      </w:r>
    </w:p>
    <w:p w14:paraId="3474F6C2" w14:textId="77777777" w:rsidR="0041175B" w:rsidRPr="00736510" w:rsidRDefault="0041175B">
      <w:pPr>
        <w:pStyle w:val="H4Text"/>
        <w:numPr>
          <w:ilvl w:val="0"/>
          <w:numId w:val="5"/>
        </w:numPr>
      </w:pPr>
      <w:r w:rsidRPr="00736510">
        <w:t>Party seeking PHI requested a qualified protective order from such court or tribunal.</w:t>
      </w:r>
    </w:p>
    <w:p w14:paraId="062B45AD" w14:textId="77777777" w:rsidR="0041175B" w:rsidRDefault="0041175B" w:rsidP="00450ABF">
      <w:pPr>
        <w:pStyle w:val="H3SubParagraph"/>
      </w:pPr>
      <w:bookmarkStart w:id="45" w:name="_Hlt66525927"/>
      <w:r>
        <w:t xml:space="preserve">Subpoenas Issued by the Department </w:t>
      </w:r>
      <w:bookmarkEnd w:id="45"/>
    </w:p>
    <w:p w14:paraId="451C9F1E" w14:textId="77777777" w:rsidR="0041175B" w:rsidRPr="00736510" w:rsidRDefault="0041175B" w:rsidP="008F5959">
      <w:pPr>
        <w:pStyle w:val="H4SubNumberedParagraph"/>
      </w:pPr>
      <w:r w:rsidRPr="00736510">
        <w:t>Authority as Health Oversight Agency</w:t>
      </w:r>
    </w:p>
    <w:p w14:paraId="76110E3F" w14:textId="77777777" w:rsidR="0041175B" w:rsidRPr="00B16286" w:rsidRDefault="0041175B" w:rsidP="00450ABF">
      <w:pPr>
        <w:pStyle w:val="H4Text"/>
        <w:rPr>
          <w:i/>
        </w:rPr>
      </w:pPr>
      <w:r w:rsidRPr="006540B8">
        <w:t>If the Department issues a subpoena for documents to be used in an administrative hearing, no</w:t>
      </w:r>
      <w:r>
        <w:t xml:space="preserve"> certification of satisfactory assurance is required if the Department is serving in a health oversight capacity.  Entities covered by HIPAA are authorized to release protected health information without the authorization of the individual provided that the Department is authorized by law as a health oversight agency to oversee the healthcare system (45 CFR Section 164.512 (d)).  This includes oversight activities authorized by law such as administrative investigations, inspections, and licensure or disciplinary actions.  The body of the subpoena should reference the authority for the health oversight function and cite 45 CFR Section 164.512 (d) in place of the satisfactory </w:t>
      </w:r>
      <w:r w:rsidRPr="006540B8">
        <w:t>assurance.</w:t>
      </w:r>
      <w:r>
        <w:t xml:space="preserve">  Programs may also choose to attach a letter that explains the authority:  S</w:t>
      </w:r>
      <w:r>
        <w:rPr>
          <w:i/>
        </w:rPr>
        <w:t>ample-Letter 7</w:t>
      </w:r>
    </w:p>
    <w:p w14:paraId="075C8A9D" w14:textId="77777777" w:rsidR="0041175B" w:rsidRDefault="0041175B" w:rsidP="00450ABF">
      <w:pPr>
        <w:pStyle w:val="H4Text"/>
      </w:pPr>
      <w:r w:rsidRPr="006540B8">
        <w:t>If the Department is not otherwise authorized to receive the information under the HIPAA Privacy</w:t>
      </w:r>
      <w:r>
        <w:t xml:space="preserve"> Rule without the individual’s authorization, the subpoena must be fully compliant with the HIPAA Privacy Rule and be accompanied by a certification of satisfactory assurance.  </w:t>
      </w:r>
    </w:p>
    <w:p w14:paraId="043E691A" w14:textId="77777777" w:rsidR="0041175B" w:rsidRDefault="0041175B" w:rsidP="008F5959">
      <w:pPr>
        <w:pStyle w:val="H4SubNumberedParagraph"/>
      </w:pPr>
      <w:r>
        <w:t>Documenting Satisfactory Assurance Process</w:t>
      </w:r>
    </w:p>
    <w:p w14:paraId="6952C988" w14:textId="77777777" w:rsidR="0041175B" w:rsidRDefault="0041175B" w:rsidP="00450ABF">
      <w:pPr>
        <w:pStyle w:val="H4Text"/>
      </w:pPr>
      <w:r w:rsidRPr="006540B8">
        <w:t>An attorney in the OGC will prepare the required documentation depending on the circumstances.</w:t>
      </w:r>
      <w:r>
        <w:t xml:space="preserve">  Proof of steps taken in the satisfactory assurance process, as described above, shall be kept in the file, including for example:</w:t>
      </w:r>
    </w:p>
    <w:p w14:paraId="280A645D" w14:textId="77777777" w:rsidR="0041175B" w:rsidRPr="006540B8" w:rsidRDefault="0041175B">
      <w:pPr>
        <w:pStyle w:val="H4Text"/>
        <w:numPr>
          <w:ilvl w:val="0"/>
          <w:numId w:val="6"/>
        </w:numPr>
      </w:pPr>
      <w:r w:rsidRPr="006540B8">
        <w:t>Written notice to the data subject;</w:t>
      </w:r>
    </w:p>
    <w:p w14:paraId="31B9043A" w14:textId="77777777" w:rsidR="0041175B" w:rsidRPr="006540B8" w:rsidRDefault="0041175B">
      <w:pPr>
        <w:pStyle w:val="H4Text"/>
        <w:numPr>
          <w:ilvl w:val="0"/>
          <w:numId w:val="6"/>
        </w:numPr>
      </w:pPr>
      <w:r w:rsidRPr="006540B8">
        <w:t>Proof of mailing, including the date of mailing (certificate of mailing or certified mailing receipt) to the data subject; and</w:t>
      </w:r>
    </w:p>
    <w:p w14:paraId="21E3E0A4" w14:textId="77777777" w:rsidR="0041175B" w:rsidRPr="006540B8" w:rsidRDefault="0041175B">
      <w:pPr>
        <w:pStyle w:val="H4Text"/>
        <w:numPr>
          <w:ilvl w:val="0"/>
          <w:numId w:val="6"/>
        </w:numPr>
      </w:pPr>
      <w:r w:rsidRPr="006540B8">
        <w:t>Qualified protective order submitted to court.</w:t>
      </w:r>
    </w:p>
    <w:p w14:paraId="3E2DB691" w14:textId="77777777" w:rsidR="0041175B" w:rsidRDefault="0041175B" w:rsidP="00450ABF">
      <w:pPr>
        <w:pStyle w:val="H3SubParagraph"/>
      </w:pPr>
      <w:r>
        <w:t>Subpoenas Received by the Department</w:t>
      </w:r>
    </w:p>
    <w:p w14:paraId="7AC19AFC" w14:textId="77777777" w:rsidR="0041175B" w:rsidRDefault="0041175B" w:rsidP="00450ABF">
      <w:pPr>
        <w:pStyle w:val="H3Text"/>
      </w:pPr>
      <w:r>
        <w:t xml:space="preserve">If a subpoena is accompanied by a "satisfactory assurance," which meets only the HIPAA, and not the FIPA standard, notify the attorney using </w:t>
      </w:r>
      <w:r w:rsidRPr="00967A31">
        <w:rPr>
          <w:i/>
        </w:rPr>
        <w:t xml:space="preserve">Sample-Letter </w:t>
      </w:r>
      <w:r>
        <w:rPr>
          <w:i/>
        </w:rPr>
        <w:t>8</w:t>
      </w:r>
      <w:r>
        <w:t xml:space="preserve"> that the Department is subject to FIPA and cannot release the information without an authorization from the data subject or a proper court order.  This letter also contains the required M.R.C.P. Rule 45 (d) objection, explained in Part II E.2.a.i above.</w:t>
      </w:r>
    </w:p>
    <w:p w14:paraId="7063AC3B" w14:textId="77777777" w:rsidR="0041175B" w:rsidRPr="00FB326F" w:rsidRDefault="0041175B" w:rsidP="00450ABF"/>
    <w:p w14:paraId="3AD348D9" w14:textId="77777777" w:rsidR="0041175B" w:rsidRPr="00FB326F" w:rsidRDefault="0041175B" w:rsidP="00450ABF"/>
    <w:p w14:paraId="569E7895" w14:textId="77777777" w:rsidR="0041175B" w:rsidRPr="00022A2C" w:rsidRDefault="0041175B" w:rsidP="00450ABF">
      <w:pPr>
        <w:rPr>
          <w:rFonts w:cs="Arial"/>
          <w:u w:val="single"/>
        </w:rPr>
      </w:pPr>
      <w:r w:rsidRPr="00022A2C">
        <w:rPr>
          <w:rFonts w:cs="Arial"/>
          <w:u w:val="single"/>
        </w:rPr>
        <w:t>Authority:</w:t>
      </w:r>
    </w:p>
    <w:p w14:paraId="1884DE79" w14:textId="77777777" w:rsidR="0041175B" w:rsidRDefault="0041175B" w:rsidP="00450ABF">
      <w:pPr>
        <w:pStyle w:val="H3Text"/>
      </w:pPr>
      <w:r>
        <w:t xml:space="preserve">M.G.L. c. 66A </w:t>
      </w:r>
      <w:r w:rsidRPr="00B2043B">
        <w:t>§ 2(k)</w:t>
      </w:r>
    </w:p>
    <w:p w14:paraId="3C57827A" w14:textId="77777777" w:rsidR="0041175B" w:rsidRDefault="0041175B" w:rsidP="00450ABF">
      <w:pPr>
        <w:pStyle w:val="H3Text"/>
      </w:pPr>
      <w:r>
        <w:t>45 C.F.R. § 164.512(e)</w:t>
      </w:r>
    </w:p>
    <w:p w14:paraId="043556D8" w14:textId="77777777" w:rsidR="0041175B" w:rsidRDefault="0041175B" w:rsidP="00450ABF">
      <w:r>
        <w:rPr>
          <w:rFonts w:cs="Arial"/>
          <w:sz w:val="22"/>
          <w:szCs w:val="22"/>
          <w:u w:val="single"/>
        </w:rPr>
        <w:t>For a suggested model-letters</w:t>
      </w:r>
      <w:r w:rsidRPr="003324C0">
        <w:rPr>
          <w:rFonts w:cs="Arial"/>
          <w:sz w:val="22"/>
          <w:szCs w:val="22"/>
        </w:rPr>
        <w:t>:  See Healthnet, look under the Privacy &amp; Data Access pages</w:t>
      </w:r>
      <w:r>
        <w:rPr>
          <w:rFonts w:cs="Arial"/>
          <w:sz w:val="22"/>
          <w:szCs w:val="22"/>
        </w:rPr>
        <w:t xml:space="preserve">, Subpoena Sample-Letters may be found under “Model Forms.” </w:t>
      </w:r>
      <w:r w:rsidRPr="003324C0">
        <w:rPr>
          <w:rFonts w:cs="Arial"/>
          <w:sz w:val="22"/>
          <w:szCs w:val="22"/>
        </w:rPr>
        <w:t xml:space="preserve"> (Available to MDPH Intranet users only)</w:t>
      </w:r>
    </w:p>
    <w:p w14:paraId="7E64D847" w14:textId="77777777" w:rsidR="00C46626" w:rsidRDefault="00C46626" w:rsidP="0041175B"/>
    <w:p w14:paraId="02D3CFD5" w14:textId="6C834E2B" w:rsidR="008355B4" w:rsidRDefault="00E63271" w:rsidP="00E63271">
      <w:pPr>
        <w:rPr>
          <w:rFonts w:cs="Arial"/>
        </w:rPr>
      </w:pPr>
      <w:r>
        <w:br w:type="page"/>
      </w:r>
    </w:p>
    <w:p w14:paraId="12D8D202" w14:textId="77777777" w:rsidR="008355B4" w:rsidRDefault="008355B4" w:rsidP="008355B4">
      <w:pPr>
        <w:jc w:val="left"/>
        <w:rPr>
          <w:rFonts w:cs="Arial"/>
        </w:rPr>
      </w:pPr>
    </w:p>
    <w:p w14:paraId="22FD4FFA" w14:textId="77777777" w:rsidR="008355B4" w:rsidRDefault="008355B4" w:rsidP="008355B4">
      <w:pPr>
        <w:jc w:val="left"/>
        <w:rPr>
          <w:rFonts w:cs="Arial"/>
        </w:rPr>
      </w:pPr>
    </w:p>
    <w:p w14:paraId="6AF1EB9B" w14:textId="77777777" w:rsidR="008355B4" w:rsidRDefault="008355B4" w:rsidP="008355B4">
      <w:pPr>
        <w:jc w:val="left"/>
        <w:rPr>
          <w:rFonts w:cs="Arial"/>
        </w:rPr>
      </w:pPr>
    </w:p>
    <w:p w14:paraId="5DE88594" w14:textId="77777777" w:rsidR="008355B4" w:rsidRDefault="008355B4" w:rsidP="008355B4">
      <w:pPr>
        <w:jc w:val="left"/>
        <w:rPr>
          <w:rFonts w:cs="Arial"/>
        </w:rPr>
      </w:pPr>
    </w:p>
    <w:p w14:paraId="3C596ABD" w14:textId="77777777" w:rsidR="008355B4" w:rsidRDefault="008355B4" w:rsidP="008355B4">
      <w:pPr>
        <w:jc w:val="left"/>
        <w:rPr>
          <w:rFonts w:cs="Arial"/>
        </w:rPr>
      </w:pPr>
    </w:p>
    <w:p w14:paraId="4D60A4AF" w14:textId="77777777" w:rsidR="008355B4" w:rsidRDefault="008355B4" w:rsidP="008355B4">
      <w:pPr>
        <w:jc w:val="left"/>
        <w:rPr>
          <w:rFonts w:cs="Arial"/>
        </w:rPr>
      </w:pPr>
    </w:p>
    <w:p w14:paraId="0F9AA71E" w14:textId="77777777" w:rsidR="008355B4" w:rsidRDefault="008355B4" w:rsidP="008355B4">
      <w:pPr>
        <w:jc w:val="left"/>
        <w:rPr>
          <w:rFonts w:cs="Arial"/>
        </w:rPr>
      </w:pPr>
    </w:p>
    <w:p w14:paraId="3B09DFB3" w14:textId="77777777" w:rsidR="008355B4" w:rsidRDefault="008355B4" w:rsidP="008355B4">
      <w:pPr>
        <w:jc w:val="left"/>
        <w:rPr>
          <w:rFonts w:cs="Arial"/>
        </w:rPr>
      </w:pPr>
    </w:p>
    <w:p w14:paraId="04D7998B" w14:textId="77777777" w:rsidR="008355B4" w:rsidRDefault="008355B4" w:rsidP="008355B4">
      <w:pPr>
        <w:jc w:val="center"/>
        <w:rPr>
          <w:rFonts w:cs="Arial"/>
        </w:rPr>
      </w:pPr>
      <w:r>
        <w:rPr>
          <w:rFonts w:cs="Arial"/>
        </w:rPr>
        <w:t>( Page intentionally blank )</w:t>
      </w:r>
    </w:p>
    <w:p w14:paraId="5E2A0FDC" w14:textId="77777777" w:rsidR="008355B4" w:rsidRDefault="008355B4" w:rsidP="008355B4">
      <w:pPr>
        <w:jc w:val="left"/>
        <w:rPr>
          <w:rFonts w:cs="Arial"/>
        </w:rPr>
      </w:pPr>
    </w:p>
    <w:p w14:paraId="0EAF44C4" w14:textId="77777777" w:rsidR="008355B4" w:rsidRDefault="008355B4" w:rsidP="008355B4">
      <w:pPr>
        <w:sectPr w:rsidR="008355B4" w:rsidSect="003173E2">
          <w:headerReference w:type="even" r:id="rId38"/>
          <w:headerReference w:type="default" r:id="rId39"/>
          <w:footerReference w:type="even" r:id="rId40"/>
          <w:footerReference w:type="default" r:id="rId41"/>
          <w:headerReference w:type="first" r:id="rId42"/>
          <w:footerReference w:type="first" r:id="rId43"/>
          <w:pgSz w:w="12240" w:h="15840" w:code="1"/>
          <w:pgMar w:top="1080" w:right="1440" w:bottom="1440" w:left="1800" w:header="720" w:footer="720" w:gutter="0"/>
          <w:cols w:space="720"/>
          <w:docGrid w:linePitch="360"/>
        </w:sectPr>
      </w:pPr>
    </w:p>
    <w:p w14:paraId="74EDBE82" w14:textId="0E1FD2A9" w:rsidR="00BA3FCD" w:rsidRPr="00413AF4" w:rsidRDefault="00C46626" w:rsidP="00BA3FCD">
      <w:pPr>
        <w:pStyle w:val="H1ProcedureSection"/>
      </w:pPr>
      <w:bookmarkStart w:id="46" w:name="_Toc209771779"/>
      <w:r w:rsidRPr="005F116A">
        <w:t>Procedure 6</w:t>
      </w:r>
      <w:bookmarkStart w:id="47" w:name="_Hlt66434525"/>
      <w:bookmarkEnd w:id="47"/>
      <w:r w:rsidR="008028A4">
        <w:tab/>
      </w:r>
      <w:r w:rsidRPr="005F116A">
        <w:t>Research Requirements</w:t>
      </w:r>
      <w:bookmarkEnd w:id="46"/>
    </w:p>
    <w:p w14:paraId="5FB280FA" w14:textId="77777777" w:rsidR="00BA3FCD" w:rsidRPr="007F4964" w:rsidRDefault="00BA3FCD" w:rsidP="00BA3FCD">
      <w:pPr>
        <w:pStyle w:val="Version"/>
      </w:pPr>
      <w:r w:rsidRPr="007F4964">
        <w:t xml:space="preserve">Version:  </w:t>
      </w:r>
      <w:r w:rsidR="00423EB1">
        <w:t>4</w:t>
      </w:r>
      <w:r w:rsidRPr="007F4964">
        <w:tab/>
        <w:t xml:space="preserve">Effective Date:  </w:t>
      </w:r>
      <w:r w:rsidR="00135592">
        <w:t>October 1, 2012</w:t>
      </w:r>
    </w:p>
    <w:p w14:paraId="5E0AEB7B" w14:textId="77777777" w:rsidR="001F125F" w:rsidRDefault="00BA3FCD" w:rsidP="00135592">
      <w:pPr>
        <w:pStyle w:val="H2Paragraph"/>
        <w:numPr>
          <w:ilvl w:val="0"/>
          <w:numId w:val="0"/>
        </w:numPr>
      </w:pPr>
      <w:r>
        <w:t xml:space="preserve"> </w:t>
      </w:r>
    </w:p>
    <w:p w14:paraId="63F8C6C4" w14:textId="77777777" w:rsidR="001F125F" w:rsidRDefault="001F125F" w:rsidP="008355B4">
      <w:pPr>
        <w:jc w:val="center"/>
        <w:rPr>
          <w:rFonts w:cs="Arial"/>
        </w:rPr>
      </w:pPr>
    </w:p>
    <w:p w14:paraId="59EE3B6C" w14:textId="77777777" w:rsidR="001F125F" w:rsidRDefault="001F125F" w:rsidP="008355B4">
      <w:pPr>
        <w:jc w:val="center"/>
        <w:rPr>
          <w:rFonts w:cs="Arial"/>
        </w:rPr>
      </w:pPr>
    </w:p>
    <w:p w14:paraId="236A7F7E" w14:textId="77777777" w:rsidR="00780BE3" w:rsidRDefault="00780BE3" w:rsidP="008355B4">
      <w:pPr>
        <w:jc w:val="center"/>
        <w:rPr>
          <w:rFonts w:cs="Arial"/>
        </w:rPr>
      </w:pPr>
    </w:p>
    <w:p w14:paraId="47A9D5C5" w14:textId="77777777" w:rsidR="00780BE3" w:rsidRDefault="00780BE3" w:rsidP="008355B4">
      <w:pPr>
        <w:jc w:val="center"/>
        <w:rPr>
          <w:rFonts w:cs="Arial"/>
        </w:rPr>
      </w:pPr>
    </w:p>
    <w:p w14:paraId="597ACDF7" w14:textId="77777777" w:rsidR="00780BE3" w:rsidRDefault="00780BE3" w:rsidP="008355B4">
      <w:pPr>
        <w:jc w:val="center"/>
        <w:rPr>
          <w:rFonts w:cs="Arial"/>
        </w:rPr>
      </w:pPr>
    </w:p>
    <w:p w14:paraId="573C700B" w14:textId="77777777" w:rsidR="00780BE3" w:rsidRDefault="00780BE3" w:rsidP="008355B4">
      <w:pPr>
        <w:jc w:val="center"/>
        <w:rPr>
          <w:rFonts w:cs="Arial"/>
        </w:rPr>
      </w:pPr>
    </w:p>
    <w:p w14:paraId="44A344BD" w14:textId="77777777" w:rsidR="00780BE3" w:rsidRDefault="00780BE3" w:rsidP="008355B4">
      <w:pPr>
        <w:jc w:val="center"/>
        <w:rPr>
          <w:rFonts w:cs="Arial"/>
        </w:rPr>
      </w:pPr>
    </w:p>
    <w:p w14:paraId="4690F255" w14:textId="77777777" w:rsidR="001F125F" w:rsidRPr="001F125F" w:rsidRDefault="001F125F" w:rsidP="008355B4">
      <w:pPr>
        <w:jc w:val="center"/>
        <w:rPr>
          <w:rFonts w:cs="Arial"/>
          <w:b/>
          <w:sz w:val="28"/>
          <w:szCs w:val="28"/>
        </w:rPr>
      </w:pPr>
      <w:r w:rsidRPr="001F125F">
        <w:rPr>
          <w:rFonts w:cs="Arial"/>
          <w:b/>
          <w:sz w:val="28"/>
          <w:szCs w:val="28"/>
        </w:rPr>
        <w:t>Procedure 6 has been removed</w:t>
      </w:r>
    </w:p>
    <w:p w14:paraId="41AD8164" w14:textId="77777777" w:rsidR="008355B4" w:rsidRDefault="001F125F" w:rsidP="008355B4">
      <w:pPr>
        <w:jc w:val="center"/>
        <w:rPr>
          <w:rFonts w:cs="Arial"/>
          <w:sz w:val="28"/>
          <w:szCs w:val="28"/>
        </w:rPr>
      </w:pPr>
      <w:r w:rsidRPr="001F125F">
        <w:rPr>
          <w:rFonts w:cs="Arial"/>
          <w:sz w:val="28"/>
          <w:szCs w:val="28"/>
        </w:rPr>
        <w:t xml:space="preserve">This procedure </w:t>
      </w:r>
      <w:r w:rsidR="00AA720F">
        <w:rPr>
          <w:rFonts w:cs="Arial"/>
          <w:sz w:val="28"/>
          <w:szCs w:val="28"/>
        </w:rPr>
        <w:t>will be</w:t>
      </w:r>
      <w:r w:rsidRPr="001F125F">
        <w:rPr>
          <w:rFonts w:cs="Arial"/>
          <w:sz w:val="28"/>
          <w:szCs w:val="28"/>
        </w:rPr>
        <w:t xml:space="preserve"> rewritten.</w:t>
      </w:r>
    </w:p>
    <w:p w14:paraId="3849C35A" w14:textId="77777777" w:rsidR="001F125F" w:rsidRDefault="001F125F" w:rsidP="008355B4">
      <w:pPr>
        <w:jc w:val="center"/>
        <w:rPr>
          <w:rFonts w:cs="Arial"/>
          <w:sz w:val="28"/>
          <w:szCs w:val="28"/>
        </w:rPr>
      </w:pPr>
    </w:p>
    <w:p w14:paraId="00D82E5D" w14:textId="77777777" w:rsidR="001F125F" w:rsidRPr="001F125F" w:rsidRDefault="001F125F" w:rsidP="008355B4">
      <w:pPr>
        <w:jc w:val="center"/>
        <w:rPr>
          <w:rFonts w:cs="Arial"/>
          <w:sz w:val="28"/>
          <w:szCs w:val="28"/>
        </w:rPr>
      </w:pPr>
    </w:p>
    <w:p w14:paraId="00775106" w14:textId="77777777" w:rsidR="001F125F" w:rsidRDefault="001F125F" w:rsidP="001F125F">
      <w:pPr>
        <w:pStyle w:val="NormalWeb"/>
        <w:spacing w:before="0" w:beforeAutospacing="0" w:after="0" w:afterAutospacing="0"/>
        <w:jc w:val="center"/>
        <w:rPr>
          <w:rFonts w:ascii="Arial" w:hAnsi="Arial" w:cs="Arial"/>
          <w:sz w:val="28"/>
          <w:szCs w:val="28"/>
          <w:lang w:val="en"/>
        </w:rPr>
      </w:pPr>
      <w:r w:rsidRPr="001F125F">
        <w:rPr>
          <w:rFonts w:ascii="Arial" w:hAnsi="Arial" w:cs="Arial"/>
          <w:sz w:val="28"/>
          <w:szCs w:val="28"/>
        </w:rPr>
        <w:t>Research Requirement questions may be directed to t</w:t>
      </w:r>
      <w:r w:rsidRPr="001F125F">
        <w:rPr>
          <w:rFonts w:ascii="Arial" w:hAnsi="Arial" w:cs="Arial"/>
          <w:sz w:val="28"/>
          <w:szCs w:val="28"/>
          <w:lang w:val="en"/>
        </w:rPr>
        <w:t xml:space="preserve">he </w:t>
      </w:r>
    </w:p>
    <w:p w14:paraId="562BA501" w14:textId="0E0021ED" w:rsidR="001F125F" w:rsidRDefault="00E11A78" w:rsidP="001F125F">
      <w:pPr>
        <w:jc w:val="center"/>
        <w:rPr>
          <w:rFonts w:cs="Arial"/>
        </w:rPr>
      </w:pPr>
      <w:r w:rsidRPr="00E11A78">
        <w:rPr>
          <w:rFonts w:cs="Arial"/>
          <w:sz w:val="28"/>
          <w:szCs w:val="28"/>
          <w:lang w:val="en"/>
        </w:rPr>
        <w:t>Office of Population Health</w:t>
      </w:r>
    </w:p>
    <w:p w14:paraId="5778BBCA" w14:textId="74F3123D" w:rsidR="009A7BF6" w:rsidRDefault="00927667" w:rsidP="00927667">
      <w:pPr>
        <w:rPr>
          <w:rFonts w:cs="Arial"/>
        </w:rPr>
      </w:pPr>
      <w:r>
        <w:br w:type="page"/>
      </w:r>
    </w:p>
    <w:p w14:paraId="4DC922E7" w14:textId="77777777" w:rsidR="009A7BF6" w:rsidRDefault="009A7BF6" w:rsidP="009A7BF6">
      <w:pPr>
        <w:jc w:val="left"/>
        <w:rPr>
          <w:rFonts w:cs="Arial"/>
        </w:rPr>
      </w:pPr>
    </w:p>
    <w:p w14:paraId="384CCEB0" w14:textId="77777777" w:rsidR="009A7BF6" w:rsidRDefault="009A7BF6" w:rsidP="009A7BF6">
      <w:pPr>
        <w:jc w:val="left"/>
        <w:rPr>
          <w:rFonts w:cs="Arial"/>
        </w:rPr>
      </w:pPr>
    </w:p>
    <w:p w14:paraId="75A1F673" w14:textId="77777777" w:rsidR="009A7BF6" w:rsidRDefault="009A7BF6" w:rsidP="009A7BF6">
      <w:pPr>
        <w:jc w:val="left"/>
        <w:rPr>
          <w:rFonts w:cs="Arial"/>
        </w:rPr>
      </w:pPr>
    </w:p>
    <w:p w14:paraId="617882AD" w14:textId="77777777" w:rsidR="009A7BF6" w:rsidRDefault="009A7BF6" w:rsidP="009A7BF6">
      <w:pPr>
        <w:jc w:val="left"/>
        <w:rPr>
          <w:rFonts w:cs="Arial"/>
        </w:rPr>
      </w:pPr>
    </w:p>
    <w:p w14:paraId="673A0C13" w14:textId="77777777" w:rsidR="009A7BF6" w:rsidRDefault="009A7BF6" w:rsidP="009A7BF6">
      <w:pPr>
        <w:jc w:val="left"/>
        <w:rPr>
          <w:rFonts w:cs="Arial"/>
        </w:rPr>
      </w:pPr>
    </w:p>
    <w:p w14:paraId="38EE1DF4" w14:textId="77777777" w:rsidR="009A7BF6" w:rsidRDefault="009A7BF6" w:rsidP="009A7BF6">
      <w:pPr>
        <w:jc w:val="left"/>
        <w:rPr>
          <w:rFonts w:cs="Arial"/>
        </w:rPr>
      </w:pPr>
    </w:p>
    <w:p w14:paraId="21FFE672" w14:textId="77777777" w:rsidR="009A7BF6" w:rsidRDefault="009A7BF6" w:rsidP="009A7BF6">
      <w:pPr>
        <w:jc w:val="left"/>
        <w:rPr>
          <w:rFonts w:cs="Arial"/>
        </w:rPr>
      </w:pPr>
    </w:p>
    <w:p w14:paraId="71385DDB" w14:textId="77777777" w:rsidR="009A7BF6" w:rsidRDefault="009A7BF6" w:rsidP="009A7BF6">
      <w:pPr>
        <w:jc w:val="left"/>
        <w:rPr>
          <w:rFonts w:cs="Arial"/>
        </w:rPr>
      </w:pPr>
    </w:p>
    <w:p w14:paraId="1A758E7A" w14:textId="77777777" w:rsidR="009A7BF6" w:rsidRDefault="009A7BF6" w:rsidP="009A7BF6">
      <w:pPr>
        <w:jc w:val="center"/>
        <w:rPr>
          <w:rFonts w:cs="Arial"/>
        </w:rPr>
      </w:pPr>
      <w:r>
        <w:rPr>
          <w:rFonts w:cs="Arial"/>
        </w:rPr>
        <w:t>( Page intentionally blank )</w:t>
      </w:r>
    </w:p>
    <w:p w14:paraId="2AE791CC" w14:textId="77777777" w:rsidR="009A7BF6" w:rsidRDefault="009A7BF6" w:rsidP="009A7BF6">
      <w:pPr>
        <w:jc w:val="left"/>
        <w:rPr>
          <w:rFonts w:cs="Arial"/>
        </w:rPr>
      </w:pPr>
    </w:p>
    <w:p w14:paraId="10D110C9" w14:textId="77777777" w:rsidR="008355B4" w:rsidRDefault="008355B4" w:rsidP="008355B4">
      <w:pPr>
        <w:sectPr w:rsidR="008355B4" w:rsidSect="003173E2">
          <w:headerReference w:type="default" r:id="rId44"/>
          <w:footerReference w:type="even" r:id="rId45"/>
          <w:footerReference w:type="default" r:id="rId46"/>
          <w:pgSz w:w="12240" w:h="15840" w:code="1"/>
          <w:pgMar w:top="1080" w:right="1440" w:bottom="1440" w:left="1800" w:header="720" w:footer="720" w:gutter="0"/>
          <w:cols w:space="720"/>
          <w:docGrid w:linePitch="360"/>
        </w:sectPr>
      </w:pPr>
    </w:p>
    <w:p w14:paraId="3F7DA20C" w14:textId="77777777" w:rsidR="00413AF4" w:rsidRPr="00413AF4" w:rsidRDefault="00413AF4" w:rsidP="008028A4">
      <w:pPr>
        <w:pStyle w:val="H1ProcedureSection"/>
      </w:pPr>
      <w:bookmarkStart w:id="48" w:name="_Toc209771780"/>
      <w:r w:rsidRPr="00413AF4">
        <w:t>Procedure 7</w:t>
      </w:r>
      <w:r>
        <w:tab/>
      </w:r>
      <w:r w:rsidRPr="00413AF4">
        <w:t xml:space="preserve">De-Identification, Limited Data Sets, and </w:t>
      </w:r>
      <w:r w:rsidR="00FE3E5A">
        <w:br/>
      </w:r>
      <w:r w:rsidRPr="00413AF4">
        <w:t>Aggregate Data</w:t>
      </w:r>
      <w:bookmarkEnd w:id="48"/>
    </w:p>
    <w:p w14:paraId="51BE7495" w14:textId="77777777" w:rsidR="00413AF4" w:rsidRPr="007F4964" w:rsidRDefault="00413AF4" w:rsidP="009C11B0">
      <w:pPr>
        <w:pStyle w:val="Version"/>
      </w:pPr>
      <w:r w:rsidRPr="007F4964">
        <w:t xml:space="preserve">Version:  </w:t>
      </w:r>
      <w:r w:rsidR="00423EB1">
        <w:t>6</w:t>
      </w:r>
      <w:r w:rsidRPr="007F4964">
        <w:tab/>
        <w:t xml:space="preserve">Effective Date:  </w:t>
      </w:r>
      <w:r w:rsidR="00423EB1">
        <w:t>October 1, 2012</w:t>
      </w:r>
    </w:p>
    <w:p w14:paraId="128B6A3F" w14:textId="77777777" w:rsidR="00413AF4" w:rsidRDefault="00413AF4">
      <w:pPr>
        <w:pStyle w:val="H2Paragraph"/>
        <w:numPr>
          <w:ilvl w:val="0"/>
          <w:numId w:val="55"/>
        </w:numPr>
      </w:pPr>
      <w:bookmarkStart w:id="49" w:name="_Toc209771781"/>
      <w:r>
        <w:t>Purpose and Scope</w:t>
      </w:r>
      <w:bookmarkEnd w:id="49"/>
    </w:p>
    <w:p w14:paraId="0977BEDE" w14:textId="77777777" w:rsidR="00413AF4" w:rsidRDefault="00413AF4" w:rsidP="009C11B0">
      <w:pPr>
        <w:pStyle w:val="H3Text"/>
      </w:pPr>
      <w:r>
        <w:t>This procedure specifies standards under which individual-level or aggregate data can be disclosed if information that can identify a person has been removed or limited as in a limited data set.  This procedure applies to both covered and non-covered components of the Department and to all Department workforce members unless otherwise stated.</w:t>
      </w:r>
      <w:r>
        <w:rPr>
          <w:rStyle w:val="FootnoteReference"/>
          <w:rFonts w:cs="Arial"/>
        </w:rPr>
        <w:footnoteReference w:id="9"/>
      </w:r>
      <w:r>
        <w:t xml:space="preserve">  Individual-level data </w:t>
      </w:r>
      <w:r>
        <w:rPr>
          <w:color w:val="000000"/>
        </w:rPr>
        <w:t xml:space="preserve">are considered de-identified provided that they meet the </w:t>
      </w:r>
      <w:r>
        <w:t>standards established in this procedure.  A Bureau, however, retains the discretion not to release data that it believes risk identification of the data subject.  Bureaus may adopt different aggregate data release standards provided they are at least as protective as one of the standards described in this procedure.  The decision to be more protective or to suppress or not release portions of particular aggregate data remains with the custodian of the data.</w:t>
      </w:r>
    </w:p>
    <w:p w14:paraId="51E2052B" w14:textId="77777777" w:rsidR="00413AF4" w:rsidRDefault="00413AF4" w:rsidP="009C11B0">
      <w:pPr>
        <w:pStyle w:val="H2Paragraph"/>
      </w:pPr>
      <w:bookmarkStart w:id="50" w:name="_Toc209771782"/>
      <w:r w:rsidRPr="00414F58">
        <w:t>Standards for Disclosure of Individual-Level Data</w:t>
      </w:r>
      <w:bookmarkEnd w:id="50"/>
    </w:p>
    <w:p w14:paraId="66ED1723" w14:textId="77777777" w:rsidR="00413AF4" w:rsidRDefault="00413AF4" w:rsidP="009C11B0">
      <w:pPr>
        <w:pStyle w:val="H3SubParagraph"/>
      </w:pPr>
      <w:r>
        <w:t>De-Identification Standard</w:t>
      </w:r>
      <w:bookmarkStart w:id="51" w:name="_Hlt59589730"/>
      <w:bookmarkEnd w:id="51"/>
      <w:r>
        <w:t xml:space="preserve"> </w:t>
      </w:r>
    </w:p>
    <w:p w14:paraId="309D95B9" w14:textId="77777777" w:rsidR="00413AF4" w:rsidRDefault="00413AF4" w:rsidP="009C11B0">
      <w:pPr>
        <w:pStyle w:val="H3Text"/>
      </w:pPr>
      <w:r>
        <w:t xml:space="preserve">Individual-level data are sufficiently de-identified and do not constitute confidential information if one of the following de-identification methods is satisfied.  </w:t>
      </w:r>
    </w:p>
    <w:p w14:paraId="2885A549" w14:textId="77777777" w:rsidR="00413AF4" w:rsidRDefault="00413AF4" w:rsidP="008F5959">
      <w:pPr>
        <w:pStyle w:val="H4SubNumberedParagraph"/>
      </w:pPr>
      <w:r>
        <w:t>Statistical De-Identification</w:t>
      </w:r>
    </w:p>
    <w:p w14:paraId="2A22BB83" w14:textId="77777777" w:rsidR="00413AF4" w:rsidRDefault="00413AF4" w:rsidP="009C11B0">
      <w:pPr>
        <w:pStyle w:val="H4Text"/>
      </w:pPr>
      <w:r>
        <w:t xml:space="preserve">A qualified statistician using accepted analytic techniques concludes that the risk is very small that the individual-level data could be used alone or in combination with other reasonably available information to identify the subject of those data.  </w:t>
      </w:r>
    </w:p>
    <w:p w14:paraId="118049D7" w14:textId="77777777" w:rsidR="00413AF4" w:rsidRDefault="00413AF4">
      <w:pPr>
        <w:pStyle w:val="H4Text"/>
        <w:numPr>
          <w:ilvl w:val="0"/>
          <w:numId w:val="13"/>
        </w:numPr>
      </w:pPr>
      <w:r>
        <w:t xml:space="preserve">For purposes of this procedure, a qualified statistician shall mean a member of the MDPH workforce who is identified by the Bureau Director for this purpose and is approved by the Privacy &amp; Data Access Office.  </w:t>
      </w:r>
    </w:p>
    <w:p w14:paraId="019D67E5" w14:textId="77777777" w:rsidR="00413AF4" w:rsidRDefault="00413AF4">
      <w:pPr>
        <w:pStyle w:val="H4Text"/>
        <w:numPr>
          <w:ilvl w:val="0"/>
          <w:numId w:val="13"/>
        </w:numPr>
      </w:pPr>
      <w:r>
        <w:t xml:space="preserve">The process for making this determination must be documented in writing and approved by the Privacy &amp; Data Access Office.  </w:t>
      </w:r>
    </w:p>
    <w:p w14:paraId="0EA764CE" w14:textId="77777777" w:rsidR="00413AF4" w:rsidRDefault="00413AF4">
      <w:pPr>
        <w:pStyle w:val="H4Text"/>
        <w:numPr>
          <w:ilvl w:val="0"/>
          <w:numId w:val="13"/>
        </w:numPr>
      </w:pPr>
      <w:r>
        <w:t xml:space="preserve">The documentation shall be maintained with the file including the individual-level data and record of disclosure.  </w:t>
      </w:r>
    </w:p>
    <w:p w14:paraId="46D2F78C" w14:textId="77777777" w:rsidR="00413AF4" w:rsidRDefault="00413AF4" w:rsidP="009C11B0">
      <w:pPr>
        <w:pStyle w:val="H4Text"/>
        <w:rPr>
          <w:rFonts w:cs="Arial"/>
        </w:rPr>
      </w:pPr>
      <w:r>
        <w:rPr>
          <w:rFonts w:cs="Arial"/>
        </w:rPr>
        <w:t>or</w:t>
      </w:r>
    </w:p>
    <w:p w14:paraId="266F8A7E" w14:textId="77777777" w:rsidR="00413AF4" w:rsidRDefault="00413AF4" w:rsidP="008F5959">
      <w:pPr>
        <w:pStyle w:val="H4SubNumberedParagraph"/>
      </w:pPr>
      <w:smartTag w:uri="urn:schemas-microsoft-com:office:smarttags" w:element="place">
        <w:smartTag w:uri="urn:schemas-microsoft-com:office:smarttags" w:element="PlaceName">
          <w:r>
            <w:t>Safe</w:t>
          </w:r>
        </w:smartTag>
        <w:r>
          <w:t xml:space="preserve"> </w:t>
        </w:r>
        <w:smartTag w:uri="urn:schemas-microsoft-com:office:smarttags" w:element="PlaceType">
          <w:r>
            <w:t>Harbor</w:t>
          </w:r>
        </w:smartTag>
      </w:smartTag>
      <w:r>
        <w:t xml:space="preserve"> Method  </w:t>
      </w:r>
      <w:r w:rsidRPr="00FF7D45">
        <w:t>(Covered components, see footnote</w:t>
      </w:r>
      <w:r>
        <w:t>s</w:t>
      </w:r>
      <w:r w:rsidRPr="00FF7D45">
        <w:t>)</w:t>
      </w:r>
      <w:r>
        <w:t xml:space="preserve"> </w:t>
      </w:r>
    </w:p>
    <w:p w14:paraId="2020D0A7" w14:textId="77777777" w:rsidR="00413AF4" w:rsidRPr="00F639B8" w:rsidRDefault="00413AF4" w:rsidP="009C11B0">
      <w:pPr>
        <w:pStyle w:val="H4Text"/>
      </w:pPr>
      <w:r w:rsidRPr="00F639B8">
        <w:t xml:space="preserve">Individual-level data are considered de-identified under the safe-harbor method if </w:t>
      </w:r>
    </w:p>
    <w:p w14:paraId="25F15815" w14:textId="77777777" w:rsidR="00413AF4" w:rsidRDefault="00413AF4" w:rsidP="009C11B0">
      <w:pPr>
        <w:pStyle w:val="H5Text"/>
      </w:pPr>
      <w:r>
        <w:t>A</w:t>
      </w:r>
      <w:r w:rsidRPr="00F639B8">
        <w:t>ll of the identifiers listed in this subsection are removed and the Department workforce member who discloses the de-identified information does not have actual knowledge that the information could be used alone or in combination with other information to identify an individual who is the subject of the information.</w:t>
      </w:r>
      <w:r>
        <w:t xml:space="preserve">  If the holder of the data is not the custodian, the holder must confirm with the custodian prior to release that the data are appropriately de-identified.</w:t>
      </w:r>
    </w:p>
    <w:p w14:paraId="36CCE70F" w14:textId="77777777" w:rsidR="00413AF4" w:rsidRPr="006D5030" w:rsidRDefault="00413AF4" w:rsidP="009C11B0">
      <w:pPr>
        <w:spacing w:after="120"/>
        <w:ind w:left="1440"/>
        <w:rPr>
          <w:rFonts w:cs="Arial"/>
          <w:b/>
          <w:sz w:val="20"/>
          <w:szCs w:val="20"/>
        </w:rPr>
      </w:pPr>
      <w:r w:rsidRPr="006D5030">
        <w:rPr>
          <w:rFonts w:cs="Arial"/>
          <w:b/>
          <w:sz w:val="20"/>
          <w:szCs w:val="20"/>
          <w:u w:val="single"/>
        </w:rPr>
        <w:t>NOTE</w:t>
      </w:r>
      <w:r w:rsidRPr="006D5030">
        <w:rPr>
          <w:rFonts w:cs="Arial"/>
          <w:b/>
          <w:sz w:val="20"/>
          <w:szCs w:val="20"/>
        </w:rPr>
        <w:t>:  Even if the identifiers listed are removed, there may be situations in which unique characteristics still make the data identifiable, and the data holder must group data elements or combine years in order to create appropriately de-identified information or must not disclose the information.</w:t>
      </w:r>
    </w:p>
    <w:p w14:paraId="6DC90496" w14:textId="77777777" w:rsidR="00413AF4" w:rsidRPr="006D5030" w:rsidRDefault="00413AF4" w:rsidP="009C11B0">
      <w:pPr>
        <w:pStyle w:val="H3Text"/>
      </w:pPr>
      <w:r>
        <w:t xml:space="preserve">To create de-identified data, all of the following identifiers of the individual or of relatives, employers, or household members of the individual </w:t>
      </w:r>
      <w:r w:rsidRPr="006D5030">
        <w:rPr>
          <w:u w:val="single"/>
        </w:rPr>
        <w:t>must be removed</w:t>
      </w:r>
      <w:r w:rsidRPr="006D5030">
        <w:t>:</w:t>
      </w:r>
    </w:p>
    <w:p w14:paraId="53C1DC09"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 xml:space="preserve">Names; </w:t>
      </w:r>
    </w:p>
    <w:p w14:paraId="4F2334B0"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All geographic subdivisions</w:t>
      </w:r>
      <w:r w:rsidRPr="00C65EF7">
        <w:rPr>
          <w:rStyle w:val="FootnoteReference"/>
          <w:rFonts w:cs="Arial"/>
          <w:sz w:val="22"/>
          <w:szCs w:val="22"/>
        </w:rPr>
        <w:footnoteReference w:id="10"/>
      </w:r>
      <w:r w:rsidRPr="00C65EF7">
        <w:rPr>
          <w:rStyle w:val="FootnoteReference"/>
          <w:rFonts w:cs="Arial"/>
          <w:sz w:val="22"/>
          <w:szCs w:val="22"/>
        </w:rPr>
        <w:t xml:space="preserve"> </w:t>
      </w:r>
      <w:r w:rsidRPr="00C65EF7">
        <w:rPr>
          <w:rFonts w:cs="Arial"/>
          <w:sz w:val="22"/>
          <w:szCs w:val="22"/>
        </w:rPr>
        <w:t>of a state including:</w:t>
      </w:r>
    </w:p>
    <w:p w14:paraId="14A9219A" w14:textId="77777777" w:rsidR="00413AF4" w:rsidRPr="00C65EF7" w:rsidRDefault="00413AF4">
      <w:pPr>
        <w:numPr>
          <w:ilvl w:val="1"/>
          <w:numId w:val="11"/>
        </w:numPr>
        <w:jc w:val="left"/>
        <w:rPr>
          <w:rFonts w:cs="Arial"/>
          <w:sz w:val="22"/>
          <w:szCs w:val="22"/>
        </w:rPr>
      </w:pPr>
      <w:r w:rsidRPr="00C65EF7">
        <w:rPr>
          <w:rFonts w:cs="Arial"/>
          <w:sz w:val="22"/>
          <w:szCs w:val="22"/>
        </w:rPr>
        <w:t>street address</w:t>
      </w:r>
    </w:p>
    <w:p w14:paraId="377AC65F" w14:textId="77777777" w:rsidR="00413AF4" w:rsidRPr="00C65EF7" w:rsidRDefault="00413AF4">
      <w:pPr>
        <w:numPr>
          <w:ilvl w:val="1"/>
          <w:numId w:val="11"/>
        </w:numPr>
        <w:jc w:val="left"/>
        <w:rPr>
          <w:rFonts w:cs="Arial"/>
          <w:sz w:val="22"/>
          <w:szCs w:val="22"/>
        </w:rPr>
      </w:pPr>
      <w:r w:rsidRPr="00C65EF7">
        <w:rPr>
          <w:rFonts w:cs="Arial"/>
          <w:sz w:val="22"/>
          <w:szCs w:val="22"/>
        </w:rPr>
        <w:t>city/town</w:t>
      </w:r>
    </w:p>
    <w:p w14:paraId="7C18F18A" w14:textId="77777777" w:rsidR="00413AF4" w:rsidRPr="00C65EF7" w:rsidRDefault="00413AF4">
      <w:pPr>
        <w:numPr>
          <w:ilvl w:val="1"/>
          <w:numId w:val="11"/>
        </w:numPr>
        <w:jc w:val="left"/>
        <w:rPr>
          <w:rFonts w:cs="Arial"/>
          <w:sz w:val="22"/>
          <w:szCs w:val="22"/>
        </w:rPr>
      </w:pPr>
      <w:r w:rsidRPr="00C65EF7">
        <w:rPr>
          <w:rFonts w:cs="Arial"/>
          <w:sz w:val="22"/>
          <w:szCs w:val="22"/>
        </w:rPr>
        <w:t>precinct</w:t>
      </w:r>
    </w:p>
    <w:p w14:paraId="63F742D3" w14:textId="77777777" w:rsidR="00413AF4" w:rsidRPr="00C65EF7" w:rsidRDefault="00413AF4">
      <w:pPr>
        <w:numPr>
          <w:ilvl w:val="1"/>
          <w:numId w:val="11"/>
        </w:numPr>
        <w:jc w:val="left"/>
        <w:rPr>
          <w:rFonts w:cs="Arial"/>
          <w:sz w:val="22"/>
          <w:szCs w:val="22"/>
        </w:rPr>
      </w:pPr>
      <w:r w:rsidRPr="00C65EF7">
        <w:rPr>
          <w:rFonts w:cs="Arial"/>
          <w:sz w:val="22"/>
          <w:szCs w:val="22"/>
        </w:rPr>
        <w:t>Zip Code</w:t>
      </w:r>
    </w:p>
    <w:p w14:paraId="1FCB970F" w14:textId="77777777" w:rsidR="00413AF4" w:rsidRPr="00C65EF7" w:rsidRDefault="00413AF4">
      <w:pPr>
        <w:numPr>
          <w:ilvl w:val="1"/>
          <w:numId w:val="11"/>
        </w:numPr>
        <w:jc w:val="left"/>
        <w:rPr>
          <w:rFonts w:cs="Arial"/>
          <w:b/>
          <w:sz w:val="22"/>
          <w:szCs w:val="22"/>
        </w:rPr>
      </w:pPr>
      <w:r w:rsidRPr="00C65EF7">
        <w:rPr>
          <w:rFonts w:cs="Arial"/>
          <w:sz w:val="22"/>
          <w:szCs w:val="22"/>
        </w:rPr>
        <w:t>census tract and geocodes equivalent to the above</w:t>
      </w:r>
    </w:p>
    <w:p w14:paraId="606EDE55" w14:textId="77777777" w:rsidR="00413AF4" w:rsidRPr="00C65EF7" w:rsidRDefault="00413AF4">
      <w:pPr>
        <w:ind w:left="1800"/>
        <w:rPr>
          <w:rFonts w:cs="Arial"/>
          <w:b/>
          <w:i/>
          <w:sz w:val="22"/>
          <w:szCs w:val="22"/>
        </w:rPr>
      </w:pPr>
      <w:r w:rsidRPr="00C65EF7">
        <w:rPr>
          <w:rFonts w:cs="Arial"/>
          <w:b/>
          <w:i/>
          <w:sz w:val="22"/>
          <w:szCs w:val="22"/>
        </w:rPr>
        <w:t>Exceptions: the following geographic information may be   included:</w:t>
      </w:r>
    </w:p>
    <w:p w14:paraId="18545273" w14:textId="77777777" w:rsidR="00413AF4" w:rsidRPr="00C65EF7" w:rsidRDefault="00413AF4">
      <w:pPr>
        <w:numPr>
          <w:ilvl w:val="1"/>
          <w:numId w:val="12"/>
        </w:numPr>
        <w:ind w:left="2160"/>
        <w:jc w:val="left"/>
        <w:rPr>
          <w:rFonts w:cs="Arial"/>
          <w:sz w:val="22"/>
          <w:szCs w:val="22"/>
        </w:rPr>
      </w:pPr>
      <w:r w:rsidRPr="00C65EF7">
        <w:rPr>
          <w:rFonts w:cs="Arial"/>
          <w:sz w:val="22"/>
          <w:szCs w:val="22"/>
        </w:rPr>
        <w:t>EOHHS regions</w:t>
      </w:r>
    </w:p>
    <w:p w14:paraId="75EBCB02" w14:textId="77777777" w:rsidR="00413AF4" w:rsidRPr="00C65EF7" w:rsidRDefault="00413AF4">
      <w:pPr>
        <w:numPr>
          <w:ilvl w:val="1"/>
          <w:numId w:val="12"/>
        </w:numPr>
        <w:ind w:left="2160"/>
        <w:jc w:val="left"/>
        <w:rPr>
          <w:rFonts w:cs="Arial"/>
          <w:sz w:val="22"/>
          <w:szCs w:val="22"/>
        </w:rPr>
      </w:pPr>
      <w:r w:rsidRPr="00C65EF7">
        <w:rPr>
          <w:rFonts w:cs="Arial"/>
          <w:sz w:val="22"/>
          <w:szCs w:val="22"/>
        </w:rPr>
        <w:t>CHNAs</w:t>
      </w:r>
    </w:p>
    <w:p w14:paraId="71D805A2" w14:textId="77777777" w:rsidR="00413AF4" w:rsidRPr="00C65EF7" w:rsidRDefault="00413AF4">
      <w:pPr>
        <w:numPr>
          <w:ilvl w:val="1"/>
          <w:numId w:val="12"/>
        </w:numPr>
        <w:ind w:left="2160"/>
        <w:jc w:val="left"/>
        <w:rPr>
          <w:rFonts w:cs="Arial"/>
          <w:sz w:val="22"/>
          <w:szCs w:val="22"/>
        </w:rPr>
      </w:pPr>
      <w:r w:rsidRPr="00C65EF7">
        <w:rPr>
          <w:rFonts w:cs="Arial"/>
          <w:sz w:val="22"/>
          <w:szCs w:val="22"/>
        </w:rPr>
        <w:t xml:space="preserve">Counties, provided that Dukes and </w:t>
      </w:r>
      <w:smartTag w:uri="urn:schemas-microsoft-com:office:smarttags" w:element="place">
        <w:smartTag w:uri="urn:schemas-microsoft-com:office:smarttags" w:element="PlaceName">
          <w:r w:rsidRPr="00C65EF7">
            <w:rPr>
              <w:rFonts w:cs="Arial"/>
              <w:sz w:val="22"/>
              <w:szCs w:val="22"/>
            </w:rPr>
            <w:t>Nantucket</w:t>
          </w:r>
        </w:smartTag>
        <w:r w:rsidRPr="00C65EF7">
          <w:rPr>
            <w:rFonts w:cs="Arial"/>
            <w:sz w:val="22"/>
            <w:szCs w:val="22"/>
          </w:rPr>
          <w:t xml:space="preserve"> </w:t>
        </w:r>
        <w:smartTag w:uri="urn:schemas-microsoft-com:office:smarttags" w:element="PlaceType">
          <w:r w:rsidRPr="00C65EF7">
            <w:rPr>
              <w:rFonts w:cs="Arial"/>
              <w:sz w:val="22"/>
              <w:szCs w:val="22"/>
            </w:rPr>
            <w:t>Counties</w:t>
          </w:r>
        </w:smartTag>
      </w:smartTag>
      <w:r w:rsidRPr="00C65EF7">
        <w:rPr>
          <w:rFonts w:cs="Arial"/>
          <w:sz w:val="22"/>
          <w:szCs w:val="22"/>
        </w:rPr>
        <w:t xml:space="preserve"> are combined. </w:t>
      </w:r>
    </w:p>
    <w:p w14:paraId="075D0613"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Dates</w:t>
      </w:r>
      <w:r w:rsidRPr="00C65EF7">
        <w:rPr>
          <w:rStyle w:val="FootnoteReference"/>
          <w:rFonts w:cs="Arial"/>
          <w:sz w:val="22"/>
          <w:szCs w:val="22"/>
        </w:rPr>
        <w:footnoteReference w:id="11"/>
      </w:r>
      <w:r w:rsidRPr="00C65EF7">
        <w:rPr>
          <w:rFonts w:cs="Arial"/>
          <w:sz w:val="22"/>
          <w:szCs w:val="22"/>
        </w:rPr>
        <w:t>:</w:t>
      </w:r>
    </w:p>
    <w:p w14:paraId="16BEC1E0" w14:textId="77777777" w:rsidR="00413AF4" w:rsidRPr="00C65EF7" w:rsidRDefault="00413AF4">
      <w:pPr>
        <w:numPr>
          <w:ilvl w:val="1"/>
          <w:numId w:val="11"/>
        </w:numPr>
        <w:jc w:val="left"/>
        <w:rPr>
          <w:rFonts w:cs="Arial"/>
          <w:sz w:val="22"/>
          <w:szCs w:val="22"/>
        </w:rPr>
      </w:pPr>
      <w:r w:rsidRPr="00C65EF7">
        <w:rPr>
          <w:rFonts w:cs="Arial"/>
          <w:sz w:val="22"/>
          <w:szCs w:val="22"/>
          <w:u w:val="single"/>
        </w:rPr>
        <w:t>Month and day</w:t>
      </w:r>
      <w:r w:rsidRPr="00C65EF7">
        <w:rPr>
          <w:rFonts w:cs="Arial"/>
          <w:sz w:val="22"/>
          <w:szCs w:val="22"/>
        </w:rPr>
        <w:t xml:space="preserve"> of Birth and Death must be removed. Note:  depending on the population, it may be necessary to aggregate year of birth or death and age for persons 90 years of age and older, and in some cases, for other age groups as well;</w:t>
      </w:r>
    </w:p>
    <w:p w14:paraId="2F205FFB" w14:textId="77777777" w:rsidR="00413AF4" w:rsidRPr="00C65EF7" w:rsidRDefault="00413AF4">
      <w:pPr>
        <w:numPr>
          <w:ilvl w:val="1"/>
          <w:numId w:val="11"/>
        </w:numPr>
        <w:jc w:val="left"/>
        <w:rPr>
          <w:rFonts w:cs="Arial"/>
          <w:sz w:val="22"/>
          <w:szCs w:val="22"/>
        </w:rPr>
      </w:pPr>
      <w:r w:rsidRPr="00C65EF7">
        <w:rPr>
          <w:rFonts w:cs="Arial"/>
          <w:sz w:val="22"/>
          <w:szCs w:val="22"/>
          <w:u w:val="single"/>
        </w:rPr>
        <w:t>Day</w:t>
      </w:r>
      <w:r w:rsidRPr="00C65EF7">
        <w:rPr>
          <w:rFonts w:cs="Arial"/>
          <w:sz w:val="22"/>
          <w:szCs w:val="22"/>
        </w:rPr>
        <w:t xml:space="preserve"> must be removed for all other dates relating to an individual (for example, dates of admission and discharge from a health care facility, dates of service).</w:t>
      </w:r>
    </w:p>
    <w:p w14:paraId="080EDD1B"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Telephone numbers;</w:t>
      </w:r>
    </w:p>
    <w:p w14:paraId="3D44FBC6"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Fax numbers;</w:t>
      </w:r>
    </w:p>
    <w:p w14:paraId="1A7B9FCB"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Electronic mail addresses;</w:t>
      </w:r>
    </w:p>
    <w:p w14:paraId="13ADDF74"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Social security numbers;</w:t>
      </w:r>
    </w:p>
    <w:p w14:paraId="10621B2B"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Medical record numbers;</w:t>
      </w:r>
    </w:p>
    <w:p w14:paraId="1EB8F2AD"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Health plan beneficiary numbers;</w:t>
      </w:r>
    </w:p>
    <w:p w14:paraId="38429736"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Account numbers;</w:t>
      </w:r>
    </w:p>
    <w:p w14:paraId="6DAFCD94"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Certificate or license numbers;</w:t>
      </w:r>
    </w:p>
    <w:p w14:paraId="0C6E943D"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Vehicle identification and serial numbers, including license plate numbers;</w:t>
      </w:r>
    </w:p>
    <w:p w14:paraId="0939AA2D"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Device identifiers and serial numbers;</w:t>
      </w:r>
    </w:p>
    <w:p w14:paraId="044234CD"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Web Universal Resource Locators (URLs);</w:t>
      </w:r>
    </w:p>
    <w:p w14:paraId="7AF055A4"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Internet Protocol (IP) address numbers;</w:t>
      </w:r>
    </w:p>
    <w:p w14:paraId="7112651E" w14:textId="77777777" w:rsidR="00413AF4" w:rsidRPr="00C65EF7" w:rsidRDefault="00413AF4">
      <w:pPr>
        <w:numPr>
          <w:ilvl w:val="0"/>
          <w:numId w:val="16"/>
        </w:numPr>
        <w:tabs>
          <w:tab w:val="clear" w:pos="1152"/>
          <w:tab w:val="num" w:pos="1320"/>
        </w:tabs>
        <w:ind w:left="1320"/>
        <w:jc w:val="left"/>
        <w:rPr>
          <w:rFonts w:cs="Arial"/>
          <w:sz w:val="22"/>
          <w:szCs w:val="22"/>
        </w:rPr>
      </w:pPr>
      <w:r w:rsidRPr="00C65EF7">
        <w:rPr>
          <w:rFonts w:cs="Arial"/>
          <w:sz w:val="22"/>
          <w:szCs w:val="22"/>
        </w:rPr>
        <w:t>Biometric identifiers, including finger prints and voiceprints;</w:t>
      </w:r>
    </w:p>
    <w:p w14:paraId="69BE2981" w14:textId="77777777" w:rsidR="00413AF4" w:rsidRPr="00E04E80" w:rsidRDefault="00413AF4">
      <w:pPr>
        <w:numPr>
          <w:ilvl w:val="0"/>
          <w:numId w:val="16"/>
        </w:numPr>
        <w:tabs>
          <w:tab w:val="clear" w:pos="1152"/>
          <w:tab w:val="num" w:pos="1320"/>
        </w:tabs>
        <w:ind w:left="1320"/>
        <w:jc w:val="left"/>
      </w:pPr>
      <w:r w:rsidRPr="00E04E80">
        <w:t>Full face photographic images and any comparable images; and</w:t>
      </w:r>
    </w:p>
    <w:p w14:paraId="3F4B3293" w14:textId="77777777" w:rsidR="00413AF4" w:rsidRPr="00E04E80" w:rsidRDefault="00413AF4">
      <w:pPr>
        <w:numPr>
          <w:ilvl w:val="0"/>
          <w:numId w:val="16"/>
        </w:numPr>
        <w:tabs>
          <w:tab w:val="clear" w:pos="1152"/>
          <w:tab w:val="num" w:pos="1320"/>
        </w:tabs>
        <w:ind w:left="1320"/>
        <w:jc w:val="left"/>
      </w:pPr>
      <w:r w:rsidRPr="00E04E80">
        <w:t>Any other unique identifying number, characteristic, or code, except as permitted under section II.A.3.</w:t>
      </w:r>
    </w:p>
    <w:p w14:paraId="42DFFCC8" w14:textId="77777777" w:rsidR="00413AF4" w:rsidRDefault="00413AF4" w:rsidP="008F5959">
      <w:pPr>
        <w:pStyle w:val="H4SubNumberedParagraph"/>
      </w:pPr>
      <w:r>
        <w:t xml:space="preserve">Re-Identification of De-Identified Data  </w:t>
      </w:r>
    </w:p>
    <w:p w14:paraId="25F15428" w14:textId="77777777" w:rsidR="00413AF4" w:rsidRDefault="00413AF4" w:rsidP="009C11B0">
      <w:pPr>
        <w:pStyle w:val="H4Text"/>
      </w:pPr>
      <w:r>
        <w:t>The Department may assign a code or other means of data identification to allow information that has been de-identified to be re-identified provided that:</w:t>
      </w:r>
    </w:p>
    <w:p w14:paraId="363651A8" w14:textId="77777777" w:rsidR="00413AF4" w:rsidRDefault="00413AF4">
      <w:pPr>
        <w:pStyle w:val="H4Text"/>
        <w:numPr>
          <w:ilvl w:val="0"/>
          <w:numId w:val="14"/>
        </w:numPr>
      </w:pPr>
      <w:r>
        <w:t>The code or other means of data identification is not derived from or related to information about the individual and cannot otherwise be translated to identify the individual; and</w:t>
      </w:r>
    </w:p>
    <w:p w14:paraId="5CE76CAD" w14:textId="77777777" w:rsidR="00413AF4" w:rsidRDefault="00413AF4">
      <w:pPr>
        <w:pStyle w:val="H4Text"/>
        <w:numPr>
          <w:ilvl w:val="0"/>
          <w:numId w:val="14"/>
        </w:numPr>
      </w:pPr>
      <w:r>
        <w:t>The Department does not disclose the code or other means of data identification for any other purpose and does not disclose the mechanism for re-identification.</w:t>
      </w:r>
    </w:p>
    <w:p w14:paraId="3541101A" w14:textId="77777777" w:rsidR="00413AF4" w:rsidRDefault="00413AF4" w:rsidP="009C11B0">
      <w:pPr>
        <w:pStyle w:val="H3SubParagraph"/>
      </w:pPr>
      <w:r>
        <w:t>Limited Data Set Standard</w:t>
      </w:r>
    </w:p>
    <w:p w14:paraId="1C137476" w14:textId="77777777" w:rsidR="00413AF4" w:rsidRDefault="006C3E5E" w:rsidP="009C11B0">
      <w:pPr>
        <w:pStyle w:val="H3Text"/>
      </w:pPr>
      <w:r w:rsidRPr="006C3E5E">
        <w:t>Confidential Information which is sufficiently de-identified so that it no longer can be readily associated with an individual may be disclosed with certain indirect identifiers with authorization of a project in accordance with MGL c.111, §24A.</w:t>
      </w:r>
    </w:p>
    <w:p w14:paraId="3167A37E" w14:textId="77777777" w:rsidR="00413AF4" w:rsidRDefault="00413AF4" w:rsidP="008F5959">
      <w:pPr>
        <w:pStyle w:val="H4SubNumberedParagraph"/>
      </w:pPr>
      <w:r>
        <w:t>Content of Limited Data Sets</w:t>
      </w:r>
    </w:p>
    <w:p w14:paraId="6FF7DD55" w14:textId="77777777" w:rsidR="00413AF4" w:rsidRDefault="00413AF4">
      <w:pPr>
        <w:pStyle w:val="H5SubAlphaParagraph"/>
        <w:numPr>
          <w:ilvl w:val="3"/>
          <w:numId w:val="94"/>
        </w:numPr>
      </w:pPr>
      <w:r>
        <w:t>Identifiers That Must be Removed</w:t>
      </w:r>
    </w:p>
    <w:p w14:paraId="12F2E770" w14:textId="77777777" w:rsidR="00413AF4" w:rsidRDefault="00413AF4" w:rsidP="009C11B0">
      <w:pPr>
        <w:pStyle w:val="H5Text"/>
      </w:pPr>
      <w:r>
        <w:t xml:space="preserve">A limited data set is confidential information that </w:t>
      </w:r>
      <w:r>
        <w:rPr>
          <w:b/>
          <w:i/>
        </w:rPr>
        <w:t>excludes</w:t>
      </w:r>
      <w:r>
        <w:t xml:space="preserve"> the following direct identifiers of the individual or of his/her relatives, employers, or household members:</w:t>
      </w:r>
    </w:p>
    <w:p w14:paraId="0BA57A59" w14:textId="77777777" w:rsidR="00413AF4" w:rsidRPr="00C65EF7" w:rsidRDefault="00413AF4">
      <w:pPr>
        <w:numPr>
          <w:ilvl w:val="0"/>
          <w:numId w:val="15"/>
        </w:numPr>
        <w:jc w:val="left"/>
        <w:rPr>
          <w:rFonts w:cs="Arial"/>
          <w:sz w:val="22"/>
          <w:szCs w:val="22"/>
        </w:rPr>
      </w:pPr>
      <w:r w:rsidRPr="00C65EF7">
        <w:rPr>
          <w:rFonts w:cs="Arial"/>
          <w:sz w:val="22"/>
          <w:szCs w:val="22"/>
        </w:rPr>
        <w:t>Names;</w:t>
      </w:r>
    </w:p>
    <w:p w14:paraId="665366D2" w14:textId="77777777" w:rsidR="00413AF4" w:rsidRPr="00C65EF7" w:rsidRDefault="006C3E5E">
      <w:pPr>
        <w:numPr>
          <w:ilvl w:val="0"/>
          <w:numId w:val="15"/>
        </w:numPr>
        <w:jc w:val="left"/>
        <w:rPr>
          <w:rFonts w:cs="Arial"/>
          <w:sz w:val="22"/>
          <w:szCs w:val="22"/>
        </w:rPr>
      </w:pPr>
      <w:r w:rsidRPr="00C65EF7">
        <w:rPr>
          <w:rFonts w:cs="Arial"/>
          <w:sz w:val="22"/>
          <w:szCs w:val="22"/>
        </w:rPr>
        <w:t>Postal address information (street name and number</w:t>
      </w:r>
      <w:r>
        <w:rPr>
          <w:rFonts w:cs="Arial"/>
          <w:sz w:val="22"/>
          <w:szCs w:val="22"/>
        </w:rPr>
        <w:t>, 4-digit zip code extension</w:t>
      </w:r>
      <w:r w:rsidRPr="00C65EF7">
        <w:rPr>
          <w:rFonts w:cs="Arial"/>
          <w:sz w:val="22"/>
          <w:szCs w:val="22"/>
        </w:rPr>
        <w:t>)</w:t>
      </w:r>
    </w:p>
    <w:p w14:paraId="289C72DD" w14:textId="77777777" w:rsidR="00413AF4" w:rsidRPr="00C65EF7" w:rsidRDefault="00413AF4">
      <w:pPr>
        <w:numPr>
          <w:ilvl w:val="0"/>
          <w:numId w:val="15"/>
        </w:numPr>
        <w:jc w:val="left"/>
        <w:rPr>
          <w:rFonts w:cs="Arial"/>
          <w:sz w:val="22"/>
          <w:szCs w:val="22"/>
        </w:rPr>
      </w:pPr>
      <w:r w:rsidRPr="00C65EF7">
        <w:rPr>
          <w:rFonts w:cs="Arial"/>
          <w:sz w:val="22"/>
          <w:szCs w:val="22"/>
        </w:rPr>
        <w:t>Latitude, longitude, census block;</w:t>
      </w:r>
    </w:p>
    <w:p w14:paraId="14EF4355" w14:textId="77777777" w:rsidR="00413AF4" w:rsidRPr="00C65EF7" w:rsidRDefault="00413AF4">
      <w:pPr>
        <w:numPr>
          <w:ilvl w:val="0"/>
          <w:numId w:val="15"/>
        </w:numPr>
        <w:jc w:val="left"/>
        <w:rPr>
          <w:rFonts w:cs="Arial"/>
          <w:sz w:val="22"/>
          <w:szCs w:val="22"/>
        </w:rPr>
      </w:pPr>
      <w:r w:rsidRPr="00C65EF7">
        <w:rPr>
          <w:rFonts w:cs="Arial"/>
          <w:sz w:val="22"/>
          <w:szCs w:val="22"/>
        </w:rPr>
        <w:t>Telephone numbers;</w:t>
      </w:r>
    </w:p>
    <w:p w14:paraId="39F6CC73" w14:textId="77777777" w:rsidR="00413AF4" w:rsidRPr="00C65EF7" w:rsidRDefault="00413AF4">
      <w:pPr>
        <w:numPr>
          <w:ilvl w:val="0"/>
          <w:numId w:val="15"/>
        </w:numPr>
        <w:jc w:val="left"/>
        <w:rPr>
          <w:rFonts w:cs="Arial"/>
          <w:sz w:val="22"/>
          <w:szCs w:val="22"/>
        </w:rPr>
      </w:pPr>
      <w:r w:rsidRPr="00C65EF7">
        <w:rPr>
          <w:rFonts w:cs="Arial"/>
          <w:sz w:val="22"/>
          <w:szCs w:val="22"/>
        </w:rPr>
        <w:t>Fax numbers;</w:t>
      </w:r>
    </w:p>
    <w:p w14:paraId="4C0E36F0" w14:textId="77777777" w:rsidR="00413AF4" w:rsidRPr="00C65EF7" w:rsidRDefault="00413AF4">
      <w:pPr>
        <w:numPr>
          <w:ilvl w:val="0"/>
          <w:numId w:val="15"/>
        </w:numPr>
        <w:jc w:val="left"/>
        <w:rPr>
          <w:rFonts w:cs="Arial"/>
          <w:sz w:val="22"/>
          <w:szCs w:val="22"/>
        </w:rPr>
      </w:pPr>
      <w:r w:rsidRPr="00C65EF7">
        <w:rPr>
          <w:rFonts w:cs="Arial"/>
          <w:sz w:val="22"/>
          <w:szCs w:val="22"/>
        </w:rPr>
        <w:t>Electronic mail addresses;</w:t>
      </w:r>
    </w:p>
    <w:p w14:paraId="585E62E3" w14:textId="77777777" w:rsidR="00413AF4" w:rsidRPr="00C65EF7" w:rsidRDefault="00413AF4">
      <w:pPr>
        <w:numPr>
          <w:ilvl w:val="0"/>
          <w:numId w:val="15"/>
        </w:numPr>
        <w:jc w:val="left"/>
        <w:rPr>
          <w:rFonts w:cs="Arial"/>
          <w:sz w:val="22"/>
          <w:szCs w:val="22"/>
        </w:rPr>
      </w:pPr>
      <w:r w:rsidRPr="00C65EF7">
        <w:rPr>
          <w:rFonts w:cs="Arial"/>
          <w:sz w:val="22"/>
          <w:szCs w:val="22"/>
        </w:rPr>
        <w:t>Social security numbers;</w:t>
      </w:r>
    </w:p>
    <w:p w14:paraId="3804862B" w14:textId="77777777" w:rsidR="00413AF4" w:rsidRPr="00C65EF7" w:rsidRDefault="00413AF4">
      <w:pPr>
        <w:numPr>
          <w:ilvl w:val="0"/>
          <w:numId w:val="15"/>
        </w:numPr>
        <w:jc w:val="left"/>
        <w:rPr>
          <w:rFonts w:cs="Arial"/>
          <w:sz w:val="22"/>
          <w:szCs w:val="22"/>
        </w:rPr>
      </w:pPr>
      <w:r w:rsidRPr="00C65EF7">
        <w:rPr>
          <w:rFonts w:cs="Arial"/>
          <w:sz w:val="22"/>
          <w:szCs w:val="22"/>
        </w:rPr>
        <w:t>Medical record numbers;</w:t>
      </w:r>
    </w:p>
    <w:p w14:paraId="209BE216" w14:textId="77777777" w:rsidR="00413AF4" w:rsidRPr="00C65EF7" w:rsidRDefault="00413AF4">
      <w:pPr>
        <w:numPr>
          <w:ilvl w:val="0"/>
          <w:numId w:val="15"/>
        </w:numPr>
        <w:jc w:val="left"/>
        <w:rPr>
          <w:rFonts w:cs="Arial"/>
          <w:sz w:val="22"/>
          <w:szCs w:val="22"/>
        </w:rPr>
      </w:pPr>
      <w:r w:rsidRPr="00C65EF7">
        <w:rPr>
          <w:rFonts w:cs="Arial"/>
          <w:sz w:val="22"/>
          <w:szCs w:val="22"/>
        </w:rPr>
        <w:t>Health plan beneficiary numbers;</w:t>
      </w:r>
    </w:p>
    <w:p w14:paraId="173D1DE4" w14:textId="77777777" w:rsidR="00413AF4" w:rsidRPr="00C65EF7" w:rsidRDefault="00413AF4">
      <w:pPr>
        <w:numPr>
          <w:ilvl w:val="0"/>
          <w:numId w:val="15"/>
        </w:numPr>
        <w:jc w:val="left"/>
        <w:rPr>
          <w:rFonts w:cs="Arial"/>
          <w:sz w:val="22"/>
          <w:szCs w:val="22"/>
        </w:rPr>
      </w:pPr>
      <w:r w:rsidRPr="00C65EF7">
        <w:rPr>
          <w:rFonts w:cs="Arial"/>
          <w:sz w:val="22"/>
          <w:szCs w:val="22"/>
        </w:rPr>
        <w:t>Account numbers;</w:t>
      </w:r>
    </w:p>
    <w:p w14:paraId="1EB07AA3" w14:textId="77777777" w:rsidR="00413AF4" w:rsidRPr="00C65EF7" w:rsidRDefault="00413AF4">
      <w:pPr>
        <w:numPr>
          <w:ilvl w:val="0"/>
          <w:numId w:val="15"/>
        </w:numPr>
        <w:jc w:val="left"/>
        <w:rPr>
          <w:rFonts w:cs="Arial"/>
          <w:sz w:val="22"/>
          <w:szCs w:val="22"/>
        </w:rPr>
      </w:pPr>
      <w:r w:rsidRPr="00C65EF7">
        <w:rPr>
          <w:rFonts w:cs="Arial"/>
          <w:sz w:val="22"/>
          <w:szCs w:val="22"/>
        </w:rPr>
        <w:t>Certificate/license numbers;</w:t>
      </w:r>
    </w:p>
    <w:p w14:paraId="735D8BA4" w14:textId="77777777" w:rsidR="00413AF4" w:rsidRPr="00C65EF7" w:rsidRDefault="00413AF4">
      <w:pPr>
        <w:numPr>
          <w:ilvl w:val="0"/>
          <w:numId w:val="15"/>
        </w:numPr>
        <w:jc w:val="left"/>
        <w:rPr>
          <w:rFonts w:cs="Arial"/>
          <w:sz w:val="22"/>
          <w:szCs w:val="22"/>
        </w:rPr>
      </w:pPr>
      <w:r w:rsidRPr="00C65EF7">
        <w:rPr>
          <w:rFonts w:cs="Arial"/>
          <w:sz w:val="22"/>
          <w:szCs w:val="22"/>
        </w:rPr>
        <w:t>Vehicle identifiers and serial numbers, including license plate numbers;</w:t>
      </w:r>
    </w:p>
    <w:p w14:paraId="66C2F6E8" w14:textId="77777777" w:rsidR="00413AF4" w:rsidRPr="00C65EF7" w:rsidRDefault="00413AF4">
      <w:pPr>
        <w:numPr>
          <w:ilvl w:val="0"/>
          <w:numId w:val="15"/>
        </w:numPr>
        <w:jc w:val="left"/>
        <w:rPr>
          <w:rFonts w:cs="Arial"/>
          <w:sz w:val="22"/>
          <w:szCs w:val="22"/>
        </w:rPr>
      </w:pPr>
      <w:r w:rsidRPr="00C65EF7">
        <w:rPr>
          <w:rFonts w:cs="Arial"/>
          <w:sz w:val="22"/>
          <w:szCs w:val="22"/>
        </w:rPr>
        <w:t>Web Universal Resource Locators (URLs);</w:t>
      </w:r>
    </w:p>
    <w:p w14:paraId="60870483" w14:textId="77777777" w:rsidR="00413AF4" w:rsidRPr="00C65EF7" w:rsidRDefault="00413AF4">
      <w:pPr>
        <w:numPr>
          <w:ilvl w:val="0"/>
          <w:numId w:val="15"/>
        </w:numPr>
        <w:jc w:val="left"/>
        <w:rPr>
          <w:rFonts w:cs="Arial"/>
          <w:sz w:val="22"/>
          <w:szCs w:val="22"/>
        </w:rPr>
      </w:pPr>
      <w:r w:rsidRPr="00C65EF7">
        <w:rPr>
          <w:rFonts w:cs="Arial"/>
          <w:sz w:val="22"/>
          <w:szCs w:val="22"/>
        </w:rPr>
        <w:t>Internet Protocol (IP) address numbers;</w:t>
      </w:r>
    </w:p>
    <w:p w14:paraId="36C4F473" w14:textId="77777777" w:rsidR="00413AF4" w:rsidRPr="00C65EF7" w:rsidRDefault="00413AF4">
      <w:pPr>
        <w:numPr>
          <w:ilvl w:val="0"/>
          <w:numId w:val="15"/>
        </w:numPr>
        <w:jc w:val="left"/>
        <w:rPr>
          <w:rFonts w:cs="Arial"/>
          <w:sz w:val="22"/>
          <w:szCs w:val="22"/>
        </w:rPr>
      </w:pPr>
      <w:r w:rsidRPr="00C65EF7">
        <w:rPr>
          <w:rFonts w:cs="Arial"/>
          <w:sz w:val="22"/>
          <w:szCs w:val="22"/>
        </w:rPr>
        <w:t>Biometric identifiers, including finger and voice prints;  and</w:t>
      </w:r>
    </w:p>
    <w:p w14:paraId="3CE2B7F8" w14:textId="77777777" w:rsidR="00413AF4" w:rsidRPr="00C65EF7" w:rsidRDefault="00413AF4">
      <w:pPr>
        <w:numPr>
          <w:ilvl w:val="0"/>
          <w:numId w:val="15"/>
        </w:numPr>
        <w:jc w:val="left"/>
        <w:rPr>
          <w:rFonts w:cs="Arial"/>
          <w:sz w:val="22"/>
          <w:szCs w:val="22"/>
        </w:rPr>
      </w:pPr>
      <w:r w:rsidRPr="00C65EF7">
        <w:rPr>
          <w:rFonts w:cs="Arial"/>
          <w:sz w:val="22"/>
          <w:szCs w:val="22"/>
        </w:rPr>
        <w:t>Full face photographic images and any comparable images.</w:t>
      </w:r>
    </w:p>
    <w:p w14:paraId="60B876EA" w14:textId="77777777" w:rsidR="00413AF4" w:rsidRDefault="00413AF4" w:rsidP="009C11B0">
      <w:pPr>
        <w:pStyle w:val="H5SubAlphaParagraph"/>
      </w:pPr>
      <w:r>
        <w:t>Permissible Identifiers</w:t>
      </w:r>
    </w:p>
    <w:p w14:paraId="1FB6D656" w14:textId="77777777" w:rsidR="00413AF4" w:rsidRDefault="00413AF4" w:rsidP="009C11B0">
      <w:pPr>
        <w:pStyle w:val="H5Text"/>
      </w:pPr>
      <w:r>
        <w:t xml:space="preserve">A limited data set </w:t>
      </w:r>
      <w:r>
        <w:rPr>
          <w:b/>
          <w:i/>
        </w:rPr>
        <w:t xml:space="preserve">may </w:t>
      </w:r>
      <w:r>
        <w:t>include the following information:</w:t>
      </w:r>
    </w:p>
    <w:p w14:paraId="4449673A" w14:textId="77777777" w:rsidR="00413AF4" w:rsidRPr="00C65EF7" w:rsidRDefault="00413AF4">
      <w:pPr>
        <w:pStyle w:val="H5Text"/>
        <w:numPr>
          <w:ilvl w:val="0"/>
          <w:numId w:val="20"/>
        </w:numPr>
      </w:pPr>
      <w:r w:rsidRPr="00C65EF7">
        <w:t>Admission, discharge, service, and incident dates;</w:t>
      </w:r>
    </w:p>
    <w:p w14:paraId="4F09E892" w14:textId="77777777" w:rsidR="00413AF4" w:rsidRPr="00C65EF7" w:rsidRDefault="00413AF4">
      <w:pPr>
        <w:pStyle w:val="H5Text"/>
        <w:numPr>
          <w:ilvl w:val="0"/>
          <w:numId w:val="20"/>
        </w:numPr>
      </w:pPr>
      <w:r w:rsidRPr="00C65EF7">
        <w:t>Dates of birth or death;</w:t>
      </w:r>
    </w:p>
    <w:p w14:paraId="4A2C1456" w14:textId="77777777" w:rsidR="00413AF4" w:rsidRPr="00C65EF7" w:rsidRDefault="006C3E5E">
      <w:pPr>
        <w:pStyle w:val="H5Text"/>
        <w:numPr>
          <w:ilvl w:val="0"/>
          <w:numId w:val="20"/>
        </w:numPr>
      </w:pPr>
      <w:r w:rsidRPr="00C65EF7">
        <w:t>Five-digit zip code or any other geographic subdivision, such as state, county, city, town, precinct, census tract, block group and their equivalent codes, (except for street name and number,</w:t>
      </w:r>
      <w:r>
        <w:t xml:space="preserve"> 4-digit zip code extension, </w:t>
      </w:r>
      <w:r w:rsidRPr="00C65EF7">
        <w:t>latitude and longitude, or census block);</w:t>
      </w:r>
    </w:p>
    <w:p w14:paraId="18150548" w14:textId="77777777" w:rsidR="00413AF4" w:rsidRPr="00C65EF7" w:rsidRDefault="00413AF4">
      <w:pPr>
        <w:pStyle w:val="H5Text"/>
        <w:numPr>
          <w:ilvl w:val="0"/>
          <w:numId w:val="20"/>
        </w:numPr>
      </w:pPr>
      <w:r w:rsidRPr="00C65EF7">
        <w:t>Unique Identification Codes</w:t>
      </w:r>
      <w:bookmarkStart w:id="52" w:name="_Hlt62355096"/>
      <w:bookmarkEnd w:id="52"/>
      <w:r w:rsidRPr="00C65EF7">
        <w:t xml:space="preserve"> that allow information that has been de-identified to be re-identified, including those that are derived from or related to information about the individual provided that the mechanism for re-identification is not disclosed; and</w:t>
      </w:r>
    </w:p>
    <w:p w14:paraId="79784D0E" w14:textId="77777777" w:rsidR="00413AF4" w:rsidRPr="00C65EF7" w:rsidRDefault="00413AF4">
      <w:pPr>
        <w:pStyle w:val="H5Text"/>
        <w:numPr>
          <w:ilvl w:val="0"/>
          <w:numId w:val="20"/>
        </w:numPr>
      </w:pPr>
      <w:r w:rsidRPr="00C65EF7">
        <w:t>Any other information that is not specified in sectio</w:t>
      </w:r>
      <w:bookmarkStart w:id="53" w:name="_Hlt66521139"/>
      <w:r w:rsidRPr="00C65EF7">
        <w:t>n</w:t>
      </w:r>
      <w:bookmarkEnd w:id="53"/>
      <w:r w:rsidRPr="00C65EF7">
        <w:t xml:space="preserve"> II.B</w:t>
      </w:r>
      <w:bookmarkStart w:id="54" w:name="_Hlt66521124"/>
      <w:r w:rsidRPr="00C65EF7">
        <w:t>.</w:t>
      </w:r>
      <w:bookmarkEnd w:id="54"/>
      <w:r w:rsidRPr="00C65EF7">
        <w:t>1.a.</w:t>
      </w:r>
    </w:p>
    <w:p w14:paraId="1731113E" w14:textId="77777777" w:rsidR="00413AF4" w:rsidRDefault="006C3E5E" w:rsidP="00E86E7B">
      <w:pPr>
        <w:pStyle w:val="H4SubNumberedParagraph"/>
      </w:pPr>
      <w:r w:rsidRPr="006C3E5E">
        <w:t>Authorization to access a limited data set</w:t>
      </w:r>
    </w:p>
    <w:p w14:paraId="506F3471" w14:textId="77777777" w:rsidR="006C3E5E" w:rsidRPr="006C3E5E" w:rsidRDefault="006C3E5E">
      <w:pPr>
        <w:pStyle w:val="H5SubAlphaParagraph"/>
        <w:numPr>
          <w:ilvl w:val="3"/>
          <w:numId w:val="95"/>
        </w:numPr>
      </w:pPr>
      <w:r w:rsidRPr="006C3E5E">
        <w:t>By DPH Workforce.</w:t>
      </w:r>
    </w:p>
    <w:p w14:paraId="553BA060" w14:textId="77777777" w:rsidR="006C3E5E" w:rsidRPr="006C3E5E" w:rsidRDefault="006C3E5E" w:rsidP="006C3E5E">
      <w:pPr>
        <w:pStyle w:val="H5Text"/>
      </w:pPr>
      <w:r w:rsidRPr="006C3E5E">
        <w:t xml:space="preserve">A DPH workforce member may access a limited data set as permitted in Procedure 3, section III.B. </w:t>
      </w:r>
    </w:p>
    <w:p w14:paraId="6B846E18" w14:textId="77777777" w:rsidR="006C3E5E" w:rsidRPr="006C3E5E" w:rsidRDefault="006C3E5E">
      <w:pPr>
        <w:pStyle w:val="H5SubAlphaParagraph"/>
        <w:numPr>
          <w:ilvl w:val="3"/>
          <w:numId w:val="95"/>
        </w:numPr>
      </w:pPr>
      <w:r w:rsidRPr="006C3E5E">
        <w:t xml:space="preserve">By Outside Applicants.  </w:t>
      </w:r>
    </w:p>
    <w:p w14:paraId="52808C26" w14:textId="77777777" w:rsidR="006C3E5E" w:rsidRPr="006C3E5E" w:rsidRDefault="006C3E5E" w:rsidP="00637C2B">
      <w:pPr>
        <w:pStyle w:val="H5Text"/>
      </w:pPr>
      <w:r w:rsidRPr="006C3E5E">
        <w:t>Individuals or entities outside the Department may apply for access to use a limited data set that meets the standard described in section II.B.1.</w:t>
      </w:r>
      <w:r w:rsidRPr="006C3E5E">
        <w:rPr>
          <w:vertAlign w:val="superscript"/>
        </w:rPr>
        <w:footnoteReference w:id="12"/>
      </w:r>
      <w:r w:rsidRPr="006C3E5E">
        <w:t xml:space="preserve">  Release of a limited data set may be authorized at the discretion of MDPH.  The application is reviewed and approved by the confidential data officer in conjunction with an epidemiologist or content expert within the bureau from which the data are requested.  Criteria for approval include:</w:t>
      </w:r>
    </w:p>
    <w:p w14:paraId="288D6A58" w14:textId="77777777" w:rsidR="006C3E5E" w:rsidRPr="006C3E5E" w:rsidRDefault="006C3E5E">
      <w:pPr>
        <w:pStyle w:val="H5Text"/>
        <w:numPr>
          <w:ilvl w:val="0"/>
          <w:numId w:val="20"/>
        </w:numPr>
      </w:pPr>
      <w:r w:rsidRPr="006C3E5E">
        <w:t>The application is complete;</w:t>
      </w:r>
    </w:p>
    <w:p w14:paraId="543571F5" w14:textId="77777777" w:rsidR="006C3E5E" w:rsidRPr="006C3E5E" w:rsidRDefault="006C3E5E">
      <w:pPr>
        <w:pStyle w:val="H5Text"/>
        <w:numPr>
          <w:ilvl w:val="0"/>
          <w:numId w:val="20"/>
        </w:numPr>
      </w:pPr>
      <w:r w:rsidRPr="006C3E5E">
        <w:t>The release of the requested data is not otherwise restricted by law;</w:t>
      </w:r>
    </w:p>
    <w:p w14:paraId="2161A27E" w14:textId="77777777" w:rsidR="006C3E5E" w:rsidRPr="006C3E5E" w:rsidRDefault="006C3E5E">
      <w:pPr>
        <w:pStyle w:val="H5Text"/>
        <w:numPr>
          <w:ilvl w:val="0"/>
          <w:numId w:val="20"/>
        </w:numPr>
      </w:pPr>
      <w:r w:rsidRPr="006C3E5E">
        <w:t>The request is for public health purposes and may lead to reduction of morbidity and mortality in the Commonwealth;</w:t>
      </w:r>
    </w:p>
    <w:p w14:paraId="39A37120" w14:textId="77777777" w:rsidR="006C3E5E" w:rsidRPr="006C3E5E" w:rsidRDefault="006C3E5E">
      <w:pPr>
        <w:pStyle w:val="H5Text"/>
        <w:numPr>
          <w:ilvl w:val="0"/>
          <w:numId w:val="20"/>
        </w:numPr>
      </w:pPr>
      <w:r w:rsidRPr="006C3E5E">
        <w:t>The request is for data elements reasonably related to the public health purpose;</w:t>
      </w:r>
    </w:p>
    <w:p w14:paraId="4E3798B0" w14:textId="77777777" w:rsidR="006C3E5E" w:rsidRPr="006C3E5E" w:rsidRDefault="006C3E5E">
      <w:pPr>
        <w:pStyle w:val="H5Text"/>
        <w:numPr>
          <w:ilvl w:val="0"/>
          <w:numId w:val="20"/>
        </w:numPr>
      </w:pPr>
      <w:r w:rsidRPr="006C3E5E">
        <w:t>The requested data elements meet the standard for a limited data set; and</w:t>
      </w:r>
    </w:p>
    <w:p w14:paraId="45E97D64" w14:textId="77777777" w:rsidR="006C3E5E" w:rsidRPr="006C3E5E" w:rsidRDefault="006C3E5E">
      <w:pPr>
        <w:pStyle w:val="H5Text"/>
        <w:numPr>
          <w:ilvl w:val="0"/>
          <w:numId w:val="20"/>
        </w:numPr>
      </w:pPr>
      <w:r w:rsidRPr="006C3E5E">
        <w:t>The request includes appropriate plans for secure storage and use.</w:t>
      </w:r>
    </w:p>
    <w:p w14:paraId="297C3CEC" w14:textId="77777777" w:rsidR="006C3E5E" w:rsidRPr="006C3E5E" w:rsidRDefault="006C3E5E" w:rsidP="00637C2B">
      <w:pPr>
        <w:pStyle w:val="H4SubNumberedParagraph"/>
      </w:pPr>
      <w:r w:rsidRPr="006C3E5E">
        <w:t xml:space="preserve">Bureau Requirements Related to Limited Data Set Agreements </w:t>
      </w:r>
    </w:p>
    <w:p w14:paraId="1E39EA2D" w14:textId="77777777" w:rsidR="006C3E5E" w:rsidRPr="006C3E5E" w:rsidRDefault="006C3E5E">
      <w:pPr>
        <w:pStyle w:val="H5Text"/>
        <w:numPr>
          <w:ilvl w:val="0"/>
          <w:numId w:val="17"/>
        </w:numPr>
      </w:pPr>
      <w:r w:rsidRPr="006C3E5E">
        <w:t>Bureaus shall make a content expert available to work with the confidential data officer to ensure that the data requested are reasonably related to conducting the analyses or activities described in the application, and that the information provided is clear and complete.</w:t>
      </w:r>
    </w:p>
    <w:p w14:paraId="2ED97BEB" w14:textId="77777777" w:rsidR="006C3E5E" w:rsidRPr="006C3E5E" w:rsidRDefault="006C3E5E">
      <w:pPr>
        <w:pStyle w:val="H5Text"/>
        <w:numPr>
          <w:ilvl w:val="0"/>
          <w:numId w:val="17"/>
        </w:numPr>
      </w:pPr>
      <w:r w:rsidRPr="006C3E5E">
        <w:t>The application for access must be approved by the confidential data officer prior to the release of any data to which it pertains and the bureau releasing the limited data set shall maintain a copy of the approval.</w:t>
      </w:r>
    </w:p>
    <w:p w14:paraId="6873A95B" w14:textId="77777777" w:rsidR="00413AF4" w:rsidRDefault="00413AF4" w:rsidP="009C11B0">
      <w:pPr>
        <w:pStyle w:val="H2Paragraph"/>
      </w:pPr>
      <w:bookmarkStart w:id="55" w:name="_Toc209771783"/>
      <w:r>
        <w:t>Standards for Disclosure of Aggregate Data</w:t>
      </w:r>
      <w:bookmarkEnd w:id="55"/>
    </w:p>
    <w:p w14:paraId="3834F0BC" w14:textId="77777777" w:rsidR="00413AF4" w:rsidRDefault="00413AF4" w:rsidP="009C11B0">
      <w:pPr>
        <w:pStyle w:val="H3SubParagraph"/>
      </w:pPr>
      <w:r>
        <w:t>General Requirements</w:t>
      </w:r>
    </w:p>
    <w:p w14:paraId="62042C9E" w14:textId="77777777" w:rsidR="00413AF4" w:rsidRDefault="00413AF4" w:rsidP="009C11B0">
      <w:pPr>
        <w:pStyle w:val="H3Text"/>
      </w:pPr>
      <w:r>
        <w:t xml:space="preserve">Aggregate data are data collected from individual-level data that have been combined for statistical or analytical purposes.  Data that satisfy the aggregate data release standards outlined in this section are considered de-identified and may be released. </w:t>
      </w:r>
    </w:p>
    <w:p w14:paraId="55309ECF" w14:textId="77777777" w:rsidR="00413AF4" w:rsidRDefault="00413AF4" w:rsidP="009C11B0">
      <w:pPr>
        <w:pStyle w:val="H3Text"/>
      </w:pPr>
      <w:r>
        <w:t xml:space="preserve">The aggregate data release standards below are a minimum standard.  Any Bureau may adopt more restrictive standards for disclosure of aggregate data. Regardless of whether a Bureau follows the Department standards specified below or its own more restrictive standards, each Bureau that discloses aggregate data must ensure that there is no reasonable basis to believe that any identifying information could be derived from disclosure of the aggregate data.  </w:t>
      </w:r>
    </w:p>
    <w:p w14:paraId="45495D3D" w14:textId="77777777" w:rsidR="00413AF4" w:rsidRDefault="00413AF4" w:rsidP="009C11B0">
      <w:pPr>
        <w:pStyle w:val="H3Text"/>
      </w:pPr>
      <w:r>
        <w:t>When multiple data sets are combined, the standard for the data set with the most restrictive rules must be followed.  When utilizing data from other agencies, workforce members using the data are responsible for complying with the standard for aggregate data release for that agency and to ensure that it is followed if it is more restrictive than the MDPH standard.</w:t>
      </w:r>
    </w:p>
    <w:p w14:paraId="2A8AD889" w14:textId="77777777" w:rsidR="00413AF4" w:rsidRDefault="00413AF4" w:rsidP="009C11B0">
      <w:pPr>
        <w:pStyle w:val="H3Text"/>
      </w:pPr>
      <w:r>
        <w:t>Each Bureau privacy liaison shall document and provide to the Privacy &amp; Data Access Office the aggregate data release standard or standards adopted by the Bureau.</w:t>
      </w:r>
    </w:p>
    <w:p w14:paraId="2BA1BE69" w14:textId="77777777" w:rsidR="00413AF4" w:rsidRDefault="00413AF4" w:rsidP="009C11B0">
      <w:pPr>
        <w:pStyle w:val="H3Text"/>
      </w:pPr>
      <w:r>
        <w:t xml:space="preserve">All MDPH publications (all public releases including publications and web releases) containing aggregate data shall be reviewed through the MDPH Peer Review Process or a comparable committee or process to verify that the Department or Bureau aggregate data release standard is met prior to release. </w:t>
      </w:r>
    </w:p>
    <w:p w14:paraId="77129649" w14:textId="77777777" w:rsidR="00413AF4" w:rsidRDefault="00413AF4" w:rsidP="009C11B0">
      <w:pPr>
        <w:pStyle w:val="H3SubParagraph"/>
      </w:pPr>
      <w:r>
        <w:t xml:space="preserve">De-identification Methods  </w:t>
      </w:r>
    </w:p>
    <w:p w14:paraId="1F1C6E0D" w14:textId="77777777" w:rsidR="00413AF4" w:rsidRPr="00D50C81" w:rsidRDefault="00413AF4" w:rsidP="009C11B0">
      <w:pPr>
        <w:pStyle w:val="H3Text"/>
      </w:pPr>
      <w:r>
        <w:rPr>
          <w:caps/>
        </w:rPr>
        <w:t>t</w:t>
      </w:r>
      <w:r>
        <w:t>o de-identify aggregate data, bureaus should select</w:t>
      </w:r>
      <w:r w:rsidRPr="00D50C81">
        <w:t xml:space="preserve"> one of the following standard</w:t>
      </w:r>
      <w:r>
        <w:t>s</w:t>
      </w:r>
      <w:r w:rsidRPr="00D50C81">
        <w:t xml:space="preserve">.  </w:t>
      </w:r>
    </w:p>
    <w:p w14:paraId="20B6A232" w14:textId="77777777" w:rsidR="00413AF4" w:rsidRPr="00B72229" w:rsidRDefault="00413AF4" w:rsidP="009C11B0">
      <w:pPr>
        <w:pStyle w:val="H3Text"/>
        <w:rPr>
          <w:i/>
        </w:rPr>
      </w:pPr>
      <w:r w:rsidRPr="00B72229">
        <w:rPr>
          <w:i/>
        </w:rPr>
        <w:t xml:space="preserve">Even after applying one of these de-identification standards, the data should not be released if there is a reasonable risk that an individual could be identified. </w:t>
      </w:r>
    </w:p>
    <w:p w14:paraId="197917DB" w14:textId="77777777" w:rsidR="00413AF4" w:rsidRDefault="00413AF4" w:rsidP="00E86E7B">
      <w:pPr>
        <w:pStyle w:val="H4SubNumberedParagraph"/>
      </w:pPr>
      <w:r>
        <w:t>Numerator/Denominator-Based Suppression</w:t>
      </w:r>
    </w:p>
    <w:p w14:paraId="5594EF2B" w14:textId="77777777" w:rsidR="00413AF4" w:rsidRDefault="00413AF4" w:rsidP="009C11B0">
      <w:pPr>
        <w:pStyle w:val="H4Text"/>
      </w:pPr>
      <w:r>
        <w:t>Cell sizes based on a combination of denominator</w:t>
      </w:r>
      <w:r w:rsidR="00AE0BC0">
        <w:rPr>
          <w:rStyle w:val="FootnoteReference"/>
        </w:rPr>
        <w:footnoteReference w:id="13"/>
      </w:r>
      <w:r>
        <w:t xml:space="preserve"> (population or group from which the health events arise) and numerator</w:t>
      </w:r>
      <w:r w:rsidR="00AE0BC0">
        <w:rPr>
          <w:rStyle w:val="FootnoteReference"/>
        </w:rPr>
        <w:footnoteReference w:id="14"/>
      </w:r>
      <w:r>
        <w:t xml:space="preserve"> (health event) are suppressed in accordance with the table below.  Aggregate data with denominator and numerator values greater than those indicated in the table may be considered sufficiently de-identified so as not to constitute confidential information, and may be disclosed.  Cell suppression requirements are explained further in table 7.1.</w:t>
      </w:r>
    </w:p>
    <w:p w14:paraId="4DA830D1" w14:textId="77777777" w:rsidR="00413AF4" w:rsidRDefault="00413AF4" w:rsidP="009C11B0">
      <w:pPr>
        <w:pStyle w:val="H4Text"/>
      </w:pPr>
      <w:r>
        <w:br w:type="page"/>
      </w:r>
    </w:p>
    <w:p w14:paraId="4865A6DB" w14:textId="77777777" w:rsidR="00413AF4" w:rsidRPr="007010B6" w:rsidRDefault="00413AF4" w:rsidP="007010B6">
      <w:pPr>
        <w:pStyle w:val="H4SubNumberedParagraph"/>
        <w:numPr>
          <w:ilvl w:val="0"/>
          <w:numId w:val="0"/>
        </w:numPr>
      </w:pPr>
      <w:r w:rsidRPr="007010B6">
        <w:t>Table 7.1:  Cell suppression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400"/>
        <w:gridCol w:w="4440"/>
      </w:tblGrid>
      <w:tr w:rsidR="00413AF4" w:rsidRPr="005E2E05" w14:paraId="2C73B846" w14:textId="77777777">
        <w:trPr>
          <w:cantSplit/>
          <w:tblHeader/>
        </w:trPr>
        <w:tc>
          <w:tcPr>
            <w:tcW w:w="2520" w:type="dxa"/>
            <w:shd w:val="clear" w:color="auto" w:fill="E0E0E0"/>
          </w:tcPr>
          <w:p w14:paraId="7EBEECBB" w14:textId="77777777" w:rsidR="00413AF4" w:rsidRPr="005E2E05" w:rsidRDefault="00413AF4">
            <w:pPr>
              <w:spacing w:before="120" w:after="120"/>
              <w:jc w:val="center"/>
              <w:rPr>
                <w:rFonts w:cs="Arial"/>
                <w:b/>
                <w:sz w:val="20"/>
              </w:rPr>
            </w:pPr>
            <w:r w:rsidRPr="005E2E05">
              <w:rPr>
                <w:rFonts w:cs="Arial"/>
                <w:b/>
                <w:sz w:val="20"/>
              </w:rPr>
              <w:t>DENOMINATOR (D)</w:t>
            </w:r>
          </w:p>
        </w:tc>
        <w:tc>
          <w:tcPr>
            <w:tcW w:w="2400" w:type="dxa"/>
            <w:shd w:val="clear" w:color="auto" w:fill="E0E0E0"/>
          </w:tcPr>
          <w:p w14:paraId="7D8CC594" w14:textId="77777777" w:rsidR="00413AF4" w:rsidRPr="005E2E05" w:rsidRDefault="00413AF4">
            <w:pPr>
              <w:spacing w:before="120" w:after="120"/>
              <w:jc w:val="center"/>
              <w:rPr>
                <w:rFonts w:cs="Arial"/>
                <w:b/>
                <w:sz w:val="20"/>
              </w:rPr>
            </w:pPr>
            <w:r w:rsidRPr="005E2E05">
              <w:rPr>
                <w:rFonts w:cs="Arial"/>
                <w:b/>
                <w:sz w:val="20"/>
              </w:rPr>
              <w:t>NUMERATOR (N)</w:t>
            </w:r>
          </w:p>
        </w:tc>
        <w:tc>
          <w:tcPr>
            <w:tcW w:w="4440" w:type="dxa"/>
            <w:shd w:val="clear" w:color="auto" w:fill="E0E0E0"/>
          </w:tcPr>
          <w:p w14:paraId="1C84C484" w14:textId="77777777" w:rsidR="00413AF4" w:rsidRPr="005E2E05" w:rsidRDefault="00413AF4">
            <w:pPr>
              <w:spacing w:before="120" w:after="120"/>
              <w:jc w:val="center"/>
              <w:rPr>
                <w:rFonts w:cs="Arial"/>
                <w:b/>
                <w:sz w:val="20"/>
              </w:rPr>
            </w:pPr>
            <w:r w:rsidRPr="005E2E05">
              <w:rPr>
                <w:rFonts w:cs="Arial"/>
                <w:b/>
                <w:sz w:val="20"/>
              </w:rPr>
              <w:t>STANDARD</w:t>
            </w:r>
          </w:p>
        </w:tc>
      </w:tr>
      <w:tr w:rsidR="00413AF4" w:rsidRPr="005E2E05" w14:paraId="7941EEEA" w14:textId="77777777">
        <w:trPr>
          <w:cantSplit/>
        </w:trPr>
        <w:tc>
          <w:tcPr>
            <w:tcW w:w="2520" w:type="dxa"/>
          </w:tcPr>
          <w:p w14:paraId="6E71115F" w14:textId="77777777" w:rsidR="00413AF4" w:rsidRPr="005E2E05" w:rsidRDefault="00413AF4">
            <w:pPr>
              <w:spacing w:before="120" w:after="120"/>
              <w:jc w:val="center"/>
              <w:rPr>
                <w:rFonts w:cs="Arial"/>
                <w:sz w:val="20"/>
              </w:rPr>
            </w:pPr>
            <w:r w:rsidRPr="005E2E05">
              <w:rPr>
                <w:rFonts w:cs="Arial"/>
                <w:sz w:val="20"/>
              </w:rPr>
              <w:t>10-29</w:t>
            </w:r>
          </w:p>
        </w:tc>
        <w:tc>
          <w:tcPr>
            <w:tcW w:w="2400" w:type="dxa"/>
          </w:tcPr>
          <w:p w14:paraId="02B44F58" w14:textId="77777777" w:rsidR="00413AF4" w:rsidRPr="005E2E05" w:rsidRDefault="00413AF4">
            <w:pPr>
              <w:spacing w:before="120" w:after="120"/>
              <w:jc w:val="center"/>
              <w:rPr>
                <w:rFonts w:cs="Arial"/>
                <w:sz w:val="20"/>
              </w:rPr>
            </w:pPr>
            <w:r w:rsidRPr="005E2E05">
              <w:rPr>
                <w:rFonts w:cs="Arial"/>
                <w:sz w:val="20"/>
              </w:rPr>
              <w:t>1-4</w:t>
            </w:r>
          </w:p>
        </w:tc>
        <w:tc>
          <w:tcPr>
            <w:tcW w:w="4440" w:type="dxa"/>
          </w:tcPr>
          <w:p w14:paraId="5A5490C0" w14:textId="77777777" w:rsidR="00413AF4" w:rsidRPr="005E2E05" w:rsidRDefault="00413AF4">
            <w:pPr>
              <w:spacing w:before="120" w:after="120"/>
              <w:rPr>
                <w:rFonts w:cs="Arial"/>
                <w:b/>
                <w:sz w:val="20"/>
                <w:vertAlign w:val="superscript"/>
              </w:rPr>
            </w:pPr>
            <w:r w:rsidRPr="005E2E05">
              <w:rPr>
                <w:rFonts w:cs="Arial"/>
                <w:sz w:val="20"/>
              </w:rPr>
              <w:t>Suppress numerator and any other cells</w:t>
            </w:r>
            <w:r w:rsidRPr="005E2E05">
              <w:rPr>
                <w:rStyle w:val="FootnoteReference"/>
                <w:rFonts w:cs="Arial"/>
              </w:rPr>
              <w:t xml:space="preserve">5 </w:t>
            </w:r>
            <w:r w:rsidRPr="005E2E05">
              <w:rPr>
                <w:rFonts w:cs="Arial"/>
                <w:sz w:val="20"/>
              </w:rPr>
              <w:t>that would allow for the calculation of any other cells with values of 1-4</w:t>
            </w:r>
          </w:p>
        </w:tc>
      </w:tr>
      <w:tr w:rsidR="00413AF4" w:rsidRPr="005E2E05" w14:paraId="45CE25C6" w14:textId="77777777">
        <w:trPr>
          <w:cantSplit/>
        </w:trPr>
        <w:tc>
          <w:tcPr>
            <w:tcW w:w="2520" w:type="dxa"/>
          </w:tcPr>
          <w:p w14:paraId="71777DB1" w14:textId="77777777" w:rsidR="00413AF4" w:rsidRPr="005E2E05" w:rsidRDefault="00413AF4">
            <w:pPr>
              <w:spacing w:before="120" w:after="120"/>
              <w:jc w:val="center"/>
              <w:rPr>
                <w:rFonts w:cs="Arial"/>
                <w:sz w:val="20"/>
              </w:rPr>
            </w:pPr>
            <w:r w:rsidRPr="005E2E05">
              <w:rPr>
                <w:rFonts w:cs="Arial"/>
                <w:sz w:val="20"/>
              </w:rPr>
              <w:t>10-29</w:t>
            </w:r>
          </w:p>
        </w:tc>
        <w:tc>
          <w:tcPr>
            <w:tcW w:w="2400" w:type="dxa"/>
          </w:tcPr>
          <w:p w14:paraId="101DE4B7" w14:textId="77777777" w:rsidR="00413AF4" w:rsidRPr="005E2E05" w:rsidRDefault="00413AF4">
            <w:pPr>
              <w:spacing w:before="120" w:after="120"/>
              <w:jc w:val="center"/>
              <w:rPr>
                <w:rFonts w:cs="Arial"/>
                <w:sz w:val="20"/>
              </w:rPr>
            </w:pPr>
            <w:r w:rsidRPr="005E2E05">
              <w:rPr>
                <w:rFonts w:cs="Arial"/>
                <w:sz w:val="20"/>
              </w:rPr>
              <w:t>5-29</w:t>
            </w:r>
          </w:p>
        </w:tc>
        <w:tc>
          <w:tcPr>
            <w:tcW w:w="4440" w:type="dxa"/>
          </w:tcPr>
          <w:p w14:paraId="65DC0C3B" w14:textId="77777777" w:rsidR="00413AF4" w:rsidRPr="005E2E05" w:rsidRDefault="00413AF4">
            <w:pPr>
              <w:spacing w:before="120" w:after="120"/>
              <w:rPr>
                <w:rFonts w:cs="Arial"/>
                <w:sz w:val="20"/>
              </w:rPr>
            </w:pPr>
            <w:r w:rsidRPr="005E2E05">
              <w:rPr>
                <w:rFonts w:cs="Arial"/>
                <w:sz w:val="20"/>
              </w:rPr>
              <w:t>Suppress any cells that would allow for the calculation of any other cells</w:t>
            </w:r>
            <w:r w:rsidRPr="005E2E05">
              <w:rPr>
                <w:rStyle w:val="FootnoteReference"/>
                <w:rFonts w:cs="Arial"/>
              </w:rPr>
              <w:t>6</w:t>
            </w:r>
            <w:r w:rsidRPr="005E2E05">
              <w:rPr>
                <w:rFonts w:cs="Arial"/>
                <w:sz w:val="20"/>
                <w:vertAlign w:val="superscript"/>
              </w:rPr>
              <w:t xml:space="preserve">  </w:t>
            </w:r>
            <w:r w:rsidRPr="005E2E05">
              <w:rPr>
                <w:rFonts w:cs="Arial"/>
                <w:sz w:val="20"/>
              </w:rPr>
              <w:t>with values of 1-4</w:t>
            </w:r>
          </w:p>
        </w:tc>
      </w:tr>
      <w:tr w:rsidR="00413AF4" w:rsidRPr="005E2E05" w14:paraId="58176882" w14:textId="77777777">
        <w:trPr>
          <w:cantSplit/>
        </w:trPr>
        <w:tc>
          <w:tcPr>
            <w:tcW w:w="2520" w:type="dxa"/>
          </w:tcPr>
          <w:p w14:paraId="108BFDD1" w14:textId="77777777" w:rsidR="00413AF4" w:rsidRPr="005E2E05" w:rsidRDefault="00413AF4">
            <w:pPr>
              <w:spacing w:before="120" w:after="120"/>
              <w:jc w:val="center"/>
              <w:rPr>
                <w:rFonts w:cs="Arial"/>
                <w:sz w:val="20"/>
              </w:rPr>
            </w:pPr>
            <w:r w:rsidRPr="005E2E05">
              <w:rPr>
                <w:rFonts w:cs="Arial"/>
                <w:sz w:val="20"/>
              </w:rPr>
              <w:t>0-9</w:t>
            </w:r>
          </w:p>
        </w:tc>
        <w:tc>
          <w:tcPr>
            <w:tcW w:w="2400" w:type="dxa"/>
          </w:tcPr>
          <w:p w14:paraId="6594E914" w14:textId="77777777" w:rsidR="00413AF4" w:rsidRPr="005E2E05" w:rsidRDefault="00413AF4">
            <w:pPr>
              <w:spacing w:before="120" w:after="120"/>
              <w:jc w:val="center"/>
              <w:rPr>
                <w:rFonts w:cs="Arial"/>
                <w:sz w:val="20"/>
              </w:rPr>
            </w:pPr>
            <w:r w:rsidRPr="005E2E05">
              <w:rPr>
                <w:rFonts w:cs="Arial"/>
                <w:sz w:val="20"/>
              </w:rPr>
              <w:t>0-9</w:t>
            </w:r>
          </w:p>
        </w:tc>
        <w:tc>
          <w:tcPr>
            <w:tcW w:w="4440" w:type="dxa"/>
          </w:tcPr>
          <w:p w14:paraId="1CBEA046" w14:textId="77777777" w:rsidR="00413AF4" w:rsidRPr="005E2E05" w:rsidRDefault="00413AF4">
            <w:pPr>
              <w:spacing w:before="120" w:after="120"/>
              <w:rPr>
                <w:rFonts w:cs="Arial"/>
                <w:sz w:val="20"/>
              </w:rPr>
            </w:pPr>
            <w:r w:rsidRPr="005E2E05">
              <w:rPr>
                <w:rFonts w:cs="Arial"/>
                <w:sz w:val="20"/>
              </w:rPr>
              <w:t>Suppress numerator</w:t>
            </w:r>
          </w:p>
        </w:tc>
      </w:tr>
      <w:tr w:rsidR="00413AF4" w:rsidRPr="005E2E05" w14:paraId="65D3B556" w14:textId="77777777">
        <w:trPr>
          <w:cantSplit/>
        </w:trPr>
        <w:tc>
          <w:tcPr>
            <w:tcW w:w="2520" w:type="dxa"/>
          </w:tcPr>
          <w:p w14:paraId="15111D38" w14:textId="77777777" w:rsidR="00413AF4" w:rsidRPr="005E2E05" w:rsidRDefault="00413AF4">
            <w:pPr>
              <w:spacing w:before="120" w:after="120"/>
              <w:jc w:val="center"/>
              <w:rPr>
                <w:rFonts w:cs="Arial"/>
                <w:sz w:val="20"/>
              </w:rPr>
            </w:pPr>
            <w:r w:rsidRPr="005E2E05">
              <w:rPr>
                <w:rFonts w:cs="Arial"/>
                <w:sz w:val="20"/>
              </w:rPr>
              <w:t>= N</w:t>
            </w:r>
          </w:p>
        </w:tc>
        <w:tc>
          <w:tcPr>
            <w:tcW w:w="2400" w:type="dxa"/>
          </w:tcPr>
          <w:p w14:paraId="4C9AA697" w14:textId="77777777" w:rsidR="00413AF4" w:rsidRPr="005E2E05" w:rsidRDefault="00413AF4">
            <w:pPr>
              <w:spacing w:before="120" w:after="120"/>
              <w:jc w:val="center"/>
              <w:rPr>
                <w:rFonts w:cs="Arial"/>
                <w:sz w:val="20"/>
              </w:rPr>
            </w:pPr>
            <w:r w:rsidRPr="005E2E05">
              <w:rPr>
                <w:rFonts w:cs="Arial"/>
                <w:sz w:val="20"/>
              </w:rPr>
              <w:t>= D</w:t>
            </w:r>
          </w:p>
        </w:tc>
        <w:tc>
          <w:tcPr>
            <w:tcW w:w="4440" w:type="dxa"/>
          </w:tcPr>
          <w:p w14:paraId="63F5C000" w14:textId="77777777" w:rsidR="00413AF4" w:rsidRPr="005E2E05" w:rsidRDefault="00413AF4">
            <w:pPr>
              <w:pStyle w:val="FootnoteText"/>
              <w:rPr>
                <w:rFonts w:ascii="Arial" w:hAnsi="Arial" w:cs="Arial"/>
              </w:rPr>
            </w:pPr>
            <w:r w:rsidRPr="005E2E05">
              <w:rPr>
                <w:rFonts w:ascii="Arial" w:hAnsi="Arial" w:cs="Arial"/>
              </w:rPr>
              <w:t>Suppress numerator unless privacy risk is minimal</w:t>
            </w:r>
          </w:p>
        </w:tc>
      </w:tr>
    </w:tbl>
    <w:p w14:paraId="05E08F52" w14:textId="77777777" w:rsidR="00413AF4" w:rsidRDefault="00413AF4" w:rsidP="00E86E7B">
      <w:pPr>
        <w:pStyle w:val="H4SubNumberedParagraph"/>
      </w:pPr>
      <w:r>
        <w:t>Numerator Based Cell Suppression</w:t>
      </w:r>
    </w:p>
    <w:p w14:paraId="12E6DF8F" w14:textId="77777777" w:rsidR="00413AF4" w:rsidRDefault="00413AF4">
      <w:pPr>
        <w:pStyle w:val="H4Text"/>
        <w:numPr>
          <w:ilvl w:val="0"/>
          <w:numId w:val="18"/>
        </w:numPr>
      </w:pPr>
      <w:r>
        <w:t>Suppress all statistical cells with one to five subjects; and</w:t>
      </w:r>
    </w:p>
    <w:p w14:paraId="3E1B2F37" w14:textId="77777777" w:rsidR="00413AF4" w:rsidRDefault="00413AF4">
      <w:pPr>
        <w:pStyle w:val="H4Text"/>
        <w:numPr>
          <w:ilvl w:val="0"/>
          <w:numId w:val="18"/>
        </w:numPr>
      </w:pPr>
      <w:r>
        <w:t>Suppress all other cells that would allow for the calculation of the values of cells that have been suppressed in the first bullet.</w:t>
      </w:r>
      <w:r w:rsidR="00AE0BC0">
        <w:rPr>
          <w:rStyle w:val="FootnoteReference"/>
        </w:rPr>
        <w:footnoteReference w:id="15"/>
      </w:r>
    </w:p>
    <w:p w14:paraId="33EF28A6" w14:textId="77777777" w:rsidR="00413AF4" w:rsidRDefault="00413AF4" w:rsidP="009C11B0">
      <w:pPr>
        <w:pStyle w:val="H4Text"/>
      </w:pPr>
      <w:r>
        <w:t>or</w:t>
      </w:r>
    </w:p>
    <w:p w14:paraId="78F72FB5" w14:textId="77777777" w:rsidR="00413AF4" w:rsidRDefault="00413AF4" w:rsidP="00E86E7B">
      <w:pPr>
        <w:pStyle w:val="H4SubNumberedParagraph"/>
      </w:pPr>
      <w:r>
        <w:t>Alternative Suppression Standards</w:t>
      </w:r>
    </w:p>
    <w:p w14:paraId="3DEE36EE" w14:textId="77777777" w:rsidR="00413AF4" w:rsidRDefault="00413AF4" w:rsidP="009C11B0">
      <w:pPr>
        <w:pStyle w:val="H4Text"/>
      </w:pPr>
      <w:r>
        <w:t>Any Bureau may develop an alternative aggregate data release standard if it decides not to follow any of the standards above, provided that:</w:t>
      </w:r>
    </w:p>
    <w:p w14:paraId="76BE0BD2" w14:textId="77777777" w:rsidR="00413AF4" w:rsidRDefault="00413AF4">
      <w:pPr>
        <w:pStyle w:val="H4Text"/>
        <w:numPr>
          <w:ilvl w:val="0"/>
          <w:numId w:val="19"/>
        </w:numPr>
      </w:pPr>
      <w:r>
        <w:t>The standard is at least as restrictive as the above stated standards; and</w:t>
      </w:r>
    </w:p>
    <w:p w14:paraId="73D85C70" w14:textId="77777777" w:rsidR="00413AF4" w:rsidRDefault="00413AF4">
      <w:pPr>
        <w:pStyle w:val="H4Text"/>
        <w:numPr>
          <w:ilvl w:val="0"/>
          <w:numId w:val="19"/>
        </w:numPr>
      </w:pPr>
      <w:r>
        <w:t>Any alternative standard is documented by the Bureau and approved by the Privacy &amp; Data Access Office prior to implementation.</w:t>
      </w:r>
    </w:p>
    <w:p w14:paraId="4E5F3D48" w14:textId="77777777" w:rsidR="00413AF4" w:rsidRDefault="00413AF4" w:rsidP="00E86E7B">
      <w:pPr>
        <w:pStyle w:val="H4SubNumberedParagraph"/>
      </w:pPr>
      <w:r w:rsidRPr="00AE7761">
        <w:t>Statistical De-Identification</w:t>
      </w:r>
      <w:r>
        <w:t xml:space="preserve">: </w:t>
      </w:r>
    </w:p>
    <w:p w14:paraId="36BED217" w14:textId="77777777" w:rsidR="00413AF4" w:rsidRDefault="00413AF4" w:rsidP="009C11B0">
      <w:pPr>
        <w:pStyle w:val="H4Text"/>
      </w:pPr>
      <w:r>
        <w:t xml:space="preserve">Any bureau may rely on a qualified statistician using accepted analytic techniques to conclude that the aggregate data are de-identified as described above in Section II.A. 1. on Statistical De-identification. </w:t>
      </w:r>
    </w:p>
    <w:p w14:paraId="518E9B83" w14:textId="77777777" w:rsidR="00413AF4" w:rsidRPr="005040B0" w:rsidRDefault="00413AF4" w:rsidP="009C11B0"/>
    <w:p w14:paraId="66F0E4A7" w14:textId="77777777" w:rsidR="00413AF4" w:rsidRDefault="00413AF4" w:rsidP="009C11B0"/>
    <w:p w14:paraId="4280C25E" w14:textId="77777777" w:rsidR="00413AF4" w:rsidRPr="005040B0" w:rsidRDefault="00413AF4" w:rsidP="009C11B0"/>
    <w:p w14:paraId="60AD78F9" w14:textId="77777777" w:rsidR="00413AF4" w:rsidRPr="00022A2C" w:rsidRDefault="00413AF4" w:rsidP="009C11B0">
      <w:pPr>
        <w:rPr>
          <w:rFonts w:cs="Arial"/>
          <w:u w:val="single"/>
        </w:rPr>
      </w:pPr>
      <w:r w:rsidRPr="00022A2C">
        <w:rPr>
          <w:rFonts w:cs="Arial"/>
          <w:u w:val="single"/>
        </w:rPr>
        <w:t>Authority:</w:t>
      </w:r>
    </w:p>
    <w:p w14:paraId="7A06C6B7" w14:textId="77777777" w:rsidR="00413AF4" w:rsidRDefault="00413AF4" w:rsidP="009C11B0">
      <w:pPr>
        <w:pStyle w:val="H3Text"/>
      </w:pPr>
      <w:r>
        <w:t>M.G.L. c. 66A</w:t>
      </w:r>
    </w:p>
    <w:p w14:paraId="710247A6" w14:textId="77777777" w:rsidR="00413AF4" w:rsidRPr="00022A2C" w:rsidRDefault="00413AF4" w:rsidP="009C11B0">
      <w:pPr>
        <w:pStyle w:val="H3Text"/>
      </w:pPr>
      <w:r>
        <w:t>45 C.F.R</w:t>
      </w:r>
      <w:r w:rsidRPr="00022A2C">
        <w:t xml:space="preserve"> §§ </w:t>
      </w:r>
      <w:r>
        <w:t>164.514</w:t>
      </w:r>
    </w:p>
    <w:p w14:paraId="7F839E2B" w14:textId="77777777" w:rsidR="00413AF4" w:rsidRDefault="00413AF4" w:rsidP="009C11B0">
      <w:pPr>
        <w:rPr>
          <w:rFonts w:cs="Arial"/>
          <w:sz w:val="22"/>
          <w:szCs w:val="22"/>
        </w:rPr>
      </w:pPr>
      <w:r>
        <w:rPr>
          <w:rFonts w:cs="Arial"/>
          <w:sz w:val="22"/>
          <w:szCs w:val="22"/>
          <w:u w:val="single"/>
        </w:rPr>
        <w:t>For a Limited Data Set Agreement form</w:t>
      </w:r>
      <w:r w:rsidRPr="003324C0">
        <w:rPr>
          <w:rFonts w:cs="Arial"/>
          <w:sz w:val="22"/>
          <w:szCs w:val="22"/>
        </w:rPr>
        <w:t>:  See Healthnet, look under the Privacy &amp; Data Access pages</w:t>
      </w:r>
      <w:r>
        <w:rPr>
          <w:rFonts w:cs="Arial"/>
          <w:sz w:val="22"/>
          <w:szCs w:val="22"/>
        </w:rPr>
        <w:t xml:space="preserve">, forms may be found under “Model Forms.”  </w:t>
      </w:r>
    </w:p>
    <w:p w14:paraId="7757C2FE" w14:textId="77777777" w:rsidR="00413AF4" w:rsidRDefault="00413AF4" w:rsidP="009C11B0">
      <w:pPr>
        <w:rPr>
          <w:rFonts w:cs="Arial"/>
          <w:sz w:val="22"/>
          <w:szCs w:val="22"/>
        </w:rPr>
      </w:pPr>
      <w:r w:rsidRPr="003324C0">
        <w:rPr>
          <w:rFonts w:cs="Arial"/>
          <w:sz w:val="22"/>
          <w:szCs w:val="22"/>
        </w:rPr>
        <w:t>(Available to MDPH Intranet users only)</w:t>
      </w:r>
    </w:p>
    <w:p w14:paraId="1324D492" w14:textId="77777777" w:rsidR="001A7666" w:rsidRPr="009C1F44" w:rsidRDefault="001A7666" w:rsidP="009C11B0"/>
    <w:p w14:paraId="7CE06F59" w14:textId="77777777" w:rsidR="00C14DDD" w:rsidRDefault="00C14DDD" w:rsidP="00C46626">
      <w:pPr>
        <w:sectPr w:rsidR="00C14DDD" w:rsidSect="00D87220">
          <w:headerReference w:type="default" r:id="rId47"/>
          <w:footerReference w:type="default" r:id="rId48"/>
          <w:footnotePr>
            <w:numRestart w:val="eachSect"/>
          </w:footnotePr>
          <w:pgSz w:w="12240" w:h="15840" w:code="1"/>
          <w:pgMar w:top="1440" w:right="1440" w:bottom="1440" w:left="1800" w:header="720" w:footer="720" w:gutter="0"/>
          <w:cols w:space="720"/>
          <w:docGrid w:linePitch="360"/>
        </w:sectPr>
      </w:pPr>
    </w:p>
    <w:p w14:paraId="491CAAE2" w14:textId="77777777" w:rsidR="00C14DDD" w:rsidRPr="00D16AF3" w:rsidRDefault="00D16AF3" w:rsidP="008028A4">
      <w:pPr>
        <w:pStyle w:val="H1ProcedureSection"/>
      </w:pPr>
      <w:bookmarkStart w:id="56" w:name="_Toc209771784"/>
      <w:r>
        <w:t>Procedure 8</w:t>
      </w:r>
      <w:r>
        <w:tab/>
      </w:r>
      <w:r w:rsidR="00C14DDD" w:rsidRPr="00D16AF3">
        <w:t>Public Records Release Standards for Documents Containing Medical Information</w:t>
      </w:r>
      <w:bookmarkEnd w:id="56"/>
    </w:p>
    <w:p w14:paraId="6BD47C30" w14:textId="77777777" w:rsidR="00C14DDD" w:rsidRPr="00220EDF" w:rsidRDefault="00C14DDD" w:rsidP="009C11B0">
      <w:pPr>
        <w:pStyle w:val="Version"/>
      </w:pPr>
      <w:r w:rsidRPr="007F4964">
        <w:t xml:space="preserve">Version:  </w:t>
      </w:r>
      <w:r>
        <w:t>3</w:t>
      </w:r>
      <w:r w:rsidRPr="007F4964">
        <w:tab/>
        <w:t xml:space="preserve">Effective Date:  </w:t>
      </w:r>
      <w:r>
        <w:t>April 21, 2008</w:t>
      </w:r>
    </w:p>
    <w:p w14:paraId="51AD2058" w14:textId="77777777" w:rsidR="00C14DDD" w:rsidRDefault="00C14DDD">
      <w:pPr>
        <w:pStyle w:val="H2Paragraph"/>
        <w:numPr>
          <w:ilvl w:val="0"/>
          <w:numId w:val="56"/>
        </w:numPr>
      </w:pPr>
      <w:bookmarkStart w:id="57" w:name="_Toc209771785"/>
      <w:r>
        <w:t>Purpose and Scope</w:t>
      </w:r>
      <w:bookmarkEnd w:id="57"/>
    </w:p>
    <w:p w14:paraId="79BEA0D0" w14:textId="77777777" w:rsidR="00C14DDD" w:rsidRDefault="00C14DDD" w:rsidP="009C11B0">
      <w:pPr>
        <w:pStyle w:val="H3Text"/>
      </w:pPr>
      <w:r>
        <w:t xml:space="preserve">This procedure describes how to protect the privacy of individuals whose medical information is contained in DPH reports and documents requested as public records. </w:t>
      </w:r>
    </w:p>
    <w:p w14:paraId="212C4B64" w14:textId="77777777" w:rsidR="00C14DDD" w:rsidRDefault="00C14DDD" w:rsidP="009C11B0">
      <w:pPr>
        <w:pStyle w:val="H3Text"/>
      </w:pPr>
      <w:r>
        <w:t>This procedure applies to all documents containing medical files or medical information [hereinafter referenced as medical information] including, but not limited to, Statements of Deficiencies (SOD), complaint and incident investigation reports, licensure or inspection reports, external review documents, and records relating to disease investigations.  All Department workforce members in both covered and non-covered components of the Department must comply with this procedure.</w:t>
      </w:r>
    </w:p>
    <w:p w14:paraId="3B5510AC" w14:textId="77777777" w:rsidR="00C14DDD" w:rsidRDefault="00C14DDD" w:rsidP="009C11B0">
      <w:pPr>
        <w:pStyle w:val="H3Text"/>
      </w:pPr>
      <w:r>
        <w:t>Table 8.1 is a decision tree to aid MDPH employees answering a public records request.</w:t>
      </w:r>
    </w:p>
    <w:p w14:paraId="496D6C0D" w14:textId="77777777" w:rsidR="00C14DDD" w:rsidRDefault="00C14DDD" w:rsidP="009C11B0">
      <w:pPr>
        <w:pStyle w:val="H2Paragraph"/>
      </w:pPr>
      <w:bookmarkStart w:id="58" w:name="_Toc209771786"/>
      <w:r>
        <w:t>General Requirements</w:t>
      </w:r>
      <w:bookmarkEnd w:id="58"/>
    </w:p>
    <w:p w14:paraId="05D71933" w14:textId="77777777" w:rsidR="00C14DDD" w:rsidRPr="00B15358" w:rsidRDefault="00C14DDD" w:rsidP="009C11B0">
      <w:pPr>
        <w:pStyle w:val="H3Text"/>
        <w:rPr>
          <w:rFonts w:cs="Arial"/>
          <w:szCs w:val="22"/>
        </w:rPr>
      </w:pPr>
      <w:r>
        <w:t xml:space="preserve">Before releasing any reports and documents containing medical information pursuant to </w:t>
      </w:r>
      <w:r w:rsidRPr="00B15358">
        <w:rPr>
          <w:rFonts w:cs="Arial"/>
          <w:szCs w:val="22"/>
        </w:rPr>
        <w:t>a public records request, workforce members should engage in the following process:</w:t>
      </w:r>
    </w:p>
    <w:p w14:paraId="27EE7147" w14:textId="77777777" w:rsidR="00C14DDD" w:rsidRPr="00B15358" w:rsidRDefault="00C14DDD">
      <w:pPr>
        <w:pStyle w:val="H3Text"/>
        <w:numPr>
          <w:ilvl w:val="0"/>
          <w:numId w:val="22"/>
        </w:numPr>
      </w:pPr>
      <w:r w:rsidRPr="00B15358">
        <w:t>Determine if the requested materials contain any one of the following three categories of information:</w:t>
      </w:r>
    </w:p>
    <w:p w14:paraId="017C69AB" w14:textId="77777777" w:rsidR="00C14DDD" w:rsidRPr="00B15358" w:rsidRDefault="00C14DDD">
      <w:pPr>
        <w:pStyle w:val="H3Text"/>
        <w:numPr>
          <w:ilvl w:val="1"/>
          <w:numId w:val="22"/>
        </w:numPr>
      </w:pPr>
      <w:r w:rsidRPr="00B15358">
        <w:t>Direct identifiers;</w:t>
      </w:r>
    </w:p>
    <w:p w14:paraId="1CEE736E" w14:textId="77777777" w:rsidR="00C14DDD" w:rsidRPr="00B15358" w:rsidRDefault="00C14DDD">
      <w:pPr>
        <w:pStyle w:val="H3Text"/>
        <w:numPr>
          <w:ilvl w:val="1"/>
          <w:numId w:val="22"/>
        </w:numPr>
      </w:pPr>
      <w:r w:rsidRPr="00B15358">
        <w:t>Medical information related to an individual; or</w:t>
      </w:r>
    </w:p>
    <w:p w14:paraId="02CF002F" w14:textId="77777777" w:rsidR="00C14DDD" w:rsidRPr="00B15358" w:rsidRDefault="00C14DDD">
      <w:pPr>
        <w:pStyle w:val="H3Text"/>
        <w:numPr>
          <w:ilvl w:val="1"/>
          <w:numId w:val="22"/>
        </w:numPr>
      </w:pPr>
      <w:r w:rsidRPr="00B15358">
        <w:t>Indirect identifiers.</w:t>
      </w:r>
    </w:p>
    <w:p w14:paraId="5A46B30C" w14:textId="77777777" w:rsidR="00C14DDD" w:rsidRPr="00CF5721" w:rsidRDefault="00C14DDD">
      <w:pPr>
        <w:pStyle w:val="H3Text"/>
        <w:numPr>
          <w:ilvl w:val="0"/>
          <w:numId w:val="22"/>
        </w:numPr>
      </w:pPr>
      <w:r w:rsidRPr="00CF5721">
        <w:t>Redact or withhold any information falling within one of the three categories; and</w:t>
      </w:r>
    </w:p>
    <w:p w14:paraId="654FBCBF" w14:textId="77777777" w:rsidR="00C14DDD" w:rsidRPr="00CF5721" w:rsidRDefault="00C14DDD">
      <w:pPr>
        <w:pStyle w:val="H3Text"/>
        <w:numPr>
          <w:ilvl w:val="0"/>
          <w:numId w:val="22"/>
        </w:numPr>
      </w:pPr>
      <w:r w:rsidRPr="00CF5721">
        <w:t>Release the materials as a public record unless another Public Records Law exemption prohibits the release.</w:t>
      </w:r>
    </w:p>
    <w:p w14:paraId="3F08DB54" w14:textId="77777777" w:rsidR="00C14DDD" w:rsidRDefault="00C14DDD" w:rsidP="009C11B0">
      <w:pPr>
        <w:pStyle w:val="H2Paragraph"/>
      </w:pPr>
      <w:bookmarkStart w:id="59" w:name="_Toc209771787"/>
      <w:r>
        <w:t>Redaction Standards Applicable to all Documents</w:t>
      </w:r>
      <w:bookmarkEnd w:id="59"/>
    </w:p>
    <w:p w14:paraId="51D30D97" w14:textId="77777777" w:rsidR="00C14DDD" w:rsidRDefault="00C14DDD" w:rsidP="009C11B0">
      <w:pPr>
        <w:pStyle w:val="H3Text"/>
      </w:pPr>
      <w:r>
        <w:t>The standards for redacting identifiers and medical information under this part apply to all Department documents and reports.  As discussed in part</w:t>
      </w:r>
      <w:r w:rsidRPr="00A428FC">
        <w:t xml:space="preserve"> IV</w:t>
      </w:r>
      <w:r>
        <w:t>, Bureaus are responsible for developing standards for redacting indirect identifiers specific to Bureau needs.</w:t>
      </w:r>
    </w:p>
    <w:p w14:paraId="28BD3F29" w14:textId="77777777" w:rsidR="00C14DDD" w:rsidRDefault="00C14DDD" w:rsidP="009C11B0">
      <w:pPr>
        <w:pStyle w:val="H3SubParagraph"/>
      </w:pPr>
      <w:r>
        <w:t>Direct Identifiers</w:t>
      </w:r>
    </w:p>
    <w:p w14:paraId="7F2CD18C" w14:textId="77777777" w:rsidR="00C14DDD" w:rsidRDefault="00C14DDD" w:rsidP="009C11B0">
      <w:pPr>
        <w:pStyle w:val="H3Text"/>
      </w:pPr>
      <w:r>
        <w:t>Workforce members shall redact all direct personal identifiers from all documents that include medical information prior to public release including, but not limited to:</w:t>
      </w:r>
    </w:p>
    <w:p w14:paraId="756FD6E6" w14:textId="77777777" w:rsidR="00C14DDD" w:rsidRDefault="00C14DDD" w:rsidP="00E86E7B">
      <w:pPr>
        <w:pStyle w:val="H4SubNumberedParagraph"/>
      </w:pPr>
      <w:r>
        <w:t>Patient names</w:t>
      </w:r>
    </w:p>
    <w:p w14:paraId="5E943D40" w14:textId="77777777" w:rsidR="00C14DDD" w:rsidRDefault="00C14DDD" w:rsidP="009C11B0">
      <w:pPr>
        <w:pStyle w:val="H4Text"/>
      </w:pPr>
      <w:r>
        <w:t>All names</w:t>
      </w:r>
      <w:r>
        <w:rPr>
          <w:rStyle w:val="FootnoteReference"/>
        </w:rPr>
        <w:footnoteReference w:id="16"/>
      </w:r>
      <w:r>
        <w:t xml:space="preserve"> of individuals who received medical care, resided in the facility, or filed a complaint;</w:t>
      </w:r>
      <w:r>
        <w:rPr>
          <w:rStyle w:val="FootnoteReference"/>
        </w:rPr>
        <w:footnoteReference w:id="17"/>
      </w:r>
      <w:r>
        <w:t xml:space="preserve"> </w:t>
      </w:r>
    </w:p>
    <w:p w14:paraId="77FE984A" w14:textId="77777777" w:rsidR="00C14DDD" w:rsidRDefault="00C14DDD" w:rsidP="00E86E7B">
      <w:pPr>
        <w:pStyle w:val="H4SubNumberedParagraph"/>
      </w:pPr>
      <w:r>
        <w:t>Dates:</w:t>
      </w:r>
    </w:p>
    <w:p w14:paraId="7D253921" w14:textId="77777777" w:rsidR="00C14DDD" w:rsidRDefault="00C14DDD" w:rsidP="009C11B0">
      <w:pPr>
        <w:pStyle w:val="H4Text"/>
      </w:pPr>
      <w:r>
        <w:t>Month and day of birth and death.  Depending on the population, it may be necessary to aggregate year of birth or death and age for persons 90 years of age and older, and in some cases for other age groups as well, if it could serve to identify an individual.</w:t>
      </w:r>
    </w:p>
    <w:p w14:paraId="180D96B6" w14:textId="77777777" w:rsidR="00C14DDD" w:rsidRPr="00B15358" w:rsidRDefault="00C14DDD" w:rsidP="009C11B0">
      <w:pPr>
        <w:pStyle w:val="H4Text"/>
        <w:rPr>
          <w:rFonts w:cs="Arial"/>
          <w:szCs w:val="22"/>
        </w:rPr>
      </w:pPr>
      <w:r>
        <w:t xml:space="preserve">Day for all other dates directly related to an individual shall be redacted. Redact the </w:t>
      </w:r>
      <w:r w:rsidRPr="00B15358">
        <w:rPr>
          <w:rFonts w:cs="Arial"/>
          <w:szCs w:val="22"/>
        </w:rPr>
        <w:t xml:space="preserve">day (but may include the month and year) for the following dates: </w:t>
      </w:r>
    </w:p>
    <w:p w14:paraId="5C5B70FF" w14:textId="77777777" w:rsidR="00C14DDD" w:rsidRPr="00B15358" w:rsidRDefault="00C14DDD">
      <w:pPr>
        <w:pStyle w:val="H4Text"/>
        <w:numPr>
          <w:ilvl w:val="0"/>
          <w:numId w:val="23"/>
        </w:numPr>
      </w:pPr>
      <w:r w:rsidRPr="00B15358">
        <w:t xml:space="preserve">Admission date;  </w:t>
      </w:r>
    </w:p>
    <w:p w14:paraId="3B0ADF46" w14:textId="77777777" w:rsidR="00C14DDD" w:rsidRPr="00B15358" w:rsidRDefault="00C14DDD">
      <w:pPr>
        <w:pStyle w:val="H4Text"/>
        <w:numPr>
          <w:ilvl w:val="0"/>
          <w:numId w:val="23"/>
        </w:numPr>
      </w:pPr>
      <w:r w:rsidRPr="00B15358">
        <w:t xml:space="preserve">Discharge date; </w:t>
      </w:r>
    </w:p>
    <w:p w14:paraId="2B2444D7" w14:textId="77777777" w:rsidR="00C14DDD" w:rsidRPr="00B15358" w:rsidRDefault="00C14DDD">
      <w:pPr>
        <w:pStyle w:val="H4Text"/>
        <w:numPr>
          <w:ilvl w:val="0"/>
          <w:numId w:val="23"/>
        </w:numPr>
      </w:pPr>
      <w:r w:rsidRPr="00B15358">
        <w:t>Date of incident; and</w:t>
      </w:r>
    </w:p>
    <w:p w14:paraId="2971BFBA" w14:textId="77777777" w:rsidR="00C14DDD" w:rsidRPr="00B15358" w:rsidRDefault="00C14DDD">
      <w:pPr>
        <w:pStyle w:val="H4Text"/>
        <w:numPr>
          <w:ilvl w:val="0"/>
          <w:numId w:val="23"/>
        </w:numPr>
      </w:pPr>
      <w:r w:rsidRPr="00B15358">
        <w:t xml:space="preserve">Date of service; </w:t>
      </w:r>
    </w:p>
    <w:p w14:paraId="0BD51153" w14:textId="77777777" w:rsidR="00C14DDD" w:rsidRDefault="00C14DDD" w:rsidP="00E86E7B">
      <w:pPr>
        <w:pStyle w:val="H4SubNumberedParagraph"/>
      </w:pPr>
      <w:r>
        <w:t>Address and contact information</w:t>
      </w:r>
    </w:p>
    <w:p w14:paraId="08064CF6" w14:textId="77777777" w:rsidR="00C14DDD" w:rsidRDefault="00C14DDD" w:rsidP="009C11B0">
      <w:pPr>
        <w:pStyle w:val="H4Text"/>
      </w:pPr>
      <w:r>
        <w:t>The home address (including street, town, county, state, country, and zip code) and phone number of any individual included in the document. This does not include the address of a residential facility including, but not limited to, a hospital, long-term care facility, rest-home, substance abuse facility, or other community-based facility; and</w:t>
      </w:r>
    </w:p>
    <w:p w14:paraId="74C3287F" w14:textId="77777777" w:rsidR="00C14DDD" w:rsidRDefault="00C14DDD" w:rsidP="00E86E7B">
      <w:pPr>
        <w:pStyle w:val="H4SubNumberedParagraph"/>
      </w:pPr>
      <w:r>
        <w:t>Personal ID Numbers</w:t>
      </w:r>
    </w:p>
    <w:p w14:paraId="7DF573A3" w14:textId="77777777" w:rsidR="00C14DDD" w:rsidRDefault="00C14DDD" w:rsidP="009C11B0">
      <w:pPr>
        <w:pStyle w:val="H4Text"/>
      </w:pPr>
      <w:r>
        <w:t>All personal identification numbers including a social security number; medical record number; and health plan number.</w:t>
      </w:r>
    </w:p>
    <w:p w14:paraId="4C623CCF" w14:textId="77777777" w:rsidR="00C14DDD" w:rsidRDefault="00C14DDD" w:rsidP="009C11B0">
      <w:pPr>
        <w:pStyle w:val="H3SubParagraph"/>
      </w:pPr>
      <w:r>
        <w:t xml:space="preserve">Medical Information </w:t>
      </w:r>
    </w:p>
    <w:p w14:paraId="6FC3B021" w14:textId="77777777" w:rsidR="00C14DDD" w:rsidRDefault="00C14DDD" w:rsidP="009C11B0">
      <w:pPr>
        <w:pStyle w:val="H3Text"/>
      </w:pPr>
      <w:r>
        <w:t>Bureaus shall not release any medical information that relates to an individual with the exception of the general medical condition or category of complaint that some programs may determine is necessary to retain, as described in part</w:t>
      </w:r>
      <w:r w:rsidRPr="00A060AE">
        <w:t xml:space="preserve"> IV</w:t>
      </w:r>
      <w:r>
        <w:t>.</w:t>
      </w:r>
    </w:p>
    <w:p w14:paraId="4148E783" w14:textId="77777777" w:rsidR="00C14DDD" w:rsidRDefault="00C14DDD" w:rsidP="009C11B0">
      <w:pPr>
        <w:pStyle w:val="H3Text"/>
      </w:pPr>
      <w:r>
        <w:t>Medical information is not necessarily determined by whether it is physically located in a single file, but turns on the nature or character of the documents and their label or location.  This includes medical information lacking direct identifiers that could be used to identify an individual,</w:t>
      </w:r>
      <w:r>
        <w:rPr>
          <w:rStyle w:val="FootnoteReference"/>
        </w:rPr>
        <w:footnoteReference w:id="18"/>
      </w:r>
      <w:r>
        <w:t xml:space="preserve"> as opposed to aggregate medical information</w:t>
      </w:r>
      <w:r>
        <w:rPr>
          <w:rStyle w:val="FootnoteReference"/>
        </w:rPr>
        <w:footnoteReference w:id="19"/>
      </w:r>
      <w:r>
        <w:t xml:space="preserve"> from more than one individual's file.  </w:t>
      </w:r>
    </w:p>
    <w:p w14:paraId="24E65A71" w14:textId="77777777" w:rsidR="00C14DDD" w:rsidRDefault="00C14DDD" w:rsidP="009C11B0">
      <w:pPr>
        <w:pStyle w:val="H3Text"/>
      </w:pPr>
      <w:r>
        <w:t xml:space="preserve">Medical information includes the nature and extent of a person's medical condition.  This includes medical statements, for example, such as a bad back, heart problems, and hypertension if related to a specific person.  It also includes autopsies and blood tests, as well as information that is diagnostic in nature and that yields detailed, intimate information about the subject's body and medical condition. </w:t>
      </w:r>
    </w:p>
    <w:p w14:paraId="34287053" w14:textId="77777777" w:rsidR="00C14DDD" w:rsidRDefault="00C14DDD" w:rsidP="009C11B0">
      <w:pPr>
        <w:pStyle w:val="H3SubParagraph"/>
      </w:pPr>
      <w:r>
        <w:t>Medical Records and Abstracts</w:t>
      </w:r>
    </w:p>
    <w:p w14:paraId="0E6A00BD" w14:textId="77777777" w:rsidR="00C14DDD" w:rsidRDefault="00C14DDD" w:rsidP="009C11B0">
      <w:pPr>
        <w:pStyle w:val="H3Text"/>
      </w:pPr>
      <w:r>
        <w:t>Medical records and abstracts are a subset of medical information.  A medical record is an independent document created by the provider as part of providing health care, which a Bureau is given or collects in the process of its oversight functions.  Medical abstracts are also independent documents, created by a DPH investigator from the medical record and include only medical information taken directly from the medical records of a provider.  Medical records and abstracts are wholly exempt from release.</w:t>
      </w:r>
    </w:p>
    <w:p w14:paraId="13AB0B4F" w14:textId="77777777" w:rsidR="00C14DDD" w:rsidRDefault="00C14DDD" w:rsidP="009C11B0">
      <w:pPr>
        <w:pStyle w:val="H3SubParagraph"/>
      </w:pPr>
      <w:r>
        <w:t>Non-Segregable Materials</w:t>
      </w:r>
    </w:p>
    <w:p w14:paraId="23DD9577" w14:textId="77777777" w:rsidR="00C14DDD" w:rsidRDefault="00C14DDD" w:rsidP="009C11B0">
      <w:pPr>
        <w:pStyle w:val="H3Text"/>
      </w:pPr>
      <w:r>
        <w:t xml:space="preserve">Sections of reports or documents containing non-segregable medical information may be redacted in their entirely.  Material is considered non-segregable if redacting the medical information from the section leaves information with no independent meaning.  For example, the redaction of the medical information in a section of a document might leave only conjunctions such as “and,” “but,” and “or.”  This section should be redacted in its entirety because the string of conjunctions has no independent meaning. </w:t>
      </w:r>
    </w:p>
    <w:p w14:paraId="06BBBFD0" w14:textId="77777777" w:rsidR="00C14DDD" w:rsidRDefault="00C14DDD" w:rsidP="009C11B0">
      <w:pPr>
        <w:pStyle w:val="H2Paragraph"/>
      </w:pPr>
      <w:bookmarkStart w:id="60" w:name="_Toc209771788"/>
      <w:r>
        <w:t>Bureau-Specific Redaction Standards</w:t>
      </w:r>
      <w:r>
        <w:rPr>
          <w:rStyle w:val="FootnoteReference"/>
        </w:rPr>
        <w:footnoteReference w:id="20"/>
      </w:r>
      <w:bookmarkEnd w:id="60"/>
    </w:p>
    <w:p w14:paraId="6BBA5046" w14:textId="77777777" w:rsidR="00C14DDD" w:rsidRDefault="00C14DDD" w:rsidP="009C11B0">
      <w:pPr>
        <w:pStyle w:val="H3SubParagraph"/>
      </w:pPr>
      <w:r>
        <w:t>Indirect Identifiers</w:t>
      </w:r>
    </w:p>
    <w:p w14:paraId="65A672BB" w14:textId="77777777" w:rsidR="00C14DDD" w:rsidRDefault="00C14DDD" w:rsidP="009C11B0">
      <w:pPr>
        <w:pStyle w:val="H3Text"/>
      </w:pPr>
      <w:r>
        <w:t>Indirect identifiers are elements in documents and records which implicate privacy interests by increasing the likelihood of identifying an individual, but do not involve direct identifiers or medical information.</w:t>
      </w:r>
    </w:p>
    <w:p w14:paraId="3D8C5FF4" w14:textId="77777777" w:rsidR="00C14DDD" w:rsidRDefault="00C14DDD" w:rsidP="009C11B0">
      <w:pPr>
        <w:pStyle w:val="H3Text"/>
      </w:pPr>
      <w:r>
        <w:t xml:space="preserve">The indirect identifiers left in any specific document may vary from program to program and depend on whether the indirect identifier serves to increase the likelihood of identifying the individual and whether the privacy interest of the individual outweighs the public interest in releasing the indirect identifier. For example, Health Care Quality will release the name of the facility in a hospital or nursing home inspection report since the performance of the facility is precisely what is at issue in the report, the likelihood of increasing the chance of identifying the individual is limited, and there is a strong public interest in its release.  On the other hand, the Office of Patient Protection will redact references to a specific facility, but not to the health plan, since it is the health plan and not the facility that is at issue in the matter on appeal. Moreover, the name of a facility coupled with the health plan could serve to identify the individual in an OPP decision and therefore, should be redacted.  </w:t>
      </w:r>
    </w:p>
    <w:p w14:paraId="4D49DC52" w14:textId="77777777" w:rsidR="00C14DDD" w:rsidRPr="00B15358" w:rsidRDefault="00C14DDD" w:rsidP="009C11B0">
      <w:pPr>
        <w:pStyle w:val="H3Text"/>
        <w:rPr>
          <w:rFonts w:cs="Arial"/>
          <w:szCs w:val="22"/>
        </w:rPr>
      </w:pPr>
      <w:r>
        <w:t xml:space="preserve">Each Bureau that releases such documents as public records shall formulate its own protocol for redaction of indirect identifiers commonly found in their documents including, but not limited to: </w:t>
      </w:r>
    </w:p>
    <w:p w14:paraId="259616F9" w14:textId="77777777" w:rsidR="00C14DDD" w:rsidRPr="00B15358" w:rsidRDefault="00C14DDD">
      <w:pPr>
        <w:pStyle w:val="H3Text"/>
        <w:numPr>
          <w:ilvl w:val="0"/>
          <w:numId w:val="24"/>
        </w:numPr>
      </w:pPr>
      <w:r w:rsidRPr="00B15358">
        <w:t xml:space="preserve">The name of a facility, provided that it is not the subject of the incident, investigation or case in review; </w:t>
      </w:r>
    </w:p>
    <w:p w14:paraId="09FC187D" w14:textId="77777777" w:rsidR="00C14DDD" w:rsidRPr="00B15358" w:rsidRDefault="00C14DDD">
      <w:pPr>
        <w:pStyle w:val="H3Text"/>
        <w:numPr>
          <w:ilvl w:val="0"/>
          <w:numId w:val="24"/>
        </w:numPr>
      </w:pPr>
      <w:r w:rsidRPr="00B15358">
        <w:t xml:space="preserve">The name(s) of medical provider(s), employee(s) of the facility or a witness(es) to events provided that they are not the subject of the incident, investigation, or case in review; </w:t>
      </w:r>
    </w:p>
    <w:p w14:paraId="27443892" w14:textId="77777777" w:rsidR="00C14DDD" w:rsidRPr="00B15358" w:rsidRDefault="00C14DDD">
      <w:pPr>
        <w:pStyle w:val="H3Text"/>
        <w:numPr>
          <w:ilvl w:val="0"/>
          <w:numId w:val="24"/>
        </w:numPr>
      </w:pPr>
      <w:r w:rsidRPr="00B15358">
        <w:t>Age of individual:  exact age, age range, or age category (e.g., adult, child, infant);</w:t>
      </w:r>
    </w:p>
    <w:p w14:paraId="7F3B059D" w14:textId="77777777" w:rsidR="00C14DDD" w:rsidRPr="00B15358" w:rsidRDefault="00C14DDD">
      <w:pPr>
        <w:pStyle w:val="H3Text"/>
        <w:numPr>
          <w:ilvl w:val="0"/>
          <w:numId w:val="24"/>
        </w:numPr>
      </w:pPr>
      <w:r w:rsidRPr="00B15358">
        <w:t>General medical condition or subject of incident, investigation, or case under review (e.g., OPP may release a decision that states that the appeal relates to a denial of coverage for a breast reduction.  HCQ may identify the category of complaints as those relating to gastric bypass surgery. The inclusion of this information is necessary to identify the incident, investigation, or case under review.  No other medical information should be included) and;,</w:t>
      </w:r>
    </w:p>
    <w:p w14:paraId="16534A4E" w14:textId="77777777" w:rsidR="00C14DDD" w:rsidRPr="00B15358" w:rsidRDefault="00C14DDD">
      <w:pPr>
        <w:pStyle w:val="H3Text"/>
        <w:numPr>
          <w:ilvl w:val="0"/>
          <w:numId w:val="24"/>
        </w:numPr>
      </w:pPr>
      <w:r w:rsidRPr="00B15358">
        <w:t>Other personal information (e.g., marital status; paternity; government assistance; family disputes; and reputation).</w:t>
      </w:r>
    </w:p>
    <w:p w14:paraId="145645F7" w14:textId="77777777" w:rsidR="00C14DDD" w:rsidRDefault="00C14DDD" w:rsidP="009C11B0">
      <w:pPr>
        <w:pStyle w:val="H3Text"/>
      </w:pPr>
      <w:r>
        <w:t>Copies of program-specific redaction standards shall be made available to the Privacy Officer.</w:t>
      </w:r>
    </w:p>
    <w:p w14:paraId="4CC6CDFA" w14:textId="77777777" w:rsidR="00C14DDD" w:rsidRDefault="00C14DDD" w:rsidP="009C11B0">
      <w:pPr>
        <w:pStyle w:val="H3SubParagraph"/>
      </w:pPr>
      <w:r>
        <w:t>Report-Writing Considerations</w:t>
      </w:r>
    </w:p>
    <w:p w14:paraId="01D8C0F9" w14:textId="77777777" w:rsidR="00C14DDD" w:rsidRDefault="00C14DDD" w:rsidP="009C11B0">
      <w:pPr>
        <w:pStyle w:val="H3Text"/>
      </w:pPr>
      <w:r>
        <w:t>Each Bureau</w:t>
      </w:r>
      <w:r>
        <w:rPr>
          <w:rStyle w:val="FootnoteReference"/>
        </w:rPr>
        <w:footnoteReference w:id="21"/>
      </w:r>
      <w:r>
        <w:t xml:space="preserve"> shall review this procedure and the associated Bureau-specific protocol to determine, to the extent possible, how to modify its report-writing requirements to accommodate these standards without the need for redaction.  If certain information, which must be redacted prior to public release, is required to be included in the reports/documents, programs should set standards for writing and formatting the reports to ensure their readability.  If identifying information is not required, it should not be included in the report.</w:t>
      </w:r>
    </w:p>
    <w:p w14:paraId="736FB911" w14:textId="77777777" w:rsidR="00C14DDD" w:rsidRDefault="00C14DDD" w:rsidP="009C11B0">
      <w:pPr>
        <w:pStyle w:val="H3Text"/>
      </w:pPr>
      <w:r>
        <w:t>Each Bureau should also review its report-writing requirements and decide whether to add a report summary of the report, either as an executive summary or a separate document, which includes no identifiers or medical information.  This may be particularly important if the program deems it necessary to provide a context for its findings or to provide the public with sufficient information to fulfill its health oversight functions.  The decision to issue a summary is within the discretion of the Department and shall be made by the Bureau director or designee.</w:t>
      </w:r>
    </w:p>
    <w:p w14:paraId="201BAC41" w14:textId="77777777" w:rsidR="00C14DDD" w:rsidRDefault="00C14DDD"/>
    <w:p w14:paraId="60ABF362" w14:textId="77777777" w:rsidR="00C14DDD" w:rsidRDefault="00C14DDD"/>
    <w:p w14:paraId="3FA4D22A" w14:textId="77777777" w:rsidR="00C14DDD" w:rsidRPr="00FB326F" w:rsidRDefault="00C14DDD" w:rsidP="009C11B0"/>
    <w:p w14:paraId="311F6DC0" w14:textId="77777777" w:rsidR="00C14DDD" w:rsidRPr="00022A2C" w:rsidRDefault="00C14DDD" w:rsidP="009C11B0">
      <w:pPr>
        <w:rPr>
          <w:rFonts w:cs="Arial"/>
          <w:u w:val="single"/>
        </w:rPr>
      </w:pPr>
      <w:r w:rsidRPr="00022A2C">
        <w:rPr>
          <w:rFonts w:cs="Arial"/>
          <w:u w:val="single"/>
        </w:rPr>
        <w:t>Authority:</w:t>
      </w:r>
    </w:p>
    <w:p w14:paraId="1DC22616" w14:textId="77777777" w:rsidR="00C14DDD" w:rsidRDefault="00C14DDD" w:rsidP="009C11B0">
      <w:pPr>
        <w:pStyle w:val="H3Text"/>
      </w:pPr>
      <w:r>
        <w:t xml:space="preserve">M.G.L. c. 4, </w:t>
      </w:r>
      <w:r w:rsidRPr="00B2043B">
        <w:t xml:space="preserve">§ </w:t>
      </w:r>
      <w:r>
        <w:t>7(26) and M.G.L. c. 66A</w:t>
      </w:r>
    </w:p>
    <w:p w14:paraId="3C3BCA79" w14:textId="77777777" w:rsidR="00C14DDD" w:rsidRDefault="00C14DDD" w:rsidP="009C11B0">
      <w:pPr>
        <w:pStyle w:val="H3Text"/>
      </w:pPr>
      <w:r>
        <w:t>45 C.F.R. § 164.514</w:t>
      </w:r>
    </w:p>
    <w:p w14:paraId="7C369BB6" w14:textId="77777777" w:rsidR="001A7666" w:rsidRDefault="001A7666" w:rsidP="001A7666">
      <w:pPr>
        <w:pStyle w:val="H3Text"/>
        <w:ind w:left="0"/>
      </w:pPr>
    </w:p>
    <w:p w14:paraId="5CD34B70" w14:textId="77777777" w:rsidR="00C14DDD" w:rsidRDefault="00C14DDD" w:rsidP="009C11B0">
      <w:pPr>
        <w:pStyle w:val="H2Paragraph"/>
        <w:numPr>
          <w:ilvl w:val="0"/>
          <w:numId w:val="0"/>
        </w:numPr>
        <w:pBdr>
          <w:top w:val="none" w:sz="0" w:space="0" w:color="auto"/>
        </w:pBdr>
        <w:rPr>
          <w:lang w:val="en"/>
        </w:rPr>
        <w:sectPr w:rsidR="00C14DDD" w:rsidSect="00D87220">
          <w:headerReference w:type="default" r:id="rId49"/>
          <w:footerReference w:type="even" r:id="rId50"/>
          <w:footerReference w:type="default" r:id="rId51"/>
          <w:footnotePr>
            <w:numRestart w:val="eachSect"/>
          </w:footnotePr>
          <w:pgSz w:w="12240" w:h="15840" w:code="1"/>
          <w:pgMar w:top="1440" w:right="1440" w:bottom="1440" w:left="1800" w:header="720" w:footer="720" w:gutter="0"/>
          <w:cols w:space="720"/>
          <w:docGrid w:linePitch="360"/>
        </w:sectPr>
      </w:pPr>
    </w:p>
    <w:p w14:paraId="3101EC78" w14:textId="77777777" w:rsidR="00C14DDD" w:rsidRDefault="00C14DDD" w:rsidP="006C7916">
      <w:pPr>
        <w:pStyle w:val="H4SubNumberedParagraph"/>
        <w:numPr>
          <w:ilvl w:val="0"/>
          <w:numId w:val="0"/>
        </w:numPr>
      </w:pPr>
      <w:r w:rsidRPr="55564748">
        <w:t>Table 8.1:  Determining response to public records request for documents containing medical information.</w:t>
      </w:r>
    </w:p>
    <w:p w14:paraId="31D976D6" w14:textId="77777777" w:rsidR="00C14DDD" w:rsidRDefault="00C14DDD" w:rsidP="009C11B0">
      <w:pPr>
        <w:rPr>
          <w:lang w:val="en"/>
        </w:rPr>
      </w:pPr>
    </w:p>
    <w:p w14:paraId="7EB0AEE7" w14:textId="77777777" w:rsidR="00C14DDD" w:rsidRPr="000525C4" w:rsidRDefault="00C14DDD" w:rsidP="009C11B0">
      <w:pPr>
        <w:jc w:val="right"/>
        <w:rPr>
          <w:lang w:val="en"/>
        </w:rPr>
      </w:pPr>
      <w:r w:rsidRPr="000525C4">
        <w:rPr>
          <w:lang w:val="en"/>
        </w:rPr>
        <w:object w:dxaOrig="8904" w:dyaOrig="11513" w14:anchorId="6F1337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6.25pt;height:8in" o:ole="">
            <v:imagedata r:id="rId52" o:title=""/>
          </v:shape>
          <o:OLEObject Type="Embed" ProgID="Visio.Drawing.6" ShapeID="_x0000_i1026" DrawAspect="Content" ObjectID="_1820402941" r:id="rId53"/>
        </w:object>
      </w:r>
    </w:p>
    <w:p w14:paraId="5B32D8D7" w14:textId="77777777" w:rsidR="003C509F" w:rsidRDefault="003C509F" w:rsidP="00C14DDD">
      <w:pPr>
        <w:sectPr w:rsidR="003C509F" w:rsidSect="009C11B0">
          <w:footnotePr>
            <w:numRestart w:val="eachSect"/>
          </w:footnotePr>
          <w:pgSz w:w="12240" w:h="15840" w:code="1"/>
          <w:pgMar w:top="1440" w:right="1440" w:bottom="1440" w:left="1440" w:header="720" w:footer="720" w:gutter="0"/>
          <w:cols w:space="720"/>
          <w:docGrid w:linePitch="360"/>
        </w:sectPr>
      </w:pPr>
    </w:p>
    <w:p w14:paraId="48B592F0" w14:textId="77777777" w:rsidR="008355B4" w:rsidRDefault="008355B4" w:rsidP="008355B4">
      <w:pPr>
        <w:jc w:val="left"/>
        <w:rPr>
          <w:rFonts w:cs="Arial"/>
        </w:rPr>
      </w:pPr>
    </w:p>
    <w:p w14:paraId="78D2CB10" w14:textId="77777777" w:rsidR="008355B4" w:rsidRDefault="008355B4" w:rsidP="008355B4">
      <w:pPr>
        <w:jc w:val="left"/>
        <w:rPr>
          <w:rFonts w:cs="Arial"/>
        </w:rPr>
      </w:pPr>
    </w:p>
    <w:p w14:paraId="49C528C3" w14:textId="77777777" w:rsidR="008355B4" w:rsidRDefault="008355B4" w:rsidP="008355B4">
      <w:pPr>
        <w:jc w:val="left"/>
        <w:rPr>
          <w:rFonts w:cs="Arial"/>
        </w:rPr>
      </w:pPr>
    </w:p>
    <w:p w14:paraId="2BB995BC" w14:textId="77777777" w:rsidR="008355B4" w:rsidRDefault="008355B4" w:rsidP="008355B4">
      <w:pPr>
        <w:jc w:val="left"/>
        <w:rPr>
          <w:rFonts w:cs="Arial"/>
        </w:rPr>
      </w:pPr>
    </w:p>
    <w:p w14:paraId="09B21F6C" w14:textId="77777777" w:rsidR="008355B4" w:rsidRDefault="008355B4" w:rsidP="008355B4">
      <w:pPr>
        <w:jc w:val="left"/>
        <w:rPr>
          <w:rFonts w:cs="Arial"/>
        </w:rPr>
      </w:pPr>
    </w:p>
    <w:p w14:paraId="116C28B6" w14:textId="77777777" w:rsidR="008355B4" w:rsidRDefault="008355B4" w:rsidP="008355B4">
      <w:pPr>
        <w:jc w:val="left"/>
        <w:rPr>
          <w:rFonts w:cs="Arial"/>
        </w:rPr>
      </w:pPr>
    </w:p>
    <w:p w14:paraId="7D62839D" w14:textId="77777777" w:rsidR="008355B4" w:rsidRDefault="008355B4" w:rsidP="008355B4">
      <w:pPr>
        <w:jc w:val="left"/>
        <w:rPr>
          <w:rFonts w:cs="Arial"/>
        </w:rPr>
      </w:pPr>
    </w:p>
    <w:p w14:paraId="47601266" w14:textId="77777777" w:rsidR="008355B4" w:rsidRDefault="008355B4" w:rsidP="008355B4">
      <w:pPr>
        <w:jc w:val="left"/>
        <w:rPr>
          <w:rFonts w:cs="Arial"/>
        </w:rPr>
      </w:pPr>
    </w:p>
    <w:p w14:paraId="4BAEB057" w14:textId="77777777" w:rsidR="008355B4" w:rsidRDefault="008355B4" w:rsidP="008355B4">
      <w:pPr>
        <w:jc w:val="left"/>
        <w:rPr>
          <w:rFonts w:cs="Arial"/>
        </w:rPr>
      </w:pPr>
    </w:p>
    <w:p w14:paraId="07AFD8EB" w14:textId="77777777" w:rsidR="008355B4" w:rsidRDefault="008355B4" w:rsidP="008355B4">
      <w:pPr>
        <w:jc w:val="center"/>
        <w:rPr>
          <w:rFonts w:cs="Arial"/>
        </w:rPr>
      </w:pPr>
      <w:r>
        <w:rPr>
          <w:rFonts w:cs="Arial"/>
        </w:rPr>
        <w:t>( Page intentionally blank )</w:t>
      </w:r>
    </w:p>
    <w:p w14:paraId="002164A6" w14:textId="77777777" w:rsidR="008355B4" w:rsidRDefault="008355B4" w:rsidP="008355B4">
      <w:pPr>
        <w:jc w:val="left"/>
        <w:rPr>
          <w:rFonts w:cs="Arial"/>
        </w:rPr>
      </w:pPr>
    </w:p>
    <w:p w14:paraId="1C1EED67" w14:textId="77777777" w:rsidR="008355B4" w:rsidRDefault="008355B4" w:rsidP="008355B4">
      <w:pPr>
        <w:sectPr w:rsidR="008355B4" w:rsidSect="003173E2">
          <w:pgSz w:w="12240" w:h="15840" w:code="1"/>
          <w:pgMar w:top="1080" w:right="1440" w:bottom="1440" w:left="1800" w:header="720" w:footer="720" w:gutter="0"/>
          <w:cols w:space="720"/>
          <w:docGrid w:linePitch="360"/>
        </w:sectPr>
      </w:pPr>
    </w:p>
    <w:p w14:paraId="661538F4" w14:textId="77777777" w:rsidR="001F5068" w:rsidRDefault="001F5068" w:rsidP="002365D5">
      <w:pPr>
        <w:pStyle w:val="H1ProcedureSection"/>
      </w:pPr>
      <w:bookmarkStart w:id="61" w:name="_Toc209771789"/>
      <w:r>
        <w:t>Procedure 10</w:t>
      </w:r>
      <w:r>
        <w:tab/>
        <w:t>Security and Transmission of Confidential Information</w:t>
      </w:r>
      <w:bookmarkEnd w:id="61"/>
    </w:p>
    <w:p w14:paraId="5736D6C9" w14:textId="63B2522E" w:rsidR="001F5068" w:rsidRDefault="001F5068" w:rsidP="002365D5">
      <w:pPr>
        <w:pStyle w:val="Version"/>
      </w:pPr>
      <w:r w:rsidRPr="00E105DF">
        <w:t xml:space="preserve">Version:  </w:t>
      </w:r>
      <w:r w:rsidR="00EC2E04">
        <w:t>5</w:t>
      </w:r>
      <w:r w:rsidRPr="00E105DF">
        <w:tab/>
        <w:t>E</w:t>
      </w:r>
      <w:r>
        <w:t>ffective Date:  September 3, 2024</w:t>
      </w:r>
    </w:p>
    <w:p w14:paraId="6DDAB74E" w14:textId="77777777" w:rsidR="001F5068" w:rsidRDefault="001F5068">
      <w:pPr>
        <w:pStyle w:val="H2Paragraph"/>
        <w:numPr>
          <w:ilvl w:val="0"/>
          <w:numId w:val="129"/>
        </w:numPr>
      </w:pPr>
      <w:bookmarkStart w:id="62" w:name="_Toc209771790"/>
      <w:r>
        <w:t>Purpose and definitions</w:t>
      </w:r>
      <w:bookmarkEnd w:id="62"/>
    </w:p>
    <w:p w14:paraId="7AB726D1" w14:textId="77777777" w:rsidR="001F5068" w:rsidRDefault="001F5068" w:rsidP="002365D5">
      <w:pPr>
        <w:pStyle w:val="H3Text"/>
      </w:pPr>
      <w:r>
        <w:t xml:space="preserve">This procedure describes the standards for ensuring the security of the Confidential Information collected, maintained, used, transmitted, and discarded by the Department.  </w:t>
      </w:r>
    </w:p>
    <w:p w14:paraId="5F5906F3" w14:textId="77777777" w:rsidR="001F5068" w:rsidRDefault="001F5068" w:rsidP="002365D5">
      <w:pPr>
        <w:pStyle w:val="H3Text"/>
      </w:pPr>
      <w:r>
        <w:t>This Procedure applies to both HIPAA covered and non-covered components of the Department and to all Department workforce members.</w:t>
      </w:r>
    </w:p>
    <w:p w14:paraId="756C8F30" w14:textId="77777777" w:rsidR="001F5068" w:rsidRDefault="001F5068" w:rsidP="002365D5">
      <w:pPr>
        <w:pStyle w:val="H3Text"/>
      </w:pPr>
      <w:r>
        <w:t>Workforce members must follow this procedure when sending or planning to receive Confidential Information. It is recognized that members of the public may at times send unsolicited Confidential Information to the Department. Such transmissions do not constitute a violation of this procedure. However, anytime a workforce member is coordinating with a non-DPH entity to receive Confidential Information, the workforce member must take measures to ensure this procedure is followed for that transmission.</w:t>
      </w:r>
    </w:p>
    <w:p w14:paraId="60BE0864" w14:textId="77777777" w:rsidR="001F5068" w:rsidRDefault="001F5068" w:rsidP="002365D5">
      <w:pPr>
        <w:pStyle w:val="H3SubParagraph"/>
      </w:pPr>
      <w:r w:rsidRPr="006F165C">
        <w:t>Definitions</w:t>
      </w:r>
    </w:p>
    <w:p w14:paraId="7554CA27" w14:textId="77777777" w:rsidR="001F5068" w:rsidRDefault="001F5068" w:rsidP="002365D5">
      <w:pPr>
        <w:pStyle w:val="H4SubNumberedParagraph"/>
      </w:pPr>
      <w:r>
        <w:t>Confidential Information</w:t>
      </w:r>
    </w:p>
    <w:p w14:paraId="50DC349A" w14:textId="77777777" w:rsidR="001F5068" w:rsidRPr="00710FFD" w:rsidRDefault="001F5068" w:rsidP="002365D5">
      <w:pPr>
        <w:pStyle w:val="H4Text"/>
      </w:pPr>
      <w:r>
        <w:t>Unless otherwise defined by law, any individually identifiable information, including, but not limited to, medical and demographic information, that:</w:t>
      </w:r>
    </w:p>
    <w:p w14:paraId="2ADACA4B" w14:textId="77777777" w:rsidR="001F5068" w:rsidRPr="00710FFD" w:rsidRDefault="001F5068">
      <w:pPr>
        <w:pStyle w:val="H4Text"/>
        <w:numPr>
          <w:ilvl w:val="0"/>
          <w:numId w:val="109"/>
        </w:numPr>
      </w:pPr>
      <w:r w:rsidRPr="00710FFD">
        <w:t>Reveals the identity of the data subject or is readily identified with the data subject, such as name, address, telephone number, social security number, health identification number, or date of birth; or</w:t>
      </w:r>
    </w:p>
    <w:p w14:paraId="268F6AA0" w14:textId="77777777" w:rsidR="001F5068" w:rsidRDefault="001F5068">
      <w:pPr>
        <w:pStyle w:val="H4Text"/>
        <w:numPr>
          <w:ilvl w:val="0"/>
          <w:numId w:val="109"/>
        </w:numPr>
      </w:pPr>
      <w:r w:rsidRPr="00710FFD">
        <w:t>Provides a reasonable basis to believe that the information could be used, either alone or in combination with other information, to identify a data subject.</w:t>
      </w:r>
    </w:p>
    <w:p w14:paraId="66FA4B9F" w14:textId="77777777" w:rsidR="001F5068" w:rsidRDefault="001F5068" w:rsidP="002365D5">
      <w:pPr>
        <w:pStyle w:val="H4SubNumberedParagraph"/>
      </w:pPr>
      <w:r w:rsidRPr="00972094">
        <w:t>Portable Device</w:t>
      </w:r>
    </w:p>
    <w:p w14:paraId="2B340840" w14:textId="77777777" w:rsidR="001F5068" w:rsidRPr="00972094" w:rsidRDefault="001F5068" w:rsidP="002365D5">
      <w:pPr>
        <w:pStyle w:val="H4Text"/>
      </w:pPr>
      <w:r>
        <w:t>I</w:t>
      </w:r>
      <w:r w:rsidRPr="00972094">
        <w:t xml:space="preserve">ncludes any non-fixed device that contains an operating system that may be used to create, access, or store </w:t>
      </w:r>
      <w:r>
        <w:t>Confidential Information</w:t>
      </w:r>
      <w:r w:rsidRPr="00972094">
        <w:t xml:space="preserve"> (e.g., laptop computers, tablet computers, smart phones, etc.)</w:t>
      </w:r>
      <w:r>
        <w:t>.</w:t>
      </w:r>
    </w:p>
    <w:p w14:paraId="062D51E6" w14:textId="77777777" w:rsidR="001F5068" w:rsidRDefault="001F5068" w:rsidP="002365D5">
      <w:pPr>
        <w:pStyle w:val="H4SubNumberedParagraph"/>
      </w:pPr>
      <w:r w:rsidRPr="00972094">
        <w:t>Removable Media</w:t>
      </w:r>
    </w:p>
    <w:p w14:paraId="13ABA572" w14:textId="77777777" w:rsidR="001F5068" w:rsidRPr="000163EB" w:rsidRDefault="001F5068" w:rsidP="003B1F8B">
      <w:pPr>
        <w:pStyle w:val="H4Text"/>
      </w:pPr>
      <w:r>
        <w:t>I</w:t>
      </w:r>
      <w:r w:rsidRPr="00972094">
        <w:t>ncludes, but is not limited to, CDs, DVDs, MP3 players, removable memory</w:t>
      </w:r>
      <w:r>
        <w:t xml:space="preserve"> including external hard disk drives</w:t>
      </w:r>
      <w:r w:rsidRPr="00972094">
        <w:t xml:space="preserve">, and USB </w:t>
      </w:r>
      <w:r>
        <w:t xml:space="preserve">flash </w:t>
      </w:r>
      <w:r w:rsidRPr="00972094">
        <w:t>drives (thumb drives)</w:t>
      </w:r>
      <w:r>
        <w:t>.</w:t>
      </w:r>
    </w:p>
    <w:p w14:paraId="3AF6C56E" w14:textId="77777777" w:rsidR="001F5068" w:rsidRDefault="001F5068" w:rsidP="0097533D">
      <w:pPr>
        <w:pStyle w:val="H2Paragraph"/>
      </w:pPr>
      <w:bookmarkStart w:id="63" w:name="_Toc209771791"/>
      <w:r>
        <w:t>Transmission of Confidential Information</w:t>
      </w:r>
      <w:bookmarkEnd w:id="63"/>
      <w:r>
        <w:t xml:space="preserve"> </w:t>
      </w:r>
    </w:p>
    <w:p w14:paraId="2800DD96" w14:textId="77777777" w:rsidR="001F5068" w:rsidRDefault="001F5068" w:rsidP="002365D5">
      <w:pPr>
        <w:pStyle w:val="H3Text"/>
      </w:pPr>
      <w:r>
        <w:t xml:space="preserve">Department workforce members must take steps to ensure the security of Confidential Information transmitted within the Department and between the Department and non-DPH entities. </w:t>
      </w:r>
    </w:p>
    <w:p w14:paraId="4441880D" w14:textId="77777777" w:rsidR="001F5068" w:rsidRPr="008B0EBA" w:rsidRDefault="001F5068" w:rsidP="002365D5">
      <w:pPr>
        <w:pStyle w:val="H3Text"/>
        <w:rPr>
          <w:b/>
          <w:bCs/>
          <w:highlight w:val="yellow"/>
        </w:rPr>
      </w:pPr>
      <w:r w:rsidRPr="008B0EBA">
        <w:rPr>
          <w:b/>
          <w:bCs/>
        </w:rPr>
        <w:t xml:space="preserve">Workforce members shall disclose Confidential Information only when the disclosure is permissible under Procedure # 3:  </w:t>
      </w:r>
      <w:r>
        <w:rPr>
          <w:b/>
          <w:bCs/>
        </w:rPr>
        <w:t>“</w:t>
      </w:r>
      <w:r w:rsidRPr="008B0EBA">
        <w:rPr>
          <w:b/>
          <w:bCs/>
        </w:rPr>
        <w:t>Use and Disclosure of Confidential Information.</w:t>
      </w:r>
      <w:r>
        <w:rPr>
          <w:b/>
          <w:bCs/>
        </w:rPr>
        <w:t>”</w:t>
      </w:r>
    </w:p>
    <w:p w14:paraId="210D3C48" w14:textId="77777777" w:rsidR="001F5068" w:rsidRDefault="001F5068" w:rsidP="002365D5">
      <w:pPr>
        <w:pStyle w:val="H3SubParagraph"/>
      </w:pPr>
      <w:r>
        <w:t>Transmissions Made by U.S. Mail or Courier Service</w:t>
      </w:r>
    </w:p>
    <w:p w14:paraId="13CE5CAB" w14:textId="77777777" w:rsidR="001F5068" w:rsidRDefault="001F5068" w:rsidP="002365D5">
      <w:pPr>
        <w:pStyle w:val="H3Text"/>
      </w:pPr>
      <w:r>
        <w:t xml:space="preserve">When sending or receiving </w:t>
      </w:r>
      <w:r>
        <w:rPr>
          <w:color w:val="000000"/>
        </w:rPr>
        <w:t>Confidential Information</w:t>
      </w:r>
      <w:r>
        <w:t xml:space="preserve"> by U.S. mail, or by a courier service (e.g., FedEx or UPS) workforce members must</w:t>
      </w:r>
    </w:p>
    <w:p w14:paraId="6EC5BCAC" w14:textId="77777777" w:rsidR="001F5068" w:rsidRDefault="001F5068">
      <w:pPr>
        <w:pStyle w:val="H3Text"/>
        <w:numPr>
          <w:ilvl w:val="0"/>
          <w:numId w:val="26"/>
        </w:numPr>
      </w:pPr>
      <w:r>
        <w:t xml:space="preserve">Verify that the correct Confidential Information is being mailed to the correct individual(s); </w:t>
      </w:r>
    </w:p>
    <w:p w14:paraId="32E4074C" w14:textId="77777777" w:rsidR="001F5068" w:rsidRPr="00054953" w:rsidRDefault="001F5068">
      <w:pPr>
        <w:pStyle w:val="H3Text"/>
        <w:numPr>
          <w:ilvl w:val="0"/>
          <w:numId w:val="26"/>
        </w:numPr>
        <w:rPr>
          <w:rFonts w:eastAsia="MS Mincho"/>
        </w:rPr>
      </w:pPr>
      <w:r>
        <w:rPr>
          <w:rFonts w:eastAsia="MS Mincho"/>
        </w:rPr>
        <w:t>Verify the name and address of the intended recipient;</w:t>
      </w:r>
    </w:p>
    <w:p w14:paraId="70F8CF57" w14:textId="77777777" w:rsidR="001F5068" w:rsidRDefault="001F5068">
      <w:pPr>
        <w:pStyle w:val="H3Text"/>
        <w:numPr>
          <w:ilvl w:val="0"/>
          <w:numId w:val="26"/>
        </w:numPr>
        <w:rPr>
          <w:rFonts w:eastAsia="MS Mincho"/>
        </w:rPr>
      </w:pPr>
      <w:r w:rsidRPr="226353A9">
        <w:rPr>
          <w:rFonts w:eastAsia="MS Mincho"/>
        </w:rPr>
        <w:t xml:space="preserve">Send the information in a security envelope or other protective cover marked “Confidential,” </w:t>
      </w:r>
    </w:p>
    <w:p w14:paraId="1437298E" w14:textId="77777777" w:rsidR="001F5068" w:rsidRDefault="001F5068">
      <w:pPr>
        <w:pStyle w:val="H3Text"/>
        <w:numPr>
          <w:ilvl w:val="0"/>
          <w:numId w:val="26"/>
        </w:numPr>
        <w:rPr>
          <w:rFonts w:eastAsia="MS Mincho"/>
        </w:rPr>
      </w:pPr>
      <w:r>
        <w:rPr>
          <w:rFonts w:eastAsia="MS Mincho"/>
        </w:rPr>
        <w:t>Include their name and a return address;</w:t>
      </w:r>
    </w:p>
    <w:p w14:paraId="2341E442" w14:textId="77777777" w:rsidR="001F5068" w:rsidRDefault="001F5068">
      <w:pPr>
        <w:pStyle w:val="H3Text"/>
        <w:numPr>
          <w:ilvl w:val="0"/>
          <w:numId w:val="26"/>
        </w:numPr>
      </w:pPr>
      <w:r>
        <w:t>Use U.S. Mail or a reputable courier service known to the Department;</w:t>
      </w:r>
    </w:p>
    <w:p w14:paraId="31DE903E" w14:textId="77777777" w:rsidR="001F5068" w:rsidRPr="00C71E0A" w:rsidRDefault="001F5068">
      <w:pPr>
        <w:pStyle w:val="H3Text"/>
        <w:numPr>
          <w:ilvl w:val="0"/>
          <w:numId w:val="26"/>
        </w:numPr>
      </w:pPr>
      <w:r w:rsidRPr="00C71E0A">
        <w:rPr>
          <w:rFonts w:eastAsia="MS Mincho"/>
        </w:rPr>
        <w:t>Verify that the recipient’s address is correct; and</w:t>
      </w:r>
    </w:p>
    <w:p w14:paraId="42507350" w14:textId="77777777" w:rsidR="001F5068" w:rsidRDefault="001F5068">
      <w:pPr>
        <w:pStyle w:val="H3Text"/>
        <w:numPr>
          <w:ilvl w:val="0"/>
          <w:numId w:val="26"/>
        </w:numPr>
      </w:pPr>
      <w:r>
        <w:t xml:space="preserve">Whenever feasible, send the information by registered or certified mail, or another method that provides delivery tracking, and retain tracking information so that in the event </w:t>
      </w:r>
      <w:r w:rsidRPr="00C71E0A">
        <w:rPr>
          <w:spacing w:val="-2"/>
        </w:rPr>
        <w:t>the intended recipient informs you that the package was not received</w:t>
      </w:r>
      <w:r>
        <w:t>, you are able to track the item with the delivery service.</w:t>
      </w:r>
    </w:p>
    <w:p w14:paraId="2364A745" w14:textId="77777777" w:rsidR="001F5068" w:rsidRDefault="001F5068" w:rsidP="002365D5">
      <w:pPr>
        <w:pStyle w:val="H3SubParagraph"/>
      </w:pPr>
      <w:r>
        <w:t>Transmissions</w:t>
      </w:r>
      <w:r w:rsidDel="00C2104C">
        <w:t xml:space="preserve"> </w:t>
      </w:r>
      <w:r>
        <w:t>Made by Facsimile Machine</w:t>
      </w:r>
    </w:p>
    <w:p w14:paraId="6771C86C" w14:textId="77777777" w:rsidR="001F5068" w:rsidRDefault="001F5068" w:rsidP="002365D5">
      <w:pPr>
        <w:pStyle w:val="H3Text"/>
      </w:pPr>
      <w:r>
        <w:t xml:space="preserve">When sending or receiving </w:t>
      </w:r>
      <w:r>
        <w:rPr>
          <w:color w:val="000000"/>
        </w:rPr>
        <w:t>Confidential Information</w:t>
      </w:r>
      <w:r>
        <w:t xml:space="preserve"> by facsimile machine, workforce members must:</w:t>
      </w:r>
    </w:p>
    <w:p w14:paraId="1322C695" w14:textId="77777777" w:rsidR="001F5068" w:rsidRDefault="001F5068">
      <w:pPr>
        <w:pStyle w:val="H3Text"/>
        <w:numPr>
          <w:ilvl w:val="0"/>
          <w:numId w:val="27"/>
        </w:numPr>
        <w:tabs>
          <w:tab w:val="clear" w:pos="1800"/>
          <w:tab w:val="num" w:pos="1080"/>
        </w:tabs>
        <w:ind w:left="1080"/>
      </w:pPr>
      <w:r>
        <w:t>Verify that the sender has the correct fax number of the intended recipient.</w:t>
      </w:r>
    </w:p>
    <w:p w14:paraId="3828F275" w14:textId="77777777" w:rsidR="001F5068" w:rsidRDefault="001F5068">
      <w:pPr>
        <w:pStyle w:val="H3Text"/>
        <w:numPr>
          <w:ilvl w:val="0"/>
          <w:numId w:val="27"/>
        </w:numPr>
        <w:tabs>
          <w:tab w:val="clear" w:pos="1800"/>
          <w:tab w:val="num" w:pos="1080"/>
        </w:tabs>
        <w:ind w:left="1080"/>
      </w:pPr>
      <w:r>
        <w:t xml:space="preserve">If sending Confidential Information, telephone the recipient to alert them that a fax containing Confidential Information is to be transmitted.  </w:t>
      </w:r>
    </w:p>
    <w:p w14:paraId="15EA526A" w14:textId="77777777" w:rsidR="001F5068" w:rsidRDefault="001F5068">
      <w:pPr>
        <w:pStyle w:val="H3Text"/>
        <w:numPr>
          <w:ilvl w:val="0"/>
          <w:numId w:val="27"/>
        </w:numPr>
        <w:tabs>
          <w:tab w:val="clear" w:pos="1800"/>
          <w:tab w:val="num" w:pos="1080"/>
        </w:tabs>
        <w:ind w:left="1080"/>
      </w:pPr>
      <w:r>
        <w:t>If sending Confidential Information, transmit the fax using either DPH</w:t>
      </w:r>
      <w:r w:rsidRPr="00DB63EB">
        <w:t>’s standard fax cover sheet</w:t>
      </w:r>
      <w:r>
        <w:t xml:space="preserve"> </w:t>
      </w:r>
      <w:r w:rsidRPr="003324C0">
        <w:t xml:space="preserve">(See Healthnet, Privacy &amp; Data </w:t>
      </w:r>
      <w:r>
        <w:t>Compliance</w:t>
      </w:r>
      <w:r w:rsidRPr="003324C0">
        <w:t xml:space="preserve"> pages</w:t>
      </w:r>
      <w:r>
        <w:t xml:space="preserve">, forms may be found under “Model Forms.”  </w:t>
      </w:r>
      <w:r w:rsidRPr="003324C0">
        <w:t xml:space="preserve">Available to </w:t>
      </w:r>
      <w:r>
        <w:t>DPH</w:t>
      </w:r>
      <w:r w:rsidRPr="003324C0">
        <w:t xml:space="preserve"> Intranet users only)</w:t>
      </w:r>
      <w:r>
        <w:t xml:space="preserve"> or a Bureau-specific cover sheet that contains:</w:t>
      </w:r>
    </w:p>
    <w:p w14:paraId="5968732A" w14:textId="77777777" w:rsidR="001F5068" w:rsidRDefault="001F5068">
      <w:pPr>
        <w:pStyle w:val="H3Text"/>
        <w:numPr>
          <w:ilvl w:val="0"/>
          <w:numId w:val="28"/>
        </w:numPr>
        <w:tabs>
          <w:tab w:val="clear" w:pos="2016"/>
          <w:tab w:val="num" w:pos="1296"/>
        </w:tabs>
        <w:ind w:left="1296"/>
      </w:pPr>
      <w:r>
        <w:t xml:space="preserve">A confidentiality statement; and </w:t>
      </w:r>
    </w:p>
    <w:p w14:paraId="1716F71D" w14:textId="77777777" w:rsidR="001F5068" w:rsidRDefault="001F5068">
      <w:pPr>
        <w:pStyle w:val="H3Text"/>
        <w:numPr>
          <w:ilvl w:val="0"/>
          <w:numId w:val="28"/>
        </w:numPr>
        <w:tabs>
          <w:tab w:val="clear" w:pos="2016"/>
          <w:tab w:val="num" w:pos="1296"/>
        </w:tabs>
        <w:ind w:left="1296"/>
      </w:pPr>
      <w:r>
        <w:t>Instructions directing the unauthorized recipient of a misdirected fax to contact the sender.  In the event of a misdirected fax, the unauthorized recipient should be directed to immediately destroy the fax or return the information to the sender, as directed by the sender.</w:t>
      </w:r>
    </w:p>
    <w:p w14:paraId="6712D9BE" w14:textId="77777777" w:rsidR="001F5068" w:rsidRDefault="001F5068">
      <w:pPr>
        <w:pStyle w:val="H3Text"/>
        <w:numPr>
          <w:ilvl w:val="0"/>
          <w:numId w:val="27"/>
        </w:numPr>
        <w:tabs>
          <w:tab w:val="clear" w:pos="1800"/>
          <w:tab w:val="num" w:pos="1080"/>
        </w:tabs>
        <w:ind w:left="1080"/>
      </w:pPr>
      <w:r>
        <w:t>If the recipient does not confirm receipt within a reasonable period, call the recipient to confirm receipt.</w:t>
      </w:r>
    </w:p>
    <w:p w14:paraId="59382F6E" w14:textId="77777777" w:rsidR="001F5068" w:rsidRDefault="001F5068">
      <w:pPr>
        <w:pStyle w:val="H3Text"/>
        <w:numPr>
          <w:ilvl w:val="0"/>
          <w:numId w:val="27"/>
        </w:numPr>
        <w:tabs>
          <w:tab w:val="clear" w:pos="1800"/>
          <w:tab w:val="num" w:pos="1080"/>
        </w:tabs>
        <w:ind w:left="1080"/>
      </w:pPr>
      <w:r>
        <w:t>Remove the faxed documents from the vicinity of the fax machine, including the fax activity confirmation sheet after transmission.  Keep fax activity confirmation sheets with original documents.</w:t>
      </w:r>
    </w:p>
    <w:p w14:paraId="5B806DE5" w14:textId="77777777" w:rsidR="001F5068" w:rsidRDefault="001F5068" w:rsidP="002365D5">
      <w:pPr>
        <w:pStyle w:val="H3Text"/>
      </w:pPr>
      <w:r>
        <w:t>It is considered a best practice to locate fax machines in a secure area to which only authorized workforce members have access, ideally in a locked room.</w:t>
      </w:r>
    </w:p>
    <w:p w14:paraId="6904C959" w14:textId="77777777" w:rsidR="001F5068" w:rsidRDefault="001F5068" w:rsidP="002365D5">
      <w:pPr>
        <w:pStyle w:val="H3Text"/>
      </w:pPr>
      <w:r>
        <w:t>If eFax technology is used, it is subjected to these same restrictions, and additionally, it must be set up such that email is not used to transmit faxes. When receiving Confidential Information over eFax, it should be saved into a secure file location that can only be accessed by authorized individuals, and should not be sent to an eFax receiving email address.</w:t>
      </w:r>
    </w:p>
    <w:p w14:paraId="77AD4F65" w14:textId="77777777" w:rsidR="001F5068" w:rsidRDefault="001F5068" w:rsidP="002365D5">
      <w:pPr>
        <w:pStyle w:val="H3SubParagraph"/>
      </w:pPr>
      <w:r>
        <w:t>Transmissions</w:t>
      </w:r>
      <w:r w:rsidDel="00C2104C">
        <w:t xml:space="preserve"> </w:t>
      </w:r>
      <w:r>
        <w:t>Made by Telephone</w:t>
      </w:r>
    </w:p>
    <w:p w14:paraId="4ECBBD64" w14:textId="77777777" w:rsidR="001F5068" w:rsidRDefault="001F5068" w:rsidP="002365D5">
      <w:pPr>
        <w:pStyle w:val="H3Text"/>
      </w:pPr>
      <w:r>
        <w:t>When transmitting or receiving Confidential Information by telephone, workforce members must take the following steps:</w:t>
      </w:r>
    </w:p>
    <w:p w14:paraId="792D8E26" w14:textId="77777777" w:rsidR="001F5068" w:rsidRDefault="001F5068">
      <w:pPr>
        <w:pStyle w:val="H3Text"/>
        <w:numPr>
          <w:ilvl w:val="0"/>
          <w:numId w:val="29"/>
        </w:numPr>
      </w:pPr>
      <w:r>
        <w:t>Verify the identity of all parties seeking the disclosure of Confidential Information over the telephone.</w:t>
      </w:r>
    </w:p>
    <w:p w14:paraId="63B34C6D" w14:textId="77777777" w:rsidR="001F5068" w:rsidRDefault="001F5068">
      <w:pPr>
        <w:pStyle w:val="H3Text"/>
        <w:numPr>
          <w:ilvl w:val="0"/>
          <w:numId w:val="29"/>
        </w:numPr>
      </w:pPr>
      <w:r>
        <w:t xml:space="preserve">Whether using landlines or cellular telephones, disclose Confidential Information by telephone only from a secure or private area whenever feasible. </w:t>
      </w:r>
    </w:p>
    <w:p w14:paraId="7087DEEA" w14:textId="77777777" w:rsidR="001F5068" w:rsidRDefault="001F5068">
      <w:pPr>
        <w:pStyle w:val="H3Text"/>
        <w:numPr>
          <w:ilvl w:val="0"/>
          <w:numId w:val="29"/>
        </w:numPr>
      </w:pPr>
      <w:r>
        <w:t xml:space="preserve">Never leave messages with Confidential Information on voicemail, answering machines or with individuals other than the data subject or their personal representative.  Information left in messages shall be generic in nature and not indicate services being performed or provider of such services, unless the data subject has directly requested otherwise and is documented in the data subject’s record.  An example of a generic message is, “My name is Emily Smith.  Please return my call at 617.624.5200.”  </w:t>
      </w:r>
    </w:p>
    <w:p w14:paraId="277FB7BD" w14:textId="77777777" w:rsidR="001F5068" w:rsidRPr="003D54C0" w:rsidRDefault="001F5068" w:rsidP="003D54C0">
      <w:pPr>
        <w:pStyle w:val="H3SubParagraph"/>
      </w:pPr>
      <w:r w:rsidRPr="003D54C0">
        <w:t>Transmissions</w:t>
      </w:r>
      <w:r w:rsidRPr="003D54C0" w:rsidDel="00C2104C">
        <w:t xml:space="preserve"> </w:t>
      </w:r>
      <w:r w:rsidRPr="003D54C0">
        <w:t>Made Electronically</w:t>
      </w:r>
    </w:p>
    <w:p w14:paraId="69B88388" w14:textId="77777777" w:rsidR="001F5068" w:rsidRPr="000A38B7" w:rsidRDefault="001F5068">
      <w:pPr>
        <w:pStyle w:val="H3Text"/>
        <w:numPr>
          <w:ilvl w:val="0"/>
          <w:numId w:val="124"/>
        </w:numPr>
      </w:pPr>
      <w:r w:rsidRPr="000A38B7">
        <w:t>Confidential Information must not be sent over regular email, except in specific circumstances explained in Section D.2. below.</w:t>
      </w:r>
    </w:p>
    <w:p w14:paraId="669AE93F" w14:textId="77777777" w:rsidR="001F5068" w:rsidRPr="0083704F" w:rsidRDefault="001F5068" w:rsidP="000A38B7">
      <w:pPr>
        <w:pStyle w:val="H3Text"/>
        <w:ind w:left="1080"/>
      </w:pPr>
      <w:r>
        <w:t xml:space="preserve">When </w:t>
      </w:r>
      <w:r w:rsidRPr="00801B3E">
        <w:t>transmit</w:t>
      </w:r>
      <w:r>
        <w:t>ting</w:t>
      </w:r>
      <w:r w:rsidRPr="00801B3E">
        <w:t xml:space="preserve"> confidential information electronically, workforce members must</w:t>
      </w:r>
      <w:r w:rsidRPr="0083704F">
        <w:t>:</w:t>
      </w:r>
    </w:p>
    <w:p w14:paraId="5FF304DB" w14:textId="77777777" w:rsidR="001F5068" w:rsidRPr="000924D8" w:rsidRDefault="001F5068">
      <w:pPr>
        <w:pStyle w:val="H3Text"/>
        <w:numPr>
          <w:ilvl w:val="0"/>
          <w:numId w:val="126"/>
        </w:numPr>
      </w:pPr>
      <w:r w:rsidRPr="000924D8">
        <w:t>Ensure that Confidential Information does NOT include any of the following data points:</w:t>
      </w:r>
    </w:p>
    <w:p w14:paraId="090E1FC7" w14:textId="77777777" w:rsidR="001F5068" w:rsidRPr="00420806" w:rsidRDefault="001F5068">
      <w:pPr>
        <w:pStyle w:val="H3Text"/>
        <w:numPr>
          <w:ilvl w:val="0"/>
          <w:numId w:val="127"/>
        </w:numPr>
      </w:pPr>
      <w:r w:rsidRPr="00420806">
        <w:t>Full Social Security Numbers;</w:t>
      </w:r>
    </w:p>
    <w:p w14:paraId="7DE5BD14" w14:textId="77777777" w:rsidR="001F5068" w:rsidRPr="00420806" w:rsidRDefault="001F5068">
      <w:pPr>
        <w:pStyle w:val="H3Text"/>
        <w:numPr>
          <w:ilvl w:val="0"/>
          <w:numId w:val="127"/>
        </w:numPr>
      </w:pPr>
      <w:r w:rsidRPr="00420806">
        <w:t>Full driver’s license / state issued identification numbers;</w:t>
      </w:r>
    </w:p>
    <w:p w14:paraId="71939369" w14:textId="77777777" w:rsidR="001F5068" w:rsidRPr="00420806" w:rsidRDefault="001F5068">
      <w:pPr>
        <w:pStyle w:val="H3Text"/>
        <w:numPr>
          <w:ilvl w:val="0"/>
          <w:numId w:val="127"/>
        </w:numPr>
      </w:pPr>
      <w:r w:rsidRPr="00420806">
        <w:t>Full financial account numbers (e.g., checking account or credit card numbers);</w:t>
      </w:r>
    </w:p>
    <w:p w14:paraId="458B19C2" w14:textId="77777777" w:rsidR="001F5068" w:rsidRPr="00420806" w:rsidRDefault="001F5068">
      <w:pPr>
        <w:pStyle w:val="H3Text"/>
        <w:numPr>
          <w:ilvl w:val="0"/>
          <w:numId w:val="127"/>
        </w:numPr>
      </w:pPr>
      <w:r w:rsidRPr="00420806">
        <w:t>Photographic images that include full face and/or other identifying details;</w:t>
      </w:r>
    </w:p>
    <w:p w14:paraId="0467EFA3" w14:textId="77777777" w:rsidR="001F5068" w:rsidRPr="00420806" w:rsidRDefault="001F5068">
      <w:pPr>
        <w:pStyle w:val="H3Text"/>
        <w:numPr>
          <w:ilvl w:val="0"/>
          <w:numId w:val="127"/>
        </w:numPr>
      </w:pPr>
      <w:r w:rsidRPr="00420806">
        <w:t>Any personal identification numbers, passwords, or other access or security codes that would permit access to any account or system, regardless of whether it is a financial account.</w:t>
      </w:r>
    </w:p>
    <w:p w14:paraId="2260F09F" w14:textId="77777777" w:rsidR="001F5068" w:rsidRPr="000924D8" w:rsidRDefault="001F5068">
      <w:pPr>
        <w:pStyle w:val="H3Text"/>
        <w:numPr>
          <w:ilvl w:val="0"/>
          <w:numId w:val="126"/>
        </w:numPr>
      </w:pPr>
      <w:r w:rsidRPr="000924D8">
        <w:t>If it is necessary to transmit Confidential Information that includes any of these fields electronically, approval is required from the DPH Privacy and Data Compliance Office (PDCO).</w:t>
      </w:r>
    </w:p>
    <w:p w14:paraId="7BFBC446" w14:textId="25966C8A" w:rsidR="001F5068" w:rsidRPr="000924D8" w:rsidRDefault="001F5068">
      <w:pPr>
        <w:pStyle w:val="H3Text"/>
        <w:numPr>
          <w:ilvl w:val="0"/>
          <w:numId w:val="126"/>
        </w:numPr>
      </w:pPr>
      <w:r w:rsidRPr="000924D8">
        <w:t xml:space="preserve">Ensure that the Confidential Information is sent using a method that has been approved for electronic transmission by PDCO.  The </w:t>
      </w:r>
      <w:hyperlink r:id="rId54" w:history="1">
        <w:r w:rsidRPr="0098420E">
          <w:rPr>
            <w:rStyle w:val="Hyperlink"/>
            <w:sz w:val="22"/>
          </w:rPr>
          <w:t>current list of validated methods</w:t>
        </w:r>
      </w:hyperlink>
      <w:r w:rsidRPr="000924D8">
        <w:t xml:space="preserve"> can be found on HealthNet (Available to DPH Intranet users only).</w:t>
      </w:r>
    </w:p>
    <w:p w14:paraId="04A59A55" w14:textId="77777777" w:rsidR="001F5068" w:rsidRPr="000924D8" w:rsidRDefault="001F5068">
      <w:pPr>
        <w:pStyle w:val="H3Text"/>
        <w:numPr>
          <w:ilvl w:val="0"/>
          <w:numId w:val="126"/>
        </w:numPr>
      </w:pPr>
      <w:r w:rsidRPr="000924D8">
        <w:t>Verify the identity and contact information of all recipient(s).</w:t>
      </w:r>
    </w:p>
    <w:p w14:paraId="601E6DBE" w14:textId="77777777" w:rsidR="001F5068" w:rsidRPr="000924D8" w:rsidRDefault="001F5068">
      <w:pPr>
        <w:pStyle w:val="H3Text"/>
        <w:numPr>
          <w:ilvl w:val="0"/>
          <w:numId w:val="126"/>
        </w:numPr>
      </w:pPr>
      <w:r w:rsidRPr="000924D8">
        <w:t>Where allowable by the transmission method, use this or similar language as a Header or Footer: “This message [and attachment] is intended for authorized individuals and contains Confidential Information.  If you have received this message in error and are not the intended recipient, please notify the sender.”</w:t>
      </w:r>
    </w:p>
    <w:p w14:paraId="0A64FB14" w14:textId="77777777" w:rsidR="001F5068" w:rsidRPr="000924D8" w:rsidRDefault="001F5068">
      <w:pPr>
        <w:pStyle w:val="H3Text"/>
        <w:numPr>
          <w:ilvl w:val="0"/>
          <w:numId w:val="126"/>
        </w:numPr>
      </w:pPr>
      <w:r w:rsidRPr="000924D8">
        <w:t>Where the transmission method allows a subject line, do not use any Confidential Information in the subject line.</w:t>
      </w:r>
    </w:p>
    <w:p w14:paraId="5F00D4B4" w14:textId="77777777" w:rsidR="001F5068" w:rsidRPr="00911B3A" w:rsidRDefault="001F5068">
      <w:pPr>
        <w:pStyle w:val="H3Text"/>
        <w:numPr>
          <w:ilvl w:val="0"/>
          <w:numId w:val="124"/>
        </w:numPr>
      </w:pPr>
      <w:r w:rsidRPr="00911B3A">
        <w:t xml:space="preserve">Confidential Information may </w:t>
      </w:r>
      <w:r>
        <w:t xml:space="preserve">only </w:t>
      </w:r>
      <w:r w:rsidRPr="00911B3A">
        <w:t>be sent over regular email in the following circumstances:</w:t>
      </w:r>
    </w:p>
    <w:p w14:paraId="3DECDE33" w14:textId="77777777" w:rsidR="001F5068" w:rsidRPr="00741510" w:rsidRDefault="001F5068">
      <w:pPr>
        <w:pStyle w:val="H3Text"/>
        <w:numPr>
          <w:ilvl w:val="0"/>
          <w:numId w:val="128"/>
        </w:numPr>
      </w:pPr>
      <w:r w:rsidRPr="00741510">
        <w:t>Between DPH workforce members and Human Resources when using email to conduct personnel matters.</w:t>
      </w:r>
    </w:p>
    <w:p w14:paraId="43151814" w14:textId="77777777" w:rsidR="001F5068" w:rsidRPr="00741510" w:rsidRDefault="001F5068">
      <w:pPr>
        <w:pStyle w:val="H3Text"/>
        <w:numPr>
          <w:ilvl w:val="0"/>
          <w:numId w:val="128"/>
        </w:numPr>
      </w:pPr>
      <w:r w:rsidRPr="00741510">
        <w:t>When an email containing confidential information is misdirected to a DPH workforce member, it may be forwarded to the appropriate recipient.</w:t>
      </w:r>
    </w:p>
    <w:p w14:paraId="1B499108" w14:textId="77777777" w:rsidR="001F5068" w:rsidRPr="00741510" w:rsidRDefault="001F5068">
      <w:pPr>
        <w:pStyle w:val="H3Text"/>
        <w:numPr>
          <w:ilvl w:val="0"/>
          <w:numId w:val="128"/>
        </w:numPr>
      </w:pPr>
      <w:r w:rsidRPr="00741510">
        <w:t>In extraordinary circumstances, PDCO may approve the transmission of Confidential Information via regular email.  Special care must be taken to ensure that all recipients are authorized to view the Confidential Information, and that the information transmitted is limited to the Minimum Necessary to accomplish the purpose of the transmission.</w:t>
      </w:r>
    </w:p>
    <w:p w14:paraId="704DAA9B" w14:textId="77777777" w:rsidR="001F5068" w:rsidRPr="0004494A" w:rsidRDefault="001F5068" w:rsidP="00F01BAE">
      <w:pPr>
        <w:pStyle w:val="H3Text"/>
      </w:pPr>
      <w:r w:rsidRPr="00DE5997">
        <w:t xml:space="preserve">All other electronic transmissions of Confidential Information </w:t>
      </w:r>
      <w:r>
        <w:t>must follow the process described in Section D.1.</w:t>
      </w:r>
    </w:p>
    <w:p w14:paraId="6E97002E" w14:textId="77777777" w:rsidR="001F5068" w:rsidRDefault="001F5068" w:rsidP="002365D5">
      <w:pPr>
        <w:pStyle w:val="H2Paragraph"/>
      </w:pPr>
      <w:bookmarkStart w:id="64" w:name="_Toc209771792"/>
      <w:r>
        <w:t>Storage of Confidential Information</w:t>
      </w:r>
      <w:bookmarkEnd w:id="64"/>
    </w:p>
    <w:p w14:paraId="31EED8ED" w14:textId="77777777" w:rsidR="001F5068" w:rsidRDefault="001F5068" w:rsidP="002365D5">
      <w:pPr>
        <w:pStyle w:val="H3Text"/>
      </w:pPr>
      <w:r>
        <w:t xml:space="preserve">Confidential Information shall be stored and maintained by the data custodian in a manner that protects the confidentiality, integrity, and availability of the information.  Access to the Confidential Information must meet the Department’s minimum necessary and role-based access standards as described in </w:t>
      </w:r>
      <w:r w:rsidRPr="00445D38">
        <w:t>Procedure # 3</w:t>
      </w:r>
      <w:r>
        <w:t>.</w:t>
      </w:r>
    </w:p>
    <w:p w14:paraId="3304CB73" w14:textId="77777777" w:rsidR="001F5068" w:rsidRDefault="001F5068" w:rsidP="002365D5">
      <w:pPr>
        <w:pStyle w:val="H3SubParagraph"/>
      </w:pPr>
      <w:r>
        <w:t>Paper-Based Confidential Information</w:t>
      </w:r>
    </w:p>
    <w:p w14:paraId="59FDBBF7" w14:textId="77777777" w:rsidR="001F5068" w:rsidRDefault="001F5068" w:rsidP="002365D5">
      <w:pPr>
        <w:pStyle w:val="H3Text"/>
        <w:rPr>
          <w:u w:val="single"/>
        </w:rPr>
      </w:pPr>
      <w:r>
        <w:t>Improper storage of on-site paper-based files including the storage of files in unlocked file cabinets may result in the improper disclosure of or access to Confidential Information.  Bureaus and Offices shall take steps to secure paper-based Confidential Information, including:</w:t>
      </w:r>
    </w:p>
    <w:p w14:paraId="7620CD9E" w14:textId="77777777" w:rsidR="001F5068" w:rsidRDefault="001F5068">
      <w:pPr>
        <w:pStyle w:val="H3Text"/>
        <w:numPr>
          <w:ilvl w:val="0"/>
          <w:numId w:val="30"/>
        </w:numPr>
      </w:pPr>
      <w:r>
        <w:t>Move Confidential Information to locked files or purchase and install locks on existing non-locked cabinets;</w:t>
      </w:r>
    </w:p>
    <w:p w14:paraId="637D0CE6" w14:textId="77777777" w:rsidR="001F5068" w:rsidRDefault="001F5068">
      <w:pPr>
        <w:pStyle w:val="H3Text"/>
        <w:numPr>
          <w:ilvl w:val="0"/>
          <w:numId w:val="30"/>
        </w:numPr>
      </w:pPr>
      <w:r>
        <w:t xml:space="preserve">Move file cabinets or other storage sites from public areas to low traffic areas; </w:t>
      </w:r>
    </w:p>
    <w:p w14:paraId="4F64BFFA" w14:textId="77777777" w:rsidR="001F5068" w:rsidRDefault="001F5068">
      <w:pPr>
        <w:pStyle w:val="H3Text"/>
        <w:numPr>
          <w:ilvl w:val="0"/>
          <w:numId w:val="30"/>
        </w:numPr>
      </w:pPr>
      <w:r>
        <w:t>Move workforce members and storage so that those workforce members who need access to the materials are located near the storage area, and those not requiring access are relocated away from the area; and</w:t>
      </w:r>
    </w:p>
    <w:p w14:paraId="6725AD4A" w14:textId="77777777" w:rsidR="001F5068" w:rsidRDefault="001F5068">
      <w:pPr>
        <w:pStyle w:val="H3Text"/>
        <w:numPr>
          <w:ilvl w:val="0"/>
          <w:numId w:val="30"/>
        </w:numPr>
      </w:pPr>
      <w:r>
        <w:t>Move file cabinets without locks into rooms that can be locked or otherwise secured; limit access to rooms with unlocked cabinets based on need–to-know, role-based access.</w:t>
      </w:r>
    </w:p>
    <w:p w14:paraId="2B75D710" w14:textId="77777777" w:rsidR="001F5068" w:rsidRDefault="001F5068" w:rsidP="002365D5">
      <w:pPr>
        <w:pStyle w:val="H3SubParagraph"/>
      </w:pPr>
      <w:r>
        <w:t>Printers and Copiers</w:t>
      </w:r>
    </w:p>
    <w:p w14:paraId="62C838DB" w14:textId="77777777" w:rsidR="001F5068" w:rsidRDefault="001F5068" w:rsidP="002365D5">
      <w:pPr>
        <w:pStyle w:val="H3Text"/>
        <w:rPr>
          <w:b/>
        </w:rPr>
      </w:pPr>
      <w:r>
        <w:t>Improper disclosures of Confidential Information can occur by means of unsecured printers and copiers.  Examples of unsecured printers or copiers are those located in unmonitored or high-traffic areas that allow unauthorized individuals to search through documents left at the printer or copier.  Bureaus and Offices shall take steps to secure these devices, including:</w:t>
      </w:r>
    </w:p>
    <w:p w14:paraId="363A24AB" w14:textId="77777777" w:rsidR="001F5068" w:rsidRDefault="001F5068">
      <w:pPr>
        <w:pStyle w:val="H3Text"/>
        <w:numPr>
          <w:ilvl w:val="0"/>
          <w:numId w:val="31"/>
        </w:numPr>
      </w:pPr>
      <w:r>
        <w:t>Move printers to enclosed areas to which only authorized personnel have access;</w:t>
      </w:r>
    </w:p>
    <w:p w14:paraId="6F9D784E" w14:textId="77777777" w:rsidR="001F5068" w:rsidRDefault="001F5068">
      <w:pPr>
        <w:pStyle w:val="H3Text"/>
        <w:numPr>
          <w:ilvl w:val="0"/>
          <w:numId w:val="31"/>
        </w:numPr>
      </w:pPr>
      <w:r>
        <w:t>Designate dedicated printers and copiers to be used only for printing and copying Confidential Information.</w:t>
      </w:r>
    </w:p>
    <w:p w14:paraId="071D2D6B" w14:textId="77777777" w:rsidR="001F5068" w:rsidRDefault="001F5068">
      <w:pPr>
        <w:pStyle w:val="H3Text"/>
        <w:numPr>
          <w:ilvl w:val="0"/>
          <w:numId w:val="31"/>
        </w:numPr>
      </w:pPr>
      <w:r>
        <w:t>Train staff to immediately retrieve papers that contain Confidential Information from printers and copy machines; and</w:t>
      </w:r>
    </w:p>
    <w:p w14:paraId="056416B3" w14:textId="77777777" w:rsidR="001F5068" w:rsidRDefault="001F5068">
      <w:pPr>
        <w:pStyle w:val="H3Text"/>
        <w:numPr>
          <w:ilvl w:val="0"/>
          <w:numId w:val="31"/>
        </w:numPr>
      </w:pPr>
      <w:r>
        <w:t>Where possible, train staff to use the Locked Print feature when printing Confidential Information. If this is not possible due to technical limitations, consider training staff to bring their device to the printer before printing when practical.</w:t>
      </w:r>
    </w:p>
    <w:p w14:paraId="6BC786AC" w14:textId="77777777" w:rsidR="001F5068" w:rsidRDefault="001F5068" w:rsidP="002365D5">
      <w:pPr>
        <w:pStyle w:val="H3SubParagraph"/>
      </w:pPr>
      <w:r>
        <w:t>Electronic Confidential Information</w:t>
      </w:r>
    </w:p>
    <w:p w14:paraId="608676C8" w14:textId="77777777" w:rsidR="001F5068" w:rsidRDefault="001F5068">
      <w:pPr>
        <w:pStyle w:val="H3Text"/>
        <w:numPr>
          <w:ilvl w:val="0"/>
          <w:numId w:val="125"/>
        </w:numPr>
      </w:pPr>
      <w:r>
        <w:t xml:space="preserve">Electronic Confidential Information shall be maintained by the data custodian in a manner that protects the confidentiality, integrity, and availability of the information; and which complies with the EOHHS Acceptable Use Policy and the EOTSS Acceptable Use of Information Technology policy.  </w:t>
      </w:r>
    </w:p>
    <w:p w14:paraId="2187D211" w14:textId="67407B7E" w:rsidR="001F5068" w:rsidRDefault="001F5068">
      <w:pPr>
        <w:pStyle w:val="H3Text"/>
        <w:numPr>
          <w:ilvl w:val="0"/>
          <w:numId w:val="125"/>
        </w:numPr>
      </w:pPr>
      <w:r>
        <w:t xml:space="preserve">Confidential Information stored electronically must be password-protected with a password that meets EOTSS password standards, and stored in an encrypted volume or file using EOTSS-approved encryption methods </w:t>
      </w:r>
      <w:r w:rsidR="00417FBF" w:rsidRPr="00417FBF">
        <w:t xml:space="preserve">(refer to the </w:t>
      </w:r>
      <w:hyperlink r:id="rId55" w:history="1">
        <w:r w:rsidR="00417FBF" w:rsidRPr="00417FBF">
          <w:rPr>
            <w:color w:val="0000FF"/>
            <w:u w:val="single"/>
          </w:rPr>
          <w:t>EOTSS Cryptographic Management Standard</w:t>
        </w:r>
      </w:hyperlink>
      <w:r w:rsidR="00417FBF" w:rsidRPr="00417FBF">
        <w:t>).</w:t>
      </w:r>
    </w:p>
    <w:p w14:paraId="72928FDE" w14:textId="77777777" w:rsidR="001F5068" w:rsidRDefault="001F5068">
      <w:pPr>
        <w:pStyle w:val="H3Text"/>
        <w:numPr>
          <w:ilvl w:val="0"/>
          <w:numId w:val="125"/>
        </w:numPr>
      </w:pPr>
      <w:r>
        <w:t xml:space="preserve">Workforce member’s access rights must meet the Department’s role-based access and minimum necessary standards as described in </w:t>
      </w:r>
      <w:r w:rsidRPr="00445D38">
        <w:t>Procedure # 3</w:t>
      </w:r>
      <w:r>
        <w:t>.  Workforce members shall not circumvent prescribed access rights by sharing their passwords or utilizing another workforce member’s password to access Confidential Information beyond the scope of their authority.</w:t>
      </w:r>
    </w:p>
    <w:p w14:paraId="7BA6329A" w14:textId="77777777" w:rsidR="001F5068" w:rsidRDefault="001F5068">
      <w:pPr>
        <w:pStyle w:val="H3Text"/>
        <w:numPr>
          <w:ilvl w:val="0"/>
          <w:numId w:val="125"/>
        </w:numPr>
      </w:pPr>
      <w:r>
        <w:t>EOHHS IT must be immediately notified when workforce members are terminated so that the workforce member’s access rights can be terminated immediately.</w:t>
      </w:r>
    </w:p>
    <w:p w14:paraId="31F040FF" w14:textId="77777777" w:rsidR="001F5068" w:rsidRDefault="001F5068">
      <w:pPr>
        <w:pStyle w:val="H3Text"/>
        <w:numPr>
          <w:ilvl w:val="0"/>
          <w:numId w:val="125"/>
        </w:numPr>
      </w:pPr>
      <w:r>
        <w:t>Program management, Human Resources, and EOHHS IT should coordinate the date and time of a workforce member’s transfer or resignation so that computer network access is altered or terminated as required under the circumstances.</w:t>
      </w:r>
    </w:p>
    <w:p w14:paraId="68FA44A3" w14:textId="77777777" w:rsidR="001F5068" w:rsidRPr="00910D77" w:rsidRDefault="001F5068" w:rsidP="002365D5">
      <w:pPr>
        <w:pStyle w:val="H2Paragraph"/>
      </w:pPr>
      <w:bookmarkStart w:id="65" w:name="_Toc209771793"/>
      <w:r>
        <w:t>Removal of Confidential Information from the Worksite</w:t>
      </w:r>
      <w:bookmarkEnd w:id="65"/>
    </w:p>
    <w:p w14:paraId="6427FE6C" w14:textId="77777777" w:rsidR="001F5068" w:rsidRDefault="001F5068" w:rsidP="002365D5">
      <w:pPr>
        <w:pStyle w:val="H3Text"/>
      </w:pPr>
      <w:r>
        <w:t>The Department recognizes that workforce members may conduct their work at both their Officially-Designated Work Location and their Alternative Workplace, as set forth in the Executive Department Telework Policy and the EOHHS Telework Acknowledgment Form (the “Telework Policies”). Workforce members shall follow applicable instructions regarding the handling of Commonwealth records set forth in the Telework Policies. Confidential Information</w:t>
      </w:r>
      <w:r w:rsidRPr="002777A9">
        <w:t xml:space="preserve"> must be secured from unauthorized access </w:t>
      </w:r>
      <w:r>
        <w:t>at all times, including while at any work location and while in transit</w:t>
      </w:r>
      <w:r w:rsidRPr="002777A9">
        <w:t>.</w:t>
      </w:r>
    </w:p>
    <w:p w14:paraId="6D5873F0" w14:textId="77777777" w:rsidR="001F5068" w:rsidRPr="00BD05C0" w:rsidRDefault="001F5068" w:rsidP="002365D5">
      <w:pPr>
        <w:pStyle w:val="H3SubParagraph"/>
      </w:pPr>
      <w:r w:rsidRPr="00BD05C0">
        <w:t>Paper Records</w:t>
      </w:r>
    </w:p>
    <w:p w14:paraId="75649DF1" w14:textId="4C59045C" w:rsidR="001F5068" w:rsidRDefault="001F5068" w:rsidP="002365D5">
      <w:pPr>
        <w:pStyle w:val="H3Text"/>
      </w:pPr>
      <w:r>
        <w:t>Workforce members shall only remove paper records containing Confidential Information from their Officially-Designated Work Location when necessary to perform their job function. Such records may only be transported to their Alternative Workplace, or to other locations necessary to perform their job function and shall be returned to the Officially-Designated Work Location as soon as practical. Confidential Information shall not be left unattended in an unsecured area or container.  Records and files shall be transported in containers (e.g., locked briefcases, sealed boxes, or sealed envelopes) that are not easily opened by unauthorized individuals.</w:t>
      </w:r>
    </w:p>
    <w:p w14:paraId="300C2C26" w14:textId="77777777" w:rsidR="001F5068" w:rsidRPr="00BD05C0" w:rsidRDefault="001F5068" w:rsidP="002365D5">
      <w:pPr>
        <w:pStyle w:val="H3SubParagraph"/>
      </w:pPr>
      <w:r>
        <w:t>Electronic Records</w:t>
      </w:r>
    </w:p>
    <w:p w14:paraId="5E06828C" w14:textId="77777777" w:rsidR="001F5068" w:rsidRDefault="001F5068" w:rsidP="002365D5">
      <w:pPr>
        <w:pStyle w:val="H3Text"/>
      </w:pPr>
      <w:r>
        <w:t>Laptops, other Portable Devices, and Removable Media on which Confidential Information is stored or accessed should be maintained securely at all times and should not be left unattended.  In automobiles, Portable Devices and Removable Media should be kept out of sight and secured when the car is unattended.  Portable Devices and Removable Media on which Confidential Information is stored or accessed should not be loaned to any unauthorized person including family members.</w:t>
      </w:r>
    </w:p>
    <w:p w14:paraId="3ACB1F68" w14:textId="77777777" w:rsidR="001F5068" w:rsidRDefault="001F5068" w:rsidP="002365D5">
      <w:pPr>
        <w:pStyle w:val="H2Paragraph"/>
      </w:pPr>
      <w:bookmarkStart w:id="66" w:name="_Toc209771794"/>
      <w:r>
        <w:t>Disposal of Confidential Information</w:t>
      </w:r>
      <w:bookmarkEnd w:id="66"/>
    </w:p>
    <w:p w14:paraId="1D80BDDD" w14:textId="70AF8D8B" w:rsidR="001F5068" w:rsidRPr="00417FBF" w:rsidRDefault="001F5068" w:rsidP="00417FBF">
      <w:pPr>
        <w:pStyle w:val="H3Text"/>
      </w:pPr>
      <w:r w:rsidRPr="00417FBF">
        <w:t xml:space="preserve">First, determine if you are authorized and have permission to destroy the information </w:t>
      </w:r>
      <w:r w:rsidRPr="00FF7672">
        <w:t xml:space="preserve">under the </w:t>
      </w:r>
      <w:hyperlink r:id="rId56" w:history="1">
        <w:r w:rsidRPr="00FF7672">
          <w:rPr>
            <w:rStyle w:val="Hyperlink"/>
            <w:sz w:val="22"/>
          </w:rPr>
          <w:t>Statewide Records Retention Schedule</w:t>
        </w:r>
      </w:hyperlink>
      <w:r w:rsidRPr="00FF7672">
        <w:t>.  If you have permission to destroy the information, or don’t need permission, destroy the information</w:t>
      </w:r>
      <w:r w:rsidRPr="00417FBF">
        <w:t xml:space="preserve"> according to the minimum standards set out below.  In all cases, contact the Help Desk for assistance should you have questions.</w:t>
      </w:r>
    </w:p>
    <w:p w14:paraId="6F007C08" w14:textId="77777777" w:rsidR="001F5068" w:rsidRDefault="001F5068" w:rsidP="002365D5">
      <w:pPr>
        <w:pStyle w:val="H3SubParagraph"/>
      </w:pPr>
      <w:r>
        <w:t>Paper-Based Records</w:t>
      </w:r>
    </w:p>
    <w:p w14:paraId="00A33A51" w14:textId="77777777" w:rsidR="001F5068" w:rsidRDefault="001F5068" w:rsidP="002365D5">
      <w:pPr>
        <w:pStyle w:val="H3Text"/>
      </w:pPr>
      <w:r>
        <w:t>Bureaus and Offices shall take steps to ensure the proper destruction of paper records containing Confidential Information.  This includes purchasing:</w:t>
      </w:r>
    </w:p>
    <w:p w14:paraId="1100EF33" w14:textId="77777777" w:rsidR="001F5068" w:rsidRDefault="001F5068">
      <w:pPr>
        <w:pStyle w:val="H3Text"/>
        <w:numPr>
          <w:ilvl w:val="0"/>
          <w:numId w:val="32"/>
        </w:numPr>
      </w:pPr>
      <w:r>
        <w:t>Shredders and place them near recycling and trash bins; or</w:t>
      </w:r>
    </w:p>
    <w:p w14:paraId="6BE52CBA" w14:textId="77777777" w:rsidR="001F5068" w:rsidRDefault="001F5068">
      <w:pPr>
        <w:pStyle w:val="H3Text"/>
        <w:numPr>
          <w:ilvl w:val="0"/>
          <w:numId w:val="32"/>
        </w:numPr>
      </w:pPr>
      <w:r>
        <w:t>Secure bins with locked tops and contracting with vendors to ensure secure disposal.</w:t>
      </w:r>
    </w:p>
    <w:p w14:paraId="51F1BF90" w14:textId="77777777" w:rsidR="001F5068" w:rsidRDefault="001F5068" w:rsidP="007046B0">
      <w:pPr>
        <w:pStyle w:val="H3Text"/>
      </w:pPr>
      <w:r>
        <w:t>Paper records containing Confidential Information must either be shredded, redacted, or otherwise rendered permanently unreadable, when they are disposed of. Placing paper records containing Confidential Information in a regular trash or recycling bin is not an acceptable method of disposal.</w:t>
      </w:r>
    </w:p>
    <w:p w14:paraId="424ECD68" w14:textId="77777777" w:rsidR="001F5068" w:rsidRDefault="001F5068" w:rsidP="002365D5">
      <w:pPr>
        <w:pStyle w:val="H3SubParagraph"/>
      </w:pPr>
      <w:r>
        <w:t xml:space="preserve">Electronic Records </w:t>
      </w:r>
    </w:p>
    <w:p w14:paraId="642ADD4E" w14:textId="540C3793" w:rsidR="001F5068" w:rsidRPr="00417FBF" w:rsidRDefault="001F5068" w:rsidP="00417FBF">
      <w:pPr>
        <w:pStyle w:val="H3Text"/>
      </w:pPr>
      <w:r w:rsidRPr="00417FBF">
        <w:t xml:space="preserve">Confidential information stored on electronic devices must be destroyed so that it cannot be recovered from the electronic storage media, in a manner that follows </w:t>
      </w:r>
      <w:hyperlink r:id="rId57" w:history="1">
        <w:r w:rsidRPr="00417FBF">
          <w:rPr>
            <w:rStyle w:val="Hyperlink"/>
            <w:sz w:val="22"/>
          </w:rPr>
          <w:t>EOTSS Enterprise Information Security Policies and Standards</w:t>
        </w:r>
      </w:hyperlink>
      <w:r w:rsidRPr="00417FBF">
        <w:t>.</w:t>
      </w:r>
    </w:p>
    <w:p w14:paraId="5B78E0F6" w14:textId="77777777" w:rsidR="001F5068" w:rsidRDefault="001F5068" w:rsidP="002365D5">
      <w:pPr>
        <w:rPr>
          <w:rFonts w:cs="Arial"/>
          <w:u w:val="single"/>
        </w:rPr>
      </w:pPr>
    </w:p>
    <w:p w14:paraId="475B1F39" w14:textId="77777777" w:rsidR="001F5068" w:rsidRDefault="001F5068" w:rsidP="002365D5">
      <w:pPr>
        <w:rPr>
          <w:rFonts w:cs="Arial"/>
          <w:u w:val="single"/>
        </w:rPr>
      </w:pPr>
    </w:p>
    <w:p w14:paraId="0DC9B017" w14:textId="77777777" w:rsidR="001F5068" w:rsidRDefault="001F5068" w:rsidP="002365D5">
      <w:pPr>
        <w:rPr>
          <w:rFonts w:cs="Arial"/>
          <w:u w:val="single"/>
        </w:rPr>
      </w:pPr>
    </w:p>
    <w:p w14:paraId="0D7528CB" w14:textId="77777777" w:rsidR="001F5068" w:rsidRPr="00DE3A64" w:rsidRDefault="001F5068" w:rsidP="002365D5">
      <w:pPr>
        <w:rPr>
          <w:rFonts w:cs="Arial"/>
          <w:u w:val="single"/>
        </w:rPr>
      </w:pPr>
      <w:r w:rsidRPr="00DE3A64">
        <w:rPr>
          <w:rFonts w:cs="Arial"/>
          <w:u w:val="single"/>
        </w:rPr>
        <w:t>Authority:</w:t>
      </w:r>
    </w:p>
    <w:p w14:paraId="62AA9D54" w14:textId="77777777" w:rsidR="001F5068" w:rsidRDefault="001F5068" w:rsidP="002365D5">
      <w:pPr>
        <w:pStyle w:val="H3Text"/>
      </w:pPr>
      <w:r>
        <w:t>M.G.L. c. 66A, § 2</w:t>
      </w:r>
    </w:p>
    <w:p w14:paraId="46629873" w14:textId="77777777" w:rsidR="001F5068" w:rsidRDefault="001F5068" w:rsidP="002365D5">
      <w:pPr>
        <w:pStyle w:val="H3Text"/>
      </w:pPr>
      <w:r>
        <w:t>M.G.L. c. 93 I</w:t>
      </w:r>
    </w:p>
    <w:p w14:paraId="4F7F540F" w14:textId="77777777" w:rsidR="001F5068" w:rsidRDefault="001F5068" w:rsidP="00C64339">
      <w:pPr>
        <w:pStyle w:val="H3Text"/>
      </w:pPr>
      <w:r>
        <w:t xml:space="preserve">45 C.F.R. § </w:t>
      </w:r>
      <w:r w:rsidRPr="00667090">
        <w:t>164.530(c)</w:t>
      </w:r>
    </w:p>
    <w:p w14:paraId="15997A26" w14:textId="5EAD3472" w:rsidR="00874517" w:rsidRDefault="00874517" w:rsidP="00A101D1">
      <w:pPr>
        <w:pStyle w:val="H3Text"/>
        <w:ind w:left="0"/>
        <w:rPr>
          <w:rFonts w:cs="Arial"/>
        </w:rPr>
      </w:pPr>
    </w:p>
    <w:p w14:paraId="3BEFC5BE" w14:textId="77777777" w:rsidR="008355B4" w:rsidRDefault="008355B4" w:rsidP="00A101D1">
      <w:pPr>
        <w:sectPr w:rsidR="008355B4" w:rsidSect="0068196A">
          <w:headerReference w:type="even" r:id="rId58"/>
          <w:headerReference w:type="default" r:id="rId59"/>
          <w:footerReference w:type="even" r:id="rId60"/>
          <w:footerReference w:type="default" r:id="rId61"/>
          <w:headerReference w:type="first" r:id="rId62"/>
          <w:footerReference w:type="first" r:id="rId63"/>
          <w:pgSz w:w="12240" w:h="15840" w:code="1"/>
          <w:pgMar w:top="1440" w:right="1440" w:bottom="1440" w:left="1800" w:header="720" w:footer="720" w:gutter="0"/>
          <w:cols w:space="720"/>
          <w:docGrid w:linePitch="360"/>
        </w:sectPr>
      </w:pPr>
    </w:p>
    <w:p w14:paraId="0211D1E1" w14:textId="77777777" w:rsidR="00321AAC" w:rsidRPr="00D16AF3" w:rsidRDefault="00E020A9" w:rsidP="008028A4">
      <w:pPr>
        <w:pStyle w:val="H1ProcedureSection"/>
      </w:pPr>
      <w:bookmarkStart w:id="67" w:name="_Toc209771795"/>
      <w:r>
        <w:t>Procedure 11</w:t>
      </w:r>
      <w:r>
        <w:tab/>
      </w:r>
      <w:r w:rsidR="00321AAC" w:rsidRPr="00D16AF3">
        <w:t>Individual Rights Related to Confidential Information</w:t>
      </w:r>
      <w:bookmarkEnd w:id="67"/>
    </w:p>
    <w:p w14:paraId="00AD59DE" w14:textId="77777777" w:rsidR="00321AAC" w:rsidRPr="007F4964" w:rsidRDefault="00321AAC" w:rsidP="009C11B0">
      <w:pPr>
        <w:pStyle w:val="Version"/>
      </w:pPr>
      <w:r w:rsidRPr="007F4964">
        <w:t xml:space="preserve">Version:  </w:t>
      </w:r>
      <w:r>
        <w:t>3</w:t>
      </w:r>
      <w:r w:rsidRPr="007F4964">
        <w:tab/>
        <w:t xml:space="preserve">Effective Date:  </w:t>
      </w:r>
      <w:r>
        <w:t>April 21, 2008</w:t>
      </w:r>
    </w:p>
    <w:p w14:paraId="155D44D0" w14:textId="77777777" w:rsidR="00321AAC" w:rsidRDefault="00321AAC">
      <w:pPr>
        <w:pStyle w:val="H2Paragraph"/>
        <w:numPr>
          <w:ilvl w:val="0"/>
          <w:numId w:val="57"/>
        </w:numPr>
      </w:pPr>
      <w:bookmarkStart w:id="68" w:name="_Toc209771796"/>
      <w:r>
        <w:t>Purpose and Scope</w:t>
      </w:r>
      <w:bookmarkEnd w:id="68"/>
    </w:p>
    <w:p w14:paraId="36259BA6" w14:textId="77777777" w:rsidR="00321AAC" w:rsidRDefault="00321AAC" w:rsidP="009C11B0">
      <w:pPr>
        <w:pStyle w:val="H3Text"/>
      </w:pPr>
      <w:r>
        <w:t>This procedure describes the rights of data subjects</w:t>
      </w:r>
      <w:r w:rsidRPr="00EC2516">
        <w:rPr>
          <w:rStyle w:val="FootnoteReference"/>
        </w:rPr>
        <w:footnoteReference w:id="22"/>
      </w:r>
      <w:r>
        <w:t xml:space="preserve"> relating to the confidential information collected, used, and disclosed by the Department.  These include the right to request: </w:t>
      </w:r>
    </w:p>
    <w:p w14:paraId="5BD10FF1" w14:textId="77777777" w:rsidR="00321AAC" w:rsidRPr="00693384" w:rsidRDefault="00321AAC">
      <w:pPr>
        <w:pStyle w:val="H3Text"/>
        <w:numPr>
          <w:ilvl w:val="0"/>
          <w:numId w:val="35"/>
        </w:numPr>
      </w:pPr>
      <w:r w:rsidRPr="00693384">
        <w:t>Access to confidential information;</w:t>
      </w:r>
    </w:p>
    <w:p w14:paraId="7E5D7E64" w14:textId="77777777" w:rsidR="00321AAC" w:rsidRPr="00693384" w:rsidRDefault="00321AAC">
      <w:pPr>
        <w:pStyle w:val="H3Text"/>
        <w:numPr>
          <w:ilvl w:val="0"/>
          <w:numId w:val="35"/>
        </w:numPr>
      </w:pPr>
      <w:r w:rsidRPr="00693384">
        <w:t>Amendment of confidential information;</w:t>
      </w:r>
    </w:p>
    <w:p w14:paraId="63C6CD78" w14:textId="77777777" w:rsidR="00321AAC" w:rsidRPr="00693384" w:rsidRDefault="00321AAC">
      <w:pPr>
        <w:pStyle w:val="H3Text"/>
        <w:numPr>
          <w:ilvl w:val="0"/>
          <w:numId w:val="35"/>
        </w:numPr>
      </w:pPr>
      <w:r w:rsidRPr="00693384">
        <w:t>Communication with the Department through alternative means; and</w:t>
      </w:r>
    </w:p>
    <w:p w14:paraId="5CC55A45" w14:textId="77777777" w:rsidR="00321AAC" w:rsidRPr="00693384" w:rsidRDefault="00321AAC">
      <w:pPr>
        <w:pStyle w:val="H3Text"/>
        <w:numPr>
          <w:ilvl w:val="0"/>
          <w:numId w:val="35"/>
        </w:numPr>
      </w:pPr>
      <w:r w:rsidRPr="00693384">
        <w:t xml:space="preserve">Restrictions on the use and disclosure of confidential information. </w:t>
      </w:r>
    </w:p>
    <w:p w14:paraId="1A24F591" w14:textId="77777777" w:rsidR="00321AAC" w:rsidRDefault="00321AAC" w:rsidP="009C11B0">
      <w:pPr>
        <w:pStyle w:val="H3Text"/>
      </w:pPr>
      <w:r>
        <w:t>This procedure applies to both covered and non-covered components of the Department and all Department workforce members.  As described below, there are certain limitations on these rights imposed by state and federal laws as well as certain requirements that relate only to covered components.</w:t>
      </w:r>
    </w:p>
    <w:p w14:paraId="16ED6FC1" w14:textId="77777777" w:rsidR="00321AAC" w:rsidRDefault="00321AAC" w:rsidP="009C11B0">
      <w:pPr>
        <w:pStyle w:val="H2Paragraph"/>
      </w:pPr>
      <w:bookmarkStart w:id="70" w:name="_Hlt66509682"/>
      <w:bookmarkStart w:id="71" w:name="_Toc209771797"/>
      <w:bookmarkEnd w:id="70"/>
      <w:r>
        <w:t>Access to Confidential Health Information</w:t>
      </w:r>
      <w:bookmarkEnd w:id="71"/>
    </w:p>
    <w:p w14:paraId="2DE4FBCE" w14:textId="77777777" w:rsidR="00321AAC" w:rsidRDefault="00321AAC" w:rsidP="009C11B0">
      <w:pPr>
        <w:pStyle w:val="H3Text"/>
      </w:pPr>
      <w:r>
        <w:t xml:space="preserve">Generally, the Department must inform a requesting data subject if it maintains any confidential information relating to the data subject, and must subsequently make the confidential information available to the data subject.  As described in section II.C </w:t>
      </w:r>
      <w:r w:rsidRPr="005E2A70">
        <w:t>b</w:t>
      </w:r>
      <w:bookmarkStart w:id="72" w:name="_Hlt65564109"/>
      <w:r w:rsidRPr="005E2A70">
        <w:t>e</w:t>
      </w:r>
      <w:bookmarkEnd w:id="72"/>
      <w:r w:rsidRPr="005E2A70">
        <w:t>low</w:t>
      </w:r>
      <w:r>
        <w:t>, the right of access is restricted in limited situations.  Sample letters referenced in this procedure may be found on HealthNet (</w:t>
      </w:r>
      <w:hyperlink r:id="rId64" w:history="1">
        <w:r>
          <w:rPr>
            <w:rStyle w:val="Hyperlink"/>
            <w:sz w:val="20"/>
            <w:szCs w:val="20"/>
          </w:rPr>
          <w:t>http://healthnet.dph.state.ma.us/privsec/forms/forms.htm</w:t>
        </w:r>
      </w:hyperlink>
      <w:r>
        <w:t xml:space="preserve"> </w:t>
      </w:r>
      <w:r w:rsidRPr="00A1799B">
        <w:rPr>
          <w:sz w:val="20"/>
          <w:szCs w:val="20"/>
        </w:rPr>
        <w:t xml:space="preserve">- </w:t>
      </w:r>
      <w:r w:rsidRPr="00A1799B">
        <w:rPr>
          <w:i/>
          <w:sz w:val="20"/>
          <w:szCs w:val="20"/>
        </w:rPr>
        <w:t>Avail</w:t>
      </w:r>
      <w:r w:rsidRPr="00A1799B">
        <w:rPr>
          <w:rFonts w:cs="Arial"/>
          <w:i/>
          <w:sz w:val="20"/>
          <w:szCs w:val="20"/>
        </w:rPr>
        <w:t>able to MDPH Intranet users only</w:t>
      </w:r>
      <w:r w:rsidRPr="003324C0">
        <w:rPr>
          <w:rFonts w:cs="Arial"/>
          <w:szCs w:val="22"/>
        </w:rPr>
        <w:t>)</w:t>
      </w:r>
      <w:r>
        <w:t xml:space="preserve">  </w:t>
      </w:r>
    </w:p>
    <w:p w14:paraId="449CEC9F" w14:textId="77777777" w:rsidR="00321AAC" w:rsidRDefault="00321AAC" w:rsidP="009C11B0">
      <w:pPr>
        <w:pStyle w:val="H3SubParagraph"/>
      </w:pPr>
      <w:r>
        <w:t>Request in Writing</w:t>
      </w:r>
    </w:p>
    <w:p w14:paraId="532E60FC" w14:textId="77777777" w:rsidR="00321AAC" w:rsidRDefault="00321AAC" w:rsidP="009C11B0">
      <w:pPr>
        <w:pStyle w:val="H3Text"/>
      </w:pPr>
      <w:r>
        <w:t xml:space="preserve">A data subject’s request for access must be made in writing, preferably using the form </w:t>
      </w:r>
      <w:r>
        <w:rPr>
          <w:i/>
        </w:rPr>
        <w:t>Request for Access to Confidential Information</w:t>
      </w:r>
      <w:r>
        <w:t>.  The request must:</w:t>
      </w:r>
    </w:p>
    <w:p w14:paraId="354B797E" w14:textId="77777777" w:rsidR="00321AAC" w:rsidRPr="00693384" w:rsidRDefault="00321AAC">
      <w:pPr>
        <w:pStyle w:val="H3Text"/>
        <w:numPr>
          <w:ilvl w:val="0"/>
          <w:numId w:val="33"/>
        </w:numPr>
      </w:pPr>
      <w:r w:rsidRPr="00693384">
        <w:t>Provide sufficient information to identify the information sought;</w:t>
      </w:r>
    </w:p>
    <w:p w14:paraId="2B80975D" w14:textId="77777777" w:rsidR="00321AAC" w:rsidRPr="00693384" w:rsidRDefault="00321AAC">
      <w:pPr>
        <w:pStyle w:val="H3Text"/>
        <w:numPr>
          <w:ilvl w:val="0"/>
          <w:numId w:val="33"/>
        </w:numPr>
      </w:pPr>
      <w:r w:rsidRPr="00693384">
        <w:t>Specify whether the data subject wants either to inspect or receive a copy of his or her confidential information; and</w:t>
      </w:r>
    </w:p>
    <w:p w14:paraId="7F3B9449" w14:textId="77777777" w:rsidR="00321AAC" w:rsidRPr="00693384" w:rsidRDefault="00321AAC">
      <w:pPr>
        <w:pStyle w:val="H3Text"/>
        <w:numPr>
          <w:ilvl w:val="0"/>
          <w:numId w:val="33"/>
        </w:numPr>
      </w:pPr>
      <w:r w:rsidRPr="00693384">
        <w:t>The data subject’s contact information.</w:t>
      </w:r>
    </w:p>
    <w:p w14:paraId="2BB4BBFE" w14:textId="77777777" w:rsidR="00321AAC" w:rsidRDefault="00321AAC" w:rsidP="009C11B0">
      <w:pPr>
        <w:pStyle w:val="H3SubParagraph"/>
      </w:pPr>
      <w:r>
        <w:t>Granting Access</w:t>
      </w:r>
    </w:p>
    <w:p w14:paraId="4F9CC255" w14:textId="77777777" w:rsidR="00321AAC" w:rsidRDefault="00321AAC" w:rsidP="001529F5">
      <w:pPr>
        <w:pStyle w:val="H4SubNumberedParagraph"/>
      </w:pPr>
      <w:r>
        <w:t>Provide information to data subject</w:t>
      </w:r>
    </w:p>
    <w:p w14:paraId="4BD82686" w14:textId="77777777" w:rsidR="00321AAC" w:rsidRDefault="00321AAC" w:rsidP="009C11B0">
      <w:pPr>
        <w:pStyle w:val="H4Text"/>
      </w:pPr>
      <w:r>
        <w:t xml:space="preserve">Unless access is restricted as described in </w:t>
      </w:r>
      <w:hyperlink w:anchor="individual_grounds_denial" w:history="1">
        <w:r w:rsidRPr="005E2A70">
          <w:t>section II.2</w:t>
        </w:r>
      </w:hyperlink>
      <w:r>
        <w:t xml:space="preserve">, MDPH must provide the data subject with access to confidential information in: </w:t>
      </w:r>
    </w:p>
    <w:p w14:paraId="3E4AAEE2" w14:textId="77777777" w:rsidR="00321AAC" w:rsidRPr="00693384" w:rsidRDefault="00321AAC">
      <w:pPr>
        <w:pStyle w:val="H4Text"/>
        <w:numPr>
          <w:ilvl w:val="0"/>
          <w:numId w:val="52"/>
        </w:numPr>
      </w:pPr>
      <w:r w:rsidRPr="00693384">
        <w:t xml:space="preserve">The form or format requested if it can be produced in such form or format; </w:t>
      </w:r>
    </w:p>
    <w:p w14:paraId="5223E386" w14:textId="77777777" w:rsidR="00321AAC" w:rsidRPr="00693384" w:rsidRDefault="00321AAC">
      <w:pPr>
        <w:pStyle w:val="H4Text"/>
        <w:numPr>
          <w:ilvl w:val="0"/>
          <w:numId w:val="52"/>
        </w:numPr>
      </w:pPr>
      <w:r w:rsidRPr="00693384">
        <w:t>A readable hard copy or other form or format as mutually agreed to by MDPH and the data subject; or</w:t>
      </w:r>
    </w:p>
    <w:p w14:paraId="45DC7A33" w14:textId="77777777" w:rsidR="00321AAC" w:rsidRPr="00693384" w:rsidRDefault="00321AAC">
      <w:pPr>
        <w:pStyle w:val="H5Text"/>
        <w:numPr>
          <w:ilvl w:val="0"/>
          <w:numId w:val="34"/>
        </w:numPr>
      </w:pPr>
      <w:r w:rsidRPr="00693384">
        <w:t xml:space="preserve">A summary of the requested information instead of the actual information if the data subject agrees in advance to the summary and to any fees associated with the summary.  </w:t>
      </w:r>
    </w:p>
    <w:p w14:paraId="3648CD4C" w14:textId="77777777" w:rsidR="00321AAC" w:rsidRDefault="00321AAC" w:rsidP="001529F5">
      <w:pPr>
        <w:pStyle w:val="H4SubNumberedParagraph"/>
      </w:pPr>
      <w:r>
        <w:t>Explain request process to the data subject</w:t>
      </w:r>
    </w:p>
    <w:p w14:paraId="21F89D20" w14:textId="77777777" w:rsidR="00321AAC" w:rsidRDefault="00321AAC">
      <w:pPr>
        <w:pStyle w:val="H4Text"/>
        <w:numPr>
          <w:ilvl w:val="0"/>
          <w:numId w:val="51"/>
        </w:numPr>
      </w:pPr>
      <w:r>
        <w:t>The Bureau may discuss with the data subject the scope, format, time, and location for review, and other aspects of the request to facilitate access;</w:t>
      </w:r>
    </w:p>
    <w:p w14:paraId="59B09729" w14:textId="77777777" w:rsidR="00321AAC" w:rsidRDefault="00321AAC">
      <w:pPr>
        <w:pStyle w:val="H4Text"/>
        <w:numPr>
          <w:ilvl w:val="0"/>
          <w:numId w:val="51"/>
        </w:numPr>
      </w:pPr>
      <w:r>
        <w:t>Only one copy is required if the same information is maintained in more than one place;</w:t>
      </w:r>
    </w:p>
    <w:p w14:paraId="66A3E51F" w14:textId="77777777" w:rsidR="00321AAC" w:rsidRDefault="00321AAC">
      <w:pPr>
        <w:pStyle w:val="H4Text"/>
        <w:numPr>
          <w:ilvl w:val="0"/>
          <w:numId w:val="51"/>
        </w:numPr>
      </w:pPr>
      <w:r>
        <w:t xml:space="preserve">The identity of the data subject must be verified prior to granting access as described in </w:t>
      </w:r>
      <w:r w:rsidRPr="000B74A1">
        <w:t>Procedure # 9: Verification of Individuals or Entities Requesting Confidential Information</w:t>
      </w:r>
      <w:r>
        <w:t>;</w:t>
      </w:r>
    </w:p>
    <w:p w14:paraId="3899BF50" w14:textId="77777777" w:rsidR="00321AAC" w:rsidRDefault="00321AAC">
      <w:pPr>
        <w:pStyle w:val="H4Text"/>
        <w:numPr>
          <w:ilvl w:val="0"/>
          <w:numId w:val="51"/>
        </w:numPr>
      </w:pPr>
      <w:r>
        <w:t>When providing the data subject access to his or her confidential information, MDPH shall remove personal identifiers relating to third-parties, except where a third-party is an officer or employee of the government acting in an official role.</w:t>
      </w:r>
    </w:p>
    <w:p w14:paraId="7D4D2CDC" w14:textId="77777777" w:rsidR="00321AAC" w:rsidRDefault="00321AAC" w:rsidP="009C11B0">
      <w:pPr>
        <w:pStyle w:val="H3SubParagraph"/>
      </w:pPr>
      <w:r>
        <w:t>Denying Access</w:t>
      </w:r>
    </w:p>
    <w:p w14:paraId="14BEFB18" w14:textId="77777777" w:rsidR="00321AAC" w:rsidRDefault="00321AAC" w:rsidP="001529F5">
      <w:pPr>
        <w:pStyle w:val="H4SubNumberedParagraph"/>
      </w:pPr>
      <w:r>
        <w:t xml:space="preserve">Notice </w:t>
      </w:r>
    </w:p>
    <w:p w14:paraId="7DB39544" w14:textId="77777777" w:rsidR="00321AAC" w:rsidRDefault="00321AAC" w:rsidP="009C11B0">
      <w:pPr>
        <w:pStyle w:val="H4Text"/>
      </w:pPr>
      <w:r>
        <w:t xml:space="preserve">If access to confidential information is denied in whole or in part, MDPH will provide the data subject: </w:t>
      </w:r>
    </w:p>
    <w:p w14:paraId="6D7251D4" w14:textId="77777777" w:rsidR="00321AAC" w:rsidRDefault="00321AAC">
      <w:pPr>
        <w:pStyle w:val="H4Text"/>
        <w:numPr>
          <w:ilvl w:val="0"/>
          <w:numId w:val="50"/>
        </w:numPr>
      </w:pPr>
      <w:r>
        <w:t xml:space="preserve">Access to any other confidential information that is not subject to the exceptions to access listed </w:t>
      </w:r>
      <w:bookmarkStart w:id="73" w:name="_Hlt66509759"/>
      <w:bookmarkEnd w:id="73"/>
      <w:r>
        <w:t>below;</w:t>
      </w:r>
      <w:bookmarkStart w:id="74" w:name="_Hlt66508731"/>
      <w:bookmarkEnd w:id="74"/>
    </w:p>
    <w:p w14:paraId="55BA233B" w14:textId="77777777" w:rsidR="00321AAC" w:rsidRDefault="00321AAC">
      <w:pPr>
        <w:pStyle w:val="H4Text"/>
        <w:numPr>
          <w:ilvl w:val="0"/>
          <w:numId w:val="50"/>
        </w:numPr>
      </w:pPr>
      <w:r>
        <w:t>A timely written denial including the basis for the denial; and</w:t>
      </w:r>
    </w:p>
    <w:p w14:paraId="60E679F4" w14:textId="77777777" w:rsidR="00321AAC" w:rsidRDefault="00321AAC">
      <w:pPr>
        <w:pStyle w:val="H4Text"/>
        <w:numPr>
          <w:ilvl w:val="0"/>
          <w:numId w:val="50"/>
        </w:numPr>
      </w:pPr>
      <w:r>
        <w:t>A statement of the data subject's right for review of the denial as described below.</w:t>
      </w:r>
    </w:p>
    <w:p w14:paraId="04E17896" w14:textId="77777777" w:rsidR="00321AAC" w:rsidRDefault="00321AAC" w:rsidP="001529F5">
      <w:pPr>
        <w:pStyle w:val="H4SubNumberedParagraph"/>
      </w:pPr>
      <w:r>
        <w:t xml:space="preserve">Grounds for Denying Access </w:t>
      </w:r>
    </w:p>
    <w:p w14:paraId="58DBB808" w14:textId="77777777" w:rsidR="00321AAC" w:rsidRDefault="00321AAC" w:rsidP="009C11B0">
      <w:pPr>
        <w:pStyle w:val="H4Text"/>
      </w:pPr>
      <w:r>
        <w:t>A data subject shall be denied access to confidential information in the following circumstances:</w:t>
      </w:r>
    </w:p>
    <w:p w14:paraId="002FE4D3" w14:textId="77777777" w:rsidR="00321AAC" w:rsidRDefault="00321AAC" w:rsidP="009C11B0">
      <w:pPr>
        <w:pStyle w:val="H4Text"/>
      </w:pPr>
      <w:r>
        <w:t>(1)  Information compiled in reasonable anticipation of, or for use in, a civil, criminal, or administrative action or proceeding.  This information may be withheld until the holder completes its investigation and commences an administrative or judicial proceeding, or for one year from the commencement of the investigation, whichever is first.</w:t>
      </w:r>
    </w:p>
    <w:p w14:paraId="486A24EE" w14:textId="77777777" w:rsidR="00321AAC" w:rsidRDefault="00321AAC" w:rsidP="009C11B0">
      <w:pPr>
        <w:pStyle w:val="H4Text"/>
      </w:pPr>
      <w:r>
        <w:t>(2)  When access to confidential information is restricted by law, including but not limited to information subject to the Clinical Laboratory Improvements Amendments of 1988 (CLIA), and confidential statistical birth information.</w:t>
      </w:r>
    </w:p>
    <w:p w14:paraId="2B1793BB" w14:textId="77777777" w:rsidR="00321AAC" w:rsidRDefault="00321AAC" w:rsidP="009C11B0">
      <w:pPr>
        <w:pStyle w:val="H4Text"/>
      </w:pPr>
      <w:r>
        <w:t>(3)  Confidential information contained in psychotherapy notes.</w:t>
      </w:r>
    </w:p>
    <w:p w14:paraId="428B49EB" w14:textId="77777777" w:rsidR="00321AAC" w:rsidRDefault="00321AAC" w:rsidP="009C11B0">
      <w:pPr>
        <w:pStyle w:val="H4Text"/>
      </w:pPr>
      <w:r>
        <w:t xml:space="preserve">(4)  Confidential information created or obtained by MDPH in the course of research currently in progress, provided that: </w:t>
      </w:r>
    </w:p>
    <w:p w14:paraId="749FA62B" w14:textId="77777777" w:rsidR="00321AAC" w:rsidRDefault="00321AAC">
      <w:pPr>
        <w:pStyle w:val="H4Text"/>
        <w:numPr>
          <w:ilvl w:val="0"/>
          <w:numId w:val="49"/>
        </w:numPr>
      </w:pPr>
      <w:r>
        <w:t xml:space="preserve">The data subject agreed to the temporary denial of access when consenting to participate in the research that includes treatment; and </w:t>
      </w:r>
    </w:p>
    <w:p w14:paraId="2BB6ABBF" w14:textId="77777777" w:rsidR="00321AAC" w:rsidRDefault="00321AAC">
      <w:pPr>
        <w:pStyle w:val="H4Text"/>
        <w:numPr>
          <w:ilvl w:val="0"/>
          <w:numId w:val="49"/>
        </w:numPr>
      </w:pPr>
      <w:r>
        <w:t>MDPH informed the data subject that the right of access will be reinstated upon completion of research.</w:t>
      </w:r>
    </w:p>
    <w:p w14:paraId="19E77610" w14:textId="77777777" w:rsidR="00321AAC" w:rsidRDefault="00321AAC" w:rsidP="009C11B0">
      <w:pPr>
        <w:pStyle w:val="H4Text"/>
      </w:pPr>
      <w:r>
        <w:t>(5)  When a licensed health care professional determines in the exercise of professional judgment that the requested access is:</w:t>
      </w:r>
    </w:p>
    <w:p w14:paraId="5FA8F5B7" w14:textId="77777777" w:rsidR="00321AAC" w:rsidRDefault="00321AAC">
      <w:pPr>
        <w:pStyle w:val="H4Text"/>
        <w:numPr>
          <w:ilvl w:val="0"/>
          <w:numId w:val="48"/>
        </w:numPr>
      </w:pPr>
      <w:r>
        <w:t>Reasonably likely to endanger the life or physical safety of the data subject or another individual; or</w:t>
      </w:r>
    </w:p>
    <w:p w14:paraId="6FE74645" w14:textId="77777777" w:rsidR="00321AAC" w:rsidRDefault="00321AAC">
      <w:pPr>
        <w:pStyle w:val="H4Text"/>
        <w:numPr>
          <w:ilvl w:val="0"/>
          <w:numId w:val="48"/>
        </w:numPr>
      </w:pPr>
      <w:r>
        <w:t>Reasonably likely to cause substantial harm to the data subject or another individual.</w:t>
      </w:r>
    </w:p>
    <w:p w14:paraId="167FA846" w14:textId="77777777" w:rsidR="00321AAC" w:rsidRDefault="00321AAC" w:rsidP="001529F5">
      <w:pPr>
        <w:pStyle w:val="H4SubNumberedParagraph"/>
      </w:pPr>
      <w:r>
        <w:t xml:space="preserve">Right of Review  </w:t>
      </w:r>
    </w:p>
    <w:p w14:paraId="3A674BCA" w14:textId="77777777" w:rsidR="00321AAC" w:rsidRDefault="00321AAC" w:rsidP="009C11B0">
      <w:pPr>
        <w:pStyle w:val="H4Text"/>
      </w:pPr>
      <w:r>
        <w:t>The MDPH Privacy and Data Access Office will process a data subject's request for a review.  If the denial was based on any reason other than a restriction by statute, the request for review of the denial of access will be assigned to an MDPH manager who did not participate in the decision under review.</w:t>
      </w:r>
    </w:p>
    <w:p w14:paraId="27D34D5D" w14:textId="77777777" w:rsidR="00321AAC" w:rsidRDefault="00321AAC" w:rsidP="009C11B0">
      <w:pPr>
        <w:pStyle w:val="H2Paragraph"/>
      </w:pPr>
      <w:bookmarkStart w:id="75" w:name="_Hlt66509691"/>
      <w:bookmarkStart w:id="76" w:name="_Toc209771798"/>
      <w:bookmarkEnd w:id="75"/>
      <w:r>
        <w:t>Amendment of Confidential Information</w:t>
      </w:r>
      <w:bookmarkEnd w:id="76"/>
    </w:p>
    <w:p w14:paraId="704BBF79" w14:textId="77777777" w:rsidR="00321AAC" w:rsidRDefault="00321AAC" w:rsidP="009C11B0">
      <w:pPr>
        <w:pStyle w:val="H3Text"/>
      </w:pPr>
      <w:r>
        <w:t xml:space="preserve">A data subject has the right to request that MDPH amend his or her confidential information maintained by the Department if the data subject believes the information is incorrect or incomplete.  MDPH may deny a requested amendment for the reasons described in part II,A,3,b.  In addition, the right to request amendment of confidential information does not apply to the amendment of any personal data for which the process for amendment is established in statute or regulation.  For covered components, this also includes the right to amend confidential information held by a business associate. </w:t>
      </w:r>
    </w:p>
    <w:p w14:paraId="24FD8B3B" w14:textId="77777777" w:rsidR="00321AAC" w:rsidRDefault="00321AAC" w:rsidP="009C11B0">
      <w:pPr>
        <w:pStyle w:val="H3SubParagraph"/>
      </w:pPr>
      <w:r>
        <w:t xml:space="preserve">Request in Writing  </w:t>
      </w:r>
    </w:p>
    <w:p w14:paraId="2DD31D18" w14:textId="77777777" w:rsidR="00321AAC" w:rsidRDefault="00321AAC" w:rsidP="009C11B0">
      <w:pPr>
        <w:pStyle w:val="H3Text"/>
      </w:pPr>
      <w:r>
        <w:t xml:space="preserve">Requests must be made in writing, preferably using the form </w:t>
      </w:r>
      <w:r>
        <w:rPr>
          <w:i/>
        </w:rPr>
        <w:t>Request for Amendment of Confidential Information</w:t>
      </w:r>
      <w:r>
        <w:t xml:space="preserve">.  The request must include: </w:t>
      </w:r>
    </w:p>
    <w:p w14:paraId="170FE036" w14:textId="77777777" w:rsidR="00321AAC" w:rsidRDefault="00321AAC">
      <w:pPr>
        <w:pStyle w:val="H3Text"/>
        <w:numPr>
          <w:ilvl w:val="0"/>
          <w:numId w:val="36"/>
        </w:numPr>
      </w:pPr>
      <w:r>
        <w:t xml:space="preserve">Sufficient information to identify the requested amendment; </w:t>
      </w:r>
    </w:p>
    <w:p w14:paraId="57193DD3" w14:textId="77777777" w:rsidR="00321AAC" w:rsidRDefault="00321AAC">
      <w:pPr>
        <w:pStyle w:val="H3Text"/>
        <w:numPr>
          <w:ilvl w:val="0"/>
          <w:numId w:val="36"/>
        </w:numPr>
      </w:pPr>
      <w:r>
        <w:t xml:space="preserve">The reason(s) to support the amendment; </w:t>
      </w:r>
    </w:p>
    <w:p w14:paraId="7E65A90E" w14:textId="77777777" w:rsidR="00321AAC" w:rsidRDefault="00321AAC">
      <w:pPr>
        <w:pStyle w:val="H3Text"/>
        <w:numPr>
          <w:ilvl w:val="0"/>
          <w:numId w:val="36"/>
        </w:numPr>
      </w:pPr>
      <w:r>
        <w:t>Any individuals or entities identified by the data subject as having a need to know of the amendment; and</w:t>
      </w:r>
    </w:p>
    <w:p w14:paraId="1D138363" w14:textId="77777777" w:rsidR="00321AAC" w:rsidRDefault="00321AAC">
      <w:pPr>
        <w:pStyle w:val="H3Text"/>
        <w:numPr>
          <w:ilvl w:val="0"/>
          <w:numId w:val="36"/>
        </w:numPr>
      </w:pPr>
      <w:r>
        <w:t>The data subject’s contact information.</w:t>
      </w:r>
    </w:p>
    <w:p w14:paraId="10A425D7" w14:textId="77777777" w:rsidR="00321AAC" w:rsidRDefault="00321AAC" w:rsidP="009C11B0">
      <w:pPr>
        <w:pStyle w:val="H3SubParagraph"/>
      </w:pPr>
      <w:r>
        <w:t xml:space="preserve">Granting an Amendment  </w:t>
      </w:r>
    </w:p>
    <w:p w14:paraId="044C576A" w14:textId="77777777" w:rsidR="00321AAC" w:rsidRDefault="00321AAC" w:rsidP="00D71DAF">
      <w:pPr>
        <w:pStyle w:val="H4SubNumberedParagraph"/>
      </w:pPr>
      <w:r>
        <w:t>Document amendments</w:t>
      </w:r>
    </w:p>
    <w:p w14:paraId="7FC23AB8" w14:textId="77777777" w:rsidR="00321AAC" w:rsidRDefault="00321AAC" w:rsidP="009C11B0">
      <w:pPr>
        <w:pStyle w:val="H4Text"/>
      </w:pPr>
      <w:r>
        <w:t xml:space="preserve">If there is no disagreement about the requested amendment, a signed and dated notation will be made in the appropriate file.  The amendment form should be attached to the information that was amended.  Bureaus may develop alternative means of recording amendments to confidential information for both electronic and paper-based records.  </w:t>
      </w:r>
    </w:p>
    <w:p w14:paraId="5953B468" w14:textId="77777777" w:rsidR="00321AAC" w:rsidRDefault="00321AAC" w:rsidP="00D71DAF">
      <w:pPr>
        <w:pStyle w:val="H4SubNumberedParagraph"/>
      </w:pPr>
      <w:r>
        <w:t xml:space="preserve">Completed amendments distribution: </w:t>
      </w:r>
    </w:p>
    <w:p w14:paraId="7B3CD484" w14:textId="77777777" w:rsidR="00321AAC" w:rsidRDefault="00321AAC">
      <w:pPr>
        <w:pStyle w:val="H4Text"/>
        <w:numPr>
          <w:ilvl w:val="0"/>
          <w:numId w:val="37"/>
        </w:numPr>
      </w:pPr>
      <w:r>
        <w:t>The data subject, indicating that an amendment was made;</w:t>
      </w:r>
    </w:p>
    <w:p w14:paraId="67B1CAE1" w14:textId="77777777" w:rsidR="00321AAC" w:rsidRDefault="00321AAC">
      <w:pPr>
        <w:pStyle w:val="H4Text"/>
        <w:numPr>
          <w:ilvl w:val="0"/>
          <w:numId w:val="37"/>
        </w:numPr>
      </w:pPr>
      <w:r>
        <w:t>Individuals identified by the data subject as having a need to know; and</w:t>
      </w:r>
    </w:p>
    <w:p w14:paraId="2AC10E8E" w14:textId="77777777" w:rsidR="00321AAC" w:rsidRDefault="00321AAC">
      <w:pPr>
        <w:pStyle w:val="H4Text"/>
        <w:numPr>
          <w:ilvl w:val="0"/>
          <w:numId w:val="37"/>
        </w:numPr>
      </w:pPr>
      <w:r>
        <w:t xml:space="preserve">Any other individuals who reasonably can be identified as having received the confidential information, including business associates of covered components, that may have relied or may rely on the information to the detriment of the data subject.  </w:t>
      </w:r>
    </w:p>
    <w:p w14:paraId="4B5817E1" w14:textId="77777777" w:rsidR="00321AAC" w:rsidRDefault="00321AAC" w:rsidP="009C11B0">
      <w:pPr>
        <w:pStyle w:val="H3SubParagraph"/>
      </w:pPr>
      <w:r>
        <w:br w:type="page"/>
        <w:t xml:space="preserve">Denying the Amendment  </w:t>
      </w:r>
    </w:p>
    <w:p w14:paraId="0D98F8B8" w14:textId="77777777" w:rsidR="00321AAC" w:rsidRDefault="00321AAC" w:rsidP="00D71DAF">
      <w:pPr>
        <w:pStyle w:val="H4SubNumberedParagraph"/>
      </w:pPr>
      <w:r>
        <w:t xml:space="preserve">Notice  </w:t>
      </w:r>
    </w:p>
    <w:p w14:paraId="408A667D" w14:textId="77777777" w:rsidR="00321AAC" w:rsidRDefault="00321AAC" w:rsidP="009C11B0">
      <w:pPr>
        <w:pStyle w:val="H4Text"/>
      </w:pPr>
      <w:r>
        <w:t>MDPH may deny a requested amendment for the reasons described in part II,A,3,b.  If the amendment is denied, MDPH must provide the data subject with a timely written denial including:</w:t>
      </w:r>
    </w:p>
    <w:p w14:paraId="188A935E" w14:textId="77777777" w:rsidR="00321AAC" w:rsidRDefault="00321AAC">
      <w:pPr>
        <w:pStyle w:val="H4Text"/>
        <w:numPr>
          <w:ilvl w:val="0"/>
          <w:numId w:val="38"/>
        </w:numPr>
      </w:pPr>
      <w:r>
        <w:t>The basis for the denial;</w:t>
      </w:r>
    </w:p>
    <w:p w14:paraId="17443B57" w14:textId="77777777" w:rsidR="00321AAC" w:rsidRDefault="00321AAC">
      <w:pPr>
        <w:pStyle w:val="H4Text"/>
        <w:numPr>
          <w:ilvl w:val="0"/>
          <w:numId w:val="38"/>
        </w:numPr>
      </w:pPr>
      <w:r>
        <w:t>A statement that the request for amendment will be included in any subsequent disclosure of the disputed information;</w:t>
      </w:r>
    </w:p>
    <w:p w14:paraId="2FA5494E" w14:textId="77777777" w:rsidR="00321AAC" w:rsidRDefault="00321AAC">
      <w:pPr>
        <w:pStyle w:val="H4Text"/>
        <w:numPr>
          <w:ilvl w:val="0"/>
          <w:numId w:val="38"/>
        </w:numPr>
      </w:pPr>
      <w:r>
        <w:t>The data subject's right to submit a written statement disagreeing with the denial and a description of how a statement may be filed; and</w:t>
      </w:r>
    </w:p>
    <w:p w14:paraId="72FA00DC" w14:textId="77777777" w:rsidR="00321AAC" w:rsidRDefault="00321AAC">
      <w:pPr>
        <w:pStyle w:val="H4Text"/>
        <w:numPr>
          <w:ilvl w:val="0"/>
          <w:numId w:val="38"/>
        </w:numPr>
      </w:pPr>
      <w:r>
        <w:t>A statement that the data subject's disagreement, along with any MDPH rebuttal, will be included in any subsequent disclosure of the disputed information.  Any rebuttal will be provided to the data subject.</w:t>
      </w:r>
    </w:p>
    <w:p w14:paraId="7BFFFBB8" w14:textId="77777777" w:rsidR="00321AAC" w:rsidRDefault="00321AAC" w:rsidP="00D71DAF">
      <w:pPr>
        <w:pStyle w:val="H4SubNumberedParagraph"/>
      </w:pPr>
      <w:r>
        <w:t xml:space="preserve">Grounds for Denial  </w:t>
      </w:r>
    </w:p>
    <w:p w14:paraId="2668AF2B" w14:textId="77777777" w:rsidR="00321AAC" w:rsidRDefault="00321AAC" w:rsidP="009C11B0">
      <w:pPr>
        <w:pStyle w:val="H4Text"/>
      </w:pPr>
      <w:r>
        <w:t>Acceptable reasons for denying a requested amendment include:</w:t>
      </w:r>
    </w:p>
    <w:p w14:paraId="1914B8B3" w14:textId="77777777" w:rsidR="00321AAC" w:rsidRDefault="00321AAC">
      <w:pPr>
        <w:pStyle w:val="H4Text"/>
        <w:numPr>
          <w:ilvl w:val="0"/>
          <w:numId w:val="39"/>
        </w:numPr>
      </w:pPr>
      <w:r>
        <w:t>The information was not created by MDPH;</w:t>
      </w:r>
    </w:p>
    <w:p w14:paraId="4AFE67B8" w14:textId="77777777" w:rsidR="00321AAC" w:rsidRDefault="00321AAC">
      <w:pPr>
        <w:pStyle w:val="H4Text"/>
        <w:numPr>
          <w:ilvl w:val="0"/>
          <w:numId w:val="39"/>
        </w:numPr>
      </w:pPr>
      <w:r>
        <w:t>The information is subject to specific amendment procedures pursuant to statute or regulation;</w:t>
      </w:r>
    </w:p>
    <w:p w14:paraId="1CDDDCA1" w14:textId="77777777" w:rsidR="00321AAC" w:rsidRDefault="00321AAC">
      <w:pPr>
        <w:pStyle w:val="H4Text"/>
        <w:numPr>
          <w:ilvl w:val="0"/>
          <w:numId w:val="39"/>
        </w:numPr>
      </w:pPr>
      <w:r>
        <w:t>The information is not part of the data subject's record as maintained by MDPH;</w:t>
      </w:r>
    </w:p>
    <w:p w14:paraId="0665DDB7" w14:textId="77777777" w:rsidR="00321AAC" w:rsidRDefault="00321AAC">
      <w:pPr>
        <w:pStyle w:val="H4Text"/>
        <w:numPr>
          <w:ilvl w:val="0"/>
          <w:numId w:val="39"/>
        </w:numPr>
        <w:rPr>
          <w:u w:val="single"/>
        </w:rPr>
      </w:pPr>
      <w:r>
        <w:t>The information is not available for inspection pursuant to MDPH's policy regarding access; or</w:t>
      </w:r>
    </w:p>
    <w:p w14:paraId="0CF76510" w14:textId="77777777" w:rsidR="00321AAC" w:rsidRDefault="00321AAC">
      <w:pPr>
        <w:pStyle w:val="H4Text"/>
        <w:numPr>
          <w:ilvl w:val="0"/>
          <w:numId w:val="39"/>
        </w:numPr>
        <w:rPr>
          <w:u w:val="single"/>
        </w:rPr>
      </w:pPr>
      <w:r>
        <w:t>The information is accurate and complete.</w:t>
      </w:r>
    </w:p>
    <w:p w14:paraId="09ECD768" w14:textId="77777777" w:rsidR="00321AAC" w:rsidRDefault="00321AAC" w:rsidP="009C11B0">
      <w:pPr>
        <w:pStyle w:val="H3SubParagraph"/>
      </w:pPr>
      <w:r>
        <w:t>Amendment of Confidential Information by Non-MDPH Entities</w:t>
      </w:r>
    </w:p>
    <w:p w14:paraId="5E1053EC" w14:textId="77777777" w:rsidR="00321AAC" w:rsidRDefault="00321AAC" w:rsidP="009C11B0">
      <w:pPr>
        <w:pStyle w:val="H3Text"/>
      </w:pPr>
      <w:r>
        <w:t>A Bureau that is informed by another entity about an amendment to confidential information held by, but not created by the Bureau, shall amend the information by, at a minimum, identifying the affected records and appending or otherwise providing a link to the location of the amendment.</w:t>
      </w:r>
    </w:p>
    <w:p w14:paraId="337065D8" w14:textId="77777777" w:rsidR="00321AAC" w:rsidRDefault="00321AAC" w:rsidP="009C11B0">
      <w:pPr>
        <w:pStyle w:val="H2Paragraph"/>
      </w:pPr>
      <w:bookmarkStart w:id="77" w:name="_Toc209771799"/>
      <w:r>
        <w:t xml:space="preserve">Communications </w:t>
      </w:r>
      <w:bookmarkStart w:id="78" w:name="_Hlt66509719"/>
      <w:bookmarkEnd w:id="78"/>
      <w:r>
        <w:t>by Alternate Means</w:t>
      </w:r>
      <w:bookmarkEnd w:id="77"/>
    </w:p>
    <w:p w14:paraId="79FFD287" w14:textId="77777777" w:rsidR="00321AAC" w:rsidRDefault="00321AAC" w:rsidP="009C11B0">
      <w:pPr>
        <w:pStyle w:val="H3Text"/>
      </w:pPr>
      <w:r>
        <w:t xml:space="preserve">A data subject has the right to request that he or she receive correspondence from MDPH at an address, telephone number, or by means other than those associated with the subject’s home address. </w:t>
      </w:r>
    </w:p>
    <w:p w14:paraId="663C74AF" w14:textId="77777777" w:rsidR="00321AAC" w:rsidRDefault="00321AAC" w:rsidP="009C11B0">
      <w:pPr>
        <w:pStyle w:val="H3SubParagraph"/>
      </w:pPr>
      <w:r>
        <w:t xml:space="preserve">Request in Writing </w:t>
      </w:r>
    </w:p>
    <w:p w14:paraId="3855504A" w14:textId="77777777" w:rsidR="00321AAC" w:rsidRDefault="00321AAC" w:rsidP="009C11B0">
      <w:pPr>
        <w:pStyle w:val="H3Text"/>
      </w:pPr>
      <w:r>
        <w:t xml:space="preserve">The request must be made in writing, preferably using the </w:t>
      </w:r>
      <w:r>
        <w:rPr>
          <w:i/>
        </w:rPr>
        <w:t>form Request for Alternative Means of Communications</w:t>
      </w:r>
      <w:r>
        <w:t>.  While a Bureau shall not require an explanation, the data subject must identify:</w:t>
      </w:r>
    </w:p>
    <w:p w14:paraId="3BF6043E" w14:textId="77777777" w:rsidR="00321AAC" w:rsidRDefault="00321AAC">
      <w:pPr>
        <w:pStyle w:val="H3Text"/>
        <w:numPr>
          <w:ilvl w:val="0"/>
          <w:numId w:val="40"/>
        </w:numPr>
      </w:pPr>
      <w:r>
        <w:t xml:space="preserve">The specific communications for which the data subject is making the request; </w:t>
      </w:r>
    </w:p>
    <w:p w14:paraId="680DA4CC" w14:textId="77777777" w:rsidR="00321AAC" w:rsidRDefault="00321AAC">
      <w:pPr>
        <w:pStyle w:val="H3Text"/>
        <w:numPr>
          <w:ilvl w:val="0"/>
          <w:numId w:val="40"/>
        </w:numPr>
      </w:pPr>
      <w:r>
        <w:t>A clear alternative means of communication; and</w:t>
      </w:r>
    </w:p>
    <w:p w14:paraId="6E7823FD" w14:textId="77777777" w:rsidR="00321AAC" w:rsidRDefault="00321AAC">
      <w:pPr>
        <w:pStyle w:val="H3Text"/>
        <w:numPr>
          <w:ilvl w:val="0"/>
          <w:numId w:val="40"/>
        </w:numPr>
      </w:pPr>
      <w:r>
        <w:t>The data subject’s contact information.</w:t>
      </w:r>
    </w:p>
    <w:p w14:paraId="120980BF" w14:textId="77777777" w:rsidR="00321AAC" w:rsidRDefault="00321AAC" w:rsidP="009C11B0">
      <w:pPr>
        <w:pStyle w:val="H3SubParagraph"/>
      </w:pPr>
      <w:r>
        <w:br w:type="page"/>
        <w:t>Granting or Denying the Request</w:t>
      </w:r>
    </w:p>
    <w:p w14:paraId="119CDF27" w14:textId="77777777" w:rsidR="00321AAC" w:rsidRDefault="00321AAC">
      <w:pPr>
        <w:pStyle w:val="H3Text"/>
        <w:numPr>
          <w:ilvl w:val="0"/>
          <w:numId w:val="41"/>
        </w:numPr>
      </w:pPr>
      <w:r>
        <w:t xml:space="preserve">MDPH is not required to agree to communicate by the requested means; all reasonable requests, however, should be granted.  In making this determination, Bureaus may consider, for example, the expense and administrative burden involved with compliance and whether the alternative means is sufficiently effective in communicating with the data subject. </w:t>
      </w:r>
    </w:p>
    <w:p w14:paraId="4A29A4BF" w14:textId="77777777" w:rsidR="00321AAC" w:rsidRDefault="00321AAC">
      <w:pPr>
        <w:pStyle w:val="H3Text"/>
        <w:numPr>
          <w:ilvl w:val="0"/>
          <w:numId w:val="41"/>
        </w:numPr>
      </w:pPr>
      <w:r>
        <w:t xml:space="preserve">If the request is granted, the Bureau will notify the data subject that the alternate address and/or telephone number will be used for the specified communications between MDPH and the data subject.  The alternate address and/or telephone number will remain in place until changed by the data subject.  </w:t>
      </w:r>
    </w:p>
    <w:p w14:paraId="3AA21B76" w14:textId="77777777" w:rsidR="00321AAC" w:rsidRDefault="00321AAC">
      <w:pPr>
        <w:pStyle w:val="H3Text"/>
        <w:numPr>
          <w:ilvl w:val="0"/>
          <w:numId w:val="41"/>
        </w:numPr>
      </w:pPr>
      <w:r>
        <w:t xml:space="preserve">The Bureau granting the request must clearly identify the alternative means of communication on the individual's record(s), whether it is paper or electronic.  </w:t>
      </w:r>
    </w:p>
    <w:p w14:paraId="7804632B" w14:textId="77777777" w:rsidR="00321AAC" w:rsidRDefault="00321AAC">
      <w:pPr>
        <w:pStyle w:val="H3Text"/>
        <w:numPr>
          <w:ilvl w:val="0"/>
          <w:numId w:val="41"/>
        </w:numPr>
      </w:pPr>
      <w:r>
        <w:t>The Bureau must also provide notice of the data subject's alternate means of communication to the billing department and/or any other departments, providers, and business associates as applicable, who may be sending communications on behalf of the Bureau.</w:t>
      </w:r>
    </w:p>
    <w:p w14:paraId="5B5D58A3" w14:textId="77777777" w:rsidR="00321AAC" w:rsidRDefault="00321AAC">
      <w:pPr>
        <w:pStyle w:val="H3Text"/>
        <w:numPr>
          <w:ilvl w:val="0"/>
          <w:numId w:val="41"/>
        </w:numPr>
      </w:pPr>
      <w:r>
        <w:t>If the request is denied, the Bureau making the determination should send the denial to the requested alternative means of communication.  The data subject should be informed that all future communications will be directed to the previously listed means of communication.</w:t>
      </w:r>
    </w:p>
    <w:p w14:paraId="271E5456" w14:textId="77777777" w:rsidR="00321AAC" w:rsidRDefault="00321AAC" w:rsidP="009C11B0">
      <w:pPr>
        <w:pStyle w:val="H2Paragraph"/>
        <w:ind w:left="1440" w:hanging="1440"/>
      </w:pPr>
      <w:bookmarkStart w:id="79" w:name="_Hlt66509739"/>
      <w:bookmarkStart w:id="80" w:name="_Toc209771800"/>
      <w:bookmarkEnd w:id="79"/>
      <w:r>
        <w:t>Restrictions on the Use and Disclosure of Confidential Information</w:t>
      </w:r>
      <w:bookmarkEnd w:id="80"/>
    </w:p>
    <w:p w14:paraId="51962907" w14:textId="77777777" w:rsidR="00321AAC" w:rsidRDefault="00321AAC" w:rsidP="009C11B0">
      <w:pPr>
        <w:pStyle w:val="H3Text"/>
      </w:pPr>
      <w:r>
        <w:t xml:space="preserve">A data subject has the right to request restrictions on the use and disclosure of his or her confidential information.  Such a restriction, however, does </w:t>
      </w:r>
      <w:r>
        <w:rPr>
          <w:u w:val="single"/>
        </w:rPr>
        <w:t>not</w:t>
      </w:r>
      <w:r>
        <w:t xml:space="preserve"> restrict the following uses or disclosures:</w:t>
      </w:r>
    </w:p>
    <w:p w14:paraId="08B0DDD1" w14:textId="77777777" w:rsidR="00321AAC" w:rsidRDefault="00321AAC">
      <w:pPr>
        <w:pStyle w:val="H3Text"/>
        <w:numPr>
          <w:ilvl w:val="0"/>
          <w:numId w:val="42"/>
        </w:numPr>
      </w:pPr>
      <w:r>
        <w:t>To the data subject;</w:t>
      </w:r>
    </w:p>
    <w:p w14:paraId="043A6077" w14:textId="77777777" w:rsidR="00321AAC" w:rsidRDefault="00321AAC">
      <w:pPr>
        <w:pStyle w:val="H3Text"/>
        <w:numPr>
          <w:ilvl w:val="0"/>
          <w:numId w:val="42"/>
        </w:numPr>
      </w:pPr>
      <w:r>
        <w:t xml:space="preserve">To those otherwise permitted or required by law; </w:t>
      </w:r>
    </w:p>
    <w:p w14:paraId="4E9357EC" w14:textId="77777777" w:rsidR="00321AAC" w:rsidRDefault="00321AAC">
      <w:pPr>
        <w:pStyle w:val="H3Text"/>
        <w:numPr>
          <w:ilvl w:val="0"/>
          <w:numId w:val="42"/>
        </w:numPr>
      </w:pPr>
      <w:r>
        <w:t xml:space="preserve">For public health activities; and </w:t>
      </w:r>
    </w:p>
    <w:p w14:paraId="05A0D666" w14:textId="77777777" w:rsidR="00321AAC" w:rsidRDefault="00321AAC">
      <w:pPr>
        <w:pStyle w:val="H3Text"/>
        <w:numPr>
          <w:ilvl w:val="0"/>
          <w:numId w:val="42"/>
        </w:numPr>
      </w:pPr>
      <w:r>
        <w:t>For health oversight activities.</w:t>
      </w:r>
    </w:p>
    <w:p w14:paraId="064DBC7B" w14:textId="77777777" w:rsidR="00321AAC" w:rsidRDefault="00321AAC" w:rsidP="009C11B0">
      <w:pPr>
        <w:pStyle w:val="H3SubParagraph"/>
      </w:pPr>
      <w:r>
        <w:t>Request in Writing</w:t>
      </w:r>
    </w:p>
    <w:p w14:paraId="6F4481B7" w14:textId="77777777" w:rsidR="00321AAC" w:rsidRDefault="00321AAC" w:rsidP="009C11B0">
      <w:pPr>
        <w:pStyle w:val="H3Text"/>
      </w:pPr>
      <w:r>
        <w:t xml:space="preserve">All requests must be made in writing, preferably using the form </w:t>
      </w:r>
      <w:r>
        <w:rPr>
          <w:i/>
        </w:rPr>
        <w:t>Request for Restrictions on Use and Disclosures of Confidential Information</w:t>
      </w:r>
      <w:r>
        <w:t xml:space="preserve">. The request must identify: </w:t>
      </w:r>
    </w:p>
    <w:p w14:paraId="32312AD0" w14:textId="77777777" w:rsidR="00321AAC" w:rsidRDefault="00321AAC">
      <w:pPr>
        <w:pStyle w:val="H3Text"/>
        <w:numPr>
          <w:ilvl w:val="0"/>
          <w:numId w:val="43"/>
        </w:numPr>
      </w:pPr>
      <w:r>
        <w:t>The data subject and the specific confidential information to be restricted;</w:t>
      </w:r>
    </w:p>
    <w:p w14:paraId="2344459B" w14:textId="77777777" w:rsidR="00321AAC" w:rsidRDefault="00321AAC">
      <w:pPr>
        <w:pStyle w:val="H3Text"/>
        <w:numPr>
          <w:ilvl w:val="0"/>
          <w:numId w:val="43"/>
        </w:numPr>
      </w:pPr>
      <w:r>
        <w:t>To whom the restriction applies; and</w:t>
      </w:r>
    </w:p>
    <w:p w14:paraId="0D2F0F32" w14:textId="77777777" w:rsidR="00321AAC" w:rsidRDefault="00321AAC">
      <w:pPr>
        <w:pStyle w:val="H3Text"/>
        <w:numPr>
          <w:ilvl w:val="0"/>
          <w:numId w:val="43"/>
        </w:numPr>
      </w:pPr>
      <w:r>
        <w:t>The data subject’s contact information.</w:t>
      </w:r>
    </w:p>
    <w:p w14:paraId="6166BA5E" w14:textId="77777777" w:rsidR="00321AAC" w:rsidRDefault="00321AAC" w:rsidP="009C11B0">
      <w:pPr>
        <w:pStyle w:val="H3SubParagraph"/>
      </w:pPr>
      <w:r>
        <w:t xml:space="preserve">Granting or Denying the Request  </w:t>
      </w:r>
    </w:p>
    <w:p w14:paraId="3D0893BF" w14:textId="77777777" w:rsidR="00321AAC" w:rsidRDefault="00321AAC" w:rsidP="009C11B0">
      <w:pPr>
        <w:pStyle w:val="H3Text"/>
      </w:pPr>
      <w:r>
        <w:t>MDPH is not required to agree to a restriction. Bureaus should consider whether the request is reasonable.  In making this determination, Centers may consider, for example, the expense and administrative burden involved with compliance.  If the Bureau does not agree to the request for restriction, the data subject shall be notified in writing.  If the Bureau agrees to the request for a restriction, it agrees to the following:</w:t>
      </w:r>
    </w:p>
    <w:p w14:paraId="0D18D9EF" w14:textId="77777777" w:rsidR="00321AAC" w:rsidRDefault="00321AAC">
      <w:pPr>
        <w:pStyle w:val="H3Text"/>
        <w:numPr>
          <w:ilvl w:val="0"/>
          <w:numId w:val="44"/>
        </w:numPr>
      </w:pPr>
      <w:r>
        <w:t>MDPH may not use or disclose confidential information in violation of the restriction, except to a health care provider when the individual who requested the restriction is in need of emergency treatment and the restricted confidential information is needed to provide the emergency treatment.</w:t>
      </w:r>
    </w:p>
    <w:p w14:paraId="0D6D6D9C" w14:textId="77777777" w:rsidR="00321AAC" w:rsidRDefault="00321AAC">
      <w:pPr>
        <w:pStyle w:val="H3Text"/>
        <w:numPr>
          <w:ilvl w:val="0"/>
          <w:numId w:val="44"/>
        </w:numPr>
      </w:pPr>
      <w:r>
        <w:t>If restricted confidential information is disclosed to a health care provider for emergency treatment, MDPH must request that such health care provider not further use or disclose the information.</w:t>
      </w:r>
    </w:p>
    <w:p w14:paraId="3A12AD99" w14:textId="77777777" w:rsidR="00321AAC" w:rsidRDefault="00321AAC">
      <w:pPr>
        <w:pStyle w:val="H3Text"/>
        <w:numPr>
          <w:ilvl w:val="0"/>
          <w:numId w:val="44"/>
        </w:numPr>
      </w:pPr>
      <w:r>
        <w:t>The subject of the confidential information must be given notice of such access upon termination of the emergency.</w:t>
      </w:r>
    </w:p>
    <w:p w14:paraId="799A9BB3" w14:textId="77777777" w:rsidR="00321AAC" w:rsidRDefault="00321AAC" w:rsidP="009C11B0">
      <w:pPr>
        <w:pStyle w:val="H3SubParagraph"/>
      </w:pPr>
      <w:r>
        <w:t xml:space="preserve">Terminating a Restriction  </w:t>
      </w:r>
    </w:p>
    <w:p w14:paraId="3B54090E" w14:textId="77777777" w:rsidR="00321AAC" w:rsidRDefault="00321AAC" w:rsidP="009C11B0">
      <w:pPr>
        <w:pStyle w:val="H3Text"/>
      </w:pPr>
      <w:r>
        <w:t>A restriction on the use and disclosure of confidential information may be terminated if:</w:t>
      </w:r>
    </w:p>
    <w:p w14:paraId="21EC2EA3" w14:textId="77777777" w:rsidR="00321AAC" w:rsidRDefault="00321AAC">
      <w:pPr>
        <w:pStyle w:val="H3Text"/>
        <w:numPr>
          <w:ilvl w:val="0"/>
          <w:numId w:val="45"/>
        </w:numPr>
      </w:pPr>
      <w:r>
        <w:t>The data subject agrees to or requests the termination in writing;</w:t>
      </w:r>
    </w:p>
    <w:p w14:paraId="7CC5E0CD" w14:textId="77777777" w:rsidR="00321AAC" w:rsidRDefault="00321AAC">
      <w:pPr>
        <w:pStyle w:val="H3Text"/>
        <w:numPr>
          <w:ilvl w:val="0"/>
          <w:numId w:val="45"/>
        </w:numPr>
      </w:pPr>
      <w:r>
        <w:t>The data subject orally agrees to the termination and it is documented; or</w:t>
      </w:r>
    </w:p>
    <w:p w14:paraId="4E4E2483" w14:textId="77777777" w:rsidR="00321AAC" w:rsidRDefault="00321AAC">
      <w:pPr>
        <w:pStyle w:val="H3Text"/>
        <w:numPr>
          <w:ilvl w:val="0"/>
          <w:numId w:val="45"/>
        </w:numPr>
      </w:pPr>
      <w:r>
        <w:t>MDPH informs the data subject that it is terminating its agreement to a restriction and the termination is effective with respect to protected health information created or received after the individual is informed.</w:t>
      </w:r>
    </w:p>
    <w:p w14:paraId="26DBA22A" w14:textId="77777777" w:rsidR="00321AAC" w:rsidRDefault="00321AAC" w:rsidP="009C11B0">
      <w:pPr>
        <w:pStyle w:val="H2Paragraph"/>
      </w:pPr>
      <w:bookmarkStart w:id="81" w:name="_Toc209771801"/>
      <w:r>
        <w:t>Bureau Requirements:  Administration and Documentation</w:t>
      </w:r>
      <w:bookmarkEnd w:id="81"/>
      <w:r>
        <w:t xml:space="preserve"> </w:t>
      </w:r>
    </w:p>
    <w:p w14:paraId="52E8E04D" w14:textId="77777777" w:rsidR="00321AAC" w:rsidRDefault="00321AAC" w:rsidP="009C11B0">
      <w:pPr>
        <w:pStyle w:val="H3SubParagraph"/>
      </w:pPr>
      <w:bookmarkStart w:id="82" w:name="_Hlt66509671"/>
      <w:bookmarkEnd w:id="82"/>
      <w:r>
        <w:t>Designations and Procedures</w:t>
      </w:r>
    </w:p>
    <w:p w14:paraId="4AF1C8E8" w14:textId="77777777" w:rsidR="00321AAC" w:rsidRDefault="00321AAC" w:rsidP="009C11B0">
      <w:pPr>
        <w:pStyle w:val="H3Text"/>
      </w:pPr>
      <w:r>
        <w:t xml:space="preserve">Each Bureau must designate an individual(s) responsible for receiving and processing requests related to data subjects’ individual rights.  Bureaus must also develop internal procedures to comply with the requirements of this procedure. </w:t>
      </w:r>
    </w:p>
    <w:p w14:paraId="38B54B71" w14:textId="77777777" w:rsidR="00321AAC" w:rsidRDefault="00321AAC" w:rsidP="009C11B0">
      <w:pPr>
        <w:pStyle w:val="H3SubParagraph"/>
      </w:pPr>
      <w:r>
        <w:t>Submission and Coordination of Requests</w:t>
      </w:r>
    </w:p>
    <w:p w14:paraId="1E1BFBC1" w14:textId="77777777" w:rsidR="00321AAC" w:rsidRDefault="00321AAC">
      <w:pPr>
        <w:pStyle w:val="H3Text"/>
        <w:numPr>
          <w:ilvl w:val="0"/>
          <w:numId w:val="46"/>
        </w:numPr>
      </w:pPr>
      <w:r>
        <w:t>All individual rights requests must be made to the Bureau maintaining the data subject's confidential information. All Bureaus must keep a log of all requests for individual rights made under this procedure.</w:t>
      </w:r>
    </w:p>
    <w:p w14:paraId="3295DC74" w14:textId="77777777" w:rsidR="00321AAC" w:rsidRDefault="00321AAC">
      <w:pPr>
        <w:pStyle w:val="H3Text"/>
        <w:numPr>
          <w:ilvl w:val="0"/>
          <w:numId w:val="46"/>
        </w:numPr>
      </w:pPr>
      <w:r>
        <w:t>All responses to requests should be made on the back of a copy of the original request, or on a page attached to a copy of the request.</w:t>
      </w:r>
    </w:p>
    <w:p w14:paraId="3A37109A" w14:textId="77777777" w:rsidR="00321AAC" w:rsidRDefault="00321AAC">
      <w:pPr>
        <w:pStyle w:val="H3Text"/>
        <w:numPr>
          <w:ilvl w:val="0"/>
          <w:numId w:val="46"/>
        </w:numPr>
      </w:pPr>
      <w:r>
        <w:t>All original request forms and responses will remain a part of the data subject's record and shall be maintained as long as the underlying record is required to be maintained by the Commonwealth’s record retention policies, or for six years, whichever is longer.</w:t>
      </w:r>
    </w:p>
    <w:p w14:paraId="6D84C234" w14:textId="77777777" w:rsidR="00321AAC" w:rsidRDefault="00321AAC">
      <w:pPr>
        <w:pStyle w:val="H3Text"/>
        <w:numPr>
          <w:ilvl w:val="0"/>
          <w:numId w:val="46"/>
        </w:numPr>
      </w:pPr>
      <w:r>
        <w:t xml:space="preserve">If the request involves confidential information maintained by more than one Bureau or by a covered and non-covered component of the same Bureau, the Bureau that received the request should forward a copy of the request to the Privacy and Data Access Office, which will coordinate the processing of the request. </w:t>
      </w:r>
    </w:p>
    <w:p w14:paraId="191B3210" w14:textId="77777777" w:rsidR="00321AAC" w:rsidRDefault="00321AAC" w:rsidP="009C11B0">
      <w:pPr>
        <w:pStyle w:val="H3SubParagraph"/>
      </w:pPr>
      <w:r>
        <w:t>Email or Telephone Requests by Data Subjects</w:t>
      </w:r>
    </w:p>
    <w:p w14:paraId="435C5C50" w14:textId="77777777" w:rsidR="00321AAC" w:rsidRDefault="00321AAC" w:rsidP="009C11B0">
      <w:pPr>
        <w:pStyle w:val="H3Text"/>
      </w:pPr>
      <w:r>
        <w:t>Data subjects making a request by telephone or e-mail to exercise their individual rights should be sent a copy of the applicable form.</w:t>
      </w:r>
    </w:p>
    <w:p w14:paraId="494E545C" w14:textId="77777777" w:rsidR="00321AAC" w:rsidRDefault="00321AAC" w:rsidP="009C11B0">
      <w:pPr>
        <w:pStyle w:val="H3SubParagraph"/>
      </w:pPr>
      <w:r>
        <w:t xml:space="preserve">Timely Review </w:t>
      </w:r>
    </w:p>
    <w:p w14:paraId="5D072B75" w14:textId="77777777" w:rsidR="00321AAC" w:rsidRDefault="00321AAC" w:rsidP="009C11B0">
      <w:pPr>
        <w:pStyle w:val="H3Text"/>
      </w:pPr>
      <w:r>
        <w:t>Bureaus shall respond to all requests within thirty days of receipt of the written request.  For request for access to information that is not maintained or accessible on-site, the response shall be no later than sixty days. One thirty-day extension is allowed provided that the data subject is notified of 1) the reason for the delay and 2) the date the Department will comply with the request.</w:t>
      </w:r>
    </w:p>
    <w:p w14:paraId="771AFFC4" w14:textId="77777777" w:rsidR="00321AAC" w:rsidRDefault="00321AAC" w:rsidP="009C11B0">
      <w:pPr>
        <w:pStyle w:val="H3SubParagraph"/>
      </w:pPr>
      <w:r>
        <w:t xml:space="preserve">Fees </w:t>
      </w:r>
    </w:p>
    <w:p w14:paraId="61D3015B" w14:textId="77777777" w:rsidR="00321AAC" w:rsidRDefault="00321AAC" w:rsidP="009C11B0">
      <w:pPr>
        <w:pStyle w:val="H3Text"/>
      </w:pPr>
      <w:r>
        <w:t>Bureaus may charge data subjects for the cost of postage, $0.20 a page for photocopies, and the actual cost incurred for the duplication costs associated with non-paper records, e.g., CDs. If a summary of the confidential information was agreed to by the data subject, the agreed-upon cost of the summary should be charged.    MDPH Hospitals shall follow established hospital fee schedules..</w:t>
      </w:r>
    </w:p>
    <w:p w14:paraId="76E7E356" w14:textId="77777777" w:rsidR="00321AAC" w:rsidRDefault="00321AAC" w:rsidP="009C11B0">
      <w:pPr>
        <w:pStyle w:val="H3SubParagraph"/>
      </w:pPr>
      <w:r>
        <w:t xml:space="preserve">Covered and Non-Covered Component Response Forms </w:t>
      </w:r>
    </w:p>
    <w:p w14:paraId="39094DEF" w14:textId="77777777" w:rsidR="00321AAC" w:rsidRDefault="00321AAC" w:rsidP="009C11B0">
      <w:pPr>
        <w:pStyle w:val="H3Text"/>
      </w:pPr>
      <w:r>
        <w:t>All forms are specific to covered and non-covered components:</w:t>
      </w:r>
    </w:p>
    <w:p w14:paraId="34FF8EAF" w14:textId="77777777" w:rsidR="00321AAC" w:rsidRDefault="00321AAC">
      <w:pPr>
        <w:pStyle w:val="H3Text"/>
        <w:numPr>
          <w:ilvl w:val="0"/>
          <w:numId w:val="47"/>
        </w:numPr>
      </w:pPr>
      <w:r>
        <w:t>Covered Components (labeled with the prefix CC): reflects the ability of data subjects to file complaints with MDPH's Privacy and Data Access Office or to the Secretary of Health and Human Services.</w:t>
      </w:r>
    </w:p>
    <w:p w14:paraId="4B11A6A4" w14:textId="77777777" w:rsidR="00321AAC" w:rsidRDefault="00321AAC">
      <w:pPr>
        <w:pStyle w:val="H3Text"/>
        <w:numPr>
          <w:ilvl w:val="0"/>
          <w:numId w:val="47"/>
        </w:numPr>
      </w:pPr>
      <w:r>
        <w:t>Non-Covered Components (labeled with the prefix NCC):  reflects that data subjects may file a complaint only with MDPH's Privacy and Data Access Office.</w:t>
      </w:r>
    </w:p>
    <w:p w14:paraId="7F32BDF6" w14:textId="77777777" w:rsidR="00321AAC" w:rsidRDefault="00321AAC" w:rsidP="009C11B0">
      <w:pPr>
        <w:pStyle w:val="H3SubParagraph"/>
      </w:pPr>
      <w:r>
        <w:t>Documentation</w:t>
      </w:r>
    </w:p>
    <w:p w14:paraId="58AE8525" w14:textId="77777777" w:rsidR="00321AAC" w:rsidRPr="000C064E" w:rsidRDefault="00321AAC" w:rsidP="009C11B0">
      <w:pPr>
        <w:pStyle w:val="H3Text"/>
      </w:pPr>
      <w:r>
        <w:t>Bureaus must document the designations and procedures required under this procedure.  This documentation must be maintained for a minimum of six years or as required by the Massachusetts Records Conservation Board.</w:t>
      </w:r>
      <w:r>
        <w:rPr>
          <w:rStyle w:val="FootnoteReference"/>
        </w:rPr>
        <w:footnoteReference w:id="23"/>
      </w:r>
      <w:r>
        <w:t xml:space="preserve"> </w:t>
      </w:r>
    </w:p>
    <w:p w14:paraId="3A36C32B" w14:textId="77777777" w:rsidR="00321AAC" w:rsidRPr="000C064E" w:rsidRDefault="00321AAC" w:rsidP="009C11B0"/>
    <w:p w14:paraId="61EA2395" w14:textId="77777777" w:rsidR="00321AAC" w:rsidRPr="000C064E" w:rsidRDefault="00321AAC" w:rsidP="009C11B0"/>
    <w:p w14:paraId="6E63F899" w14:textId="77777777" w:rsidR="00321AAC" w:rsidRPr="006358DC" w:rsidRDefault="00321AAC" w:rsidP="009C11B0"/>
    <w:p w14:paraId="0C44EDE3" w14:textId="77777777" w:rsidR="00321AAC" w:rsidRPr="00022A2C" w:rsidRDefault="00321AAC" w:rsidP="009C11B0">
      <w:pPr>
        <w:rPr>
          <w:rFonts w:cs="Arial"/>
          <w:u w:val="single"/>
        </w:rPr>
      </w:pPr>
      <w:r w:rsidRPr="00022A2C">
        <w:rPr>
          <w:rFonts w:cs="Arial"/>
          <w:u w:val="single"/>
        </w:rPr>
        <w:t>Authority:</w:t>
      </w:r>
    </w:p>
    <w:p w14:paraId="4B66CAF2" w14:textId="77777777" w:rsidR="00321AAC" w:rsidRDefault="00321AAC" w:rsidP="009C11B0">
      <w:pPr>
        <w:pStyle w:val="H3Text"/>
      </w:pPr>
      <w:r>
        <w:t xml:space="preserve">M.G.L. c. </w:t>
      </w:r>
      <w:r w:rsidRPr="006A1064">
        <w:t>M.G.L. c.66A, §§ 2(i) and (j);</w:t>
      </w:r>
    </w:p>
    <w:p w14:paraId="41848992" w14:textId="77777777" w:rsidR="00321AAC" w:rsidRDefault="00321AAC" w:rsidP="009C11B0">
      <w:pPr>
        <w:pStyle w:val="H3Text"/>
      </w:pPr>
      <w:r w:rsidRPr="006A1064">
        <w:t>45 C.F.R. §§ 164.522, 164.524, and 164.526.</w:t>
      </w:r>
    </w:p>
    <w:p w14:paraId="149E6FD9" w14:textId="77777777" w:rsidR="00321AAC" w:rsidRDefault="00321AAC" w:rsidP="009C11B0">
      <w:pPr>
        <w:rPr>
          <w:rFonts w:cs="Arial"/>
          <w:sz w:val="22"/>
          <w:szCs w:val="22"/>
        </w:rPr>
      </w:pPr>
    </w:p>
    <w:p w14:paraId="1D358817" w14:textId="77777777" w:rsidR="00321AAC" w:rsidRPr="00D71DAF" w:rsidRDefault="00321AAC" w:rsidP="009C11B0">
      <w:pPr>
        <w:tabs>
          <w:tab w:val="left" w:pos="2400"/>
        </w:tabs>
        <w:rPr>
          <w:rFonts w:cs="Arial"/>
          <w:sz w:val="22"/>
          <w:szCs w:val="22"/>
        </w:rPr>
      </w:pPr>
      <w:r w:rsidRPr="00D71DAF">
        <w:rPr>
          <w:rFonts w:cs="Arial"/>
          <w:sz w:val="22"/>
          <w:szCs w:val="22"/>
        </w:rPr>
        <w:t>Recommended forms:</w:t>
      </w:r>
      <w:r w:rsidRPr="00D71DAF">
        <w:rPr>
          <w:rFonts w:cs="Arial"/>
          <w:sz w:val="22"/>
          <w:szCs w:val="22"/>
        </w:rPr>
        <w:tab/>
      </w:r>
    </w:p>
    <w:p w14:paraId="29B28CEF" w14:textId="77777777" w:rsidR="00321AAC" w:rsidRPr="00D71DAF" w:rsidRDefault="00321AAC" w:rsidP="009C11B0">
      <w:pPr>
        <w:tabs>
          <w:tab w:val="left" w:pos="2400"/>
        </w:tabs>
        <w:ind w:left="1440"/>
        <w:rPr>
          <w:sz w:val="22"/>
          <w:szCs w:val="22"/>
        </w:rPr>
      </w:pPr>
      <w:r w:rsidRPr="00D71DAF">
        <w:rPr>
          <w:sz w:val="22"/>
          <w:szCs w:val="22"/>
        </w:rPr>
        <w:t>Request for Access to Confidential Information</w:t>
      </w:r>
    </w:p>
    <w:p w14:paraId="41D5779A" w14:textId="77777777" w:rsidR="00321AAC" w:rsidRPr="00D71DAF" w:rsidRDefault="00321AAC" w:rsidP="009C11B0">
      <w:pPr>
        <w:tabs>
          <w:tab w:val="left" w:pos="2400"/>
        </w:tabs>
        <w:ind w:left="1440"/>
        <w:rPr>
          <w:sz w:val="22"/>
          <w:szCs w:val="22"/>
        </w:rPr>
      </w:pPr>
      <w:r w:rsidRPr="00D71DAF">
        <w:rPr>
          <w:sz w:val="22"/>
          <w:szCs w:val="22"/>
        </w:rPr>
        <w:t>Request for Amendment of Confidential Information</w:t>
      </w:r>
    </w:p>
    <w:p w14:paraId="355A336D" w14:textId="77777777" w:rsidR="00321AAC" w:rsidRPr="00D71DAF" w:rsidRDefault="00321AAC" w:rsidP="009C11B0">
      <w:pPr>
        <w:tabs>
          <w:tab w:val="left" w:pos="2400"/>
        </w:tabs>
        <w:ind w:left="1440"/>
        <w:rPr>
          <w:sz w:val="22"/>
          <w:szCs w:val="22"/>
        </w:rPr>
      </w:pPr>
      <w:r w:rsidRPr="00D71DAF">
        <w:rPr>
          <w:sz w:val="22"/>
          <w:szCs w:val="22"/>
        </w:rPr>
        <w:t>Request for Alternative Means of Communication</w:t>
      </w:r>
    </w:p>
    <w:p w14:paraId="6073A653" w14:textId="77777777" w:rsidR="00321AAC" w:rsidRPr="00D71DAF" w:rsidRDefault="00321AAC" w:rsidP="009C11B0">
      <w:pPr>
        <w:tabs>
          <w:tab w:val="left" w:pos="2400"/>
        </w:tabs>
        <w:ind w:left="1440"/>
        <w:rPr>
          <w:sz w:val="22"/>
          <w:szCs w:val="22"/>
        </w:rPr>
      </w:pPr>
      <w:r w:rsidRPr="00D71DAF">
        <w:rPr>
          <w:sz w:val="22"/>
          <w:szCs w:val="22"/>
        </w:rPr>
        <w:t>Request for Restrictions on Use and Disclosures of Confidential Information</w:t>
      </w:r>
    </w:p>
    <w:p w14:paraId="4FC0B42A" w14:textId="77777777" w:rsidR="00321AAC" w:rsidRDefault="00321AAC" w:rsidP="009C11B0">
      <w:pPr>
        <w:pStyle w:val="H3Text"/>
        <w:ind w:left="0"/>
      </w:pPr>
    </w:p>
    <w:p w14:paraId="2ECC8C52" w14:textId="77777777" w:rsidR="00321AAC" w:rsidRDefault="00321AAC" w:rsidP="009C11B0">
      <w:pPr>
        <w:rPr>
          <w:rFonts w:cs="Arial"/>
          <w:sz w:val="22"/>
          <w:szCs w:val="22"/>
        </w:rPr>
      </w:pPr>
      <w:r>
        <w:rPr>
          <w:rFonts w:cs="Arial"/>
          <w:sz w:val="22"/>
          <w:szCs w:val="22"/>
          <w:u w:val="single"/>
        </w:rPr>
        <w:t>For recommended forms</w:t>
      </w:r>
      <w:r w:rsidRPr="003324C0">
        <w:rPr>
          <w:rFonts w:cs="Arial"/>
          <w:sz w:val="22"/>
          <w:szCs w:val="22"/>
        </w:rPr>
        <w:t>:  See Healthnet, look under the Privacy &amp; Data Access pages</w:t>
      </w:r>
      <w:r>
        <w:rPr>
          <w:rFonts w:cs="Arial"/>
          <w:sz w:val="22"/>
          <w:szCs w:val="22"/>
        </w:rPr>
        <w:t xml:space="preserve">, forms may be found under “Model Forms.” </w:t>
      </w:r>
      <w:r w:rsidRPr="003324C0">
        <w:rPr>
          <w:rFonts w:cs="Arial"/>
          <w:sz w:val="22"/>
          <w:szCs w:val="22"/>
        </w:rPr>
        <w:t xml:space="preserve"> (Available to MDPH Intranet users only)</w:t>
      </w:r>
    </w:p>
    <w:p w14:paraId="782FF031" w14:textId="77777777" w:rsidR="00E56C9B" w:rsidRDefault="00E56C9B" w:rsidP="00321AAC">
      <w:pPr>
        <w:sectPr w:rsidR="00E56C9B" w:rsidSect="00D87220">
          <w:headerReference w:type="even" r:id="rId65"/>
          <w:headerReference w:type="default" r:id="rId66"/>
          <w:footerReference w:type="even" r:id="rId67"/>
          <w:footerReference w:type="default" r:id="rId68"/>
          <w:headerReference w:type="first" r:id="rId69"/>
          <w:footerReference w:type="first" r:id="rId70"/>
          <w:footnotePr>
            <w:numRestart w:val="eachSect"/>
          </w:footnotePr>
          <w:pgSz w:w="12240" w:h="15840"/>
          <w:pgMar w:top="1440" w:right="1440" w:bottom="1440" w:left="1800" w:header="720" w:footer="720" w:gutter="0"/>
          <w:cols w:space="720"/>
          <w:docGrid w:linePitch="360"/>
        </w:sectPr>
      </w:pPr>
    </w:p>
    <w:p w14:paraId="621E6FCD" w14:textId="77777777" w:rsidR="008355B4" w:rsidRDefault="008355B4" w:rsidP="008355B4">
      <w:pPr>
        <w:jc w:val="left"/>
        <w:rPr>
          <w:rFonts w:cs="Arial"/>
        </w:rPr>
      </w:pPr>
    </w:p>
    <w:p w14:paraId="44B3E9CF" w14:textId="77777777" w:rsidR="008355B4" w:rsidRDefault="008355B4" w:rsidP="008355B4">
      <w:pPr>
        <w:jc w:val="left"/>
        <w:rPr>
          <w:rFonts w:cs="Arial"/>
        </w:rPr>
      </w:pPr>
    </w:p>
    <w:p w14:paraId="451D77FA" w14:textId="77777777" w:rsidR="008355B4" w:rsidRDefault="008355B4" w:rsidP="008355B4">
      <w:pPr>
        <w:jc w:val="left"/>
        <w:rPr>
          <w:rFonts w:cs="Arial"/>
        </w:rPr>
      </w:pPr>
    </w:p>
    <w:p w14:paraId="16907A21" w14:textId="77777777" w:rsidR="008355B4" w:rsidRDefault="008355B4" w:rsidP="008355B4">
      <w:pPr>
        <w:jc w:val="left"/>
        <w:rPr>
          <w:rFonts w:cs="Arial"/>
        </w:rPr>
      </w:pPr>
    </w:p>
    <w:p w14:paraId="3FAA0254" w14:textId="77777777" w:rsidR="008355B4" w:rsidRDefault="008355B4" w:rsidP="008355B4">
      <w:pPr>
        <w:jc w:val="left"/>
        <w:rPr>
          <w:rFonts w:cs="Arial"/>
        </w:rPr>
      </w:pPr>
    </w:p>
    <w:p w14:paraId="78282F26" w14:textId="77777777" w:rsidR="008355B4" w:rsidRDefault="008355B4" w:rsidP="008355B4">
      <w:pPr>
        <w:jc w:val="left"/>
        <w:rPr>
          <w:rFonts w:cs="Arial"/>
        </w:rPr>
      </w:pPr>
    </w:p>
    <w:p w14:paraId="38A5AE74" w14:textId="77777777" w:rsidR="008355B4" w:rsidRDefault="008355B4" w:rsidP="008355B4">
      <w:pPr>
        <w:jc w:val="left"/>
        <w:rPr>
          <w:rFonts w:cs="Arial"/>
        </w:rPr>
      </w:pPr>
    </w:p>
    <w:p w14:paraId="4722767A" w14:textId="77777777" w:rsidR="008355B4" w:rsidRDefault="008355B4" w:rsidP="008355B4">
      <w:pPr>
        <w:jc w:val="left"/>
        <w:rPr>
          <w:rFonts w:cs="Arial"/>
        </w:rPr>
      </w:pPr>
    </w:p>
    <w:p w14:paraId="1027F419" w14:textId="77777777" w:rsidR="008355B4" w:rsidRDefault="008355B4" w:rsidP="008355B4">
      <w:pPr>
        <w:jc w:val="left"/>
        <w:rPr>
          <w:rFonts w:cs="Arial"/>
        </w:rPr>
      </w:pPr>
    </w:p>
    <w:p w14:paraId="67CC2B63" w14:textId="77777777" w:rsidR="008355B4" w:rsidRDefault="008355B4" w:rsidP="008355B4">
      <w:pPr>
        <w:jc w:val="center"/>
        <w:rPr>
          <w:rFonts w:cs="Arial"/>
        </w:rPr>
      </w:pPr>
      <w:r>
        <w:rPr>
          <w:rFonts w:cs="Arial"/>
        </w:rPr>
        <w:t>( Page intentionally blank )</w:t>
      </w:r>
    </w:p>
    <w:p w14:paraId="1EA959AC" w14:textId="77777777" w:rsidR="008355B4" w:rsidRDefault="008355B4" w:rsidP="008355B4">
      <w:pPr>
        <w:jc w:val="left"/>
        <w:rPr>
          <w:rFonts w:cs="Arial"/>
        </w:rPr>
      </w:pPr>
    </w:p>
    <w:p w14:paraId="61E1D3C1" w14:textId="77777777" w:rsidR="008355B4" w:rsidRDefault="008355B4" w:rsidP="008355B4">
      <w:pPr>
        <w:sectPr w:rsidR="008355B4" w:rsidSect="003173E2">
          <w:pgSz w:w="12240" w:h="15840" w:code="1"/>
          <w:pgMar w:top="1080" w:right="1440" w:bottom="1440" w:left="1800" w:header="720" w:footer="720" w:gutter="0"/>
          <w:cols w:space="720"/>
          <w:docGrid w:linePitch="360"/>
        </w:sectPr>
      </w:pPr>
    </w:p>
    <w:p w14:paraId="2F857CC3" w14:textId="77777777" w:rsidR="00597B9A" w:rsidRPr="00D16AF3" w:rsidRDefault="008028A4" w:rsidP="008028A4">
      <w:pPr>
        <w:pStyle w:val="H1ProcedureSection"/>
      </w:pPr>
      <w:bookmarkStart w:id="83" w:name="_Toc209771802"/>
      <w:r>
        <w:t>Procedure 12</w:t>
      </w:r>
      <w:r>
        <w:tab/>
      </w:r>
      <w:r w:rsidR="00597B9A" w:rsidRPr="00D16AF3">
        <w:t>Accounting of Disclosures</w:t>
      </w:r>
      <w:bookmarkEnd w:id="83"/>
    </w:p>
    <w:p w14:paraId="2F102307" w14:textId="77777777" w:rsidR="00597B9A" w:rsidRPr="00C7125D" w:rsidRDefault="00597B9A" w:rsidP="009C11B0">
      <w:pPr>
        <w:pStyle w:val="Version"/>
      </w:pPr>
      <w:r w:rsidRPr="007F4964">
        <w:t xml:space="preserve">Version:  </w:t>
      </w:r>
      <w:r>
        <w:t>3</w:t>
      </w:r>
      <w:r w:rsidRPr="007F4964">
        <w:tab/>
        <w:t xml:space="preserve">Effective Date:  </w:t>
      </w:r>
      <w:r>
        <w:t>April 21, 2008</w:t>
      </w:r>
    </w:p>
    <w:p w14:paraId="191C8362" w14:textId="77777777" w:rsidR="00597B9A" w:rsidRDefault="00597B9A">
      <w:pPr>
        <w:pStyle w:val="H2Paragraph"/>
        <w:numPr>
          <w:ilvl w:val="0"/>
          <w:numId w:val="89"/>
        </w:numPr>
      </w:pPr>
      <w:bookmarkStart w:id="84" w:name="_Toc209771803"/>
      <w:r>
        <w:t>Purpose and Scope</w:t>
      </w:r>
      <w:bookmarkEnd w:id="84"/>
    </w:p>
    <w:p w14:paraId="75E91726" w14:textId="77777777" w:rsidR="00597B9A" w:rsidRDefault="00597B9A" w:rsidP="009C11B0">
      <w:pPr>
        <w:pStyle w:val="H3Text"/>
      </w:pPr>
      <w:r>
        <w:t>This procedure describes the procedures Bureaus should follow in response to requests by data subjects for an accounting of the disclosures of their confidential information.</w:t>
      </w:r>
    </w:p>
    <w:p w14:paraId="0A29F0C3" w14:textId="77777777" w:rsidR="00597B9A" w:rsidRDefault="00597B9A" w:rsidP="009C11B0">
      <w:pPr>
        <w:pStyle w:val="H3Text"/>
      </w:pPr>
      <w:r>
        <w:t>This procedure applies to both covered and non-covered components of the Department and all Department workforce members.  As described below, there are specific requirements that relate only to covered components and their workforce members.</w:t>
      </w:r>
    </w:p>
    <w:p w14:paraId="0606284F" w14:textId="77777777" w:rsidR="00597B9A" w:rsidRDefault="00597B9A" w:rsidP="009C11B0">
      <w:pPr>
        <w:pStyle w:val="H2Paragraph"/>
      </w:pPr>
      <w:bookmarkStart w:id="85" w:name="_Toc209771804"/>
      <w:r>
        <w:t>General Requirements</w:t>
      </w:r>
      <w:bookmarkEnd w:id="85"/>
    </w:p>
    <w:p w14:paraId="35450C68" w14:textId="77777777" w:rsidR="00597B9A" w:rsidRDefault="00597B9A" w:rsidP="009C11B0">
      <w:pPr>
        <w:pStyle w:val="H3Text"/>
      </w:pPr>
      <w:r>
        <w:t>Generally, each data subject has a right to request and receive a descriptive list, known as an accounting, of all the disclosures of his or her confidential information made by the Department.</w:t>
      </w:r>
      <w:r>
        <w:rPr>
          <w:rStyle w:val="FootnoteReference"/>
        </w:rPr>
        <w:footnoteReference w:id="24"/>
      </w:r>
      <w:r>
        <w:t xml:space="preserve">  However, Bureaus are not required to account for disclosures made:</w:t>
      </w:r>
    </w:p>
    <w:p w14:paraId="34F9C3FB" w14:textId="77777777" w:rsidR="00597B9A" w:rsidRDefault="00597B9A">
      <w:pPr>
        <w:pStyle w:val="H3Text"/>
        <w:numPr>
          <w:ilvl w:val="0"/>
          <w:numId w:val="59"/>
        </w:numPr>
      </w:pPr>
      <w:r>
        <w:t>Directly to the data subject or the data subject's personal representative;</w:t>
      </w:r>
    </w:p>
    <w:p w14:paraId="6CE0319F" w14:textId="77777777" w:rsidR="00597B9A" w:rsidRDefault="00597B9A">
      <w:pPr>
        <w:pStyle w:val="H3Text"/>
        <w:numPr>
          <w:ilvl w:val="0"/>
          <w:numId w:val="59"/>
        </w:numPr>
      </w:pPr>
      <w:r>
        <w:t xml:space="preserve">Pursuant to an authorization;  </w:t>
      </w:r>
    </w:p>
    <w:p w14:paraId="6FDC9EDD" w14:textId="77777777" w:rsidR="00597B9A" w:rsidRDefault="00597B9A">
      <w:pPr>
        <w:pStyle w:val="H3Text"/>
        <w:numPr>
          <w:ilvl w:val="0"/>
          <w:numId w:val="59"/>
        </w:numPr>
      </w:pPr>
      <w:r>
        <w:t>Related to treatment, payment, and operations;</w:t>
      </w:r>
    </w:p>
    <w:p w14:paraId="7DC77918" w14:textId="77777777" w:rsidR="00597B9A" w:rsidRDefault="00597B9A">
      <w:pPr>
        <w:pStyle w:val="H3Text"/>
        <w:numPr>
          <w:ilvl w:val="0"/>
          <w:numId w:val="59"/>
        </w:numPr>
      </w:pPr>
      <w:r>
        <w:t xml:space="preserve">Pursuant to national security or intelligence purposes; </w:t>
      </w:r>
    </w:p>
    <w:p w14:paraId="687D94D0" w14:textId="77777777" w:rsidR="00597B9A" w:rsidRDefault="00597B9A">
      <w:pPr>
        <w:pStyle w:val="H3Text"/>
        <w:numPr>
          <w:ilvl w:val="0"/>
          <w:numId w:val="59"/>
        </w:numPr>
      </w:pPr>
      <w:r>
        <w:t>To correctional institutions or law enforcement officials as permitted under law;</w:t>
      </w:r>
    </w:p>
    <w:p w14:paraId="34C2DC96" w14:textId="77777777" w:rsidR="00597B9A" w:rsidRDefault="00597B9A">
      <w:pPr>
        <w:pStyle w:val="H3Text"/>
        <w:numPr>
          <w:ilvl w:val="0"/>
          <w:numId w:val="59"/>
        </w:numPr>
      </w:pPr>
      <w:r w:rsidRPr="00785EC1">
        <w:t xml:space="preserve">Incident to a disclosure that is otherwise </w:t>
      </w:r>
      <w:r>
        <w:t xml:space="preserve">not required to be included in the accounting; </w:t>
      </w:r>
    </w:p>
    <w:p w14:paraId="329524FC" w14:textId="77777777" w:rsidR="00597B9A" w:rsidRDefault="00597B9A">
      <w:pPr>
        <w:pStyle w:val="H3Text"/>
        <w:numPr>
          <w:ilvl w:val="0"/>
          <w:numId w:val="59"/>
        </w:numPr>
      </w:pPr>
      <w:r>
        <w:t xml:space="preserve">As part of a limited data set as described in </w:t>
      </w:r>
      <w:r w:rsidRPr="0051749E">
        <w:t>Procedure #7:  Requirements for De-Identification, Limited Data Sets and Aggregate Data</w:t>
      </w:r>
      <w:r>
        <w:t>;</w:t>
      </w:r>
    </w:p>
    <w:p w14:paraId="1EB89DC2" w14:textId="77777777" w:rsidR="00597B9A" w:rsidRDefault="00597B9A">
      <w:pPr>
        <w:pStyle w:val="H3Text"/>
        <w:numPr>
          <w:ilvl w:val="0"/>
          <w:numId w:val="59"/>
        </w:numPr>
      </w:pPr>
      <w:r>
        <w:t xml:space="preserve">Limited to information that is de-identified in accordance with consistent with </w:t>
      </w:r>
      <w:r w:rsidRPr="0051749E">
        <w:t>Procedure #7</w:t>
      </w:r>
      <w:r>
        <w:t>;</w:t>
      </w:r>
    </w:p>
    <w:p w14:paraId="2B88D686" w14:textId="77777777" w:rsidR="00597B9A" w:rsidRDefault="00597B9A">
      <w:pPr>
        <w:pStyle w:val="H3Text"/>
        <w:numPr>
          <w:ilvl w:val="0"/>
          <w:numId w:val="59"/>
        </w:numPr>
      </w:pPr>
      <w:r>
        <w:t xml:space="preserve">In response to a public records request that have been redacted in accordance with </w:t>
      </w:r>
      <w:r w:rsidRPr="0051749E">
        <w:t>Procedure # 8:  Public Records Release Standards for MDPH Documents Containing Medical Information</w:t>
      </w:r>
      <w:r>
        <w:t>; and</w:t>
      </w:r>
    </w:p>
    <w:p w14:paraId="3B9A8B40" w14:textId="77777777" w:rsidR="00597B9A" w:rsidRDefault="00597B9A">
      <w:pPr>
        <w:pStyle w:val="H3Text"/>
        <w:numPr>
          <w:ilvl w:val="0"/>
          <w:numId w:val="59"/>
        </w:numPr>
      </w:pPr>
      <w:r>
        <w:t>Made prior to April 14, 2003.</w:t>
      </w:r>
    </w:p>
    <w:p w14:paraId="32DCF569" w14:textId="77777777" w:rsidR="00597B9A" w:rsidRDefault="00597B9A" w:rsidP="009C11B0">
      <w:pPr>
        <w:pStyle w:val="H3Text"/>
      </w:pPr>
      <w:r>
        <w:t>Questions about whether a particular disclosure must be included in an accounting of disclosures should be referred to the Bureau privacy liaison first and then the Privacy Officer.</w:t>
      </w:r>
    </w:p>
    <w:p w14:paraId="61BF8AD8" w14:textId="77777777" w:rsidR="00597B9A" w:rsidRDefault="00597B9A" w:rsidP="009C11B0">
      <w:pPr>
        <w:pStyle w:val="H2Paragraph"/>
      </w:pPr>
      <w:r>
        <w:br w:type="page"/>
      </w:r>
      <w:bookmarkStart w:id="86" w:name="_Toc209771805"/>
      <w:r>
        <w:t>Accounting Requirements for Covered Components</w:t>
      </w:r>
      <w:bookmarkEnd w:id="86"/>
    </w:p>
    <w:p w14:paraId="0C3E682C" w14:textId="77777777" w:rsidR="00597B9A" w:rsidRDefault="00597B9A" w:rsidP="009C11B0">
      <w:pPr>
        <w:pStyle w:val="BodyTextIndent"/>
        <w:ind w:left="0"/>
      </w:pPr>
      <w:r>
        <w:t xml:space="preserve">Covered components must also account to the data subject for disclosures made: </w:t>
      </w:r>
    </w:p>
    <w:p w14:paraId="512F2272" w14:textId="77777777" w:rsidR="00597B9A" w:rsidRDefault="00597B9A">
      <w:pPr>
        <w:pStyle w:val="H3Text"/>
        <w:numPr>
          <w:ilvl w:val="0"/>
          <w:numId w:val="60"/>
        </w:numPr>
      </w:pPr>
      <w:r>
        <w:t xml:space="preserve">By business associates as described in </w:t>
      </w:r>
      <w:r w:rsidRPr="00663859">
        <w:t>Procedure # CC-2:  Business Associate Agreements</w:t>
      </w:r>
      <w:r>
        <w:t xml:space="preserve">; and </w:t>
      </w:r>
    </w:p>
    <w:p w14:paraId="18494DAD" w14:textId="77777777" w:rsidR="00597B9A" w:rsidRDefault="00597B9A">
      <w:pPr>
        <w:pStyle w:val="H3Text"/>
        <w:numPr>
          <w:ilvl w:val="0"/>
          <w:numId w:val="60"/>
        </w:numPr>
      </w:pPr>
      <w:r>
        <w:t xml:space="preserve">To another covered or non-covered component of the Department as described in </w:t>
      </w:r>
      <w:r w:rsidRPr="00663859">
        <w:t>Procedure # 3</w:t>
      </w:r>
      <w:r>
        <w:t>.</w:t>
      </w:r>
    </w:p>
    <w:p w14:paraId="4F35ACA7" w14:textId="77777777" w:rsidR="00597B9A" w:rsidRDefault="00597B9A" w:rsidP="009C11B0">
      <w:pPr>
        <w:pStyle w:val="H2Paragraph"/>
      </w:pPr>
      <w:bookmarkStart w:id="87" w:name="_Toc209771806"/>
      <w:r>
        <w:t>Implementation:  Bureau Responsibilities</w:t>
      </w:r>
      <w:bookmarkEnd w:id="87"/>
    </w:p>
    <w:p w14:paraId="592D7575" w14:textId="77777777" w:rsidR="00597B9A" w:rsidRDefault="00597B9A" w:rsidP="009C11B0">
      <w:pPr>
        <w:pStyle w:val="H3Text"/>
      </w:pPr>
      <w:r>
        <w:t xml:space="preserve">DPH Bureaus shall develop procedures for maintaining the record of disclosures necessary to produce an accounting.  This record may be combined with the Record of Disclosure required in </w:t>
      </w:r>
      <w:r w:rsidRPr="00663859">
        <w:t>Procedure # 3</w:t>
      </w:r>
      <w:r>
        <w:t>.  This requirement can be met by:</w:t>
      </w:r>
    </w:p>
    <w:p w14:paraId="3FFFEDD5" w14:textId="77777777" w:rsidR="00597B9A" w:rsidRDefault="00597B9A">
      <w:pPr>
        <w:pStyle w:val="H3Text"/>
        <w:numPr>
          <w:ilvl w:val="0"/>
          <w:numId w:val="61"/>
        </w:numPr>
      </w:pPr>
      <w:r>
        <w:t xml:space="preserve">Maintaining a paper or electronic disclosure log which tracks each disclosure required in an accounting as they are made; or </w:t>
      </w:r>
    </w:p>
    <w:p w14:paraId="5853E689" w14:textId="77777777" w:rsidR="00597B9A" w:rsidRDefault="00597B9A">
      <w:pPr>
        <w:pStyle w:val="H3Text"/>
        <w:numPr>
          <w:ilvl w:val="0"/>
          <w:numId w:val="61"/>
        </w:numPr>
      </w:pPr>
      <w:r>
        <w:t>Compiling the required accounting upon receipt of a data subject's request utilizing existing Bureau records.</w:t>
      </w:r>
    </w:p>
    <w:p w14:paraId="25BFEDAA" w14:textId="77777777" w:rsidR="00597B9A" w:rsidRDefault="00597B9A" w:rsidP="009C11B0">
      <w:pPr>
        <w:pStyle w:val="H3SubParagraph"/>
      </w:pPr>
      <w:r>
        <w:t>Submission of the Request</w:t>
      </w:r>
    </w:p>
    <w:p w14:paraId="4F0D48B5" w14:textId="77777777" w:rsidR="00597B9A" w:rsidRDefault="00597B9A" w:rsidP="009C11B0">
      <w:pPr>
        <w:pStyle w:val="H3Text"/>
      </w:pPr>
      <w:r>
        <w:t xml:space="preserve">A data subject's request for an accounting must be made in writing, and if possible, using the form, </w:t>
      </w:r>
      <w:r>
        <w:rPr>
          <w:i/>
        </w:rPr>
        <w:t>Request for Access to Confidential Information</w:t>
      </w:r>
      <w:r>
        <w:t>.</w:t>
      </w:r>
      <w:r>
        <w:rPr>
          <w:rStyle w:val="FootnoteReference"/>
        </w:rPr>
        <w:footnoteReference w:id="25"/>
      </w:r>
      <w:r>
        <w:t xml:space="preserve">  Any request for an accounting of disclosures shall include the following:</w:t>
      </w:r>
    </w:p>
    <w:p w14:paraId="4BAB1933" w14:textId="77777777" w:rsidR="00597B9A" w:rsidRDefault="00597B9A">
      <w:pPr>
        <w:pStyle w:val="H3Text"/>
        <w:numPr>
          <w:ilvl w:val="0"/>
          <w:numId w:val="62"/>
        </w:numPr>
      </w:pPr>
      <w:r>
        <w:t>The name of the data subject making the request;</w:t>
      </w:r>
    </w:p>
    <w:p w14:paraId="7DF2A45F" w14:textId="77777777" w:rsidR="00597B9A" w:rsidRDefault="00597B9A">
      <w:pPr>
        <w:pStyle w:val="H3Text"/>
        <w:numPr>
          <w:ilvl w:val="0"/>
          <w:numId w:val="62"/>
        </w:numPr>
      </w:pPr>
      <w:r>
        <w:t>Identification of programs or records for which the data subject is seeking an accounting; and</w:t>
      </w:r>
    </w:p>
    <w:p w14:paraId="6098D176" w14:textId="77777777" w:rsidR="00597B9A" w:rsidRDefault="00597B9A">
      <w:pPr>
        <w:pStyle w:val="H3Text"/>
        <w:numPr>
          <w:ilvl w:val="0"/>
          <w:numId w:val="62"/>
        </w:numPr>
      </w:pPr>
      <w:r>
        <w:t>The time period, for which the accounting is based, not to exceed six years prior to the date of the request, or for disclosures made prior to April 14, 2003.</w:t>
      </w:r>
    </w:p>
    <w:p w14:paraId="61A88CEF" w14:textId="77777777" w:rsidR="00597B9A" w:rsidRDefault="00597B9A" w:rsidP="009C11B0">
      <w:pPr>
        <w:pStyle w:val="H3SubParagraph"/>
      </w:pPr>
      <w:r>
        <w:t>Review of Requests</w:t>
      </w:r>
    </w:p>
    <w:p w14:paraId="1A338A56" w14:textId="77777777" w:rsidR="00597B9A" w:rsidRDefault="00597B9A" w:rsidP="009C11B0">
      <w:pPr>
        <w:pStyle w:val="H3Text"/>
      </w:pPr>
      <w:r>
        <w:t>Upon receipt of a request for an accounting of disclosures, DPH Bureau shall review the request and prepare the accounting.  If the accounting is for confidential information from more than one Bureau, or for covered and non-covered components within the same Bureau, the Bureau receiving the request should contact the Privacy Officer, who will coordinate the response.  The Privacy Officer shall also process requests for Department-wide accountings.</w:t>
      </w:r>
    </w:p>
    <w:p w14:paraId="464ED318" w14:textId="77777777" w:rsidR="00597B9A" w:rsidRDefault="00597B9A" w:rsidP="009C11B0">
      <w:pPr>
        <w:pStyle w:val="H3SubParagraph"/>
      </w:pPr>
      <w:r>
        <w:t>Temporary Suspension of Accounting</w:t>
      </w:r>
    </w:p>
    <w:p w14:paraId="59050EFE" w14:textId="77777777" w:rsidR="00597B9A" w:rsidRDefault="00597B9A" w:rsidP="009C11B0">
      <w:pPr>
        <w:pStyle w:val="H3Text"/>
      </w:pPr>
      <w:r>
        <w:t>In limited circumstances, there may be a temporary suspension of a data subject's right to receive an accounting due to a request from a health oversight agency or a law enforcement official.  All requests to suspend an accounting of a data subject's confidential information should be referred directly to the Office of General Counsel or the Privacy &amp; Data Access Office.  If the request is deemed valid, the accounting will be temporarily suspended.</w:t>
      </w:r>
    </w:p>
    <w:p w14:paraId="321D06DB" w14:textId="77777777" w:rsidR="00597B9A" w:rsidRDefault="00597B9A" w:rsidP="00D71DAF">
      <w:pPr>
        <w:pStyle w:val="H4SubNumberedParagraph"/>
      </w:pPr>
      <w:r>
        <w:t>Requests in Writing</w:t>
      </w:r>
    </w:p>
    <w:p w14:paraId="1E9CDE92" w14:textId="77777777" w:rsidR="00597B9A" w:rsidRDefault="00597B9A" w:rsidP="009C11B0">
      <w:pPr>
        <w:pStyle w:val="H4Text"/>
      </w:pPr>
      <w:r>
        <w:t xml:space="preserve">If the request for the temporary suspension of the individual's right to receive an accounting is in writing and includes a statement of the reasons that an accounting would likely impede the requestor’s activities and includes the time period for such a suspension, the Department will grant the request for the suspension.  The suspension shall not exceed one year from the initiation date of the requestor’s investigation.  </w:t>
      </w:r>
    </w:p>
    <w:p w14:paraId="031346CF" w14:textId="77777777" w:rsidR="00597B9A" w:rsidRDefault="00597B9A" w:rsidP="00D71DAF">
      <w:pPr>
        <w:pStyle w:val="H4SubNumberedParagraph"/>
      </w:pPr>
      <w:r>
        <w:t>Oral Requests</w:t>
      </w:r>
    </w:p>
    <w:p w14:paraId="1590166B" w14:textId="77777777" w:rsidR="00597B9A" w:rsidRDefault="00597B9A" w:rsidP="009C11B0">
      <w:pPr>
        <w:pStyle w:val="H4Text"/>
      </w:pPr>
      <w:r>
        <w:t>If the request is made orally, Bureaus shall attempt to obtain it in writing.  If this is not possible, the oral request should be documented by the Bureau, listing the verified identity</w:t>
      </w:r>
      <w:r>
        <w:rPr>
          <w:rStyle w:val="FootnoteReference"/>
        </w:rPr>
        <w:footnoteReference w:id="26"/>
      </w:r>
      <w:r>
        <w:t xml:space="preserve"> of the individual making the request for suspension, and the reasons for the request.  If the request is deemed valid, the data subject's right to an accounting will be suspended for no more than thirty days unless a written request submitted during that time frame specifies the time frame required for the suspension.</w:t>
      </w:r>
    </w:p>
    <w:p w14:paraId="53B8C896" w14:textId="77777777" w:rsidR="00597B9A" w:rsidRDefault="00597B9A" w:rsidP="009C11B0">
      <w:pPr>
        <w:pStyle w:val="H3SubParagraph"/>
      </w:pPr>
      <w:r>
        <w:t>Content of Accounting:  General Requirements</w:t>
      </w:r>
    </w:p>
    <w:p w14:paraId="72F3F86F" w14:textId="77777777" w:rsidR="00597B9A" w:rsidRDefault="00597B9A" w:rsidP="009C11B0">
      <w:pPr>
        <w:pStyle w:val="H3Text"/>
      </w:pPr>
      <w:r>
        <w:t>The accounting provided for each data subject’s request must include the following information for each disclosure made during the time period requested:</w:t>
      </w:r>
    </w:p>
    <w:p w14:paraId="148EA147" w14:textId="77777777" w:rsidR="00597B9A" w:rsidRDefault="00597B9A">
      <w:pPr>
        <w:pStyle w:val="H3Text"/>
        <w:numPr>
          <w:ilvl w:val="0"/>
          <w:numId w:val="63"/>
        </w:numPr>
      </w:pPr>
      <w:r>
        <w:t>The date of the disclosure;</w:t>
      </w:r>
    </w:p>
    <w:p w14:paraId="3ECDEA73" w14:textId="77777777" w:rsidR="00597B9A" w:rsidRDefault="00597B9A">
      <w:pPr>
        <w:pStyle w:val="H3Text"/>
        <w:numPr>
          <w:ilvl w:val="0"/>
          <w:numId w:val="63"/>
        </w:numPr>
      </w:pPr>
      <w:r>
        <w:t>The name of the entity or person who received the confidential information and, if known, the address of such entity or person;</w:t>
      </w:r>
    </w:p>
    <w:p w14:paraId="7CA80674" w14:textId="77777777" w:rsidR="00597B9A" w:rsidRDefault="00597B9A">
      <w:pPr>
        <w:pStyle w:val="H3Text"/>
        <w:numPr>
          <w:ilvl w:val="0"/>
          <w:numId w:val="63"/>
        </w:numPr>
      </w:pPr>
      <w:r>
        <w:t>A brief description of the confidential information disclosed; and</w:t>
      </w:r>
    </w:p>
    <w:p w14:paraId="550C97AF" w14:textId="77777777" w:rsidR="00597B9A" w:rsidRDefault="00597B9A">
      <w:pPr>
        <w:pStyle w:val="H3Text"/>
        <w:numPr>
          <w:ilvl w:val="0"/>
          <w:numId w:val="63"/>
        </w:numPr>
      </w:pPr>
      <w:r>
        <w:t>A brief statement of the purpose of the disclosure that reasonably informs the data subject of the basis for the disclosure.  In lieu of such a statement, a copy of the written request for the disclosure made can be provided.</w:t>
      </w:r>
    </w:p>
    <w:p w14:paraId="5F24050A" w14:textId="77777777" w:rsidR="00597B9A" w:rsidRDefault="00597B9A" w:rsidP="009C11B0">
      <w:pPr>
        <w:pStyle w:val="H3SubParagraph"/>
      </w:pPr>
      <w:r>
        <w:t>Accounting for Multiple Disclosures</w:t>
      </w:r>
    </w:p>
    <w:p w14:paraId="03E24321" w14:textId="77777777" w:rsidR="00597B9A" w:rsidRDefault="00597B9A" w:rsidP="009C11B0">
      <w:pPr>
        <w:pStyle w:val="H3Text"/>
      </w:pPr>
      <w:r>
        <w:t xml:space="preserve">If during the requested period for accounting, multiple disclosures have been made to the same entity or person for a single purpose, the accounting does not need to list each disclosure in detail.  Rather, the accounting may list: </w:t>
      </w:r>
    </w:p>
    <w:p w14:paraId="1A35EB15" w14:textId="77777777" w:rsidR="00597B9A" w:rsidRDefault="00597B9A">
      <w:pPr>
        <w:pStyle w:val="H3Text"/>
        <w:numPr>
          <w:ilvl w:val="0"/>
          <w:numId w:val="64"/>
        </w:numPr>
      </w:pPr>
      <w:r>
        <w:t xml:space="preserve">The first and last dates of the series of disclosures, </w:t>
      </w:r>
    </w:p>
    <w:p w14:paraId="218850E8" w14:textId="77777777" w:rsidR="00597B9A" w:rsidRDefault="00597B9A">
      <w:pPr>
        <w:pStyle w:val="H3Text"/>
        <w:numPr>
          <w:ilvl w:val="0"/>
          <w:numId w:val="64"/>
        </w:numPr>
      </w:pPr>
      <w:r>
        <w:t xml:space="preserve">The frequency or number of disclosures, and </w:t>
      </w:r>
    </w:p>
    <w:p w14:paraId="0594AAAD" w14:textId="77777777" w:rsidR="00597B9A" w:rsidRDefault="00597B9A">
      <w:pPr>
        <w:pStyle w:val="H3Text"/>
        <w:numPr>
          <w:ilvl w:val="0"/>
          <w:numId w:val="64"/>
        </w:numPr>
      </w:pPr>
      <w:r>
        <w:t xml:space="preserve">Elements 2, 3, and 4 listed in </w:t>
      </w:r>
      <w:r w:rsidRPr="00C74C5D">
        <w:t>sectio</w:t>
      </w:r>
      <w:bookmarkStart w:id="88" w:name="_Hlt66243904"/>
      <w:r w:rsidRPr="00C74C5D">
        <w:t>n</w:t>
      </w:r>
      <w:bookmarkEnd w:id="88"/>
      <w:r w:rsidRPr="00C74C5D">
        <w:t xml:space="preserve"> IV.D</w:t>
      </w:r>
      <w:r>
        <w:t xml:space="preserve">. </w:t>
      </w:r>
    </w:p>
    <w:p w14:paraId="336472E2" w14:textId="77777777" w:rsidR="00597B9A" w:rsidRDefault="00597B9A" w:rsidP="009C11B0">
      <w:pPr>
        <w:pStyle w:val="H3SubParagraph"/>
      </w:pPr>
      <w:r>
        <w:t xml:space="preserve">Accounting for Research </w:t>
      </w:r>
    </w:p>
    <w:p w14:paraId="2F981F3F" w14:textId="77777777" w:rsidR="00597B9A" w:rsidRDefault="00597B9A" w:rsidP="009C11B0">
      <w:pPr>
        <w:pStyle w:val="H3Text"/>
      </w:pPr>
      <w:r>
        <w:t>Unless the information disclosed is de-identified or constitutes a limited data set, Bureaus must account for disclosures made for research purposes.  The content of the accounting for research depends on the number of participants in the research study.</w:t>
      </w:r>
    </w:p>
    <w:p w14:paraId="79F370E0" w14:textId="77777777" w:rsidR="00597B9A" w:rsidRDefault="00597B9A" w:rsidP="00D71DAF">
      <w:pPr>
        <w:pStyle w:val="H4SubNumberedParagraph"/>
      </w:pPr>
      <w:r>
        <w:t xml:space="preserve">50 or fewer Participants </w:t>
      </w:r>
    </w:p>
    <w:p w14:paraId="0B3E3C09" w14:textId="77777777" w:rsidR="00597B9A" w:rsidRDefault="00597B9A" w:rsidP="009C11B0">
      <w:pPr>
        <w:pStyle w:val="H4Text"/>
      </w:pPr>
      <w:r>
        <w:t xml:space="preserve">Each Bureau that discloses confidential information for a research study involving 50 or fewer participants must provide an accounting of each disclosure in accordance with the requirements of </w:t>
      </w:r>
      <w:r w:rsidRPr="00C74C5D">
        <w:t>section IV.D</w:t>
      </w:r>
      <w:r>
        <w:t xml:space="preserve"> and </w:t>
      </w:r>
      <w:r w:rsidRPr="00C74C5D">
        <w:t>section IV.E</w:t>
      </w:r>
      <w:r>
        <w:t>.</w:t>
      </w:r>
    </w:p>
    <w:p w14:paraId="6D91E614" w14:textId="77777777" w:rsidR="00597B9A" w:rsidRDefault="00597B9A" w:rsidP="00D71DAF">
      <w:pPr>
        <w:pStyle w:val="H4SubNumberedParagraph"/>
      </w:pPr>
      <w:r>
        <w:t xml:space="preserve">50 or more Participants </w:t>
      </w:r>
    </w:p>
    <w:p w14:paraId="1134920B" w14:textId="77777777" w:rsidR="00597B9A" w:rsidRDefault="00597B9A" w:rsidP="009C11B0">
      <w:pPr>
        <w:pStyle w:val="H4Text"/>
      </w:pPr>
      <w:r>
        <w:t xml:space="preserve">If confidential information about the individual requesting the accounting may have been disclosed as part of a research study involving more than 50 participants, the following information must be included in the accounting: </w:t>
      </w:r>
    </w:p>
    <w:p w14:paraId="28D35E61" w14:textId="77777777" w:rsidR="00597B9A" w:rsidRDefault="00597B9A">
      <w:pPr>
        <w:pStyle w:val="H4Text"/>
        <w:numPr>
          <w:ilvl w:val="0"/>
          <w:numId w:val="65"/>
        </w:numPr>
      </w:pPr>
      <w:r>
        <w:t>The name of the protocol or research activity;</w:t>
      </w:r>
    </w:p>
    <w:p w14:paraId="4FD8736C" w14:textId="77777777" w:rsidR="00597B9A" w:rsidRDefault="00597B9A">
      <w:pPr>
        <w:pStyle w:val="H4Text"/>
        <w:numPr>
          <w:ilvl w:val="0"/>
          <w:numId w:val="65"/>
        </w:numPr>
      </w:pPr>
      <w:r>
        <w:t>A description, in plain language, of the protocol or activity including its purpose and the criteria for selecting particular records;</w:t>
      </w:r>
    </w:p>
    <w:p w14:paraId="3DD0DB50" w14:textId="77777777" w:rsidR="00597B9A" w:rsidRDefault="00597B9A">
      <w:pPr>
        <w:pStyle w:val="H4Text"/>
        <w:numPr>
          <w:ilvl w:val="0"/>
          <w:numId w:val="65"/>
        </w:numPr>
      </w:pPr>
      <w:r>
        <w:t>A brief description of the type of confidential information disclosed;</w:t>
      </w:r>
    </w:p>
    <w:p w14:paraId="107A672E" w14:textId="77777777" w:rsidR="00597B9A" w:rsidRDefault="00597B9A">
      <w:pPr>
        <w:pStyle w:val="H4Text"/>
        <w:numPr>
          <w:ilvl w:val="0"/>
          <w:numId w:val="65"/>
        </w:numPr>
      </w:pPr>
      <w:r>
        <w:t>The date or time period during which the disclosures occurred or may have occurred, including the last disclosure date;</w:t>
      </w:r>
    </w:p>
    <w:p w14:paraId="42D4FE64" w14:textId="77777777" w:rsidR="00597B9A" w:rsidRDefault="00597B9A">
      <w:pPr>
        <w:pStyle w:val="H4Text"/>
        <w:numPr>
          <w:ilvl w:val="0"/>
          <w:numId w:val="65"/>
        </w:numPr>
      </w:pPr>
      <w:r>
        <w:t>The name, address, and phone number of the entity that sponsored the research and of the researcher to whom the information was disclosed; and</w:t>
      </w:r>
    </w:p>
    <w:p w14:paraId="00302264" w14:textId="77777777" w:rsidR="00597B9A" w:rsidRDefault="00597B9A">
      <w:pPr>
        <w:pStyle w:val="H4Text"/>
        <w:numPr>
          <w:ilvl w:val="0"/>
          <w:numId w:val="65"/>
        </w:numPr>
      </w:pPr>
      <w:r>
        <w:t>A statement that the confidential information may or may not have been disclosed for a particular protocol or other research activity.</w:t>
      </w:r>
    </w:p>
    <w:p w14:paraId="51A4048F" w14:textId="77777777" w:rsidR="00597B9A" w:rsidRDefault="00597B9A" w:rsidP="009C11B0">
      <w:pPr>
        <w:pStyle w:val="H3SubParagraph"/>
      </w:pPr>
      <w:r>
        <w:t>Bureau Designations</w:t>
      </w:r>
    </w:p>
    <w:p w14:paraId="1C4FBE91" w14:textId="77777777" w:rsidR="00597B9A" w:rsidRDefault="00597B9A" w:rsidP="009C11B0">
      <w:pPr>
        <w:pStyle w:val="H3Text"/>
      </w:pPr>
      <w:r>
        <w:t xml:space="preserve">All Bureaus shall designate one or more individuals to be responsible for maintaining the log of disclosures required by </w:t>
      </w:r>
      <w:r w:rsidRPr="00C74C5D">
        <w:t>Procedure # 3</w:t>
      </w:r>
      <w:r>
        <w:t>, as well as responding to requests for an accounting of disclosures.  Bureaus may choose to do this at the Bureau or program level.</w:t>
      </w:r>
    </w:p>
    <w:p w14:paraId="3A4E6FA8" w14:textId="77777777" w:rsidR="00597B9A" w:rsidRDefault="00597B9A" w:rsidP="009C11B0">
      <w:pPr>
        <w:pStyle w:val="H3SubParagraph"/>
      </w:pPr>
      <w:r>
        <w:t>Documentation</w:t>
      </w:r>
    </w:p>
    <w:p w14:paraId="6E1E5599" w14:textId="77777777" w:rsidR="00597B9A" w:rsidRDefault="00597B9A" w:rsidP="009C11B0">
      <w:pPr>
        <w:pStyle w:val="H3Text"/>
      </w:pPr>
      <w:r>
        <w:t>Bureaus must maintain the following documentation for a minimum of six (6) years, or longer if required by the Commonwealth’s Records Conservation Board:</w:t>
      </w:r>
      <w:r>
        <w:rPr>
          <w:rStyle w:val="FootnoteReference"/>
        </w:rPr>
        <w:footnoteReference w:id="27"/>
      </w:r>
      <w:r>
        <w:t xml:space="preserve"> </w:t>
      </w:r>
    </w:p>
    <w:p w14:paraId="1CC6B90F" w14:textId="77777777" w:rsidR="00597B9A" w:rsidRDefault="00597B9A">
      <w:pPr>
        <w:pStyle w:val="H3Text"/>
        <w:numPr>
          <w:ilvl w:val="0"/>
          <w:numId w:val="66"/>
        </w:numPr>
      </w:pPr>
      <w:r>
        <w:t>A copy of the current and previous versions of the procedures necessary to produce an accounting;</w:t>
      </w:r>
    </w:p>
    <w:p w14:paraId="0EB62C46" w14:textId="77777777" w:rsidR="00597B9A" w:rsidRDefault="00597B9A">
      <w:pPr>
        <w:pStyle w:val="H3Text"/>
        <w:numPr>
          <w:ilvl w:val="0"/>
          <w:numId w:val="66"/>
        </w:numPr>
      </w:pPr>
      <w:r>
        <w:t>A list of the designated individual(s) responsible for implementing the procedures for accounting; and</w:t>
      </w:r>
    </w:p>
    <w:p w14:paraId="7DCD3944" w14:textId="77777777" w:rsidR="00597B9A" w:rsidRDefault="00597B9A">
      <w:pPr>
        <w:pStyle w:val="H3Text"/>
        <w:numPr>
          <w:ilvl w:val="0"/>
          <w:numId w:val="66"/>
        </w:numPr>
      </w:pPr>
      <w:r>
        <w:t>A record of all requests for an accounting and all responses to these requests.</w:t>
      </w:r>
    </w:p>
    <w:p w14:paraId="451ADC9D" w14:textId="77777777" w:rsidR="00597B9A" w:rsidRDefault="00597B9A" w:rsidP="009C11B0">
      <w:pPr>
        <w:pStyle w:val="H3Text"/>
      </w:pPr>
      <w:r>
        <w:t>The documentation must be made accessible to the Privacy &amp; Data Access Office upon request.</w:t>
      </w:r>
    </w:p>
    <w:p w14:paraId="328E5711" w14:textId="77777777" w:rsidR="00597B9A" w:rsidRDefault="00597B9A" w:rsidP="009C11B0">
      <w:pPr>
        <w:pStyle w:val="H3SubParagraph"/>
      </w:pPr>
      <w:r>
        <w:t>Fees</w:t>
      </w:r>
    </w:p>
    <w:p w14:paraId="19AEED76" w14:textId="77777777" w:rsidR="00597B9A" w:rsidRDefault="00597B9A" w:rsidP="009C11B0">
      <w:pPr>
        <w:pStyle w:val="H3Text"/>
      </w:pPr>
      <w:r>
        <w:t>The first request for an accounting within a 12-month period is free.  The following is the fee structure for subsequent requests:</w:t>
      </w:r>
    </w:p>
    <w:tbl>
      <w:tblPr>
        <w:tblW w:w="0" w:type="auto"/>
        <w:tblInd w:w="1440" w:type="dxa"/>
        <w:tblLook w:val="01E0" w:firstRow="1" w:lastRow="1" w:firstColumn="1" w:lastColumn="1" w:noHBand="0" w:noVBand="0"/>
      </w:tblPr>
      <w:tblGrid>
        <w:gridCol w:w="3228"/>
        <w:gridCol w:w="840"/>
        <w:gridCol w:w="3240"/>
      </w:tblGrid>
      <w:tr w:rsidR="00597B9A" w:rsidRPr="00C74C5D" w14:paraId="42212BA8" w14:textId="77777777">
        <w:tc>
          <w:tcPr>
            <w:tcW w:w="3228" w:type="dxa"/>
          </w:tcPr>
          <w:p w14:paraId="66D889E1" w14:textId="77777777" w:rsidR="00597B9A" w:rsidRPr="00C74C5D" w:rsidRDefault="00597B9A" w:rsidP="009C11B0">
            <w:pPr>
              <w:pStyle w:val="H3Text"/>
              <w:ind w:left="120"/>
            </w:pPr>
            <w:r w:rsidRPr="00C74C5D">
              <w:t>1 year of accounting $2.00</w:t>
            </w:r>
          </w:p>
        </w:tc>
        <w:tc>
          <w:tcPr>
            <w:tcW w:w="840" w:type="dxa"/>
          </w:tcPr>
          <w:p w14:paraId="1C2E578E" w14:textId="77777777" w:rsidR="00597B9A" w:rsidRPr="00C74C5D" w:rsidRDefault="00597B9A" w:rsidP="009C11B0">
            <w:pPr>
              <w:pStyle w:val="H3Text"/>
            </w:pPr>
          </w:p>
        </w:tc>
        <w:tc>
          <w:tcPr>
            <w:tcW w:w="3240" w:type="dxa"/>
          </w:tcPr>
          <w:p w14:paraId="38E19BC2" w14:textId="77777777" w:rsidR="00597B9A" w:rsidRPr="00C74C5D" w:rsidRDefault="00597B9A" w:rsidP="009C11B0">
            <w:pPr>
              <w:pStyle w:val="H3Text"/>
              <w:ind w:left="132"/>
            </w:pPr>
            <w:r w:rsidRPr="00C74C5D">
              <w:t>4 years of accounting $5.00</w:t>
            </w:r>
          </w:p>
        </w:tc>
      </w:tr>
      <w:tr w:rsidR="00597B9A" w:rsidRPr="00C74C5D" w14:paraId="3DA37EB5" w14:textId="77777777">
        <w:tc>
          <w:tcPr>
            <w:tcW w:w="3228" w:type="dxa"/>
          </w:tcPr>
          <w:p w14:paraId="0D949F21" w14:textId="77777777" w:rsidR="00597B9A" w:rsidRPr="00C74C5D" w:rsidRDefault="00597B9A" w:rsidP="009C11B0">
            <w:pPr>
              <w:pStyle w:val="H3Text"/>
              <w:ind w:left="120"/>
            </w:pPr>
            <w:r w:rsidRPr="00C74C5D">
              <w:t>2 years of accounting $3.00</w:t>
            </w:r>
          </w:p>
        </w:tc>
        <w:tc>
          <w:tcPr>
            <w:tcW w:w="840" w:type="dxa"/>
          </w:tcPr>
          <w:p w14:paraId="19A97953" w14:textId="77777777" w:rsidR="00597B9A" w:rsidRPr="00C74C5D" w:rsidRDefault="00597B9A" w:rsidP="009C11B0">
            <w:pPr>
              <w:pStyle w:val="H3Text"/>
            </w:pPr>
          </w:p>
        </w:tc>
        <w:tc>
          <w:tcPr>
            <w:tcW w:w="3240" w:type="dxa"/>
          </w:tcPr>
          <w:p w14:paraId="15A031CF" w14:textId="77777777" w:rsidR="00597B9A" w:rsidRPr="00C74C5D" w:rsidRDefault="00597B9A" w:rsidP="009C11B0">
            <w:pPr>
              <w:pStyle w:val="H3Text"/>
              <w:ind w:left="132"/>
            </w:pPr>
            <w:r w:rsidRPr="00C74C5D">
              <w:t>5 years of accounting $6.00</w:t>
            </w:r>
          </w:p>
        </w:tc>
      </w:tr>
      <w:tr w:rsidR="00597B9A" w:rsidRPr="00C74C5D" w14:paraId="194ECEA0" w14:textId="77777777">
        <w:tc>
          <w:tcPr>
            <w:tcW w:w="3228" w:type="dxa"/>
          </w:tcPr>
          <w:p w14:paraId="4440BB8C" w14:textId="77777777" w:rsidR="00597B9A" w:rsidRPr="00C74C5D" w:rsidRDefault="00597B9A" w:rsidP="009C11B0">
            <w:pPr>
              <w:pStyle w:val="H3Text"/>
              <w:ind w:left="120"/>
            </w:pPr>
            <w:r w:rsidRPr="00C74C5D">
              <w:t>3 years of accounting $4.00</w:t>
            </w:r>
          </w:p>
        </w:tc>
        <w:tc>
          <w:tcPr>
            <w:tcW w:w="840" w:type="dxa"/>
          </w:tcPr>
          <w:p w14:paraId="0267C2E1" w14:textId="77777777" w:rsidR="00597B9A" w:rsidRPr="00C74C5D" w:rsidRDefault="00597B9A" w:rsidP="009C11B0">
            <w:pPr>
              <w:pStyle w:val="H3Text"/>
            </w:pPr>
          </w:p>
        </w:tc>
        <w:tc>
          <w:tcPr>
            <w:tcW w:w="3240" w:type="dxa"/>
          </w:tcPr>
          <w:p w14:paraId="61ABDD1F" w14:textId="77777777" w:rsidR="00597B9A" w:rsidRPr="00C74C5D" w:rsidRDefault="00597B9A" w:rsidP="009C11B0">
            <w:pPr>
              <w:pStyle w:val="H3Text"/>
              <w:ind w:left="132"/>
            </w:pPr>
            <w:r w:rsidRPr="00C74C5D">
              <w:t>6 years of accounting $7.00</w:t>
            </w:r>
          </w:p>
        </w:tc>
      </w:tr>
    </w:tbl>
    <w:p w14:paraId="7F598ADE" w14:textId="77777777" w:rsidR="00597B9A" w:rsidRDefault="00597B9A" w:rsidP="009C11B0"/>
    <w:p w14:paraId="29315013" w14:textId="77777777" w:rsidR="00597B9A" w:rsidRPr="00022A2C" w:rsidRDefault="00597B9A" w:rsidP="009C11B0">
      <w:pPr>
        <w:rPr>
          <w:rFonts w:cs="Arial"/>
          <w:u w:val="single"/>
        </w:rPr>
      </w:pPr>
      <w:r w:rsidRPr="00022A2C">
        <w:rPr>
          <w:rFonts w:cs="Arial"/>
          <w:u w:val="single"/>
        </w:rPr>
        <w:t>Authority:</w:t>
      </w:r>
    </w:p>
    <w:p w14:paraId="63D9B241" w14:textId="77777777" w:rsidR="00597B9A" w:rsidRDefault="00597B9A" w:rsidP="009C11B0">
      <w:pPr>
        <w:pStyle w:val="H3Text"/>
      </w:pPr>
      <w:r w:rsidRPr="00141CE7">
        <w:t>M.G.L. c.  66A, §§ 2(f), (g) and (i)</w:t>
      </w:r>
    </w:p>
    <w:p w14:paraId="31986126" w14:textId="77777777" w:rsidR="00597B9A" w:rsidRPr="00141CE7" w:rsidRDefault="00597B9A" w:rsidP="009C11B0">
      <w:pPr>
        <w:pStyle w:val="H3Text"/>
      </w:pPr>
      <w:r w:rsidRPr="00141CE7">
        <w:t>45 C.F.R. § 164.528</w:t>
      </w:r>
    </w:p>
    <w:p w14:paraId="3DD3BA1C" w14:textId="77777777" w:rsidR="00020486" w:rsidRPr="00020486" w:rsidRDefault="00597B9A" w:rsidP="00020486">
      <w:r>
        <w:rPr>
          <w:rFonts w:cs="Arial"/>
          <w:sz w:val="22"/>
          <w:szCs w:val="22"/>
          <w:u w:val="single"/>
        </w:rPr>
        <w:t>For a suggested Accounting of Disclosure form</w:t>
      </w:r>
      <w:r w:rsidRPr="003324C0">
        <w:rPr>
          <w:rFonts w:cs="Arial"/>
          <w:sz w:val="22"/>
          <w:szCs w:val="22"/>
        </w:rPr>
        <w:t>:  See Healthnet, look under the Privacy &amp; Data Access pages</w:t>
      </w:r>
      <w:r>
        <w:rPr>
          <w:rFonts w:cs="Arial"/>
          <w:sz w:val="22"/>
          <w:szCs w:val="22"/>
        </w:rPr>
        <w:t xml:space="preserve">, forms may be found under “Model Forms.” </w:t>
      </w:r>
      <w:r w:rsidRPr="003324C0">
        <w:rPr>
          <w:rFonts w:cs="Arial"/>
          <w:sz w:val="22"/>
          <w:szCs w:val="22"/>
        </w:rPr>
        <w:t xml:space="preserve"> (available to MDPH Intranet users only)</w:t>
      </w:r>
    </w:p>
    <w:p w14:paraId="7E978CB3" w14:textId="77777777" w:rsidR="00020486" w:rsidRDefault="00020486" w:rsidP="00E56C9B">
      <w:pPr>
        <w:sectPr w:rsidR="00020486" w:rsidSect="00D87220">
          <w:headerReference w:type="default" r:id="rId71"/>
          <w:footerReference w:type="default" r:id="rId72"/>
          <w:footnotePr>
            <w:numRestart w:val="eachSect"/>
          </w:footnotePr>
          <w:pgSz w:w="12240" w:h="15840"/>
          <w:pgMar w:top="1440" w:right="1440" w:bottom="1440" w:left="1800" w:header="720" w:footer="720" w:gutter="0"/>
          <w:cols w:space="720"/>
          <w:docGrid w:linePitch="360"/>
        </w:sectPr>
      </w:pPr>
    </w:p>
    <w:p w14:paraId="16FDA8A4" w14:textId="77777777" w:rsidR="00020486" w:rsidRPr="00D16AF3" w:rsidRDefault="00020486" w:rsidP="008028A4">
      <w:pPr>
        <w:pStyle w:val="H1ProcedureSection"/>
      </w:pPr>
      <w:bookmarkStart w:id="89" w:name="_Toc209771807"/>
      <w:r w:rsidRPr="00D16AF3">
        <w:t>Proced</w:t>
      </w:r>
      <w:r w:rsidR="008028A4">
        <w:t>ure 13</w:t>
      </w:r>
      <w:r w:rsidR="008028A4">
        <w:tab/>
      </w:r>
      <w:r w:rsidRPr="00D16AF3">
        <w:t>Complaints Regarding the Use and Disclosure of Confidential Information</w:t>
      </w:r>
      <w:bookmarkEnd w:id="89"/>
    </w:p>
    <w:p w14:paraId="1C3B4790" w14:textId="77777777" w:rsidR="00020486" w:rsidRPr="00737A03" w:rsidRDefault="00020486" w:rsidP="009C11B0">
      <w:pPr>
        <w:pStyle w:val="Version"/>
      </w:pPr>
      <w:r>
        <w:t>Version:  3</w:t>
      </w:r>
      <w:r w:rsidRPr="00737A03">
        <w:tab/>
        <w:t>Effective Date:  April 21, 2008</w:t>
      </w:r>
    </w:p>
    <w:p w14:paraId="29352AB1" w14:textId="77777777" w:rsidR="00020486" w:rsidRDefault="00020486">
      <w:pPr>
        <w:pStyle w:val="H2Paragraph"/>
        <w:numPr>
          <w:ilvl w:val="0"/>
          <w:numId w:val="90"/>
        </w:numPr>
      </w:pPr>
      <w:bookmarkStart w:id="90" w:name="_Toc209771808"/>
      <w:r>
        <w:t>Purpose and Scope</w:t>
      </w:r>
      <w:bookmarkEnd w:id="90"/>
      <w:r>
        <w:t xml:space="preserve"> </w:t>
      </w:r>
    </w:p>
    <w:p w14:paraId="77B397CC" w14:textId="77777777" w:rsidR="00020486" w:rsidRDefault="00020486" w:rsidP="009C11B0">
      <w:pPr>
        <w:pStyle w:val="H3Text"/>
      </w:pPr>
      <w:r>
        <w:t>This procedure describes a data subject’s right to file a complaint if he or she believes his or her rights under the Department’s Confidentiality Policy and Procedures have been violated.</w:t>
      </w:r>
    </w:p>
    <w:p w14:paraId="3FD36299" w14:textId="77777777" w:rsidR="00020486" w:rsidRDefault="00020486" w:rsidP="009C11B0">
      <w:pPr>
        <w:pStyle w:val="H3Text"/>
      </w:pPr>
      <w:r>
        <w:t xml:space="preserve">This procedure applies to both covered and non-covered components of the Department.  </w:t>
      </w:r>
    </w:p>
    <w:p w14:paraId="2B7A5A3B" w14:textId="77777777" w:rsidR="00020486" w:rsidRDefault="00020486" w:rsidP="009C11B0">
      <w:pPr>
        <w:pStyle w:val="H2Paragraph"/>
      </w:pPr>
      <w:bookmarkStart w:id="91" w:name="_Toc209771809"/>
      <w:r>
        <w:rPr>
          <w:snapToGrid w:val="0"/>
        </w:rPr>
        <w:t>Process for Filing a Complaint</w:t>
      </w:r>
      <w:r>
        <w:rPr>
          <w:rStyle w:val="FootnoteReference"/>
        </w:rPr>
        <w:footnoteReference w:id="28"/>
      </w:r>
      <w:bookmarkEnd w:id="91"/>
    </w:p>
    <w:p w14:paraId="0FE44A53" w14:textId="77777777" w:rsidR="00020486" w:rsidRDefault="00020486" w:rsidP="009C11B0">
      <w:pPr>
        <w:pStyle w:val="H3SubParagraph"/>
      </w:pPr>
      <w:r>
        <w:rPr>
          <w:snapToGrid w:val="0"/>
        </w:rPr>
        <w:t>General Requirements</w:t>
      </w:r>
    </w:p>
    <w:p w14:paraId="4404112B" w14:textId="77777777" w:rsidR="00020486" w:rsidRPr="0069094E" w:rsidRDefault="00020486">
      <w:pPr>
        <w:pStyle w:val="H3Text"/>
        <w:numPr>
          <w:ilvl w:val="0"/>
          <w:numId w:val="67"/>
        </w:numPr>
      </w:pPr>
      <w:r w:rsidRPr="0069094E">
        <w:t>When feasible, all complaints must be filed in writing on the Department’s privacy complaint form</w:t>
      </w:r>
      <w:r w:rsidRPr="0069094E">
        <w:rPr>
          <w:rStyle w:val="FootnoteReference"/>
          <w:b/>
        </w:rPr>
        <w:footnoteReference w:id="29"/>
      </w:r>
      <w:r w:rsidRPr="0069094E">
        <w:t xml:space="preserve"> and sent to: </w:t>
      </w:r>
    </w:p>
    <w:p w14:paraId="6B136F3E" w14:textId="77777777" w:rsidR="00020486" w:rsidRDefault="00020486" w:rsidP="009C11B0">
      <w:pPr>
        <w:pStyle w:val="H5Text"/>
      </w:pPr>
      <w:r>
        <w:t>Massachusetts Department of Public Health</w:t>
      </w:r>
      <w:r>
        <w:br/>
        <w:t>Privacy &amp; Data Access Office</w:t>
      </w:r>
      <w:r>
        <w:br/>
      </w:r>
      <w:smartTag w:uri="urn:schemas-microsoft-com:office:smarttags" w:element="Street">
        <w:smartTag w:uri="urn:schemas-microsoft-com:office:smarttags" w:element="address">
          <w:r>
            <w:t>250 Washington St.</w:t>
          </w:r>
        </w:smartTag>
      </w:smartTag>
      <w:r>
        <w:t>, 2nd Floor</w:t>
      </w:r>
      <w:r>
        <w:br/>
        <w:t xml:space="preserve">Boston, MA 02108 </w:t>
      </w:r>
    </w:p>
    <w:p w14:paraId="639F8872" w14:textId="77777777" w:rsidR="00020486" w:rsidRPr="00114901" w:rsidRDefault="00020486">
      <w:pPr>
        <w:pStyle w:val="H3Text"/>
        <w:numPr>
          <w:ilvl w:val="0"/>
          <w:numId w:val="67"/>
        </w:numPr>
      </w:pPr>
      <w:r w:rsidRPr="00114901">
        <w:t xml:space="preserve">All complaints must be filed within 180 days of when the individual knew or should have known of the alleged violation. </w:t>
      </w:r>
    </w:p>
    <w:p w14:paraId="7A425F0B" w14:textId="77777777" w:rsidR="00020486" w:rsidRPr="00114901" w:rsidRDefault="00020486">
      <w:pPr>
        <w:pStyle w:val="H3Text"/>
        <w:numPr>
          <w:ilvl w:val="0"/>
          <w:numId w:val="67"/>
        </w:numPr>
      </w:pPr>
      <w:r w:rsidRPr="00114901">
        <w:t xml:space="preserve">Questions about filing complaints should be referred to (617) 624-5194. </w:t>
      </w:r>
    </w:p>
    <w:p w14:paraId="5F451CD5" w14:textId="77777777" w:rsidR="00020486" w:rsidRDefault="00020486" w:rsidP="009C11B0">
      <w:pPr>
        <w:pStyle w:val="H3SubParagraph"/>
      </w:pPr>
      <w:r>
        <w:t>Requirements for Covered Components</w:t>
      </w:r>
    </w:p>
    <w:p w14:paraId="797010AF" w14:textId="77777777" w:rsidR="00020486" w:rsidRDefault="00020486" w:rsidP="009C11B0">
      <w:pPr>
        <w:pStyle w:val="H3Text"/>
      </w:pPr>
      <w:r>
        <w:t>In addition to registering complaints with MDPH, individuals may register a complaint with the U.S. Department of Health and Human Services at:</w:t>
      </w:r>
    </w:p>
    <w:p w14:paraId="5B3D0CB3" w14:textId="77777777" w:rsidR="00020486" w:rsidRDefault="00020486" w:rsidP="009C11B0">
      <w:pPr>
        <w:pStyle w:val="H5Text"/>
      </w:pPr>
      <w:r>
        <w:t>Office for Civil Rights</w:t>
      </w:r>
      <w:r>
        <w:br/>
      </w:r>
      <w:smartTag w:uri="urn:schemas-microsoft-com:office:smarttags" w:element="country-region">
        <w:r>
          <w:t>US</w:t>
        </w:r>
      </w:smartTag>
      <w:r>
        <w:t xml:space="preserve"> Dept. of Health and Human Services</w:t>
      </w:r>
      <w:r>
        <w:br/>
        <w:t>J.F. Kennedy Federal Building-Room 1875</w:t>
      </w:r>
      <w:r>
        <w:br/>
        <w:t>Boston, MA 02203</w:t>
      </w:r>
      <w:r>
        <w:br/>
        <w:t>Telephone (617) 565-1340</w:t>
      </w:r>
      <w:r>
        <w:br/>
        <w:t>Fax (617) 565-3809;  TDD (617) 565-1343</w:t>
      </w:r>
    </w:p>
    <w:p w14:paraId="501D0412" w14:textId="77777777" w:rsidR="00020486" w:rsidRDefault="00020486" w:rsidP="009C11B0">
      <w:pPr>
        <w:pStyle w:val="H2Paragraph"/>
      </w:pPr>
      <w:bookmarkStart w:id="92" w:name="_Toc209771810"/>
      <w:r>
        <w:t>Investigation of Complaints</w:t>
      </w:r>
      <w:bookmarkEnd w:id="92"/>
    </w:p>
    <w:p w14:paraId="0432069A" w14:textId="77777777" w:rsidR="00020486" w:rsidRDefault="00020486" w:rsidP="009C11B0">
      <w:pPr>
        <w:pStyle w:val="H3Text"/>
      </w:pPr>
      <w:r>
        <w:t>Upon receipt of a complaint, the Privacy Officer, in consultation with the Director of the Bureau involved in the complaint, shall take the following steps:</w:t>
      </w:r>
    </w:p>
    <w:p w14:paraId="0E33F02E" w14:textId="77777777" w:rsidR="00020486" w:rsidRDefault="00020486">
      <w:pPr>
        <w:pStyle w:val="H3Text"/>
        <w:numPr>
          <w:ilvl w:val="0"/>
          <w:numId w:val="68"/>
        </w:numPr>
      </w:pPr>
      <w:r>
        <w:t>Consult with the Bureau Director or Hospital Director, if necessary, and determine whether the complaint should be investigated by the Center’s privacy liaison, the Hospital privacy officer, or the DPH Privacy Officer, based on the nature of the alleged facts.  In most instances, the complaint will be investigated by the Bureau or the Hospital;</w:t>
      </w:r>
    </w:p>
    <w:p w14:paraId="7991CAF5" w14:textId="77777777" w:rsidR="00020486" w:rsidRDefault="00020486">
      <w:pPr>
        <w:pStyle w:val="H3Text"/>
        <w:numPr>
          <w:ilvl w:val="0"/>
          <w:numId w:val="68"/>
        </w:numPr>
      </w:pPr>
      <w:r>
        <w:t>Interview the individual who filed the complaint to ensure a full understanding of the alleged violation;</w:t>
      </w:r>
    </w:p>
    <w:p w14:paraId="69240652" w14:textId="77777777" w:rsidR="00020486" w:rsidRDefault="00020486">
      <w:pPr>
        <w:pStyle w:val="H3Text"/>
        <w:numPr>
          <w:ilvl w:val="0"/>
          <w:numId w:val="68"/>
        </w:numPr>
      </w:pPr>
      <w:r>
        <w:t>Meet with workforce members, as applicable, who have knowledge of the complaint or issues associated with it;</w:t>
      </w:r>
    </w:p>
    <w:p w14:paraId="26137898" w14:textId="77777777" w:rsidR="00020486" w:rsidRDefault="00020486">
      <w:pPr>
        <w:pStyle w:val="H3Text"/>
        <w:numPr>
          <w:ilvl w:val="0"/>
          <w:numId w:val="68"/>
        </w:numPr>
      </w:pPr>
      <w:r>
        <w:t>Complete a draft response containing proposed findings, and forward it to the appropriate Bureau or Hospital director, or his/her designee, for review and approval;</w:t>
      </w:r>
    </w:p>
    <w:p w14:paraId="54061BE9" w14:textId="77777777" w:rsidR="00020486" w:rsidRDefault="00020486">
      <w:pPr>
        <w:pStyle w:val="H3Text"/>
        <w:numPr>
          <w:ilvl w:val="0"/>
          <w:numId w:val="68"/>
        </w:numPr>
      </w:pPr>
      <w:r>
        <w:t>Send the final response to the complainant and maintain a copy in the Privacy &amp; Data Access Office's files for six years or longer if required by the Records Conservation Board.</w:t>
      </w:r>
      <w:r>
        <w:rPr>
          <w:rStyle w:val="FootnoteReference"/>
        </w:rPr>
        <w:footnoteReference w:id="30"/>
      </w:r>
    </w:p>
    <w:p w14:paraId="0969986F" w14:textId="77777777" w:rsidR="00020486" w:rsidRDefault="00020486">
      <w:pPr>
        <w:pStyle w:val="H3Text"/>
        <w:numPr>
          <w:ilvl w:val="0"/>
          <w:numId w:val="68"/>
        </w:numPr>
      </w:pPr>
      <w:r>
        <w:t>Maintain a log that documents all complaints received, the disposition, and the date of disposition.</w:t>
      </w:r>
    </w:p>
    <w:p w14:paraId="3309852F" w14:textId="77777777" w:rsidR="00020486" w:rsidRDefault="00020486" w:rsidP="009C11B0"/>
    <w:p w14:paraId="0F473205" w14:textId="77777777" w:rsidR="00020486" w:rsidRDefault="00020486" w:rsidP="009C11B0"/>
    <w:p w14:paraId="3956AA68" w14:textId="77777777" w:rsidR="00020486" w:rsidRPr="006358DC" w:rsidRDefault="00020486" w:rsidP="009C11B0"/>
    <w:p w14:paraId="4CD42149" w14:textId="77777777" w:rsidR="00020486" w:rsidRPr="00022A2C" w:rsidRDefault="00020486" w:rsidP="009C11B0">
      <w:pPr>
        <w:rPr>
          <w:rFonts w:cs="Arial"/>
          <w:u w:val="single"/>
        </w:rPr>
      </w:pPr>
      <w:r w:rsidRPr="00022A2C">
        <w:rPr>
          <w:rFonts w:cs="Arial"/>
          <w:u w:val="single"/>
        </w:rPr>
        <w:t>Authority:</w:t>
      </w:r>
    </w:p>
    <w:p w14:paraId="010DCEA1" w14:textId="77777777" w:rsidR="00020486" w:rsidRDefault="00020486" w:rsidP="009C11B0">
      <w:pPr>
        <w:pStyle w:val="H3Text"/>
      </w:pPr>
      <w:r w:rsidRPr="00114901">
        <w:t>M.G.L. c. 66A, § 2</w:t>
      </w:r>
    </w:p>
    <w:p w14:paraId="09BCB98E" w14:textId="77777777" w:rsidR="00020486" w:rsidRPr="00114901" w:rsidRDefault="00020486" w:rsidP="009C11B0">
      <w:pPr>
        <w:pStyle w:val="H3Text"/>
      </w:pPr>
      <w:r w:rsidRPr="00114901">
        <w:t>45 C.F.R. § 164.530(d)</w:t>
      </w:r>
    </w:p>
    <w:p w14:paraId="28271F81" w14:textId="77777777" w:rsidR="00020486" w:rsidRDefault="00020486" w:rsidP="009C11B0">
      <w:pPr>
        <w:rPr>
          <w:rFonts w:cs="Arial"/>
          <w:sz w:val="22"/>
          <w:szCs w:val="22"/>
        </w:rPr>
      </w:pPr>
      <w:r>
        <w:rPr>
          <w:rFonts w:cs="Arial"/>
          <w:sz w:val="22"/>
          <w:szCs w:val="22"/>
          <w:u w:val="single"/>
        </w:rPr>
        <w:t xml:space="preserve">For </w:t>
      </w:r>
      <w:r w:rsidRPr="00103C2E">
        <w:rPr>
          <w:rFonts w:cs="Arial"/>
          <w:sz w:val="22"/>
          <w:szCs w:val="22"/>
          <w:u w:val="single"/>
        </w:rPr>
        <w:t>covered and non-covered components</w:t>
      </w:r>
      <w:r>
        <w:rPr>
          <w:rFonts w:cs="Arial"/>
          <w:sz w:val="22"/>
          <w:szCs w:val="22"/>
          <w:u w:val="single"/>
        </w:rPr>
        <w:t xml:space="preserve"> forms</w:t>
      </w:r>
      <w:r w:rsidRPr="003324C0">
        <w:rPr>
          <w:rFonts w:cs="Arial"/>
          <w:sz w:val="22"/>
          <w:szCs w:val="22"/>
        </w:rPr>
        <w:t>:  See Healthnet, look under the Privacy &amp; Data Access pages</w:t>
      </w:r>
      <w:r>
        <w:rPr>
          <w:rFonts w:cs="Arial"/>
          <w:sz w:val="22"/>
          <w:szCs w:val="22"/>
        </w:rPr>
        <w:t xml:space="preserve">, forms may be found under “Model Forms.” </w:t>
      </w:r>
      <w:r w:rsidRPr="003324C0">
        <w:rPr>
          <w:rFonts w:cs="Arial"/>
          <w:sz w:val="22"/>
          <w:szCs w:val="22"/>
        </w:rPr>
        <w:t xml:space="preserve"> (available to MDPH Intranet users only)</w:t>
      </w:r>
    </w:p>
    <w:p w14:paraId="6BA4D374" w14:textId="77777777" w:rsidR="00062EF1" w:rsidRPr="009C1F44" w:rsidRDefault="00062EF1" w:rsidP="009C11B0"/>
    <w:p w14:paraId="7FF06F90" w14:textId="77777777" w:rsidR="00020486" w:rsidRDefault="00020486" w:rsidP="00020486">
      <w:pPr>
        <w:sectPr w:rsidR="00020486" w:rsidSect="00D87220">
          <w:headerReference w:type="even" r:id="rId73"/>
          <w:headerReference w:type="default" r:id="rId74"/>
          <w:footerReference w:type="even" r:id="rId75"/>
          <w:footerReference w:type="default" r:id="rId76"/>
          <w:headerReference w:type="first" r:id="rId77"/>
          <w:footerReference w:type="first" r:id="rId78"/>
          <w:footnotePr>
            <w:numRestart w:val="eachSect"/>
          </w:footnotePr>
          <w:pgSz w:w="12240" w:h="15840"/>
          <w:pgMar w:top="1440" w:right="1440" w:bottom="1440" w:left="1800" w:header="720" w:footer="720" w:gutter="0"/>
          <w:cols w:space="720"/>
          <w:docGrid w:linePitch="360"/>
        </w:sectPr>
      </w:pPr>
    </w:p>
    <w:p w14:paraId="45F4EBC0" w14:textId="77777777" w:rsidR="00732D02" w:rsidRDefault="008028A4" w:rsidP="008028A4">
      <w:pPr>
        <w:pStyle w:val="H1ProcedureSection"/>
      </w:pPr>
      <w:bookmarkStart w:id="93" w:name="_Toc209771811"/>
      <w:r>
        <w:t>Procedure 14</w:t>
      </w:r>
      <w:r>
        <w:tab/>
      </w:r>
      <w:r w:rsidR="00732D02" w:rsidRPr="00ED4EB9">
        <w:t>Confidentiality Agreements</w:t>
      </w:r>
      <w:bookmarkEnd w:id="93"/>
    </w:p>
    <w:p w14:paraId="6004ED5B" w14:textId="77777777" w:rsidR="00732D02" w:rsidRDefault="00732D02" w:rsidP="00C158EA">
      <w:pPr>
        <w:pStyle w:val="Version"/>
      </w:pPr>
      <w:r w:rsidRPr="00ED4EB9">
        <w:t>Version:  1</w:t>
      </w:r>
      <w:r w:rsidRPr="00ED4EB9">
        <w:tab/>
        <w:t xml:space="preserve">Effective Date:  </w:t>
      </w:r>
      <w:r>
        <w:t>June 1, 2009</w:t>
      </w:r>
    </w:p>
    <w:p w14:paraId="38129646" w14:textId="77777777" w:rsidR="00732D02" w:rsidRDefault="00732D02">
      <w:pPr>
        <w:pStyle w:val="H2Paragraph"/>
        <w:numPr>
          <w:ilvl w:val="0"/>
          <w:numId w:val="121"/>
        </w:numPr>
      </w:pPr>
      <w:bookmarkStart w:id="94" w:name="_Toc209771812"/>
      <w:r>
        <w:t>Purpose &amp; definitions</w:t>
      </w:r>
      <w:bookmarkEnd w:id="94"/>
    </w:p>
    <w:p w14:paraId="3C1BC995" w14:textId="77777777" w:rsidR="00732D02" w:rsidRPr="00BE7BD9" w:rsidRDefault="00732D02" w:rsidP="00C158EA">
      <w:pPr>
        <w:pStyle w:val="H3SubParagraph"/>
      </w:pPr>
      <w:r w:rsidRPr="00BE7BD9">
        <w:t>Introduction</w:t>
      </w:r>
    </w:p>
    <w:p w14:paraId="11111DEB" w14:textId="77777777" w:rsidR="00732D02" w:rsidRDefault="00732D02" w:rsidP="00C158EA">
      <w:pPr>
        <w:pStyle w:val="H3Text"/>
      </w:pPr>
      <w:r w:rsidRPr="00ED4EB9">
        <w:t xml:space="preserve">This procedure provides instructions regarding the </w:t>
      </w:r>
      <w:r>
        <w:t xml:space="preserve">use and </w:t>
      </w:r>
      <w:r w:rsidRPr="00ED4EB9">
        <w:t>construction of confidentiality agreement</w:t>
      </w:r>
      <w:r>
        <w:t>s.</w:t>
      </w:r>
    </w:p>
    <w:p w14:paraId="58B56A1B" w14:textId="77777777" w:rsidR="00732D02" w:rsidRPr="00ED4EB9" w:rsidRDefault="00732D02" w:rsidP="00C158EA">
      <w:pPr>
        <w:pStyle w:val="H3SubParagraph"/>
      </w:pPr>
      <w:r>
        <w:t>Purpose</w:t>
      </w:r>
    </w:p>
    <w:p w14:paraId="42B46E51" w14:textId="77777777" w:rsidR="00732D02" w:rsidRDefault="00732D02" w:rsidP="00C158EA">
      <w:pPr>
        <w:pStyle w:val="H3Text"/>
      </w:pPr>
      <w:r w:rsidRPr="00ED4EB9">
        <w:t xml:space="preserve">Bureaus and programs that </w:t>
      </w:r>
      <w:r>
        <w:t xml:space="preserve">contract with individuals or entities that </w:t>
      </w:r>
      <w:r w:rsidRPr="00ED4EB9">
        <w:t xml:space="preserve">receive or create Confidential Information on behalf of DPH are responsible for ensuring that Confidentiality Agreements are executed. </w:t>
      </w:r>
      <w:r>
        <w:t xml:space="preserve"> This includes the Standard Terms &amp; Conditions Agreement, the Human Services Terms &amp; Conditions Agreement, Statewide Master Agreements, and Statements of Work.</w:t>
      </w:r>
    </w:p>
    <w:p w14:paraId="1EF8F178" w14:textId="77777777" w:rsidR="00732D02" w:rsidRDefault="00732D02" w:rsidP="00C158EA">
      <w:pPr>
        <w:pStyle w:val="H3Text"/>
      </w:pPr>
      <w:r>
        <w:t>T</w:t>
      </w:r>
      <w:r w:rsidRPr="00ED4EB9">
        <w:t xml:space="preserve">emplates </w:t>
      </w:r>
      <w:r>
        <w:t xml:space="preserve">are </w:t>
      </w:r>
      <w:r w:rsidRPr="00ED4EB9">
        <w:t xml:space="preserve">available for bureau convenience.  </w:t>
      </w:r>
      <w:r>
        <w:t>Where appropriate b</w:t>
      </w:r>
      <w:r w:rsidRPr="00ED4EB9">
        <w:t xml:space="preserve">ureaus </w:t>
      </w:r>
      <w:r>
        <w:t>should</w:t>
      </w:r>
      <w:r w:rsidRPr="00ED4EB9">
        <w:t xml:space="preserve"> add language to address their specific privacy and security concerns, but the core language in the templates may not be deleted.  Bureaus and programs are encouraged to work with privacy liaisons, attorneys, or the</w:t>
      </w:r>
      <w:r>
        <w:t xml:space="preserve"> Privacy and Data Access Office in the development of Confidentiality Agreements.</w:t>
      </w:r>
    </w:p>
    <w:p w14:paraId="4F544C7A" w14:textId="77777777" w:rsidR="00732D02" w:rsidRPr="00ED4EB9" w:rsidRDefault="00732D02" w:rsidP="00C158EA">
      <w:pPr>
        <w:pStyle w:val="H3SubParagraph"/>
      </w:pPr>
      <w:r w:rsidRPr="00ED4EB9">
        <w:t>Definitions</w:t>
      </w:r>
    </w:p>
    <w:p w14:paraId="7006D3E3" w14:textId="77777777" w:rsidR="00732D02" w:rsidRDefault="00732D02" w:rsidP="00732D02">
      <w:pPr>
        <w:pStyle w:val="H4SubNumberedParagraph"/>
      </w:pPr>
      <w:r w:rsidRPr="006E22B7">
        <w:t>Confidential Information</w:t>
      </w:r>
    </w:p>
    <w:p w14:paraId="50FB9710" w14:textId="77777777" w:rsidR="00732D02" w:rsidRPr="00ED4EB9" w:rsidRDefault="00732D02" w:rsidP="00C158EA">
      <w:pPr>
        <w:pStyle w:val="H4Text"/>
      </w:pPr>
      <w:r>
        <w:t>A</w:t>
      </w:r>
      <w:r w:rsidRPr="00ED4EB9">
        <w:t>ny individually identifiable information, including, but not limited to, medical and demographic information, that:</w:t>
      </w:r>
    </w:p>
    <w:p w14:paraId="5EDF145B" w14:textId="77777777" w:rsidR="00732D02" w:rsidRPr="00ED4EB9" w:rsidRDefault="00732D02">
      <w:pPr>
        <w:pStyle w:val="H4Text"/>
        <w:numPr>
          <w:ilvl w:val="0"/>
          <w:numId w:val="111"/>
        </w:numPr>
      </w:pPr>
      <w:r w:rsidRPr="00ED4EB9">
        <w:t xml:space="preserve">Reveals the identity of the data subject or is readily identified with the data subject, such as name, address, telephone number, social security number, health identification number, or date of birth; or </w:t>
      </w:r>
    </w:p>
    <w:p w14:paraId="2F1CD534" w14:textId="77777777" w:rsidR="00732D02" w:rsidRDefault="00732D02">
      <w:pPr>
        <w:pStyle w:val="H4Text"/>
        <w:numPr>
          <w:ilvl w:val="0"/>
          <w:numId w:val="111"/>
        </w:numPr>
      </w:pPr>
      <w:r w:rsidRPr="00ED4EB9">
        <w:t xml:space="preserve">Provides a reasonable basis to believe that the information could be used, either alone or in combination with other information, to identify a data subject. </w:t>
      </w:r>
    </w:p>
    <w:p w14:paraId="002C062F" w14:textId="77777777" w:rsidR="00732D02" w:rsidRDefault="00732D02" w:rsidP="00732D02">
      <w:pPr>
        <w:pStyle w:val="H4SubNumberedParagraph"/>
      </w:pPr>
      <w:r w:rsidRPr="00236393">
        <w:t>Confidentiality Agreements</w:t>
      </w:r>
    </w:p>
    <w:p w14:paraId="33F5E7D5" w14:textId="77777777" w:rsidR="00732D02" w:rsidRPr="00236393" w:rsidRDefault="00732D02" w:rsidP="00C158EA">
      <w:pPr>
        <w:pStyle w:val="H4Text"/>
      </w:pPr>
      <w:r w:rsidRPr="00236393">
        <w:t xml:space="preserve">Legal documents that establish privacy and security protections that must be put in place with a Vendor that receives Confidential Information from or creates Confidential Information on behalf of DPH pursuant to a contract.  They include provisions on how the Confidential information must be protected, who owns the data, whether the data </w:t>
      </w:r>
      <w:r>
        <w:t>m</w:t>
      </w:r>
      <w:r w:rsidRPr="00236393">
        <w:t>a</w:t>
      </w:r>
      <w:r>
        <w:t>y</w:t>
      </w:r>
      <w:r w:rsidRPr="00236393">
        <w:t xml:space="preserve"> be disclosed, and limitations on publication</w:t>
      </w:r>
      <w:r>
        <w:t xml:space="preserve"> and research</w:t>
      </w:r>
      <w:r w:rsidRPr="00236393">
        <w:t xml:space="preserve">. </w:t>
      </w:r>
    </w:p>
    <w:p w14:paraId="7BCB970A" w14:textId="77777777" w:rsidR="00732D02" w:rsidRDefault="00732D02" w:rsidP="00732D02">
      <w:pPr>
        <w:pStyle w:val="H4SubNumberedParagraph"/>
      </w:pPr>
      <w:r w:rsidRPr="00236393">
        <w:t>Vendor</w:t>
      </w:r>
    </w:p>
    <w:p w14:paraId="4C6E5FDB" w14:textId="77777777" w:rsidR="00732D02" w:rsidRDefault="00732D02" w:rsidP="00C158EA">
      <w:pPr>
        <w:pStyle w:val="H4Text"/>
      </w:pPr>
      <w:r w:rsidRPr="00236393">
        <w:t>For the purposes</w:t>
      </w:r>
      <w:r w:rsidRPr="00ED4EB9">
        <w:t xml:space="preserve"> of this procedure, </w:t>
      </w:r>
      <w:r>
        <w:t>Vendors</w:t>
      </w:r>
      <w:r w:rsidRPr="00ED4EB9">
        <w:t xml:space="preserve"> include, unless otherwise specified, all DPH </w:t>
      </w:r>
      <w:r>
        <w:t xml:space="preserve">consultants, </w:t>
      </w:r>
      <w:r w:rsidRPr="00ED4EB9">
        <w:t>contractors, providers, and vendors.</w:t>
      </w:r>
      <w:r>
        <w:t xml:space="preserve">  Contracted employees are excluded from this procedure.</w:t>
      </w:r>
    </w:p>
    <w:p w14:paraId="41602CE6" w14:textId="77777777" w:rsidR="00732D02" w:rsidRPr="00C36FEC" w:rsidRDefault="00732D02" w:rsidP="00C158EA">
      <w:pPr>
        <w:pStyle w:val="H2Paragraph"/>
      </w:pPr>
      <w:r>
        <w:br w:type="page"/>
      </w:r>
      <w:bookmarkStart w:id="95" w:name="_Toc209771813"/>
      <w:r w:rsidRPr="00C36FEC">
        <w:t>Which Form to Use</w:t>
      </w:r>
      <w:bookmarkEnd w:id="95"/>
    </w:p>
    <w:p w14:paraId="21A75351" w14:textId="77777777" w:rsidR="00732D02" w:rsidRDefault="00732D02" w:rsidP="00C158EA">
      <w:pPr>
        <w:pStyle w:val="H3Text"/>
      </w:pPr>
      <w:r w:rsidRPr="00ED4EB9">
        <w:t>Agreement templates are available on the Privacy &amp; Data Access Office page (available to DPH intranet users only).  Follow this algorithm to determine which form to use:</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680"/>
      </w:tblGrid>
      <w:tr w:rsidR="00732D02" w:rsidRPr="00C36FEC" w14:paraId="3DB46698" w14:textId="77777777">
        <w:trPr>
          <w:trHeight w:val="440"/>
        </w:trPr>
        <w:tc>
          <w:tcPr>
            <w:tcW w:w="4140" w:type="dxa"/>
            <w:shd w:val="clear" w:color="auto" w:fill="E0E0E0"/>
            <w:vAlign w:val="center"/>
          </w:tcPr>
          <w:p w14:paraId="2B340326" w14:textId="77777777" w:rsidR="00732D02" w:rsidRDefault="00732D02">
            <w:pPr>
              <w:jc w:val="center"/>
              <w:rPr>
                <w:rFonts w:cs="Arial"/>
                <w:b/>
                <w:sz w:val="20"/>
                <w:szCs w:val="20"/>
              </w:rPr>
            </w:pPr>
            <w:r>
              <w:rPr>
                <w:rFonts w:cs="Arial"/>
                <w:b/>
                <w:sz w:val="20"/>
                <w:szCs w:val="20"/>
              </w:rPr>
              <w:t>If …</w:t>
            </w:r>
          </w:p>
        </w:tc>
        <w:tc>
          <w:tcPr>
            <w:tcW w:w="4680" w:type="dxa"/>
            <w:shd w:val="clear" w:color="auto" w:fill="E0E0E0"/>
            <w:vAlign w:val="center"/>
          </w:tcPr>
          <w:p w14:paraId="05698F8A" w14:textId="77777777" w:rsidR="00732D02" w:rsidRDefault="00732D02">
            <w:pPr>
              <w:jc w:val="center"/>
              <w:rPr>
                <w:rFonts w:cs="Arial"/>
                <w:b/>
                <w:sz w:val="20"/>
                <w:szCs w:val="20"/>
              </w:rPr>
            </w:pPr>
            <w:r>
              <w:rPr>
                <w:rFonts w:cs="Arial"/>
                <w:b/>
                <w:sz w:val="20"/>
                <w:szCs w:val="20"/>
              </w:rPr>
              <w:t>Then …</w:t>
            </w:r>
          </w:p>
        </w:tc>
      </w:tr>
      <w:tr w:rsidR="00732D02" w:rsidRPr="00ED4EB9" w14:paraId="10EBF350" w14:textId="77777777">
        <w:tc>
          <w:tcPr>
            <w:tcW w:w="4140" w:type="dxa"/>
          </w:tcPr>
          <w:p w14:paraId="4CD0974E" w14:textId="77777777" w:rsidR="00732D02" w:rsidRDefault="00732D02" w:rsidP="00C158EA">
            <w:pPr>
              <w:rPr>
                <w:sz w:val="22"/>
                <w:szCs w:val="22"/>
              </w:rPr>
            </w:pPr>
            <w:r>
              <w:rPr>
                <w:sz w:val="22"/>
                <w:szCs w:val="22"/>
              </w:rPr>
              <w:t>Your Vendor is not receiving or creating confidential information on your behalf pursuant to the contract.</w:t>
            </w:r>
          </w:p>
        </w:tc>
        <w:tc>
          <w:tcPr>
            <w:tcW w:w="4680" w:type="dxa"/>
          </w:tcPr>
          <w:p w14:paraId="79496D1D" w14:textId="77777777" w:rsidR="00732D02" w:rsidRDefault="00732D02" w:rsidP="00C158EA">
            <w:pPr>
              <w:rPr>
                <w:sz w:val="22"/>
                <w:szCs w:val="22"/>
              </w:rPr>
            </w:pPr>
            <w:r>
              <w:rPr>
                <w:sz w:val="22"/>
                <w:szCs w:val="22"/>
              </w:rPr>
              <w:t>You do not need to execute a Confidentiality Agreement or a Business Associate Agreement.</w:t>
            </w:r>
          </w:p>
        </w:tc>
      </w:tr>
      <w:tr w:rsidR="00732D02" w:rsidRPr="00ED4EB9" w14:paraId="38895FC0" w14:textId="77777777">
        <w:tc>
          <w:tcPr>
            <w:tcW w:w="4140" w:type="dxa"/>
          </w:tcPr>
          <w:p w14:paraId="46E20E9E" w14:textId="77777777" w:rsidR="00732D02" w:rsidRDefault="00732D02" w:rsidP="00C158EA">
            <w:pPr>
              <w:rPr>
                <w:sz w:val="22"/>
                <w:szCs w:val="22"/>
              </w:rPr>
            </w:pPr>
            <w:r>
              <w:rPr>
                <w:sz w:val="22"/>
                <w:szCs w:val="22"/>
              </w:rPr>
              <w:t xml:space="preserve">You are a </w:t>
            </w:r>
            <w:smartTag w:uri="urn:schemas-microsoft-com:office:smarttags" w:element="place">
              <w:smartTag w:uri="urn:schemas-microsoft-com:office:smarttags" w:element="PlaceName">
                <w:r>
                  <w:rPr>
                    <w:sz w:val="22"/>
                    <w:szCs w:val="22"/>
                  </w:rPr>
                  <w:t>DPH</w:t>
                </w:r>
              </w:smartTag>
              <w:r>
                <w:rPr>
                  <w:sz w:val="22"/>
                  <w:szCs w:val="22"/>
                </w:rPr>
                <w:t xml:space="preserve"> </w:t>
              </w:r>
              <w:smartTag w:uri="urn:schemas-microsoft-com:office:smarttags" w:element="PlaceType">
                <w:r>
                  <w:rPr>
                    <w:sz w:val="22"/>
                    <w:szCs w:val="22"/>
                  </w:rPr>
                  <w:t>Hospital</w:t>
                </w:r>
              </w:smartTag>
            </w:smartTag>
            <w:r>
              <w:rPr>
                <w:sz w:val="22"/>
                <w:szCs w:val="22"/>
              </w:rPr>
              <w:t xml:space="preserve"> and the contract involves the receipt or creation of confidential information.</w:t>
            </w:r>
          </w:p>
        </w:tc>
        <w:tc>
          <w:tcPr>
            <w:tcW w:w="4680" w:type="dxa"/>
          </w:tcPr>
          <w:p w14:paraId="695792F8" w14:textId="77777777" w:rsidR="00732D02" w:rsidRDefault="00732D02" w:rsidP="00C158EA">
            <w:pPr>
              <w:rPr>
                <w:sz w:val="22"/>
                <w:szCs w:val="22"/>
              </w:rPr>
            </w:pPr>
            <w:r>
              <w:rPr>
                <w:sz w:val="22"/>
                <w:szCs w:val="22"/>
              </w:rPr>
              <w:t>Use the form, BAA Hospitals – Standard Terms &amp; Conditions.</w:t>
            </w:r>
          </w:p>
          <w:p w14:paraId="5FAE308C" w14:textId="77777777" w:rsidR="00732D02" w:rsidRDefault="00732D02" w:rsidP="00C158EA">
            <w:pPr>
              <w:rPr>
                <w:sz w:val="22"/>
                <w:szCs w:val="22"/>
              </w:rPr>
            </w:pPr>
            <w:r>
              <w:rPr>
                <w:sz w:val="22"/>
                <w:szCs w:val="22"/>
              </w:rPr>
              <w:t>Additional procedural information is found in Procedure CC 2, Business Associate Agreements.</w:t>
            </w:r>
          </w:p>
        </w:tc>
      </w:tr>
      <w:tr w:rsidR="00732D02" w:rsidRPr="00ED4EB9" w14:paraId="13B91E0C" w14:textId="77777777">
        <w:tc>
          <w:tcPr>
            <w:tcW w:w="4140" w:type="dxa"/>
          </w:tcPr>
          <w:p w14:paraId="092B0A04" w14:textId="77777777" w:rsidR="00732D02" w:rsidRDefault="00732D02" w:rsidP="00C158EA">
            <w:pPr>
              <w:rPr>
                <w:sz w:val="22"/>
                <w:szCs w:val="22"/>
              </w:rPr>
            </w:pPr>
            <w:r>
              <w:rPr>
                <w:sz w:val="22"/>
                <w:szCs w:val="22"/>
              </w:rPr>
              <w:t>You are another DPH covered entity and the contract involves the receipt or creation of confidential information.</w:t>
            </w:r>
          </w:p>
        </w:tc>
        <w:tc>
          <w:tcPr>
            <w:tcW w:w="4680" w:type="dxa"/>
          </w:tcPr>
          <w:p w14:paraId="532BF6F2" w14:textId="77777777" w:rsidR="00732D02" w:rsidRDefault="00732D02" w:rsidP="00C158EA">
            <w:pPr>
              <w:rPr>
                <w:sz w:val="22"/>
                <w:szCs w:val="22"/>
              </w:rPr>
            </w:pPr>
            <w:r>
              <w:rPr>
                <w:sz w:val="22"/>
                <w:szCs w:val="22"/>
              </w:rPr>
              <w:t xml:space="preserve">Use the form, </w:t>
            </w:r>
            <w:smartTag w:uri="urn:schemas-microsoft-com:office:smarttags" w:element="place">
              <w:smartTag w:uri="urn:schemas-microsoft-com:office:smarttags" w:element="PlaceName">
                <w:r>
                  <w:rPr>
                    <w:sz w:val="22"/>
                    <w:szCs w:val="22"/>
                  </w:rPr>
                  <w:t>BAA</w:t>
                </w:r>
              </w:smartTag>
              <w:r>
                <w:rPr>
                  <w:sz w:val="22"/>
                  <w:szCs w:val="22"/>
                </w:rPr>
                <w:t xml:space="preserve"> </w:t>
              </w:r>
              <w:smartTag w:uri="urn:schemas-microsoft-com:office:smarttags" w:element="PlaceType">
                <w:r>
                  <w:rPr>
                    <w:sz w:val="22"/>
                    <w:szCs w:val="22"/>
                  </w:rPr>
                  <w:t>Non-Hospital</w:t>
                </w:r>
              </w:smartTag>
            </w:smartTag>
            <w:r>
              <w:rPr>
                <w:sz w:val="22"/>
                <w:szCs w:val="22"/>
              </w:rPr>
              <w:t xml:space="preserve"> – Standard Terms &amp; Conditions.</w:t>
            </w:r>
          </w:p>
          <w:p w14:paraId="58AD844B" w14:textId="77777777" w:rsidR="00732D02" w:rsidRDefault="00732D02" w:rsidP="00C158EA">
            <w:pPr>
              <w:rPr>
                <w:sz w:val="22"/>
                <w:szCs w:val="22"/>
              </w:rPr>
            </w:pPr>
            <w:r>
              <w:rPr>
                <w:sz w:val="22"/>
                <w:szCs w:val="22"/>
              </w:rPr>
              <w:t>Additional procedural information is found in Procedure CC 2, Business Associate Agreements.</w:t>
            </w:r>
          </w:p>
        </w:tc>
      </w:tr>
      <w:tr w:rsidR="00732D02" w:rsidRPr="00ED4EB9" w14:paraId="3700E655" w14:textId="77777777">
        <w:tc>
          <w:tcPr>
            <w:tcW w:w="4140" w:type="dxa"/>
          </w:tcPr>
          <w:p w14:paraId="3FC25BF2" w14:textId="77777777" w:rsidR="00732D02" w:rsidRDefault="00732D02" w:rsidP="00C158EA">
            <w:pPr>
              <w:rPr>
                <w:sz w:val="22"/>
                <w:szCs w:val="22"/>
              </w:rPr>
            </w:pPr>
            <w:r>
              <w:rPr>
                <w:sz w:val="22"/>
                <w:szCs w:val="22"/>
              </w:rPr>
              <w:t>Your Bureau/Program’s contract is written using the Commonwealth’s Terms &amp; Conditions and the contract involves the receipt or creation of confidential information.</w:t>
            </w:r>
          </w:p>
        </w:tc>
        <w:tc>
          <w:tcPr>
            <w:tcW w:w="4680" w:type="dxa"/>
          </w:tcPr>
          <w:p w14:paraId="1E4E257D" w14:textId="77777777" w:rsidR="00732D02" w:rsidRDefault="00732D02" w:rsidP="00C158EA">
            <w:pPr>
              <w:rPr>
                <w:sz w:val="22"/>
                <w:szCs w:val="22"/>
              </w:rPr>
            </w:pPr>
            <w:r>
              <w:rPr>
                <w:sz w:val="22"/>
                <w:szCs w:val="22"/>
              </w:rPr>
              <w:t>Use the form, Confidentiality Agreement – Standard Terms &amp; Conditions and the appended Confidentiality Pledge. One pledge should be signed for each individual authorized to access confidential information.</w:t>
            </w:r>
          </w:p>
        </w:tc>
      </w:tr>
      <w:tr w:rsidR="00732D02" w:rsidRPr="00ED4EB9" w14:paraId="5FD6E478" w14:textId="77777777">
        <w:tc>
          <w:tcPr>
            <w:tcW w:w="4140" w:type="dxa"/>
          </w:tcPr>
          <w:p w14:paraId="38910E04" w14:textId="77777777" w:rsidR="00732D02" w:rsidRDefault="00732D02" w:rsidP="00C158EA">
            <w:pPr>
              <w:rPr>
                <w:sz w:val="22"/>
                <w:szCs w:val="22"/>
              </w:rPr>
            </w:pPr>
            <w:r>
              <w:rPr>
                <w:sz w:val="22"/>
                <w:szCs w:val="22"/>
              </w:rPr>
              <w:t>Your Bureau/Program’s contract is written using the Commonwealth’s Human &amp; Social Services Terms &amp; Conditions and the contract involves the receipt or creation of confidential information.</w:t>
            </w:r>
          </w:p>
        </w:tc>
        <w:tc>
          <w:tcPr>
            <w:tcW w:w="4680" w:type="dxa"/>
          </w:tcPr>
          <w:p w14:paraId="2FD37FB4" w14:textId="77777777" w:rsidR="00732D02" w:rsidRDefault="00732D02" w:rsidP="00C158EA">
            <w:pPr>
              <w:rPr>
                <w:sz w:val="22"/>
                <w:szCs w:val="22"/>
              </w:rPr>
            </w:pPr>
            <w:r>
              <w:rPr>
                <w:sz w:val="22"/>
                <w:szCs w:val="22"/>
              </w:rPr>
              <w:t>Use the form, Confidentiality Agreement – Human Services Terms &amp; Conditions.</w:t>
            </w:r>
          </w:p>
        </w:tc>
      </w:tr>
      <w:tr w:rsidR="00732D02" w:rsidRPr="00ED4EB9" w14:paraId="4EB8E2B2" w14:textId="77777777">
        <w:tc>
          <w:tcPr>
            <w:tcW w:w="4140" w:type="dxa"/>
          </w:tcPr>
          <w:p w14:paraId="5207C5C1" w14:textId="77777777" w:rsidR="00732D02" w:rsidRDefault="00732D02" w:rsidP="00C158EA">
            <w:pPr>
              <w:rPr>
                <w:sz w:val="22"/>
                <w:szCs w:val="22"/>
              </w:rPr>
            </w:pPr>
            <w:r>
              <w:rPr>
                <w:sz w:val="22"/>
                <w:szCs w:val="22"/>
              </w:rPr>
              <w:t>Your Bureau/Program’s contract is written using the Statement of Work and the contract involves the receipt or creation of confidential information.</w:t>
            </w:r>
          </w:p>
        </w:tc>
        <w:tc>
          <w:tcPr>
            <w:tcW w:w="4680" w:type="dxa"/>
          </w:tcPr>
          <w:p w14:paraId="0F3A681D" w14:textId="77777777" w:rsidR="00732D02" w:rsidRDefault="00732D02" w:rsidP="00C158EA">
            <w:pPr>
              <w:rPr>
                <w:sz w:val="22"/>
                <w:szCs w:val="22"/>
              </w:rPr>
            </w:pPr>
            <w:r>
              <w:rPr>
                <w:sz w:val="22"/>
                <w:szCs w:val="22"/>
              </w:rPr>
              <w:t>Use the form, Confidentiality Agreement – Standard Terms &amp; Conditions and the appended Confidentiality Pledge.</w:t>
            </w:r>
          </w:p>
        </w:tc>
      </w:tr>
    </w:tbl>
    <w:p w14:paraId="25DDAF6A" w14:textId="77777777" w:rsidR="00732D02" w:rsidRPr="00ED4EB9" w:rsidRDefault="00732D02" w:rsidP="00C158EA"/>
    <w:p w14:paraId="449F4CCD" w14:textId="77777777" w:rsidR="00732D02" w:rsidRPr="00C36FEC" w:rsidRDefault="00732D02" w:rsidP="00C158EA">
      <w:pPr>
        <w:pStyle w:val="H2Paragraph"/>
      </w:pPr>
      <w:bookmarkStart w:id="96" w:name="_Toc209771814"/>
      <w:r w:rsidRPr="00C36FEC">
        <w:t>Completing the Confidentiality Agreement</w:t>
      </w:r>
      <w:bookmarkEnd w:id="96"/>
    </w:p>
    <w:p w14:paraId="2E521F67" w14:textId="77777777" w:rsidR="00732D02" w:rsidRDefault="00732D02" w:rsidP="00C158EA">
      <w:pPr>
        <w:pStyle w:val="H3SubParagraph"/>
      </w:pPr>
      <w:r>
        <w:t>Bureau/Program Initiation.</w:t>
      </w:r>
    </w:p>
    <w:p w14:paraId="1F8B7E79" w14:textId="77777777" w:rsidR="00732D02" w:rsidRPr="00ED4EB9" w:rsidRDefault="00732D02" w:rsidP="00C158EA">
      <w:pPr>
        <w:pStyle w:val="H3Text"/>
      </w:pPr>
      <w:r w:rsidRPr="00ED4EB9">
        <w:t>The following sections of the Confidentiality Agreement must be completed by the contracting Bureau/Program</w:t>
      </w:r>
      <w:r>
        <w:t xml:space="preserve"> before providing it to the Vendor</w:t>
      </w:r>
      <w:r w:rsidRPr="00ED4EB9">
        <w:t>:</w:t>
      </w:r>
    </w:p>
    <w:p w14:paraId="457FA972" w14:textId="77777777" w:rsidR="00732D02" w:rsidRDefault="00732D02" w:rsidP="00732D02">
      <w:pPr>
        <w:pStyle w:val="H4SubNumberedParagraph"/>
      </w:pPr>
      <w:r>
        <w:t>Section I</w:t>
      </w:r>
      <w:r w:rsidRPr="00ED4EB9">
        <w:t xml:space="preserve">.  </w:t>
      </w:r>
      <w:r w:rsidRPr="006E22B7">
        <w:t>General Provisions</w:t>
      </w:r>
    </w:p>
    <w:p w14:paraId="4D944AD0" w14:textId="77777777" w:rsidR="00732D02" w:rsidRPr="00ED4EB9" w:rsidRDefault="00732D02" w:rsidP="00C158EA">
      <w:pPr>
        <w:pStyle w:val="H4Text"/>
      </w:pPr>
      <w:r w:rsidRPr="00ED4EB9">
        <w:t>Indicate the RFR number or some other reference to the RFR or state-wide contract that will connect it to the underlying RFR or contract</w:t>
      </w:r>
    </w:p>
    <w:p w14:paraId="4D06E394" w14:textId="77777777" w:rsidR="00732D02" w:rsidRPr="00ED4EB9" w:rsidRDefault="00732D02">
      <w:pPr>
        <w:pStyle w:val="H4Text"/>
        <w:numPr>
          <w:ilvl w:val="0"/>
          <w:numId w:val="112"/>
        </w:numPr>
      </w:pPr>
      <w:r w:rsidRPr="00ED4EB9">
        <w:t>The name of the contracting DPH program o</w:t>
      </w:r>
      <w:r>
        <w:t>r</w:t>
      </w:r>
      <w:r w:rsidRPr="00ED4EB9">
        <w:t xml:space="preserve"> bureau</w:t>
      </w:r>
    </w:p>
    <w:p w14:paraId="1C5592B0" w14:textId="77777777" w:rsidR="00732D02" w:rsidRDefault="00732D02">
      <w:pPr>
        <w:pStyle w:val="H4Text"/>
        <w:numPr>
          <w:ilvl w:val="0"/>
          <w:numId w:val="112"/>
        </w:numPr>
      </w:pPr>
      <w:r w:rsidRPr="00ED4EB9">
        <w:t>The name of the Vendor</w:t>
      </w:r>
    </w:p>
    <w:p w14:paraId="19E92F53" w14:textId="77777777" w:rsidR="00732D02" w:rsidRPr="00ED4EB9" w:rsidRDefault="00732D02" w:rsidP="00C158EA">
      <w:pPr>
        <w:pStyle w:val="H4Text"/>
      </w:pPr>
      <w:r>
        <w:t>If the underlying contract does not clearly describe the work of the vendor that relates to its receipt or creation of confidential information, the program or bureau must clearly describe what the vendor will be doing for the Department.  This is particularly important when the Vendor is engaged from a state-wide contract or a master service agreement.</w:t>
      </w:r>
    </w:p>
    <w:p w14:paraId="21C93E46" w14:textId="77777777" w:rsidR="00732D02" w:rsidRPr="00ED4EB9" w:rsidRDefault="00732D02" w:rsidP="00732D02">
      <w:pPr>
        <w:pStyle w:val="H4SubNumberedParagraph"/>
      </w:pPr>
      <w:r w:rsidRPr="009C5D81">
        <w:t xml:space="preserve">Section 1 A.  </w:t>
      </w:r>
      <w:r w:rsidRPr="006E22B7">
        <w:t>Permitted Uses and Disclosures</w:t>
      </w:r>
    </w:p>
    <w:p w14:paraId="4066C2F8" w14:textId="77777777" w:rsidR="00732D02" w:rsidRDefault="00732D02" w:rsidP="00C158EA">
      <w:pPr>
        <w:pStyle w:val="H4Text"/>
      </w:pPr>
      <w:r w:rsidRPr="00ED4EB9">
        <w:t>Select whether the Vendor is authorized under the terms of the contract to disclose Confidential Information or not.</w:t>
      </w:r>
      <w:r>
        <w:t xml:space="preserve">  This is an essential provision of the agreement.  If you have any question about how to respond to this section, contact the PDAO.</w:t>
      </w:r>
    </w:p>
    <w:p w14:paraId="41527F22" w14:textId="77777777" w:rsidR="00732D02" w:rsidRDefault="00732D02" w:rsidP="00732D02">
      <w:pPr>
        <w:pStyle w:val="H4SubNumberedParagraph"/>
      </w:pPr>
      <w:r>
        <w:t>Vendor Signature.</w:t>
      </w:r>
    </w:p>
    <w:p w14:paraId="14E4096E" w14:textId="77777777" w:rsidR="00732D02" w:rsidRDefault="00732D02" w:rsidP="00C158EA">
      <w:pPr>
        <w:pStyle w:val="H4Text"/>
      </w:pPr>
      <w:r>
        <w:t>The Vendor completes the appropriate sections of the Confidentiality Agreement and returns it to the Department.  Although it is the Contractor’s decision who signs the Confidentiality Agreement, DPH staff are encouraged to ensure that the signing individual ahs sufficient authority to enforce the agreement.</w:t>
      </w:r>
    </w:p>
    <w:p w14:paraId="0B4A7EC8" w14:textId="77777777" w:rsidR="00732D02" w:rsidRDefault="00732D02" w:rsidP="00732D02">
      <w:pPr>
        <w:pStyle w:val="H4SubNumberedParagraph"/>
      </w:pPr>
      <w:r>
        <w:t>Department Signature</w:t>
      </w:r>
    </w:p>
    <w:p w14:paraId="43EE6C83" w14:textId="77777777" w:rsidR="00732D02" w:rsidRDefault="00732D02" w:rsidP="00C158EA">
      <w:pPr>
        <w:pStyle w:val="H4Text"/>
      </w:pPr>
      <w:r>
        <w:t>The Department does not need to sign this document, since only the Vendor incurs obligations under this agreement.  If a Business Associate Agreement is signed, the Department is required to sign the agreement. See Procedure CC2.</w:t>
      </w:r>
    </w:p>
    <w:p w14:paraId="2CC5BDB9" w14:textId="77777777" w:rsidR="00732D02" w:rsidRPr="00CD73FA" w:rsidRDefault="00732D02" w:rsidP="00C158EA">
      <w:pPr>
        <w:pStyle w:val="H3SubParagraph"/>
      </w:pPr>
      <w:r w:rsidRPr="00CD73FA">
        <w:t>The Confidentiality Agreement Paper Flow</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700"/>
      </w:tblGrid>
      <w:tr w:rsidR="00732D02" w:rsidRPr="00CD73FA" w14:paraId="5C12FC7F" w14:textId="77777777">
        <w:tc>
          <w:tcPr>
            <w:tcW w:w="2880" w:type="dxa"/>
            <w:shd w:val="clear" w:color="auto" w:fill="E6E6E6"/>
            <w:vAlign w:val="center"/>
          </w:tcPr>
          <w:p w14:paraId="390C3DC5" w14:textId="77777777" w:rsidR="00732D02" w:rsidRDefault="00732D02">
            <w:pPr>
              <w:jc w:val="center"/>
              <w:rPr>
                <w:rFonts w:cs="Arial"/>
                <w:b/>
                <w:sz w:val="20"/>
                <w:szCs w:val="20"/>
              </w:rPr>
            </w:pPr>
            <w:r>
              <w:rPr>
                <w:rFonts w:cs="Arial"/>
                <w:b/>
                <w:sz w:val="20"/>
                <w:szCs w:val="20"/>
              </w:rPr>
              <w:t>Type of RFR</w:t>
            </w:r>
          </w:p>
        </w:tc>
        <w:tc>
          <w:tcPr>
            <w:tcW w:w="3240" w:type="dxa"/>
            <w:shd w:val="clear" w:color="auto" w:fill="E6E6E6"/>
            <w:vAlign w:val="center"/>
          </w:tcPr>
          <w:p w14:paraId="25AA870F" w14:textId="77777777" w:rsidR="00732D02" w:rsidRDefault="00732D02">
            <w:pPr>
              <w:jc w:val="center"/>
              <w:rPr>
                <w:rFonts w:cs="Arial"/>
                <w:b/>
                <w:sz w:val="20"/>
                <w:szCs w:val="20"/>
              </w:rPr>
            </w:pPr>
            <w:r>
              <w:rPr>
                <w:rFonts w:cs="Arial"/>
                <w:b/>
                <w:sz w:val="20"/>
                <w:szCs w:val="20"/>
              </w:rPr>
              <w:t>Provide the Confidentiality Agreement to Vendor</w:t>
            </w:r>
          </w:p>
        </w:tc>
        <w:tc>
          <w:tcPr>
            <w:tcW w:w="2700" w:type="dxa"/>
            <w:shd w:val="clear" w:color="auto" w:fill="E6E6E6"/>
            <w:vAlign w:val="center"/>
          </w:tcPr>
          <w:p w14:paraId="1A0C11C9" w14:textId="77777777" w:rsidR="00732D02" w:rsidRDefault="00732D02">
            <w:pPr>
              <w:jc w:val="center"/>
              <w:rPr>
                <w:rFonts w:cs="Arial"/>
                <w:b/>
                <w:sz w:val="20"/>
                <w:szCs w:val="20"/>
              </w:rPr>
            </w:pPr>
            <w:r>
              <w:rPr>
                <w:rFonts w:cs="Arial"/>
                <w:b/>
                <w:sz w:val="20"/>
                <w:szCs w:val="20"/>
              </w:rPr>
              <w:t>Bidder should submit the signed Confidentiality Agreement to DPH …</w:t>
            </w:r>
          </w:p>
        </w:tc>
      </w:tr>
      <w:tr w:rsidR="00732D02" w:rsidRPr="00E018AB" w14:paraId="7EE1579E" w14:textId="77777777">
        <w:tc>
          <w:tcPr>
            <w:tcW w:w="2880" w:type="dxa"/>
          </w:tcPr>
          <w:p w14:paraId="5F6D81FB" w14:textId="77777777" w:rsidR="00732D02" w:rsidRDefault="00732D02" w:rsidP="00C158EA">
            <w:pPr>
              <w:rPr>
                <w:sz w:val="22"/>
                <w:szCs w:val="22"/>
              </w:rPr>
            </w:pPr>
            <w:r>
              <w:rPr>
                <w:sz w:val="22"/>
                <w:szCs w:val="22"/>
              </w:rPr>
              <w:t>DPH Individual Bureau RFR</w:t>
            </w:r>
          </w:p>
        </w:tc>
        <w:tc>
          <w:tcPr>
            <w:tcW w:w="3240" w:type="dxa"/>
          </w:tcPr>
          <w:p w14:paraId="07205EF7" w14:textId="77777777" w:rsidR="00732D02" w:rsidRDefault="00732D02" w:rsidP="00C158EA">
            <w:pPr>
              <w:rPr>
                <w:sz w:val="22"/>
                <w:szCs w:val="22"/>
              </w:rPr>
            </w:pPr>
            <w:r>
              <w:rPr>
                <w:sz w:val="22"/>
                <w:szCs w:val="22"/>
              </w:rPr>
              <w:t>With the RFR at the time of procurement</w:t>
            </w:r>
          </w:p>
        </w:tc>
        <w:tc>
          <w:tcPr>
            <w:tcW w:w="2700" w:type="dxa"/>
          </w:tcPr>
          <w:p w14:paraId="7FE7E8F7" w14:textId="77777777" w:rsidR="00732D02" w:rsidRDefault="00732D02" w:rsidP="00C158EA">
            <w:pPr>
              <w:rPr>
                <w:sz w:val="22"/>
                <w:szCs w:val="22"/>
              </w:rPr>
            </w:pPr>
            <w:r>
              <w:rPr>
                <w:sz w:val="22"/>
                <w:szCs w:val="22"/>
              </w:rPr>
              <w:t>As part of the Vendor response to the RFR</w:t>
            </w:r>
          </w:p>
        </w:tc>
      </w:tr>
      <w:tr w:rsidR="00732D02" w:rsidRPr="00E018AB" w14:paraId="34C66D7A" w14:textId="77777777">
        <w:tc>
          <w:tcPr>
            <w:tcW w:w="2880" w:type="dxa"/>
          </w:tcPr>
          <w:p w14:paraId="25EB4D66" w14:textId="77777777" w:rsidR="00732D02" w:rsidRDefault="00732D02" w:rsidP="00C158EA">
            <w:pPr>
              <w:rPr>
                <w:sz w:val="22"/>
                <w:szCs w:val="22"/>
              </w:rPr>
            </w:pPr>
            <w:r>
              <w:rPr>
                <w:sz w:val="22"/>
                <w:szCs w:val="22"/>
              </w:rPr>
              <w:t>DPH Master Agreement RFR</w:t>
            </w:r>
          </w:p>
        </w:tc>
        <w:tc>
          <w:tcPr>
            <w:tcW w:w="3240" w:type="dxa"/>
          </w:tcPr>
          <w:p w14:paraId="4F05056A" w14:textId="77777777" w:rsidR="00732D02" w:rsidRDefault="00732D02" w:rsidP="00C158EA">
            <w:pPr>
              <w:rPr>
                <w:sz w:val="22"/>
                <w:szCs w:val="22"/>
              </w:rPr>
            </w:pPr>
            <w:r>
              <w:rPr>
                <w:sz w:val="22"/>
                <w:szCs w:val="22"/>
              </w:rPr>
              <w:t xml:space="preserve">Single Confidentiality Agreement at the time of procurement </w:t>
            </w:r>
          </w:p>
        </w:tc>
        <w:tc>
          <w:tcPr>
            <w:tcW w:w="2700" w:type="dxa"/>
          </w:tcPr>
          <w:p w14:paraId="0EAD98AA" w14:textId="77777777" w:rsidR="00732D02" w:rsidRDefault="00732D02" w:rsidP="00C158EA">
            <w:pPr>
              <w:rPr>
                <w:sz w:val="22"/>
                <w:szCs w:val="22"/>
              </w:rPr>
            </w:pPr>
            <w:r>
              <w:rPr>
                <w:sz w:val="22"/>
                <w:szCs w:val="22"/>
              </w:rPr>
              <w:t>At time of Vendor hire or commencement of services with DPH</w:t>
            </w:r>
          </w:p>
        </w:tc>
      </w:tr>
      <w:tr w:rsidR="00732D02" w:rsidRPr="00E018AB" w14:paraId="47A4A346" w14:textId="77777777">
        <w:tc>
          <w:tcPr>
            <w:tcW w:w="2880" w:type="dxa"/>
          </w:tcPr>
          <w:p w14:paraId="3B62B23E" w14:textId="77777777" w:rsidR="00732D02" w:rsidRDefault="00732D02" w:rsidP="00C158EA">
            <w:pPr>
              <w:rPr>
                <w:sz w:val="22"/>
                <w:szCs w:val="22"/>
              </w:rPr>
            </w:pPr>
            <w:r>
              <w:rPr>
                <w:sz w:val="22"/>
                <w:szCs w:val="22"/>
              </w:rPr>
              <w:t>DPH Master Agreement</w:t>
            </w:r>
          </w:p>
        </w:tc>
        <w:tc>
          <w:tcPr>
            <w:tcW w:w="3240" w:type="dxa"/>
          </w:tcPr>
          <w:p w14:paraId="545CD4F5" w14:textId="77777777" w:rsidR="00732D02" w:rsidRDefault="00732D02" w:rsidP="00C158EA">
            <w:pPr>
              <w:rPr>
                <w:sz w:val="22"/>
                <w:szCs w:val="22"/>
              </w:rPr>
            </w:pPr>
            <w:r>
              <w:rPr>
                <w:sz w:val="22"/>
                <w:szCs w:val="22"/>
              </w:rPr>
              <w:t>At time of engagement</w:t>
            </w:r>
          </w:p>
        </w:tc>
        <w:tc>
          <w:tcPr>
            <w:tcW w:w="2700" w:type="dxa"/>
          </w:tcPr>
          <w:p w14:paraId="08628C14" w14:textId="77777777" w:rsidR="00732D02" w:rsidRDefault="00732D02" w:rsidP="00C158EA">
            <w:pPr>
              <w:rPr>
                <w:sz w:val="22"/>
                <w:szCs w:val="22"/>
              </w:rPr>
            </w:pPr>
            <w:r>
              <w:rPr>
                <w:sz w:val="22"/>
                <w:szCs w:val="22"/>
              </w:rPr>
              <w:t>Before Vendor has access to Confidential Information</w:t>
            </w:r>
          </w:p>
        </w:tc>
      </w:tr>
      <w:tr w:rsidR="00732D02" w:rsidRPr="00E018AB" w14:paraId="7201CCEB" w14:textId="77777777">
        <w:tc>
          <w:tcPr>
            <w:tcW w:w="2880" w:type="dxa"/>
          </w:tcPr>
          <w:p w14:paraId="12187D43" w14:textId="77777777" w:rsidR="00732D02" w:rsidRDefault="00732D02" w:rsidP="00C158EA">
            <w:pPr>
              <w:rPr>
                <w:sz w:val="22"/>
                <w:szCs w:val="22"/>
              </w:rPr>
            </w:pPr>
            <w:r>
              <w:rPr>
                <w:sz w:val="22"/>
                <w:szCs w:val="22"/>
              </w:rPr>
              <w:t>OSD state-wide master agreement contract</w:t>
            </w:r>
          </w:p>
        </w:tc>
        <w:tc>
          <w:tcPr>
            <w:tcW w:w="3240" w:type="dxa"/>
          </w:tcPr>
          <w:p w14:paraId="508A3C18" w14:textId="77777777" w:rsidR="00732D02" w:rsidRDefault="00732D02" w:rsidP="00C158EA">
            <w:pPr>
              <w:rPr>
                <w:sz w:val="22"/>
                <w:szCs w:val="22"/>
              </w:rPr>
            </w:pPr>
            <w:r>
              <w:rPr>
                <w:sz w:val="22"/>
                <w:szCs w:val="22"/>
              </w:rPr>
              <w:t>At time of engagement at DPH</w:t>
            </w:r>
          </w:p>
        </w:tc>
        <w:tc>
          <w:tcPr>
            <w:tcW w:w="2700" w:type="dxa"/>
          </w:tcPr>
          <w:p w14:paraId="62304CDE" w14:textId="77777777" w:rsidR="00732D02" w:rsidRDefault="00732D02" w:rsidP="00C158EA">
            <w:pPr>
              <w:rPr>
                <w:sz w:val="22"/>
                <w:szCs w:val="22"/>
              </w:rPr>
            </w:pPr>
            <w:r>
              <w:rPr>
                <w:sz w:val="22"/>
                <w:szCs w:val="22"/>
              </w:rPr>
              <w:t>Before Vendor has access to Confidential Information</w:t>
            </w:r>
          </w:p>
        </w:tc>
      </w:tr>
      <w:tr w:rsidR="00732D02" w:rsidRPr="00E018AB" w14:paraId="0A74CE86" w14:textId="77777777">
        <w:tc>
          <w:tcPr>
            <w:tcW w:w="2880" w:type="dxa"/>
          </w:tcPr>
          <w:p w14:paraId="4A1F3F44" w14:textId="77777777" w:rsidR="00732D02" w:rsidRDefault="00732D02" w:rsidP="00C158EA">
            <w:pPr>
              <w:rPr>
                <w:sz w:val="22"/>
                <w:szCs w:val="22"/>
              </w:rPr>
            </w:pPr>
            <w:r>
              <w:rPr>
                <w:sz w:val="22"/>
                <w:szCs w:val="22"/>
              </w:rPr>
              <w:t>OSD master agreement that changes to require use of Confidential Information</w:t>
            </w:r>
          </w:p>
        </w:tc>
        <w:tc>
          <w:tcPr>
            <w:tcW w:w="3240" w:type="dxa"/>
          </w:tcPr>
          <w:p w14:paraId="2BCB0320" w14:textId="77777777" w:rsidR="00732D02" w:rsidRDefault="00732D02" w:rsidP="00C158EA">
            <w:pPr>
              <w:rPr>
                <w:sz w:val="22"/>
                <w:szCs w:val="22"/>
              </w:rPr>
            </w:pPr>
            <w:r>
              <w:rPr>
                <w:sz w:val="22"/>
                <w:szCs w:val="22"/>
              </w:rPr>
              <w:t>At time when scope of work changes to require collection of confidential data</w:t>
            </w:r>
          </w:p>
        </w:tc>
        <w:tc>
          <w:tcPr>
            <w:tcW w:w="2700" w:type="dxa"/>
          </w:tcPr>
          <w:p w14:paraId="264399ED" w14:textId="77777777" w:rsidR="00732D02" w:rsidRDefault="00732D02" w:rsidP="00C158EA">
            <w:pPr>
              <w:rPr>
                <w:sz w:val="22"/>
                <w:szCs w:val="22"/>
              </w:rPr>
            </w:pPr>
            <w:r>
              <w:rPr>
                <w:sz w:val="22"/>
                <w:szCs w:val="22"/>
              </w:rPr>
              <w:t>Before Vendor has access to Confidential Information</w:t>
            </w:r>
          </w:p>
        </w:tc>
      </w:tr>
    </w:tbl>
    <w:p w14:paraId="3E23B1B6" w14:textId="77777777" w:rsidR="00732D02" w:rsidRPr="00CD73FA" w:rsidRDefault="00732D02" w:rsidP="00C158EA">
      <w:pPr>
        <w:pStyle w:val="H3SubParagraph"/>
      </w:pPr>
      <w:r w:rsidRPr="00CD73FA">
        <w:t>Confidentiality Pledges</w:t>
      </w:r>
    </w:p>
    <w:p w14:paraId="7A657472" w14:textId="77777777" w:rsidR="00732D02" w:rsidRDefault="00732D02" w:rsidP="00C158EA">
      <w:pPr>
        <w:pStyle w:val="H3Text"/>
      </w:pPr>
      <w:r w:rsidRPr="00ED4EB9">
        <w:t xml:space="preserve">Confidentiality </w:t>
      </w:r>
      <w:r>
        <w:t>Pledges</w:t>
      </w:r>
      <w:r w:rsidRPr="00ED4EB9">
        <w:t xml:space="preserve"> are used only in conjunction with Standard Terms and Conditions Contracts</w:t>
      </w:r>
      <w:r>
        <w:t xml:space="preserve"> (not Human Service Contracts)</w:t>
      </w:r>
      <w:r w:rsidRPr="00ED4EB9">
        <w:t xml:space="preserve">.  Any member of the Vendor’s staff who will access Confidential Information must sign a Confidentiality </w:t>
      </w:r>
      <w:r>
        <w:t>Pledge</w:t>
      </w:r>
      <w:r w:rsidRPr="00ED4EB9">
        <w:t xml:space="preserve"> before accessing such information.  </w:t>
      </w:r>
    </w:p>
    <w:p w14:paraId="213137BF" w14:textId="77777777" w:rsidR="00732D02" w:rsidRPr="00ED4EB9" w:rsidRDefault="00732D02" w:rsidP="00C158EA">
      <w:pPr>
        <w:pStyle w:val="H3Text"/>
      </w:pPr>
      <w:r>
        <w:t>The individual signing the Confidentiality Agreement</w:t>
      </w:r>
      <w:r w:rsidRPr="00ED4EB9">
        <w:t xml:space="preserve"> </w:t>
      </w:r>
      <w:r>
        <w:t xml:space="preserve">on behalf of the Vendor </w:t>
      </w:r>
      <w:r w:rsidRPr="00ED4EB9">
        <w:t xml:space="preserve">is responsible for </w:t>
      </w:r>
      <w:r>
        <w:t>obtaining Confidentiality Pledges s</w:t>
      </w:r>
      <w:r w:rsidRPr="00ED4EB9">
        <w:t>igned by his/her employees and making them available to DPH upon request.  The DPH contract</w:t>
      </w:r>
      <w:r>
        <w:t xml:space="preserve"> manager</w:t>
      </w:r>
      <w:r w:rsidRPr="00ED4EB9">
        <w:t xml:space="preserve"> can and should </w:t>
      </w:r>
      <w:r>
        <w:t xml:space="preserve">also </w:t>
      </w:r>
      <w:r w:rsidRPr="00ED4EB9">
        <w:t>collect them as part of the contract management process.</w:t>
      </w:r>
    </w:p>
    <w:p w14:paraId="78345773" w14:textId="77777777" w:rsidR="00732D02" w:rsidRPr="00ED4EB9" w:rsidRDefault="00732D02" w:rsidP="00C158EA">
      <w:pPr>
        <w:pStyle w:val="H3Text"/>
      </w:pPr>
      <w:r w:rsidRPr="00ED4EB9">
        <w:t xml:space="preserve">The Confidentiality </w:t>
      </w:r>
      <w:r>
        <w:t>Pledge</w:t>
      </w:r>
      <w:r w:rsidRPr="00ED4EB9">
        <w:t xml:space="preserve"> </w:t>
      </w:r>
      <w:r>
        <w:t xml:space="preserve">is appended to the Standard Terms and Conditions Confidentiality Template.  This template is on the Privacy &amp; Data Access Office web page (available to DPH intranet users only).  </w:t>
      </w:r>
      <w:r w:rsidRPr="00ED4EB9">
        <w:t xml:space="preserve">Bureaus </w:t>
      </w:r>
      <w:r>
        <w:t>may</w:t>
      </w:r>
      <w:r w:rsidRPr="00ED4EB9">
        <w:t xml:space="preserve"> add language to address their specific privacy and security </w:t>
      </w:r>
      <w:r>
        <w:t>requirements for specific projects.</w:t>
      </w:r>
    </w:p>
    <w:p w14:paraId="0B0BD868" w14:textId="77777777" w:rsidR="00732D02" w:rsidRPr="009F57A0" w:rsidRDefault="00732D02" w:rsidP="00C158EA">
      <w:pPr>
        <w:pStyle w:val="H3SubParagraph"/>
      </w:pPr>
      <w:r w:rsidRPr="009F57A0">
        <w:t xml:space="preserve">Resources Available </w:t>
      </w:r>
    </w:p>
    <w:p w14:paraId="6079CA8C" w14:textId="77777777" w:rsidR="00732D02" w:rsidRDefault="00732D02" w:rsidP="00C158EA">
      <w:pPr>
        <w:pStyle w:val="H3Text"/>
      </w:pPr>
      <w:r>
        <w:t>Bureau/</w:t>
      </w:r>
      <w:r w:rsidRPr="00ED4EB9">
        <w:t>Program Privacy Liaison</w:t>
      </w:r>
      <w:r>
        <w:t xml:space="preserve">;  </w:t>
      </w:r>
      <w:r w:rsidRPr="00ED4EB9">
        <w:t>Program Attorney</w:t>
      </w:r>
      <w:r>
        <w:t xml:space="preserve">;  Privacy and Data Access;  </w:t>
      </w:r>
      <w:r w:rsidRPr="00ED4EB9">
        <w:t>Office</w:t>
      </w:r>
      <w:r>
        <w:t>;  POS Office</w:t>
      </w:r>
    </w:p>
    <w:p w14:paraId="3B5C429D" w14:textId="77777777" w:rsidR="00B9320A" w:rsidRPr="00ED4EB9" w:rsidRDefault="00B9320A" w:rsidP="00C158EA">
      <w:pPr>
        <w:pStyle w:val="H3Text"/>
      </w:pPr>
    </w:p>
    <w:p w14:paraId="5D744E23" w14:textId="77777777" w:rsidR="00874517" w:rsidRDefault="00874517" w:rsidP="008028A4">
      <w:pPr>
        <w:pStyle w:val="H1ProcedureSection"/>
        <w:sectPr w:rsidR="00874517" w:rsidSect="00D87220">
          <w:headerReference w:type="default" r:id="rId79"/>
          <w:footerReference w:type="default" r:id="rId80"/>
          <w:footnotePr>
            <w:numRestart w:val="eachSect"/>
          </w:footnotePr>
          <w:pgSz w:w="12240" w:h="15840"/>
          <w:pgMar w:top="1440" w:right="1440" w:bottom="1440" w:left="1800" w:header="720" w:footer="720" w:gutter="0"/>
          <w:cols w:space="720"/>
          <w:docGrid w:linePitch="360"/>
        </w:sectPr>
      </w:pPr>
    </w:p>
    <w:p w14:paraId="51E66B08" w14:textId="77777777" w:rsidR="00020486" w:rsidRDefault="00020486" w:rsidP="008028A4">
      <w:pPr>
        <w:pStyle w:val="H1ProcedureSection"/>
      </w:pPr>
      <w:bookmarkStart w:id="97" w:name="_Toc209771815"/>
      <w:r>
        <w:t>Procedure CC-1  Notice of Privacy Practices</w:t>
      </w:r>
      <w:bookmarkEnd w:id="97"/>
    </w:p>
    <w:p w14:paraId="0FA4F557" w14:textId="77777777" w:rsidR="00020486" w:rsidRPr="00306D6C" w:rsidRDefault="00020486" w:rsidP="009C11B0">
      <w:pPr>
        <w:pStyle w:val="Version"/>
      </w:pPr>
      <w:r w:rsidRPr="007F4964">
        <w:t xml:space="preserve">Version:  </w:t>
      </w:r>
      <w:r>
        <w:t>3</w:t>
      </w:r>
      <w:r w:rsidRPr="007F4964">
        <w:tab/>
        <w:t xml:space="preserve">Effective Date:  </w:t>
      </w:r>
      <w:r>
        <w:t>April 21, 2008</w:t>
      </w:r>
    </w:p>
    <w:p w14:paraId="4664BF81" w14:textId="77777777" w:rsidR="00020486" w:rsidRDefault="00020486">
      <w:pPr>
        <w:pStyle w:val="H2Paragraph"/>
        <w:numPr>
          <w:ilvl w:val="0"/>
          <w:numId w:val="91"/>
        </w:numPr>
      </w:pPr>
      <w:bookmarkStart w:id="98" w:name="_Toc209771816"/>
      <w:r>
        <w:t>Purpose and Scope</w:t>
      </w:r>
      <w:bookmarkEnd w:id="98"/>
      <w:r>
        <w:t xml:space="preserve"> </w:t>
      </w:r>
    </w:p>
    <w:p w14:paraId="22139AD9" w14:textId="77777777" w:rsidR="00020486" w:rsidRDefault="00020486" w:rsidP="009C11B0">
      <w:pPr>
        <w:pStyle w:val="H3Text"/>
      </w:pPr>
      <w:r>
        <w:t xml:space="preserve">This procedure describes the requirements related to the provision of a Notice of Privacy Practices (Notice) by the Department’s covered components.  Specific requirements related to providing and distributing the Notice depend on the type of covered component as described in </w:t>
      </w:r>
      <w:r w:rsidRPr="00EF5965">
        <w:t>section V</w:t>
      </w:r>
      <w:r>
        <w:t>.  All workforce members in the Department’s covered components must comply with this procedure.</w:t>
      </w:r>
    </w:p>
    <w:p w14:paraId="65282848" w14:textId="77777777" w:rsidR="00020486" w:rsidRDefault="00020486" w:rsidP="009C11B0">
      <w:pPr>
        <w:pStyle w:val="H2Paragraph"/>
      </w:pPr>
      <w:bookmarkStart w:id="99" w:name="_Toc209771817"/>
      <w:r>
        <w:t>General Requirements</w:t>
      </w:r>
      <w:bookmarkEnd w:id="99"/>
      <w:r>
        <w:t xml:space="preserve">  </w:t>
      </w:r>
    </w:p>
    <w:p w14:paraId="509E4DDD" w14:textId="77777777" w:rsidR="00020486" w:rsidRDefault="00020486" w:rsidP="009C11B0">
      <w:pPr>
        <w:pStyle w:val="H3Text"/>
      </w:pPr>
      <w:r>
        <w:t xml:space="preserve">Under the Privacy Rule, a data subject has a right to adequate notice of: </w:t>
      </w:r>
    </w:p>
    <w:p w14:paraId="641DECDA" w14:textId="77777777" w:rsidR="00020486" w:rsidRDefault="00020486">
      <w:pPr>
        <w:pStyle w:val="H3Text"/>
        <w:numPr>
          <w:ilvl w:val="0"/>
          <w:numId w:val="69"/>
        </w:numPr>
      </w:pPr>
      <w:r>
        <w:t>The uses and disclosures of his or her confidential health information that may be made by or on behalf of the covered component; and,</w:t>
      </w:r>
    </w:p>
    <w:p w14:paraId="6B1451AB" w14:textId="77777777" w:rsidR="00020486" w:rsidRDefault="00020486">
      <w:pPr>
        <w:pStyle w:val="H3Text"/>
        <w:numPr>
          <w:ilvl w:val="0"/>
          <w:numId w:val="69"/>
        </w:numPr>
      </w:pPr>
      <w:r>
        <w:t>The data subject's rights and the covered component's legal duties with respect to the data subject's confidential health information.</w:t>
      </w:r>
    </w:p>
    <w:p w14:paraId="058DEB3C" w14:textId="77777777" w:rsidR="00020486" w:rsidRDefault="00020486" w:rsidP="009C11B0">
      <w:pPr>
        <w:pStyle w:val="H3Text"/>
      </w:pPr>
      <w:r>
        <w:t xml:space="preserve">There is no model Notice for the Department. Rather, each component must create its own Notice incorporating the requirements listed below. </w:t>
      </w:r>
    </w:p>
    <w:p w14:paraId="308615AB" w14:textId="77777777" w:rsidR="00020486" w:rsidRDefault="00020486" w:rsidP="009C11B0">
      <w:pPr>
        <w:pStyle w:val="H2Paragraph"/>
      </w:pPr>
      <w:bookmarkStart w:id="100" w:name="_Toc209771818"/>
      <w:r>
        <w:t>Required Content</w:t>
      </w:r>
      <w:bookmarkEnd w:id="100"/>
    </w:p>
    <w:p w14:paraId="22FA15CB" w14:textId="77777777" w:rsidR="00020486" w:rsidRDefault="00020486" w:rsidP="009C11B0">
      <w:pPr>
        <w:pStyle w:val="H3Text"/>
      </w:pPr>
      <w:r>
        <w:t>The Notice must be written in plain language and include the following heading:</w:t>
      </w:r>
    </w:p>
    <w:p w14:paraId="6F22C9F6" w14:textId="77777777" w:rsidR="00020486" w:rsidRDefault="00020486" w:rsidP="009C11B0">
      <w:pPr>
        <w:pStyle w:val="H5Text"/>
      </w:pPr>
      <w:r>
        <w:t>"THIS NOTICE DESCRIBES HOW MEDICAL INFORMATION ABOUT YOU MAY BE USED AND DISCLOSED AND HOW YOU CAN GET ACCESS TO THIS INFORMATION.  PLEASE REVIEW IT CAREFULLY."</w:t>
      </w:r>
    </w:p>
    <w:p w14:paraId="24AACB92" w14:textId="77777777" w:rsidR="00020486" w:rsidRDefault="00020486" w:rsidP="009C11B0">
      <w:pPr>
        <w:pStyle w:val="H3Text"/>
      </w:pPr>
      <w:r>
        <w:t>The Notice must include the following content:</w:t>
      </w:r>
    </w:p>
    <w:p w14:paraId="4750546A" w14:textId="77777777" w:rsidR="00020486" w:rsidRDefault="00020486" w:rsidP="009C11B0">
      <w:pPr>
        <w:pStyle w:val="H3SubParagraph"/>
      </w:pPr>
      <w:r>
        <w:t>Uses and Disclosures</w:t>
      </w:r>
    </w:p>
    <w:p w14:paraId="6FC33F12" w14:textId="77777777" w:rsidR="00020486" w:rsidRDefault="00020486" w:rsidP="009C11B0">
      <w:pPr>
        <w:pStyle w:val="H3Text"/>
      </w:pPr>
      <w:r>
        <w:t xml:space="preserve">The Notice must include descriptions of the following elements written in sufficient detail to describe the </w:t>
      </w:r>
      <w:r>
        <w:rPr>
          <w:snapToGrid w:val="0"/>
        </w:rPr>
        <w:t>uses and disclosures of confidential information that may be made by the covered entity and of the individual’s rights and the covered entity’s legal duties with respect to confidential information.</w:t>
      </w:r>
    </w:p>
    <w:p w14:paraId="30578A34" w14:textId="77777777" w:rsidR="00020486" w:rsidRPr="00EF5965" w:rsidRDefault="00020486">
      <w:pPr>
        <w:pStyle w:val="H3Text"/>
        <w:numPr>
          <w:ilvl w:val="0"/>
          <w:numId w:val="70"/>
        </w:numPr>
      </w:pPr>
      <w:r w:rsidRPr="00EF5965">
        <w:t>A description of the types of uses and disclosures that the covered component is permitted to make for purposes of treatment, payment, and health care operations, including at least one example for each;</w:t>
      </w:r>
    </w:p>
    <w:p w14:paraId="295DBFB0" w14:textId="77777777" w:rsidR="00020486" w:rsidRPr="00EF5965" w:rsidRDefault="00020486">
      <w:pPr>
        <w:pStyle w:val="H3Text"/>
        <w:numPr>
          <w:ilvl w:val="0"/>
          <w:numId w:val="70"/>
        </w:numPr>
      </w:pPr>
      <w:r w:rsidRPr="00EF5965">
        <w:t>A description of each of the other purposes for which the covered component is permitted or required to use or disclose confidential health information without a data subject's authorization;</w:t>
      </w:r>
    </w:p>
    <w:p w14:paraId="0C8F91C4" w14:textId="77777777" w:rsidR="00020486" w:rsidRPr="00EF5965" w:rsidRDefault="00020486">
      <w:pPr>
        <w:pStyle w:val="H3Text"/>
        <w:numPr>
          <w:ilvl w:val="0"/>
          <w:numId w:val="70"/>
        </w:numPr>
      </w:pPr>
      <w:r w:rsidRPr="00EF5965">
        <w:t>A description of any restrictions on the use and disclosure of confidential information limited by any state or federal laws, which are not preempted by HIPAA and which are more stringent than HIPAA;</w:t>
      </w:r>
    </w:p>
    <w:p w14:paraId="7AD7C2F9" w14:textId="77777777" w:rsidR="00020486" w:rsidRPr="00EF5965" w:rsidRDefault="00020486">
      <w:pPr>
        <w:pStyle w:val="H3Text"/>
        <w:numPr>
          <w:ilvl w:val="0"/>
          <w:numId w:val="70"/>
        </w:numPr>
      </w:pPr>
      <w:r w:rsidRPr="00EF5965">
        <w:t>A statement that other uses or disclosures will be made only with the data subject's written authorization, and that an individual's authorization may be revoked as provided for in the Privacy Rule;</w:t>
      </w:r>
    </w:p>
    <w:p w14:paraId="425FC231" w14:textId="77777777" w:rsidR="00020486" w:rsidRPr="00EF5965" w:rsidRDefault="00020486">
      <w:pPr>
        <w:pStyle w:val="H3Text"/>
        <w:numPr>
          <w:ilvl w:val="0"/>
          <w:numId w:val="70"/>
        </w:numPr>
      </w:pPr>
      <w:r w:rsidRPr="00EF5965">
        <w:t xml:space="preserve">A separate statement describing if a provider intends to contact the data subject for appointment reminders, treatment alternatives, or other health-related benefits; and </w:t>
      </w:r>
    </w:p>
    <w:p w14:paraId="6EA9B5D4" w14:textId="77777777" w:rsidR="00020486" w:rsidRPr="00EF5965" w:rsidRDefault="00020486">
      <w:pPr>
        <w:pStyle w:val="H3Text"/>
        <w:numPr>
          <w:ilvl w:val="0"/>
          <w:numId w:val="70"/>
        </w:numPr>
      </w:pPr>
      <w:r w:rsidRPr="00EF5965">
        <w:t>Although not mandated, a description that confidential health information may be disclosed to business associates is recommended.</w:t>
      </w:r>
    </w:p>
    <w:p w14:paraId="7FB172A8" w14:textId="77777777" w:rsidR="00020486" w:rsidRDefault="00020486" w:rsidP="009C11B0">
      <w:pPr>
        <w:pStyle w:val="H3SubParagraph"/>
      </w:pPr>
      <w:r>
        <w:t>Rights of the Data Subject</w:t>
      </w:r>
    </w:p>
    <w:p w14:paraId="5588A5EB" w14:textId="77777777" w:rsidR="00020486" w:rsidRPr="0065026C" w:rsidRDefault="00020486">
      <w:pPr>
        <w:pStyle w:val="H3Text"/>
        <w:numPr>
          <w:ilvl w:val="0"/>
          <w:numId w:val="71"/>
        </w:numPr>
      </w:pPr>
      <w:r w:rsidRPr="0065026C">
        <w:t>A statement of the data subject's rights with respect to confidential health information and a description of how the data subject may exercise these rights must be included in the Privacy Notice including:</w:t>
      </w:r>
    </w:p>
    <w:p w14:paraId="76521131" w14:textId="77777777" w:rsidR="00020486" w:rsidRPr="0065026C" w:rsidRDefault="00020486">
      <w:pPr>
        <w:pStyle w:val="H3Text"/>
        <w:numPr>
          <w:ilvl w:val="0"/>
          <w:numId w:val="76"/>
        </w:numPr>
      </w:pPr>
      <w:r w:rsidRPr="0065026C">
        <w:t>The right to restrictions on certain uses/disclosures of confidential health information, including a statement that the covered component is not required to agree to a requested restriction;</w:t>
      </w:r>
    </w:p>
    <w:p w14:paraId="456A896D" w14:textId="77777777" w:rsidR="00020486" w:rsidRPr="0065026C" w:rsidRDefault="00020486">
      <w:pPr>
        <w:pStyle w:val="H3Text"/>
        <w:numPr>
          <w:ilvl w:val="0"/>
          <w:numId w:val="76"/>
        </w:numPr>
      </w:pPr>
      <w:r w:rsidRPr="0065026C">
        <w:t>The right to receive confidential communications of confidential health information;</w:t>
      </w:r>
    </w:p>
    <w:p w14:paraId="2326E18F" w14:textId="77777777" w:rsidR="00020486" w:rsidRPr="0065026C" w:rsidRDefault="00020486">
      <w:pPr>
        <w:pStyle w:val="H3Text"/>
        <w:numPr>
          <w:ilvl w:val="0"/>
          <w:numId w:val="76"/>
        </w:numPr>
      </w:pPr>
      <w:r w:rsidRPr="0065026C">
        <w:t>The right to inspect and copy confidential health information;</w:t>
      </w:r>
    </w:p>
    <w:p w14:paraId="25A7DEF4" w14:textId="77777777" w:rsidR="00020486" w:rsidRPr="0065026C" w:rsidRDefault="00020486">
      <w:pPr>
        <w:pStyle w:val="H3Text"/>
        <w:numPr>
          <w:ilvl w:val="0"/>
          <w:numId w:val="76"/>
        </w:numPr>
      </w:pPr>
      <w:r w:rsidRPr="0065026C">
        <w:t>The right to amend confidential health information;</w:t>
      </w:r>
    </w:p>
    <w:p w14:paraId="3420EC5E" w14:textId="77777777" w:rsidR="00020486" w:rsidRPr="0065026C" w:rsidRDefault="00020486">
      <w:pPr>
        <w:pStyle w:val="H3Text"/>
        <w:numPr>
          <w:ilvl w:val="0"/>
          <w:numId w:val="76"/>
        </w:numPr>
      </w:pPr>
      <w:r w:rsidRPr="0065026C">
        <w:t>The right to receive an accounting of disclosures of confidential health information; and,</w:t>
      </w:r>
    </w:p>
    <w:p w14:paraId="6E188EB0" w14:textId="77777777" w:rsidR="00020486" w:rsidRPr="0065026C" w:rsidRDefault="00020486">
      <w:pPr>
        <w:pStyle w:val="H3Text"/>
        <w:numPr>
          <w:ilvl w:val="0"/>
          <w:numId w:val="76"/>
        </w:numPr>
      </w:pPr>
      <w:r w:rsidRPr="0065026C">
        <w:t>The right to receive a paper copy of the Notice of Privacy Practices.</w:t>
      </w:r>
    </w:p>
    <w:p w14:paraId="3F26ED26" w14:textId="77777777" w:rsidR="00020486" w:rsidRPr="0065026C" w:rsidRDefault="00020486">
      <w:pPr>
        <w:pStyle w:val="H3Text"/>
        <w:numPr>
          <w:ilvl w:val="0"/>
          <w:numId w:val="71"/>
        </w:numPr>
      </w:pPr>
      <w:r w:rsidRPr="0065026C">
        <w:t>A statement that data subjects may complain to the covered component and to the Secretary of U.S. Department of Health and Human Services about privacy violations, including a brief description of how a complaint may be filed and a statement that the data subject will not be retaliated against for filing a complaint; and</w:t>
      </w:r>
    </w:p>
    <w:p w14:paraId="5364A458" w14:textId="77777777" w:rsidR="00020486" w:rsidRPr="0065026C" w:rsidRDefault="00020486">
      <w:pPr>
        <w:pStyle w:val="H3Text"/>
        <w:numPr>
          <w:ilvl w:val="0"/>
          <w:numId w:val="71"/>
        </w:numPr>
      </w:pPr>
      <w:r w:rsidRPr="0065026C">
        <w:t>The name or title and the telephone number of the person or office for further information related to the covered component’s complaint process.</w:t>
      </w:r>
    </w:p>
    <w:p w14:paraId="5701A021" w14:textId="77777777" w:rsidR="00020486" w:rsidRDefault="00020486" w:rsidP="009C11B0">
      <w:pPr>
        <w:pStyle w:val="H3SubParagraph"/>
      </w:pPr>
      <w:r>
        <w:t>Obligations of the Covered Component</w:t>
      </w:r>
    </w:p>
    <w:p w14:paraId="7468FBDC" w14:textId="77777777" w:rsidR="00020486" w:rsidRPr="0065026C" w:rsidRDefault="00020486">
      <w:pPr>
        <w:pStyle w:val="H3Text"/>
        <w:numPr>
          <w:ilvl w:val="0"/>
          <w:numId w:val="72"/>
        </w:numPr>
      </w:pPr>
      <w:r w:rsidRPr="0065026C">
        <w:t xml:space="preserve">A statement that the covered component is required by law to maintain the privacy of confidential health information and to provide data subjects with notice of its legal duties and privacy practices with respect to protected health information;  </w:t>
      </w:r>
    </w:p>
    <w:p w14:paraId="7A931A02" w14:textId="77777777" w:rsidR="00020486" w:rsidRPr="0065026C" w:rsidRDefault="00020486">
      <w:pPr>
        <w:pStyle w:val="H3Text"/>
        <w:numPr>
          <w:ilvl w:val="0"/>
          <w:numId w:val="72"/>
        </w:numPr>
      </w:pPr>
      <w:r w:rsidRPr="0065026C">
        <w:t>A statement that the covered component is required to abide by the terms of the Notice currently in effect; and</w:t>
      </w:r>
    </w:p>
    <w:p w14:paraId="7859BEED" w14:textId="77777777" w:rsidR="00020486" w:rsidRPr="0065026C" w:rsidRDefault="00020486">
      <w:pPr>
        <w:pStyle w:val="H3Text"/>
        <w:numPr>
          <w:ilvl w:val="0"/>
          <w:numId w:val="72"/>
        </w:numPr>
      </w:pPr>
      <w:r w:rsidRPr="0065026C">
        <w:t>A statement that the covered component reserves the right to change the terms of the Notice and to make the new Notice provisions effective for all confidential health information that it maintains and a description of how the covered component will provide data subjects with a revised Notice.</w:t>
      </w:r>
    </w:p>
    <w:p w14:paraId="25FE8236" w14:textId="77777777" w:rsidR="00020486" w:rsidRDefault="00020486" w:rsidP="009C11B0">
      <w:pPr>
        <w:pStyle w:val="H3SubParagraph"/>
      </w:pPr>
      <w:r>
        <w:t>Effective Date</w:t>
      </w:r>
    </w:p>
    <w:p w14:paraId="2FD60BB0" w14:textId="77777777" w:rsidR="00020486" w:rsidRDefault="00020486" w:rsidP="009C11B0">
      <w:pPr>
        <w:pStyle w:val="H3Text"/>
      </w:pPr>
      <w:r>
        <w:t>The Notice must include the effective date, which may not be earlier than the date on which it is first printed or published.</w:t>
      </w:r>
    </w:p>
    <w:p w14:paraId="418B3003" w14:textId="77777777" w:rsidR="00020486" w:rsidRDefault="00020486" w:rsidP="009C11B0">
      <w:pPr>
        <w:pStyle w:val="H2Paragraph"/>
      </w:pPr>
      <w:r>
        <w:br w:type="page"/>
      </w:r>
      <w:bookmarkStart w:id="101" w:name="_Toc209771819"/>
      <w:r>
        <w:t>Revisions</w:t>
      </w:r>
      <w:bookmarkEnd w:id="101"/>
      <w:r>
        <w:t xml:space="preserve"> </w:t>
      </w:r>
    </w:p>
    <w:p w14:paraId="13BDAB19" w14:textId="77777777" w:rsidR="00020486" w:rsidRDefault="00020486" w:rsidP="009C11B0">
      <w:pPr>
        <w:pStyle w:val="H3Text"/>
      </w:pPr>
      <w:r>
        <w:t>The covered component must promptly revise and distribute the Notice when there is a material change to its uses or disclosures of confidential information, the data subject's rights, the covered components legal duties, or other privacy practices described in the Notice.  Except when required by law, a material change to any term may not be implemented prior to the effective date of the Notice reflecting the change.</w:t>
      </w:r>
    </w:p>
    <w:p w14:paraId="6E59A6E9" w14:textId="77777777" w:rsidR="00020486" w:rsidRDefault="00020486" w:rsidP="009C11B0">
      <w:pPr>
        <w:pStyle w:val="H2Paragraph"/>
      </w:pPr>
      <w:bookmarkStart w:id="102" w:name="_Toc209771820"/>
      <w:r>
        <w:t>Provision and Distribution of the Notice</w:t>
      </w:r>
      <w:bookmarkEnd w:id="102"/>
    </w:p>
    <w:p w14:paraId="006527C4" w14:textId="77777777" w:rsidR="00020486" w:rsidRPr="0065026C" w:rsidRDefault="00020486" w:rsidP="009C11B0">
      <w:pPr>
        <w:pStyle w:val="H3SubParagraph"/>
      </w:pPr>
      <w:r>
        <w:t>Covered component health plans</w:t>
      </w:r>
    </w:p>
    <w:p w14:paraId="43B34C11" w14:textId="77777777" w:rsidR="00020486" w:rsidRDefault="00020486" w:rsidP="009C11B0">
      <w:pPr>
        <w:pStyle w:val="H3Text"/>
      </w:pPr>
      <w:r w:rsidRPr="0065026C">
        <w:t>Covered component health plans need o</w:t>
      </w:r>
      <w:r>
        <w:t>nly provide their Notice to the data subject who is the named insured.  The Notice must be distributed as follows:</w:t>
      </w:r>
    </w:p>
    <w:p w14:paraId="5079F50E" w14:textId="77777777" w:rsidR="00020486" w:rsidRPr="00BD73BE" w:rsidRDefault="00020486">
      <w:pPr>
        <w:pStyle w:val="H3Text"/>
        <w:numPr>
          <w:ilvl w:val="0"/>
          <w:numId w:val="73"/>
        </w:numPr>
      </w:pPr>
      <w:r w:rsidRPr="00BD73BE">
        <w:t>No later than April 14, 2003, for data subjects covered by the plan at that time;</w:t>
      </w:r>
    </w:p>
    <w:p w14:paraId="71BAE9E2" w14:textId="77777777" w:rsidR="00020486" w:rsidRPr="00BD73BE" w:rsidRDefault="00020486">
      <w:pPr>
        <w:pStyle w:val="H3Text"/>
        <w:numPr>
          <w:ilvl w:val="0"/>
          <w:numId w:val="73"/>
        </w:numPr>
      </w:pPr>
      <w:r w:rsidRPr="00BD73BE">
        <w:t>For new enrollees, at the time of enrollment;</w:t>
      </w:r>
    </w:p>
    <w:p w14:paraId="2AAB6E1A" w14:textId="77777777" w:rsidR="00020486" w:rsidRPr="00BD73BE" w:rsidRDefault="00020486">
      <w:pPr>
        <w:pStyle w:val="H3Text"/>
        <w:numPr>
          <w:ilvl w:val="0"/>
          <w:numId w:val="73"/>
        </w:numPr>
      </w:pPr>
      <w:r w:rsidRPr="00BD73BE">
        <w:t>Within 60 days of a material revision to the Notice, to data subjects then covered by the plan; and</w:t>
      </w:r>
    </w:p>
    <w:p w14:paraId="0DAB9D9C" w14:textId="77777777" w:rsidR="00020486" w:rsidRPr="00BD73BE" w:rsidRDefault="00020486">
      <w:pPr>
        <w:pStyle w:val="H3Text"/>
        <w:numPr>
          <w:ilvl w:val="0"/>
          <w:numId w:val="73"/>
        </w:numPr>
      </w:pPr>
      <w:r w:rsidRPr="00BD73BE">
        <w:t xml:space="preserve">At least once every 3 years, data subjects covered by the plan must be notified of the availability of the Notice and how to obtain the Notice. </w:t>
      </w:r>
    </w:p>
    <w:p w14:paraId="0BCA2C10" w14:textId="77777777" w:rsidR="00020486" w:rsidRPr="001531B6" w:rsidRDefault="00020486" w:rsidP="009C11B0">
      <w:pPr>
        <w:pStyle w:val="H3SubParagraph"/>
      </w:pPr>
      <w:r>
        <w:t>Direct health care providers</w:t>
      </w:r>
    </w:p>
    <w:p w14:paraId="660912BD" w14:textId="77777777" w:rsidR="00020486" w:rsidRPr="001531B6" w:rsidRDefault="00020486" w:rsidP="009C11B0">
      <w:pPr>
        <w:pStyle w:val="H3Text"/>
      </w:pPr>
      <w:r w:rsidRPr="001531B6">
        <w:t>Covered component direct health care providers are required to affirmatively</w:t>
      </w:r>
      <w:r>
        <w:t xml:space="preserve"> provide the Notice only when there is a direct treatment relationship with the data subject.  The</w:t>
      </w:r>
      <w:r w:rsidRPr="001531B6">
        <w:t xml:space="preserve"> Notice must be distributed as follows:</w:t>
      </w:r>
    </w:p>
    <w:p w14:paraId="0520CDF5" w14:textId="77777777" w:rsidR="00020486" w:rsidRPr="001531B6" w:rsidRDefault="00020486">
      <w:pPr>
        <w:pStyle w:val="H3Text"/>
        <w:numPr>
          <w:ilvl w:val="0"/>
          <w:numId w:val="74"/>
        </w:numPr>
      </w:pPr>
      <w:r w:rsidRPr="001531B6">
        <w:t xml:space="preserve">No later than the date of the first service delivery, after April 14, 2003, or as soon as reasonably practicable in an emergency situation; </w:t>
      </w:r>
    </w:p>
    <w:p w14:paraId="5689D5B1" w14:textId="77777777" w:rsidR="00020486" w:rsidRPr="001531B6" w:rsidRDefault="00020486">
      <w:pPr>
        <w:pStyle w:val="H3Text"/>
        <w:numPr>
          <w:ilvl w:val="0"/>
          <w:numId w:val="74"/>
        </w:numPr>
      </w:pPr>
      <w:r w:rsidRPr="001531B6">
        <w:t>The covered component provider shall make a good faith effort to obtain a written acknowledgement of receipt of the Notice from the data subject or document why acknowledgment was not obtained;</w:t>
      </w:r>
    </w:p>
    <w:p w14:paraId="00D7CF28" w14:textId="77777777" w:rsidR="00020486" w:rsidRPr="001531B6" w:rsidRDefault="00020486">
      <w:pPr>
        <w:pStyle w:val="H3Text"/>
        <w:numPr>
          <w:ilvl w:val="0"/>
          <w:numId w:val="74"/>
        </w:numPr>
      </w:pPr>
      <w:r w:rsidRPr="001531B6">
        <w:t>Post the current Notice in effect, and make copies available, at the service delivery site;</w:t>
      </w:r>
    </w:p>
    <w:p w14:paraId="7232DB90" w14:textId="77777777" w:rsidR="00020486" w:rsidRPr="001531B6" w:rsidRDefault="00020486">
      <w:pPr>
        <w:pStyle w:val="H3Text"/>
        <w:numPr>
          <w:ilvl w:val="0"/>
          <w:numId w:val="74"/>
        </w:numPr>
      </w:pPr>
      <w:r w:rsidRPr="001531B6">
        <w:t>Post the current Notice in effect on the covered component's web site; and</w:t>
      </w:r>
    </w:p>
    <w:p w14:paraId="241E1FB2" w14:textId="77777777" w:rsidR="00020486" w:rsidRPr="001531B6" w:rsidRDefault="00020486">
      <w:pPr>
        <w:pStyle w:val="H3Text"/>
        <w:numPr>
          <w:ilvl w:val="0"/>
          <w:numId w:val="74"/>
        </w:numPr>
      </w:pPr>
      <w:r w:rsidRPr="001531B6">
        <w:t xml:space="preserve">Upon revision, make the revised Notice available upon request and prominently post the Notice at the site of service delivery. </w:t>
      </w:r>
    </w:p>
    <w:p w14:paraId="32B2C2C3" w14:textId="77777777" w:rsidR="00020486" w:rsidRPr="001531B6" w:rsidRDefault="00020486" w:rsidP="009C11B0">
      <w:pPr>
        <w:pStyle w:val="H3SubParagraph"/>
      </w:pPr>
      <w:r>
        <w:t xml:space="preserve">Indirect health care providers </w:t>
      </w:r>
    </w:p>
    <w:p w14:paraId="0EE6772E" w14:textId="77777777" w:rsidR="00020486" w:rsidRDefault="00020486" w:rsidP="009C11B0">
      <w:pPr>
        <w:pStyle w:val="H3Text"/>
      </w:pPr>
      <w:r w:rsidRPr="001531B6">
        <w:t>Covered component indirect health care providers such as clinical laboratories,</w:t>
      </w:r>
      <w:r>
        <w:t xml:space="preserve"> are only required to distribute a Notice upon request.</w:t>
      </w:r>
    </w:p>
    <w:p w14:paraId="3A76C600" w14:textId="77777777" w:rsidR="00020486" w:rsidRPr="001531B6" w:rsidRDefault="00020486" w:rsidP="009C11B0">
      <w:pPr>
        <w:pStyle w:val="H3SubParagraph"/>
      </w:pPr>
      <w:r>
        <w:t>Distribution by Business Associates</w:t>
      </w:r>
      <w:r>
        <w:rPr>
          <w:rStyle w:val="FootnoteReference"/>
        </w:rPr>
        <w:footnoteReference w:id="31"/>
      </w:r>
    </w:p>
    <w:p w14:paraId="7996C0DE" w14:textId="77777777" w:rsidR="00020486" w:rsidRPr="001531B6" w:rsidRDefault="00020486" w:rsidP="009C11B0">
      <w:pPr>
        <w:pStyle w:val="H3Text"/>
      </w:pPr>
      <w:r w:rsidRPr="001531B6">
        <w:t>A covered health care component can make arrangements with a business associate (BA) to distribute its Notice.  However, the covered component remains responsible for the Notice.</w:t>
      </w:r>
    </w:p>
    <w:p w14:paraId="277200CE" w14:textId="77777777" w:rsidR="00020486" w:rsidRPr="001531B6" w:rsidRDefault="00020486" w:rsidP="009C11B0">
      <w:pPr>
        <w:pStyle w:val="H3Text"/>
      </w:pPr>
      <w:r w:rsidRPr="001531B6">
        <w:t>If a MDPH covered component arranges for its BA to distribute the Notice, this must be explicitly stated in the BA agreement, along with a requirement that the BA demonstrate full compliance with this obligation.  If the BA is a provider on the covered component's behalf, it will need to make a good faith effort to obtain an acknowledgement of receipt of the Notice and maintain or provide to the covered component the acknowledgement documentation.</w:t>
      </w:r>
    </w:p>
    <w:p w14:paraId="5B95B7ED" w14:textId="77777777" w:rsidR="00020486" w:rsidRDefault="00020486" w:rsidP="009C11B0">
      <w:pPr>
        <w:pStyle w:val="H2Paragraph"/>
      </w:pPr>
      <w:bookmarkStart w:id="104" w:name="_Toc209771821"/>
      <w:r>
        <w:t>Documentation Requirements</w:t>
      </w:r>
      <w:bookmarkEnd w:id="104"/>
      <w:r>
        <w:t xml:space="preserve"> </w:t>
      </w:r>
    </w:p>
    <w:p w14:paraId="19BDD7D1" w14:textId="77777777" w:rsidR="00020486" w:rsidRDefault="00020486" w:rsidP="009C11B0">
      <w:pPr>
        <w:pStyle w:val="H3Text"/>
      </w:pPr>
      <w:r>
        <w:t>The covered component must retain the following documentation for six (6) years, or longer if required by the Commonwealth’s Records Conservation Board</w:t>
      </w:r>
      <w:r>
        <w:rPr>
          <w:rStyle w:val="FootnoteReference"/>
        </w:rPr>
        <w:footnoteReference w:id="32"/>
      </w:r>
      <w:r>
        <w:t>:</w:t>
      </w:r>
    </w:p>
    <w:p w14:paraId="230D22CD" w14:textId="77777777" w:rsidR="00020486" w:rsidRDefault="00020486">
      <w:pPr>
        <w:pStyle w:val="H3Text"/>
        <w:numPr>
          <w:ilvl w:val="0"/>
          <w:numId w:val="75"/>
        </w:numPr>
      </w:pPr>
      <w:r>
        <w:t>Copies of all Notices issued, including those no longer in effect; and</w:t>
      </w:r>
    </w:p>
    <w:p w14:paraId="49FCDCF3" w14:textId="77777777" w:rsidR="00020486" w:rsidRDefault="00020486">
      <w:pPr>
        <w:pStyle w:val="H3Text"/>
        <w:numPr>
          <w:ilvl w:val="0"/>
          <w:numId w:val="75"/>
        </w:numPr>
      </w:pPr>
      <w:r>
        <w:t>Copies of written acknowledgments or the documentation of good faith efforts to obtain acknowledgment.</w:t>
      </w:r>
    </w:p>
    <w:p w14:paraId="04B54540" w14:textId="77777777" w:rsidR="00020486" w:rsidRDefault="00020486"/>
    <w:p w14:paraId="392E5C1A" w14:textId="77777777" w:rsidR="00020486" w:rsidRDefault="00020486"/>
    <w:p w14:paraId="42901F98" w14:textId="77777777" w:rsidR="00020486" w:rsidRPr="00FB326F" w:rsidRDefault="00020486" w:rsidP="009C11B0"/>
    <w:p w14:paraId="2E18F55E" w14:textId="77777777" w:rsidR="00020486" w:rsidRPr="00022A2C" w:rsidRDefault="00020486" w:rsidP="009C11B0">
      <w:pPr>
        <w:rPr>
          <w:rFonts w:cs="Arial"/>
          <w:u w:val="single"/>
        </w:rPr>
      </w:pPr>
      <w:r w:rsidRPr="00022A2C">
        <w:rPr>
          <w:rFonts w:cs="Arial"/>
          <w:u w:val="single"/>
        </w:rPr>
        <w:t>Authority:</w:t>
      </w:r>
    </w:p>
    <w:p w14:paraId="0E89E740" w14:textId="77777777" w:rsidR="00020486" w:rsidRDefault="00020486" w:rsidP="009C11B0">
      <w:pPr>
        <w:pStyle w:val="H3Text"/>
      </w:pPr>
      <w:r>
        <w:t>45 C.F.R. § 164.520</w:t>
      </w:r>
    </w:p>
    <w:p w14:paraId="7B63367B" w14:textId="77777777" w:rsidR="00A55A2F" w:rsidRDefault="00A55A2F" w:rsidP="009C11B0">
      <w:pPr>
        <w:pStyle w:val="H3Text"/>
      </w:pPr>
    </w:p>
    <w:p w14:paraId="5B793C65" w14:textId="77777777" w:rsidR="00444DFF" w:rsidRDefault="00444DFF" w:rsidP="00020486">
      <w:pPr>
        <w:sectPr w:rsidR="00444DFF" w:rsidSect="00D87220">
          <w:headerReference w:type="default" r:id="rId81"/>
          <w:footerReference w:type="default" r:id="rId82"/>
          <w:footnotePr>
            <w:numRestart w:val="eachSect"/>
          </w:footnotePr>
          <w:pgSz w:w="12240" w:h="15840"/>
          <w:pgMar w:top="1440" w:right="1440" w:bottom="1440" w:left="1800" w:header="720" w:footer="720" w:gutter="0"/>
          <w:cols w:space="720"/>
          <w:docGrid w:linePitch="360"/>
        </w:sectPr>
      </w:pPr>
    </w:p>
    <w:p w14:paraId="550EC6BB" w14:textId="77777777" w:rsidR="008520CE" w:rsidRDefault="008520CE" w:rsidP="008028A4">
      <w:pPr>
        <w:pStyle w:val="H1ProcedureSection"/>
      </w:pPr>
      <w:bookmarkStart w:id="106" w:name="_Toc209771822"/>
      <w:r>
        <w:t>Procedure CC-2  Business Associate Agreements</w:t>
      </w:r>
      <w:bookmarkEnd w:id="106"/>
    </w:p>
    <w:p w14:paraId="32EADE2F" w14:textId="77777777" w:rsidR="008520CE" w:rsidRPr="00823663" w:rsidRDefault="008520CE" w:rsidP="009C11B0">
      <w:pPr>
        <w:pStyle w:val="Version"/>
      </w:pPr>
      <w:r w:rsidRPr="007F4964">
        <w:t xml:space="preserve">Version:  </w:t>
      </w:r>
      <w:r>
        <w:t>3</w:t>
      </w:r>
      <w:r w:rsidRPr="007F4964">
        <w:tab/>
        <w:t xml:space="preserve">Effective Date:  </w:t>
      </w:r>
      <w:r>
        <w:t>April 21, 2008</w:t>
      </w:r>
    </w:p>
    <w:p w14:paraId="775A7A47" w14:textId="77777777" w:rsidR="008520CE" w:rsidRDefault="008520CE">
      <w:pPr>
        <w:pStyle w:val="H2Paragraph"/>
        <w:numPr>
          <w:ilvl w:val="0"/>
          <w:numId w:val="92"/>
        </w:numPr>
      </w:pPr>
      <w:bookmarkStart w:id="107" w:name="_Toc209771823"/>
      <w:r>
        <w:t>Purpose and Scope</w:t>
      </w:r>
      <w:bookmarkEnd w:id="107"/>
    </w:p>
    <w:p w14:paraId="6511E163" w14:textId="77777777" w:rsidR="008520CE" w:rsidRDefault="008520CE" w:rsidP="009C11B0">
      <w:pPr>
        <w:pStyle w:val="H3Text"/>
      </w:pPr>
      <w:r>
        <w:t xml:space="preserve">This procedure provides instructions to all covered components regarding the necessity for and the required content of agreements with a business associate (BA).  It pertains to the BA’s receipt, use and development of confidential information from or on behalf of the MDPH covered component. </w:t>
      </w:r>
    </w:p>
    <w:p w14:paraId="7A008CDF" w14:textId="77777777" w:rsidR="008520CE" w:rsidRDefault="008520CE" w:rsidP="009C11B0">
      <w:pPr>
        <w:pStyle w:val="H3Text"/>
      </w:pPr>
      <w:r>
        <w:t>Programs that are not covered components are not required to enter into business associate agreements; however, if they contract with a vendor or provider to share or create confidential information on behalf of the Department, they must ensure that the contractor or vendor signs a confidentiality agreement as part of the contract.  While both the BA and the confidentiality agreements are designed to protect the privacy and security of the Department’s data, the main difference is that only the BA ties into the HIPAA Privacy Rule.</w:t>
      </w:r>
    </w:p>
    <w:p w14:paraId="02293529" w14:textId="77777777" w:rsidR="008520CE" w:rsidRDefault="008520CE" w:rsidP="009C11B0">
      <w:pPr>
        <w:pStyle w:val="H2Paragraph"/>
      </w:pPr>
      <w:bookmarkStart w:id="108" w:name="_Toc209771824"/>
      <w:r>
        <w:t>General Requirements</w:t>
      </w:r>
      <w:bookmarkEnd w:id="108"/>
    </w:p>
    <w:p w14:paraId="01E919F9" w14:textId="77777777" w:rsidR="008520CE" w:rsidRDefault="008520CE" w:rsidP="009C11B0">
      <w:pPr>
        <w:pStyle w:val="H3Text"/>
      </w:pPr>
      <w:r>
        <w:t>The covered component may disclose confidential information to a BA or allow a BA to create or receive confidential information on the covered component's behalf if the covered component obtains adequate assurance that the BA will appropriately safeguard the confidential information.  Such assurances shall be included in the underlying contract, an amendment to the underlying contract, or a separate Business Associate Agreement (BAA).</w:t>
      </w:r>
    </w:p>
    <w:p w14:paraId="66962226" w14:textId="77777777" w:rsidR="008520CE" w:rsidRDefault="008520CE">
      <w:pPr>
        <w:pStyle w:val="H3Text"/>
        <w:numPr>
          <w:ilvl w:val="0"/>
          <w:numId w:val="77"/>
        </w:numPr>
      </w:pPr>
      <w:r>
        <w:t xml:space="preserve">Each covered component should evaluate every contract it maintains where there is access to confidential health information utilizing the </w:t>
      </w:r>
      <w:r w:rsidRPr="00DA27D4">
        <w:t>Department’s BA decision-tre</w:t>
      </w:r>
      <w:bookmarkStart w:id="109" w:name="_Hlt65048122"/>
      <w:r w:rsidRPr="00DA27D4">
        <w:t>e</w:t>
      </w:r>
      <w:bookmarkEnd w:id="109"/>
      <w:r>
        <w:t>.</w:t>
      </w:r>
    </w:p>
    <w:p w14:paraId="28A90197" w14:textId="77777777" w:rsidR="008520CE" w:rsidRDefault="008520CE">
      <w:pPr>
        <w:pStyle w:val="H3Text"/>
        <w:numPr>
          <w:ilvl w:val="0"/>
          <w:numId w:val="77"/>
        </w:numPr>
      </w:pPr>
      <w:r>
        <w:t xml:space="preserve">Once a BA is identified, the covered component should work with the Office of the General Counsel to adapt the Department’s </w:t>
      </w:r>
      <w:r w:rsidRPr="00E10223">
        <w:t>model business associate agre</w:t>
      </w:r>
      <w:bookmarkStart w:id="110" w:name="_Hlt66438704"/>
      <w:r w:rsidRPr="00E10223">
        <w:t>e</w:t>
      </w:r>
      <w:bookmarkEnd w:id="110"/>
      <w:r w:rsidRPr="00E10223">
        <w:t>ment</w:t>
      </w:r>
      <w:r>
        <w:t xml:space="preserve"> for the particular BA relationship.</w:t>
      </w:r>
    </w:p>
    <w:p w14:paraId="76AEBE5E" w14:textId="77777777" w:rsidR="008520CE" w:rsidRDefault="008520CE">
      <w:pPr>
        <w:pStyle w:val="H3Text"/>
        <w:numPr>
          <w:ilvl w:val="0"/>
          <w:numId w:val="77"/>
        </w:numPr>
      </w:pPr>
      <w:r>
        <w:t>Each BA agreement, along with the underlying contract, should be maintained by the covered component for six years, or longer if required by the Commonwealth’s Records Conservation Board.</w:t>
      </w:r>
      <w:r>
        <w:rPr>
          <w:rStyle w:val="FootnoteReference"/>
        </w:rPr>
        <w:footnoteReference w:id="33"/>
      </w:r>
    </w:p>
    <w:p w14:paraId="28CA050D" w14:textId="77777777" w:rsidR="008520CE" w:rsidRDefault="008520CE" w:rsidP="009C11B0">
      <w:pPr>
        <w:pStyle w:val="H2Paragraph"/>
      </w:pPr>
      <w:bookmarkStart w:id="111" w:name="_Toc209771825"/>
      <w:r>
        <w:t>Exceptions to the BAA Requirements</w:t>
      </w:r>
      <w:bookmarkEnd w:id="111"/>
      <w:r>
        <w:t xml:space="preserve"> </w:t>
      </w:r>
    </w:p>
    <w:p w14:paraId="69308296" w14:textId="77777777" w:rsidR="008520CE" w:rsidRDefault="008520CE" w:rsidP="009C11B0">
      <w:pPr>
        <w:pStyle w:val="H3Text"/>
      </w:pPr>
      <w:r>
        <w:t>The BAA requirements do not apply to:</w:t>
      </w:r>
    </w:p>
    <w:p w14:paraId="050E9D8C" w14:textId="77777777" w:rsidR="008520CE" w:rsidRDefault="008520CE">
      <w:pPr>
        <w:pStyle w:val="H3Text"/>
        <w:numPr>
          <w:ilvl w:val="0"/>
          <w:numId w:val="78"/>
        </w:numPr>
      </w:pPr>
      <w:r>
        <w:t>Disclosures by a covered entity to a health care provider for treatment of an individual;</w:t>
      </w:r>
    </w:p>
    <w:p w14:paraId="1CBEAA4D" w14:textId="77777777" w:rsidR="008520CE" w:rsidRDefault="008520CE">
      <w:pPr>
        <w:pStyle w:val="H3Text"/>
        <w:numPr>
          <w:ilvl w:val="0"/>
          <w:numId w:val="78"/>
        </w:numPr>
      </w:pPr>
      <w:r>
        <w:t>Uses or disclosures made to another governmental agency for purposes of public health eligibility or enrollment determinations where such agency is authorized by law to make these determinations;</w:t>
      </w:r>
    </w:p>
    <w:p w14:paraId="5998066A" w14:textId="77777777" w:rsidR="008520CE" w:rsidRDefault="008520CE">
      <w:pPr>
        <w:pStyle w:val="H3Text"/>
        <w:numPr>
          <w:ilvl w:val="0"/>
          <w:numId w:val="78"/>
        </w:numPr>
      </w:pPr>
      <w:r>
        <w:t>Contracts with persons or organizations whose functions do not involve the use of confidential information; or</w:t>
      </w:r>
    </w:p>
    <w:p w14:paraId="383B046C" w14:textId="77777777" w:rsidR="008520CE" w:rsidRDefault="008520CE">
      <w:pPr>
        <w:pStyle w:val="H3Text"/>
        <w:numPr>
          <w:ilvl w:val="0"/>
          <w:numId w:val="78"/>
        </w:numPr>
      </w:pPr>
      <w:r>
        <w:t>The disclosure of confidential information to a researcher for research purposes either with an authorization, pursuant to a waiver, or as a limited data set.</w:t>
      </w:r>
    </w:p>
    <w:p w14:paraId="4B257D00" w14:textId="77777777" w:rsidR="008520CE" w:rsidRDefault="008520CE" w:rsidP="009C11B0">
      <w:pPr>
        <w:pStyle w:val="H2Paragraph"/>
      </w:pPr>
      <w:bookmarkStart w:id="112" w:name="_Toc209771826"/>
      <w:r>
        <w:t>Required Content</w:t>
      </w:r>
      <w:bookmarkEnd w:id="112"/>
    </w:p>
    <w:p w14:paraId="783933B3" w14:textId="77777777" w:rsidR="008520CE" w:rsidRDefault="008520CE" w:rsidP="009C11B0">
      <w:pPr>
        <w:pStyle w:val="H3Text"/>
      </w:pPr>
      <w:r>
        <w:t>The agreement between the covered component and the BA must include language that provides the business associate will:</w:t>
      </w:r>
    </w:p>
    <w:p w14:paraId="45815DE7" w14:textId="77777777" w:rsidR="008520CE" w:rsidRDefault="008520CE">
      <w:pPr>
        <w:pStyle w:val="H3Text"/>
        <w:numPr>
          <w:ilvl w:val="0"/>
          <w:numId w:val="79"/>
        </w:numPr>
      </w:pPr>
      <w:r>
        <w:t>Not use or further disclose the information other than as permitted or required by the contract or as required by law;</w:t>
      </w:r>
    </w:p>
    <w:p w14:paraId="0EFC34C6" w14:textId="77777777" w:rsidR="008520CE" w:rsidRDefault="008520CE">
      <w:pPr>
        <w:pStyle w:val="H3Text"/>
        <w:numPr>
          <w:ilvl w:val="0"/>
          <w:numId w:val="79"/>
        </w:numPr>
      </w:pPr>
      <w:r>
        <w:t>Use appropriate safeguards to prevent unauthorized use or disclosure of the information;</w:t>
      </w:r>
    </w:p>
    <w:p w14:paraId="7C8138D6" w14:textId="77777777" w:rsidR="008520CE" w:rsidRDefault="008520CE">
      <w:pPr>
        <w:pStyle w:val="H3Text"/>
        <w:numPr>
          <w:ilvl w:val="0"/>
          <w:numId w:val="79"/>
        </w:numPr>
      </w:pPr>
      <w:r>
        <w:t>Report unauthorized uses or disclosures or security breaches to the covered component;</w:t>
      </w:r>
    </w:p>
    <w:p w14:paraId="046E70B1" w14:textId="77777777" w:rsidR="008520CE" w:rsidRDefault="008520CE">
      <w:pPr>
        <w:pStyle w:val="H3Text"/>
        <w:numPr>
          <w:ilvl w:val="0"/>
          <w:numId w:val="79"/>
        </w:numPr>
      </w:pPr>
      <w:r>
        <w:t>Ensure that any agents, including a subcontractor, agree to the same restrictions and conditions that apply to the BA with respect to the confidential information and security protections;</w:t>
      </w:r>
    </w:p>
    <w:p w14:paraId="1BE5EF06" w14:textId="77777777" w:rsidR="008520CE" w:rsidRDefault="008520CE">
      <w:pPr>
        <w:pStyle w:val="H3Text"/>
        <w:numPr>
          <w:ilvl w:val="0"/>
          <w:numId w:val="79"/>
        </w:numPr>
      </w:pPr>
      <w:r>
        <w:t>Make confidential information available for access by the data subject or his/her personal representative within time frames established in the agreement;</w:t>
      </w:r>
    </w:p>
    <w:p w14:paraId="5F0F7FE9" w14:textId="77777777" w:rsidR="008520CE" w:rsidRDefault="008520CE">
      <w:pPr>
        <w:pStyle w:val="H3Text"/>
        <w:numPr>
          <w:ilvl w:val="0"/>
          <w:numId w:val="79"/>
        </w:numPr>
      </w:pPr>
      <w:r>
        <w:t>Make confidential information available for amendment, and incorporate any approved amendments to confidential information, within time frames established in the agreement;</w:t>
      </w:r>
    </w:p>
    <w:p w14:paraId="70AAF977" w14:textId="77777777" w:rsidR="008520CE" w:rsidRDefault="008520CE">
      <w:pPr>
        <w:pStyle w:val="H3Text"/>
        <w:numPr>
          <w:ilvl w:val="0"/>
          <w:numId w:val="79"/>
        </w:numPr>
      </w:pPr>
      <w:r>
        <w:t>Make available the information required to provide a full accounting of disclosures, except for disclosures to the data subject, to his/her personal representative, or</w:t>
      </w:r>
    </w:p>
    <w:p w14:paraId="6A3132AE" w14:textId="77777777" w:rsidR="008520CE" w:rsidRDefault="008520CE">
      <w:pPr>
        <w:pStyle w:val="H3Text"/>
        <w:numPr>
          <w:ilvl w:val="0"/>
          <w:numId w:val="79"/>
        </w:numPr>
      </w:pPr>
      <w:r>
        <w:t>Make its internal practices, books, and records relating to the use and disclosure of individually identifiable health information received from, or created by or on behalf of the organization, available to the U.S. Secretary of Health and Human Services for purposes of determining the covered component's compliance with HIPAA;</w:t>
      </w:r>
    </w:p>
    <w:p w14:paraId="7C721F24" w14:textId="77777777" w:rsidR="008520CE" w:rsidRDefault="008520CE">
      <w:pPr>
        <w:pStyle w:val="H3Text"/>
        <w:numPr>
          <w:ilvl w:val="0"/>
          <w:numId w:val="79"/>
        </w:numPr>
      </w:pPr>
      <w:r>
        <w:t>Return or destroy all confidential information received from, created by, or on behalf of the covered component at termination of the contract, if feasible. If such return or destruction is not feasible and any confidential information is retained, extend the full protections in the BA agreement as long as the confidential information is maintained and limit further uses and disclosures to those purposes that make the return or destruction of the information infeasible; and</w:t>
      </w:r>
    </w:p>
    <w:p w14:paraId="4121916D" w14:textId="77777777" w:rsidR="008520CE" w:rsidRDefault="008520CE">
      <w:pPr>
        <w:pStyle w:val="H3Text"/>
        <w:numPr>
          <w:ilvl w:val="0"/>
          <w:numId w:val="79"/>
        </w:numPr>
      </w:pPr>
      <w:r>
        <w:t>Be subject to termination of the agreement upon the BA's violation of a material term of the agreement.</w:t>
      </w:r>
    </w:p>
    <w:p w14:paraId="3FD4EB6C" w14:textId="77777777" w:rsidR="008520CE" w:rsidRDefault="008520CE" w:rsidP="009C11B0">
      <w:pPr>
        <w:pStyle w:val="H2Paragraph"/>
      </w:pPr>
      <w:bookmarkStart w:id="113" w:name="_Toc209771827"/>
      <w:r>
        <w:t>BA Agreements When Both Entities are Governmental Agencies</w:t>
      </w:r>
      <w:bookmarkEnd w:id="113"/>
    </w:p>
    <w:p w14:paraId="66586C7E" w14:textId="77777777" w:rsidR="008520CE" w:rsidRDefault="008520CE" w:rsidP="009C11B0">
      <w:pPr>
        <w:pStyle w:val="H3Text"/>
      </w:pPr>
      <w:r>
        <w:t>The covered component may comply with this procedure by entering into a Memorandum of Understanding (MOU) or Interagency Service Agreement (ISA) that contains terms that accomplishes the BA agreement objectives.</w:t>
      </w:r>
    </w:p>
    <w:p w14:paraId="69470AF1" w14:textId="77777777" w:rsidR="008520CE" w:rsidRDefault="008520CE" w:rsidP="009C11B0">
      <w:pPr>
        <w:pStyle w:val="H3Text"/>
      </w:pPr>
      <w:r>
        <w:t>The covered component may comply with this procedure, without entering into an agreement if other law (including regulations adopted by MDPH or the governmental agency that is the BA) contains requirements applicable to the BA that accomplish the objectives of a BA agreement.</w:t>
      </w:r>
    </w:p>
    <w:p w14:paraId="657BB257" w14:textId="77777777" w:rsidR="008520CE" w:rsidRDefault="008520CE" w:rsidP="009C11B0">
      <w:pPr>
        <w:pStyle w:val="H3Text"/>
      </w:pPr>
      <w:r>
        <w:t>The covered component may omit a termination procedure from the agreement if it is inconsistent with the statutory obligations of the covered component of the agency that is the BA.</w:t>
      </w:r>
    </w:p>
    <w:p w14:paraId="557597EF" w14:textId="77777777" w:rsidR="008520CE" w:rsidRDefault="008520CE" w:rsidP="009C11B0">
      <w:pPr>
        <w:pStyle w:val="H2Paragraph"/>
      </w:pPr>
      <w:bookmarkStart w:id="114" w:name="_Toc209771828"/>
      <w:r>
        <w:t>BA Oversight Responsibility</w:t>
      </w:r>
      <w:bookmarkEnd w:id="114"/>
      <w:r>
        <w:t xml:space="preserve"> </w:t>
      </w:r>
    </w:p>
    <w:p w14:paraId="1B528DFC" w14:textId="77777777" w:rsidR="008520CE" w:rsidRPr="00755066" w:rsidRDefault="008520CE" w:rsidP="009C11B0">
      <w:pPr>
        <w:pStyle w:val="H3Text"/>
      </w:pPr>
      <w:r>
        <w:t xml:space="preserve">There is no affirmative responsibility imposed by HIPAA to monitor the BA.  If, however, a covered component knows of a pattern or practice of the BA that amounts to a material violation of the BA agreement, the entity must attempt to mitigate the breach or end the violation.  If the attempted mitigation is unsuccessful, the covered component shall terminate the agreement if feasible.  If termination is not feasible, the covered component must report the problem to the Office of the U.S. Secretary of Health and Human Services.  </w:t>
      </w:r>
    </w:p>
    <w:p w14:paraId="491DAE13" w14:textId="77777777" w:rsidR="008520CE" w:rsidRPr="00755066" w:rsidRDefault="008520CE" w:rsidP="009C11B0"/>
    <w:p w14:paraId="12ABEB38" w14:textId="77777777" w:rsidR="008520CE" w:rsidRDefault="008520CE" w:rsidP="009C11B0"/>
    <w:p w14:paraId="686B6E6D" w14:textId="77777777" w:rsidR="008520CE" w:rsidRPr="00755066" w:rsidRDefault="008520CE" w:rsidP="009C11B0"/>
    <w:p w14:paraId="7C783671" w14:textId="77777777" w:rsidR="008520CE" w:rsidRPr="00022A2C" w:rsidRDefault="008520CE" w:rsidP="009C11B0">
      <w:pPr>
        <w:rPr>
          <w:rFonts w:cs="Arial"/>
          <w:u w:val="single"/>
        </w:rPr>
      </w:pPr>
      <w:r w:rsidRPr="00022A2C">
        <w:rPr>
          <w:rFonts w:cs="Arial"/>
          <w:u w:val="single"/>
        </w:rPr>
        <w:t>Authority:</w:t>
      </w:r>
    </w:p>
    <w:p w14:paraId="2ACD8E01" w14:textId="77777777" w:rsidR="008520CE" w:rsidRDefault="008520CE" w:rsidP="009C11B0">
      <w:pPr>
        <w:pStyle w:val="H3Text"/>
      </w:pPr>
      <w:r>
        <w:t xml:space="preserve">45 C.F.R. § 164.502(e)(1)(ii); </w:t>
      </w:r>
      <w:r>
        <w:br/>
        <w:t>45 C.F.R. § 164.504(e)(2) and (3);</w:t>
      </w:r>
      <w:r>
        <w:br/>
        <w:t>45 C.F.R. §  164.532(e)</w:t>
      </w:r>
    </w:p>
    <w:p w14:paraId="2ACD8712" w14:textId="77777777" w:rsidR="008520CE" w:rsidRDefault="008520CE" w:rsidP="009C11B0">
      <w:pPr>
        <w:rPr>
          <w:rFonts w:cs="Arial"/>
          <w:sz w:val="22"/>
          <w:szCs w:val="22"/>
          <w:u w:val="single"/>
        </w:rPr>
      </w:pPr>
      <w:r>
        <w:rPr>
          <w:rFonts w:cs="Arial"/>
          <w:sz w:val="22"/>
          <w:szCs w:val="22"/>
          <w:u w:val="single"/>
        </w:rPr>
        <w:t xml:space="preserve">For a suggested forms and resources; </w:t>
      </w:r>
    </w:p>
    <w:p w14:paraId="29C374B0" w14:textId="77777777" w:rsidR="008520CE" w:rsidRPr="00755066" w:rsidRDefault="008520CE" w:rsidP="009C11B0">
      <w:pPr>
        <w:pStyle w:val="H3Text"/>
        <w:rPr>
          <w:u w:val="single"/>
        </w:rPr>
      </w:pPr>
      <w:r w:rsidRPr="00755066">
        <w:t>Business Associate Agreement Model Forms</w:t>
      </w:r>
      <w:r>
        <w:t xml:space="preserve">  &amp;  </w:t>
      </w:r>
      <w:r w:rsidRPr="00755066">
        <w:t>Business Associate Decision Tree</w:t>
      </w:r>
      <w:r>
        <w:t xml:space="preserve"> </w:t>
      </w:r>
      <w:r w:rsidRPr="003324C0">
        <w:t>See Healthnet, look under the Privacy &amp; Data Access pages</w:t>
      </w:r>
      <w:r>
        <w:t xml:space="preserve">, forms may be found under “Model Forms.” </w:t>
      </w:r>
      <w:r w:rsidRPr="003324C0">
        <w:t xml:space="preserve"> (available to MDPH Intranet users only)</w:t>
      </w:r>
    </w:p>
    <w:p w14:paraId="4A6051CA" w14:textId="77777777" w:rsidR="000E429F" w:rsidRDefault="000E429F" w:rsidP="008520CE">
      <w:pPr>
        <w:sectPr w:rsidR="000E429F" w:rsidSect="00D87220">
          <w:headerReference w:type="default" r:id="rId83"/>
          <w:footerReference w:type="default" r:id="rId84"/>
          <w:footnotePr>
            <w:numRestart w:val="eachSect"/>
          </w:footnotePr>
          <w:pgSz w:w="12240" w:h="15840"/>
          <w:pgMar w:top="1440" w:right="1440" w:bottom="1440" w:left="1800" w:header="720" w:footer="720" w:gutter="0"/>
          <w:cols w:space="720"/>
          <w:docGrid w:linePitch="360"/>
        </w:sectPr>
      </w:pPr>
    </w:p>
    <w:p w14:paraId="6C2E81A8" w14:textId="77777777" w:rsidR="008355B4" w:rsidRDefault="008355B4" w:rsidP="008355B4">
      <w:pPr>
        <w:jc w:val="left"/>
        <w:rPr>
          <w:rFonts w:cs="Arial"/>
        </w:rPr>
      </w:pPr>
    </w:p>
    <w:p w14:paraId="4F30EA9D" w14:textId="77777777" w:rsidR="008355B4" w:rsidRDefault="008355B4" w:rsidP="008355B4">
      <w:pPr>
        <w:jc w:val="left"/>
        <w:rPr>
          <w:rFonts w:cs="Arial"/>
        </w:rPr>
      </w:pPr>
    </w:p>
    <w:p w14:paraId="22A5681F" w14:textId="77777777" w:rsidR="008355B4" w:rsidRDefault="008355B4" w:rsidP="008355B4">
      <w:pPr>
        <w:jc w:val="left"/>
        <w:rPr>
          <w:rFonts w:cs="Arial"/>
        </w:rPr>
      </w:pPr>
    </w:p>
    <w:p w14:paraId="3E9833FF" w14:textId="77777777" w:rsidR="008355B4" w:rsidRDefault="008355B4" w:rsidP="008355B4">
      <w:pPr>
        <w:jc w:val="left"/>
        <w:rPr>
          <w:rFonts w:cs="Arial"/>
        </w:rPr>
      </w:pPr>
    </w:p>
    <w:p w14:paraId="700F8318" w14:textId="77777777" w:rsidR="008355B4" w:rsidRDefault="008355B4" w:rsidP="008355B4">
      <w:pPr>
        <w:jc w:val="left"/>
        <w:rPr>
          <w:rFonts w:cs="Arial"/>
        </w:rPr>
      </w:pPr>
    </w:p>
    <w:p w14:paraId="1E25182C" w14:textId="77777777" w:rsidR="008355B4" w:rsidRDefault="008355B4" w:rsidP="008355B4">
      <w:pPr>
        <w:jc w:val="left"/>
        <w:rPr>
          <w:rFonts w:cs="Arial"/>
        </w:rPr>
      </w:pPr>
    </w:p>
    <w:p w14:paraId="101D0B8E" w14:textId="77777777" w:rsidR="008355B4" w:rsidRDefault="008355B4" w:rsidP="008355B4">
      <w:pPr>
        <w:jc w:val="left"/>
        <w:rPr>
          <w:rFonts w:cs="Arial"/>
        </w:rPr>
      </w:pPr>
    </w:p>
    <w:p w14:paraId="45510992" w14:textId="77777777" w:rsidR="008355B4" w:rsidRDefault="008355B4" w:rsidP="008355B4">
      <w:pPr>
        <w:jc w:val="left"/>
        <w:rPr>
          <w:rFonts w:cs="Arial"/>
        </w:rPr>
      </w:pPr>
    </w:p>
    <w:p w14:paraId="50E90EB7" w14:textId="77777777" w:rsidR="008355B4" w:rsidRDefault="008355B4" w:rsidP="008355B4">
      <w:pPr>
        <w:jc w:val="left"/>
        <w:rPr>
          <w:rFonts w:cs="Arial"/>
        </w:rPr>
      </w:pPr>
    </w:p>
    <w:p w14:paraId="17E652CE" w14:textId="77777777" w:rsidR="008355B4" w:rsidRDefault="008355B4" w:rsidP="008355B4">
      <w:pPr>
        <w:jc w:val="center"/>
        <w:rPr>
          <w:rFonts w:cs="Arial"/>
        </w:rPr>
      </w:pPr>
      <w:r>
        <w:rPr>
          <w:rFonts w:cs="Arial"/>
        </w:rPr>
        <w:t>( Page intentionally blank )</w:t>
      </w:r>
    </w:p>
    <w:p w14:paraId="7A0377E2" w14:textId="77777777" w:rsidR="008355B4" w:rsidRDefault="008355B4" w:rsidP="008355B4">
      <w:pPr>
        <w:jc w:val="left"/>
        <w:rPr>
          <w:rFonts w:cs="Arial"/>
        </w:rPr>
      </w:pPr>
    </w:p>
    <w:p w14:paraId="721B0B24" w14:textId="77777777" w:rsidR="008355B4" w:rsidRDefault="008355B4" w:rsidP="008355B4">
      <w:pPr>
        <w:sectPr w:rsidR="008355B4" w:rsidSect="003173E2">
          <w:pgSz w:w="12240" w:h="15840" w:code="1"/>
          <w:pgMar w:top="1080" w:right="1440" w:bottom="1440" w:left="1800" w:header="720" w:footer="720" w:gutter="0"/>
          <w:cols w:space="720"/>
          <w:docGrid w:linePitch="360"/>
        </w:sectPr>
      </w:pPr>
    </w:p>
    <w:p w14:paraId="12874F9A" w14:textId="77777777" w:rsidR="000E429F" w:rsidRDefault="000E429F" w:rsidP="008028A4">
      <w:pPr>
        <w:pStyle w:val="H1ProcedureSection"/>
      </w:pPr>
      <w:bookmarkStart w:id="115" w:name="_Toc209771829"/>
      <w:r>
        <w:t>Procedure CC-3  Designated Record Sets</w:t>
      </w:r>
      <w:bookmarkEnd w:id="115"/>
      <w:r>
        <w:t xml:space="preserve"> </w:t>
      </w:r>
    </w:p>
    <w:p w14:paraId="6C059398" w14:textId="77777777" w:rsidR="000E429F" w:rsidRPr="001F6B1B" w:rsidRDefault="000E429F" w:rsidP="009C11B0">
      <w:pPr>
        <w:pStyle w:val="Version"/>
      </w:pPr>
      <w:r w:rsidRPr="007F4964">
        <w:t xml:space="preserve">Version:  </w:t>
      </w:r>
      <w:r>
        <w:t>3</w:t>
      </w:r>
      <w:r w:rsidRPr="007F4964">
        <w:tab/>
        <w:t xml:space="preserve">Effective Date:  </w:t>
      </w:r>
      <w:r>
        <w:t>April 21, 2008</w:t>
      </w:r>
    </w:p>
    <w:p w14:paraId="2CFC2774" w14:textId="77777777" w:rsidR="000E429F" w:rsidRDefault="000E429F">
      <w:pPr>
        <w:pStyle w:val="H2Paragraph"/>
        <w:numPr>
          <w:ilvl w:val="0"/>
          <w:numId w:val="93"/>
        </w:numPr>
      </w:pPr>
      <w:bookmarkStart w:id="116" w:name="_Toc209771830"/>
      <w:r>
        <w:t>Purpose and Scope</w:t>
      </w:r>
      <w:bookmarkEnd w:id="116"/>
    </w:p>
    <w:p w14:paraId="60826315" w14:textId="77777777" w:rsidR="000E429F" w:rsidRDefault="000E429F" w:rsidP="009C11B0">
      <w:pPr>
        <w:pStyle w:val="H3Text"/>
      </w:pPr>
      <w:r>
        <w:t>This procedure defines the Designated Record Set (DRS) for covered components that are health care providers and health plans.  The procedure also provides a checklist for covered components to use when determining which part of their confidential health information constitutes the Designated Record Set (DRS).  All workforce members in the Department’s covered components must comply with this procedure.</w:t>
      </w:r>
    </w:p>
    <w:p w14:paraId="05200396" w14:textId="77777777" w:rsidR="000E429F" w:rsidRDefault="000E429F" w:rsidP="009C11B0">
      <w:pPr>
        <w:pStyle w:val="H3Text"/>
      </w:pPr>
      <w:r>
        <w:t>Unless otherwise limited, HIPAA requires that a covered component provide an individual, upon request, access to certain health information that constitutes a designated record set as defined below.  State law requirements under FIPA may require broader access to records than the HIPAA requirements.  A covered component is required to comply with both statutes.</w:t>
      </w:r>
    </w:p>
    <w:p w14:paraId="383634A2" w14:textId="77777777" w:rsidR="000E429F" w:rsidRDefault="000E429F" w:rsidP="009C11B0">
      <w:pPr>
        <w:pStyle w:val="H2Paragraph"/>
      </w:pPr>
      <w:bookmarkStart w:id="117" w:name="_Toc209771831"/>
      <w:r>
        <w:t>Definitions</w:t>
      </w:r>
      <w:bookmarkEnd w:id="117"/>
    </w:p>
    <w:p w14:paraId="128E0BF6" w14:textId="77777777" w:rsidR="000E429F" w:rsidRPr="00410CE3" w:rsidRDefault="000E429F" w:rsidP="009C11B0">
      <w:pPr>
        <w:pStyle w:val="H3SubParagraph"/>
      </w:pPr>
      <w:r w:rsidRPr="00410CE3">
        <w:t>DRS for Health Care Providers</w:t>
      </w:r>
    </w:p>
    <w:p w14:paraId="6E6D9F6D" w14:textId="77777777" w:rsidR="000E429F" w:rsidRPr="00410CE3" w:rsidRDefault="000E429F" w:rsidP="009C11B0">
      <w:pPr>
        <w:pStyle w:val="H3Text"/>
      </w:pPr>
      <w:r w:rsidRPr="00410CE3">
        <w:t>A group of records</w:t>
      </w:r>
      <w:r w:rsidRPr="00410CE3">
        <w:rPr>
          <w:rStyle w:val="FootnoteReference"/>
        </w:rPr>
        <w:footnoteReference w:id="34"/>
      </w:r>
      <w:r w:rsidRPr="00410CE3">
        <w:t xml:space="preserve"> maintained by the provider or for the provider that includes: </w:t>
      </w:r>
    </w:p>
    <w:p w14:paraId="7E8A083D" w14:textId="77777777" w:rsidR="000E429F" w:rsidRPr="00410CE3" w:rsidRDefault="000E429F">
      <w:pPr>
        <w:pStyle w:val="H3Text"/>
        <w:numPr>
          <w:ilvl w:val="0"/>
          <w:numId w:val="80"/>
        </w:numPr>
      </w:pPr>
      <w:r w:rsidRPr="00410CE3">
        <w:t>The records about data subjects maintained by the provider or by a third party for the provider; or</w:t>
      </w:r>
    </w:p>
    <w:p w14:paraId="106AFEE1" w14:textId="77777777" w:rsidR="000E429F" w:rsidRPr="00410CE3" w:rsidRDefault="000E429F">
      <w:pPr>
        <w:pStyle w:val="H3Text"/>
        <w:numPr>
          <w:ilvl w:val="0"/>
          <w:numId w:val="80"/>
        </w:numPr>
      </w:pPr>
      <w:r w:rsidRPr="00410CE3">
        <w:t>Used, in whole or in part, by the provider or by a third party on behalf of  provider to make decisions about data subjects.</w:t>
      </w:r>
    </w:p>
    <w:p w14:paraId="73C0B4CF" w14:textId="77777777" w:rsidR="000E429F" w:rsidRPr="00410CE3" w:rsidRDefault="000E429F" w:rsidP="009C11B0">
      <w:pPr>
        <w:pStyle w:val="H3SubParagraph"/>
      </w:pPr>
      <w:r w:rsidRPr="00410CE3">
        <w:t xml:space="preserve">DRS for Health Plans </w:t>
      </w:r>
    </w:p>
    <w:p w14:paraId="42E55672" w14:textId="77777777" w:rsidR="000E429F" w:rsidRPr="00410CE3" w:rsidRDefault="000E429F" w:rsidP="009C11B0">
      <w:pPr>
        <w:pStyle w:val="H3Text"/>
      </w:pPr>
      <w:r w:rsidRPr="00410CE3">
        <w:t>A group of records maintained by the plan or for the plan that includes:</w:t>
      </w:r>
    </w:p>
    <w:p w14:paraId="733226F5" w14:textId="77777777" w:rsidR="000E429F" w:rsidRPr="00410CE3" w:rsidRDefault="000E429F">
      <w:pPr>
        <w:pStyle w:val="H3Text"/>
        <w:numPr>
          <w:ilvl w:val="0"/>
          <w:numId w:val="81"/>
        </w:numPr>
      </w:pPr>
      <w:r w:rsidRPr="00410CE3">
        <w:t>The enrollment, payment, claims adjudication, and case or medical management record systems maintained by the plan, or maintained by a third party for the plan; or</w:t>
      </w:r>
    </w:p>
    <w:p w14:paraId="660D7326" w14:textId="77777777" w:rsidR="000E429F" w:rsidRPr="00410CE3" w:rsidRDefault="000E429F">
      <w:pPr>
        <w:pStyle w:val="H3Text"/>
        <w:numPr>
          <w:ilvl w:val="0"/>
          <w:numId w:val="81"/>
        </w:numPr>
      </w:pPr>
      <w:r w:rsidRPr="00410CE3">
        <w:t>Used, in whole or in part, by the plan, or by a third party for the plan, to make decisions about data subjects.</w:t>
      </w:r>
    </w:p>
    <w:p w14:paraId="2D07533F" w14:textId="77777777" w:rsidR="000E429F" w:rsidRDefault="000E429F" w:rsidP="009C11B0">
      <w:pPr>
        <w:pStyle w:val="H2Paragraph"/>
      </w:pPr>
      <w:bookmarkStart w:id="119" w:name="_Toc209771832"/>
      <w:r>
        <w:t>DRS Checklist</w:t>
      </w:r>
      <w:bookmarkEnd w:id="119"/>
    </w:p>
    <w:p w14:paraId="0D115495" w14:textId="77777777" w:rsidR="000E429F" w:rsidRDefault="000E429F" w:rsidP="009C11B0">
      <w:pPr>
        <w:pStyle w:val="H3Text"/>
      </w:pPr>
      <w:r>
        <w:t>Workforce members should follow the steps in this checklist, which will enable the covered component to identify its DRS.</w:t>
      </w:r>
    </w:p>
    <w:p w14:paraId="6CE6908C" w14:textId="77777777" w:rsidR="000E429F" w:rsidRDefault="000E429F" w:rsidP="009C11B0">
      <w:pPr>
        <w:pStyle w:val="H3SubParagraph"/>
      </w:pPr>
      <w:r>
        <w:t>Identify storage sites</w:t>
      </w:r>
    </w:p>
    <w:p w14:paraId="64444271" w14:textId="77777777" w:rsidR="000E429F" w:rsidRDefault="000E429F" w:rsidP="009C11B0">
      <w:pPr>
        <w:pStyle w:val="H3Text"/>
      </w:pPr>
      <w:r>
        <w:t xml:space="preserve">Identify the "storage sites" where confidential health information is stored: </w:t>
      </w:r>
    </w:p>
    <w:p w14:paraId="29B5E55C" w14:textId="77777777" w:rsidR="000E429F" w:rsidRPr="00EA65FA" w:rsidRDefault="000E429F">
      <w:pPr>
        <w:pStyle w:val="H3Text"/>
        <w:numPr>
          <w:ilvl w:val="0"/>
          <w:numId w:val="82"/>
        </w:numPr>
        <w:tabs>
          <w:tab w:val="clear" w:pos="1008"/>
        </w:tabs>
      </w:pPr>
      <w:r w:rsidRPr="00EA65FA">
        <w:t>Include both paper and electronic systems;</w:t>
      </w:r>
    </w:p>
    <w:p w14:paraId="422CBB03" w14:textId="77777777" w:rsidR="000E429F" w:rsidRPr="00EA65FA" w:rsidRDefault="000E429F">
      <w:pPr>
        <w:pStyle w:val="H3Text"/>
        <w:numPr>
          <w:ilvl w:val="0"/>
          <w:numId w:val="82"/>
        </w:numPr>
        <w:tabs>
          <w:tab w:val="clear" w:pos="1008"/>
        </w:tabs>
      </w:pPr>
      <w:r w:rsidRPr="00EA65FA">
        <w:t>Include network and desktop systems;</w:t>
      </w:r>
    </w:p>
    <w:p w14:paraId="490F2B98" w14:textId="77777777" w:rsidR="000E429F" w:rsidRPr="00EA65FA" w:rsidRDefault="000E429F">
      <w:pPr>
        <w:pStyle w:val="H3Text"/>
        <w:numPr>
          <w:ilvl w:val="0"/>
          <w:numId w:val="82"/>
        </w:numPr>
        <w:tabs>
          <w:tab w:val="clear" w:pos="1008"/>
        </w:tabs>
      </w:pPr>
      <w:r w:rsidRPr="00EA65FA">
        <w:t>Include current files and archived files;</w:t>
      </w:r>
      <w:r w:rsidRPr="00EA65FA">
        <w:footnoteReference w:id="35"/>
      </w:r>
    </w:p>
    <w:p w14:paraId="66084753" w14:textId="77777777" w:rsidR="000E429F" w:rsidRPr="00EA65FA" w:rsidRDefault="000E429F">
      <w:pPr>
        <w:pStyle w:val="H3Text"/>
        <w:numPr>
          <w:ilvl w:val="0"/>
          <w:numId w:val="82"/>
        </w:numPr>
        <w:tabs>
          <w:tab w:val="clear" w:pos="1008"/>
        </w:tabs>
      </w:pPr>
      <w:r w:rsidRPr="00EA65FA">
        <w:t>Include all sites; and</w:t>
      </w:r>
    </w:p>
    <w:p w14:paraId="66A52493" w14:textId="77777777" w:rsidR="000E429F" w:rsidRPr="00EA65FA" w:rsidRDefault="000E429F">
      <w:pPr>
        <w:pStyle w:val="H3Text"/>
        <w:numPr>
          <w:ilvl w:val="0"/>
          <w:numId w:val="82"/>
        </w:numPr>
        <w:tabs>
          <w:tab w:val="clear" w:pos="1008"/>
        </w:tabs>
      </w:pPr>
      <w:r w:rsidRPr="00EA65FA">
        <w:t>Include all record systems in the possession of business associates and other agents.</w:t>
      </w:r>
    </w:p>
    <w:p w14:paraId="68790B0B" w14:textId="77777777" w:rsidR="000E429F" w:rsidRDefault="000E429F" w:rsidP="009C11B0">
      <w:pPr>
        <w:pStyle w:val="H3SubParagraph"/>
      </w:pPr>
      <w:r>
        <w:t>Identify covered components DRS</w:t>
      </w:r>
    </w:p>
    <w:p w14:paraId="06A99791" w14:textId="77777777" w:rsidR="000E429F" w:rsidRPr="00410CE3" w:rsidRDefault="000E429F" w:rsidP="009C11B0">
      <w:pPr>
        <w:pStyle w:val="H3Text"/>
      </w:pPr>
      <w:r w:rsidRPr="00410CE3">
        <w:t xml:space="preserve">Identify the following elements of the records that are included in the covered component’s applicable DRS as defined in </w:t>
      </w:r>
      <w:r>
        <w:t>part</w:t>
      </w:r>
      <w:r w:rsidRPr="00FA06C2">
        <w:t xml:space="preserve"> II</w:t>
      </w:r>
      <w:r w:rsidRPr="00410CE3">
        <w:t>.</w:t>
      </w:r>
    </w:p>
    <w:p w14:paraId="33283EBD" w14:textId="77777777" w:rsidR="000E429F" w:rsidRPr="00410CE3" w:rsidRDefault="000E429F" w:rsidP="00D71DAF">
      <w:pPr>
        <w:pStyle w:val="H4SubNumberedParagraph"/>
      </w:pPr>
      <w:r w:rsidRPr="00410CE3">
        <w:t xml:space="preserve">Health Care Providers  </w:t>
      </w:r>
    </w:p>
    <w:p w14:paraId="29FBA0D1" w14:textId="77777777" w:rsidR="000E429F" w:rsidRPr="00410CE3" w:rsidRDefault="000E429F" w:rsidP="009C11B0">
      <w:pPr>
        <w:pStyle w:val="H4Text"/>
      </w:pPr>
      <w:r w:rsidRPr="00410CE3">
        <w:t xml:space="preserve">For each confidential health information "storage site" identified in </w:t>
      </w:r>
      <w:r w:rsidRPr="00FA06C2">
        <w:t>part III.A.1</w:t>
      </w:r>
      <w:r w:rsidRPr="00410CE3">
        <w:t>, identify those that contain in whole or in part:</w:t>
      </w:r>
    </w:p>
    <w:p w14:paraId="355548B2" w14:textId="77777777" w:rsidR="000E429F" w:rsidRPr="00410CE3" w:rsidRDefault="000E429F">
      <w:pPr>
        <w:pStyle w:val="H4Text"/>
        <w:numPr>
          <w:ilvl w:val="0"/>
          <w:numId w:val="83"/>
        </w:numPr>
      </w:pPr>
      <w:r w:rsidRPr="00410CE3">
        <w:t>Medical record(s) as defined by the covered component; and</w:t>
      </w:r>
    </w:p>
    <w:p w14:paraId="23D2952E" w14:textId="77777777" w:rsidR="000E429F" w:rsidRPr="00410CE3" w:rsidRDefault="000E429F">
      <w:pPr>
        <w:pStyle w:val="H4Text"/>
        <w:numPr>
          <w:ilvl w:val="0"/>
          <w:numId w:val="83"/>
        </w:numPr>
      </w:pPr>
      <w:r w:rsidRPr="00410CE3">
        <w:t>Billing record(s), including any records that might be developed by contracted vendors, Medicare maximization projects, etc.</w:t>
      </w:r>
    </w:p>
    <w:p w14:paraId="60B1C83F" w14:textId="77777777" w:rsidR="000E429F" w:rsidRPr="00410CE3" w:rsidRDefault="000E429F" w:rsidP="00D71DAF">
      <w:pPr>
        <w:pStyle w:val="H4SubNumberedParagraph"/>
      </w:pPr>
      <w:r w:rsidRPr="00410CE3">
        <w:t xml:space="preserve">Health Plans  </w:t>
      </w:r>
    </w:p>
    <w:p w14:paraId="1F5BFE1E" w14:textId="77777777" w:rsidR="000E429F" w:rsidRPr="00410CE3" w:rsidRDefault="000E429F" w:rsidP="009C11B0">
      <w:pPr>
        <w:pStyle w:val="H4Text"/>
      </w:pPr>
      <w:r w:rsidRPr="00410CE3">
        <w:t xml:space="preserve">For each confidential health information "storage site" identified in </w:t>
      </w:r>
      <w:r w:rsidRPr="00FA06C2">
        <w:t>part III.A.1</w:t>
      </w:r>
      <w:r w:rsidRPr="00410CE3">
        <w:t>, identify those that contain in whole or in part:</w:t>
      </w:r>
    </w:p>
    <w:p w14:paraId="27308796" w14:textId="77777777" w:rsidR="000E429F" w:rsidRPr="00410CE3" w:rsidRDefault="000E429F">
      <w:pPr>
        <w:pStyle w:val="H4Text"/>
        <w:numPr>
          <w:ilvl w:val="0"/>
          <w:numId w:val="84"/>
        </w:numPr>
      </w:pPr>
      <w:r w:rsidRPr="00410CE3">
        <w:t>Enrollment record(s);</w:t>
      </w:r>
    </w:p>
    <w:p w14:paraId="0BCE524C" w14:textId="77777777" w:rsidR="000E429F" w:rsidRPr="00410CE3" w:rsidRDefault="000E429F">
      <w:pPr>
        <w:pStyle w:val="H4Text"/>
        <w:numPr>
          <w:ilvl w:val="0"/>
          <w:numId w:val="84"/>
        </w:numPr>
      </w:pPr>
      <w:r w:rsidRPr="00410CE3">
        <w:t>Payment record(s);</w:t>
      </w:r>
    </w:p>
    <w:p w14:paraId="0537E80F" w14:textId="77777777" w:rsidR="000E429F" w:rsidRPr="00410CE3" w:rsidRDefault="000E429F">
      <w:pPr>
        <w:pStyle w:val="H4Text"/>
        <w:numPr>
          <w:ilvl w:val="0"/>
          <w:numId w:val="84"/>
        </w:numPr>
      </w:pPr>
      <w:r w:rsidRPr="00410CE3">
        <w:t>Claim adjudication record(s); and</w:t>
      </w:r>
    </w:p>
    <w:p w14:paraId="4CCE2EA3" w14:textId="77777777" w:rsidR="000E429F" w:rsidRPr="00410CE3" w:rsidRDefault="000E429F">
      <w:pPr>
        <w:pStyle w:val="H4Text"/>
        <w:numPr>
          <w:ilvl w:val="0"/>
          <w:numId w:val="84"/>
        </w:numPr>
      </w:pPr>
      <w:r w:rsidRPr="00410CE3">
        <w:t>Case or medical management record(s).</w:t>
      </w:r>
    </w:p>
    <w:p w14:paraId="1CDFFCFB" w14:textId="77777777" w:rsidR="000E429F" w:rsidRDefault="000E429F" w:rsidP="00D71DAF">
      <w:pPr>
        <w:pStyle w:val="H4SubNumberedParagraph"/>
      </w:pPr>
      <w:r>
        <w:t>Identify additional data subject records</w:t>
      </w:r>
    </w:p>
    <w:p w14:paraId="57F8F3E3" w14:textId="77777777" w:rsidR="000E429F" w:rsidRDefault="000E429F" w:rsidP="009C11B0">
      <w:pPr>
        <w:pStyle w:val="H4Text"/>
      </w:pPr>
      <w:r>
        <w:t xml:space="preserve">Identify any additional records for each storage site which are used to make decisions about the data subject that are not included in </w:t>
      </w:r>
      <w:r w:rsidRPr="0055329F">
        <w:t>part III.A.2</w:t>
      </w:r>
      <w:r>
        <w:t xml:space="preserve">. </w:t>
      </w:r>
    </w:p>
    <w:p w14:paraId="04B128FB" w14:textId="77777777" w:rsidR="000E429F" w:rsidRDefault="000E429F">
      <w:pPr>
        <w:pStyle w:val="H4Text"/>
        <w:numPr>
          <w:ilvl w:val="0"/>
          <w:numId w:val="85"/>
        </w:numPr>
        <w:rPr>
          <w:i/>
        </w:rPr>
      </w:pPr>
      <w:r>
        <w:t xml:space="preserve">Records which are used in making "decisions" about a data subject.  For example, records regarding eligibility for a service, need for intervention, outcome of an appeal, need for medical supervision, or appropriateness for release.  </w:t>
      </w:r>
      <w:r>
        <w:rPr>
          <w:i/>
        </w:rPr>
        <w:t>These records are included in a DRS.</w:t>
      </w:r>
    </w:p>
    <w:p w14:paraId="1B7DCCAC" w14:textId="77777777" w:rsidR="000E429F" w:rsidRDefault="000E429F">
      <w:pPr>
        <w:pStyle w:val="H4Text"/>
        <w:numPr>
          <w:ilvl w:val="0"/>
          <w:numId w:val="85"/>
        </w:numPr>
        <w:rPr>
          <w:i/>
        </w:rPr>
      </w:pPr>
      <w:r>
        <w:t xml:space="preserve">Records not used to make decisions about a data subject.  For example, records used for such things as tracking utilization, budget reporting, program assessment, "bed check" records, attendance reports, or billing back-up.  </w:t>
      </w:r>
      <w:r>
        <w:rPr>
          <w:i/>
        </w:rPr>
        <w:t xml:space="preserve">These records are </w:t>
      </w:r>
      <w:r>
        <w:rPr>
          <w:i/>
          <w:u w:val="single"/>
        </w:rPr>
        <w:t>not</w:t>
      </w:r>
      <w:r>
        <w:rPr>
          <w:i/>
        </w:rPr>
        <w:t xml:space="preserve"> included in a DRS.</w:t>
      </w:r>
    </w:p>
    <w:p w14:paraId="4421B1C2" w14:textId="77777777" w:rsidR="000E429F" w:rsidRDefault="000E429F" w:rsidP="00D71DAF">
      <w:pPr>
        <w:pStyle w:val="H4SubNumberedParagraph"/>
      </w:pPr>
      <w:r>
        <w:t>Eliminate duplicate records</w:t>
      </w:r>
    </w:p>
    <w:p w14:paraId="5BAD400F" w14:textId="77777777" w:rsidR="000E429F" w:rsidRDefault="000E429F" w:rsidP="009C11B0">
      <w:pPr>
        <w:pStyle w:val="H4Text"/>
      </w:pPr>
      <w:r>
        <w:t>Sort the records identified in subparts III.A.2 and 3(a), eliminating any duplicate records or redundancies.  For example, if all of the information in one record is included in one or more other records, the first record can be eliminated as long as the other record or records remain as part of the DRS.</w:t>
      </w:r>
    </w:p>
    <w:p w14:paraId="207F5E76" w14:textId="77777777" w:rsidR="000E429F" w:rsidRDefault="000E429F" w:rsidP="00D71DAF">
      <w:pPr>
        <w:pStyle w:val="H4SubNumberedParagraph"/>
      </w:pPr>
      <w:r>
        <w:br w:type="page"/>
        <w:t>Document work</w:t>
      </w:r>
    </w:p>
    <w:p w14:paraId="515794A1" w14:textId="77777777" w:rsidR="000E429F" w:rsidRDefault="000E429F" w:rsidP="009C11B0">
      <w:pPr>
        <w:pStyle w:val="H4Text"/>
      </w:pPr>
      <w:r>
        <w:t xml:space="preserve">Document your DRS as containing all records remaining after step 4. </w:t>
      </w:r>
    </w:p>
    <w:p w14:paraId="27EDD46F" w14:textId="77777777" w:rsidR="000E429F" w:rsidRDefault="000E429F" w:rsidP="00D71DAF">
      <w:pPr>
        <w:pStyle w:val="H4SubNumberedParagraph"/>
      </w:pPr>
      <w:r>
        <w:t>Determine access exceptions</w:t>
      </w:r>
    </w:p>
    <w:p w14:paraId="69FB6809" w14:textId="77777777" w:rsidR="000E429F" w:rsidRPr="006D553D" w:rsidRDefault="000E429F" w:rsidP="009C11B0">
      <w:pPr>
        <w:pStyle w:val="H4Text"/>
      </w:pPr>
      <w:r w:rsidRPr="006D553D">
        <w:t>Determine if any part of the DRS meets any of the access exceptions:</w:t>
      </w:r>
    </w:p>
    <w:p w14:paraId="6CD30692" w14:textId="77777777" w:rsidR="000E429F" w:rsidRPr="006D553D" w:rsidRDefault="000E429F">
      <w:pPr>
        <w:pStyle w:val="H4Text"/>
        <w:numPr>
          <w:ilvl w:val="0"/>
          <w:numId w:val="86"/>
        </w:numPr>
      </w:pPr>
      <w:r w:rsidRPr="006D553D">
        <w:t>Psychotherapy notes which are defined as those clinical notes maintained by a therapist separately from the medical record, sometimes referred to as “desk drawer notes;”</w:t>
      </w:r>
    </w:p>
    <w:p w14:paraId="76AFFF0E" w14:textId="77777777" w:rsidR="000E429F" w:rsidRPr="006D553D" w:rsidRDefault="000E429F">
      <w:pPr>
        <w:pStyle w:val="H4Text"/>
        <w:numPr>
          <w:ilvl w:val="0"/>
          <w:numId w:val="86"/>
        </w:numPr>
      </w:pPr>
      <w:r w:rsidRPr="006D553D">
        <w:t>Information compiled in reasonable anticipation of, or for use in a civil, criminal, or administrative action or proceeding; and</w:t>
      </w:r>
    </w:p>
    <w:p w14:paraId="58D8AB34" w14:textId="77777777" w:rsidR="000E429F" w:rsidRPr="006D553D" w:rsidRDefault="000E429F">
      <w:pPr>
        <w:pStyle w:val="H4Text"/>
        <w:numPr>
          <w:ilvl w:val="0"/>
          <w:numId w:val="86"/>
        </w:numPr>
      </w:pPr>
      <w:r w:rsidRPr="006D553D">
        <w:t>Confidential health information maintained by the covered component that is:</w:t>
      </w:r>
    </w:p>
    <w:p w14:paraId="0B2CD21F" w14:textId="77777777" w:rsidR="000E429F" w:rsidRDefault="000E429F">
      <w:pPr>
        <w:pStyle w:val="H4Text"/>
        <w:numPr>
          <w:ilvl w:val="1"/>
          <w:numId w:val="86"/>
        </w:numPr>
      </w:pPr>
      <w:r>
        <w:t>Subject to the Clinical Laboratory Improvements Amendments of 1988, 42 U.S.C. § 263(a) to the extent the provision of access to the individual would be prohibited by law; or</w:t>
      </w:r>
    </w:p>
    <w:p w14:paraId="518595C6" w14:textId="77777777" w:rsidR="000E429F" w:rsidRDefault="000E429F">
      <w:pPr>
        <w:pStyle w:val="H4Text"/>
        <w:numPr>
          <w:ilvl w:val="1"/>
          <w:numId w:val="86"/>
        </w:numPr>
      </w:pPr>
      <w:r>
        <w:t>Exempt from the Clinical Laboratory Improvements Amendments of 1988, pursuant to 42 C.F.R. § 493.3(a)(2).</w:t>
      </w:r>
    </w:p>
    <w:p w14:paraId="0CCFB4B5" w14:textId="77777777" w:rsidR="000E429F" w:rsidRDefault="000E429F" w:rsidP="00D71DAF">
      <w:pPr>
        <w:pStyle w:val="H4SubNumberedParagraph"/>
      </w:pPr>
      <w:r>
        <w:t>Create business process</w:t>
      </w:r>
    </w:p>
    <w:p w14:paraId="17544D30" w14:textId="77777777" w:rsidR="000E429F" w:rsidRDefault="000E429F" w:rsidP="009C11B0">
      <w:pPr>
        <w:pStyle w:val="H4Text"/>
      </w:pPr>
      <w:r>
        <w:t xml:space="preserve">Create a business process to provide the data subject with access to his or her DRS.  </w:t>
      </w:r>
    </w:p>
    <w:p w14:paraId="1821DE37" w14:textId="77777777" w:rsidR="000E429F" w:rsidRDefault="000E429F">
      <w:pPr>
        <w:pStyle w:val="H4Text"/>
        <w:numPr>
          <w:ilvl w:val="0"/>
          <w:numId w:val="87"/>
        </w:numPr>
      </w:pPr>
      <w:r>
        <w:t>Determine the process for setting apart records or parts of records, which are exempted from the access requirements.</w:t>
      </w:r>
    </w:p>
    <w:p w14:paraId="6656AB29" w14:textId="77777777" w:rsidR="000E429F" w:rsidRDefault="000E429F">
      <w:pPr>
        <w:pStyle w:val="H4Text"/>
        <w:numPr>
          <w:ilvl w:val="0"/>
          <w:numId w:val="87"/>
        </w:numPr>
      </w:pPr>
      <w:r>
        <w:t xml:space="preserve">If parts of the DRS are maintained at various sites, determine the most efficient manner of collecting them in one location if an access request is made.  </w:t>
      </w:r>
    </w:p>
    <w:p w14:paraId="25F1332A" w14:textId="77777777" w:rsidR="000E429F" w:rsidRDefault="000E429F">
      <w:pPr>
        <w:pStyle w:val="H4Text"/>
        <w:numPr>
          <w:ilvl w:val="0"/>
          <w:numId w:val="87"/>
        </w:numPr>
      </w:pPr>
      <w:r>
        <w:t xml:space="preserve">Determine the preferred means of handling access requests made directly to a business associate.  For example, should all requests be forwarded to and handled at a central location?  Should the business associate be required to have a process for providing access to the records maintained by the business associate?  If so, what reporting mechanism is needed to provide a record of those requests and the materials provided?  </w:t>
      </w:r>
    </w:p>
    <w:p w14:paraId="3144A1FC" w14:textId="77777777" w:rsidR="000E429F" w:rsidRDefault="000E429F" w:rsidP="00D71DAF">
      <w:pPr>
        <w:pStyle w:val="H4SubNumberedParagraph"/>
      </w:pPr>
      <w:r>
        <w:t>Provide access as allowed by law</w:t>
      </w:r>
    </w:p>
    <w:p w14:paraId="3106FE37" w14:textId="77777777" w:rsidR="000E429F" w:rsidRDefault="000E429F" w:rsidP="009C11B0">
      <w:pPr>
        <w:pStyle w:val="H4Text"/>
      </w:pPr>
      <w:r>
        <w:t xml:space="preserve">If the request for access is limited to a DRS, then the workforce member is only required to provide the DRS.  If the data subject requests information outside of the DRS, under state law this should also be provided to the data subject unless there are limits on such access as described to </w:t>
      </w:r>
      <w:r w:rsidRPr="006D553D">
        <w:t>Procedure # 11</w:t>
      </w:r>
      <w:r>
        <w:t>.</w:t>
      </w:r>
    </w:p>
    <w:p w14:paraId="74534A43" w14:textId="77777777" w:rsidR="000E429F" w:rsidRDefault="000E429F" w:rsidP="00D71DAF">
      <w:pPr>
        <w:pStyle w:val="H4SubNumberedParagraph"/>
      </w:pPr>
      <w:r>
        <w:t>Business process update</w:t>
      </w:r>
    </w:p>
    <w:p w14:paraId="3A54D4B7" w14:textId="77777777" w:rsidR="000E429F" w:rsidRDefault="000E429F" w:rsidP="009C11B0">
      <w:pPr>
        <w:pStyle w:val="H4Text"/>
      </w:pPr>
      <w:r>
        <w:t xml:space="preserve">Create a business process to update the DRS when new confidential health information "storage sites" are created or existing ones are modified or deleted. </w:t>
      </w:r>
    </w:p>
    <w:p w14:paraId="63714B5E" w14:textId="77777777" w:rsidR="000E429F" w:rsidRDefault="000E429F" w:rsidP="009C11B0">
      <w:pPr>
        <w:pStyle w:val="H2Paragraph"/>
      </w:pPr>
      <w:r>
        <w:br w:type="page"/>
      </w:r>
      <w:bookmarkStart w:id="120" w:name="_Toc209771833"/>
      <w:r>
        <w:t>Documentation</w:t>
      </w:r>
      <w:bookmarkEnd w:id="120"/>
    </w:p>
    <w:p w14:paraId="0C653BA7" w14:textId="77777777" w:rsidR="000E429F" w:rsidRDefault="000E429F" w:rsidP="009C11B0">
      <w:pPr>
        <w:pStyle w:val="H3Text"/>
      </w:pPr>
      <w:r>
        <w:t>A covered component must document and retain the following for six (6) years, or longer if required by the Commonwealth’s Records Conservation Board:</w:t>
      </w:r>
      <w:r>
        <w:rPr>
          <w:rStyle w:val="FootnoteReference"/>
        </w:rPr>
        <w:footnoteReference w:id="36"/>
      </w:r>
    </w:p>
    <w:p w14:paraId="22AE3BBA" w14:textId="77777777" w:rsidR="000E429F" w:rsidRDefault="000E429F">
      <w:pPr>
        <w:pStyle w:val="H3Text"/>
        <w:numPr>
          <w:ilvl w:val="0"/>
          <w:numId w:val="88"/>
        </w:numPr>
      </w:pPr>
      <w:r>
        <w:t>The designated record sets that are subject to access by data subjects; and</w:t>
      </w:r>
    </w:p>
    <w:p w14:paraId="1136220B" w14:textId="77777777" w:rsidR="000E429F" w:rsidRDefault="000E429F">
      <w:pPr>
        <w:pStyle w:val="H3Text"/>
        <w:numPr>
          <w:ilvl w:val="0"/>
          <w:numId w:val="88"/>
        </w:numPr>
      </w:pPr>
      <w:r>
        <w:t>The titles of persons or offices responsible for receiving and processing requests for access by data subjects.</w:t>
      </w:r>
    </w:p>
    <w:p w14:paraId="64C4C0CF" w14:textId="77777777" w:rsidR="000E429F" w:rsidRDefault="000E429F"/>
    <w:p w14:paraId="6B25A39B" w14:textId="77777777" w:rsidR="000E429F" w:rsidRDefault="000E429F"/>
    <w:p w14:paraId="1E026C6B" w14:textId="77777777" w:rsidR="000E429F" w:rsidRPr="00755066" w:rsidRDefault="000E429F" w:rsidP="009C11B0"/>
    <w:p w14:paraId="5E060921" w14:textId="77777777" w:rsidR="000E429F" w:rsidRPr="00022A2C" w:rsidRDefault="000E429F" w:rsidP="009C11B0">
      <w:pPr>
        <w:rPr>
          <w:rFonts w:cs="Arial"/>
          <w:u w:val="single"/>
        </w:rPr>
      </w:pPr>
      <w:r w:rsidRPr="00022A2C">
        <w:rPr>
          <w:rFonts w:cs="Arial"/>
          <w:u w:val="single"/>
        </w:rPr>
        <w:t>Authority:</w:t>
      </w:r>
    </w:p>
    <w:p w14:paraId="28992309" w14:textId="77777777" w:rsidR="000E429F" w:rsidRDefault="000E429F" w:rsidP="009C11B0">
      <w:pPr>
        <w:pStyle w:val="H3Text"/>
      </w:pPr>
      <w:r>
        <w:t>45 C.F.R. §§ 164.524; 164.530</w:t>
      </w:r>
    </w:p>
    <w:p w14:paraId="15E1E744" w14:textId="77777777" w:rsidR="00321AAC" w:rsidRPr="000E429F" w:rsidRDefault="00321AAC" w:rsidP="000E429F"/>
    <w:sectPr w:rsidR="00321AAC" w:rsidRPr="000E429F" w:rsidSect="009D168A">
      <w:headerReference w:type="default" r:id="rId85"/>
      <w:footerReference w:type="default" r:id="rId86"/>
      <w:footnotePr>
        <w:numRestart w:val="eachSect"/>
      </w:footnotePr>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146DC" w14:textId="77777777" w:rsidR="00675CBD" w:rsidRDefault="00675CBD">
      <w:r>
        <w:separator/>
      </w:r>
    </w:p>
  </w:endnote>
  <w:endnote w:type="continuationSeparator" w:id="0">
    <w:p w14:paraId="4FB8AD41" w14:textId="77777777" w:rsidR="00675CBD" w:rsidRDefault="00675CBD">
      <w:r>
        <w:continuationSeparator/>
      </w:r>
    </w:p>
  </w:endnote>
  <w:endnote w:type="continuationNotice" w:id="1">
    <w:p w14:paraId="4E2872D0" w14:textId="77777777" w:rsidR="00675CBD" w:rsidRDefault="00675C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ZWAdobeF">
    <w:panose1 w:val="00000000000000000000"/>
    <w:charset w:val="00"/>
    <w:family w:val="auto"/>
    <w:pitch w:val="variable"/>
    <w:sig w:usb0="20002A87" w:usb1="00000000" w:usb2="00000000" w:usb3="00000000" w:csb0="000001FF" w:csb1="00000000"/>
  </w:font>
  <w:font w:name="new times roman">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4E76" w14:textId="77777777" w:rsidR="009D4A7D" w:rsidRPr="00D00FEC" w:rsidRDefault="009D4A7D" w:rsidP="00D00FE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6506" w14:textId="0FFAA36E" w:rsidR="00252193" w:rsidRPr="00A73CDD" w:rsidRDefault="00252193" w:rsidP="00180EEB">
    <w:pPr>
      <w:pStyle w:val="FooterProcedure"/>
      <w:rPr>
        <w:szCs w:val="18"/>
      </w:rPr>
    </w:pPr>
    <w:r>
      <w:t xml:space="preserve">Procedure 3   </w:t>
    </w:r>
    <w:r w:rsidRPr="00A73CDD">
      <w:t xml:space="preserve">Page </w:t>
    </w:r>
    <w:r w:rsidRPr="00A73CDD">
      <w:rPr>
        <w:rStyle w:val="PageNumber"/>
        <w:szCs w:val="18"/>
      </w:rPr>
      <w:fldChar w:fldCharType="begin"/>
    </w:r>
    <w:r w:rsidRPr="00A73CDD">
      <w:rPr>
        <w:rStyle w:val="PageNumber"/>
        <w:szCs w:val="18"/>
      </w:rPr>
      <w:instrText xml:space="preserve"> PAGE </w:instrText>
    </w:r>
    <w:r w:rsidRPr="00A73CDD">
      <w:rPr>
        <w:rStyle w:val="PageNumber"/>
        <w:szCs w:val="18"/>
      </w:rPr>
      <w:fldChar w:fldCharType="separate"/>
    </w:r>
    <w:r>
      <w:rPr>
        <w:rStyle w:val="PageNumber"/>
        <w:noProof/>
        <w:szCs w:val="18"/>
      </w:rPr>
      <w:t>14</w:t>
    </w:r>
    <w:r w:rsidRPr="00A73CDD">
      <w:rPr>
        <w:rStyle w:val="PageNumber"/>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8AD4" w14:textId="605EDF7F" w:rsidR="00181F50" w:rsidRPr="00AE057D" w:rsidRDefault="00181F50" w:rsidP="00D8468B">
    <w:pPr>
      <w:pStyle w:val="FooterProcedure"/>
    </w:pPr>
    <w:r>
      <w:t>Procedure 4</w:t>
    </w:r>
    <w:r w:rsidRPr="00AE057D">
      <w:t xml:space="preserve"> </w:t>
    </w:r>
    <w:r>
      <w:t xml:space="preserve"> </w:t>
    </w:r>
    <w:r w:rsidRPr="00AE057D">
      <w:t xml:space="preserve"> Page </w:t>
    </w:r>
    <w:r w:rsidRPr="00AE057D">
      <w:fldChar w:fldCharType="begin"/>
    </w:r>
    <w:r w:rsidRPr="00AE057D">
      <w:instrText xml:space="preserve"> PAGE </w:instrText>
    </w:r>
    <w:r w:rsidRPr="00AE057D">
      <w:fldChar w:fldCharType="separate"/>
    </w:r>
    <w:r>
      <w:rPr>
        <w:noProof/>
      </w:rPr>
      <w:t>22</w:t>
    </w:r>
    <w:r w:rsidRPr="00AE057D">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D513" w14:textId="77777777" w:rsidR="009D4A7D" w:rsidRPr="00A333DB" w:rsidRDefault="009D4A7D" w:rsidP="00450ABF">
    <w:pPr>
      <w:pStyle w:val="FooterProcedure"/>
    </w:pPr>
    <w:r>
      <w:t xml:space="preserve">Procedure 4 </w:t>
    </w:r>
    <w:r w:rsidRPr="00A333DB">
      <w:t xml:space="preserve">  Page </w:t>
    </w:r>
    <w:r w:rsidRPr="00A333DB">
      <w:rPr>
        <w:rStyle w:val="PageNumber"/>
        <w:szCs w:val="18"/>
      </w:rPr>
      <w:fldChar w:fldCharType="begin"/>
    </w:r>
    <w:r w:rsidRPr="00A333DB">
      <w:rPr>
        <w:rStyle w:val="PageNumber"/>
        <w:szCs w:val="18"/>
      </w:rPr>
      <w:instrText xml:space="preserve"> PAGE </w:instrText>
    </w:r>
    <w:r w:rsidRPr="00A333DB">
      <w:rPr>
        <w:rStyle w:val="PageNumber"/>
        <w:szCs w:val="18"/>
      </w:rPr>
      <w:fldChar w:fldCharType="separate"/>
    </w:r>
    <w:r w:rsidR="00A60B09">
      <w:rPr>
        <w:rStyle w:val="PageNumber"/>
        <w:noProof/>
        <w:szCs w:val="18"/>
      </w:rPr>
      <w:t>28</w:t>
    </w:r>
    <w:r w:rsidRPr="00A333DB">
      <w:rPr>
        <w:rStyle w:val="PageNumber"/>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2DBA" w14:textId="77777777" w:rsidR="009D4A7D" w:rsidRDefault="009D4A7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5A3B7" w14:textId="77777777" w:rsidR="009D4A7D" w:rsidRPr="00BC7A96" w:rsidRDefault="009D4A7D" w:rsidP="00450ABF">
    <w:pPr>
      <w:pStyle w:val="FooterProcedure"/>
    </w:pPr>
    <w:r>
      <w:t>Procedure 5</w:t>
    </w:r>
    <w:r w:rsidRPr="00BC7A96">
      <w:t xml:space="preserve"> </w:t>
    </w:r>
    <w:r>
      <w:t xml:space="preserve"> </w:t>
    </w:r>
    <w:r w:rsidRPr="00BC7A96">
      <w:t xml:space="preserve"> Page </w:t>
    </w:r>
    <w:r w:rsidRPr="00BC7A96">
      <w:rPr>
        <w:rStyle w:val="PageNumber"/>
        <w:szCs w:val="18"/>
      </w:rPr>
      <w:fldChar w:fldCharType="begin"/>
    </w:r>
    <w:r w:rsidRPr="00BC7A96">
      <w:rPr>
        <w:rStyle w:val="PageNumber"/>
        <w:szCs w:val="18"/>
      </w:rPr>
      <w:instrText xml:space="preserve"> PAGE </w:instrText>
    </w:r>
    <w:r w:rsidRPr="00BC7A96">
      <w:rPr>
        <w:rStyle w:val="PageNumber"/>
        <w:szCs w:val="18"/>
      </w:rPr>
      <w:fldChar w:fldCharType="separate"/>
    </w:r>
    <w:r w:rsidR="00A60B09">
      <w:rPr>
        <w:rStyle w:val="PageNumber"/>
        <w:noProof/>
        <w:szCs w:val="18"/>
      </w:rPr>
      <w:t>34</w:t>
    </w:r>
    <w:r w:rsidRPr="00BC7A96">
      <w:rPr>
        <w:rStyle w:val="PageNumber"/>
        <w:szCs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1F35" w14:textId="77777777" w:rsidR="009D4A7D" w:rsidRDefault="009D4A7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D931" w14:textId="77777777" w:rsidR="009D4A7D" w:rsidRDefault="009D4A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96</w:t>
    </w:r>
    <w:r>
      <w:rPr>
        <w:rStyle w:val="PageNumber"/>
      </w:rPr>
      <w:fldChar w:fldCharType="end"/>
    </w:r>
  </w:p>
  <w:p w14:paraId="5FF72236" w14:textId="77777777" w:rsidR="009D4A7D" w:rsidRDefault="009D4A7D">
    <w:pPr>
      <w:pStyle w:val="Footer"/>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EF46" w14:textId="77777777" w:rsidR="009D4A7D" w:rsidRPr="006624BE" w:rsidRDefault="009D4A7D" w:rsidP="00450ABF">
    <w:pPr>
      <w:pStyle w:val="FooterProcedure"/>
    </w:pPr>
    <w:r>
      <w:t xml:space="preserve">Procedure 6  </w:t>
    </w:r>
    <w:r w:rsidRPr="006624BE">
      <w:t xml:space="preserve"> Page </w:t>
    </w:r>
    <w:r w:rsidRPr="006624BE">
      <w:rPr>
        <w:rStyle w:val="PageNumber"/>
        <w:szCs w:val="18"/>
      </w:rPr>
      <w:fldChar w:fldCharType="begin"/>
    </w:r>
    <w:r w:rsidRPr="006624BE">
      <w:rPr>
        <w:rStyle w:val="PageNumber"/>
        <w:szCs w:val="18"/>
      </w:rPr>
      <w:instrText xml:space="preserve"> PAGE </w:instrText>
    </w:r>
    <w:r w:rsidRPr="006624BE">
      <w:rPr>
        <w:rStyle w:val="PageNumber"/>
        <w:szCs w:val="18"/>
      </w:rPr>
      <w:fldChar w:fldCharType="separate"/>
    </w:r>
    <w:r w:rsidR="00A60B09">
      <w:rPr>
        <w:rStyle w:val="PageNumber"/>
        <w:noProof/>
        <w:szCs w:val="18"/>
      </w:rPr>
      <w:t>36</w:t>
    </w:r>
    <w:r w:rsidRPr="006624BE">
      <w:rPr>
        <w:rStyle w:val="PageNumber"/>
        <w:szCs w:val="18"/>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8895" w14:textId="77777777" w:rsidR="009D4A7D" w:rsidRPr="002D5CBD" w:rsidRDefault="009D4A7D" w:rsidP="009C11B0">
    <w:pPr>
      <w:pStyle w:val="FooterProcedure"/>
    </w:pPr>
    <w:r>
      <w:t xml:space="preserve">Procedure 7 </w:t>
    </w:r>
    <w:r w:rsidRPr="00D00671">
      <w:t xml:space="preserve">  Page </w:t>
    </w:r>
    <w:r w:rsidRPr="00D00671">
      <w:fldChar w:fldCharType="begin"/>
    </w:r>
    <w:r w:rsidRPr="00D00671">
      <w:instrText xml:space="preserve"> PAGE </w:instrText>
    </w:r>
    <w:r w:rsidRPr="00D00671">
      <w:fldChar w:fldCharType="separate"/>
    </w:r>
    <w:r w:rsidR="00A60B09">
      <w:rPr>
        <w:noProof/>
      </w:rPr>
      <w:t>42</w:t>
    </w:r>
    <w:r w:rsidRPr="00D00671">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1569" w14:textId="77777777" w:rsidR="009D4A7D" w:rsidRDefault="009D4A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96</w:t>
    </w:r>
    <w:r>
      <w:rPr>
        <w:rStyle w:val="PageNumber"/>
      </w:rPr>
      <w:fldChar w:fldCharType="end"/>
    </w:r>
  </w:p>
  <w:p w14:paraId="349D5302" w14:textId="77777777" w:rsidR="009D4A7D" w:rsidRDefault="009D4A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FE48" w14:textId="77777777" w:rsidR="009D4A7D" w:rsidRDefault="009D4A7D">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257B6" w14:textId="77777777" w:rsidR="009D4A7D" w:rsidRPr="00BC7A96" w:rsidRDefault="009D4A7D" w:rsidP="009C11B0">
    <w:pPr>
      <w:pStyle w:val="FooterProcedure"/>
    </w:pPr>
    <w:r>
      <w:t xml:space="preserve">Procedure 8 </w:t>
    </w:r>
    <w:r w:rsidRPr="00BC7A96">
      <w:t xml:space="preserve">  Page </w:t>
    </w:r>
    <w:r w:rsidRPr="00BC7A96">
      <w:rPr>
        <w:rStyle w:val="PageNumber"/>
        <w:szCs w:val="18"/>
      </w:rPr>
      <w:fldChar w:fldCharType="begin"/>
    </w:r>
    <w:r w:rsidRPr="00BC7A96">
      <w:rPr>
        <w:rStyle w:val="PageNumber"/>
        <w:szCs w:val="18"/>
      </w:rPr>
      <w:instrText xml:space="preserve"> PAGE </w:instrText>
    </w:r>
    <w:r w:rsidRPr="00BC7A96">
      <w:rPr>
        <w:rStyle w:val="PageNumber"/>
        <w:szCs w:val="18"/>
      </w:rPr>
      <w:fldChar w:fldCharType="separate"/>
    </w:r>
    <w:r w:rsidR="00A60B09">
      <w:rPr>
        <w:rStyle w:val="PageNumber"/>
        <w:noProof/>
        <w:szCs w:val="18"/>
      </w:rPr>
      <w:t>48</w:t>
    </w:r>
    <w:r w:rsidRPr="00BC7A96">
      <w:rPr>
        <w:rStyle w:val="PageNumber"/>
        <w:szCs w:val="18"/>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7156" w14:textId="77777777" w:rsidR="009D4A7D" w:rsidRDefault="009D4A7D">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0554" w14:textId="77777777" w:rsidR="009D4A7D" w:rsidRPr="002A38D0" w:rsidRDefault="009D4A7D" w:rsidP="009C11B0">
    <w:pPr>
      <w:pStyle w:val="FooterProcedure"/>
    </w:pPr>
    <w:r>
      <w:t xml:space="preserve">Procedure 10 </w:t>
    </w:r>
    <w:r w:rsidRPr="00A73CDD">
      <w:t xml:space="preserve">  Page </w:t>
    </w:r>
    <w:r w:rsidRPr="00A73CDD">
      <w:rPr>
        <w:rStyle w:val="PageNumber"/>
        <w:szCs w:val="18"/>
      </w:rPr>
      <w:fldChar w:fldCharType="begin"/>
    </w:r>
    <w:r w:rsidRPr="00A73CDD">
      <w:rPr>
        <w:rStyle w:val="PageNumber"/>
        <w:szCs w:val="18"/>
      </w:rPr>
      <w:instrText xml:space="preserve"> PAGE </w:instrText>
    </w:r>
    <w:r w:rsidRPr="00A73CDD">
      <w:rPr>
        <w:rStyle w:val="PageNumber"/>
        <w:szCs w:val="18"/>
      </w:rPr>
      <w:fldChar w:fldCharType="separate"/>
    </w:r>
    <w:r w:rsidR="00A60B09">
      <w:rPr>
        <w:rStyle w:val="PageNumber"/>
        <w:noProof/>
        <w:szCs w:val="18"/>
      </w:rPr>
      <w:t>58</w:t>
    </w:r>
    <w:r w:rsidRPr="00A73CDD">
      <w:rPr>
        <w:rStyle w:val="PageNumber"/>
        <w:szCs w:val="18"/>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284C" w14:textId="77777777" w:rsidR="009D4A7D" w:rsidRDefault="009D4A7D">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D47B" w14:textId="77777777" w:rsidR="009D4A7D" w:rsidRDefault="009D4A7D">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621D" w14:textId="77777777" w:rsidR="009D4A7D" w:rsidRDefault="009D4A7D" w:rsidP="009C11B0">
    <w:pPr>
      <w:pStyle w:val="FooterProcedure"/>
      <w:rPr>
        <w:b/>
      </w:rPr>
    </w:pPr>
    <w:r>
      <w:t xml:space="preserve">Procedure 11 </w:t>
    </w:r>
    <w:r w:rsidRPr="006549DC">
      <w:t xml:space="preserve">  Page </w:t>
    </w:r>
    <w:r w:rsidRPr="006549DC">
      <w:fldChar w:fldCharType="begin"/>
    </w:r>
    <w:r w:rsidRPr="006549DC">
      <w:instrText xml:space="preserve"> PAGE </w:instrText>
    </w:r>
    <w:r w:rsidRPr="006549DC">
      <w:fldChar w:fldCharType="separate"/>
    </w:r>
    <w:r w:rsidR="00A60B09">
      <w:rPr>
        <w:noProof/>
      </w:rPr>
      <w:t>72</w:t>
    </w:r>
    <w:r w:rsidRPr="006549DC">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AC62" w14:textId="77777777" w:rsidR="009D4A7D" w:rsidRDefault="009D4A7D">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E17AA" w14:textId="77777777" w:rsidR="009D4A7D" w:rsidRDefault="009D4A7D" w:rsidP="009C11B0">
    <w:pPr>
      <w:pStyle w:val="FooterProcedure"/>
      <w:rPr>
        <w:b/>
      </w:rPr>
    </w:pPr>
    <w:r>
      <w:t xml:space="preserve">Procedure 12 </w:t>
    </w:r>
    <w:r w:rsidRPr="006549DC">
      <w:t xml:space="preserve">  Page </w:t>
    </w:r>
    <w:r w:rsidRPr="006549DC">
      <w:fldChar w:fldCharType="begin"/>
    </w:r>
    <w:r w:rsidRPr="006549DC">
      <w:instrText xml:space="preserve"> PAGE </w:instrText>
    </w:r>
    <w:r w:rsidRPr="006549DC">
      <w:fldChar w:fldCharType="separate"/>
    </w:r>
    <w:r w:rsidR="00A60B09">
      <w:rPr>
        <w:noProof/>
      </w:rPr>
      <w:t>76</w:t>
    </w:r>
    <w:r w:rsidRPr="006549DC">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2498" w14:textId="77777777" w:rsidR="009D4A7D" w:rsidRDefault="009D4A7D">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633F" w14:textId="77777777" w:rsidR="009D4A7D" w:rsidRDefault="009D4A7D" w:rsidP="009C11B0">
    <w:pPr>
      <w:pStyle w:val="FooterProcedure"/>
      <w:rPr>
        <w:b/>
      </w:rPr>
    </w:pPr>
    <w:r>
      <w:t xml:space="preserve">Procedure 13 </w:t>
    </w:r>
    <w:r w:rsidRPr="00A333DB">
      <w:t xml:space="preserve">  Page </w:t>
    </w:r>
    <w:r w:rsidRPr="00A333DB">
      <w:rPr>
        <w:rStyle w:val="PageNumber"/>
        <w:szCs w:val="18"/>
      </w:rPr>
      <w:fldChar w:fldCharType="begin"/>
    </w:r>
    <w:r w:rsidRPr="00A333DB">
      <w:rPr>
        <w:rStyle w:val="PageNumber"/>
        <w:szCs w:val="18"/>
      </w:rPr>
      <w:instrText xml:space="preserve"> PAGE </w:instrText>
    </w:r>
    <w:r w:rsidRPr="00A333DB">
      <w:rPr>
        <w:rStyle w:val="PageNumber"/>
        <w:szCs w:val="18"/>
      </w:rPr>
      <w:fldChar w:fldCharType="separate"/>
    </w:r>
    <w:r w:rsidR="00A60B09">
      <w:rPr>
        <w:rStyle w:val="PageNumber"/>
        <w:noProof/>
        <w:szCs w:val="18"/>
      </w:rPr>
      <w:t>78</w:t>
    </w:r>
    <w:r w:rsidRPr="00A333DB">
      <w:rPr>
        <w:rStyle w:val="PageNumbe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69E4" w14:textId="4ACFAE98" w:rsidR="009D4A7D" w:rsidRDefault="00F52697" w:rsidP="00180EEB">
    <w:pPr>
      <w:pStyle w:val="FooterProcedure"/>
    </w:pPr>
    <w:r>
      <w:t>Summary of Changes</w:t>
    </w:r>
    <w:r w:rsidR="009D4A7D">
      <w:t xml:space="preserve">   </w:t>
    </w:r>
    <w:r w:rsidR="009D4A7D" w:rsidRPr="00F866F4">
      <w:t xml:space="preserve">Page </w:t>
    </w:r>
    <w:r w:rsidR="009D4A7D">
      <w:rPr>
        <w:rStyle w:val="PageNumber"/>
        <w:szCs w:val="18"/>
      </w:rPr>
      <w:fldChar w:fldCharType="begin"/>
    </w:r>
    <w:r w:rsidR="009D4A7D">
      <w:rPr>
        <w:rStyle w:val="PageNumber"/>
        <w:szCs w:val="18"/>
      </w:rPr>
      <w:instrText xml:space="preserve"> PAGE  \* roman </w:instrText>
    </w:r>
    <w:r w:rsidR="009D4A7D">
      <w:rPr>
        <w:rStyle w:val="PageNumber"/>
        <w:szCs w:val="18"/>
      </w:rPr>
      <w:fldChar w:fldCharType="separate"/>
    </w:r>
    <w:r w:rsidR="00A60B09">
      <w:rPr>
        <w:rStyle w:val="PageNumber"/>
        <w:noProof/>
        <w:szCs w:val="18"/>
      </w:rPr>
      <w:t>x</w:t>
    </w:r>
    <w:r w:rsidR="009D4A7D">
      <w:rPr>
        <w:rStyle w:val="PageNumber"/>
        <w:szCs w:val="18"/>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8601" w14:textId="77777777" w:rsidR="009D4A7D" w:rsidRDefault="009D4A7D">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86DA" w14:textId="77777777" w:rsidR="009D4A7D" w:rsidRPr="00732D02" w:rsidRDefault="009D4A7D" w:rsidP="00732D02">
    <w:pPr>
      <w:pStyle w:val="FooterProcedure"/>
    </w:pPr>
    <w:r w:rsidRPr="00ED4EB9">
      <w:t>Procedure 14</w:t>
    </w:r>
    <w:r w:rsidRPr="00A310BC">
      <w:t xml:space="preserve">  Page </w:t>
    </w:r>
    <w:r w:rsidRPr="00A310BC">
      <w:rPr>
        <w:rStyle w:val="PageNumber"/>
        <w:szCs w:val="18"/>
      </w:rPr>
      <w:fldChar w:fldCharType="begin"/>
    </w:r>
    <w:r w:rsidRPr="00A310BC">
      <w:rPr>
        <w:rStyle w:val="PageNumber"/>
        <w:szCs w:val="18"/>
      </w:rPr>
      <w:instrText xml:space="preserve"> PAGE </w:instrText>
    </w:r>
    <w:r w:rsidRPr="00A310BC">
      <w:rPr>
        <w:rStyle w:val="PageNumber"/>
        <w:szCs w:val="18"/>
      </w:rPr>
      <w:fldChar w:fldCharType="separate"/>
    </w:r>
    <w:r w:rsidR="00A60B09">
      <w:rPr>
        <w:rStyle w:val="PageNumber"/>
        <w:noProof/>
        <w:szCs w:val="18"/>
      </w:rPr>
      <w:t>82</w:t>
    </w:r>
    <w:r w:rsidRPr="00A310BC">
      <w:rPr>
        <w:rStyle w:val="PageNumber"/>
        <w:szCs w:val="18"/>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2B33" w14:textId="77777777" w:rsidR="009D4A7D" w:rsidRDefault="009D4A7D" w:rsidP="00732D02">
    <w:pPr>
      <w:pStyle w:val="FooterProcedure"/>
    </w:pPr>
    <w:r>
      <w:t>Procedure CC-1  Notice of Privacy Practices</w:t>
    </w:r>
  </w:p>
  <w:p w14:paraId="6FC6ECBC" w14:textId="77777777" w:rsidR="009D4A7D" w:rsidRDefault="009D4A7D" w:rsidP="00732D02">
    <w:pPr>
      <w:pStyle w:val="FooterProcedure"/>
      <w:rPr>
        <w:b/>
      </w:rPr>
    </w:pPr>
    <w:r w:rsidRPr="00A333DB">
      <w:t xml:space="preserve">Page </w:t>
    </w:r>
    <w:r w:rsidRPr="00A333DB">
      <w:rPr>
        <w:rStyle w:val="PageNumber"/>
        <w:szCs w:val="18"/>
      </w:rPr>
      <w:fldChar w:fldCharType="begin"/>
    </w:r>
    <w:r w:rsidRPr="00A333DB">
      <w:rPr>
        <w:rStyle w:val="PageNumber"/>
        <w:szCs w:val="18"/>
      </w:rPr>
      <w:instrText xml:space="preserve"> PAGE </w:instrText>
    </w:r>
    <w:r w:rsidRPr="00A333DB">
      <w:rPr>
        <w:rStyle w:val="PageNumber"/>
        <w:szCs w:val="18"/>
      </w:rPr>
      <w:fldChar w:fldCharType="separate"/>
    </w:r>
    <w:r w:rsidR="00A60B09">
      <w:rPr>
        <w:rStyle w:val="PageNumber"/>
        <w:noProof/>
        <w:szCs w:val="18"/>
      </w:rPr>
      <w:t>86</w:t>
    </w:r>
    <w:r w:rsidRPr="00A333DB">
      <w:rPr>
        <w:rStyle w:val="PageNumber"/>
        <w:szCs w:val="18"/>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8862" w14:textId="77777777" w:rsidR="009D4A7D" w:rsidRDefault="009D4A7D" w:rsidP="009C11B0">
    <w:pPr>
      <w:pStyle w:val="FooterProcedure"/>
    </w:pPr>
    <w:r>
      <w:t>Procedure CC-2  Business Associate Agreements</w:t>
    </w:r>
  </w:p>
  <w:p w14:paraId="3F82B785" w14:textId="77777777" w:rsidR="009D4A7D" w:rsidRDefault="009D4A7D" w:rsidP="009C11B0">
    <w:pPr>
      <w:pStyle w:val="FooterProcedure"/>
      <w:rPr>
        <w:b/>
      </w:rPr>
    </w:pPr>
    <w:r w:rsidRPr="00A333DB">
      <w:t xml:space="preserve">Page </w:t>
    </w:r>
    <w:r w:rsidRPr="00A333DB">
      <w:rPr>
        <w:rStyle w:val="PageNumber"/>
        <w:szCs w:val="18"/>
      </w:rPr>
      <w:fldChar w:fldCharType="begin"/>
    </w:r>
    <w:r w:rsidRPr="00A333DB">
      <w:rPr>
        <w:rStyle w:val="PageNumber"/>
        <w:szCs w:val="18"/>
      </w:rPr>
      <w:instrText xml:space="preserve"> PAGE </w:instrText>
    </w:r>
    <w:r w:rsidRPr="00A333DB">
      <w:rPr>
        <w:rStyle w:val="PageNumber"/>
        <w:szCs w:val="18"/>
      </w:rPr>
      <w:fldChar w:fldCharType="separate"/>
    </w:r>
    <w:r w:rsidR="00A60B09">
      <w:rPr>
        <w:rStyle w:val="PageNumber"/>
        <w:noProof/>
        <w:szCs w:val="18"/>
      </w:rPr>
      <w:t>90</w:t>
    </w:r>
    <w:r w:rsidRPr="00A333DB">
      <w:rPr>
        <w:rStyle w:val="PageNumber"/>
        <w:szCs w:val="18"/>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6FF1" w14:textId="77777777" w:rsidR="009D4A7D" w:rsidRDefault="009D4A7D" w:rsidP="009C11B0">
    <w:pPr>
      <w:pStyle w:val="FooterProcedure"/>
    </w:pPr>
    <w:r>
      <w:t>Procedure CC-3  Designated Record Sets</w:t>
    </w:r>
  </w:p>
  <w:p w14:paraId="19D534E3" w14:textId="77777777" w:rsidR="009D4A7D" w:rsidRDefault="009D4A7D" w:rsidP="009C11B0">
    <w:pPr>
      <w:pStyle w:val="FooterProcedure"/>
      <w:rPr>
        <w:b/>
      </w:rPr>
    </w:pPr>
    <w:r w:rsidRPr="00A333DB">
      <w:t xml:space="preserve">Page </w:t>
    </w:r>
    <w:r w:rsidRPr="00A333DB">
      <w:rPr>
        <w:rStyle w:val="PageNumber"/>
        <w:szCs w:val="18"/>
      </w:rPr>
      <w:fldChar w:fldCharType="begin"/>
    </w:r>
    <w:r w:rsidRPr="00A333DB">
      <w:rPr>
        <w:rStyle w:val="PageNumber"/>
        <w:szCs w:val="18"/>
      </w:rPr>
      <w:instrText xml:space="preserve"> PAGE </w:instrText>
    </w:r>
    <w:r w:rsidRPr="00A333DB">
      <w:rPr>
        <w:rStyle w:val="PageNumber"/>
        <w:szCs w:val="18"/>
      </w:rPr>
      <w:fldChar w:fldCharType="separate"/>
    </w:r>
    <w:r w:rsidR="00A60B09">
      <w:rPr>
        <w:rStyle w:val="PageNumber"/>
        <w:noProof/>
        <w:szCs w:val="18"/>
      </w:rPr>
      <w:t>94</w:t>
    </w:r>
    <w:r w:rsidRPr="00A333DB">
      <w:rPr>
        <w:rStyle w:val="PageNumber"/>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17C2" w14:textId="77777777" w:rsidR="009D4A7D" w:rsidRDefault="009D4A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74F5" w14:textId="77777777" w:rsidR="00CB4A17" w:rsidRDefault="00CB4A17" w:rsidP="00180EEB">
    <w:pPr>
      <w:pStyle w:val="FooterProcedure"/>
    </w:pPr>
    <w:r>
      <w:t xml:space="preserve">Glossary   </w:t>
    </w:r>
    <w:r w:rsidRPr="00F866F4">
      <w:t xml:space="preserve">Page </w:t>
    </w:r>
    <w:r>
      <w:rPr>
        <w:rStyle w:val="PageNumber"/>
        <w:szCs w:val="18"/>
      </w:rPr>
      <w:fldChar w:fldCharType="begin"/>
    </w:r>
    <w:r>
      <w:rPr>
        <w:rStyle w:val="PageNumber"/>
        <w:szCs w:val="18"/>
      </w:rPr>
      <w:instrText xml:space="preserve"> PAGE  \* roman </w:instrText>
    </w:r>
    <w:r>
      <w:rPr>
        <w:rStyle w:val="PageNumber"/>
        <w:szCs w:val="18"/>
      </w:rPr>
      <w:fldChar w:fldCharType="separate"/>
    </w:r>
    <w:r>
      <w:rPr>
        <w:rStyle w:val="PageNumber"/>
        <w:noProof/>
        <w:szCs w:val="18"/>
      </w:rPr>
      <w:t>x</w:t>
    </w:r>
    <w:r>
      <w:rPr>
        <w:rStyle w:val="PageNumber"/>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340F" w14:textId="392CE443" w:rsidR="00E87CC4" w:rsidRPr="00E87CC4" w:rsidRDefault="00E50F61" w:rsidP="00E87CC4">
    <w:pPr>
      <w:pStyle w:val="FooterProcedure"/>
    </w:pPr>
    <w:r>
      <w:fldChar w:fldCharType="begin"/>
    </w:r>
    <w:r>
      <w:instrText>REF  ProcedureNumber</w:instrText>
    </w:r>
    <w:r>
      <w:fldChar w:fldCharType="separate"/>
    </w:r>
    <w:r w:rsidR="00C83381">
      <w:t>Procedure 1</w:t>
    </w:r>
    <w:r>
      <w:fldChar w:fldCharType="end"/>
    </w:r>
    <w:r w:rsidR="00E87CC4">
      <w:t xml:space="preserve">  </w:t>
    </w:r>
    <w:r w:rsidR="00E87CC4" w:rsidRPr="00F866F4">
      <w:t xml:space="preserve">Page </w:t>
    </w:r>
    <w:r w:rsidR="00E87CC4" w:rsidRPr="00F866F4">
      <w:rPr>
        <w:rStyle w:val="PageNumber"/>
        <w:szCs w:val="18"/>
      </w:rPr>
      <w:fldChar w:fldCharType="begin"/>
    </w:r>
    <w:r w:rsidR="00E87CC4" w:rsidRPr="00F866F4">
      <w:rPr>
        <w:rStyle w:val="PageNumber"/>
        <w:szCs w:val="18"/>
      </w:rPr>
      <w:instrText xml:space="preserve"> PAGE </w:instrText>
    </w:r>
    <w:r w:rsidR="00E87CC4" w:rsidRPr="00F866F4">
      <w:rPr>
        <w:rStyle w:val="PageNumber"/>
        <w:szCs w:val="18"/>
      </w:rPr>
      <w:fldChar w:fldCharType="separate"/>
    </w:r>
    <w:r w:rsidR="00E87CC4">
      <w:rPr>
        <w:rStyle w:val="PageNumber"/>
        <w:szCs w:val="18"/>
      </w:rPr>
      <w:t>1</w:t>
    </w:r>
    <w:r w:rsidR="00E87CC4" w:rsidRPr="00F866F4">
      <w:rPr>
        <w:rStyle w:val="PageNumber"/>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63785" w14:textId="77777777" w:rsidR="009D4A7D" w:rsidRDefault="009D4A7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941B4" w14:textId="77777777" w:rsidR="009D4A7D" w:rsidRPr="00A73CDD" w:rsidRDefault="009D4A7D" w:rsidP="00180EEB">
    <w:pPr>
      <w:pStyle w:val="FooterProcedure"/>
      <w:rPr>
        <w:szCs w:val="18"/>
      </w:rPr>
    </w:pPr>
    <w:r>
      <w:t xml:space="preserve">Procedure 2   </w:t>
    </w:r>
    <w:r w:rsidRPr="00A73CDD">
      <w:t xml:space="preserve">Page </w:t>
    </w:r>
    <w:r w:rsidRPr="00A73CDD">
      <w:rPr>
        <w:rStyle w:val="PageNumber"/>
        <w:szCs w:val="18"/>
      </w:rPr>
      <w:fldChar w:fldCharType="begin"/>
    </w:r>
    <w:r w:rsidRPr="00A73CDD">
      <w:rPr>
        <w:rStyle w:val="PageNumber"/>
        <w:szCs w:val="18"/>
      </w:rPr>
      <w:instrText xml:space="preserve"> PAGE </w:instrText>
    </w:r>
    <w:r w:rsidRPr="00A73CDD">
      <w:rPr>
        <w:rStyle w:val="PageNumber"/>
        <w:szCs w:val="18"/>
      </w:rPr>
      <w:fldChar w:fldCharType="separate"/>
    </w:r>
    <w:r w:rsidR="00A60B09">
      <w:rPr>
        <w:rStyle w:val="PageNumber"/>
        <w:noProof/>
        <w:szCs w:val="18"/>
      </w:rPr>
      <w:t>14</w:t>
    </w:r>
    <w:r w:rsidRPr="00A73CDD">
      <w:rPr>
        <w:rStyle w:val="PageNumber"/>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5CBE7" w14:textId="77777777" w:rsidR="009D4A7D" w:rsidRDefault="009D4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B0FCA" w14:textId="77777777" w:rsidR="00675CBD" w:rsidRDefault="00675CBD">
      <w:r>
        <w:separator/>
      </w:r>
    </w:p>
  </w:footnote>
  <w:footnote w:type="continuationSeparator" w:id="0">
    <w:p w14:paraId="00EFED0D" w14:textId="77777777" w:rsidR="00675CBD" w:rsidRDefault="00675CBD">
      <w:r>
        <w:continuationSeparator/>
      </w:r>
    </w:p>
  </w:footnote>
  <w:footnote w:type="continuationNotice" w:id="1">
    <w:p w14:paraId="4E02F216" w14:textId="77777777" w:rsidR="00675CBD" w:rsidRDefault="00675CBD"/>
  </w:footnote>
  <w:footnote w:id="2">
    <w:p w14:paraId="7AF0FAFE" w14:textId="77777777" w:rsidR="00E87CC4" w:rsidRDefault="00E87CC4">
      <w:pPr>
        <w:pStyle w:val="FootnoteText"/>
      </w:pPr>
      <w:r>
        <w:rPr>
          <w:rStyle w:val="FootnoteReference"/>
        </w:rPr>
        <w:footnoteRef/>
      </w:r>
      <w:r>
        <w:t xml:space="preserve"> </w:t>
      </w:r>
      <w:r w:rsidRPr="000D08CB">
        <w:t xml:space="preserve">This includes certain vendors or consultants, if their work is under the direct control of the Department and they have access to </w:t>
      </w:r>
      <w:r>
        <w:t>C</w:t>
      </w:r>
      <w:r w:rsidRPr="000D08CB">
        <w:t xml:space="preserve">onfidential </w:t>
      </w:r>
      <w:r>
        <w:t>I</w:t>
      </w:r>
      <w:r w:rsidRPr="000D08CB">
        <w:t>nformation.</w:t>
      </w:r>
    </w:p>
  </w:footnote>
  <w:footnote w:id="3">
    <w:p w14:paraId="050005FE" w14:textId="77777777" w:rsidR="00252193" w:rsidRPr="00A16430" w:rsidRDefault="00252193" w:rsidP="00F048CB">
      <w:pPr>
        <w:pStyle w:val="FootnoteText"/>
        <w:rPr>
          <w:sz w:val="18"/>
          <w:szCs w:val="18"/>
        </w:rPr>
      </w:pPr>
      <w:r w:rsidRPr="00A16430">
        <w:rPr>
          <w:rStyle w:val="FootnoteReference"/>
          <w:sz w:val="18"/>
          <w:szCs w:val="18"/>
        </w:rPr>
        <w:footnoteRef/>
      </w:r>
      <w:r w:rsidRPr="00A16430">
        <w:rPr>
          <w:sz w:val="18"/>
          <w:szCs w:val="18"/>
        </w:rPr>
        <w:t xml:space="preserve"> A data set may have more than one Data Steward. </w:t>
      </w:r>
    </w:p>
  </w:footnote>
  <w:footnote w:id="4">
    <w:p w14:paraId="6CF29F03" w14:textId="77777777" w:rsidR="00252193" w:rsidRPr="00A16430" w:rsidRDefault="00252193">
      <w:pPr>
        <w:pStyle w:val="FootnoteText"/>
        <w:rPr>
          <w:sz w:val="18"/>
          <w:szCs w:val="18"/>
        </w:rPr>
      </w:pPr>
      <w:r w:rsidRPr="00A16430">
        <w:rPr>
          <w:rStyle w:val="FootnoteReference"/>
          <w:sz w:val="18"/>
          <w:szCs w:val="18"/>
        </w:rPr>
        <w:footnoteRef/>
      </w:r>
      <w:r w:rsidRPr="00A16430">
        <w:rPr>
          <w:sz w:val="18"/>
          <w:szCs w:val="18"/>
        </w:rPr>
        <w:t xml:space="preserve"> With respect to </w:t>
      </w:r>
      <w:r>
        <w:rPr>
          <w:sz w:val="18"/>
          <w:szCs w:val="18"/>
        </w:rPr>
        <w:t xml:space="preserve">references to </w:t>
      </w:r>
      <w:r w:rsidRPr="00A16430">
        <w:rPr>
          <w:sz w:val="18"/>
          <w:szCs w:val="18"/>
        </w:rPr>
        <w:t>contracting with vendors or providers in this table, the</w:t>
      </w:r>
      <w:r>
        <w:rPr>
          <w:sz w:val="18"/>
          <w:szCs w:val="18"/>
        </w:rPr>
        <w:t xml:space="preserve"> term</w:t>
      </w:r>
      <w:r w:rsidRPr="00A16430">
        <w:rPr>
          <w:sz w:val="18"/>
          <w:szCs w:val="18"/>
        </w:rPr>
        <w:t xml:space="preserve"> </w:t>
      </w:r>
      <w:r>
        <w:rPr>
          <w:sz w:val="18"/>
          <w:szCs w:val="18"/>
        </w:rPr>
        <w:t>‘</w:t>
      </w:r>
      <w:r w:rsidRPr="00A16430">
        <w:rPr>
          <w:sz w:val="18"/>
          <w:szCs w:val="18"/>
        </w:rPr>
        <w:t>Administrative Unit</w:t>
      </w:r>
      <w:r>
        <w:rPr>
          <w:sz w:val="18"/>
          <w:szCs w:val="18"/>
        </w:rPr>
        <w:t>’</w:t>
      </w:r>
      <w:r w:rsidRPr="00A16430">
        <w:rPr>
          <w:sz w:val="18"/>
          <w:szCs w:val="18"/>
        </w:rPr>
        <w:t xml:space="preserve"> shall </w:t>
      </w:r>
      <w:r>
        <w:rPr>
          <w:sz w:val="18"/>
          <w:szCs w:val="18"/>
        </w:rPr>
        <w:t>mean</w:t>
      </w:r>
      <w:r w:rsidRPr="00A16430">
        <w:rPr>
          <w:sz w:val="18"/>
          <w:szCs w:val="18"/>
        </w:rPr>
        <w:t xml:space="preserve"> the Administrative Unit who </w:t>
      </w:r>
      <w:r>
        <w:rPr>
          <w:sz w:val="18"/>
          <w:szCs w:val="18"/>
        </w:rPr>
        <w:t xml:space="preserve">manages and </w:t>
      </w:r>
      <w:r w:rsidRPr="00A16430">
        <w:rPr>
          <w:sz w:val="18"/>
          <w:szCs w:val="18"/>
        </w:rPr>
        <w:t xml:space="preserve">utilizes the goods or services purchased. </w:t>
      </w:r>
    </w:p>
  </w:footnote>
  <w:footnote w:id="5">
    <w:p w14:paraId="4AC65DA8" w14:textId="77777777" w:rsidR="009D4A7D" w:rsidRDefault="009D4A7D" w:rsidP="00450ABF">
      <w:r>
        <w:rPr>
          <w:rStyle w:val="FootnoteReference"/>
        </w:rPr>
        <w:footnoteRef/>
      </w:r>
      <w:r>
        <w:t xml:space="preserve"> </w:t>
      </w:r>
      <w:r>
        <w:rPr>
          <w:sz w:val="20"/>
        </w:rPr>
        <w:t>Subpoena</w:t>
      </w:r>
      <w:r>
        <w:rPr>
          <w:i/>
          <w:sz w:val="20"/>
        </w:rPr>
        <w:t xml:space="preserve"> </w:t>
      </w:r>
      <w:r>
        <w:rPr>
          <w:sz w:val="20"/>
        </w:rPr>
        <w:t>means a formal request to compel the Department to produce an individual to testify or to produce documents in relation to a proceeding in which the Department may or may not be a party to the action. A subpoena is issued most often by an attorney or, in some instances, by the court. It is often accompanied by a witness fee. Failure to respond to a subpoena may result in legal sanctions.</w:t>
      </w:r>
    </w:p>
  </w:footnote>
  <w:footnote w:id="6">
    <w:p w14:paraId="3703CFDF" w14:textId="77777777" w:rsidR="009D4A7D" w:rsidRDefault="009D4A7D" w:rsidP="00450ABF">
      <w:pPr>
        <w:pStyle w:val="FootnoteText"/>
      </w:pPr>
      <w:r>
        <w:rPr>
          <w:rStyle w:val="FootnoteReference"/>
        </w:rPr>
        <w:footnoteRef/>
      </w:r>
      <w:r>
        <w:t xml:space="preserve"> M.G.L. c. 66A, § 2(k) provides that holders of personal data are required to “maintain procedures to ensure that no personal data are made available in response to a demand for data made by means of compulsory process, unless the data subject has been notified of such demand in reasonable time that he may seek to have the process quashed.”</w:t>
      </w:r>
    </w:p>
  </w:footnote>
  <w:footnote w:id="7">
    <w:p w14:paraId="284A6FAF" w14:textId="77777777" w:rsidR="009D4A7D" w:rsidRPr="00131AD3" w:rsidRDefault="009D4A7D" w:rsidP="00450ABF">
      <w:pPr>
        <w:pStyle w:val="FootnoteText"/>
        <w:rPr>
          <w:lang w:val="de-DE"/>
        </w:rPr>
      </w:pPr>
      <w:r>
        <w:rPr>
          <w:rStyle w:val="FootnoteReference"/>
        </w:rPr>
        <w:footnoteRef/>
      </w:r>
      <w:r w:rsidRPr="00131AD3">
        <w:rPr>
          <w:lang w:val="de-DE"/>
        </w:rPr>
        <w:t xml:space="preserve"> 45 C.F.R. § 164.512(e)(1)</w:t>
      </w:r>
    </w:p>
  </w:footnote>
  <w:footnote w:id="8">
    <w:p w14:paraId="4AAB65F7" w14:textId="77777777" w:rsidR="009D4A7D" w:rsidRDefault="009D4A7D">
      <w:pPr>
        <w:pStyle w:val="FootnoteText"/>
      </w:pPr>
      <w:r>
        <w:rPr>
          <w:rStyle w:val="FootnoteReference"/>
        </w:rPr>
        <w:footnoteRef/>
      </w:r>
      <w:r>
        <w:t xml:space="preserve"> An order of a court or an administrative tribunal or a stipulation by the parties to the litigation that (a) prohibits the parties from using or disclosing the PHI for any purpose other than the litigation or proceeding for which it was requested; and (b) requires the return to the covered entity or destruction of the PHI at the end of the litigation or proceeding.</w:t>
      </w:r>
    </w:p>
  </w:footnote>
  <w:footnote w:id="9">
    <w:p w14:paraId="2C7382F5" w14:textId="77777777" w:rsidR="009D4A7D" w:rsidRDefault="009D4A7D">
      <w:pPr>
        <w:pStyle w:val="FootnoteText"/>
      </w:pPr>
      <w:r>
        <w:rPr>
          <w:rStyle w:val="FootnoteReference"/>
        </w:rPr>
        <w:footnoteRef/>
      </w:r>
      <w:r>
        <w:t xml:space="preserve"> This procedure does not apply to disclosures of unrestricted, identifiable vital record information made by the Registry of Vital Records and Statistics in accordance with applicable laws.</w:t>
      </w:r>
    </w:p>
  </w:footnote>
  <w:footnote w:id="10">
    <w:p w14:paraId="6673BCC1" w14:textId="77777777" w:rsidR="009D4A7D" w:rsidRDefault="009D4A7D">
      <w:pPr>
        <w:rPr>
          <w:rFonts w:ascii="Times New Roman" w:hAnsi="Times New Roman"/>
          <w:sz w:val="20"/>
          <w:szCs w:val="20"/>
        </w:rPr>
      </w:pPr>
      <w:r>
        <w:rPr>
          <w:rStyle w:val="FootnoteReference"/>
        </w:rPr>
        <w:footnoteRef/>
      </w:r>
      <w:r>
        <w:rPr>
          <w:sz w:val="20"/>
        </w:rPr>
        <w:t xml:space="preserve">  </w:t>
      </w:r>
      <w:r w:rsidRPr="004242BC">
        <w:rPr>
          <w:rFonts w:ascii="Times New Roman" w:hAnsi="Times New Roman"/>
          <w:sz w:val="20"/>
          <w:szCs w:val="20"/>
        </w:rPr>
        <w:t>Covered components must follow the HIPAA safe harbor standard:  All geographic subdivisions smaller than a State, including street address, city, county, precinct, zip code, and their equivalent geocodes.  However, the initial three digits of a zip code may remain in the information if, according to current publicly available data from the Bureau of the Census, the geographic unit formed by combining all zip codes with the same three initial digits contains more than 20,000 people; and the initial three digits for all such geographic units containing 20,000 or fewer people is changed to 000.</w:t>
      </w:r>
    </w:p>
    <w:p w14:paraId="011D2A75" w14:textId="77777777" w:rsidR="009D4A7D" w:rsidRDefault="009D4A7D">
      <w:pPr>
        <w:rPr>
          <w:sz w:val="20"/>
        </w:rPr>
      </w:pPr>
    </w:p>
  </w:footnote>
  <w:footnote w:id="11">
    <w:p w14:paraId="56F28506" w14:textId="77777777" w:rsidR="009D4A7D" w:rsidRDefault="009D4A7D">
      <w:pPr>
        <w:pStyle w:val="FootnoteText"/>
      </w:pPr>
      <w:r>
        <w:rPr>
          <w:rStyle w:val="FootnoteReference"/>
        </w:rPr>
        <w:footnoteRef/>
      </w:r>
      <w:r>
        <w:t xml:space="preserve"> </w:t>
      </w:r>
      <w:r>
        <w:rPr>
          <w:rFonts w:cs="Arial"/>
        </w:rPr>
        <w:t>Covered components must follow the HIPAA safe harbor standard:  All elements of dates (except year) for dates directly relating to an individual, including birth date, dates of admission and discharge from a health care facility, and date of death.  For persons age 90 and older, all elements of dates (including year) that would indicate such age must be removed, except that such ages and elements may be aggregated into a single category of “age 90 or older.”</w:t>
      </w:r>
    </w:p>
  </w:footnote>
  <w:footnote w:id="12">
    <w:p w14:paraId="30E60BB4" w14:textId="77777777" w:rsidR="009D4A7D" w:rsidRDefault="009D4A7D" w:rsidP="006C3E5E">
      <w:pPr>
        <w:pStyle w:val="FootnoteText"/>
      </w:pPr>
      <w:r>
        <w:rPr>
          <w:rStyle w:val="FootnoteReference"/>
        </w:rPr>
        <w:footnoteRef/>
      </w:r>
      <w:r>
        <w:t xml:space="preserve"> Although the HIPAA Privacy Rule provides that a covered entity may disclose a limited data set for the purposes of research, public health, or operations pursuant to a Limited Data Set Agreement this is generally not used by the Department. For specific instances where it may be appropriate inquiries should be directed to the confidential data officer</w:t>
      </w:r>
      <w:r w:rsidRPr="00CC0D21">
        <w:t>.</w:t>
      </w:r>
    </w:p>
  </w:footnote>
  <w:footnote w:id="13">
    <w:p w14:paraId="045BB323" w14:textId="77777777" w:rsidR="009D4A7D" w:rsidRDefault="009D4A7D">
      <w:pPr>
        <w:pStyle w:val="FootnoteText"/>
        <w:rPr>
          <w:rFonts w:ascii="new times roman" w:hAnsi="new times roman" w:cs="new times roman"/>
        </w:rPr>
      </w:pPr>
      <w:r>
        <w:rPr>
          <w:rStyle w:val="FootnoteReference"/>
        </w:rPr>
        <w:footnoteRef/>
      </w:r>
      <w:r>
        <w:t xml:space="preserve"> </w:t>
      </w:r>
      <w:r>
        <w:rPr>
          <w:rFonts w:ascii="new times roman" w:hAnsi="new times roman" w:cs="new times roman"/>
        </w:rPr>
        <w:t>Population or denominator means: For counts of health events (cases, diagnoses, births, discharges, etc.), the population or denominator</w:t>
      </w:r>
      <w:r>
        <w:rPr>
          <w:rFonts w:ascii="new times roman" w:hAnsi="new times roman" w:cs="new times roman"/>
          <w:b/>
          <w:bCs/>
        </w:rPr>
        <w:t xml:space="preserve"> </w:t>
      </w:r>
      <w:r>
        <w:rPr>
          <w:rFonts w:ascii="new times roman" w:hAnsi="new times roman" w:cs="new times roman"/>
        </w:rPr>
        <w:t>is defined as the number of people who live in a particular community, are clients of a particular program, or patients in a particular facility. The population or denominator may be further delineated by demographic information (e.g., race, age, gender, etc.). For additional cross-classifications, the denominator is defined as the number of events or the numerator for the preceding cross-classification or the population.</w:t>
      </w:r>
    </w:p>
    <w:p w14:paraId="4CF408C6" w14:textId="77777777" w:rsidR="009D4A7D" w:rsidRDefault="009D4A7D">
      <w:pPr>
        <w:pStyle w:val="FootnoteText"/>
      </w:pPr>
    </w:p>
  </w:footnote>
  <w:footnote w:id="14">
    <w:p w14:paraId="49018393" w14:textId="77777777" w:rsidR="009D4A7D" w:rsidRDefault="009D4A7D">
      <w:pPr>
        <w:pStyle w:val="FootnoteText"/>
      </w:pPr>
      <w:r>
        <w:rPr>
          <w:rStyle w:val="FootnoteReference"/>
        </w:rPr>
        <w:footnoteRef/>
      </w:r>
      <w:r>
        <w:t xml:space="preserve"> </w:t>
      </w:r>
      <w:r>
        <w:rPr>
          <w:rFonts w:ascii="new times roman" w:hAnsi="new times roman" w:cs="new times roman"/>
        </w:rPr>
        <w:t>Numerator</w:t>
      </w:r>
      <w:r>
        <w:rPr>
          <w:rFonts w:ascii="new times roman" w:hAnsi="new times roman" w:cs="new times roman"/>
          <w:b/>
          <w:bCs/>
          <w:i/>
          <w:iCs/>
        </w:rPr>
        <w:t xml:space="preserve"> </w:t>
      </w:r>
      <w:r>
        <w:rPr>
          <w:rFonts w:ascii="new times roman" w:hAnsi="new times roman" w:cs="new times roman"/>
        </w:rPr>
        <w:t>means: The number health events (cases, diagnoses, clients, discharges, encounters, visits, etc.) being considered for release for a particular population or cross-classification.</w:t>
      </w:r>
    </w:p>
  </w:footnote>
  <w:footnote w:id="15">
    <w:p w14:paraId="5A216A9A" w14:textId="77777777" w:rsidR="009D4A7D" w:rsidRDefault="009D4A7D" w:rsidP="00AE0BC0">
      <w:pPr>
        <w:autoSpaceDE w:val="0"/>
        <w:autoSpaceDN w:val="0"/>
        <w:adjustRightInd w:val="0"/>
        <w:jc w:val="left"/>
      </w:pPr>
      <w:r>
        <w:rPr>
          <w:rStyle w:val="FootnoteReference"/>
        </w:rPr>
        <w:footnoteRef/>
      </w:r>
      <w:r>
        <w:t xml:space="preserve"> </w:t>
      </w:r>
      <w:r w:rsidRPr="00AE0BC0">
        <w:rPr>
          <w:rFonts w:ascii="Times New Roman" w:hAnsi="Times New Roman"/>
          <w:sz w:val="20"/>
          <w:szCs w:val="20"/>
        </w:rPr>
        <w:t>Because it is possible to figure out a suppressed value from column and row totals when only one value is suppressed, it may also be necessary to either suppress the column and row totals or suppress other cells so that no column or row has only one suppressed value.</w:t>
      </w:r>
    </w:p>
  </w:footnote>
  <w:footnote w:id="16">
    <w:p w14:paraId="4F038BBB" w14:textId="77777777" w:rsidR="009D4A7D" w:rsidRDefault="009D4A7D">
      <w:pPr>
        <w:pStyle w:val="FootnoteText"/>
      </w:pPr>
      <w:r>
        <w:rPr>
          <w:rStyle w:val="FootnoteReference"/>
        </w:rPr>
        <w:footnoteRef/>
      </w:r>
      <w:r>
        <w:t xml:space="preserve"> To the extent that reports are drafted with a generic reference (i.e., patient A) rather than an individual name, no redaction for this item would be required.</w:t>
      </w:r>
    </w:p>
  </w:footnote>
  <w:footnote w:id="17">
    <w:p w14:paraId="56147374" w14:textId="77777777" w:rsidR="009D4A7D" w:rsidRDefault="009D4A7D">
      <w:pPr>
        <w:pStyle w:val="FootnoteText"/>
      </w:pPr>
      <w:r>
        <w:rPr>
          <w:rStyle w:val="FootnoteReference"/>
        </w:rPr>
        <w:footnoteRef/>
      </w:r>
      <w:r>
        <w:t xml:space="preserve"> Exemption (f) of the Public Records Law (M.G.L. c. 4, §7(26)) permits the agency to withhold the name of the complainant without having to show prejudice to an ongoing investigation.</w:t>
      </w:r>
    </w:p>
  </w:footnote>
  <w:footnote w:id="18">
    <w:p w14:paraId="699DFFE8" w14:textId="77777777" w:rsidR="009D4A7D" w:rsidRDefault="009D4A7D">
      <w:pPr>
        <w:pStyle w:val="FootnoteText"/>
      </w:pPr>
      <w:r>
        <w:rPr>
          <w:rStyle w:val="FootnoteReference"/>
        </w:rPr>
        <w:footnoteRef/>
      </w:r>
      <w:r>
        <w:t xml:space="preserve"> The release of medical information, even without other particular identifying details, creates a serious risk of identification by those who are familiar with the individual. The risk of identification is enhanced in those instances that relate to surveys, inspections, complaints, or investigations of particular licensed, identified facilities at a particular point in time. Moreover, the ability to link information electronically and to tie it to other information in the public domain has greatly increased the risk of identifying individuals from limited information.</w:t>
      </w:r>
    </w:p>
  </w:footnote>
  <w:footnote w:id="19">
    <w:p w14:paraId="6D6F4E28" w14:textId="77777777" w:rsidR="009D4A7D" w:rsidRDefault="009D4A7D">
      <w:pPr>
        <w:pStyle w:val="FootnoteText"/>
      </w:pPr>
      <w:r>
        <w:rPr>
          <w:rStyle w:val="FootnoteReference"/>
        </w:rPr>
        <w:footnoteRef/>
      </w:r>
      <w:r>
        <w:t xml:space="preserve"> Release of aggregate information must comply with </w:t>
      </w:r>
      <w:r w:rsidRPr="00A060AE">
        <w:t>Procedure # 7: De-Identification, Limited Data Sets, and Aggregate Data</w:t>
      </w:r>
      <w:r>
        <w:t>.</w:t>
      </w:r>
    </w:p>
  </w:footnote>
  <w:footnote w:id="20">
    <w:p w14:paraId="62163D6E" w14:textId="77777777" w:rsidR="009D4A7D" w:rsidRDefault="009D4A7D">
      <w:pPr>
        <w:pStyle w:val="FootnoteText"/>
      </w:pPr>
      <w:r>
        <w:rPr>
          <w:rStyle w:val="FootnoteReference"/>
        </w:rPr>
        <w:footnoteRef/>
      </w:r>
      <w:r>
        <w:t xml:space="preserve"> It is recommended that these redaction standards be set at the program level, if they are likely to differ from program to program within a Bureau.</w:t>
      </w:r>
    </w:p>
  </w:footnote>
  <w:footnote w:id="21">
    <w:p w14:paraId="0A3F8A31" w14:textId="77777777" w:rsidR="009D4A7D" w:rsidRDefault="009D4A7D">
      <w:pPr>
        <w:pStyle w:val="FootnoteText"/>
      </w:pPr>
      <w:r>
        <w:rPr>
          <w:rStyle w:val="FootnoteReference"/>
        </w:rPr>
        <w:footnoteRef/>
      </w:r>
      <w:r>
        <w:t xml:space="preserve"> These considerations should be coordinated at a Bureau level, but again may differ from program to program.</w:t>
      </w:r>
    </w:p>
  </w:footnote>
  <w:footnote w:id="22">
    <w:p w14:paraId="42A53C7D" w14:textId="77777777" w:rsidR="009D4A7D" w:rsidRDefault="009D4A7D">
      <w:pPr>
        <w:pStyle w:val="FootnoteText"/>
      </w:pPr>
      <w:r>
        <w:rPr>
          <w:rStyle w:val="FootnoteReference"/>
        </w:rPr>
        <w:footnoteRef/>
      </w:r>
      <w:r>
        <w:t xml:space="preserve"> All rights in this procedure may be exercised by a data subject’s personal representative, provided that the personal representative is authorized for that purpose, as described in </w:t>
      </w:r>
      <w:r w:rsidRPr="00A033CD">
        <w:t>Procedure # 9: Verification of Individuals or Entities Requesting Access to Confidential Infor</w:t>
      </w:r>
      <w:bookmarkStart w:id="69" w:name="_Hlt66509760"/>
      <w:r w:rsidRPr="00A033CD">
        <w:t>m</w:t>
      </w:r>
      <w:bookmarkEnd w:id="69"/>
      <w:r w:rsidRPr="00A033CD">
        <w:t>ation</w:t>
      </w:r>
      <w:r>
        <w:t>.</w:t>
      </w:r>
    </w:p>
  </w:footnote>
  <w:footnote w:id="23">
    <w:p w14:paraId="580E5436" w14:textId="77777777" w:rsidR="009D4A7D" w:rsidRPr="00020486" w:rsidRDefault="009D4A7D">
      <w:pPr>
        <w:pStyle w:val="FootnoteText"/>
      </w:pPr>
      <w:r>
        <w:rPr>
          <w:rStyle w:val="FootnoteReference"/>
        </w:rPr>
        <w:footnoteRef/>
      </w:r>
      <w:r>
        <w:t xml:space="preserve"> Information related to the Massachusetts Records Conservation Board is available at </w:t>
      </w:r>
      <w:hyperlink r:id="rId1" w:history="1">
        <w:r w:rsidRPr="00020486">
          <w:rPr>
            <w:rStyle w:val="Hyperlink"/>
            <w:rFonts w:ascii="Times New Roman" w:hAnsi="Times New Roman"/>
            <w:sz w:val="20"/>
            <w:szCs w:val="20"/>
          </w:rPr>
          <w:t>http://www.state.ma.us/sec/arc/arcrcb/rcbidx.htm</w:t>
        </w:r>
      </w:hyperlink>
      <w:r w:rsidRPr="00020486">
        <w:t>.</w:t>
      </w:r>
    </w:p>
  </w:footnote>
  <w:footnote w:id="24">
    <w:p w14:paraId="38C17C6D" w14:textId="77777777" w:rsidR="009D4A7D" w:rsidRDefault="009D4A7D">
      <w:pPr>
        <w:pStyle w:val="FootnoteText"/>
      </w:pPr>
      <w:r>
        <w:rPr>
          <w:rStyle w:val="FootnoteReference"/>
        </w:rPr>
        <w:footnoteRef/>
      </w:r>
      <w:r>
        <w:t xml:space="preserve"> The accounting requirements apply only to the release of confidential information that is defined as a disclosure under </w:t>
      </w:r>
      <w:r w:rsidRPr="00663859">
        <w:t>Procedure # 3: Use and Disclosure of Confidential Information</w:t>
      </w:r>
      <w:r>
        <w:t>. Since unrestricted identifiable vital record information disclosed by the Registry of Vital Records and Statistics is not considered confidential information, no accounting is required for such disclosures.</w:t>
      </w:r>
    </w:p>
  </w:footnote>
  <w:footnote w:id="25">
    <w:p w14:paraId="71CF2F25" w14:textId="77777777" w:rsidR="009D4A7D" w:rsidRDefault="009D4A7D">
      <w:pPr>
        <w:pStyle w:val="FootnoteText"/>
      </w:pPr>
      <w:r>
        <w:rPr>
          <w:rStyle w:val="FootnoteReference"/>
        </w:rPr>
        <w:footnoteRef/>
      </w:r>
      <w:r>
        <w:t xml:space="preserve"> Versions of the form specific to covered and non-covered components are available at </w:t>
      </w:r>
      <w:hyperlink r:id="rId2" w:history="1">
        <w:r w:rsidRPr="00020486">
          <w:rPr>
            <w:rStyle w:val="Hyperlink"/>
            <w:rFonts w:ascii="Times New Roman" w:hAnsi="Times New Roman"/>
            <w:sz w:val="20"/>
            <w:szCs w:val="20"/>
          </w:rPr>
          <w:t>http://healthnet.dph.state.ma.us/privsec/forms/forms.htm</w:t>
        </w:r>
      </w:hyperlink>
      <w:r w:rsidRPr="00020486">
        <w:rPr>
          <w:rStyle w:val="Hyperlink"/>
          <w:rFonts w:ascii="Times New Roman" w:hAnsi="Times New Roman"/>
          <w:sz w:val="20"/>
          <w:szCs w:val="20"/>
        </w:rPr>
        <w:t xml:space="preserve"> </w:t>
      </w:r>
      <w:r>
        <w:t xml:space="preserve"> </w:t>
      </w:r>
      <w:r w:rsidRPr="00F871DF">
        <w:t>(available to MDPH Intranet users only)</w:t>
      </w:r>
      <w:r>
        <w:t>.</w:t>
      </w:r>
    </w:p>
  </w:footnote>
  <w:footnote w:id="26">
    <w:p w14:paraId="34509E92" w14:textId="77777777" w:rsidR="009D4A7D" w:rsidRDefault="009D4A7D">
      <w:pPr>
        <w:pStyle w:val="FootnoteText"/>
      </w:pPr>
      <w:r>
        <w:rPr>
          <w:rStyle w:val="FootnoteReference"/>
        </w:rPr>
        <w:footnoteRef/>
      </w:r>
      <w:r>
        <w:t xml:space="preserve"> The requestor’s identity should be verified in accordance with </w:t>
      </w:r>
      <w:r w:rsidRPr="00656D6F">
        <w:t>Procedure # 9: Verification of Individuals or Entities Requesting Confidential Information</w:t>
      </w:r>
      <w:r>
        <w:t>.</w:t>
      </w:r>
    </w:p>
  </w:footnote>
  <w:footnote w:id="27">
    <w:p w14:paraId="13E011E5" w14:textId="77777777" w:rsidR="009D4A7D" w:rsidRDefault="009D4A7D">
      <w:pPr>
        <w:pStyle w:val="FootnoteText"/>
      </w:pPr>
      <w:r>
        <w:rPr>
          <w:rStyle w:val="FootnoteReference"/>
        </w:rPr>
        <w:footnoteRef/>
      </w:r>
      <w:r>
        <w:t xml:space="preserve"> Information related to the Massachusetts Records Conservation Board is available at </w:t>
      </w:r>
      <w:hyperlink r:id="rId3" w:history="1">
        <w:r w:rsidRPr="00020486">
          <w:rPr>
            <w:rStyle w:val="Hyperlink"/>
            <w:rFonts w:ascii="Times New Roman" w:hAnsi="Times New Roman"/>
            <w:sz w:val="20"/>
            <w:szCs w:val="20"/>
          </w:rPr>
          <w:t>http://www.state.ma.us/sec/arc/arcrcb/rcbidx.htm</w:t>
        </w:r>
      </w:hyperlink>
      <w:r w:rsidRPr="00020486">
        <w:t>.</w:t>
      </w:r>
    </w:p>
  </w:footnote>
  <w:footnote w:id="28">
    <w:p w14:paraId="161B4347" w14:textId="77777777" w:rsidR="009D4A7D" w:rsidRDefault="009D4A7D">
      <w:pPr>
        <w:pStyle w:val="FootnoteText"/>
      </w:pPr>
      <w:r>
        <w:rPr>
          <w:rStyle w:val="FootnoteReference"/>
        </w:rPr>
        <w:footnoteRef/>
      </w:r>
      <w:r>
        <w:t xml:space="preserve"> Complaints relating to </w:t>
      </w:r>
      <w:smartTag w:uri="urn:schemas-microsoft-com:office:smarttags" w:element="place">
        <w:smartTag w:uri="urn:schemas-microsoft-com:office:smarttags" w:element="PlaceName">
          <w:r>
            <w:t>DPH</w:t>
          </w:r>
        </w:smartTag>
        <w:r>
          <w:t xml:space="preserve"> </w:t>
        </w:r>
        <w:smartTag w:uri="urn:schemas-microsoft-com:office:smarttags" w:element="PlaceType">
          <w:r>
            <w:t>Hospitals</w:t>
          </w:r>
        </w:smartTag>
      </w:smartTag>
      <w:r>
        <w:t xml:space="preserve"> or the State Office of Pharmacy Services, and all questions regarding their respective complaint procedures must be submitted to their respective privacy offices.</w:t>
      </w:r>
    </w:p>
  </w:footnote>
  <w:footnote w:id="29">
    <w:p w14:paraId="2EF0C067" w14:textId="77777777" w:rsidR="009D4A7D" w:rsidRPr="00020486" w:rsidRDefault="009D4A7D" w:rsidP="009C11B0">
      <w:pPr>
        <w:pStyle w:val="FootnoteText"/>
      </w:pPr>
      <w:r>
        <w:rPr>
          <w:rStyle w:val="FootnoteReference"/>
        </w:rPr>
        <w:footnoteRef/>
      </w:r>
      <w:r>
        <w:t xml:space="preserve"> The Privacy Complaint forms for both covered and non-covered components are available at: </w:t>
      </w:r>
      <w:hyperlink r:id="rId4" w:history="1">
        <w:r w:rsidRPr="00020486">
          <w:rPr>
            <w:rStyle w:val="Hyperlink"/>
            <w:rFonts w:ascii="Times New Roman" w:hAnsi="Times New Roman"/>
            <w:sz w:val="20"/>
            <w:szCs w:val="20"/>
          </w:rPr>
          <w:t>http://healthnet.dph.state.ma.us/privsec/forms/forms.htm</w:t>
        </w:r>
      </w:hyperlink>
      <w:r w:rsidRPr="00020486">
        <w:t xml:space="preserve">. </w:t>
      </w:r>
    </w:p>
  </w:footnote>
  <w:footnote w:id="30">
    <w:p w14:paraId="6511FF70" w14:textId="77777777" w:rsidR="009D4A7D" w:rsidRPr="00020486" w:rsidRDefault="009D4A7D">
      <w:pPr>
        <w:pStyle w:val="FootnoteText"/>
      </w:pPr>
      <w:r>
        <w:rPr>
          <w:rStyle w:val="FootnoteReference"/>
        </w:rPr>
        <w:footnoteRef/>
      </w:r>
      <w:r>
        <w:t xml:space="preserve"> Information related to the Massachusetts Records Conservation Board is available at </w:t>
      </w:r>
      <w:hyperlink r:id="rId5" w:history="1">
        <w:r w:rsidRPr="00020486">
          <w:rPr>
            <w:rStyle w:val="Hyperlink"/>
            <w:rFonts w:ascii="Times New Roman" w:hAnsi="Times New Roman"/>
            <w:sz w:val="20"/>
            <w:szCs w:val="20"/>
          </w:rPr>
          <w:t>http://www.state.ma.us/sec/arc/arcrcb/rcbidx.htm</w:t>
        </w:r>
      </w:hyperlink>
      <w:r w:rsidRPr="00020486">
        <w:t>.</w:t>
      </w:r>
    </w:p>
  </w:footnote>
  <w:footnote w:id="31">
    <w:p w14:paraId="7E816B96" w14:textId="77777777" w:rsidR="009D4A7D" w:rsidRDefault="009D4A7D">
      <w:pPr>
        <w:pStyle w:val="FootnoteText"/>
      </w:pPr>
      <w:r>
        <w:rPr>
          <w:rStyle w:val="FootnoteReference"/>
        </w:rPr>
        <w:footnoteRef/>
      </w:r>
      <w:r>
        <w:t xml:space="preserve"> </w:t>
      </w:r>
      <w:r w:rsidRPr="00995743">
        <w:t>Procedure # C</w:t>
      </w:r>
      <w:bookmarkStart w:id="103" w:name="_Hlt65043177"/>
      <w:r w:rsidRPr="00995743">
        <w:t>C</w:t>
      </w:r>
      <w:bookmarkEnd w:id="103"/>
      <w:r w:rsidRPr="00995743">
        <w:t>-2: Business Associate Agreements</w:t>
      </w:r>
      <w:r>
        <w:t xml:space="preserve"> describes the contractual requirements between programs and their BAs in detail.</w:t>
      </w:r>
    </w:p>
  </w:footnote>
  <w:footnote w:id="32">
    <w:p w14:paraId="46095C04" w14:textId="77777777" w:rsidR="009D4A7D" w:rsidRPr="00444DFF" w:rsidRDefault="009D4A7D">
      <w:pPr>
        <w:pStyle w:val="FootnoteText"/>
      </w:pPr>
      <w:r>
        <w:rPr>
          <w:rStyle w:val="FootnoteReference"/>
        </w:rPr>
        <w:footnoteRef/>
      </w:r>
      <w:r>
        <w:t xml:space="preserve"> Information related to the Massachusetts Records Conservation Board is available at </w:t>
      </w:r>
      <w:hyperlink r:id="rId6" w:history="1">
        <w:r w:rsidRPr="00444DFF">
          <w:rPr>
            <w:rStyle w:val="Hyperlink"/>
            <w:rFonts w:ascii="Times New Roman" w:hAnsi="Times New Roman"/>
            <w:sz w:val="20"/>
            <w:szCs w:val="20"/>
          </w:rPr>
          <w:t>http://www.state.ma.us/sec/arc/a</w:t>
        </w:r>
        <w:bookmarkStart w:id="105" w:name="_Hlt65043180"/>
        <w:r w:rsidRPr="00444DFF">
          <w:rPr>
            <w:rStyle w:val="Hyperlink"/>
            <w:rFonts w:ascii="Times New Roman" w:hAnsi="Times New Roman"/>
            <w:sz w:val="20"/>
            <w:szCs w:val="20"/>
          </w:rPr>
          <w:t>r</w:t>
        </w:r>
        <w:bookmarkEnd w:id="105"/>
        <w:r w:rsidRPr="00444DFF">
          <w:rPr>
            <w:rStyle w:val="Hyperlink"/>
            <w:rFonts w:ascii="Times New Roman" w:hAnsi="Times New Roman"/>
            <w:sz w:val="20"/>
            <w:szCs w:val="20"/>
          </w:rPr>
          <w:t>crcb/rcbidx.htm</w:t>
        </w:r>
      </w:hyperlink>
      <w:r w:rsidRPr="00444DFF">
        <w:t>.</w:t>
      </w:r>
    </w:p>
  </w:footnote>
  <w:footnote w:id="33">
    <w:p w14:paraId="701BEF79" w14:textId="77777777" w:rsidR="009D4A7D" w:rsidRDefault="009D4A7D">
      <w:pPr>
        <w:pStyle w:val="FootnoteText"/>
      </w:pPr>
      <w:r>
        <w:rPr>
          <w:rStyle w:val="FootnoteReference"/>
        </w:rPr>
        <w:footnoteRef/>
      </w:r>
      <w:r>
        <w:t xml:space="preserve"> Information related to the Massachusetts Records Conservation Board is available at </w:t>
      </w:r>
      <w:hyperlink r:id="rId7" w:history="1">
        <w:r>
          <w:rPr>
            <w:rStyle w:val="Hyperlink"/>
          </w:rPr>
          <w:t>http://www.state.ma.us/sec/arc/arcrcb/rcbidx.htm</w:t>
        </w:r>
      </w:hyperlink>
      <w:r>
        <w:t>.</w:t>
      </w:r>
    </w:p>
  </w:footnote>
  <w:footnote w:id="34">
    <w:p w14:paraId="7ABEF5FB" w14:textId="77777777" w:rsidR="009D4A7D" w:rsidRDefault="009D4A7D">
      <w:pPr>
        <w:pStyle w:val="FootnoteText"/>
      </w:pPr>
      <w:r>
        <w:rPr>
          <w:rStyle w:val="FootnoteReference"/>
        </w:rPr>
        <w:footnoteRef/>
      </w:r>
      <w:r>
        <w:t xml:space="preserve"> </w:t>
      </w:r>
      <w:bookmarkStart w:id="118" w:name="_Toc21844375"/>
      <w:r>
        <w:t>A record is</w:t>
      </w:r>
      <w:bookmarkEnd w:id="118"/>
      <w:r>
        <w:t xml:space="preserve"> any item, collection, or grouping of information that includes confidential health information and is maintained, collected, used, or disseminated by or for a covered component.</w:t>
      </w:r>
    </w:p>
  </w:footnote>
  <w:footnote w:id="35">
    <w:p w14:paraId="0AEF964C" w14:textId="77777777" w:rsidR="009D4A7D" w:rsidRDefault="009D4A7D">
      <w:pPr>
        <w:pStyle w:val="FootnoteText"/>
      </w:pPr>
      <w:r>
        <w:rPr>
          <w:rStyle w:val="FootnoteReference"/>
        </w:rPr>
        <w:footnoteRef/>
      </w:r>
      <w:r>
        <w:t xml:space="preserve"> The DRS must go back six years. The time begins “running” as of April 14, 2003. For requests received on or after that date, it is likely the elements of the DRS are not archived. Prospectively, the location of  records that are archived more frequently than every six years must be noted so they can be accessed if there is a request for the DRS that reaches back the full six years.</w:t>
      </w:r>
    </w:p>
  </w:footnote>
  <w:footnote w:id="36">
    <w:p w14:paraId="24659BAE" w14:textId="77777777" w:rsidR="009D4A7D" w:rsidRPr="000E429F" w:rsidRDefault="009D4A7D">
      <w:pPr>
        <w:pStyle w:val="FootnoteText"/>
      </w:pPr>
      <w:r>
        <w:rPr>
          <w:rStyle w:val="FootnoteReference"/>
        </w:rPr>
        <w:footnoteRef/>
      </w:r>
      <w:r>
        <w:t xml:space="preserve"> Information related to the Massachusetts Records Conservation Board is available at </w:t>
      </w:r>
      <w:hyperlink r:id="rId8" w:history="1">
        <w:r w:rsidRPr="000E429F">
          <w:rPr>
            <w:rStyle w:val="Hyperlink"/>
            <w:rFonts w:ascii="Times New Roman" w:hAnsi="Times New Roman"/>
            <w:sz w:val="20"/>
            <w:szCs w:val="20"/>
          </w:rPr>
          <w:t>http://www.state.ma.us/sec/arc/arcrcb/rcbidx.htm</w:t>
        </w:r>
      </w:hyperlink>
      <w:r w:rsidRPr="000E429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0077" w14:textId="77777777" w:rsidR="009D4A7D" w:rsidRDefault="009D4A7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0CB8" w14:textId="77777777" w:rsidR="00606BB4" w:rsidRPr="00AE057D" w:rsidRDefault="00606BB4" w:rsidP="00D8468B">
    <w:pPr>
      <w:pStyle w:val="HeaderProcedure"/>
    </w:pPr>
    <w:r w:rsidRPr="00AE057D">
      <w:t>Massachusetts Department of Public Health</w:t>
    </w:r>
  </w:p>
  <w:p w14:paraId="1E2DE768" w14:textId="1746E873" w:rsidR="00606BB4" w:rsidRPr="00AE057D" w:rsidRDefault="00606BB4" w:rsidP="00D8468B">
    <w:pPr>
      <w:pStyle w:val="HeaderProcedure"/>
    </w:pPr>
    <w:r w:rsidRPr="00AE057D">
      <w:t xml:space="preserve">Confidentiality Procedures – </w:t>
    </w:r>
    <w:r>
      <w:t>Procedure 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1C60" w14:textId="77777777" w:rsidR="009D4A7D" w:rsidRPr="00A333DB" w:rsidRDefault="009D4A7D" w:rsidP="00450ABF">
    <w:pPr>
      <w:pStyle w:val="HeaderProcedure"/>
    </w:pPr>
    <w:r w:rsidRPr="00A333DB">
      <w:t>Massachusetts Department of Public Health</w:t>
    </w:r>
  </w:p>
  <w:p w14:paraId="5E1D6BC9" w14:textId="77777777" w:rsidR="009D4A7D" w:rsidRPr="00A333DB" w:rsidRDefault="009D4A7D" w:rsidP="00450ABF">
    <w:pPr>
      <w:pStyle w:val="HeaderProcedure"/>
    </w:pPr>
    <w:r w:rsidRPr="00A333DB">
      <w:t xml:space="preserve">Confidentiality Procedures – </w:t>
    </w:r>
    <w:r>
      <w:t>Procedure 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AEB3A" w14:textId="77777777" w:rsidR="009D4A7D" w:rsidRDefault="009D4A7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CB887" w14:textId="77777777" w:rsidR="009D4A7D" w:rsidRPr="00BC7A96" w:rsidRDefault="009D4A7D" w:rsidP="00450ABF">
    <w:pPr>
      <w:pStyle w:val="HeaderProcedure"/>
    </w:pPr>
    <w:r w:rsidRPr="00BC7A96">
      <w:t>Massachusetts Department of Public Health</w:t>
    </w:r>
  </w:p>
  <w:p w14:paraId="55AFCF22" w14:textId="77777777" w:rsidR="009D4A7D" w:rsidRPr="00BC7A96" w:rsidRDefault="009D4A7D" w:rsidP="00450ABF">
    <w:pPr>
      <w:pStyle w:val="HeaderProcedure"/>
    </w:pPr>
    <w:r w:rsidRPr="00BC7A96">
      <w:t xml:space="preserve">Confidentiality Procedures – </w:t>
    </w:r>
    <w:r>
      <w:t>Procedure 5</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CCFF" w14:textId="77777777" w:rsidR="009D4A7D" w:rsidRDefault="009D4A7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F7DE" w14:textId="77777777" w:rsidR="009D4A7D" w:rsidRPr="00A3108E" w:rsidRDefault="009D4A7D" w:rsidP="00450ABF">
    <w:pPr>
      <w:pStyle w:val="HeaderProcedure"/>
    </w:pPr>
    <w:r w:rsidRPr="00A3108E">
      <w:t>Massachusetts Department of Public Health</w:t>
    </w:r>
  </w:p>
  <w:p w14:paraId="3665A3EA" w14:textId="77777777" w:rsidR="009D4A7D" w:rsidRPr="00726944" w:rsidRDefault="009D4A7D" w:rsidP="00450ABF">
    <w:pPr>
      <w:pStyle w:val="HeaderProcedure"/>
    </w:pPr>
    <w:r w:rsidRPr="00A3108E">
      <w:t xml:space="preserve">Confidentiality Procedures – </w:t>
    </w:r>
    <w:r>
      <w:t>Procedure 6</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9E94" w14:textId="77777777" w:rsidR="009D4A7D" w:rsidRPr="002D5CBD" w:rsidRDefault="009D4A7D" w:rsidP="009C11B0">
    <w:pPr>
      <w:pStyle w:val="HeaderProcedure"/>
    </w:pPr>
    <w:r w:rsidRPr="002D5CBD">
      <w:t>Massachusetts Department of Public Health</w:t>
    </w:r>
  </w:p>
  <w:p w14:paraId="5F068FC5" w14:textId="77777777" w:rsidR="009D4A7D" w:rsidRDefault="009D4A7D" w:rsidP="009C11B0">
    <w:pPr>
      <w:pStyle w:val="HeaderProcedure"/>
    </w:pPr>
    <w:r w:rsidRPr="009A7766">
      <w:t>Confidentiality Procedures</w:t>
    </w:r>
    <w:r>
      <w:t xml:space="preserve"> – Procedure 7</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17C8" w14:textId="77777777" w:rsidR="009D4A7D" w:rsidRPr="00BC7A96" w:rsidRDefault="009D4A7D" w:rsidP="009C11B0">
    <w:pPr>
      <w:pStyle w:val="HeaderProcedure"/>
    </w:pPr>
    <w:r w:rsidRPr="00BC7A96">
      <w:t>Massachusetts Department of Public Health</w:t>
    </w:r>
  </w:p>
  <w:p w14:paraId="65F22613" w14:textId="77777777" w:rsidR="009D4A7D" w:rsidRPr="00BC7A96" w:rsidRDefault="009D4A7D" w:rsidP="009C11B0">
    <w:pPr>
      <w:pStyle w:val="HeaderProcedure"/>
    </w:pPr>
    <w:r w:rsidRPr="00BC7A96">
      <w:t xml:space="preserve">Confidentiality Procedures – </w:t>
    </w:r>
    <w:r>
      <w:t>Procedure 8</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2C35" w14:textId="77777777" w:rsidR="009D4A7D" w:rsidRDefault="009D4A7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2B90" w14:textId="77777777" w:rsidR="009D4A7D" w:rsidRPr="00A73CDD" w:rsidRDefault="009D4A7D" w:rsidP="009C11B0">
    <w:pPr>
      <w:pStyle w:val="HeaderProcedure"/>
    </w:pPr>
    <w:r w:rsidRPr="00A73CDD">
      <w:t>Massachusetts Department of Public Health</w:t>
    </w:r>
  </w:p>
  <w:p w14:paraId="6B020668" w14:textId="77777777" w:rsidR="009D4A7D" w:rsidRDefault="009D4A7D" w:rsidP="009C11B0">
    <w:pPr>
      <w:pStyle w:val="HeaderProcedure"/>
    </w:pPr>
    <w:r w:rsidRPr="00A73CDD">
      <w:t xml:space="preserve">Confidentiality Procedures – </w:t>
    </w:r>
    <w:r>
      <w:t>Procedure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E026" w14:textId="77777777" w:rsidR="009D4A7D" w:rsidRPr="00E97030" w:rsidRDefault="009D4A7D" w:rsidP="00180EEB">
    <w:pPr>
      <w:pStyle w:val="HeaderProcedure"/>
    </w:pPr>
    <w:r w:rsidRPr="00E97030">
      <w:t>Massachusetts Department of Public Health</w:t>
    </w:r>
  </w:p>
  <w:p w14:paraId="2BA301AD" w14:textId="4DCA37C8" w:rsidR="009D4A7D" w:rsidRPr="00E97030" w:rsidRDefault="009D4A7D" w:rsidP="00180EEB">
    <w:pPr>
      <w:pStyle w:val="HeaderProcedure"/>
    </w:pPr>
    <w:r w:rsidRPr="00E97030">
      <w:t>Confidentiality Procedures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7327" w14:textId="77777777" w:rsidR="009D4A7D" w:rsidRDefault="009D4A7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0103" w14:textId="77777777" w:rsidR="009D4A7D" w:rsidRDefault="009D4A7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F4FB" w14:textId="77777777" w:rsidR="009D4A7D" w:rsidRPr="006549DC" w:rsidRDefault="009D4A7D" w:rsidP="009C11B0">
    <w:pPr>
      <w:pStyle w:val="HeaderProcedure"/>
    </w:pPr>
    <w:r w:rsidRPr="006549DC">
      <w:t>Massachusetts Department of Public Health</w:t>
    </w:r>
  </w:p>
  <w:p w14:paraId="74470537" w14:textId="77777777" w:rsidR="009D4A7D" w:rsidRDefault="009D4A7D" w:rsidP="009C11B0">
    <w:pPr>
      <w:pStyle w:val="HeaderProcedure"/>
    </w:pPr>
    <w:r w:rsidRPr="006549DC">
      <w:t xml:space="preserve">Confidentiality Procedures – </w:t>
    </w:r>
    <w:r>
      <w:t>Procedure 11</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D620" w14:textId="77777777" w:rsidR="009D4A7D" w:rsidRDefault="009D4A7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0E4A" w14:textId="77777777" w:rsidR="009D4A7D" w:rsidRPr="006549DC" w:rsidRDefault="009D4A7D" w:rsidP="009C11B0">
    <w:pPr>
      <w:pStyle w:val="HeaderProcedure"/>
    </w:pPr>
    <w:r w:rsidRPr="006549DC">
      <w:t>Massachusetts Department of Public Health</w:t>
    </w:r>
  </w:p>
  <w:p w14:paraId="60560A77" w14:textId="77777777" w:rsidR="009D4A7D" w:rsidRDefault="009D4A7D" w:rsidP="009C11B0">
    <w:pPr>
      <w:pStyle w:val="HeaderProcedure"/>
    </w:pPr>
    <w:r w:rsidRPr="006549DC">
      <w:t xml:space="preserve">Confidentiality Procedures – </w:t>
    </w:r>
    <w:r>
      <w:t>Procedure 12</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4B2F" w14:textId="77777777" w:rsidR="009D4A7D" w:rsidRDefault="009D4A7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8808" w14:textId="77777777" w:rsidR="009D4A7D" w:rsidRPr="00A333DB" w:rsidRDefault="009D4A7D" w:rsidP="009C11B0">
    <w:pPr>
      <w:pStyle w:val="HeaderProcedure"/>
    </w:pPr>
    <w:r w:rsidRPr="00A333DB">
      <w:t>Massachusetts Department of Public Health</w:t>
    </w:r>
  </w:p>
  <w:p w14:paraId="73A197BC" w14:textId="77777777" w:rsidR="009D4A7D" w:rsidRDefault="009D4A7D" w:rsidP="009C11B0">
    <w:pPr>
      <w:pStyle w:val="HeaderProcedure"/>
    </w:pPr>
    <w:r w:rsidRPr="00A333DB">
      <w:t xml:space="preserve">Confidentiality Procedures – </w:t>
    </w:r>
    <w:r>
      <w:t>Procedure 13</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8437" w14:textId="77777777" w:rsidR="009D4A7D" w:rsidRDefault="009D4A7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A6FF" w14:textId="77777777" w:rsidR="009D4A7D" w:rsidRPr="00A73CDD" w:rsidRDefault="009D4A7D" w:rsidP="00732D02">
    <w:pPr>
      <w:pStyle w:val="HeaderProcedure"/>
    </w:pPr>
    <w:r w:rsidRPr="00A73CDD">
      <w:t>Massachusetts Department of Public Health</w:t>
    </w:r>
  </w:p>
  <w:p w14:paraId="42105CFA" w14:textId="77777777" w:rsidR="009D4A7D" w:rsidRPr="00732D02" w:rsidRDefault="009D4A7D" w:rsidP="00732D02">
    <w:pPr>
      <w:pStyle w:val="HeaderProcedure"/>
    </w:pPr>
    <w:r w:rsidRPr="00A73CDD">
      <w:t>Confidentiality Procedures –</w:t>
    </w:r>
    <w:r>
      <w:t xml:space="preserve"> Procedure 14</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B2EC" w14:textId="77777777" w:rsidR="009D4A7D" w:rsidRPr="00A333DB" w:rsidRDefault="009D4A7D" w:rsidP="00732D02">
    <w:pPr>
      <w:pStyle w:val="HeaderProcedure"/>
    </w:pPr>
    <w:r w:rsidRPr="00A333DB">
      <w:t>Massachusetts Department of Public Health</w:t>
    </w:r>
  </w:p>
  <w:p w14:paraId="14D3C9D3" w14:textId="77777777" w:rsidR="009D4A7D" w:rsidRDefault="009D4A7D" w:rsidP="00732D02">
    <w:pPr>
      <w:pStyle w:val="HeaderProcedure"/>
    </w:pPr>
    <w:r w:rsidRPr="00A333DB">
      <w:t xml:space="preserve">Confidentiality Procedures – </w:t>
    </w:r>
  </w:p>
  <w:p w14:paraId="1BF25F13" w14:textId="77777777" w:rsidR="009D4A7D" w:rsidRPr="00732D02" w:rsidRDefault="009D4A7D" w:rsidP="00732D02">
    <w:pPr>
      <w:pStyle w:val="HeaderProcedure"/>
    </w:pPr>
    <w:r>
      <w:t>Procedure CC-1  Notice of Privacy Practices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C8C6" w14:textId="77777777" w:rsidR="009D4A7D" w:rsidRDefault="009D4A7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9A40" w14:textId="77777777" w:rsidR="009D4A7D" w:rsidRPr="00A333DB" w:rsidRDefault="009D4A7D" w:rsidP="009C11B0">
    <w:pPr>
      <w:pStyle w:val="HeaderProcedure"/>
    </w:pPr>
    <w:r w:rsidRPr="00A333DB">
      <w:t>Massachusetts Department of Public Health</w:t>
    </w:r>
  </w:p>
  <w:p w14:paraId="55C276CB" w14:textId="77777777" w:rsidR="009D4A7D" w:rsidRDefault="009D4A7D" w:rsidP="009C11B0">
    <w:pPr>
      <w:pStyle w:val="HeaderProcedure"/>
    </w:pPr>
    <w:r w:rsidRPr="00A333DB">
      <w:t xml:space="preserve">Confidentiality Procedures – </w:t>
    </w:r>
  </w:p>
  <w:p w14:paraId="20543904" w14:textId="77777777" w:rsidR="009D4A7D" w:rsidRDefault="009D4A7D" w:rsidP="00BE1D04">
    <w:pPr>
      <w:pStyle w:val="HeaderProcedure"/>
    </w:pPr>
    <w:r>
      <w:t>Procedure CC-2  Business Associate Agreements</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CE1D" w14:textId="77777777" w:rsidR="009D4A7D" w:rsidRPr="00A333DB" w:rsidRDefault="009D4A7D" w:rsidP="009C11B0">
    <w:pPr>
      <w:pStyle w:val="HeaderProcedure"/>
    </w:pPr>
    <w:r w:rsidRPr="00A333DB">
      <w:t>Massachusetts Department of Public Health</w:t>
    </w:r>
  </w:p>
  <w:p w14:paraId="37110E12" w14:textId="77777777" w:rsidR="009D4A7D" w:rsidRPr="00B66AD2" w:rsidRDefault="009D4A7D" w:rsidP="009C11B0">
    <w:pPr>
      <w:pStyle w:val="HeaderProcedure"/>
    </w:pPr>
    <w:r w:rsidRPr="00A333DB">
      <w:t xml:space="preserve">Confidentiality Procedures – </w:t>
    </w:r>
    <w:r>
      <w:br/>
      <w:t>Procedure CC-3  Designated Record Sets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3133" w14:textId="77777777" w:rsidR="00CB4A17" w:rsidRPr="00E97030" w:rsidRDefault="00CB4A17" w:rsidP="00180EEB">
    <w:pPr>
      <w:pStyle w:val="HeaderProcedure"/>
    </w:pPr>
    <w:r w:rsidRPr="00E97030">
      <w:t>Massachusetts Department of Public Health</w:t>
    </w:r>
  </w:p>
  <w:p w14:paraId="3276618C" w14:textId="074CA653" w:rsidR="00CB4A17" w:rsidRPr="00E97030" w:rsidRDefault="00CB4A17" w:rsidP="00180EEB">
    <w:pPr>
      <w:pStyle w:val="HeaderProcedure"/>
    </w:pPr>
    <w:r w:rsidRPr="00E97030">
      <w:t>Confidentiality Procedures</w:t>
    </w:r>
    <w:r w:rsidR="007D2A72">
      <w:t xml:space="preserve"> - Glossary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10B88" w14:textId="77777777" w:rsidR="00E87CC4" w:rsidRPr="00E97030" w:rsidRDefault="00E87CC4" w:rsidP="00E87CC4">
    <w:pPr>
      <w:pStyle w:val="HeaderProcedure"/>
    </w:pPr>
    <w:r w:rsidRPr="00E97030">
      <w:t>Massachusetts Department of Public Health</w:t>
    </w:r>
  </w:p>
  <w:p w14:paraId="08782404" w14:textId="5ABF6B04" w:rsidR="00E87CC4" w:rsidRPr="00E87CC4" w:rsidRDefault="00E87CC4" w:rsidP="00E87CC4">
    <w:pPr>
      <w:pStyle w:val="HeaderProcedure"/>
    </w:pPr>
    <w:r w:rsidRPr="00E97030">
      <w:t>Confidentiality Procedures –</w:t>
    </w:r>
    <w:r>
      <w:t xml:space="preserve"> </w:t>
    </w:r>
    <w:r>
      <w:fldChar w:fldCharType="begin"/>
    </w:r>
    <w:r>
      <w:instrText>REF  ProcedureNumber</w:instrText>
    </w:r>
    <w:r>
      <w:fldChar w:fldCharType="separate"/>
    </w:r>
    <w:r w:rsidR="00C83381">
      <w:t>Procedure 1</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0A6C" w14:textId="77777777" w:rsidR="009D4A7D" w:rsidRDefault="009D4A7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0DEB" w14:textId="77777777" w:rsidR="009D4A7D" w:rsidRPr="00A73CDD" w:rsidRDefault="009D4A7D" w:rsidP="00180EEB">
    <w:pPr>
      <w:pStyle w:val="HeaderProcedure"/>
    </w:pPr>
    <w:r w:rsidRPr="00A73CDD">
      <w:t>Massachusetts Department of Public Health</w:t>
    </w:r>
  </w:p>
  <w:p w14:paraId="0638AA85" w14:textId="77777777" w:rsidR="009D4A7D" w:rsidRPr="00A73CDD" w:rsidRDefault="009D4A7D" w:rsidP="00180EEB">
    <w:pPr>
      <w:pStyle w:val="HeaderProcedure"/>
    </w:pPr>
    <w:r w:rsidRPr="00A73CDD">
      <w:t>Confidentiality Procedures –</w:t>
    </w:r>
    <w:r>
      <w:t xml:space="preserve"> Procedure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2630" w14:textId="77777777" w:rsidR="009D4A7D" w:rsidRDefault="009D4A7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8B9A" w14:textId="77777777" w:rsidR="00252193" w:rsidRPr="00A73CDD" w:rsidRDefault="00252193" w:rsidP="00252193">
    <w:pPr>
      <w:pStyle w:val="HeaderProcedure"/>
    </w:pPr>
    <w:r w:rsidRPr="00A73CDD">
      <w:t>Massachusetts Department of Public Health</w:t>
    </w:r>
  </w:p>
  <w:p w14:paraId="69B3CE8B" w14:textId="6C31DC2F" w:rsidR="00252193" w:rsidRPr="00252193" w:rsidRDefault="00252193" w:rsidP="00252193">
    <w:pPr>
      <w:pStyle w:val="HeaderProcedure"/>
    </w:pPr>
    <w:r w:rsidRPr="00A73CDD">
      <w:t>Confidentiality Procedures –</w:t>
    </w:r>
    <w:r>
      <w:t xml:space="preserve"> Procedure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EE80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B6EC8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D057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35A2E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6AC5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A8A2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9E77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E308D9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98D5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C065D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97A57"/>
    <w:multiLevelType w:val="multilevel"/>
    <w:tmpl w:val="62827B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lowerLetter"/>
      <w:lvlText w:val="%3."/>
      <w:lvlJc w:val="left"/>
      <w:pPr>
        <w:tabs>
          <w:tab w:val="num" w:pos="2520"/>
        </w:tabs>
        <w:ind w:left="2520" w:hanging="360"/>
      </w:pPr>
      <w:rPr>
        <w:rFont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0D64E6C"/>
    <w:multiLevelType w:val="hybridMultilevel"/>
    <w:tmpl w:val="2FB6A7B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017A4A77"/>
    <w:multiLevelType w:val="multilevel"/>
    <w:tmpl w:val="D368D2EC"/>
    <w:lvl w:ilvl="0">
      <w:start w:val="1"/>
      <w:numFmt w:val="decimal"/>
      <w:pStyle w:val="H5SubAlphaParagraph"/>
      <w:lvlText w:val="Procedure %1:"/>
      <w:lvlJc w:val="left"/>
      <w:pPr>
        <w:tabs>
          <w:tab w:val="num" w:pos="2045"/>
        </w:tabs>
        <w:ind w:left="1440" w:hanging="720"/>
      </w:pPr>
      <w:rPr>
        <w:rFonts w:ascii="Arial" w:hAnsi="Arial" w:hint="default"/>
        <w:b/>
        <w:i w:val="0"/>
        <w:caps/>
        <w:sz w:val="22"/>
      </w:rPr>
    </w:lvl>
    <w:lvl w:ilvl="1">
      <w:start w:val="1"/>
      <w:numFmt w:val="upperRoman"/>
      <w:lvlText w:val="PART %2."/>
      <w:lvlJc w:val="left"/>
      <w:pPr>
        <w:tabs>
          <w:tab w:val="num" w:pos="1800"/>
        </w:tabs>
        <w:ind w:left="1800" w:hanging="360"/>
      </w:pPr>
      <w:rPr>
        <w:rFonts w:hint="default"/>
      </w:rPr>
    </w:lvl>
    <w:lvl w:ilvl="2">
      <w:start w:val="1"/>
      <w:numFmt w:val="upperLetter"/>
      <w:lvlText w:val="%3."/>
      <w:lvlJc w:val="right"/>
      <w:pPr>
        <w:tabs>
          <w:tab w:val="num" w:pos="2520"/>
        </w:tabs>
        <w:ind w:left="2520" w:hanging="180"/>
      </w:pPr>
      <w:rPr>
        <w:rFonts w:hint="default"/>
      </w:rPr>
    </w:lvl>
    <w:lvl w:ilvl="3">
      <w:start w:val="1"/>
      <w:numFmt w:val="lowerLetter"/>
      <w:pStyle w:val="H5SubAlphaParagraph"/>
      <w:lvlText w:val="%4."/>
      <w:lvlJc w:val="left"/>
      <w:pPr>
        <w:tabs>
          <w:tab w:val="num" w:pos="1440"/>
        </w:tabs>
        <w:ind w:left="1440" w:hanging="360"/>
      </w:pPr>
      <w:rPr>
        <w:rFonts w:hint="default"/>
        <w:b/>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0483553F"/>
    <w:multiLevelType w:val="hybridMultilevel"/>
    <w:tmpl w:val="B91E61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7840FA3"/>
    <w:multiLevelType w:val="hybridMultilevel"/>
    <w:tmpl w:val="08D2D070"/>
    <w:lvl w:ilvl="0" w:tplc="9AC4BAE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07B54F17"/>
    <w:multiLevelType w:val="hybridMultilevel"/>
    <w:tmpl w:val="E95AE2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82112C7"/>
    <w:multiLevelType w:val="hybridMultilevel"/>
    <w:tmpl w:val="0E2AD364"/>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9AD64D9"/>
    <w:multiLevelType w:val="hybridMultilevel"/>
    <w:tmpl w:val="66DEA97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09CA4866"/>
    <w:multiLevelType w:val="hybridMultilevel"/>
    <w:tmpl w:val="47ECB778"/>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0B5624FA"/>
    <w:multiLevelType w:val="multilevel"/>
    <w:tmpl w:val="A494739A"/>
    <w:lvl w:ilvl="0">
      <w:start w:val="1"/>
      <w:numFmt w:val="decimal"/>
      <w:lvlText w:val="Procedure %1:"/>
      <w:lvlJc w:val="left"/>
      <w:pPr>
        <w:tabs>
          <w:tab w:val="num" w:pos="-115"/>
        </w:tabs>
        <w:ind w:left="-720" w:hanging="720"/>
      </w:pPr>
      <w:rPr>
        <w:rFonts w:ascii="Arial" w:hAnsi="Arial" w:hint="default"/>
        <w:b/>
        <w:i w:val="0"/>
        <w:caps/>
        <w:sz w:val="22"/>
      </w:rPr>
    </w:lvl>
    <w:lvl w:ilvl="1">
      <w:start w:val="1"/>
      <w:numFmt w:val="upperRoman"/>
      <w:lvlText w:val="PART %2."/>
      <w:lvlJc w:val="left"/>
      <w:pPr>
        <w:tabs>
          <w:tab w:val="num" w:pos="-360"/>
        </w:tabs>
        <w:ind w:left="-360" w:hanging="360"/>
      </w:pPr>
      <w:rPr>
        <w:rFonts w:hint="default"/>
      </w:rPr>
    </w:lvl>
    <w:lvl w:ilvl="2">
      <w:start w:val="1"/>
      <w:numFmt w:val="upperLetter"/>
      <w:lvlText w:val="%3."/>
      <w:lvlJc w:val="right"/>
      <w:pPr>
        <w:tabs>
          <w:tab w:val="num" w:pos="360"/>
        </w:tabs>
        <w:ind w:left="360" w:hanging="180"/>
      </w:pPr>
      <w:rPr>
        <w:rFonts w:hint="default"/>
      </w:rPr>
    </w:lvl>
    <w:lvl w:ilvl="3">
      <w:start w:val="1"/>
      <w:numFmt w:val="decimal"/>
      <w:lvlText w:val="(%4)"/>
      <w:lvlJc w:val="left"/>
      <w:pPr>
        <w:tabs>
          <w:tab w:val="num" w:pos="-864"/>
        </w:tabs>
        <w:ind w:left="-864" w:hanging="216"/>
      </w:pPr>
      <w:rPr>
        <w:rFonts w:hint="default"/>
        <w:b/>
        <w:i w:val="0"/>
        <w:caps/>
        <w:color w:val="auto"/>
        <w:sz w:val="22"/>
      </w:rPr>
    </w:lvl>
    <w:lvl w:ilvl="4">
      <w:start w:val="1"/>
      <w:numFmt w:val="decimal"/>
      <w:pStyle w:val="H6Subnumber"/>
      <w:lvlText w:val="(%5)"/>
      <w:lvlJc w:val="left"/>
      <w:pPr>
        <w:tabs>
          <w:tab w:val="num" w:pos="1800"/>
        </w:tabs>
        <w:ind w:left="1800" w:hanging="360"/>
      </w:pPr>
      <w:rPr>
        <w:rFonts w:hint="default"/>
      </w:rPr>
    </w:lvl>
    <w:lvl w:ilvl="5">
      <w:start w:val="1"/>
      <w:numFmt w:val="lowerRoman"/>
      <w:lvlText w:val="%6."/>
      <w:lvlJc w:val="right"/>
      <w:pPr>
        <w:tabs>
          <w:tab w:val="num" w:pos="2520"/>
        </w:tabs>
        <w:ind w:left="2520" w:hanging="18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right"/>
      <w:pPr>
        <w:tabs>
          <w:tab w:val="num" w:pos="4680"/>
        </w:tabs>
        <w:ind w:left="4680" w:hanging="180"/>
      </w:pPr>
      <w:rPr>
        <w:rFonts w:hint="default"/>
      </w:rPr>
    </w:lvl>
  </w:abstractNum>
  <w:abstractNum w:abstractNumId="20" w15:restartNumberingAfterBreak="0">
    <w:nsid w:val="0DF40331"/>
    <w:multiLevelType w:val="hybridMultilevel"/>
    <w:tmpl w:val="2EC25950"/>
    <w:lvl w:ilvl="0" w:tplc="B59EEBD8">
      <w:start w:val="1"/>
      <w:numFmt w:val="bullet"/>
      <w:lvlText w:val=""/>
      <w:lvlJc w:val="left"/>
      <w:pPr>
        <w:tabs>
          <w:tab w:val="num" w:pos="1368"/>
        </w:tabs>
        <w:ind w:left="1368" w:hanging="288"/>
      </w:pPr>
      <w:rPr>
        <w:rFonts w:ascii="Symbol" w:hAnsi="Symbol" w:hint="default"/>
        <w:b w:val="0"/>
        <w:i w:val="0"/>
        <w:color w:val="auto"/>
        <w:sz w:val="22"/>
        <w:szCs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BF75F5"/>
    <w:multiLevelType w:val="hybridMultilevel"/>
    <w:tmpl w:val="F8BA894A"/>
    <w:lvl w:ilvl="0" w:tplc="539ABE64">
      <w:start w:val="1"/>
      <w:numFmt w:val="bullet"/>
      <w:lvlText w:val=""/>
      <w:lvlJc w:val="left"/>
      <w:pPr>
        <w:tabs>
          <w:tab w:val="num" w:pos="1296"/>
        </w:tabs>
        <w:ind w:left="1296" w:hanging="216"/>
      </w:pPr>
      <w:rPr>
        <w:rFonts w:ascii="Symbol" w:hAnsi="Symbol" w:hint="default"/>
        <w:b w:val="0"/>
        <w:i w:val="0"/>
        <w:color w:val="auto"/>
        <w:sz w:val="22"/>
        <w:szCs w:val="24"/>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0F1C4A36"/>
    <w:multiLevelType w:val="hybridMultilevel"/>
    <w:tmpl w:val="1F8C87F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F834527"/>
    <w:multiLevelType w:val="hybridMultilevel"/>
    <w:tmpl w:val="6AC8FB1C"/>
    <w:lvl w:ilvl="0" w:tplc="B59EEBD8">
      <w:start w:val="1"/>
      <w:numFmt w:val="bullet"/>
      <w:lvlText w:val=""/>
      <w:lvlJc w:val="left"/>
      <w:pPr>
        <w:tabs>
          <w:tab w:val="num" w:pos="1368"/>
        </w:tabs>
        <w:ind w:left="1368" w:hanging="288"/>
      </w:pPr>
      <w:rPr>
        <w:rFonts w:ascii="Symbol" w:hAnsi="Symbol" w:hint="default"/>
        <w:b w:val="0"/>
        <w:i w:val="0"/>
        <w:color w:val="auto"/>
        <w:sz w:val="22"/>
        <w:szCs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FD87522"/>
    <w:multiLevelType w:val="hybridMultilevel"/>
    <w:tmpl w:val="F872E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0FEC0EB2"/>
    <w:multiLevelType w:val="hybridMultilevel"/>
    <w:tmpl w:val="CB2023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043057C"/>
    <w:multiLevelType w:val="hybridMultilevel"/>
    <w:tmpl w:val="29A27520"/>
    <w:lvl w:ilvl="0" w:tplc="8FB6B1AC">
      <w:start w:val="1"/>
      <w:numFmt w:val="bullet"/>
      <w:lvlText w:val=""/>
      <w:lvlJc w:val="left"/>
      <w:pPr>
        <w:tabs>
          <w:tab w:val="num" w:pos="1296"/>
        </w:tabs>
        <w:ind w:left="1296" w:hanging="216"/>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11B61540"/>
    <w:multiLevelType w:val="hybridMultilevel"/>
    <w:tmpl w:val="F988642C"/>
    <w:lvl w:ilvl="0" w:tplc="539ABE64">
      <w:start w:val="1"/>
      <w:numFmt w:val="bullet"/>
      <w:lvlText w:val=""/>
      <w:lvlJc w:val="left"/>
      <w:pPr>
        <w:tabs>
          <w:tab w:val="num" w:pos="216"/>
        </w:tabs>
        <w:ind w:left="216" w:hanging="216"/>
      </w:pPr>
      <w:rPr>
        <w:rFonts w:ascii="Symbol" w:hAnsi="Symbol" w:hint="default"/>
        <w:b w:val="0"/>
        <w:i w:val="0"/>
        <w:color w:val="auto"/>
        <w:sz w:val="22"/>
        <w:szCs w:val="24"/>
        <w:u w:val="none"/>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11C737F0"/>
    <w:multiLevelType w:val="hybridMultilevel"/>
    <w:tmpl w:val="56822C12"/>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130720F2"/>
    <w:multiLevelType w:val="hybridMultilevel"/>
    <w:tmpl w:val="4A6A5414"/>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13DB736F"/>
    <w:multiLevelType w:val="hybridMultilevel"/>
    <w:tmpl w:val="5BCE5888"/>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14BB766F"/>
    <w:multiLevelType w:val="hybridMultilevel"/>
    <w:tmpl w:val="AD28679C"/>
    <w:lvl w:ilvl="0" w:tplc="FFFFFFFF">
      <w:start w:val="1"/>
      <w:numFmt w:val="decimal"/>
      <w:lvlText w:val="%1."/>
      <w:lvlJc w:val="left"/>
      <w:pPr>
        <w:ind w:left="108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16137D5B"/>
    <w:multiLevelType w:val="hybridMultilevel"/>
    <w:tmpl w:val="C1D244C0"/>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16322C59"/>
    <w:multiLevelType w:val="hybridMultilevel"/>
    <w:tmpl w:val="2F1A7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16BF5215"/>
    <w:multiLevelType w:val="multilevel"/>
    <w:tmpl w:val="FBCA0192"/>
    <w:name w:val="PnPTemplate"/>
    <w:lvl w:ilvl="0">
      <w:start w:val="1"/>
      <w:numFmt w:val="decimal"/>
      <w:lvlText w:val="Procedure %1:"/>
      <w:lvlJc w:val="left"/>
      <w:pPr>
        <w:tabs>
          <w:tab w:val="num" w:pos="1325"/>
        </w:tabs>
        <w:ind w:left="720" w:hanging="720"/>
      </w:pPr>
      <w:rPr>
        <w:rFonts w:ascii="Arial" w:hAnsi="Arial" w:hint="default"/>
        <w:b/>
        <w:caps/>
        <w:sz w:val="28"/>
        <w:szCs w:val="28"/>
      </w:rPr>
    </w:lvl>
    <w:lvl w:ilvl="1">
      <w:start w:val="1"/>
      <w:numFmt w:val="upperRoman"/>
      <w:pStyle w:val="Heading2"/>
      <w:lvlText w:val="PART %2."/>
      <w:lvlJc w:val="left"/>
      <w:pPr>
        <w:tabs>
          <w:tab w:val="num" w:pos="1080"/>
        </w:tabs>
        <w:ind w:left="1080" w:hanging="360"/>
      </w:pPr>
      <w:rPr>
        <w:rFonts w:hint="default"/>
      </w:rPr>
    </w:lvl>
    <w:lvl w:ilvl="2">
      <w:start w:val="1"/>
      <w:numFmt w:val="upperLetter"/>
      <w:pStyle w:val="Heading3"/>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16C40BC0"/>
    <w:multiLevelType w:val="hybridMultilevel"/>
    <w:tmpl w:val="DC5E9052"/>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1BBF35FB"/>
    <w:multiLevelType w:val="hybridMultilevel"/>
    <w:tmpl w:val="50C86C24"/>
    <w:lvl w:ilvl="0" w:tplc="539ABE64">
      <w:start w:val="1"/>
      <w:numFmt w:val="bullet"/>
      <w:lvlText w:val=""/>
      <w:lvlJc w:val="left"/>
      <w:pPr>
        <w:tabs>
          <w:tab w:val="num" w:pos="1296"/>
        </w:tabs>
        <w:ind w:left="1296" w:hanging="216"/>
      </w:pPr>
      <w:rPr>
        <w:rFonts w:ascii="Symbol" w:hAnsi="Symbol" w:hint="default"/>
        <w:b w:val="0"/>
        <w:i w:val="0"/>
        <w:color w:val="auto"/>
        <w:sz w:val="22"/>
        <w:szCs w:val="24"/>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1C8A0ABF"/>
    <w:multiLevelType w:val="hybridMultilevel"/>
    <w:tmpl w:val="5710850A"/>
    <w:lvl w:ilvl="0" w:tplc="0409000F">
      <w:start w:val="1"/>
      <w:numFmt w:val="decimal"/>
      <w:lvlText w:val="%1."/>
      <w:lvlJc w:val="left"/>
      <w:pPr>
        <w:tabs>
          <w:tab w:val="num" w:pos="1080"/>
        </w:tabs>
        <w:ind w:left="1080" w:hanging="360"/>
      </w:pPr>
    </w:lvl>
    <w:lvl w:ilvl="1" w:tplc="494C4080">
      <w:start w:val="1"/>
      <w:numFmt w:val="decimal"/>
      <w:lvlText w:val="%2."/>
      <w:lvlJc w:val="left"/>
      <w:pPr>
        <w:tabs>
          <w:tab w:val="num" w:pos="1800"/>
        </w:tabs>
        <w:ind w:left="1800" w:hanging="360"/>
      </w:pPr>
      <w:rPr>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1CA5260D"/>
    <w:multiLevelType w:val="hybridMultilevel"/>
    <w:tmpl w:val="E0F4766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1CD7231D"/>
    <w:multiLevelType w:val="hybridMultilevel"/>
    <w:tmpl w:val="AE70A37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1CE3567F"/>
    <w:multiLevelType w:val="hybridMultilevel"/>
    <w:tmpl w:val="69DCB8DC"/>
    <w:lvl w:ilvl="0" w:tplc="04090017">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1D7261E0"/>
    <w:multiLevelType w:val="hybridMultilevel"/>
    <w:tmpl w:val="0EF2AA0E"/>
    <w:lvl w:ilvl="0" w:tplc="494C4080">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DFD2349"/>
    <w:multiLevelType w:val="hybridMultilevel"/>
    <w:tmpl w:val="4B3804E8"/>
    <w:lvl w:ilvl="0" w:tplc="FFFFFFFF">
      <w:start w:val="1"/>
      <w:numFmt w:val="decimal"/>
      <w:lvlText w:val="%1)"/>
      <w:lvlJc w:val="left"/>
      <w:pPr>
        <w:ind w:left="2160" w:hanging="360"/>
      </w:pPr>
      <w:rPr>
        <w:b w:val="0"/>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3" w15:restartNumberingAfterBreak="0">
    <w:nsid w:val="1FA07292"/>
    <w:multiLevelType w:val="hybridMultilevel"/>
    <w:tmpl w:val="31C0FAE8"/>
    <w:lvl w:ilvl="0" w:tplc="B59EEBD8">
      <w:start w:val="1"/>
      <w:numFmt w:val="bullet"/>
      <w:lvlText w:val=""/>
      <w:lvlJc w:val="left"/>
      <w:pPr>
        <w:tabs>
          <w:tab w:val="num" w:pos="1368"/>
        </w:tabs>
        <w:ind w:left="1368" w:hanging="288"/>
      </w:pPr>
      <w:rPr>
        <w:rFonts w:ascii="Symbol" w:hAnsi="Symbol" w:hint="default"/>
        <w:b w:val="0"/>
        <w:i w:val="0"/>
        <w:color w:val="auto"/>
        <w:sz w:val="22"/>
        <w:szCs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08722B0"/>
    <w:multiLevelType w:val="hybridMultilevel"/>
    <w:tmpl w:val="E4E0EDF6"/>
    <w:lvl w:ilvl="0" w:tplc="8FB6B1AC">
      <w:start w:val="1"/>
      <w:numFmt w:val="bullet"/>
      <w:lvlText w:val=""/>
      <w:lvlJc w:val="left"/>
      <w:pPr>
        <w:tabs>
          <w:tab w:val="num" w:pos="1296"/>
        </w:tabs>
        <w:ind w:left="1296" w:hanging="216"/>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208B3B8D"/>
    <w:multiLevelType w:val="hybridMultilevel"/>
    <w:tmpl w:val="9D1243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20C2639D"/>
    <w:multiLevelType w:val="hybridMultilevel"/>
    <w:tmpl w:val="96FA99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1B309E3"/>
    <w:multiLevelType w:val="multilevel"/>
    <w:tmpl w:val="BF2233D2"/>
    <w:lvl w:ilvl="0">
      <w:start w:val="1"/>
      <w:numFmt w:val="decimal"/>
      <w:lvlText w:val="%1."/>
      <w:lvlJc w:val="left"/>
      <w:pPr>
        <w:tabs>
          <w:tab w:val="num" w:pos="1080"/>
        </w:tabs>
        <w:ind w:left="1080" w:hanging="360"/>
      </w:pPr>
      <w:rPr>
        <w:rFonts w:hint="default"/>
        <w:b w:val="0"/>
        <w:i w:val="0"/>
        <w:sz w:val="24"/>
        <w:szCs w:val="24"/>
        <w:u w:val="none"/>
      </w:rPr>
    </w:lvl>
    <w:lvl w:ilvl="1">
      <w:start w:val="1"/>
      <w:numFmt w:val="decimal"/>
      <w:lvlText w:val="%2."/>
      <w:lvlJc w:val="left"/>
      <w:pPr>
        <w:tabs>
          <w:tab w:val="num" w:pos="1800"/>
        </w:tabs>
        <w:ind w:left="1800" w:hanging="360"/>
      </w:pPr>
      <w:rPr>
        <w:rFonts w:ascii="Arial" w:hAnsi="Arial" w:hint="default"/>
        <w:b/>
        <w:i w:val="0"/>
        <w:sz w:val="24"/>
        <w:szCs w:val="24"/>
        <w:u w:val="none"/>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8" w15:restartNumberingAfterBreak="0">
    <w:nsid w:val="21D057C4"/>
    <w:multiLevelType w:val="hybridMultilevel"/>
    <w:tmpl w:val="A7E23C72"/>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22AF5E6F"/>
    <w:multiLevelType w:val="hybridMultilevel"/>
    <w:tmpl w:val="2AA8D7A8"/>
    <w:lvl w:ilvl="0" w:tplc="494C4080">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0" w15:restartNumberingAfterBreak="0">
    <w:nsid w:val="236C22F5"/>
    <w:multiLevelType w:val="hybridMultilevel"/>
    <w:tmpl w:val="4B3804E8"/>
    <w:lvl w:ilvl="0" w:tplc="B71667C0">
      <w:start w:val="1"/>
      <w:numFmt w:val="decimal"/>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239C604B"/>
    <w:multiLevelType w:val="hybridMultilevel"/>
    <w:tmpl w:val="BEA6578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24DA069B"/>
    <w:multiLevelType w:val="hybridMultilevel"/>
    <w:tmpl w:val="47087826"/>
    <w:lvl w:ilvl="0" w:tplc="539ABE64">
      <w:start w:val="1"/>
      <w:numFmt w:val="bullet"/>
      <w:lvlText w:val=""/>
      <w:lvlJc w:val="left"/>
      <w:pPr>
        <w:tabs>
          <w:tab w:val="num" w:pos="936"/>
        </w:tabs>
        <w:ind w:left="936" w:hanging="216"/>
      </w:pPr>
      <w:rPr>
        <w:rFonts w:ascii="Symbol" w:hAnsi="Symbol" w:hint="default"/>
        <w:b w:val="0"/>
        <w:i w:val="0"/>
        <w:color w:val="auto"/>
        <w:sz w:val="22"/>
        <w:szCs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5723D31"/>
    <w:multiLevelType w:val="hybridMultilevel"/>
    <w:tmpl w:val="6D6AD638"/>
    <w:lvl w:ilvl="0" w:tplc="8FB6B1AC">
      <w:start w:val="1"/>
      <w:numFmt w:val="bullet"/>
      <w:lvlText w:val=""/>
      <w:lvlJc w:val="left"/>
      <w:pPr>
        <w:tabs>
          <w:tab w:val="num" w:pos="1152"/>
        </w:tabs>
        <w:ind w:left="1152" w:hanging="216"/>
      </w:pPr>
      <w:rPr>
        <w:rFonts w:ascii="Symbol" w:hAnsi="Symbol" w:hint="default"/>
        <w:color w:val="auto"/>
      </w:rPr>
    </w:lvl>
    <w:lvl w:ilvl="1" w:tplc="04090003" w:tentative="1">
      <w:start w:val="1"/>
      <w:numFmt w:val="bullet"/>
      <w:lvlText w:val="o"/>
      <w:lvlJc w:val="left"/>
      <w:pPr>
        <w:tabs>
          <w:tab w:val="num" w:pos="2376"/>
        </w:tabs>
        <w:ind w:left="2376" w:hanging="360"/>
      </w:pPr>
      <w:rPr>
        <w:rFonts w:ascii="Courier New" w:hAnsi="Courier New" w:cs="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54" w15:restartNumberingAfterBreak="0">
    <w:nsid w:val="25FC5CE4"/>
    <w:multiLevelType w:val="hybridMultilevel"/>
    <w:tmpl w:val="AB901E00"/>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28130D6F"/>
    <w:multiLevelType w:val="hybridMultilevel"/>
    <w:tmpl w:val="F9969848"/>
    <w:lvl w:ilvl="0" w:tplc="8FB6B1AC">
      <w:start w:val="1"/>
      <w:numFmt w:val="bullet"/>
      <w:lvlText w:val=""/>
      <w:lvlJc w:val="left"/>
      <w:pPr>
        <w:tabs>
          <w:tab w:val="num" w:pos="1296"/>
        </w:tabs>
        <w:ind w:left="1296" w:hanging="216"/>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6" w15:restartNumberingAfterBreak="0">
    <w:nsid w:val="28353184"/>
    <w:multiLevelType w:val="hybridMultilevel"/>
    <w:tmpl w:val="928EE640"/>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29D87FCE"/>
    <w:multiLevelType w:val="hybridMultilevel"/>
    <w:tmpl w:val="8C866AC0"/>
    <w:lvl w:ilvl="0" w:tplc="C826DA8A">
      <w:start w:val="1"/>
      <w:numFmt w:val="bullet"/>
      <w:lvlText w:val=""/>
      <w:lvlJc w:val="left"/>
      <w:pPr>
        <w:tabs>
          <w:tab w:val="num" w:pos="648"/>
        </w:tabs>
        <w:ind w:left="648" w:hanging="288"/>
      </w:pPr>
      <w:rPr>
        <w:rFonts w:ascii="Symbol" w:hAnsi="Symbol" w:hint="default"/>
        <w:b w:val="0"/>
        <w:i w:val="0"/>
        <w:color w:val="auto"/>
        <w:sz w:val="24"/>
        <w:szCs w:val="24"/>
      </w:rPr>
    </w:lvl>
    <w:lvl w:ilvl="1" w:tplc="567A0F4E">
      <w:start w:val="1"/>
      <w:numFmt w:val="bullet"/>
      <w:pStyle w:val="Bulleted"/>
      <w:lvlText w:val="o"/>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15:restartNumberingAfterBreak="0">
    <w:nsid w:val="2A3E59D9"/>
    <w:multiLevelType w:val="hybridMultilevel"/>
    <w:tmpl w:val="F4980870"/>
    <w:lvl w:ilvl="0" w:tplc="494C4080">
      <w:start w:val="1"/>
      <w:numFmt w:val="decimal"/>
      <w:lvlText w:val="%1."/>
      <w:lvlJc w:val="left"/>
      <w:pPr>
        <w:tabs>
          <w:tab w:val="num" w:pos="1800"/>
        </w:tabs>
        <w:ind w:left="1800" w:hanging="360"/>
      </w:pPr>
      <w:rPr>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9" w15:restartNumberingAfterBreak="0">
    <w:nsid w:val="2BEC485D"/>
    <w:multiLevelType w:val="hybridMultilevel"/>
    <w:tmpl w:val="D3F2666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2C6C5602"/>
    <w:multiLevelType w:val="hybridMultilevel"/>
    <w:tmpl w:val="99E2F396"/>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2EDE2EBA"/>
    <w:multiLevelType w:val="hybridMultilevel"/>
    <w:tmpl w:val="B560A34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2" w15:restartNumberingAfterBreak="0">
    <w:nsid w:val="2FAA596C"/>
    <w:multiLevelType w:val="hybridMultilevel"/>
    <w:tmpl w:val="A094DD5A"/>
    <w:lvl w:ilvl="0" w:tplc="B59EEBD8">
      <w:start w:val="1"/>
      <w:numFmt w:val="bullet"/>
      <w:lvlText w:val=""/>
      <w:lvlJc w:val="left"/>
      <w:pPr>
        <w:tabs>
          <w:tab w:val="num" w:pos="1368"/>
        </w:tabs>
        <w:ind w:left="1368" w:hanging="288"/>
      </w:pPr>
      <w:rPr>
        <w:rFonts w:ascii="Symbol" w:hAnsi="Symbol" w:hint="default"/>
        <w:b w:val="0"/>
        <w:i w:val="0"/>
        <w:color w:val="auto"/>
        <w:sz w:val="22"/>
        <w:szCs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FEB1539"/>
    <w:multiLevelType w:val="hybridMultilevel"/>
    <w:tmpl w:val="B8E6DC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0D35DB4"/>
    <w:multiLevelType w:val="hybridMultilevel"/>
    <w:tmpl w:val="213C56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30D63723"/>
    <w:multiLevelType w:val="hybridMultilevel"/>
    <w:tmpl w:val="B2A87318"/>
    <w:lvl w:ilvl="0" w:tplc="FFFFFFFF">
      <w:start w:val="1"/>
      <w:numFmt w:val="decimal"/>
      <w:lvlText w:val="%1."/>
      <w:lvlJc w:val="left"/>
      <w:pPr>
        <w:tabs>
          <w:tab w:val="num" w:pos="1080"/>
        </w:tabs>
        <w:ind w:left="1080" w:hanging="360"/>
      </w:pPr>
      <w:rPr>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31456DD4"/>
    <w:multiLevelType w:val="hybridMultilevel"/>
    <w:tmpl w:val="703C497A"/>
    <w:lvl w:ilvl="0" w:tplc="B8648DB6">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7" w15:restartNumberingAfterBreak="0">
    <w:nsid w:val="31751C84"/>
    <w:multiLevelType w:val="hybridMultilevel"/>
    <w:tmpl w:val="5574D0A2"/>
    <w:lvl w:ilvl="0" w:tplc="539ABE64">
      <w:start w:val="1"/>
      <w:numFmt w:val="bullet"/>
      <w:lvlText w:val=""/>
      <w:lvlJc w:val="left"/>
      <w:pPr>
        <w:tabs>
          <w:tab w:val="num" w:pos="1296"/>
        </w:tabs>
        <w:ind w:left="1296" w:hanging="216"/>
      </w:pPr>
      <w:rPr>
        <w:rFonts w:ascii="Symbol" w:hAnsi="Symbol" w:hint="default"/>
        <w:b w:val="0"/>
        <w:i w:val="0"/>
        <w:color w:val="auto"/>
        <w:sz w:val="22"/>
        <w:szCs w:val="24"/>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33807517"/>
    <w:multiLevelType w:val="hybridMultilevel"/>
    <w:tmpl w:val="A30EC052"/>
    <w:lvl w:ilvl="0" w:tplc="B59EEBD8">
      <w:start w:val="1"/>
      <w:numFmt w:val="bullet"/>
      <w:lvlText w:val=""/>
      <w:lvlJc w:val="left"/>
      <w:pPr>
        <w:tabs>
          <w:tab w:val="num" w:pos="1368"/>
        </w:tabs>
        <w:ind w:left="1368" w:hanging="288"/>
      </w:pPr>
      <w:rPr>
        <w:rFonts w:ascii="Symbol" w:hAnsi="Symbol" w:hint="default"/>
        <w:b w:val="0"/>
        <w:i w:val="0"/>
        <w:color w:val="auto"/>
        <w:sz w:val="22"/>
        <w:szCs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4A5624C"/>
    <w:multiLevelType w:val="hybridMultilevel"/>
    <w:tmpl w:val="7A1048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350D6977"/>
    <w:multiLevelType w:val="hybridMultilevel"/>
    <w:tmpl w:val="876800F2"/>
    <w:lvl w:ilvl="0" w:tplc="539ABE64">
      <w:start w:val="1"/>
      <w:numFmt w:val="bullet"/>
      <w:lvlText w:val=""/>
      <w:lvlJc w:val="left"/>
      <w:pPr>
        <w:tabs>
          <w:tab w:val="num" w:pos="216"/>
        </w:tabs>
        <w:ind w:left="216" w:hanging="216"/>
      </w:pPr>
      <w:rPr>
        <w:rFonts w:ascii="Symbol" w:hAnsi="Symbol" w:hint="default"/>
        <w:b w:val="0"/>
        <w:i w:val="0"/>
        <w:color w:val="auto"/>
        <w:sz w:val="22"/>
        <w:szCs w:val="24"/>
        <w:u w:val="none"/>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1" w15:restartNumberingAfterBreak="0">
    <w:nsid w:val="351A6596"/>
    <w:multiLevelType w:val="hybridMultilevel"/>
    <w:tmpl w:val="CCE6396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36C30631"/>
    <w:multiLevelType w:val="hybridMultilevel"/>
    <w:tmpl w:val="7F5A3D9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36D95E89"/>
    <w:multiLevelType w:val="hybridMultilevel"/>
    <w:tmpl w:val="154428F2"/>
    <w:lvl w:ilvl="0" w:tplc="B59EEBD8">
      <w:start w:val="1"/>
      <w:numFmt w:val="bullet"/>
      <w:lvlText w:val=""/>
      <w:lvlJc w:val="left"/>
      <w:pPr>
        <w:tabs>
          <w:tab w:val="num" w:pos="1368"/>
        </w:tabs>
        <w:ind w:left="1368" w:hanging="288"/>
      </w:pPr>
      <w:rPr>
        <w:rFonts w:ascii="Symbol" w:hAnsi="Symbol" w:hint="default"/>
        <w:b w:val="0"/>
        <w:i w:val="0"/>
        <w:color w:val="auto"/>
        <w:sz w:val="22"/>
        <w:szCs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B893C4F"/>
    <w:multiLevelType w:val="hybridMultilevel"/>
    <w:tmpl w:val="C3EE1430"/>
    <w:lvl w:ilvl="0" w:tplc="77AEF088">
      <w:start w:val="1"/>
      <w:numFmt w:val="bullet"/>
      <w:lvlText w:val=""/>
      <w:lvlJc w:val="left"/>
      <w:pPr>
        <w:tabs>
          <w:tab w:val="num" w:pos="2016"/>
        </w:tabs>
        <w:ind w:left="2016" w:hanging="216"/>
      </w:pPr>
      <w:rPr>
        <w:rFonts w:ascii="Symbol" w:hAnsi="Symbol" w:hint="default"/>
        <w:b w:val="0"/>
        <w:i w:val="0"/>
        <w:color w:val="auto"/>
        <w:sz w:val="22"/>
        <w:szCs w:val="24"/>
        <w:u w:val="none"/>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5" w15:restartNumberingAfterBreak="0">
    <w:nsid w:val="3BCD6E8D"/>
    <w:multiLevelType w:val="hybridMultilevel"/>
    <w:tmpl w:val="C8CA7CD2"/>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3C316FF5"/>
    <w:multiLevelType w:val="hybridMultilevel"/>
    <w:tmpl w:val="BBEE17B2"/>
    <w:lvl w:ilvl="0" w:tplc="494C4080">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3CC936AA"/>
    <w:multiLevelType w:val="hybridMultilevel"/>
    <w:tmpl w:val="AC220F1A"/>
    <w:lvl w:ilvl="0" w:tplc="B59EEBD8">
      <w:start w:val="1"/>
      <w:numFmt w:val="bullet"/>
      <w:lvlText w:val=""/>
      <w:lvlJc w:val="left"/>
      <w:pPr>
        <w:tabs>
          <w:tab w:val="num" w:pos="2016"/>
        </w:tabs>
        <w:ind w:left="2016" w:hanging="288"/>
      </w:pPr>
      <w:rPr>
        <w:rFonts w:ascii="Symbol" w:hAnsi="Symbol" w:hint="default"/>
        <w:b w:val="0"/>
        <w:i w:val="0"/>
        <w:color w:val="auto"/>
        <w:sz w:val="22"/>
        <w:szCs w:val="24"/>
        <w:u w:val="none"/>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78" w15:restartNumberingAfterBreak="0">
    <w:nsid w:val="3DB87B2A"/>
    <w:multiLevelType w:val="multilevel"/>
    <w:tmpl w:val="C6C4FEE2"/>
    <w:lvl w:ilvl="0">
      <w:start w:val="1"/>
      <w:numFmt w:val="upperRoman"/>
      <w:pStyle w:val="H2Paragraph"/>
      <w:lvlText w:val="PART %1."/>
      <w:lvlJc w:val="left"/>
      <w:pPr>
        <w:tabs>
          <w:tab w:val="num" w:pos="1440"/>
        </w:tabs>
        <w:ind w:left="0" w:firstLine="0"/>
      </w:pPr>
      <w:rPr>
        <w:rFonts w:ascii="Arial" w:hAnsi="Arial" w:hint="default"/>
        <w:b/>
        <w:i w:val="0"/>
        <w:caps w:val="0"/>
        <w:sz w:val="24"/>
        <w:szCs w:val="28"/>
      </w:rPr>
    </w:lvl>
    <w:lvl w:ilvl="1">
      <w:start w:val="1"/>
      <w:numFmt w:val="upperLetter"/>
      <w:pStyle w:val="H3SubParagraph"/>
      <w:lvlText w:val="%2."/>
      <w:lvlJc w:val="left"/>
      <w:pPr>
        <w:tabs>
          <w:tab w:val="num" w:pos="720"/>
        </w:tabs>
        <w:ind w:left="720" w:hanging="720"/>
      </w:pPr>
      <w:rPr>
        <w:rFonts w:hint="default"/>
      </w:rPr>
    </w:lvl>
    <w:lvl w:ilvl="2">
      <w:start w:val="1"/>
      <w:numFmt w:val="decimal"/>
      <w:pStyle w:val="H4SubNumberedParagraph"/>
      <w:lvlText w:val="%3."/>
      <w:lvlJc w:val="left"/>
      <w:pPr>
        <w:tabs>
          <w:tab w:val="num" w:pos="1080"/>
        </w:tabs>
        <w:ind w:left="1080" w:hanging="360"/>
      </w:pPr>
      <w:rPr>
        <w:rFonts w:hint="default"/>
        <w:b/>
        <w:i w:val="0"/>
        <w:iCs w:val="0"/>
        <w: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lvlText w:val="%4."/>
      <w:lvlJc w:val="left"/>
      <w:pPr>
        <w:tabs>
          <w:tab w:val="num" w:pos="1800"/>
        </w:tabs>
        <w:ind w:left="1800" w:hanging="360"/>
      </w:pPr>
      <w:rPr>
        <w:rFonts w:hint="default"/>
      </w:rPr>
    </w:lvl>
    <w:lvl w:ilvl="4">
      <w:start w:val="1"/>
      <w:numFmt w:val="decimal"/>
      <w:lvlText w:val="%5)"/>
      <w:lvlJc w:val="left"/>
      <w:pPr>
        <w:tabs>
          <w:tab w:val="num" w:pos="2520"/>
        </w:tabs>
        <w:ind w:left="2520" w:hanging="360"/>
      </w:pPr>
      <w:rPr>
        <w:rFonts w:hint="default"/>
      </w:rPr>
    </w:lvl>
    <w:lvl w:ilvl="5">
      <w:start w:val="1"/>
      <w:numFmt w:val="lowerRoman"/>
      <w:lvlText w:val="%6."/>
      <w:lvlJc w:val="right"/>
      <w:pPr>
        <w:tabs>
          <w:tab w:val="num" w:pos="3240"/>
        </w:tabs>
        <w:ind w:left="3240" w:hanging="18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right"/>
      <w:pPr>
        <w:tabs>
          <w:tab w:val="num" w:pos="5400"/>
        </w:tabs>
        <w:ind w:left="5400" w:hanging="180"/>
      </w:pPr>
      <w:rPr>
        <w:rFonts w:hint="default"/>
      </w:rPr>
    </w:lvl>
  </w:abstractNum>
  <w:abstractNum w:abstractNumId="79" w15:restartNumberingAfterBreak="0">
    <w:nsid w:val="3DC85ED1"/>
    <w:multiLevelType w:val="hybridMultilevel"/>
    <w:tmpl w:val="89C03224"/>
    <w:lvl w:ilvl="0" w:tplc="B59EEBD8">
      <w:start w:val="1"/>
      <w:numFmt w:val="bullet"/>
      <w:lvlText w:val=""/>
      <w:lvlJc w:val="left"/>
      <w:pPr>
        <w:tabs>
          <w:tab w:val="num" w:pos="1368"/>
        </w:tabs>
        <w:ind w:left="1368" w:hanging="288"/>
      </w:pPr>
      <w:rPr>
        <w:rFonts w:ascii="Symbol" w:hAnsi="Symbol" w:hint="default"/>
        <w:b w:val="0"/>
        <w:i w:val="0"/>
        <w:color w:val="auto"/>
        <w:sz w:val="22"/>
        <w:szCs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DCE590B"/>
    <w:multiLevelType w:val="hybridMultilevel"/>
    <w:tmpl w:val="98FEB526"/>
    <w:lvl w:ilvl="0" w:tplc="494C4080">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3EA74BDC"/>
    <w:multiLevelType w:val="hybridMultilevel"/>
    <w:tmpl w:val="4370734C"/>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095664F"/>
    <w:multiLevelType w:val="hybridMultilevel"/>
    <w:tmpl w:val="590207F6"/>
    <w:lvl w:ilvl="0" w:tplc="B59EEBD8">
      <w:start w:val="1"/>
      <w:numFmt w:val="bullet"/>
      <w:lvlText w:val=""/>
      <w:lvlJc w:val="left"/>
      <w:pPr>
        <w:tabs>
          <w:tab w:val="num" w:pos="1368"/>
        </w:tabs>
        <w:ind w:left="1368" w:hanging="288"/>
      </w:pPr>
      <w:rPr>
        <w:rFonts w:ascii="Symbol" w:hAnsi="Symbol" w:hint="default"/>
        <w:b w:val="0"/>
        <w:i w:val="0"/>
        <w:color w:val="auto"/>
        <w:sz w:val="22"/>
        <w:szCs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3740A66"/>
    <w:multiLevelType w:val="hybridMultilevel"/>
    <w:tmpl w:val="37A28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44D42BD2"/>
    <w:multiLevelType w:val="hybridMultilevel"/>
    <w:tmpl w:val="7FA8AFA4"/>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B59EEBD8">
      <w:start w:val="1"/>
      <w:numFmt w:val="bullet"/>
      <w:lvlText w:val=""/>
      <w:lvlJc w:val="left"/>
      <w:pPr>
        <w:tabs>
          <w:tab w:val="num" w:pos="1728"/>
        </w:tabs>
        <w:ind w:left="1728" w:hanging="288"/>
      </w:pPr>
      <w:rPr>
        <w:rFonts w:ascii="Symbol" w:hAnsi="Symbol" w:hint="default"/>
        <w:b w:val="0"/>
        <w:i w:val="0"/>
        <w:color w:val="auto"/>
        <w:sz w:val="22"/>
        <w:szCs w:val="24"/>
        <w:u w:val="none"/>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5" w15:restartNumberingAfterBreak="0">
    <w:nsid w:val="44DC7B44"/>
    <w:multiLevelType w:val="hybridMultilevel"/>
    <w:tmpl w:val="893674F2"/>
    <w:lvl w:ilvl="0" w:tplc="494C4080">
      <w:start w:val="1"/>
      <w:numFmt w:val="decimal"/>
      <w:lvlText w:val="%1."/>
      <w:lvlJc w:val="left"/>
      <w:pPr>
        <w:tabs>
          <w:tab w:val="num" w:pos="1080"/>
        </w:tabs>
        <w:ind w:left="1080" w:hanging="360"/>
      </w:pPr>
      <w:rPr>
        <w:i w:val="0"/>
      </w:rPr>
    </w:lvl>
    <w:lvl w:ilvl="1" w:tplc="B59EEBD8">
      <w:start w:val="1"/>
      <w:numFmt w:val="bullet"/>
      <w:lvlText w:val=""/>
      <w:lvlJc w:val="left"/>
      <w:pPr>
        <w:tabs>
          <w:tab w:val="num" w:pos="1368"/>
        </w:tabs>
        <w:ind w:left="1368" w:hanging="288"/>
      </w:pPr>
      <w:rPr>
        <w:rFonts w:ascii="Symbol" w:hAnsi="Symbol" w:hint="default"/>
        <w:b w:val="0"/>
        <w:i w:val="0"/>
        <w:color w:val="auto"/>
        <w:sz w:val="22"/>
        <w:szCs w:val="24"/>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45A760F6"/>
    <w:multiLevelType w:val="hybridMultilevel"/>
    <w:tmpl w:val="064619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5CD1F48"/>
    <w:multiLevelType w:val="hybridMultilevel"/>
    <w:tmpl w:val="7F706590"/>
    <w:lvl w:ilvl="0" w:tplc="8FB6B1AC">
      <w:start w:val="1"/>
      <w:numFmt w:val="bullet"/>
      <w:lvlText w:val=""/>
      <w:lvlJc w:val="left"/>
      <w:pPr>
        <w:tabs>
          <w:tab w:val="num" w:pos="1584"/>
        </w:tabs>
        <w:ind w:left="1584" w:hanging="216"/>
      </w:pPr>
      <w:rPr>
        <w:rFonts w:ascii="Symbol" w:hAnsi="Symbol" w:hint="default"/>
        <w:color w:val="auto"/>
      </w:rPr>
    </w:lvl>
    <w:lvl w:ilvl="1" w:tplc="04090003" w:tentative="1">
      <w:start w:val="1"/>
      <w:numFmt w:val="bullet"/>
      <w:lvlText w:val="o"/>
      <w:lvlJc w:val="left"/>
      <w:pPr>
        <w:tabs>
          <w:tab w:val="num" w:pos="2808"/>
        </w:tabs>
        <w:ind w:left="2808" w:hanging="360"/>
      </w:pPr>
      <w:rPr>
        <w:rFonts w:ascii="Courier New" w:hAnsi="Courier New" w:cs="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cs="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cs="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88" w15:restartNumberingAfterBreak="0">
    <w:nsid w:val="46E916F1"/>
    <w:multiLevelType w:val="hybridMultilevel"/>
    <w:tmpl w:val="A2DC67EC"/>
    <w:lvl w:ilvl="0" w:tplc="B59EEBD8">
      <w:start w:val="1"/>
      <w:numFmt w:val="bullet"/>
      <w:lvlText w:val=""/>
      <w:lvlJc w:val="left"/>
      <w:pPr>
        <w:tabs>
          <w:tab w:val="num" w:pos="1728"/>
        </w:tabs>
        <w:ind w:left="1728" w:hanging="288"/>
      </w:pPr>
      <w:rPr>
        <w:rFonts w:ascii="Symbol" w:hAnsi="Symbol" w:hint="default"/>
        <w:b w:val="0"/>
        <w:i w:val="0"/>
        <w:color w:val="auto"/>
        <w:sz w:val="22"/>
        <w:szCs w:val="24"/>
        <w:u w:val="none"/>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9" w15:restartNumberingAfterBreak="0">
    <w:nsid w:val="48034E5D"/>
    <w:multiLevelType w:val="hybridMultilevel"/>
    <w:tmpl w:val="F6AE12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48CD2DBB"/>
    <w:multiLevelType w:val="hybridMultilevel"/>
    <w:tmpl w:val="2C2E63F2"/>
    <w:lvl w:ilvl="0" w:tplc="539ABE64">
      <w:start w:val="1"/>
      <w:numFmt w:val="bullet"/>
      <w:lvlText w:val=""/>
      <w:lvlJc w:val="left"/>
      <w:pPr>
        <w:tabs>
          <w:tab w:val="num" w:pos="1296"/>
        </w:tabs>
        <w:ind w:left="1296" w:hanging="216"/>
      </w:pPr>
      <w:rPr>
        <w:rFonts w:ascii="Symbol" w:hAnsi="Symbol" w:hint="default"/>
        <w:b w:val="0"/>
        <w:i w:val="0"/>
        <w:color w:val="auto"/>
        <w:sz w:val="22"/>
        <w:szCs w:val="24"/>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1" w15:restartNumberingAfterBreak="0">
    <w:nsid w:val="48DB3C93"/>
    <w:multiLevelType w:val="hybridMultilevel"/>
    <w:tmpl w:val="22600776"/>
    <w:lvl w:ilvl="0" w:tplc="539ABE64">
      <w:start w:val="1"/>
      <w:numFmt w:val="bullet"/>
      <w:lvlText w:val=""/>
      <w:lvlJc w:val="left"/>
      <w:pPr>
        <w:tabs>
          <w:tab w:val="num" w:pos="936"/>
        </w:tabs>
        <w:ind w:left="936" w:hanging="216"/>
      </w:pPr>
      <w:rPr>
        <w:rFonts w:ascii="Symbol" w:hAnsi="Symbol" w:hint="default"/>
        <w:b w:val="0"/>
        <w:i w:val="0"/>
        <w:color w:val="auto"/>
        <w:sz w:val="22"/>
        <w:szCs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49155B9F"/>
    <w:multiLevelType w:val="hybridMultilevel"/>
    <w:tmpl w:val="5792E2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3" w15:restartNumberingAfterBreak="0">
    <w:nsid w:val="49662203"/>
    <w:multiLevelType w:val="hybridMultilevel"/>
    <w:tmpl w:val="09C8C1F8"/>
    <w:lvl w:ilvl="0" w:tplc="494C4080">
      <w:start w:val="1"/>
      <w:numFmt w:val="decimal"/>
      <w:lvlText w:val="%1."/>
      <w:lvlJc w:val="left"/>
      <w:pPr>
        <w:tabs>
          <w:tab w:val="num" w:pos="1800"/>
        </w:tabs>
        <w:ind w:left="1800" w:hanging="360"/>
      </w:pPr>
      <w:rPr>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4" w15:restartNumberingAfterBreak="0">
    <w:nsid w:val="49C1357C"/>
    <w:multiLevelType w:val="hybridMultilevel"/>
    <w:tmpl w:val="A914DF72"/>
    <w:lvl w:ilvl="0" w:tplc="0409000F">
      <w:start w:val="1"/>
      <w:numFmt w:val="decimal"/>
      <w:lvlText w:val="%1."/>
      <w:lvlJc w:val="left"/>
      <w:pPr>
        <w:tabs>
          <w:tab w:val="num" w:pos="1080"/>
        </w:tabs>
        <w:ind w:left="1080" w:hanging="360"/>
      </w:pPr>
    </w:lvl>
    <w:lvl w:ilvl="1" w:tplc="494C4080">
      <w:start w:val="1"/>
      <w:numFmt w:val="decimal"/>
      <w:lvlText w:val="%2."/>
      <w:lvlJc w:val="left"/>
      <w:pPr>
        <w:tabs>
          <w:tab w:val="num" w:pos="1800"/>
        </w:tabs>
        <w:ind w:left="1800" w:hanging="360"/>
      </w:pPr>
      <w:rPr>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5" w15:restartNumberingAfterBreak="0">
    <w:nsid w:val="4A556916"/>
    <w:multiLevelType w:val="hybridMultilevel"/>
    <w:tmpl w:val="97A4E9F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4B373047"/>
    <w:multiLevelType w:val="hybridMultilevel"/>
    <w:tmpl w:val="B35C5E8E"/>
    <w:lvl w:ilvl="0" w:tplc="77AEF088">
      <w:start w:val="1"/>
      <w:numFmt w:val="bullet"/>
      <w:lvlText w:val=""/>
      <w:lvlJc w:val="left"/>
      <w:pPr>
        <w:tabs>
          <w:tab w:val="num" w:pos="1296"/>
        </w:tabs>
        <w:ind w:left="1296" w:hanging="216"/>
      </w:pPr>
      <w:rPr>
        <w:rFonts w:ascii="Symbol" w:hAnsi="Symbol" w:hint="default"/>
        <w:b w:val="0"/>
        <w:i w:val="0"/>
        <w:color w:val="auto"/>
        <w:sz w:val="22"/>
        <w:szCs w:val="24"/>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7" w15:restartNumberingAfterBreak="0">
    <w:nsid w:val="4B3E4FEE"/>
    <w:multiLevelType w:val="hybridMultilevel"/>
    <w:tmpl w:val="62E8D09C"/>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4BC2243A"/>
    <w:multiLevelType w:val="hybridMultilevel"/>
    <w:tmpl w:val="1F2C2EA2"/>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84A881AA">
      <w:start w:val="1"/>
      <w:numFmt w:val="bullet"/>
      <w:lvlText w:val=""/>
      <w:lvlJc w:val="left"/>
      <w:pPr>
        <w:tabs>
          <w:tab w:val="num" w:pos="1008"/>
        </w:tabs>
        <w:ind w:left="1008" w:hanging="288"/>
      </w:pPr>
      <w:rPr>
        <w:rFonts w:ascii="Symbol" w:hAnsi="Symbol" w:hint="default"/>
        <w:b w:val="0"/>
        <w:i w:val="0"/>
        <w:color w:val="auto"/>
        <w:sz w:val="22"/>
        <w:szCs w:val="24"/>
        <w:u w:val="none"/>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4BD60BF9"/>
    <w:multiLevelType w:val="hybridMultilevel"/>
    <w:tmpl w:val="E9889E76"/>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4D5866A7"/>
    <w:multiLevelType w:val="hybridMultilevel"/>
    <w:tmpl w:val="8048E7FC"/>
    <w:lvl w:ilvl="0" w:tplc="539ABE64">
      <w:start w:val="1"/>
      <w:numFmt w:val="bullet"/>
      <w:lvlText w:val=""/>
      <w:lvlJc w:val="left"/>
      <w:pPr>
        <w:tabs>
          <w:tab w:val="num" w:pos="216"/>
        </w:tabs>
        <w:ind w:left="216" w:hanging="216"/>
      </w:pPr>
      <w:rPr>
        <w:rFonts w:ascii="Symbol" w:hAnsi="Symbol" w:hint="default"/>
        <w:b w:val="0"/>
        <w:i w:val="0"/>
        <w:color w:val="auto"/>
        <w:sz w:val="22"/>
        <w:szCs w:val="24"/>
        <w:u w:val="none"/>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1" w15:restartNumberingAfterBreak="0">
    <w:nsid w:val="4D8077C1"/>
    <w:multiLevelType w:val="hybridMultilevel"/>
    <w:tmpl w:val="FCCCC51A"/>
    <w:lvl w:ilvl="0" w:tplc="8FB6B1AC">
      <w:start w:val="1"/>
      <w:numFmt w:val="bullet"/>
      <w:lvlText w:val=""/>
      <w:lvlJc w:val="left"/>
      <w:pPr>
        <w:tabs>
          <w:tab w:val="num" w:pos="1296"/>
        </w:tabs>
        <w:ind w:left="1296" w:hanging="216"/>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2" w15:restartNumberingAfterBreak="0">
    <w:nsid w:val="4EF25C57"/>
    <w:multiLevelType w:val="hybridMultilevel"/>
    <w:tmpl w:val="81340808"/>
    <w:lvl w:ilvl="0" w:tplc="494C4080">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4F104C67"/>
    <w:multiLevelType w:val="hybridMultilevel"/>
    <w:tmpl w:val="9FAAE01E"/>
    <w:lvl w:ilvl="0" w:tplc="539ABE64">
      <w:start w:val="1"/>
      <w:numFmt w:val="bullet"/>
      <w:lvlText w:val=""/>
      <w:lvlJc w:val="left"/>
      <w:pPr>
        <w:tabs>
          <w:tab w:val="num" w:pos="936"/>
        </w:tabs>
        <w:ind w:left="936" w:hanging="216"/>
      </w:pPr>
      <w:rPr>
        <w:rFonts w:ascii="Symbol" w:hAnsi="Symbol" w:hint="default"/>
        <w:b w:val="0"/>
        <w:i w:val="0"/>
        <w:color w:val="auto"/>
        <w:sz w:val="22"/>
        <w:szCs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16B4952"/>
    <w:multiLevelType w:val="hybridMultilevel"/>
    <w:tmpl w:val="02CA4940"/>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53D9690E"/>
    <w:multiLevelType w:val="hybridMultilevel"/>
    <w:tmpl w:val="31887728"/>
    <w:lvl w:ilvl="0" w:tplc="B59EEBD8">
      <w:start w:val="1"/>
      <w:numFmt w:val="bullet"/>
      <w:lvlText w:val=""/>
      <w:lvlJc w:val="left"/>
      <w:pPr>
        <w:tabs>
          <w:tab w:val="num" w:pos="288"/>
        </w:tabs>
        <w:ind w:left="288" w:hanging="288"/>
      </w:pPr>
      <w:rPr>
        <w:rFonts w:ascii="Symbol" w:hAnsi="Symbol" w:hint="default"/>
        <w:b w:val="0"/>
        <w:i w:val="0"/>
        <w:color w:val="auto"/>
        <w:sz w:val="22"/>
        <w:szCs w:val="24"/>
        <w:u w:val="none"/>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6" w15:restartNumberingAfterBreak="0">
    <w:nsid w:val="53DC5BDE"/>
    <w:multiLevelType w:val="hybridMultilevel"/>
    <w:tmpl w:val="580AF234"/>
    <w:lvl w:ilvl="0" w:tplc="5FD6F9BE">
      <w:start w:val="1"/>
      <w:numFmt w:val="bullet"/>
      <w:lvlText w:val="•"/>
      <w:lvlJc w:val="left"/>
      <w:pPr>
        <w:tabs>
          <w:tab w:val="num" w:pos="720"/>
        </w:tabs>
        <w:ind w:left="720" w:hanging="360"/>
      </w:pPr>
      <w:rPr>
        <w:rFonts w:ascii="Times New Roman" w:hAnsi="Times New Roman" w:hint="default"/>
      </w:rPr>
    </w:lvl>
    <w:lvl w:ilvl="1" w:tplc="931E661C" w:tentative="1">
      <w:start w:val="1"/>
      <w:numFmt w:val="bullet"/>
      <w:lvlText w:val="•"/>
      <w:lvlJc w:val="left"/>
      <w:pPr>
        <w:tabs>
          <w:tab w:val="num" w:pos="1440"/>
        </w:tabs>
        <w:ind w:left="1440" w:hanging="360"/>
      </w:pPr>
      <w:rPr>
        <w:rFonts w:ascii="Times New Roman" w:hAnsi="Times New Roman" w:hint="default"/>
      </w:rPr>
    </w:lvl>
    <w:lvl w:ilvl="2" w:tplc="DE48F18C" w:tentative="1">
      <w:start w:val="1"/>
      <w:numFmt w:val="bullet"/>
      <w:lvlText w:val="•"/>
      <w:lvlJc w:val="left"/>
      <w:pPr>
        <w:tabs>
          <w:tab w:val="num" w:pos="2160"/>
        </w:tabs>
        <w:ind w:left="2160" w:hanging="360"/>
      </w:pPr>
      <w:rPr>
        <w:rFonts w:ascii="Times New Roman" w:hAnsi="Times New Roman" w:hint="default"/>
      </w:rPr>
    </w:lvl>
    <w:lvl w:ilvl="3" w:tplc="4D4CF070" w:tentative="1">
      <w:start w:val="1"/>
      <w:numFmt w:val="bullet"/>
      <w:lvlText w:val="•"/>
      <w:lvlJc w:val="left"/>
      <w:pPr>
        <w:tabs>
          <w:tab w:val="num" w:pos="2880"/>
        </w:tabs>
        <w:ind w:left="2880" w:hanging="360"/>
      </w:pPr>
      <w:rPr>
        <w:rFonts w:ascii="Times New Roman" w:hAnsi="Times New Roman" w:hint="default"/>
      </w:rPr>
    </w:lvl>
    <w:lvl w:ilvl="4" w:tplc="9B9E6446" w:tentative="1">
      <w:start w:val="1"/>
      <w:numFmt w:val="bullet"/>
      <w:lvlText w:val="•"/>
      <w:lvlJc w:val="left"/>
      <w:pPr>
        <w:tabs>
          <w:tab w:val="num" w:pos="3600"/>
        </w:tabs>
        <w:ind w:left="3600" w:hanging="360"/>
      </w:pPr>
      <w:rPr>
        <w:rFonts w:ascii="Times New Roman" w:hAnsi="Times New Roman" w:hint="default"/>
      </w:rPr>
    </w:lvl>
    <w:lvl w:ilvl="5" w:tplc="67AE0B4A" w:tentative="1">
      <w:start w:val="1"/>
      <w:numFmt w:val="bullet"/>
      <w:lvlText w:val="•"/>
      <w:lvlJc w:val="left"/>
      <w:pPr>
        <w:tabs>
          <w:tab w:val="num" w:pos="4320"/>
        </w:tabs>
        <w:ind w:left="4320" w:hanging="360"/>
      </w:pPr>
      <w:rPr>
        <w:rFonts w:ascii="Times New Roman" w:hAnsi="Times New Roman" w:hint="default"/>
      </w:rPr>
    </w:lvl>
    <w:lvl w:ilvl="6" w:tplc="6F080DFC" w:tentative="1">
      <w:start w:val="1"/>
      <w:numFmt w:val="bullet"/>
      <w:lvlText w:val="•"/>
      <w:lvlJc w:val="left"/>
      <w:pPr>
        <w:tabs>
          <w:tab w:val="num" w:pos="5040"/>
        </w:tabs>
        <w:ind w:left="5040" w:hanging="360"/>
      </w:pPr>
      <w:rPr>
        <w:rFonts w:ascii="Times New Roman" w:hAnsi="Times New Roman" w:hint="default"/>
      </w:rPr>
    </w:lvl>
    <w:lvl w:ilvl="7" w:tplc="CBDC6DA8" w:tentative="1">
      <w:start w:val="1"/>
      <w:numFmt w:val="bullet"/>
      <w:lvlText w:val="•"/>
      <w:lvlJc w:val="left"/>
      <w:pPr>
        <w:tabs>
          <w:tab w:val="num" w:pos="5760"/>
        </w:tabs>
        <w:ind w:left="5760" w:hanging="360"/>
      </w:pPr>
      <w:rPr>
        <w:rFonts w:ascii="Times New Roman" w:hAnsi="Times New Roman" w:hint="default"/>
      </w:rPr>
    </w:lvl>
    <w:lvl w:ilvl="8" w:tplc="4D3EA1EC" w:tentative="1">
      <w:start w:val="1"/>
      <w:numFmt w:val="bullet"/>
      <w:lvlText w:val="•"/>
      <w:lvlJc w:val="left"/>
      <w:pPr>
        <w:tabs>
          <w:tab w:val="num" w:pos="6480"/>
        </w:tabs>
        <w:ind w:left="6480" w:hanging="360"/>
      </w:pPr>
      <w:rPr>
        <w:rFonts w:ascii="Times New Roman" w:hAnsi="Times New Roman" w:hint="default"/>
      </w:rPr>
    </w:lvl>
  </w:abstractNum>
  <w:abstractNum w:abstractNumId="107" w15:restartNumberingAfterBreak="0">
    <w:nsid w:val="53EC4323"/>
    <w:multiLevelType w:val="hybridMultilevel"/>
    <w:tmpl w:val="5A9433B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 w15:restartNumberingAfterBreak="0">
    <w:nsid w:val="54AB6D3C"/>
    <w:multiLevelType w:val="hybridMultilevel"/>
    <w:tmpl w:val="EB0A91E2"/>
    <w:lvl w:ilvl="0" w:tplc="539ABE64">
      <w:start w:val="1"/>
      <w:numFmt w:val="bullet"/>
      <w:lvlText w:val=""/>
      <w:lvlJc w:val="left"/>
      <w:pPr>
        <w:tabs>
          <w:tab w:val="num" w:pos="216"/>
        </w:tabs>
        <w:ind w:left="216" w:hanging="216"/>
      </w:pPr>
      <w:rPr>
        <w:rFonts w:ascii="Symbol" w:hAnsi="Symbol" w:hint="default"/>
        <w:b w:val="0"/>
        <w:i w:val="0"/>
        <w:color w:val="auto"/>
        <w:sz w:val="22"/>
        <w:szCs w:val="24"/>
        <w:u w:val="none"/>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9" w15:restartNumberingAfterBreak="0">
    <w:nsid w:val="56507977"/>
    <w:multiLevelType w:val="hybridMultilevel"/>
    <w:tmpl w:val="20BC48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6803DBF"/>
    <w:multiLevelType w:val="hybridMultilevel"/>
    <w:tmpl w:val="F46466A4"/>
    <w:lvl w:ilvl="0" w:tplc="B59EEBD8">
      <w:start w:val="1"/>
      <w:numFmt w:val="bullet"/>
      <w:lvlText w:val=""/>
      <w:lvlJc w:val="left"/>
      <w:pPr>
        <w:tabs>
          <w:tab w:val="num" w:pos="1368"/>
        </w:tabs>
        <w:ind w:left="1368" w:hanging="288"/>
      </w:pPr>
      <w:rPr>
        <w:rFonts w:ascii="Symbol" w:hAnsi="Symbol" w:hint="default"/>
        <w:b w:val="0"/>
        <w:i w:val="0"/>
        <w:color w:val="auto"/>
        <w:sz w:val="22"/>
        <w:szCs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6DA2622"/>
    <w:multiLevelType w:val="hybridMultilevel"/>
    <w:tmpl w:val="48F2E71A"/>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2" w15:restartNumberingAfterBreak="0">
    <w:nsid w:val="570E7A99"/>
    <w:multiLevelType w:val="hybridMultilevel"/>
    <w:tmpl w:val="24B8113E"/>
    <w:lvl w:ilvl="0" w:tplc="539ABE64">
      <w:start w:val="1"/>
      <w:numFmt w:val="bullet"/>
      <w:lvlText w:val=""/>
      <w:lvlJc w:val="left"/>
      <w:pPr>
        <w:tabs>
          <w:tab w:val="num" w:pos="936"/>
        </w:tabs>
        <w:ind w:left="936" w:hanging="216"/>
      </w:pPr>
      <w:rPr>
        <w:rFonts w:ascii="Symbol" w:hAnsi="Symbol" w:hint="default"/>
        <w:b w:val="0"/>
        <w:i w:val="0"/>
        <w:color w:val="auto"/>
        <w:sz w:val="22"/>
        <w:szCs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868594C"/>
    <w:multiLevelType w:val="hybridMultilevel"/>
    <w:tmpl w:val="187A8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9026D34"/>
    <w:multiLevelType w:val="hybridMultilevel"/>
    <w:tmpl w:val="783AB49E"/>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5B1E5C15"/>
    <w:multiLevelType w:val="hybridMultilevel"/>
    <w:tmpl w:val="B9A0C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15:restartNumberingAfterBreak="0">
    <w:nsid w:val="5BC55D29"/>
    <w:multiLevelType w:val="hybridMultilevel"/>
    <w:tmpl w:val="B41286C2"/>
    <w:lvl w:ilvl="0" w:tplc="EBC22A6A">
      <w:start w:val="1"/>
      <w:numFmt w:val="decimal"/>
      <w:lvlText w:val="%1)"/>
      <w:lvlJc w:val="left"/>
      <w:pPr>
        <w:ind w:left="864" w:hanging="28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 w15:restartNumberingAfterBreak="0">
    <w:nsid w:val="610F46FF"/>
    <w:multiLevelType w:val="hybridMultilevel"/>
    <w:tmpl w:val="BDC014AC"/>
    <w:lvl w:ilvl="0" w:tplc="B59EEBD8">
      <w:start w:val="1"/>
      <w:numFmt w:val="bullet"/>
      <w:lvlText w:val=""/>
      <w:lvlJc w:val="left"/>
      <w:pPr>
        <w:tabs>
          <w:tab w:val="num" w:pos="1368"/>
        </w:tabs>
        <w:ind w:left="1368" w:hanging="288"/>
      </w:pPr>
      <w:rPr>
        <w:rFonts w:ascii="Symbol" w:hAnsi="Symbol" w:hint="default"/>
        <w:b w:val="0"/>
        <w:i w:val="0"/>
        <w:color w:val="auto"/>
        <w:sz w:val="22"/>
        <w:szCs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1106A33"/>
    <w:multiLevelType w:val="hybridMultilevel"/>
    <w:tmpl w:val="8D3E304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9" w15:restartNumberingAfterBreak="0">
    <w:nsid w:val="61507EB4"/>
    <w:multiLevelType w:val="hybridMultilevel"/>
    <w:tmpl w:val="31423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15:restartNumberingAfterBreak="0">
    <w:nsid w:val="62733160"/>
    <w:multiLevelType w:val="hybridMultilevel"/>
    <w:tmpl w:val="CFC078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30C1AD7"/>
    <w:multiLevelType w:val="hybridMultilevel"/>
    <w:tmpl w:val="D848CB98"/>
    <w:lvl w:ilvl="0" w:tplc="494C4080">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63B614D4"/>
    <w:multiLevelType w:val="hybridMultilevel"/>
    <w:tmpl w:val="DAF215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B97448"/>
    <w:multiLevelType w:val="hybridMultilevel"/>
    <w:tmpl w:val="5BAEA02E"/>
    <w:lvl w:ilvl="0" w:tplc="B59EEBD8">
      <w:start w:val="1"/>
      <w:numFmt w:val="bullet"/>
      <w:lvlText w:val=""/>
      <w:lvlJc w:val="left"/>
      <w:pPr>
        <w:tabs>
          <w:tab w:val="num" w:pos="1368"/>
        </w:tabs>
        <w:ind w:left="1368" w:hanging="288"/>
      </w:pPr>
      <w:rPr>
        <w:rFonts w:ascii="Symbol" w:hAnsi="Symbol" w:hint="default"/>
        <w:b w:val="0"/>
        <w:i w:val="0"/>
        <w:color w:val="auto"/>
        <w:sz w:val="22"/>
        <w:szCs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4276BBC"/>
    <w:multiLevelType w:val="hybridMultilevel"/>
    <w:tmpl w:val="F0381E7E"/>
    <w:lvl w:ilvl="0" w:tplc="61742918">
      <w:start w:val="1"/>
      <w:numFmt w:val="lowerLetter"/>
      <w:lvlText w:val="%1)"/>
      <w:lvlJc w:val="lef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15:restartNumberingAfterBreak="0">
    <w:nsid w:val="6451506D"/>
    <w:multiLevelType w:val="hybridMultilevel"/>
    <w:tmpl w:val="9A94AFCE"/>
    <w:lvl w:ilvl="0" w:tplc="0409000F">
      <w:start w:val="1"/>
      <w:numFmt w:val="decimal"/>
      <w:lvlText w:val="%1."/>
      <w:lvlJc w:val="left"/>
      <w:pPr>
        <w:tabs>
          <w:tab w:val="num" w:pos="1080"/>
        </w:tabs>
        <w:ind w:left="1080" w:hanging="360"/>
      </w:pPr>
    </w:lvl>
    <w:lvl w:ilvl="1" w:tplc="B59EEBD8">
      <w:start w:val="1"/>
      <w:numFmt w:val="bullet"/>
      <w:lvlText w:val=""/>
      <w:lvlJc w:val="left"/>
      <w:pPr>
        <w:tabs>
          <w:tab w:val="num" w:pos="1728"/>
        </w:tabs>
        <w:ind w:left="1728" w:hanging="288"/>
      </w:pPr>
      <w:rPr>
        <w:rFonts w:ascii="Symbol" w:hAnsi="Symbol" w:hint="default"/>
        <w:b w:val="0"/>
        <w:i w:val="0"/>
        <w:color w:val="auto"/>
        <w:sz w:val="22"/>
        <w:szCs w:val="24"/>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6" w15:restartNumberingAfterBreak="0">
    <w:nsid w:val="649454B6"/>
    <w:multiLevelType w:val="hybridMultilevel"/>
    <w:tmpl w:val="3D74E812"/>
    <w:lvl w:ilvl="0" w:tplc="539ABE64">
      <w:start w:val="1"/>
      <w:numFmt w:val="bullet"/>
      <w:lvlText w:val=""/>
      <w:lvlJc w:val="left"/>
      <w:pPr>
        <w:tabs>
          <w:tab w:val="num" w:pos="216"/>
        </w:tabs>
        <w:ind w:left="216" w:hanging="216"/>
      </w:pPr>
      <w:rPr>
        <w:rFonts w:ascii="Symbol" w:hAnsi="Symbol" w:hint="default"/>
        <w:b w:val="0"/>
        <w:i w:val="0"/>
        <w:color w:val="auto"/>
        <w:sz w:val="22"/>
        <w:szCs w:val="24"/>
        <w:u w:val="none"/>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7" w15:restartNumberingAfterBreak="0">
    <w:nsid w:val="64FD1AAC"/>
    <w:multiLevelType w:val="hybridMultilevel"/>
    <w:tmpl w:val="E1B68DA2"/>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8" w15:restartNumberingAfterBreak="0">
    <w:nsid w:val="65386847"/>
    <w:multiLevelType w:val="hybridMultilevel"/>
    <w:tmpl w:val="ADD42830"/>
    <w:lvl w:ilvl="0" w:tplc="494C4080">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9" w15:restartNumberingAfterBreak="0">
    <w:nsid w:val="669B27E0"/>
    <w:multiLevelType w:val="hybridMultilevel"/>
    <w:tmpl w:val="08FAE1D4"/>
    <w:lvl w:ilvl="0" w:tplc="B59EEBD8">
      <w:start w:val="1"/>
      <w:numFmt w:val="bullet"/>
      <w:lvlText w:val=""/>
      <w:lvlJc w:val="left"/>
      <w:pPr>
        <w:tabs>
          <w:tab w:val="num" w:pos="1368"/>
        </w:tabs>
        <w:ind w:left="1368" w:hanging="288"/>
      </w:pPr>
      <w:rPr>
        <w:rFonts w:ascii="Symbol" w:hAnsi="Symbol" w:hint="default"/>
        <w:b w:val="0"/>
        <w:i w:val="0"/>
        <w:color w:val="auto"/>
        <w:sz w:val="22"/>
        <w:szCs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8543E9D"/>
    <w:multiLevelType w:val="hybridMultilevel"/>
    <w:tmpl w:val="B2A87318"/>
    <w:lvl w:ilvl="0" w:tplc="494C4080">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69443395"/>
    <w:multiLevelType w:val="hybridMultilevel"/>
    <w:tmpl w:val="6AB63360"/>
    <w:lvl w:ilvl="0" w:tplc="385C759C">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2" w15:restartNumberingAfterBreak="0">
    <w:nsid w:val="69907D43"/>
    <w:multiLevelType w:val="hybridMultilevel"/>
    <w:tmpl w:val="8B1A0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6A7C6628"/>
    <w:multiLevelType w:val="hybridMultilevel"/>
    <w:tmpl w:val="C1D000A2"/>
    <w:lvl w:ilvl="0" w:tplc="B59EEBD8">
      <w:start w:val="1"/>
      <w:numFmt w:val="bullet"/>
      <w:lvlText w:val=""/>
      <w:lvlJc w:val="left"/>
      <w:pPr>
        <w:tabs>
          <w:tab w:val="num" w:pos="1368"/>
        </w:tabs>
        <w:ind w:left="1368" w:hanging="288"/>
      </w:pPr>
      <w:rPr>
        <w:rFonts w:ascii="Symbol" w:hAnsi="Symbol" w:hint="default"/>
        <w:b w:val="0"/>
        <w:i w:val="0"/>
        <w:color w:val="auto"/>
        <w:sz w:val="22"/>
        <w:szCs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CD33152"/>
    <w:multiLevelType w:val="hybridMultilevel"/>
    <w:tmpl w:val="B12C89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6D454FA4"/>
    <w:multiLevelType w:val="hybridMultilevel"/>
    <w:tmpl w:val="1130C0B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6" w15:restartNumberingAfterBreak="0">
    <w:nsid w:val="6DB753C9"/>
    <w:multiLevelType w:val="hybridMultilevel"/>
    <w:tmpl w:val="29A648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6DC33140"/>
    <w:multiLevelType w:val="hybridMultilevel"/>
    <w:tmpl w:val="4A10CA70"/>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8" w15:restartNumberingAfterBreak="0">
    <w:nsid w:val="6DFA4DEE"/>
    <w:multiLevelType w:val="hybridMultilevel"/>
    <w:tmpl w:val="D9F4F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F7949DB"/>
    <w:multiLevelType w:val="hybridMultilevel"/>
    <w:tmpl w:val="4998DC2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70C50956"/>
    <w:multiLevelType w:val="hybridMultilevel"/>
    <w:tmpl w:val="BAACC74E"/>
    <w:lvl w:ilvl="0" w:tplc="8FB6B1AC">
      <w:start w:val="1"/>
      <w:numFmt w:val="bullet"/>
      <w:lvlText w:val=""/>
      <w:lvlJc w:val="left"/>
      <w:pPr>
        <w:tabs>
          <w:tab w:val="num" w:pos="1296"/>
        </w:tabs>
        <w:ind w:left="1296" w:hanging="216"/>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1" w15:restartNumberingAfterBreak="0">
    <w:nsid w:val="712B56D7"/>
    <w:multiLevelType w:val="hybridMultilevel"/>
    <w:tmpl w:val="5A9433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714063F1"/>
    <w:multiLevelType w:val="hybridMultilevel"/>
    <w:tmpl w:val="0AB88812"/>
    <w:lvl w:ilvl="0" w:tplc="9AC4BAEC">
      <w:start w:val="1"/>
      <w:numFmt w:val="lowerLetter"/>
      <w:lvlText w:val="(%1)"/>
      <w:lvlJc w:val="left"/>
      <w:pPr>
        <w:tabs>
          <w:tab w:val="num" w:pos="1440"/>
        </w:tabs>
        <w:ind w:left="1440" w:hanging="360"/>
      </w:pPr>
      <w:rPr>
        <w:rFonts w:hint="default"/>
      </w:rPr>
    </w:lvl>
    <w:lvl w:ilvl="1" w:tplc="B59EEBD8">
      <w:start w:val="1"/>
      <w:numFmt w:val="bullet"/>
      <w:lvlText w:val=""/>
      <w:lvlJc w:val="left"/>
      <w:pPr>
        <w:tabs>
          <w:tab w:val="num" w:pos="1728"/>
        </w:tabs>
        <w:ind w:left="1728" w:hanging="288"/>
      </w:pPr>
      <w:rPr>
        <w:rFonts w:ascii="Symbol" w:hAnsi="Symbol" w:hint="default"/>
        <w:b w:val="0"/>
        <w:i w:val="0"/>
        <w:color w:val="auto"/>
        <w:sz w:val="22"/>
        <w:szCs w:val="24"/>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3" w15:restartNumberingAfterBreak="0">
    <w:nsid w:val="72F8606D"/>
    <w:multiLevelType w:val="multilevel"/>
    <w:tmpl w:val="BF2233D2"/>
    <w:lvl w:ilvl="0">
      <w:start w:val="1"/>
      <w:numFmt w:val="decimal"/>
      <w:lvlText w:val="%1."/>
      <w:lvlJc w:val="left"/>
      <w:pPr>
        <w:tabs>
          <w:tab w:val="num" w:pos="1080"/>
        </w:tabs>
        <w:ind w:left="1080" w:hanging="360"/>
      </w:pPr>
      <w:rPr>
        <w:rFonts w:hint="default"/>
        <w:b w:val="0"/>
        <w:i w:val="0"/>
        <w:sz w:val="24"/>
        <w:szCs w:val="24"/>
        <w:u w:val="none"/>
      </w:rPr>
    </w:lvl>
    <w:lvl w:ilvl="1">
      <w:start w:val="1"/>
      <w:numFmt w:val="decimal"/>
      <w:lvlText w:val="%2."/>
      <w:lvlJc w:val="left"/>
      <w:pPr>
        <w:tabs>
          <w:tab w:val="num" w:pos="1800"/>
        </w:tabs>
        <w:ind w:left="1800" w:hanging="360"/>
      </w:pPr>
      <w:rPr>
        <w:rFonts w:ascii="Arial" w:hAnsi="Arial" w:hint="default"/>
        <w:b/>
        <w:i w:val="0"/>
        <w:sz w:val="24"/>
        <w:szCs w:val="24"/>
        <w:u w:val="none"/>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4" w15:restartNumberingAfterBreak="0">
    <w:nsid w:val="734F6E30"/>
    <w:multiLevelType w:val="hybridMultilevel"/>
    <w:tmpl w:val="FF6694B4"/>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5" w15:restartNumberingAfterBreak="0">
    <w:nsid w:val="73A8340D"/>
    <w:multiLevelType w:val="hybridMultilevel"/>
    <w:tmpl w:val="42F0629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6" w15:restartNumberingAfterBreak="0">
    <w:nsid w:val="74292667"/>
    <w:multiLevelType w:val="hybridMultilevel"/>
    <w:tmpl w:val="B476A65C"/>
    <w:lvl w:ilvl="0" w:tplc="B9CEA08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7477489B"/>
    <w:multiLevelType w:val="hybridMultilevel"/>
    <w:tmpl w:val="65A630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8" w15:restartNumberingAfterBreak="0">
    <w:nsid w:val="74A53613"/>
    <w:multiLevelType w:val="hybridMultilevel"/>
    <w:tmpl w:val="4D5C1886"/>
    <w:lvl w:ilvl="0" w:tplc="494C4080">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77D02824"/>
    <w:multiLevelType w:val="hybridMultilevel"/>
    <w:tmpl w:val="2B083970"/>
    <w:lvl w:ilvl="0" w:tplc="B59EEBD8">
      <w:start w:val="1"/>
      <w:numFmt w:val="bullet"/>
      <w:lvlText w:val=""/>
      <w:lvlJc w:val="left"/>
      <w:pPr>
        <w:tabs>
          <w:tab w:val="num" w:pos="1368"/>
        </w:tabs>
        <w:ind w:left="1368" w:hanging="288"/>
      </w:pPr>
      <w:rPr>
        <w:rFonts w:ascii="Symbol" w:hAnsi="Symbol" w:hint="default"/>
        <w:b w:val="0"/>
        <w:i w:val="0"/>
        <w:color w:val="auto"/>
        <w:sz w:val="22"/>
        <w:szCs w:val="24"/>
        <w:u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84A881AA">
      <w:start w:val="1"/>
      <w:numFmt w:val="bullet"/>
      <w:lvlText w:val=""/>
      <w:lvlJc w:val="left"/>
      <w:pPr>
        <w:tabs>
          <w:tab w:val="num" w:pos="2088"/>
        </w:tabs>
        <w:ind w:left="2088" w:hanging="288"/>
      </w:pPr>
      <w:rPr>
        <w:rFonts w:ascii="Symbol" w:hAnsi="Symbol" w:hint="default"/>
        <w:b w:val="0"/>
        <w:i w:val="0"/>
        <w:color w:val="auto"/>
        <w:sz w:val="22"/>
        <w:szCs w:val="24"/>
        <w:u w:val="no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77E1485D"/>
    <w:multiLevelType w:val="hybridMultilevel"/>
    <w:tmpl w:val="E61EB19C"/>
    <w:lvl w:ilvl="0" w:tplc="20C23352">
      <w:start w:val="1"/>
      <w:numFmt w:val="decimal"/>
      <w:lvlText w:val="%1."/>
      <w:lvlJc w:val="left"/>
      <w:pPr>
        <w:tabs>
          <w:tab w:val="num" w:pos="1440"/>
        </w:tabs>
        <w:ind w:left="1440" w:hanging="360"/>
      </w:pPr>
      <w:rPr>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1" w15:restartNumberingAfterBreak="0">
    <w:nsid w:val="780766A7"/>
    <w:multiLevelType w:val="hybridMultilevel"/>
    <w:tmpl w:val="C248C040"/>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2" w15:restartNumberingAfterBreak="0">
    <w:nsid w:val="78204638"/>
    <w:multiLevelType w:val="hybridMultilevel"/>
    <w:tmpl w:val="36E20D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3" w15:restartNumberingAfterBreak="0">
    <w:nsid w:val="7AEC152F"/>
    <w:multiLevelType w:val="hybridMultilevel"/>
    <w:tmpl w:val="D29C4216"/>
    <w:lvl w:ilvl="0" w:tplc="494C4080">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7C7856BF"/>
    <w:multiLevelType w:val="hybridMultilevel"/>
    <w:tmpl w:val="6E4CC6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7D185016"/>
    <w:multiLevelType w:val="hybridMultilevel"/>
    <w:tmpl w:val="7A10483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6" w15:restartNumberingAfterBreak="0">
    <w:nsid w:val="7EA12D29"/>
    <w:multiLevelType w:val="hybridMultilevel"/>
    <w:tmpl w:val="7A10483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7" w15:restartNumberingAfterBreak="0">
    <w:nsid w:val="7EE8531F"/>
    <w:multiLevelType w:val="hybridMultilevel"/>
    <w:tmpl w:val="4C12D518"/>
    <w:lvl w:ilvl="0" w:tplc="B59EEBD8">
      <w:start w:val="1"/>
      <w:numFmt w:val="bullet"/>
      <w:lvlText w:val=""/>
      <w:lvlJc w:val="left"/>
      <w:pPr>
        <w:tabs>
          <w:tab w:val="num" w:pos="1008"/>
        </w:tabs>
        <w:ind w:left="1008" w:hanging="288"/>
      </w:pPr>
      <w:rPr>
        <w:rFonts w:ascii="Symbol" w:hAnsi="Symbol" w:hint="default"/>
        <w:b w:val="0"/>
        <w:i w:val="0"/>
        <w:color w:val="auto"/>
        <w:sz w:val="22"/>
        <w:szCs w:val="24"/>
        <w:u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8" w15:restartNumberingAfterBreak="0">
    <w:nsid w:val="7F0359F9"/>
    <w:multiLevelType w:val="hybridMultilevel"/>
    <w:tmpl w:val="CB922172"/>
    <w:lvl w:ilvl="0" w:tplc="8FB6B1AC">
      <w:start w:val="1"/>
      <w:numFmt w:val="bullet"/>
      <w:lvlText w:val=""/>
      <w:lvlJc w:val="left"/>
      <w:pPr>
        <w:tabs>
          <w:tab w:val="num" w:pos="2016"/>
        </w:tabs>
        <w:ind w:left="2016" w:hanging="216"/>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9" w15:restartNumberingAfterBreak="0">
    <w:nsid w:val="7FFC36AF"/>
    <w:multiLevelType w:val="hybridMultilevel"/>
    <w:tmpl w:val="C8004EC2"/>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79920161">
    <w:abstractNumId w:val="19"/>
  </w:num>
  <w:num w:numId="2" w16cid:durableId="166408481">
    <w:abstractNumId w:val="5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25270">
    <w:abstractNumId w:val="105"/>
  </w:num>
  <w:num w:numId="4" w16cid:durableId="791049284">
    <w:abstractNumId w:val="66"/>
  </w:num>
  <w:num w:numId="5" w16cid:durableId="1902207867">
    <w:abstractNumId w:val="61"/>
  </w:num>
  <w:num w:numId="6" w16cid:durableId="975449501">
    <w:abstractNumId w:val="92"/>
  </w:num>
  <w:num w:numId="7" w16cid:durableId="3353050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6711502">
    <w:abstractNumId w:val="158"/>
  </w:num>
  <w:num w:numId="9" w16cid:durableId="181935940">
    <w:abstractNumId w:val="12"/>
  </w:num>
  <w:num w:numId="10" w16cid:durableId="1272127636">
    <w:abstractNumId w:val="34"/>
  </w:num>
  <w:num w:numId="11" w16cid:durableId="932250286">
    <w:abstractNumId w:val="10"/>
  </w:num>
  <w:num w:numId="12" w16cid:durableId="180320890">
    <w:abstractNumId w:val="22"/>
  </w:num>
  <w:num w:numId="13" w16cid:durableId="1892617872">
    <w:abstractNumId w:val="26"/>
  </w:num>
  <w:num w:numId="14" w16cid:durableId="1456756634">
    <w:abstractNumId w:val="44"/>
  </w:num>
  <w:num w:numId="15" w16cid:durableId="2109622481">
    <w:abstractNumId w:val="87"/>
  </w:num>
  <w:num w:numId="16" w16cid:durableId="960183524">
    <w:abstractNumId w:val="53"/>
  </w:num>
  <w:num w:numId="17" w16cid:durableId="1063915500">
    <w:abstractNumId w:val="55"/>
  </w:num>
  <w:num w:numId="18" w16cid:durableId="1546331733">
    <w:abstractNumId w:val="140"/>
  </w:num>
  <w:num w:numId="19" w16cid:durableId="1024020163">
    <w:abstractNumId w:val="101"/>
  </w:num>
  <w:num w:numId="20" w16cid:durableId="1427461708">
    <w:abstractNumId w:val="88"/>
  </w:num>
  <w:num w:numId="21" w16cid:durableId="2089309064">
    <w:abstractNumId w:val="9"/>
  </w:num>
  <w:num w:numId="22" w16cid:durableId="1229225017">
    <w:abstractNumId w:val="85"/>
  </w:num>
  <w:num w:numId="23" w16cid:durableId="1959946987">
    <w:abstractNumId w:val="133"/>
  </w:num>
  <w:num w:numId="24" w16cid:durableId="12153858">
    <w:abstractNumId w:val="97"/>
  </w:num>
  <w:num w:numId="25" w16cid:durableId="901868191">
    <w:abstractNumId w:val="148"/>
  </w:num>
  <w:num w:numId="26" w16cid:durableId="489449139">
    <w:abstractNumId w:val="102"/>
  </w:num>
  <w:num w:numId="27" w16cid:durableId="1061749428">
    <w:abstractNumId w:val="58"/>
  </w:num>
  <w:num w:numId="28" w16cid:durableId="1499538210">
    <w:abstractNumId w:val="77"/>
  </w:num>
  <w:num w:numId="29" w16cid:durableId="1989942898">
    <w:abstractNumId w:val="130"/>
  </w:num>
  <w:num w:numId="30" w16cid:durableId="1181974019">
    <w:abstractNumId w:val="153"/>
  </w:num>
  <w:num w:numId="31" w16cid:durableId="486240830">
    <w:abstractNumId w:val="121"/>
  </w:num>
  <w:num w:numId="32" w16cid:durableId="466972983">
    <w:abstractNumId w:val="18"/>
  </w:num>
  <w:num w:numId="33" w16cid:durableId="1382173215">
    <w:abstractNumId w:val="98"/>
  </w:num>
  <w:num w:numId="34" w16cid:durableId="1127428553">
    <w:abstractNumId w:val="149"/>
  </w:num>
  <w:num w:numId="35" w16cid:durableId="671562744">
    <w:abstractNumId w:val="30"/>
  </w:num>
  <w:num w:numId="36" w16cid:durableId="1652559040">
    <w:abstractNumId w:val="35"/>
  </w:num>
  <w:num w:numId="37" w16cid:durableId="1340424949">
    <w:abstractNumId w:val="117"/>
  </w:num>
  <w:num w:numId="38" w16cid:durableId="2058358711">
    <w:abstractNumId w:val="68"/>
  </w:num>
  <w:num w:numId="39" w16cid:durableId="103693467">
    <w:abstractNumId w:val="79"/>
  </w:num>
  <w:num w:numId="40" w16cid:durableId="1381368297">
    <w:abstractNumId w:val="157"/>
  </w:num>
  <w:num w:numId="41" w16cid:durableId="1972006648">
    <w:abstractNumId w:val="54"/>
  </w:num>
  <w:num w:numId="42" w16cid:durableId="1961648405">
    <w:abstractNumId w:val="56"/>
  </w:num>
  <w:num w:numId="43" w16cid:durableId="825777990">
    <w:abstractNumId w:val="137"/>
  </w:num>
  <w:num w:numId="44" w16cid:durableId="1092507132">
    <w:abstractNumId w:val="111"/>
  </w:num>
  <w:num w:numId="45" w16cid:durableId="1711567244">
    <w:abstractNumId w:val="60"/>
  </w:num>
  <w:num w:numId="46" w16cid:durableId="1764838936">
    <w:abstractNumId w:val="114"/>
  </w:num>
  <w:num w:numId="47" w16cid:durableId="1010138033">
    <w:abstractNumId w:val="151"/>
  </w:num>
  <w:num w:numId="48" w16cid:durableId="65618717">
    <w:abstractNumId w:val="129"/>
  </w:num>
  <w:num w:numId="49" w16cid:durableId="1635987458">
    <w:abstractNumId w:val="20"/>
  </w:num>
  <w:num w:numId="50" w16cid:durableId="2068066060">
    <w:abstractNumId w:val="123"/>
  </w:num>
  <w:num w:numId="51" w16cid:durableId="528952820">
    <w:abstractNumId w:val="62"/>
  </w:num>
  <w:num w:numId="52" w16cid:durableId="893932964">
    <w:abstractNumId w:val="82"/>
  </w:num>
  <w:num w:numId="53" w16cid:durableId="1274442092">
    <w:abstractNumId w:val="78"/>
  </w:num>
  <w:num w:numId="54" w16cid:durableId="28574387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5599943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633498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877292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12218899">
    <w:abstractNumId w:val="7"/>
  </w:num>
  <w:num w:numId="59" w16cid:durableId="764691132">
    <w:abstractNumId w:val="48"/>
  </w:num>
  <w:num w:numId="60" w16cid:durableId="1784760814">
    <w:abstractNumId w:val="75"/>
  </w:num>
  <w:num w:numId="61" w16cid:durableId="6517807">
    <w:abstractNumId w:val="32"/>
  </w:num>
  <w:num w:numId="62" w16cid:durableId="89012942">
    <w:abstractNumId w:val="143"/>
  </w:num>
  <w:num w:numId="63" w16cid:durableId="985596736">
    <w:abstractNumId w:val="47"/>
  </w:num>
  <w:num w:numId="64" w16cid:durableId="1861628320">
    <w:abstractNumId w:val="28"/>
  </w:num>
  <w:num w:numId="65" w16cid:durableId="74515533">
    <w:abstractNumId w:val="23"/>
  </w:num>
  <w:num w:numId="66" w16cid:durableId="1000960404">
    <w:abstractNumId w:val="29"/>
  </w:num>
  <w:num w:numId="67" w16cid:durableId="2119638981">
    <w:abstractNumId w:val="128"/>
  </w:num>
  <w:num w:numId="68" w16cid:durableId="326985649">
    <w:abstractNumId w:val="49"/>
  </w:num>
  <w:num w:numId="69" w16cid:durableId="940992188">
    <w:abstractNumId w:val="99"/>
  </w:num>
  <w:num w:numId="70" w16cid:durableId="1968270830">
    <w:abstractNumId w:val="94"/>
  </w:num>
  <w:num w:numId="71" w16cid:durableId="67004745">
    <w:abstractNumId w:val="125"/>
  </w:num>
  <w:num w:numId="72" w16cid:durableId="1738431504">
    <w:abstractNumId w:val="80"/>
  </w:num>
  <w:num w:numId="73" w16cid:durableId="762998160">
    <w:abstractNumId w:val="41"/>
  </w:num>
  <w:num w:numId="74" w16cid:durableId="1912932641">
    <w:abstractNumId w:val="76"/>
  </w:num>
  <w:num w:numId="75" w16cid:durableId="1796681292">
    <w:abstractNumId w:val="127"/>
  </w:num>
  <w:num w:numId="76" w16cid:durableId="1746028761">
    <w:abstractNumId w:val="110"/>
  </w:num>
  <w:num w:numId="77" w16cid:durableId="12458640">
    <w:abstractNumId w:val="144"/>
  </w:num>
  <w:num w:numId="78" w16cid:durableId="870612434">
    <w:abstractNumId w:val="59"/>
  </w:num>
  <w:num w:numId="79" w16cid:durableId="942499244">
    <w:abstractNumId w:val="37"/>
  </w:num>
  <w:num w:numId="80" w16cid:durableId="1454906581">
    <w:abstractNumId w:val="147"/>
  </w:num>
  <w:num w:numId="81" w16cid:durableId="1353066370">
    <w:abstractNumId w:val="51"/>
  </w:num>
  <w:num w:numId="82" w16cid:durableId="1366368954">
    <w:abstractNumId w:val="84"/>
  </w:num>
  <w:num w:numId="83" w16cid:durableId="1810004657">
    <w:abstractNumId w:val="73"/>
  </w:num>
  <w:num w:numId="84" w16cid:durableId="837884561">
    <w:abstractNumId w:val="43"/>
  </w:num>
  <w:num w:numId="85" w16cid:durableId="1555312761">
    <w:abstractNumId w:val="150"/>
  </w:num>
  <w:num w:numId="86" w16cid:durableId="1065296065">
    <w:abstractNumId w:val="142"/>
  </w:num>
  <w:num w:numId="87" w16cid:durableId="1079644345">
    <w:abstractNumId w:val="14"/>
  </w:num>
  <w:num w:numId="88" w16cid:durableId="1223904695">
    <w:abstractNumId w:val="104"/>
  </w:num>
  <w:num w:numId="89" w16cid:durableId="49585076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189792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958032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1954813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8330478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936367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36426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09928374">
    <w:abstractNumId w:val="21"/>
  </w:num>
  <w:num w:numId="97" w16cid:durableId="647714107">
    <w:abstractNumId w:val="90"/>
  </w:num>
  <w:num w:numId="98" w16cid:durableId="2063288646">
    <w:abstractNumId w:val="67"/>
  </w:num>
  <w:num w:numId="99" w16cid:durableId="1130365395">
    <w:abstractNumId w:val="52"/>
  </w:num>
  <w:num w:numId="100" w16cid:durableId="517504381">
    <w:abstractNumId w:val="91"/>
  </w:num>
  <w:num w:numId="101" w16cid:durableId="2055881919">
    <w:abstractNumId w:val="103"/>
  </w:num>
  <w:num w:numId="102" w16cid:durableId="616108469">
    <w:abstractNumId w:val="100"/>
  </w:num>
  <w:num w:numId="103" w16cid:durableId="2121876354">
    <w:abstractNumId w:val="70"/>
  </w:num>
  <w:num w:numId="104" w16cid:durableId="657655613">
    <w:abstractNumId w:val="112"/>
  </w:num>
  <w:num w:numId="105" w16cid:durableId="1737170746">
    <w:abstractNumId w:val="126"/>
  </w:num>
  <w:num w:numId="106" w16cid:durableId="430050453">
    <w:abstractNumId w:val="108"/>
  </w:num>
  <w:num w:numId="107" w16cid:durableId="1894537557">
    <w:abstractNumId w:val="27"/>
  </w:num>
  <w:num w:numId="108" w16cid:durableId="1791050777">
    <w:abstractNumId w:val="93"/>
  </w:num>
  <w:num w:numId="109" w16cid:durableId="23018850">
    <w:abstractNumId w:val="36"/>
  </w:num>
  <w:num w:numId="110" w16cid:durableId="833182070">
    <w:abstractNumId w:val="6"/>
  </w:num>
  <w:num w:numId="111" w16cid:durableId="1582787260">
    <w:abstractNumId w:val="96"/>
  </w:num>
  <w:num w:numId="112" w16cid:durableId="151139935">
    <w:abstractNumId w:val="74"/>
  </w:num>
  <w:num w:numId="113" w16cid:durableId="555627288">
    <w:abstractNumId w:val="135"/>
  </w:num>
  <w:num w:numId="114" w16cid:durableId="1467819812">
    <w:abstractNumId w:val="95"/>
  </w:num>
  <w:num w:numId="115" w16cid:durableId="1161240866">
    <w:abstractNumId w:val="81"/>
  </w:num>
  <w:num w:numId="116" w16cid:durableId="1254165544">
    <w:abstractNumId w:val="159"/>
  </w:num>
  <w:num w:numId="117" w16cid:durableId="452093855">
    <w:abstractNumId w:val="39"/>
  </w:num>
  <w:num w:numId="118" w16cid:durableId="452213702">
    <w:abstractNumId w:val="145"/>
  </w:num>
  <w:num w:numId="119" w16cid:durableId="1266964197">
    <w:abstractNumId w:val="45"/>
  </w:num>
  <w:num w:numId="120" w16cid:durableId="1719667052">
    <w:abstractNumId w:val="46"/>
  </w:num>
  <w:num w:numId="121" w16cid:durableId="37296773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4482883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19006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826123947">
    <w:abstractNumId w:val="65"/>
  </w:num>
  <w:num w:numId="125" w16cid:durableId="1063453164">
    <w:abstractNumId w:val="134"/>
  </w:num>
  <w:num w:numId="126" w16cid:durableId="400517402">
    <w:abstractNumId w:val="89"/>
  </w:num>
  <w:num w:numId="127" w16cid:durableId="1951550085">
    <w:abstractNumId w:val="33"/>
  </w:num>
  <w:num w:numId="128" w16cid:durableId="789663491">
    <w:abstractNumId w:val="136"/>
  </w:num>
  <w:num w:numId="129" w16cid:durableId="118155516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580480769">
    <w:abstractNumId w:val="5"/>
  </w:num>
  <w:num w:numId="131" w16cid:durableId="2040666403">
    <w:abstractNumId w:val="4"/>
  </w:num>
  <w:num w:numId="132" w16cid:durableId="172383111">
    <w:abstractNumId w:val="8"/>
  </w:num>
  <w:num w:numId="133" w16cid:durableId="643394077">
    <w:abstractNumId w:val="3"/>
  </w:num>
  <w:num w:numId="134" w16cid:durableId="299042020">
    <w:abstractNumId w:val="2"/>
  </w:num>
  <w:num w:numId="135" w16cid:durableId="1454323456">
    <w:abstractNumId w:val="1"/>
  </w:num>
  <w:num w:numId="136" w16cid:durableId="1385718242">
    <w:abstractNumId w:val="0"/>
  </w:num>
  <w:num w:numId="137" w16cid:durableId="976491104">
    <w:abstractNumId w:val="106"/>
  </w:num>
  <w:num w:numId="138" w16cid:durableId="480924382">
    <w:abstractNumId w:val="119"/>
  </w:num>
  <w:num w:numId="139" w16cid:durableId="1131485941">
    <w:abstractNumId w:val="124"/>
  </w:num>
  <w:num w:numId="140" w16cid:durableId="543753029">
    <w:abstractNumId w:val="50"/>
  </w:num>
  <w:num w:numId="141" w16cid:durableId="1748113735">
    <w:abstractNumId w:val="42"/>
  </w:num>
  <w:num w:numId="142" w16cid:durableId="388382912">
    <w:abstractNumId w:val="69"/>
  </w:num>
  <w:num w:numId="143" w16cid:durableId="1066801055">
    <w:abstractNumId w:val="156"/>
  </w:num>
  <w:num w:numId="144" w16cid:durableId="738796359">
    <w:abstractNumId w:val="155"/>
  </w:num>
  <w:num w:numId="145" w16cid:durableId="1136871586">
    <w:abstractNumId w:val="71"/>
  </w:num>
  <w:num w:numId="146" w16cid:durableId="210271610">
    <w:abstractNumId w:val="13"/>
  </w:num>
  <w:num w:numId="147" w16cid:durableId="1894581232">
    <w:abstractNumId w:val="72"/>
  </w:num>
  <w:num w:numId="148" w16cid:durableId="1398240701">
    <w:abstractNumId w:val="11"/>
  </w:num>
  <w:num w:numId="149" w16cid:durableId="1229733204">
    <w:abstractNumId w:val="17"/>
  </w:num>
  <w:num w:numId="150" w16cid:durableId="608243071">
    <w:abstractNumId w:val="152"/>
  </w:num>
  <w:num w:numId="151" w16cid:durableId="196479249">
    <w:abstractNumId w:val="131"/>
  </w:num>
  <w:num w:numId="152" w16cid:durableId="245068226">
    <w:abstractNumId w:val="132"/>
  </w:num>
  <w:num w:numId="153" w16cid:durableId="197282216">
    <w:abstractNumId w:val="146"/>
  </w:num>
  <w:num w:numId="154" w16cid:durableId="1066948992">
    <w:abstractNumId w:val="115"/>
  </w:num>
  <w:num w:numId="155" w16cid:durableId="2062826859">
    <w:abstractNumId w:val="141"/>
  </w:num>
  <w:num w:numId="156" w16cid:durableId="1521625934">
    <w:abstractNumId w:val="38"/>
  </w:num>
  <w:num w:numId="157" w16cid:durableId="2093090116">
    <w:abstractNumId w:val="40"/>
  </w:num>
  <w:num w:numId="158" w16cid:durableId="608582830">
    <w:abstractNumId w:val="63"/>
  </w:num>
  <w:num w:numId="159" w16cid:durableId="567770950">
    <w:abstractNumId w:val="154"/>
  </w:num>
  <w:num w:numId="160" w16cid:durableId="1778526528">
    <w:abstractNumId w:val="107"/>
  </w:num>
  <w:num w:numId="161" w16cid:durableId="2134782801">
    <w:abstractNumId w:val="139"/>
  </w:num>
  <w:num w:numId="162" w16cid:durableId="1377581298">
    <w:abstractNumId w:val="31"/>
  </w:num>
  <w:num w:numId="163" w16cid:durableId="782269118">
    <w:abstractNumId w:val="25"/>
  </w:num>
  <w:num w:numId="164" w16cid:durableId="189615757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361467226">
    <w:abstractNumId w:val="122"/>
  </w:num>
  <w:num w:numId="166" w16cid:durableId="224685712">
    <w:abstractNumId w:val="116"/>
  </w:num>
  <w:num w:numId="167" w16cid:durableId="2091077924">
    <w:abstractNumId w:val="15"/>
  </w:num>
  <w:num w:numId="168" w16cid:durableId="109445455">
    <w:abstractNumId w:val="16"/>
  </w:num>
  <w:num w:numId="169" w16cid:durableId="1611932395">
    <w:abstractNumId w:val="113"/>
  </w:num>
  <w:num w:numId="170" w16cid:durableId="1911841202">
    <w:abstractNumId w:val="64"/>
  </w:num>
  <w:num w:numId="171" w16cid:durableId="861481190">
    <w:abstractNumId w:val="83"/>
  </w:num>
  <w:num w:numId="172" w16cid:durableId="1803308943">
    <w:abstractNumId w:val="118"/>
  </w:num>
  <w:num w:numId="173" w16cid:durableId="1365474027">
    <w:abstractNumId w:val="120"/>
  </w:num>
  <w:num w:numId="174" w16cid:durableId="402487609">
    <w:abstractNumId w:val="109"/>
  </w:num>
  <w:num w:numId="175" w16cid:durableId="2021353196">
    <w:abstractNumId w:val="86"/>
  </w:num>
  <w:num w:numId="176" w16cid:durableId="625935175">
    <w:abstractNumId w:val="138"/>
  </w:num>
  <w:num w:numId="177" w16cid:durableId="744113059">
    <w:abstractNumId w:val="24"/>
  </w:num>
  <w:num w:numId="178" w16cid:durableId="143643913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98646445">
    <w:abstractNumId w:val="78"/>
  </w:num>
  <w:num w:numId="180" w16cid:durableId="186873696">
    <w:abstractNumId w:val="78"/>
  </w:num>
  <w:num w:numId="181" w16cid:durableId="1865904524">
    <w:abstractNumId w:val="78"/>
  </w:num>
  <w:num w:numId="182" w16cid:durableId="191192927">
    <w:abstractNumId w:val="78"/>
  </w:num>
  <w:num w:numId="183" w16cid:durableId="1493906466">
    <w:abstractNumId w:val="78"/>
  </w:num>
  <w:num w:numId="184" w16cid:durableId="593905686">
    <w:abstractNumId w:val="78"/>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drawingGridHorizontalSpacing w:val="100"/>
  <w:displayHorizontalDrawingGridEvery w:val="2"/>
  <w:displayVerticalDrawingGridEvery w:val="2"/>
  <w:characterSpacingControl w:val="doNotCompress"/>
  <w:hdrShapeDefaults>
    <o:shapedefaults v:ext="edit" spidmax="206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BD"/>
    <w:rsid w:val="00000C52"/>
    <w:rsid w:val="00001131"/>
    <w:rsid w:val="00001681"/>
    <w:rsid w:val="00001B2C"/>
    <w:rsid w:val="00001FB0"/>
    <w:rsid w:val="00002EB2"/>
    <w:rsid w:val="00002EB5"/>
    <w:rsid w:val="00003296"/>
    <w:rsid w:val="0000368B"/>
    <w:rsid w:val="00003CE3"/>
    <w:rsid w:val="00003EE1"/>
    <w:rsid w:val="00004ACA"/>
    <w:rsid w:val="0000554B"/>
    <w:rsid w:val="0000568D"/>
    <w:rsid w:val="00006011"/>
    <w:rsid w:val="0000628F"/>
    <w:rsid w:val="000062EF"/>
    <w:rsid w:val="000067DD"/>
    <w:rsid w:val="00006830"/>
    <w:rsid w:val="00007028"/>
    <w:rsid w:val="000071FF"/>
    <w:rsid w:val="00007D33"/>
    <w:rsid w:val="00007E92"/>
    <w:rsid w:val="00010107"/>
    <w:rsid w:val="00010F76"/>
    <w:rsid w:val="00011E16"/>
    <w:rsid w:val="00011E37"/>
    <w:rsid w:val="00011F10"/>
    <w:rsid w:val="000122A8"/>
    <w:rsid w:val="00012403"/>
    <w:rsid w:val="00012709"/>
    <w:rsid w:val="00012760"/>
    <w:rsid w:val="000136E1"/>
    <w:rsid w:val="0001396A"/>
    <w:rsid w:val="00013B2B"/>
    <w:rsid w:val="0001428B"/>
    <w:rsid w:val="000149AB"/>
    <w:rsid w:val="00015196"/>
    <w:rsid w:val="000160F4"/>
    <w:rsid w:val="000161E0"/>
    <w:rsid w:val="000168AC"/>
    <w:rsid w:val="00016928"/>
    <w:rsid w:val="00016BB0"/>
    <w:rsid w:val="00016F45"/>
    <w:rsid w:val="00017DAD"/>
    <w:rsid w:val="00017DD8"/>
    <w:rsid w:val="00017F88"/>
    <w:rsid w:val="00020486"/>
    <w:rsid w:val="00020995"/>
    <w:rsid w:val="00020AF9"/>
    <w:rsid w:val="00020CFF"/>
    <w:rsid w:val="00022720"/>
    <w:rsid w:val="0002290D"/>
    <w:rsid w:val="00022AC3"/>
    <w:rsid w:val="00022BA9"/>
    <w:rsid w:val="000246E3"/>
    <w:rsid w:val="00024AD6"/>
    <w:rsid w:val="00024D3F"/>
    <w:rsid w:val="0002522A"/>
    <w:rsid w:val="00026A08"/>
    <w:rsid w:val="00026A72"/>
    <w:rsid w:val="000275D6"/>
    <w:rsid w:val="0003045D"/>
    <w:rsid w:val="0003094A"/>
    <w:rsid w:val="000309CE"/>
    <w:rsid w:val="00031230"/>
    <w:rsid w:val="00032204"/>
    <w:rsid w:val="00032E68"/>
    <w:rsid w:val="00033356"/>
    <w:rsid w:val="00033409"/>
    <w:rsid w:val="0003363A"/>
    <w:rsid w:val="00033964"/>
    <w:rsid w:val="00033B5C"/>
    <w:rsid w:val="000344D0"/>
    <w:rsid w:val="000347A1"/>
    <w:rsid w:val="000347A4"/>
    <w:rsid w:val="00034E94"/>
    <w:rsid w:val="00034F33"/>
    <w:rsid w:val="00035CF0"/>
    <w:rsid w:val="000360CA"/>
    <w:rsid w:val="0003663E"/>
    <w:rsid w:val="00037447"/>
    <w:rsid w:val="00040227"/>
    <w:rsid w:val="00040410"/>
    <w:rsid w:val="00040643"/>
    <w:rsid w:val="000406E7"/>
    <w:rsid w:val="00040D65"/>
    <w:rsid w:val="00041546"/>
    <w:rsid w:val="000415B9"/>
    <w:rsid w:val="00041F78"/>
    <w:rsid w:val="00042198"/>
    <w:rsid w:val="000421DB"/>
    <w:rsid w:val="00042595"/>
    <w:rsid w:val="000434F7"/>
    <w:rsid w:val="00043CF0"/>
    <w:rsid w:val="00044126"/>
    <w:rsid w:val="000465BB"/>
    <w:rsid w:val="00047326"/>
    <w:rsid w:val="00047A94"/>
    <w:rsid w:val="00050862"/>
    <w:rsid w:val="00050A0B"/>
    <w:rsid w:val="00050C70"/>
    <w:rsid w:val="00050EAD"/>
    <w:rsid w:val="00051768"/>
    <w:rsid w:val="00052256"/>
    <w:rsid w:val="000523D0"/>
    <w:rsid w:val="000527A8"/>
    <w:rsid w:val="00053568"/>
    <w:rsid w:val="00053AF8"/>
    <w:rsid w:val="000541BB"/>
    <w:rsid w:val="0005457D"/>
    <w:rsid w:val="00055205"/>
    <w:rsid w:val="0005521E"/>
    <w:rsid w:val="000554D9"/>
    <w:rsid w:val="00055980"/>
    <w:rsid w:val="00055E7C"/>
    <w:rsid w:val="0005676F"/>
    <w:rsid w:val="00056CCB"/>
    <w:rsid w:val="0005753B"/>
    <w:rsid w:val="000575FE"/>
    <w:rsid w:val="0005799A"/>
    <w:rsid w:val="00057E2E"/>
    <w:rsid w:val="000604B6"/>
    <w:rsid w:val="00061BA5"/>
    <w:rsid w:val="0006245A"/>
    <w:rsid w:val="000629BB"/>
    <w:rsid w:val="00062EF1"/>
    <w:rsid w:val="0006376F"/>
    <w:rsid w:val="00063B70"/>
    <w:rsid w:val="000647EA"/>
    <w:rsid w:val="00064EFF"/>
    <w:rsid w:val="0006541F"/>
    <w:rsid w:val="000656C7"/>
    <w:rsid w:val="00065E73"/>
    <w:rsid w:val="00065F05"/>
    <w:rsid w:val="00067BCB"/>
    <w:rsid w:val="00067BEF"/>
    <w:rsid w:val="00070350"/>
    <w:rsid w:val="00070840"/>
    <w:rsid w:val="00070DD8"/>
    <w:rsid w:val="00070F10"/>
    <w:rsid w:val="00071B12"/>
    <w:rsid w:val="00071E21"/>
    <w:rsid w:val="00072A26"/>
    <w:rsid w:val="000734B5"/>
    <w:rsid w:val="00073C4E"/>
    <w:rsid w:val="00073CC1"/>
    <w:rsid w:val="000748C5"/>
    <w:rsid w:val="00074974"/>
    <w:rsid w:val="00075000"/>
    <w:rsid w:val="00075197"/>
    <w:rsid w:val="000768B6"/>
    <w:rsid w:val="00076DAD"/>
    <w:rsid w:val="000809F6"/>
    <w:rsid w:val="00080AA8"/>
    <w:rsid w:val="00080ACE"/>
    <w:rsid w:val="00080D3C"/>
    <w:rsid w:val="000810E3"/>
    <w:rsid w:val="00081132"/>
    <w:rsid w:val="00081611"/>
    <w:rsid w:val="00081CB9"/>
    <w:rsid w:val="00082BC2"/>
    <w:rsid w:val="00082EC6"/>
    <w:rsid w:val="00083362"/>
    <w:rsid w:val="000839FD"/>
    <w:rsid w:val="00083CC5"/>
    <w:rsid w:val="00083E72"/>
    <w:rsid w:val="0008464B"/>
    <w:rsid w:val="0008471F"/>
    <w:rsid w:val="00084EE5"/>
    <w:rsid w:val="000854F0"/>
    <w:rsid w:val="00085995"/>
    <w:rsid w:val="000859A5"/>
    <w:rsid w:val="00085D01"/>
    <w:rsid w:val="00085DC4"/>
    <w:rsid w:val="0008601D"/>
    <w:rsid w:val="00086BB7"/>
    <w:rsid w:val="00086FBF"/>
    <w:rsid w:val="00087717"/>
    <w:rsid w:val="00087777"/>
    <w:rsid w:val="000900F9"/>
    <w:rsid w:val="0009039B"/>
    <w:rsid w:val="00091548"/>
    <w:rsid w:val="000915A3"/>
    <w:rsid w:val="00091827"/>
    <w:rsid w:val="000924D8"/>
    <w:rsid w:val="00092602"/>
    <w:rsid w:val="00092AFB"/>
    <w:rsid w:val="00093A69"/>
    <w:rsid w:val="000943F0"/>
    <w:rsid w:val="000944BA"/>
    <w:rsid w:val="0009457E"/>
    <w:rsid w:val="00095190"/>
    <w:rsid w:val="00095494"/>
    <w:rsid w:val="000960EA"/>
    <w:rsid w:val="0009735A"/>
    <w:rsid w:val="000975D3"/>
    <w:rsid w:val="00097669"/>
    <w:rsid w:val="000979B4"/>
    <w:rsid w:val="00097DC4"/>
    <w:rsid w:val="000A02EF"/>
    <w:rsid w:val="000A0A69"/>
    <w:rsid w:val="000A0AD6"/>
    <w:rsid w:val="000A15CB"/>
    <w:rsid w:val="000A2E8C"/>
    <w:rsid w:val="000A37B6"/>
    <w:rsid w:val="000A37CF"/>
    <w:rsid w:val="000A433E"/>
    <w:rsid w:val="000A44E8"/>
    <w:rsid w:val="000A46E4"/>
    <w:rsid w:val="000A563B"/>
    <w:rsid w:val="000A63E3"/>
    <w:rsid w:val="000A7C83"/>
    <w:rsid w:val="000B078A"/>
    <w:rsid w:val="000B0C80"/>
    <w:rsid w:val="000B121C"/>
    <w:rsid w:val="000B2750"/>
    <w:rsid w:val="000B27E4"/>
    <w:rsid w:val="000B28D2"/>
    <w:rsid w:val="000B2979"/>
    <w:rsid w:val="000B30E5"/>
    <w:rsid w:val="000B32E0"/>
    <w:rsid w:val="000B3EB3"/>
    <w:rsid w:val="000B4C07"/>
    <w:rsid w:val="000B6287"/>
    <w:rsid w:val="000B6779"/>
    <w:rsid w:val="000B693C"/>
    <w:rsid w:val="000B7409"/>
    <w:rsid w:val="000C0A3A"/>
    <w:rsid w:val="000C10F9"/>
    <w:rsid w:val="000C1200"/>
    <w:rsid w:val="000C22E8"/>
    <w:rsid w:val="000C23C5"/>
    <w:rsid w:val="000C24BA"/>
    <w:rsid w:val="000C3399"/>
    <w:rsid w:val="000C3C2A"/>
    <w:rsid w:val="000C44AE"/>
    <w:rsid w:val="000C4830"/>
    <w:rsid w:val="000C4BD9"/>
    <w:rsid w:val="000C4CDB"/>
    <w:rsid w:val="000C55DC"/>
    <w:rsid w:val="000C6789"/>
    <w:rsid w:val="000C67DB"/>
    <w:rsid w:val="000C68EC"/>
    <w:rsid w:val="000C6907"/>
    <w:rsid w:val="000C734E"/>
    <w:rsid w:val="000C78B2"/>
    <w:rsid w:val="000D01B3"/>
    <w:rsid w:val="000D0233"/>
    <w:rsid w:val="000D075D"/>
    <w:rsid w:val="000D18DB"/>
    <w:rsid w:val="000D1A1B"/>
    <w:rsid w:val="000D285F"/>
    <w:rsid w:val="000D2A12"/>
    <w:rsid w:val="000D2AF9"/>
    <w:rsid w:val="000D2EE5"/>
    <w:rsid w:val="000D3C1C"/>
    <w:rsid w:val="000D412B"/>
    <w:rsid w:val="000D4963"/>
    <w:rsid w:val="000D5BB5"/>
    <w:rsid w:val="000D5C1D"/>
    <w:rsid w:val="000D6116"/>
    <w:rsid w:val="000D7730"/>
    <w:rsid w:val="000D784A"/>
    <w:rsid w:val="000D78FB"/>
    <w:rsid w:val="000E00C5"/>
    <w:rsid w:val="000E0700"/>
    <w:rsid w:val="000E085A"/>
    <w:rsid w:val="000E1BEB"/>
    <w:rsid w:val="000E1D4F"/>
    <w:rsid w:val="000E1FDD"/>
    <w:rsid w:val="000E3DCF"/>
    <w:rsid w:val="000E429F"/>
    <w:rsid w:val="000E5763"/>
    <w:rsid w:val="000E59FC"/>
    <w:rsid w:val="000E5D1F"/>
    <w:rsid w:val="000E6569"/>
    <w:rsid w:val="000E6FBE"/>
    <w:rsid w:val="000E76A3"/>
    <w:rsid w:val="000E76BE"/>
    <w:rsid w:val="000E79B3"/>
    <w:rsid w:val="000E7A85"/>
    <w:rsid w:val="000F021F"/>
    <w:rsid w:val="000F029E"/>
    <w:rsid w:val="000F047E"/>
    <w:rsid w:val="000F0CA6"/>
    <w:rsid w:val="000F0F2D"/>
    <w:rsid w:val="000F1AD7"/>
    <w:rsid w:val="000F262F"/>
    <w:rsid w:val="000F34FA"/>
    <w:rsid w:val="000F403B"/>
    <w:rsid w:val="000F458D"/>
    <w:rsid w:val="000F4E26"/>
    <w:rsid w:val="000F510E"/>
    <w:rsid w:val="000F5402"/>
    <w:rsid w:val="000F5A8B"/>
    <w:rsid w:val="000F5C28"/>
    <w:rsid w:val="000F6B24"/>
    <w:rsid w:val="000F73EC"/>
    <w:rsid w:val="000F7BB1"/>
    <w:rsid w:val="000F7E51"/>
    <w:rsid w:val="0010034F"/>
    <w:rsid w:val="0010094A"/>
    <w:rsid w:val="0010122C"/>
    <w:rsid w:val="001020B0"/>
    <w:rsid w:val="00102114"/>
    <w:rsid w:val="00102526"/>
    <w:rsid w:val="001028BF"/>
    <w:rsid w:val="00102DC2"/>
    <w:rsid w:val="001030C3"/>
    <w:rsid w:val="001036D2"/>
    <w:rsid w:val="00103B97"/>
    <w:rsid w:val="00103C8F"/>
    <w:rsid w:val="00104A92"/>
    <w:rsid w:val="00104C46"/>
    <w:rsid w:val="0010549C"/>
    <w:rsid w:val="00105811"/>
    <w:rsid w:val="00105A5B"/>
    <w:rsid w:val="00105DEC"/>
    <w:rsid w:val="00105FB5"/>
    <w:rsid w:val="00106A45"/>
    <w:rsid w:val="00106EC3"/>
    <w:rsid w:val="00107BA4"/>
    <w:rsid w:val="001103E2"/>
    <w:rsid w:val="00110571"/>
    <w:rsid w:val="0011069A"/>
    <w:rsid w:val="001127EF"/>
    <w:rsid w:val="00113440"/>
    <w:rsid w:val="001149F7"/>
    <w:rsid w:val="00114F0A"/>
    <w:rsid w:val="001153BD"/>
    <w:rsid w:val="00115813"/>
    <w:rsid w:val="00115B10"/>
    <w:rsid w:val="00117BC1"/>
    <w:rsid w:val="00121124"/>
    <w:rsid w:val="001227FE"/>
    <w:rsid w:val="00123210"/>
    <w:rsid w:val="00123BF5"/>
    <w:rsid w:val="0012466E"/>
    <w:rsid w:val="00124BBD"/>
    <w:rsid w:val="00124E52"/>
    <w:rsid w:val="00126275"/>
    <w:rsid w:val="00126754"/>
    <w:rsid w:val="00127912"/>
    <w:rsid w:val="00127A56"/>
    <w:rsid w:val="00130084"/>
    <w:rsid w:val="0013029F"/>
    <w:rsid w:val="00130343"/>
    <w:rsid w:val="00130FCE"/>
    <w:rsid w:val="0013196A"/>
    <w:rsid w:val="00132993"/>
    <w:rsid w:val="00133E80"/>
    <w:rsid w:val="00134AF4"/>
    <w:rsid w:val="00134B8D"/>
    <w:rsid w:val="00135592"/>
    <w:rsid w:val="00136AED"/>
    <w:rsid w:val="00137C72"/>
    <w:rsid w:val="001400FD"/>
    <w:rsid w:val="00140577"/>
    <w:rsid w:val="00141206"/>
    <w:rsid w:val="00141380"/>
    <w:rsid w:val="00141463"/>
    <w:rsid w:val="00141994"/>
    <w:rsid w:val="001425E1"/>
    <w:rsid w:val="00142638"/>
    <w:rsid w:val="0014288C"/>
    <w:rsid w:val="00143C51"/>
    <w:rsid w:val="00144237"/>
    <w:rsid w:val="00144B4D"/>
    <w:rsid w:val="001468A4"/>
    <w:rsid w:val="001468F0"/>
    <w:rsid w:val="00146B83"/>
    <w:rsid w:val="00146D7F"/>
    <w:rsid w:val="001477BB"/>
    <w:rsid w:val="00150993"/>
    <w:rsid w:val="001518F9"/>
    <w:rsid w:val="001529F5"/>
    <w:rsid w:val="00152C31"/>
    <w:rsid w:val="0015305C"/>
    <w:rsid w:val="00155107"/>
    <w:rsid w:val="001552BC"/>
    <w:rsid w:val="001557C6"/>
    <w:rsid w:val="00156359"/>
    <w:rsid w:val="0015687D"/>
    <w:rsid w:val="00157032"/>
    <w:rsid w:val="00157098"/>
    <w:rsid w:val="00160790"/>
    <w:rsid w:val="00160CC9"/>
    <w:rsid w:val="00161000"/>
    <w:rsid w:val="00161074"/>
    <w:rsid w:val="00162036"/>
    <w:rsid w:val="00162259"/>
    <w:rsid w:val="00162C36"/>
    <w:rsid w:val="00163055"/>
    <w:rsid w:val="001630E3"/>
    <w:rsid w:val="001634FD"/>
    <w:rsid w:val="001638DD"/>
    <w:rsid w:val="00163B58"/>
    <w:rsid w:val="00164596"/>
    <w:rsid w:val="001652F5"/>
    <w:rsid w:val="001654A7"/>
    <w:rsid w:val="00165700"/>
    <w:rsid w:val="001659C3"/>
    <w:rsid w:val="00165AAE"/>
    <w:rsid w:val="00166002"/>
    <w:rsid w:val="001664B3"/>
    <w:rsid w:val="00166AD9"/>
    <w:rsid w:val="0016714A"/>
    <w:rsid w:val="0016727E"/>
    <w:rsid w:val="0016753E"/>
    <w:rsid w:val="00167D02"/>
    <w:rsid w:val="001701BA"/>
    <w:rsid w:val="0017080B"/>
    <w:rsid w:val="00170AC4"/>
    <w:rsid w:val="00171A05"/>
    <w:rsid w:val="001726B8"/>
    <w:rsid w:val="00173087"/>
    <w:rsid w:val="00173138"/>
    <w:rsid w:val="001734BC"/>
    <w:rsid w:val="001736EE"/>
    <w:rsid w:val="00173C43"/>
    <w:rsid w:val="00173C5B"/>
    <w:rsid w:val="00174477"/>
    <w:rsid w:val="001751BB"/>
    <w:rsid w:val="00175AAB"/>
    <w:rsid w:val="00176403"/>
    <w:rsid w:val="00176F86"/>
    <w:rsid w:val="001774E1"/>
    <w:rsid w:val="0017787A"/>
    <w:rsid w:val="00177FE8"/>
    <w:rsid w:val="00180561"/>
    <w:rsid w:val="00180632"/>
    <w:rsid w:val="00180A3A"/>
    <w:rsid w:val="00180E99"/>
    <w:rsid w:val="00180EEB"/>
    <w:rsid w:val="00180F13"/>
    <w:rsid w:val="00181429"/>
    <w:rsid w:val="001818AF"/>
    <w:rsid w:val="00181CE7"/>
    <w:rsid w:val="00181F50"/>
    <w:rsid w:val="00182145"/>
    <w:rsid w:val="00182325"/>
    <w:rsid w:val="00182842"/>
    <w:rsid w:val="00182930"/>
    <w:rsid w:val="00182939"/>
    <w:rsid w:val="00182DCE"/>
    <w:rsid w:val="00182EF8"/>
    <w:rsid w:val="001830B8"/>
    <w:rsid w:val="001831E6"/>
    <w:rsid w:val="0018338F"/>
    <w:rsid w:val="00183C73"/>
    <w:rsid w:val="00183CAE"/>
    <w:rsid w:val="00184A7A"/>
    <w:rsid w:val="0018534C"/>
    <w:rsid w:val="00185718"/>
    <w:rsid w:val="00185A23"/>
    <w:rsid w:val="00186580"/>
    <w:rsid w:val="001865CF"/>
    <w:rsid w:val="0018660B"/>
    <w:rsid w:val="001866FB"/>
    <w:rsid w:val="00186BA7"/>
    <w:rsid w:val="00187642"/>
    <w:rsid w:val="00187A23"/>
    <w:rsid w:val="001908DC"/>
    <w:rsid w:val="001918E9"/>
    <w:rsid w:val="001918EC"/>
    <w:rsid w:val="00191CF7"/>
    <w:rsid w:val="00191EA8"/>
    <w:rsid w:val="00191FC5"/>
    <w:rsid w:val="001927E8"/>
    <w:rsid w:val="00192B86"/>
    <w:rsid w:val="00192BD0"/>
    <w:rsid w:val="0019319F"/>
    <w:rsid w:val="00193763"/>
    <w:rsid w:val="00193BF9"/>
    <w:rsid w:val="0019440B"/>
    <w:rsid w:val="00194426"/>
    <w:rsid w:val="001947DB"/>
    <w:rsid w:val="00194EB0"/>
    <w:rsid w:val="0019711C"/>
    <w:rsid w:val="0019740B"/>
    <w:rsid w:val="001A0066"/>
    <w:rsid w:val="001A0672"/>
    <w:rsid w:val="001A0C09"/>
    <w:rsid w:val="001A166D"/>
    <w:rsid w:val="001A179E"/>
    <w:rsid w:val="001A26B0"/>
    <w:rsid w:val="001A3066"/>
    <w:rsid w:val="001A466D"/>
    <w:rsid w:val="001A4871"/>
    <w:rsid w:val="001A4AC3"/>
    <w:rsid w:val="001A4FCA"/>
    <w:rsid w:val="001A52C2"/>
    <w:rsid w:val="001A538F"/>
    <w:rsid w:val="001A56D1"/>
    <w:rsid w:val="001A577E"/>
    <w:rsid w:val="001A5D38"/>
    <w:rsid w:val="001A727D"/>
    <w:rsid w:val="001A7666"/>
    <w:rsid w:val="001B0ACF"/>
    <w:rsid w:val="001B103F"/>
    <w:rsid w:val="001B17FC"/>
    <w:rsid w:val="001B1F09"/>
    <w:rsid w:val="001B2EC9"/>
    <w:rsid w:val="001B31E9"/>
    <w:rsid w:val="001B37B2"/>
    <w:rsid w:val="001B3C15"/>
    <w:rsid w:val="001B4BD6"/>
    <w:rsid w:val="001B4E0C"/>
    <w:rsid w:val="001B6232"/>
    <w:rsid w:val="001B63D4"/>
    <w:rsid w:val="001B701E"/>
    <w:rsid w:val="001B7150"/>
    <w:rsid w:val="001B7224"/>
    <w:rsid w:val="001B736E"/>
    <w:rsid w:val="001B79DD"/>
    <w:rsid w:val="001C1746"/>
    <w:rsid w:val="001C17B4"/>
    <w:rsid w:val="001C1A5E"/>
    <w:rsid w:val="001C1B23"/>
    <w:rsid w:val="001C1FE2"/>
    <w:rsid w:val="001C247B"/>
    <w:rsid w:val="001C2635"/>
    <w:rsid w:val="001C2F55"/>
    <w:rsid w:val="001C330F"/>
    <w:rsid w:val="001C3604"/>
    <w:rsid w:val="001C5CF1"/>
    <w:rsid w:val="001C62B3"/>
    <w:rsid w:val="001C67CF"/>
    <w:rsid w:val="001C6C8C"/>
    <w:rsid w:val="001C717A"/>
    <w:rsid w:val="001D10CB"/>
    <w:rsid w:val="001D12BA"/>
    <w:rsid w:val="001D17BC"/>
    <w:rsid w:val="001D1E46"/>
    <w:rsid w:val="001D20BF"/>
    <w:rsid w:val="001D2708"/>
    <w:rsid w:val="001D29D7"/>
    <w:rsid w:val="001D424F"/>
    <w:rsid w:val="001D451C"/>
    <w:rsid w:val="001D4E1E"/>
    <w:rsid w:val="001D4EA8"/>
    <w:rsid w:val="001D5042"/>
    <w:rsid w:val="001D50ED"/>
    <w:rsid w:val="001D5670"/>
    <w:rsid w:val="001D5D75"/>
    <w:rsid w:val="001D5F03"/>
    <w:rsid w:val="001D7B26"/>
    <w:rsid w:val="001E0BDB"/>
    <w:rsid w:val="001E0C66"/>
    <w:rsid w:val="001E0E72"/>
    <w:rsid w:val="001E123E"/>
    <w:rsid w:val="001E13FA"/>
    <w:rsid w:val="001E14D4"/>
    <w:rsid w:val="001E1C58"/>
    <w:rsid w:val="001E390F"/>
    <w:rsid w:val="001E3A83"/>
    <w:rsid w:val="001E4269"/>
    <w:rsid w:val="001E4304"/>
    <w:rsid w:val="001E469A"/>
    <w:rsid w:val="001E48E4"/>
    <w:rsid w:val="001E498A"/>
    <w:rsid w:val="001E4A10"/>
    <w:rsid w:val="001E4FEB"/>
    <w:rsid w:val="001E54F9"/>
    <w:rsid w:val="001E5599"/>
    <w:rsid w:val="001E691D"/>
    <w:rsid w:val="001E6997"/>
    <w:rsid w:val="001E6D76"/>
    <w:rsid w:val="001E7056"/>
    <w:rsid w:val="001E7908"/>
    <w:rsid w:val="001E7A04"/>
    <w:rsid w:val="001F0083"/>
    <w:rsid w:val="001F0C0D"/>
    <w:rsid w:val="001F125F"/>
    <w:rsid w:val="001F16F6"/>
    <w:rsid w:val="001F1EA9"/>
    <w:rsid w:val="001F1F5A"/>
    <w:rsid w:val="001F2981"/>
    <w:rsid w:val="001F3310"/>
    <w:rsid w:val="001F3B62"/>
    <w:rsid w:val="001F3BD8"/>
    <w:rsid w:val="001F3D80"/>
    <w:rsid w:val="001F41EC"/>
    <w:rsid w:val="001F456A"/>
    <w:rsid w:val="001F4B26"/>
    <w:rsid w:val="001F5068"/>
    <w:rsid w:val="001F5323"/>
    <w:rsid w:val="001F57D6"/>
    <w:rsid w:val="001F5AA3"/>
    <w:rsid w:val="001F6472"/>
    <w:rsid w:val="001F6798"/>
    <w:rsid w:val="001F67FA"/>
    <w:rsid w:val="001F6F80"/>
    <w:rsid w:val="00200797"/>
    <w:rsid w:val="00201751"/>
    <w:rsid w:val="00201EB4"/>
    <w:rsid w:val="002023AC"/>
    <w:rsid w:val="002028FB"/>
    <w:rsid w:val="00202EED"/>
    <w:rsid w:val="00203463"/>
    <w:rsid w:val="002039E9"/>
    <w:rsid w:val="00203F1E"/>
    <w:rsid w:val="002051B4"/>
    <w:rsid w:val="00205498"/>
    <w:rsid w:val="00205B5F"/>
    <w:rsid w:val="00205D1A"/>
    <w:rsid w:val="00206373"/>
    <w:rsid w:val="00206893"/>
    <w:rsid w:val="002068DC"/>
    <w:rsid w:val="002073B8"/>
    <w:rsid w:val="00207E71"/>
    <w:rsid w:val="002107C8"/>
    <w:rsid w:val="00211FDD"/>
    <w:rsid w:val="002127E2"/>
    <w:rsid w:val="00212990"/>
    <w:rsid w:val="00212D33"/>
    <w:rsid w:val="00213D8F"/>
    <w:rsid w:val="00214983"/>
    <w:rsid w:val="002149E9"/>
    <w:rsid w:val="00216DC7"/>
    <w:rsid w:val="00216E5D"/>
    <w:rsid w:val="002200F1"/>
    <w:rsid w:val="002209AA"/>
    <w:rsid w:val="002215DA"/>
    <w:rsid w:val="00221C86"/>
    <w:rsid w:val="0022208E"/>
    <w:rsid w:val="00222262"/>
    <w:rsid w:val="0022240B"/>
    <w:rsid w:val="002225A3"/>
    <w:rsid w:val="0022321A"/>
    <w:rsid w:val="002238EF"/>
    <w:rsid w:val="00223C7D"/>
    <w:rsid w:val="00224766"/>
    <w:rsid w:val="00224821"/>
    <w:rsid w:val="002255A8"/>
    <w:rsid w:val="00226AA6"/>
    <w:rsid w:val="00227415"/>
    <w:rsid w:val="00227EBA"/>
    <w:rsid w:val="00230064"/>
    <w:rsid w:val="00230120"/>
    <w:rsid w:val="002308C4"/>
    <w:rsid w:val="002310E8"/>
    <w:rsid w:val="002317F5"/>
    <w:rsid w:val="002326D4"/>
    <w:rsid w:val="002329DB"/>
    <w:rsid w:val="00233B85"/>
    <w:rsid w:val="00233BAE"/>
    <w:rsid w:val="00233ECE"/>
    <w:rsid w:val="00234652"/>
    <w:rsid w:val="0023607C"/>
    <w:rsid w:val="002360EE"/>
    <w:rsid w:val="00236269"/>
    <w:rsid w:val="0023638E"/>
    <w:rsid w:val="002367E4"/>
    <w:rsid w:val="00236922"/>
    <w:rsid w:val="00236CD6"/>
    <w:rsid w:val="0024018C"/>
    <w:rsid w:val="002402D6"/>
    <w:rsid w:val="002407A8"/>
    <w:rsid w:val="002423DF"/>
    <w:rsid w:val="00243164"/>
    <w:rsid w:val="00243E7A"/>
    <w:rsid w:val="002449FA"/>
    <w:rsid w:val="00244C30"/>
    <w:rsid w:val="00244F08"/>
    <w:rsid w:val="00244FDA"/>
    <w:rsid w:val="00245917"/>
    <w:rsid w:val="00246674"/>
    <w:rsid w:val="00246FDB"/>
    <w:rsid w:val="00247267"/>
    <w:rsid w:val="0024761D"/>
    <w:rsid w:val="002477BD"/>
    <w:rsid w:val="00250368"/>
    <w:rsid w:val="00250D62"/>
    <w:rsid w:val="00250FA2"/>
    <w:rsid w:val="002512AB"/>
    <w:rsid w:val="00252193"/>
    <w:rsid w:val="00253784"/>
    <w:rsid w:val="002538B8"/>
    <w:rsid w:val="0025427B"/>
    <w:rsid w:val="00255931"/>
    <w:rsid w:val="002559A7"/>
    <w:rsid w:val="00257B37"/>
    <w:rsid w:val="00257F43"/>
    <w:rsid w:val="0026135C"/>
    <w:rsid w:val="00261CDF"/>
    <w:rsid w:val="00262A31"/>
    <w:rsid w:val="00262BE0"/>
    <w:rsid w:val="00262EF1"/>
    <w:rsid w:val="00263290"/>
    <w:rsid w:val="00264321"/>
    <w:rsid w:val="002646A1"/>
    <w:rsid w:val="002647C5"/>
    <w:rsid w:val="00265172"/>
    <w:rsid w:val="002653EB"/>
    <w:rsid w:val="0026557F"/>
    <w:rsid w:val="0026569B"/>
    <w:rsid w:val="00266BB2"/>
    <w:rsid w:val="00270211"/>
    <w:rsid w:val="00270961"/>
    <w:rsid w:val="00270D2C"/>
    <w:rsid w:val="00271500"/>
    <w:rsid w:val="002716D5"/>
    <w:rsid w:val="00272131"/>
    <w:rsid w:val="002723ED"/>
    <w:rsid w:val="00273204"/>
    <w:rsid w:val="002733CA"/>
    <w:rsid w:val="00273AA4"/>
    <w:rsid w:val="002742E4"/>
    <w:rsid w:val="00275A86"/>
    <w:rsid w:val="00275C91"/>
    <w:rsid w:val="002767D0"/>
    <w:rsid w:val="00277523"/>
    <w:rsid w:val="002778B6"/>
    <w:rsid w:val="002801F7"/>
    <w:rsid w:val="00280AF5"/>
    <w:rsid w:val="00280DAC"/>
    <w:rsid w:val="00281191"/>
    <w:rsid w:val="00281B8F"/>
    <w:rsid w:val="00282777"/>
    <w:rsid w:val="00282FEA"/>
    <w:rsid w:val="0028304C"/>
    <w:rsid w:val="00284578"/>
    <w:rsid w:val="00284F4D"/>
    <w:rsid w:val="00284FCA"/>
    <w:rsid w:val="002852B9"/>
    <w:rsid w:val="002852CF"/>
    <w:rsid w:val="00285AD4"/>
    <w:rsid w:val="00286A07"/>
    <w:rsid w:val="00286C65"/>
    <w:rsid w:val="00286F64"/>
    <w:rsid w:val="002870F3"/>
    <w:rsid w:val="002871B7"/>
    <w:rsid w:val="00287572"/>
    <w:rsid w:val="0028779A"/>
    <w:rsid w:val="002878CD"/>
    <w:rsid w:val="00290331"/>
    <w:rsid w:val="002909F8"/>
    <w:rsid w:val="00290C07"/>
    <w:rsid w:val="00290E46"/>
    <w:rsid w:val="002910D3"/>
    <w:rsid w:val="002911A7"/>
    <w:rsid w:val="00292336"/>
    <w:rsid w:val="00293ACB"/>
    <w:rsid w:val="00293CD2"/>
    <w:rsid w:val="00293E00"/>
    <w:rsid w:val="00294291"/>
    <w:rsid w:val="002942B9"/>
    <w:rsid w:val="00294948"/>
    <w:rsid w:val="0029519E"/>
    <w:rsid w:val="00296234"/>
    <w:rsid w:val="0029685D"/>
    <w:rsid w:val="00296F73"/>
    <w:rsid w:val="0029713F"/>
    <w:rsid w:val="002979F9"/>
    <w:rsid w:val="00297A70"/>
    <w:rsid w:val="002A06B8"/>
    <w:rsid w:val="002A0797"/>
    <w:rsid w:val="002A0F58"/>
    <w:rsid w:val="002A1A1F"/>
    <w:rsid w:val="002A1B45"/>
    <w:rsid w:val="002A3089"/>
    <w:rsid w:val="002A3BBA"/>
    <w:rsid w:val="002A4D82"/>
    <w:rsid w:val="002A4E00"/>
    <w:rsid w:val="002A4EE0"/>
    <w:rsid w:val="002A5ECC"/>
    <w:rsid w:val="002A6AED"/>
    <w:rsid w:val="002A6D69"/>
    <w:rsid w:val="002A6FAB"/>
    <w:rsid w:val="002A7335"/>
    <w:rsid w:val="002A7956"/>
    <w:rsid w:val="002A7D04"/>
    <w:rsid w:val="002B0614"/>
    <w:rsid w:val="002B0762"/>
    <w:rsid w:val="002B078F"/>
    <w:rsid w:val="002B0828"/>
    <w:rsid w:val="002B0BD8"/>
    <w:rsid w:val="002B2DD3"/>
    <w:rsid w:val="002B356D"/>
    <w:rsid w:val="002B3869"/>
    <w:rsid w:val="002B3982"/>
    <w:rsid w:val="002B6062"/>
    <w:rsid w:val="002C039F"/>
    <w:rsid w:val="002C1BBC"/>
    <w:rsid w:val="002C1BD4"/>
    <w:rsid w:val="002C310C"/>
    <w:rsid w:val="002C3487"/>
    <w:rsid w:val="002C470A"/>
    <w:rsid w:val="002C573D"/>
    <w:rsid w:val="002C5815"/>
    <w:rsid w:val="002C6661"/>
    <w:rsid w:val="002C6C77"/>
    <w:rsid w:val="002C6CA2"/>
    <w:rsid w:val="002C7085"/>
    <w:rsid w:val="002C721D"/>
    <w:rsid w:val="002C7256"/>
    <w:rsid w:val="002C72BB"/>
    <w:rsid w:val="002C7550"/>
    <w:rsid w:val="002C7717"/>
    <w:rsid w:val="002C7C4F"/>
    <w:rsid w:val="002D0151"/>
    <w:rsid w:val="002D0EAE"/>
    <w:rsid w:val="002D1159"/>
    <w:rsid w:val="002D1F13"/>
    <w:rsid w:val="002D2B5C"/>
    <w:rsid w:val="002D3634"/>
    <w:rsid w:val="002D3F8D"/>
    <w:rsid w:val="002D421A"/>
    <w:rsid w:val="002D4324"/>
    <w:rsid w:val="002D461B"/>
    <w:rsid w:val="002D4D7A"/>
    <w:rsid w:val="002D514B"/>
    <w:rsid w:val="002D51BA"/>
    <w:rsid w:val="002D531A"/>
    <w:rsid w:val="002D5991"/>
    <w:rsid w:val="002D767E"/>
    <w:rsid w:val="002D7BAB"/>
    <w:rsid w:val="002D7CDA"/>
    <w:rsid w:val="002D7CF2"/>
    <w:rsid w:val="002E0AED"/>
    <w:rsid w:val="002E189A"/>
    <w:rsid w:val="002E1FB3"/>
    <w:rsid w:val="002E247A"/>
    <w:rsid w:val="002E2A66"/>
    <w:rsid w:val="002E2E2E"/>
    <w:rsid w:val="002E36D8"/>
    <w:rsid w:val="002E4103"/>
    <w:rsid w:val="002E55F3"/>
    <w:rsid w:val="002E5717"/>
    <w:rsid w:val="002E5D57"/>
    <w:rsid w:val="002E61CB"/>
    <w:rsid w:val="002E6CB1"/>
    <w:rsid w:val="002E7B5C"/>
    <w:rsid w:val="002E7C46"/>
    <w:rsid w:val="002F0003"/>
    <w:rsid w:val="002F0E26"/>
    <w:rsid w:val="002F1117"/>
    <w:rsid w:val="002F11A1"/>
    <w:rsid w:val="002F151D"/>
    <w:rsid w:val="002F1801"/>
    <w:rsid w:val="002F1816"/>
    <w:rsid w:val="002F2219"/>
    <w:rsid w:val="002F2446"/>
    <w:rsid w:val="002F2511"/>
    <w:rsid w:val="002F289C"/>
    <w:rsid w:val="002F2C04"/>
    <w:rsid w:val="002F307E"/>
    <w:rsid w:val="002F3641"/>
    <w:rsid w:val="002F42B4"/>
    <w:rsid w:val="002F4460"/>
    <w:rsid w:val="002F48D0"/>
    <w:rsid w:val="002F4DD9"/>
    <w:rsid w:val="002F50A6"/>
    <w:rsid w:val="002F6267"/>
    <w:rsid w:val="002F6544"/>
    <w:rsid w:val="002F695B"/>
    <w:rsid w:val="002F6A4F"/>
    <w:rsid w:val="002F6B78"/>
    <w:rsid w:val="002F765A"/>
    <w:rsid w:val="003005BE"/>
    <w:rsid w:val="00301421"/>
    <w:rsid w:val="003025EE"/>
    <w:rsid w:val="00302DBE"/>
    <w:rsid w:val="00302ECC"/>
    <w:rsid w:val="0030303C"/>
    <w:rsid w:val="0030312E"/>
    <w:rsid w:val="00303518"/>
    <w:rsid w:val="00303F82"/>
    <w:rsid w:val="0030418E"/>
    <w:rsid w:val="003042AE"/>
    <w:rsid w:val="00304AE7"/>
    <w:rsid w:val="00304AFE"/>
    <w:rsid w:val="00304B59"/>
    <w:rsid w:val="00304C3D"/>
    <w:rsid w:val="00304EC3"/>
    <w:rsid w:val="003050E0"/>
    <w:rsid w:val="003050FE"/>
    <w:rsid w:val="00305374"/>
    <w:rsid w:val="00305572"/>
    <w:rsid w:val="003055F0"/>
    <w:rsid w:val="00305816"/>
    <w:rsid w:val="00305C1D"/>
    <w:rsid w:val="00305C92"/>
    <w:rsid w:val="00306A19"/>
    <w:rsid w:val="00306CEF"/>
    <w:rsid w:val="00306DCF"/>
    <w:rsid w:val="00307C51"/>
    <w:rsid w:val="00307E0F"/>
    <w:rsid w:val="00307E82"/>
    <w:rsid w:val="00310638"/>
    <w:rsid w:val="00310B68"/>
    <w:rsid w:val="00310EB2"/>
    <w:rsid w:val="0031156E"/>
    <w:rsid w:val="00311F74"/>
    <w:rsid w:val="0031216B"/>
    <w:rsid w:val="00312DF0"/>
    <w:rsid w:val="00313025"/>
    <w:rsid w:val="00313F3B"/>
    <w:rsid w:val="0031470C"/>
    <w:rsid w:val="00315355"/>
    <w:rsid w:val="00315368"/>
    <w:rsid w:val="00315C3D"/>
    <w:rsid w:val="00315E81"/>
    <w:rsid w:val="003166AB"/>
    <w:rsid w:val="00316CF7"/>
    <w:rsid w:val="00316D76"/>
    <w:rsid w:val="003173E2"/>
    <w:rsid w:val="0031771B"/>
    <w:rsid w:val="00317789"/>
    <w:rsid w:val="00317ECF"/>
    <w:rsid w:val="00320169"/>
    <w:rsid w:val="00320541"/>
    <w:rsid w:val="003207F2"/>
    <w:rsid w:val="0032094A"/>
    <w:rsid w:val="00320CB1"/>
    <w:rsid w:val="00320D1C"/>
    <w:rsid w:val="00321190"/>
    <w:rsid w:val="00321573"/>
    <w:rsid w:val="00321AAC"/>
    <w:rsid w:val="00321EDD"/>
    <w:rsid w:val="003222AE"/>
    <w:rsid w:val="003222EE"/>
    <w:rsid w:val="00322329"/>
    <w:rsid w:val="0032273C"/>
    <w:rsid w:val="00322AB5"/>
    <w:rsid w:val="00322AC0"/>
    <w:rsid w:val="00322CFF"/>
    <w:rsid w:val="00322FE4"/>
    <w:rsid w:val="003230A2"/>
    <w:rsid w:val="00324004"/>
    <w:rsid w:val="003240B8"/>
    <w:rsid w:val="00324C35"/>
    <w:rsid w:val="00324DB1"/>
    <w:rsid w:val="00324EB1"/>
    <w:rsid w:val="003252BC"/>
    <w:rsid w:val="00325568"/>
    <w:rsid w:val="0032621D"/>
    <w:rsid w:val="003266FD"/>
    <w:rsid w:val="00327D2F"/>
    <w:rsid w:val="00330AF4"/>
    <w:rsid w:val="00330C95"/>
    <w:rsid w:val="00332E05"/>
    <w:rsid w:val="00332EFB"/>
    <w:rsid w:val="00333C04"/>
    <w:rsid w:val="00333C9D"/>
    <w:rsid w:val="003345B2"/>
    <w:rsid w:val="00335B03"/>
    <w:rsid w:val="003363E6"/>
    <w:rsid w:val="00336426"/>
    <w:rsid w:val="0033705D"/>
    <w:rsid w:val="00337075"/>
    <w:rsid w:val="00337CD2"/>
    <w:rsid w:val="00337EBC"/>
    <w:rsid w:val="00340024"/>
    <w:rsid w:val="0034097C"/>
    <w:rsid w:val="003409FE"/>
    <w:rsid w:val="00340A32"/>
    <w:rsid w:val="003413EA"/>
    <w:rsid w:val="00341D32"/>
    <w:rsid w:val="00342572"/>
    <w:rsid w:val="0034266C"/>
    <w:rsid w:val="00342856"/>
    <w:rsid w:val="00343903"/>
    <w:rsid w:val="003445CD"/>
    <w:rsid w:val="00344652"/>
    <w:rsid w:val="00344695"/>
    <w:rsid w:val="00345396"/>
    <w:rsid w:val="00345E56"/>
    <w:rsid w:val="00345EC9"/>
    <w:rsid w:val="0034605A"/>
    <w:rsid w:val="003503DB"/>
    <w:rsid w:val="0035080F"/>
    <w:rsid w:val="0035099B"/>
    <w:rsid w:val="00351DD2"/>
    <w:rsid w:val="00352235"/>
    <w:rsid w:val="00352810"/>
    <w:rsid w:val="00353852"/>
    <w:rsid w:val="003538A7"/>
    <w:rsid w:val="00353A28"/>
    <w:rsid w:val="00355302"/>
    <w:rsid w:val="00355399"/>
    <w:rsid w:val="0035707B"/>
    <w:rsid w:val="0035747F"/>
    <w:rsid w:val="00360D55"/>
    <w:rsid w:val="00361132"/>
    <w:rsid w:val="003611D0"/>
    <w:rsid w:val="003612AE"/>
    <w:rsid w:val="00361806"/>
    <w:rsid w:val="00361A10"/>
    <w:rsid w:val="00362E5C"/>
    <w:rsid w:val="00362F82"/>
    <w:rsid w:val="003635E1"/>
    <w:rsid w:val="003641C8"/>
    <w:rsid w:val="003648E3"/>
    <w:rsid w:val="00364C22"/>
    <w:rsid w:val="00364D69"/>
    <w:rsid w:val="003654AD"/>
    <w:rsid w:val="0036732C"/>
    <w:rsid w:val="003677DC"/>
    <w:rsid w:val="00370385"/>
    <w:rsid w:val="003715BE"/>
    <w:rsid w:val="0037163B"/>
    <w:rsid w:val="00371D9B"/>
    <w:rsid w:val="00371DEE"/>
    <w:rsid w:val="00371E05"/>
    <w:rsid w:val="00372C1E"/>
    <w:rsid w:val="00372FB8"/>
    <w:rsid w:val="003732B1"/>
    <w:rsid w:val="00373487"/>
    <w:rsid w:val="0037362B"/>
    <w:rsid w:val="003737CA"/>
    <w:rsid w:val="00373972"/>
    <w:rsid w:val="00373DC4"/>
    <w:rsid w:val="00376F81"/>
    <w:rsid w:val="00377992"/>
    <w:rsid w:val="003808BF"/>
    <w:rsid w:val="00380912"/>
    <w:rsid w:val="00380D5A"/>
    <w:rsid w:val="0038183C"/>
    <w:rsid w:val="0038206C"/>
    <w:rsid w:val="003823A2"/>
    <w:rsid w:val="0038328D"/>
    <w:rsid w:val="00383FB7"/>
    <w:rsid w:val="0038494D"/>
    <w:rsid w:val="00384B2E"/>
    <w:rsid w:val="00384DEA"/>
    <w:rsid w:val="00385F03"/>
    <w:rsid w:val="003860D4"/>
    <w:rsid w:val="00386576"/>
    <w:rsid w:val="00387771"/>
    <w:rsid w:val="0038780E"/>
    <w:rsid w:val="003879E2"/>
    <w:rsid w:val="00390262"/>
    <w:rsid w:val="00391310"/>
    <w:rsid w:val="00391D9F"/>
    <w:rsid w:val="00392068"/>
    <w:rsid w:val="00392252"/>
    <w:rsid w:val="00393D3C"/>
    <w:rsid w:val="00394CA3"/>
    <w:rsid w:val="0039538E"/>
    <w:rsid w:val="00395391"/>
    <w:rsid w:val="003958CB"/>
    <w:rsid w:val="00396153"/>
    <w:rsid w:val="0039617C"/>
    <w:rsid w:val="00396830"/>
    <w:rsid w:val="00396A24"/>
    <w:rsid w:val="0039728B"/>
    <w:rsid w:val="003972AD"/>
    <w:rsid w:val="00397300"/>
    <w:rsid w:val="00397EF5"/>
    <w:rsid w:val="003A08EF"/>
    <w:rsid w:val="003A0D59"/>
    <w:rsid w:val="003A0DB7"/>
    <w:rsid w:val="003A18F4"/>
    <w:rsid w:val="003A1A86"/>
    <w:rsid w:val="003A1CC5"/>
    <w:rsid w:val="003A1F62"/>
    <w:rsid w:val="003A20F6"/>
    <w:rsid w:val="003A2D20"/>
    <w:rsid w:val="003A2DA4"/>
    <w:rsid w:val="003A40E4"/>
    <w:rsid w:val="003A45AC"/>
    <w:rsid w:val="003A4908"/>
    <w:rsid w:val="003A4B7A"/>
    <w:rsid w:val="003A4DC7"/>
    <w:rsid w:val="003A4E91"/>
    <w:rsid w:val="003A503D"/>
    <w:rsid w:val="003A5200"/>
    <w:rsid w:val="003A5DD0"/>
    <w:rsid w:val="003A5EA7"/>
    <w:rsid w:val="003A7C11"/>
    <w:rsid w:val="003A7C64"/>
    <w:rsid w:val="003B00F1"/>
    <w:rsid w:val="003B0EFE"/>
    <w:rsid w:val="003B11BB"/>
    <w:rsid w:val="003B1A24"/>
    <w:rsid w:val="003B1C64"/>
    <w:rsid w:val="003B2FB9"/>
    <w:rsid w:val="003B2FEE"/>
    <w:rsid w:val="003B30A8"/>
    <w:rsid w:val="003B31A3"/>
    <w:rsid w:val="003B460C"/>
    <w:rsid w:val="003B473A"/>
    <w:rsid w:val="003B47BC"/>
    <w:rsid w:val="003B4846"/>
    <w:rsid w:val="003B4B60"/>
    <w:rsid w:val="003B6B57"/>
    <w:rsid w:val="003B6E5B"/>
    <w:rsid w:val="003B7224"/>
    <w:rsid w:val="003B76B0"/>
    <w:rsid w:val="003C023F"/>
    <w:rsid w:val="003C0AC5"/>
    <w:rsid w:val="003C0E40"/>
    <w:rsid w:val="003C1199"/>
    <w:rsid w:val="003C14FD"/>
    <w:rsid w:val="003C204D"/>
    <w:rsid w:val="003C274F"/>
    <w:rsid w:val="003C2EE4"/>
    <w:rsid w:val="003C3E6B"/>
    <w:rsid w:val="003C4438"/>
    <w:rsid w:val="003C509F"/>
    <w:rsid w:val="003C587E"/>
    <w:rsid w:val="003C59C3"/>
    <w:rsid w:val="003C5A6E"/>
    <w:rsid w:val="003C6DD3"/>
    <w:rsid w:val="003C7150"/>
    <w:rsid w:val="003D0B34"/>
    <w:rsid w:val="003D0E1A"/>
    <w:rsid w:val="003D1030"/>
    <w:rsid w:val="003D1470"/>
    <w:rsid w:val="003D1A48"/>
    <w:rsid w:val="003D2472"/>
    <w:rsid w:val="003D258A"/>
    <w:rsid w:val="003D29FE"/>
    <w:rsid w:val="003D2A88"/>
    <w:rsid w:val="003D2FF5"/>
    <w:rsid w:val="003D3D7A"/>
    <w:rsid w:val="003D3E6C"/>
    <w:rsid w:val="003D4A3A"/>
    <w:rsid w:val="003D4C2B"/>
    <w:rsid w:val="003D50C5"/>
    <w:rsid w:val="003D607C"/>
    <w:rsid w:val="003D6F5E"/>
    <w:rsid w:val="003D72C4"/>
    <w:rsid w:val="003D7820"/>
    <w:rsid w:val="003D7AD9"/>
    <w:rsid w:val="003E082C"/>
    <w:rsid w:val="003E0C34"/>
    <w:rsid w:val="003E2117"/>
    <w:rsid w:val="003E226E"/>
    <w:rsid w:val="003E263C"/>
    <w:rsid w:val="003E388B"/>
    <w:rsid w:val="003E3A97"/>
    <w:rsid w:val="003E3ABC"/>
    <w:rsid w:val="003E52A2"/>
    <w:rsid w:val="003E628F"/>
    <w:rsid w:val="003E646D"/>
    <w:rsid w:val="003E6479"/>
    <w:rsid w:val="003E6E8F"/>
    <w:rsid w:val="003E7984"/>
    <w:rsid w:val="003E7A44"/>
    <w:rsid w:val="003F065C"/>
    <w:rsid w:val="003F08D1"/>
    <w:rsid w:val="003F0D2B"/>
    <w:rsid w:val="003F0D62"/>
    <w:rsid w:val="003F14EB"/>
    <w:rsid w:val="003F15DB"/>
    <w:rsid w:val="003F1850"/>
    <w:rsid w:val="003F2E76"/>
    <w:rsid w:val="003F30A3"/>
    <w:rsid w:val="003F3383"/>
    <w:rsid w:val="003F35D0"/>
    <w:rsid w:val="003F3771"/>
    <w:rsid w:val="003F3870"/>
    <w:rsid w:val="003F3C8B"/>
    <w:rsid w:val="003F3C93"/>
    <w:rsid w:val="003F3D7E"/>
    <w:rsid w:val="003F3DA0"/>
    <w:rsid w:val="003F4211"/>
    <w:rsid w:val="003F5013"/>
    <w:rsid w:val="003F60B6"/>
    <w:rsid w:val="003F627A"/>
    <w:rsid w:val="003F6510"/>
    <w:rsid w:val="003F6606"/>
    <w:rsid w:val="003F67CE"/>
    <w:rsid w:val="003F6929"/>
    <w:rsid w:val="003F6DAD"/>
    <w:rsid w:val="003F755A"/>
    <w:rsid w:val="003F7B7F"/>
    <w:rsid w:val="003F7EFC"/>
    <w:rsid w:val="003F7FE6"/>
    <w:rsid w:val="0040024C"/>
    <w:rsid w:val="00400441"/>
    <w:rsid w:val="00400918"/>
    <w:rsid w:val="004010DB"/>
    <w:rsid w:val="004010E6"/>
    <w:rsid w:val="00401CE1"/>
    <w:rsid w:val="004022F3"/>
    <w:rsid w:val="00402C4C"/>
    <w:rsid w:val="0040353D"/>
    <w:rsid w:val="00403550"/>
    <w:rsid w:val="00403764"/>
    <w:rsid w:val="00403EAC"/>
    <w:rsid w:val="00403F09"/>
    <w:rsid w:val="00404327"/>
    <w:rsid w:val="00404958"/>
    <w:rsid w:val="00404A3D"/>
    <w:rsid w:val="00405910"/>
    <w:rsid w:val="00406229"/>
    <w:rsid w:val="00406904"/>
    <w:rsid w:val="00406A54"/>
    <w:rsid w:val="004072AD"/>
    <w:rsid w:val="00407B0E"/>
    <w:rsid w:val="00407CC7"/>
    <w:rsid w:val="0041175B"/>
    <w:rsid w:val="0041279F"/>
    <w:rsid w:val="0041299D"/>
    <w:rsid w:val="00412D0D"/>
    <w:rsid w:val="00412E23"/>
    <w:rsid w:val="004136B3"/>
    <w:rsid w:val="00413AF4"/>
    <w:rsid w:val="00414174"/>
    <w:rsid w:val="004143A7"/>
    <w:rsid w:val="00414ACE"/>
    <w:rsid w:val="00414C06"/>
    <w:rsid w:val="004151D6"/>
    <w:rsid w:val="004151E4"/>
    <w:rsid w:val="00415989"/>
    <w:rsid w:val="00415B0A"/>
    <w:rsid w:val="00416007"/>
    <w:rsid w:val="0041610F"/>
    <w:rsid w:val="0041626C"/>
    <w:rsid w:val="00417360"/>
    <w:rsid w:val="00417D87"/>
    <w:rsid w:val="00417F16"/>
    <w:rsid w:val="00417FBF"/>
    <w:rsid w:val="00420059"/>
    <w:rsid w:val="00420570"/>
    <w:rsid w:val="004207C7"/>
    <w:rsid w:val="00420806"/>
    <w:rsid w:val="004215AD"/>
    <w:rsid w:val="00421B42"/>
    <w:rsid w:val="00421B75"/>
    <w:rsid w:val="004228DC"/>
    <w:rsid w:val="004229F2"/>
    <w:rsid w:val="00422CF4"/>
    <w:rsid w:val="00423EB1"/>
    <w:rsid w:val="00424004"/>
    <w:rsid w:val="004242BC"/>
    <w:rsid w:val="00424F12"/>
    <w:rsid w:val="004250E9"/>
    <w:rsid w:val="004263AA"/>
    <w:rsid w:val="00426623"/>
    <w:rsid w:val="004266AC"/>
    <w:rsid w:val="00426D67"/>
    <w:rsid w:val="0042736C"/>
    <w:rsid w:val="0042745D"/>
    <w:rsid w:val="004278B2"/>
    <w:rsid w:val="00427AB7"/>
    <w:rsid w:val="00427E33"/>
    <w:rsid w:val="00430AEA"/>
    <w:rsid w:val="00430E17"/>
    <w:rsid w:val="0043170C"/>
    <w:rsid w:val="004327BE"/>
    <w:rsid w:val="00432AF3"/>
    <w:rsid w:val="00432E15"/>
    <w:rsid w:val="004330EA"/>
    <w:rsid w:val="00433B46"/>
    <w:rsid w:val="00433D5F"/>
    <w:rsid w:val="0043548D"/>
    <w:rsid w:val="00435946"/>
    <w:rsid w:val="00435FB3"/>
    <w:rsid w:val="00435FBB"/>
    <w:rsid w:val="00437017"/>
    <w:rsid w:val="00440ED5"/>
    <w:rsid w:val="004412A8"/>
    <w:rsid w:val="00441404"/>
    <w:rsid w:val="004415A6"/>
    <w:rsid w:val="004415FF"/>
    <w:rsid w:val="00441C15"/>
    <w:rsid w:val="00442564"/>
    <w:rsid w:val="00442C73"/>
    <w:rsid w:val="00443012"/>
    <w:rsid w:val="00443134"/>
    <w:rsid w:val="00443772"/>
    <w:rsid w:val="0044381E"/>
    <w:rsid w:val="00443B6E"/>
    <w:rsid w:val="00443E96"/>
    <w:rsid w:val="004442EC"/>
    <w:rsid w:val="0044439C"/>
    <w:rsid w:val="00444CC1"/>
    <w:rsid w:val="00444DFF"/>
    <w:rsid w:val="00445A76"/>
    <w:rsid w:val="00445C3C"/>
    <w:rsid w:val="00446820"/>
    <w:rsid w:val="00446821"/>
    <w:rsid w:val="00446D0D"/>
    <w:rsid w:val="004471CA"/>
    <w:rsid w:val="00450041"/>
    <w:rsid w:val="004500F6"/>
    <w:rsid w:val="0045080F"/>
    <w:rsid w:val="004509BA"/>
    <w:rsid w:val="00450ABF"/>
    <w:rsid w:val="00450B64"/>
    <w:rsid w:val="0045129A"/>
    <w:rsid w:val="00451B5B"/>
    <w:rsid w:val="004522BD"/>
    <w:rsid w:val="0045277E"/>
    <w:rsid w:val="00452B4E"/>
    <w:rsid w:val="00452FFB"/>
    <w:rsid w:val="00453087"/>
    <w:rsid w:val="00453134"/>
    <w:rsid w:val="004549E7"/>
    <w:rsid w:val="00455054"/>
    <w:rsid w:val="00455109"/>
    <w:rsid w:val="004553F6"/>
    <w:rsid w:val="0045668E"/>
    <w:rsid w:val="00456925"/>
    <w:rsid w:val="00457533"/>
    <w:rsid w:val="00457569"/>
    <w:rsid w:val="00457672"/>
    <w:rsid w:val="00457684"/>
    <w:rsid w:val="00457FE6"/>
    <w:rsid w:val="00460342"/>
    <w:rsid w:val="004604AB"/>
    <w:rsid w:val="00460A5F"/>
    <w:rsid w:val="00460B05"/>
    <w:rsid w:val="00460BE8"/>
    <w:rsid w:val="00460E4B"/>
    <w:rsid w:val="00461897"/>
    <w:rsid w:val="00461E28"/>
    <w:rsid w:val="00461E3B"/>
    <w:rsid w:val="004628C3"/>
    <w:rsid w:val="00462A87"/>
    <w:rsid w:val="004636E4"/>
    <w:rsid w:val="00464550"/>
    <w:rsid w:val="0046484E"/>
    <w:rsid w:val="00464B65"/>
    <w:rsid w:val="00465227"/>
    <w:rsid w:val="00465316"/>
    <w:rsid w:val="00465521"/>
    <w:rsid w:val="0046589E"/>
    <w:rsid w:val="004676CF"/>
    <w:rsid w:val="00467ADE"/>
    <w:rsid w:val="00467F4D"/>
    <w:rsid w:val="004705A0"/>
    <w:rsid w:val="004705E1"/>
    <w:rsid w:val="0047069D"/>
    <w:rsid w:val="00470BF5"/>
    <w:rsid w:val="00471759"/>
    <w:rsid w:val="00471A69"/>
    <w:rsid w:val="00472174"/>
    <w:rsid w:val="00472185"/>
    <w:rsid w:val="00472513"/>
    <w:rsid w:val="00472C74"/>
    <w:rsid w:val="00473671"/>
    <w:rsid w:val="00473CC1"/>
    <w:rsid w:val="00473E07"/>
    <w:rsid w:val="0047416D"/>
    <w:rsid w:val="004746DA"/>
    <w:rsid w:val="00474826"/>
    <w:rsid w:val="004752A8"/>
    <w:rsid w:val="004754F3"/>
    <w:rsid w:val="004766E3"/>
    <w:rsid w:val="0047676E"/>
    <w:rsid w:val="00477AB8"/>
    <w:rsid w:val="00477D38"/>
    <w:rsid w:val="00477E45"/>
    <w:rsid w:val="004800D2"/>
    <w:rsid w:val="00480F96"/>
    <w:rsid w:val="004822D6"/>
    <w:rsid w:val="004829DB"/>
    <w:rsid w:val="00482D08"/>
    <w:rsid w:val="00482E19"/>
    <w:rsid w:val="00483483"/>
    <w:rsid w:val="0048363C"/>
    <w:rsid w:val="00484001"/>
    <w:rsid w:val="004840F8"/>
    <w:rsid w:val="00484342"/>
    <w:rsid w:val="00484607"/>
    <w:rsid w:val="00484D75"/>
    <w:rsid w:val="00484DFF"/>
    <w:rsid w:val="00484F45"/>
    <w:rsid w:val="0048511C"/>
    <w:rsid w:val="00485620"/>
    <w:rsid w:val="00485627"/>
    <w:rsid w:val="0048593F"/>
    <w:rsid w:val="004862BA"/>
    <w:rsid w:val="00486C0E"/>
    <w:rsid w:val="004871C5"/>
    <w:rsid w:val="00487CC5"/>
    <w:rsid w:val="004903E0"/>
    <w:rsid w:val="00491941"/>
    <w:rsid w:val="00491D13"/>
    <w:rsid w:val="00491D45"/>
    <w:rsid w:val="00492241"/>
    <w:rsid w:val="004926CF"/>
    <w:rsid w:val="0049282F"/>
    <w:rsid w:val="00492F95"/>
    <w:rsid w:val="0049302A"/>
    <w:rsid w:val="00493A85"/>
    <w:rsid w:val="004943FB"/>
    <w:rsid w:val="004958A1"/>
    <w:rsid w:val="00496162"/>
    <w:rsid w:val="00496260"/>
    <w:rsid w:val="004962F1"/>
    <w:rsid w:val="0049650B"/>
    <w:rsid w:val="004967A4"/>
    <w:rsid w:val="0049696B"/>
    <w:rsid w:val="00496A8B"/>
    <w:rsid w:val="00496FAC"/>
    <w:rsid w:val="00497496"/>
    <w:rsid w:val="0049781C"/>
    <w:rsid w:val="004A037F"/>
    <w:rsid w:val="004A121C"/>
    <w:rsid w:val="004A13FE"/>
    <w:rsid w:val="004A2734"/>
    <w:rsid w:val="004A27B3"/>
    <w:rsid w:val="004A2882"/>
    <w:rsid w:val="004A289E"/>
    <w:rsid w:val="004A2C2A"/>
    <w:rsid w:val="004A30ED"/>
    <w:rsid w:val="004A380C"/>
    <w:rsid w:val="004A3B30"/>
    <w:rsid w:val="004A3D5B"/>
    <w:rsid w:val="004A54B3"/>
    <w:rsid w:val="004A5E00"/>
    <w:rsid w:val="004A68A3"/>
    <w:rsid w:val="004A699C"/>
    <w:rsid w:val="004A7538"/>
    <w:rsid w:val="004A7D63"/>
    <w:rsid w:val="004B02F1"/>
    <w:rsid w:val="004B0581"/>
    <w:rsid w:val="004B0609"/>
    <w:rsid w:val="004B0627"/>
    <w:rsid w:val="004B0A7B"/>
    <w:rsid w:val="004B0B98"/>
    <w:rsid w:val="004B0D2B"/>
    <w:rsid w:val="004B16D4"/>
    <w:rsid w:val="004B19BC"/>
    <w:rsid w:val="004B1D54"/>
    <w:rsid w:val="004B1D79"/>
    <w:rsid w:val="004B26AF"/>
    <w:rsid w:val="004B2B31"/>
    <w:rsid w:val="004B3C4A"/>
    <w:rsid w:val="004B41B5"/>
    <w:rsid w:val="004B4636"/>
    <w:rsid w:val="004B4BEA"/>
    <w:rsid w:val="004B58F9"/>
    <w:rsid w:val="004B6310"/>
    <w:rsid w:val="004B68BB"/>
    <w:rsid w:val="004B68DC"/>
    <w:rsid w:val="004B73BC"/>
    <w:rsid w:val="004B76C6"/>
    <w:rsid w:val="004B79DD"/>
    <w:rsid w:val="004B7DD0"/>
    <w:rsid w:val="004B7DF3"/>
    <w:rsid w:val="004C00FF"/>
    <w:rsid w:val="004C0D02"/>
    <w:rsid w:val="004C1630"/>
    <w:rsid w:val="004C2BD6"/>
    <w:rsid w:val="004C3085"/>
    <w:rsid w:val="004C378A"/>
    <w:rsid w:val="004C4019"/>
    <w:rsid w:val="004C4C77"/>
    <w:rsid w:val="004C5C84"/>
    <w:rsid w:val="004C5E24"/>
    <w:rsid w:val="004C62AB"/>
    <w:rsid w:val="004C632F"/>
    <w:rsid w:val="004C665C"/>
    <w:rsid w:val="004C7356"/>
    <w:rsid w:val="004D03C7"/>
    <w:rsid w:val="004D0A08"/>
    <w:rsid w:val="004D0E59"/>
    <w:rsid w:val="004D11FE"/>
    <w:rsid w:val="004D1284"/>
    <w:rsid w:val="004D1381"/>
    <w:rsid w:val="004D44F9"/>
    <w:rsid w:val="004D4B55"/>
    <w:rsid w:val="004D4CAB"/>
    <w:rsid w:val="004D5371"/>
    <w:rsid w:val="004D5C9C"/>
    <w:rsid w:val="004D6A1C"/>
    <w:rsid w:val="004D700B"/>
    <w:rsid w:val="004D76DF"/>
    <w:rsid w:val="004D77D4"/>
    <w:rsid w:val="004D786D"/>
    <w:rsid w:val="004D7BD9"/>
    <w:rsid w:val="004E0389"/>
    <w:rsid w:val="004E0640"/>
    <w:rsid w:val="004E122D"/>
    <w:rsid w:val="004E131F"/>
    <w:rsid w:val="004E132E"/>
    <w:rsid w:val="004E1382"/>
    <w:rsid w:val="004E21B4"/>
    <w:rsid w:val="004E346A"/>
    <w:rsid w:val="004E358A"/>
    <w:rsid w:val="004E35C3"/>
    <w:rsid w:val="004E41BD"/>
    <w:rsid w:val="004E4242"/>
    <w:rsid w:val="004E42C3"/>
    <w:rsid w:val="004E43EC"/>
    <w:rsid w:val="004E4948"/>
    <w:rsid w:val="004E626F"/>
    <w:rsid w:val="004E67E3"/>
    <w:rsid w:val="004E6F93"/>
    <w:rsid w:val="004E73EC"/>
    <w:rsid w:val="004E790E"/>
    <w:rsid w:val="004E7ED0"/>
    <w:rsid w:val="004F10D5"/>
    <w:rsid w:val="004F1809"/>
    <w:rsid w:val="004F1E8B"/>
    <w:rsid w:val="004F1F4E"/>
    <w:rsid w:val="004F1FCF"/>
    <w:rsid w:val="004F20E7"/>
    <w:rsid w:val="004F3477"/>
    <w:rsid w:val="004F49C2"/>
    <w:rsid w:val="004F5434"/>
    <w:rsid w:val="004F553B"/>
    <w:rsid w:val="004F64BD"/>
    <w:rsid w:val="004F650F"/>
    <w:rsid w:val="004F6967"/>
    <w:rsid w:val="004F6E71"/>
    <w:rsid w:val="004F797D"/>
    <w:rsid w:val="004F7C28"/>
    <w:rsid w:val="004F7E93"/>
    <w:rsid w:val="00501107"/>
    <w:rsid w:val="005018B4"/>
    <w:rsid w:val="00501D6F"/>
    <w:rsid w:val="005022A9"/>
    <w:rsid w:val="00502A82"/>
    <w:rsid w:val="00502A99"/>
    <w:rsid w:val="00502B8E"/>
    <w:rsid w:val="00505CB3"/>
    <w:rsid w:val="005063E4"/>
    <w:rsid w:val="005066BE"/>
    <w:rsid w:val="00506B0E"/>
    <w:rsid w:val="00506C59"/>
    <w:rsid w:val="00507A05"/>
    <w:rsid w:val="00507F1F"/>
    <w:rsid w:val="00507F41"/>
    <w:rsid w:val="00510BA2"/>
    <w:rsid w:val="005120A3"/>
    <w:rsid w:val="00512197"/>
    <w:rsid w:val="00512810"/>
    <w:rsid w:val="00512973"/>
    <w:rsid w:val="00512D46"/>
    <w:rsid w:val="0051310D"/>
    <w:rsid w:val="00513683"/>
    <w:rsid w:val="00513F4D"/>
    <w:rsid w:val="00514C28"/>
    <w:rsid w:val="005154DC"/>
    <w:rsid w:val="00515BC0"/>
    <w:rsid w:val="00515DC3"/>
    <w:rsid w:val="005166DB"/>
    <w:rsid w:val="00516B92"/>
    <w:rsid w:val="00516FC6"/>
    <w:rsid w:val="0051758E"/>
    <w:rsid w:val="00520C15"/>
    <w:rsid w:val="00521C14"/>
    <w:rsid w:val="00521E8C"/>
    <w:rsid w:val="00522BDD"/>
    <w:rsid w:val="00523037"/>
    <w:rsid w:val="005233E6"/>
    <w:rsid w:val="00523AA5"/>
    <w:rsid w:val="005248E1"/>
    <w:rsid w:val="00524DEC"/>
    <w:rsid w:val="005254FB"/>
    <w:rsid w:val="00525671"/>
    <w:rsid w:val="00525844"/>
    <w:rsid w:val="00525EF8"/>
    <w:rsid w:val="00526262"/>
    <w:rsid w:val="00527DDB"/>
    <w:rsid w:val="005302FB"/>
    <w:rsid w:val="005303DB"/>
    <w:rsid w:val="00530849"/>
    <w:rsid w:val="00530863"/>
    <w:rsid w:val="0053087A"/>
    <w:rsid w:val="00530E84"/>
    <w:rsid w:val="00531218"/>
    <w:rsid w:val="0053132C"/>
    <w:rsid w:val="00531541"/>
    <w:rsid w:val="005319B2"/>
    <w:rsid w:val="00531A75"/>
    <w:rsid w:val="00531EA6"/>
    <w:rsid w:val="0053269D"/>
    <w:rsid w:val="00533476"/>
    <w:rsid w:val="00533683"/>
    <w:rsid w:val="0053405A"/>
    <w:rsid w:val="00534349"/>
    <w:rsid w:val="00534765"/>
    <w:rsid w:val="0053577F"/>
    <w:rsid w:val="005367DF"/>
    <w:rsid w:val="00537FE7"/>
    <w:rsid w:val="005401FA"/>
    <w:rsid w:val="005402F8"/>
    <w:rsid w:val="0054039C"/>
    <w:rsid w:val="005406BC"/>
    <w:rsid w:val="00540AED"/>
    <w:rsid w:val="00540DAB"/>
    <w:rsid w:val="005413CA"/>
    <w:rsid w:val="00541809"/>
    <w:rsid w:val="00541C35"/>
    <w:rsid w:val="005428FC"/>
    <w:rsid w:val="00542EDF"/>
    <w:rsid w:val="00542F36"/>
    <w:rsid w:val="00543C26"/>
    <w:rsid w:val="00543F11"/>
    <w:rsid w:val="00544018"/>
    <w:rsid w:val="0054535F"/>
    <w:rsid w:val="00546524"/>
    <w:rsid w:val="005469EA"/>
    <w:rsid w:val="00546C78"/>
    <w:rsid w:val="005470C7"/>
    <w:rsid w:val="00547C25"/>
    <w:rsid w:val="00550205"/>
    <w:rsid w:val="005502BB"/>
    <w:rsid w:val="00550314"/>
    <w:rsid w:val="00551085"/>
    <w:rsid w:val="005516FF"/>
    <w:rsid w:val="005517CC"/>
    <w:rsid w:val="00551D20"/>
    <w:rsid w:val="00551F47"/>
    <w:rsid w:val="0055243E"/>
    <w:rsid w:val="00552842"/>
    <w:rsid w:val="00553699"/>
    <w:rsid w:val="00554056"/>
    <w:rsid w:val="00555E14"/>
    <w:rsid w:val="00556923"/>
    <w:rsid w:val="00557246"/>
    <w:rsid w:val="00557281"/>
    <w:rsid w:val="00557326"/>
    <w:rsid w:val="00560197"/>
    <w:rsid w:val="00560260"/>
    <w:rsid w:val="00560A80"/>
    <w:rsid w:val="00560BC2"/>
    <w:rsid w:val="00562375"/>
    <w:rsid w:val="005627B5"/>
    <w:rsid w:val="00562986"/>
    <w:rsid w:val="005650BF"/>
    <w:rsid w:val="00565218"/>
    <w:rsid w:val="0056571B"/>
    <w:rsid w:val="005662CB"/>
    <w:rsid w:val="00566CA9"/>
    <w:rsid w:val="00567B2C"/>
    <w:rsid w:val="00570979"/>
    <w:rsid w:val="00570B27"/>
    <w:rsid w:val="00572B17"/>
    <w:rsid w:val="005736DF"/>
    <w:rsid w:val="00573859"/>
    <w:rsid w:val="00573CFB"/>
    <w:rsid w:val="00574923"/>
    <w:rsid w:val="00574B97"/>
    <w:rsid w:val="005755FF"/>
    <w:rsid w:val="0057576B"/>
    <w:rsid w:val="00575D30"/>
    <w:rsid w:val="005760E7"/>
    <w:rsid w:val="005767B8"/>
    <w:rsid w:val="00576A3A"/>
    <w:rsid w:val="00576BA0"/>
    <w:rsid w:val="00577100"/>
    <w:rsid w:val="0057721D"/>
    <w:rsid w:val="005773C3"/>
    <w:rsid w:val="0057794F"/>
    <w:rsid w:val="0058029F"/>
    <w:rsid w:val="00580607"/>
    <w:rsid w:val="00580DE3"/>
    <w:rsid w:val="00581023"/>
    <w:rsid w:val="005813E8"/>
    <w:rsid w:val="00581418"/>
    <w:rsid w:val="00581466"/>
    <w:rsid w:val="005814C9"/>
    <w:rsid w:val="00581AE8"/>
    <w:rsid w:val="0058232A"/>
    <w:rsid w:val="00582478"/>
    <w:rsid w:val="005828C8"/>
    <w:rsid w:val="005831B8"/>
    <w:rsid w:val="0058384A"/>
    <w:rsid w:val="00585A98"/>
    <w:rsid w:val="0058633D"/>
    <w:rsid w:val="00586D33"/>
    <w:rsid w:val="00586E3C"/>
    <w:rsid w:val="00586F44"/>
    <w:rsid w:val="00587489"/>
    <w:rsid w:val="00587E29"/>
    <w:rsid w:val="0059095C"/>
    <w:rsid w:val="00590C99"/>
    <w:rsid w:val="00590F1E"/>
    <w:rsid w:val="00591249"/>
    <w:rsid w:val="0059233E"/>
    <w:rsid w:val="005928F4"/>
    <w:rsid w:val="00592DF9"/>
    <w:rsid w:val="005933B6"/>
    <w:rsid w:val="0059363E"/>
    <w:rsid w:val="005939BB"/>
    <w:rsid w:val="00593B8A"/>
    <w:rsid w:val="005944BC"/>
    <w:rsid w:val="005958A9"/>
    <w:rsid w:val="00595F38"/>
    <w:rsid w:val="005961D1"/>
    <w:rsid w:val="0059643E"/>
    <w:rsid w:val="005967BA"/>
    <w:rsid w:val="00596C4A"/>
    <w:rsid w:val="00597B9A"/>
    <w:rsid w:val="00597BE5"/>
    <w:rsid w:val="00597F58"/>
    <w:rsid w:val="005A0116"/>
    <w:rsid w:val="005A0207"/>
    <w:rsid w:val="005A04FC"/>
    <w:rsid w:val="005A0741"/>
    <w:rsid w:val="005A0D0B"/>
    <w:rsid w:val="005A0F2D"/>
    <w:rsid w:val="005A114E"/>
    <w:rsid w:val="005A1847"/>
    <w:rsid w:val="005A1AFB"/>
    <w:rsid w:val="005A206F"/>
    <w:rsid w:val="005A2119"/>
    <w:rsid w:val="005A2CC8"/>
    <w:rsid w:val="005A2E59"/>
    <w:rsid w:val="005A38FB"/>
    <w:rsid w:val="005A5358"/>
    <w:rsid w:val="005A5839"/>
    <w:rsid w:val="005A5895"/>
    <w:rsid w:val="005A6035"/>
    <w:rsid w:val="005A657F"/>
    <w:rsid w:val="005A6657"/>
    <w:rsid w:val="005A7254"/>
    <w:rsid w:val="005A7E04"/>
    <w:rsid w:val="005B022A"/>
    <w:rsid w:val="005B049A"/>
    <w:rsid w:val="005B1690"/>
    <w:rsid w:val="005B3706"/>
    <w:rsid w:val="005B4BA8"/>
    <w:rsid w:val="005B6774"/>
    <w:rsid w:val="005B6CAC"/>
    <w:rsid w:val="005B6D74"/>
    <w:rsid w:val="005B714F"/>
    <w:rsid w:val="005B7A12"/>
    <w:rsid w:val="005B7C67"/>
    <w:rsid w:val="005C0022"/>
    <w:rsid w:val="005C0248"/>
    <w:rsid w:val="005C121B"/>
    <w:rsid w:val="005C16E2"/>
    <w:rsid w:val="005C1BA4"/>
    <w:rsid w:val="005C20A0"/>
    <w:rsid w:val="005C31EE"/>
    <w:rsid w:val="005C3B48"/>
    <w:rsid w:val="005C46C8"/>
    <w:rsid w:val="005C47B2"/>
    <w:rsid w:val="005C50B6"/>
    <w:rsid w:val="005C50C9"/>
    <w:rsid w:val="005C5B00"/>
    <w:rsid w:val="005C5CAA"/>
    <w:rsid w:val="005C60D1"/>
    <w:rsid w:val="005C6315"/>
    <w:rsid w:val="005C644E"/>
    <w:rsid w:val="005C66B4"/>
    <w:rsid w:val="005C676E"/>
    <w:rsid w:val="005C706B"/>
    <w:rsid w:val="005D08A7"/>
    <w:rsid w:val="005D0A2B"/>
    <w:rsid w:val="005D0CF1"/>
    <w:rsid w:val="005D0E08"/>
    <w:rsid w:val="005D1029"/>
    <w:rsid w:val="005D1122"/>
    <w:rsid w:val="005D12DC"/>
    <w:rsid w:val="005D14C6"/>
    <w:rsid w:val="005D1E32"/>
    <w:rsid w:val="005D1E6A"/>
    <w:rsid w:val="005D2385"/>
    <w:rsid w:val="005D27DB"/>
    <w:rsid w:val="005D2974"/>
    <w:rsid w:val="005D2AAF"/>
    <w:rsid w:val="005D3100"/>
    <w:rsid w:val="005D3D88"/>
    <w:rsid w:val="005D3E58"/>
    <w:rsid w:val="005D49F5"/>
    <w:rsid w:val="005D4AD8"/>
    <w:rsid w:val="005D4B65"/>
    <w:rsid w:val="005D4B8A"/>
    <w:rsid w:val="005D4F7E"/>
    <w:rsid w:val="005D512C"/>
    <w:rsid w:val="005D5981"/>
    <w:rsid w:val="005D6196"/>
    <w:rsid w:val="005D6586"/>
    <w:rsid w:val="005D75BC"/>
    <w:rsid w:val="005D762F"/>
    <w:rsid w:val="005D7895"/>
    <w:rsid w:val="005D7999"/>
    <w:rsid w:val="005D7F2C"/>
    <w:rsid w:val="005E07EB"/>
    <w:rsid w:val="005E095A"/>
    <w:rsid w:val="005E1876"/>
    <w:rsid w:val="005E1BE4"/>
    <w:rsid w:val="005E1E23"/>
    <w:rsid w:val="005E1F97"/>
    <w:rsid w:val="005E20B2"/>
    <w:rsid w:val="005E281B"/>
    <w:rsid w:val="005E2E27"/>
    <w:rsid w:val="005E30D9"/>
    <w:rsid w:val="005E3C62"/>
    <w:rsid w:val="005E47FF"/>
    <w:rsid w:val="005E4B29"/>
    <w:rsid w:val="005E4D31"/>
    <w:rsid w:val="005E51FE"/>
    <w:rsid w:val="005E561A"/>
    <w:rsid w:val="005E5B5E"/>
    <w:rsid w:val="005E60B2"/>
    <w:rsid w:val="005E7918"/>
    <w:rsid w:val="005E79E2"/>
    <w:rsid w:val="005F02DB"/>
    <w:rsid w:val="005F049E"/>
    <w:rsid w:val="005F061A"/>
    <w:rsid w:val="005F116A"/>
    <w:rsid w:val="005F1F4D"/>
    <w:rsid w:val="005F25CF"/>
    <w:rsid w:val="005F49D0"/>
    <w:rsid w:val="005F5199"/>
    <w:rsid w:val="005F5977"/>
    <w:rsid w:val="005F5CFA"/>
    <w:rsid w:val="005F5F91"/>
    <w:rsid w:val="005F6044"/>
    <w:rsid w:val="005F616B"/>
    <w:rsid w:val="005F6D2F"/>
    <w:rsid w:val="005F6DC0"/>
    <w:rsid w:val="005F7165"/>
    <w:rsid w:val="005F7E50"/>
    <w:rsid w:val="00600234"/>
    <w:rsid w:val="006004BD"/>
    <w:rsid w:val="00600818"/>
    <w:rsid w:val="0060092C"/>
    <w:rsid w:val="00600FA0"/>
    <w:rsid w:val="00601057"/>
    <w:rsid w:val="00601747"/>
    <w:rsid w:val="00601801"/>
    <w:rsid w:val="0060323C"/>
    <w:rsid w:val="006033EB"/>
    <w:rsid w:val="006037EC"/>
    <w:rsid w:val="00603E94"/>
    <w:rsid w:val="006048A6"/>
    <w:rsid w:val="006053A0"/>
    <w:rsid w:val="00605719"/>
    <w:rsid w:val="00605AC8"/>
    <w:rsid w:val="00606A2C"/>
    <w:rsid w:val="00606BB4"/>
    <w:rsid w:val="00606EE1"/>
    <w:rsid w:val="00607454"/>
    <w:rsid w:val="00607744"/>
    <w:rsid w:val="00607FFB"/>
    <w:rsid w:val="006115FD"/>
    <w:rsid w:val="00611969"/>
    <w:rsid w:val="006124F1"/>
    <w:rsid w:val="0061258B"/>
    <w:rsid w:val="00612714"/>
    <w:rsid w:val="00613013"/>
    <w:rsid w:val="0061305A"/>
    <w:rsid w:val="00613297"/>
    <w:rsid w:val="006134E0"/>
    <w:rsid w:val="006139D4"/>
    <w:rsid w:val="00614614"/>
    <w:rsid w:val="0061465E"/>
    <w:rsid w:val="006149B0"/>
    <w:rsid w:val="00615A22"/>
    <w:rsid w:val="00616558"/>
    <w:rsid w:val="00616594"/>
    <w:rsid w:val="0061676F"/>
    <w:rsid w:val="00616C59"/>
    <w:rsid w:val="006173E6"/>
    <w:rsid w:val="0062075E"/>
    <w:rsid w:val="00622EC0"/>
    <w:rsid w:val="00623105"/>
    <w:rsid w:val="006232DE"/>
    <w:rsid w:val="00623753"/>
    <w:rsid w:val="0062378B"/>
    <w:rsid w:val="00623A28"/>
    <w:rsid w:val="0062433F"/>
    <w:rsid w:val="006243F7"/>
    <w:rsid w:val="006250A3"/>
    <w:rsid w:val="00625287"/>
    <w:rsid w:val="006252BD"/>
    <w:rsid w:val="00627248"/>
    <w:rsid w:val="006274DB"/>
    <w:rsid w:val="0062776B"/>
    <w:rsid w:val="00630C02"/>
    <w:rsid w:val="0063102E"/>
    <w:rsid w:val="00631BA4"/>
    <w:rsid w:val="00632234"/>
    <w:rsid w:val="00632372"/>
    <w:rsid w:val="006335AD"/>
    <w:rsid w:val="00633F8E"/>
    <w:rsid w:val="006344F6"/>
    <w:rsid w:val="00634D09"/>
    <w:rsid w:val="006351C7"/>
    <w:rsid w:val="00635C8D"/>
    <w:rsid w:val="00636526"/>
    <w:rsid w:val="0063752C"/>
    <w:rsid w:val="00637935"/>
    <w:rsid w:val="00637C2B"/>
    <w:rsid w:val="00640027"/>
    <w:rsid w:val="0064015C"/>
    <w:rsid w:val="00640710"/>
    <w:rsid w:val="006408B1"/>
    <w:rsid w:val="006412E9"/>
    <w:rsid w:val="00641361"/>
    <w:rsid w:val="00641EEE"/>
    <w:rsid w:val="0064261D"/>
    <w:rsid w:val="00643238"/>
    <w:rsid w:val="00644A5F"/>
    <w:rsid w:val="00644DD7"/>
    <w:rsid w:val="006456E1"/>
    <w:rsid w:val="0064573F"/>
    <w:rsid w:val="00645F36"/>
    <w:rsid w:val="00645FD0"/>
    <w:rsid w:val="00646501"/>
    <w:rsid w:val="006466E5"/>
    <w:rsid w:val="00646802"/>
    <w:rsid w:val="0064715F"/>
    <w:rsid w:val="006477CD"/>
    <w:rsid w:val="0064797C"/>
    <w:rsid w:val="006506F0"/>
    <w:rsid w:val="00651665"/>
    <w:rsid w:val="00651697"/>
    <w:rsid w:val="00651791"/>
    <w:rsid w:val="00652195"/>
    <w:rsid w:val="00652728"/>
    <w:rsid w:val="006528FA"/>
    <w:rsid w:val="0065318F"/>
    <w:rsid w:val="006536B1"/>
    <w:rsid w:val="00653D63"/>
    <w:rsid w:val="00653F5C"/>
    <w:rsid w:val="0065426F"/>
    <w:rsid w:val="00654466"/>
    <w:rsid w:val="00654B4D"/>
    <w:rsid w:val="00654EF5"/>
    <w:rsid w:val="00656483"/>
    <w:rsid w:val="00656EB3"/>
    <w:rsid w:val="00656F0B"/>
    <w:rsid w:val="006600C3"/>
    <w:rsid w:val="006605B2"/>
    <w:rsid w:val="00661070"/>
    <w:rsid w:val="00661096"/>
    <w:rsid w:val="006626DF"/>
    <w:rsid w:val="00663657"/>
    <w:rsid w:val="00663D27"/>
    <w:rsid w:val="00664072"/>
    <w:rsid w:val="0066413C"/>
    <w:rsid w:val="0066433F"/>
    <w:rsid w:val="0066451F"/>
    <w:rsid w:val="00664C5B"/>
    <w:rsid w:val="0066510F"/>
    <w:rsid w:val="00665797"/>
    <w:rsid w:val="0066596F"/>
    <w:rsid w:val="00665DA8"/>
    <w:rsid w:val="00666BCB"/>
    <w:rsid w:val="00666FA1"/>
    <w:rsid w:val="006671DA"/>
    <w:rsid w:val="00667843"/>
    <w:rsid w:val="00667C4E"/>
    <w:rsid w:val="006702B2"/>
    <w:rsid w:val="00670ED9"/>
    <w:rsid w:val="00671033"/>
    <w:rsid w:val="00671250"/>
    <w:rsid w:val="00671DFF"/>
    <w:rsid w:val="00672429"/>
    <w:rsid w:val="00672734"/>
    <w:rsid w:val="006728A3"/>
    <w:rsid w:val="006729F0"/>
    <w:rsid w:val="006731C6"/>
    <w:rsid w:val="00673CA1"/>
    <w:rsid w:val="00673F9F"/>
    <w:rsid w:val="00674517"/>
    <w:rsid w:val="006749AA"/>
    <w:rsid w:val="00674B96"/>
    <w:rsid w:val="00675325"/>
    <w:rsid w:val="00675326"/>
    <w:rsid w:val="00675425"/>
    <w:rsid w:val="0067555B"/>
    <w:rsid w:val="00675CBD"/>
    <w:rsid w:val="00677EB4"/>
    <w:rsid w:val="006805E8"/>
    <w:rsid w:val="00681294"/>
    <w:rsid w:val="006816FB"/>
    <w:rsid w:val="0068196A"/>
    <w:rsid w:val="00681F96"/>
    <w:rsid w:val="00682189"/>
    <w:rsid w:val="00682796"/>
    <w:rsid w:val="0068311F"/>
    <w:rsid w:val="006835FF"/>
    <w:rsid w:val="00683CB9"/>
    <w:rsid w:val="00683D00"/>
    <w:rsid w:val="006841D9"/>
    <w:rsid w:val="0068464B"/>
    <w:rsid w:val="006861EA"/>
    <w:rsid w:val="00686D20"/>
    <w:rsid w:val="00687047"/>
    <w:rsid w:val="0068716B"/>
    <w:rsid w:val="0068790C"/>
    <w:rsid w:val="00687DD9"/>
    <w:rsid w:val="006901E5"/>
    <w:rsid w:val="00690C7F"/>
    <w:rsid w:val="00690CFF"/>
    <w:rsid w:val="00691354"/>
    <w:rsid w:val="0069156B"/>
    <w:rsid w:val="00691C49"/>
    <w:rsid w:val="00691F9A"/>
    <w:rsid w:val="00692645"/>
    <w:rsid w:val="0069299E"/>
    <w:rsid w:val="006929AB"/>
    <w:rsid w:val="00693B9A"/>
    <w:rsid w:val="00693F07"/>
    <w:rsid w:val="00694F0F"/>
    <w:rsid w:val="00695D2F"/>
    <w:rsid w:val="00695D32"/>
    <w:rsid w:val="006960CF"/>
    <w:rsid w:val="006967D4"/>
    <w:rsid w:val="00697373"/>
    <w:rsid w:val="00697543"/>
    <w:rsid w:val="00697641"/>
    <w:rsid w:val="00697CA3"/>
    <w:rsid w:val="006A09DE"/>
    <w:rsid w:val="006A0A14"/>
    <w:rsid w:val="006A1059"/>
    <w:rsid w:val="006A109A"/>
    <w:rsid w:val="006A1355"/>
    <w:rsid w:val="006A19FC"/>
    <w:rsid w:val="006A24F0"/>
    <w:rsid w:val="006A2B4F"/>
    <w:rsid w:val="006A2CCF"/>
    <w:rsid w:val="006A30EF"/>
    <w:rsid w:val="006A3187"/>
    <w:rsid w:val="006A3AA4"/>
    <w:rsid w:val="006A3C02"/>
    <w:rsid w:val="006A4060"/>
    <w:rsid w:val="006A42D8"/>
    <w:rsid w:val="006A495B"/>
    <w:rsid w:val="006A5157"/>
    <w:rsid w:val="006A576C"/>
    <w:rsid w:val="006A5840"/>
    <w:rsid w:val="006A5FB3"/>
    <w:rsid w:val="006A6204"/>
    <w:rsid w:val="006A6444"/>
    <w:rsid w:val="006A6DD8"/>
    <w:rsid w:val="006A74F5"/>
    <w:rsid w:val="006A77D2"/>
    <w:rsid w:val="006A7845"/>
    <w:rsid w:val="006A7954"/>
    <w:rsid w:val="006A7E63"/>
    <w:rsid w:val="006A7EBF"/>
    <w:rsid w:val="006B0B3B"/>
    <w:rsid w:val="006B0B8D"/>
    <w:rsid w:val="006B1655"/>
    <w:rsid w:val="006B19EB"/>
    <w:rsid w:val="006B1E71"/>
    <w:rsid w:val="006B21AA"/>
    <w:rsid w:val="006B2D30"/>
    <w:rsid w:val="006B2E06"/>
    <w:rsid w:val="006B2FDB"/>
    <w:rsid w:val="006B3FDB"/>
    <w:rsid w:val="006B46BB"/>
    <w:rsid w:val="006B4DBE"/>
    <w:rsid w:val="006B54B9"/>
    <w:rsid w:val="006B550A"/>
    <w:rsid w:val="006B5677"/>
    <w:rsid w:val="006B5C61"/>
    <w:rsid w:val="006B62D8"/>
    <w:rsid w:val="006B63BB"/>
    <w:rsid w:val="006B7083"/>
    <w:rsid w:val="006B7244"/>
    <w:rsid w:val="006B7581"/>
    <w:rsid w:val="006B7FB5"/>
    <w:rsid w:val="006C089F"/>
    <w:rsid w:val="006C0DEF"/>
    <w:rsid w:val="006C13BC"/>
    <w:rsid w:val="006C252F"/>
    <w:rsid w:val="006C254D"/>
    <w:rsid w:val="006C26D6"/>
    <w:rsid w:val="006C28DC"/>
    <w:rsid w:val="006C3D50"/>
    <w:rsid w:val="006C3E5E"/>
    <w:rsid w:val="006C54EA"/>
    <w:rsid w:val="006C602A"/>
    <w:rsid w:val="006C661A"/>
    <w:rsid w:val="006C6C85"/>
    <w:rsid w:val="006C7904"/>
    <w:rsid w:val="006C7916"/>
    <w:rsid w:val="006D09D3"/>
    <w:rsid w:val="006D0ECE"/>
    <w:rsid w:val="006D15DB"/>
    <w:rsid w:val="006D191E"/>
    <w:rsid w:val="006D1AC3"/>
    <w:rsid w:val="006D1D84"/>
    <w:rsid w:val="006D1EBA"/>
    <w:rsid w:val="006D2C29"/>
    <w:rsid w:val="006D2CBE"/>
    <w:rsid w:val="006D2F87"/>
    <w:rsid w:val="006D359E"/>
    <w:rsid w:val="006D38B9"/>
    <w:rsid w:val="006D3D9D"/>
    <w:rsid w:val="006D402F"/>
    <w:rsid w:val="006D4429"/>
    <w:rsid w:val="006D4530"/>
    <w:rsid w:val="006D4838"/>
    <w:rsid w:val="006D4A70"/>
    <w:rsid w:val="006D4D01"/>
    <w:rsid w:val="006D4F6C"/>
    <w:rsid w:val="006D4FE5"/>
    <w:rsid w:val="006D5133"/>
    <w:rsid w:val="006D5DE9"/>
    <w:rsid w:val="006D649B"/>
    <w:rsid w:val="006D65D1"/>
    <w:rsid w:val="006D67E6"/>
    <w:rsid w:val="006D688D"/>
    <w:rsid w:val="006D6A81"/>
    <w:rsid w:val="006D76A0"/>
    <w:rsid w:val="006D789A"/>
    <w:rsid w:val="006D7D8C"/>
    <w:rsid w:val="006E0DE1"/>
    <w:rsid w:val="006E15D7"/>
    <w:rsid w:val="006E18D9"/>
    <w:rsid w:val="006E1939"/>
    <w:rsid w:val="006E1C7B"/>
    <w:rsid w:val="006E1EDD"/>
    <w:rsid w:val="006E207D"/>
    <w:rsid w:val="006E2BFB"/>
    <w:rsid w:val="006E2F15"/>
    <w:rsid w:val="006E3102"/>
    <w:rsid w:val="006E3636"/>
    <w:rsid w:val="006E4033"/>
    <w:rsid w:val="006E4D2F"/>
    <w:rsid w:val="006E5456"/>
    <w:rsid w:val="006E55ED"/>
    <w:rsid w:val="006E58FD"/>
    <w:rsid w:val="006E6C96"/>
    <w:rsid w:val="006E6D8D"/>
    <w:rsid w:val="006E7305"/>
    <w:rsid w:val="006E7D77"/>
    <w:rsid w:val="006F00BD"/>
    <w:rsid w:val="006F02CE"/>
    <w:rsid w:val="006F0565"/>
    <w:rsid w:val="006F0E09"/>
    <w:rsid w:val="006F167D"/>
    <w:rsid w:val="006F1D9B"/>
    <w:rsid w:val="006F2110"/>
    <w:rsid w:val="006F2A58"/>
    <w:rsid w:val="006F2CA8"/>
    <w:rsid w:val="006F32DF"/>
    <w:rsid w:val="006F3639"/>
    <w:rsid w:val="006F47D7"/>
    <w:rsid w:val="006F4A3A"/>
    <w:rsid w:val="006F4C89"/>
    <w:rsid w:val="006F53C4"/>
    <w:rsid w:val="006F6616"/>
    <w:rsid w:val="006F708A"/>
    <w:rsid w:val="006F7D20"/>
    <w:rsid w:val="0070028A"/>
    <w:rsid w:val="007002C3"/>
    <w:rsid w:val="00700560"/>
    <w:rsid w:val="007005FF"/>
    <w:rsid w:val="00700A36"/>
    <w:rsid w:val="0070107C"/>
    <w:rsid w:val="007010B6"/>
    <w:rsid w:val="00701161"/>
    <w:rsid w:val="007013D4"/>
    <w:rsid w:val="007017EF"/>
    <w:rsid w:val="00701917"/>
    <w:rsid w:val="00701A1D"/>
    <w:rsid w:val="0070220C"/>
    <w:rsid w:val="00703294"/>
    <w:rsid w:val="007032E2"/>
    <w:rsid w:val="00703539"/>
    <w:rsid w:val="00703AE3"/>
    <w:rsid w:val="00704474"/>
    <w:rsid w:val="007046CE"/>
    <w:rsid w:val="00704935"/>
    <w:rsid w:val="007060C9"/>
    <w:rsid w:val="00707A74"/>
    <w:rsid w:val="00707BEE"/>
    <w:rsid w:val="007109DD"/>
    <w:rsid w:val="00712193"/>
    <w:rsid w:val="007121DD"/>
    <w:rsid w:val="00712433"/>
    <w:rsid w:val="007127E0"/>
    <w:rsid w:val="007134DB"/>
    <w:rsid w:val="00713762"/>
    <w:rsid w:val="007142BB"/>
    <w:rsid w:val="0071480C"/>
    <w:rsid w:val="00714DAB"/>
    <w:rsid w:val="00714FA0"/>
    <w:rsid w:val="007153B8"/>
    <w:rsid w:val="00716466"/>
    <w:rsid w:val="00716B04"/>
    <w:rsid w:val="007170FA"/>
    <w:rsid w:val="00717514"/>
    <w:rsid w:val="00721503"/>
    <w:rsid w:val="00721C8A"/>
    <w:rsid w:val="00721DD3"/>
    <w:rsid w:val="007227E4"/>
    <w:rsid w:val="0072364F"/>
    <w:rsid w:val="00723E42"/>
    <w:rsid w:val="00724734"/>
    <w:rsid w:val="00725CBE"/>
    <w:rsid w:val="0072622A"/>
    <w:rsid w:val="007266B0"/>
    <w:rsid w:val="0072683D"/>
    <w:rsid w:val="00726BB8"/>
    <w:rsid w:val="00726D1A"/>
    <w:rsid w:val="007279AE"/>
    <w:rsid w:val="00727CBC"/>
    <w:rsid w:val="00730196"/>
    <w:rsid w:val="0073068A"/>
    <w:rsid w:val="007313B1"/>
    <w:rsid w:val="007315B0"/>
    <w:rsid w:val="00731C1E"/>
    <w:rsid w:val="00731C67"/>
    <w:rsid w:val="007320CE"/>
    <w:rsid w:val="0073235C"/>
    <w:rsid w:val="007326A0"/>
    <w:rsid w:val="00732835"/>
    <w:rsid w:val="007329ED"/>
    <w:rsid w:val="00732D02"/>
    <w:rsid w:val="00733701"/>
    <w:rsid w:val="00733BF4"/>
    <w:rsid w:val="00734F6E"/>
    <w:rsid w:val="00736B84"/>
    <w:rsid w:val="00737F93"/>
    <w:rsid w:val="00740DC8"/>
    <w:rsid w:val="00740E1B"/>
    <w:rsid w:val="00740E55"/>
    <w:rsid w:val="00741376"/>
    <w:rsid w:val="00741510"/>
    <w:rsid w:val="00741BD1"/>
    <w:rsid w:val="00741CE6"/>
    <w:rsid w:val="00742C25"/>
    <w:rsid w:val="00742D5B"/>
    <w:rsid w:val="007432E7"/>
    <w:rsid w:val="00743B7A"/>
    <w:rsid w:val="007445FB"/>
    <w:rsid w:val="00744A32"/>
    <w:rsid w:val="00745633"/>
    <w:rsid w:val="007457DD"/>
    <w:rsid w:val="00746026"/>
    <w:rsid w:val="00746342"/>
    <w:rsid w:val="00746451"/>
    <w:rsid w:val="00750164"/>
    <w:rsid w:val="007502DA"/>
    <w:rsid w:val="007504B2"/>
    <w:rsid w:val="00751500"/>
    <w:rsid w:val="00751B56"/>
    <w:rsid w:val="00752413"/>
    <w:rsid w:val="00752DB5"/>
    <w:rsid w:val="00752E1B"/>
    <w:rsid w:val="00753088"/>
    <w:rsid w:val="00753BE4"/>
    <w:rsid w:val="00753F1D"/>
    <w:rsid w:val="0075518F"/>
    <w:rsid w:val="007569D7"/>
    <w:rsid w:val="00756F3B"/>
    <w:rsid w:val="00757199"/>
    <w:rsid w:val="00760CD7"/>
    <w:rsid w:val="00761AA3"/>
    <w:rsid w:val="007627C8"/>
    <w:rsid w:val="007630AE"/>
    <w:rsid w:val="007639EA"/>
    <w:rsid w:val="00763A63"/>
    <w:rsid w:val="00763A84"/>
    <w:rsid w:val="00763B2E"/>
    <w:rsid w:val="00763EF6"/>
    <w:rsid w:val="007641EB"/>
    <w:rsid w:val="00764EBB"/>
    <w:rsid w:val="0076586A"/>
    <w:rsid w:val="007659E4"/>
    <w:rsid w:val="00765FE0"/>
    <w:rsid w:val="00766503"/>
    <w:rsid w:val="00766517"/>
    <w:rsid w:val="00766817"/>
    <w:rsid w:val="00766B28"/>
    <w:rsid w:val="00766DB3"/>
    <w:rsid w:val="00766EAF"/>
    <w:rsid w:val="00767525"/>
    <w:rsid w:val="00767CED"/>
    <w:rsid w:val="00767EDD"/>
    <w:rsid w:val="00770019"/>
    <w:rsid w:val="0077104F"/>
    <w:rsid w:val="007710D3"/>
    <w:rsid w:val="007716D4"/>
    <w:rsid w:val="00771C2D"/>
    <w:rsid w:val="00772DA8"/>
    <w:rsid w:val="007743FA"/>
    <w:rsid w:val="007749B0"/>
    <w:rsid w:val="00775021"/>
    <w:rsid w:val="00776243"/>
    <w:rsid w:val="007763BB"/>
    <w:rsid w:val="00776834"/>
    <w:rsid w:val="00776DEC"/>
    <w:rsid w:val="00776F3C"/>
    <w:rsid w:val="00776F4D"/>
    <w:rsid w:val="0077754A"/>
    <w:rsid w:val="00780BE3"/>
    <w:rsid w:val="00780ED1"/>
    <w:rsid w:val="00781F08"/>
    <w:rsid w:val="00782423"/>
    <w:rsid w:val="00782829"/>
    <w:rsid w:val="00782B70"/>
    <w:rsid w:val="00782D67"/>
    <w:rsid w:val="00783103"/>
    <w:rsid w:val="007831FD"/>
    <w:rsid w:val="00783BB0"/>
    <w:rsid w:val="00783FA6"/>
    <w:rsid w:val="00785577"/>
    <w:rsid w:val="00785ED8"/>
    <w:rsid w:val="0078663D"/>
    <w:rsid w:val="00786E0A"/>
    <w:rsid w:val="00787534"/>
    <w:rsid w:val="00787790"/>
    <w:rsid w:val="00787943"/>
    <w:rsid w:val="0079017E"/>
    <w:rsid w:val="0079051B"/>
    <w:rsid w:val="00791348"/>
    <w:rsid w:val="00791801"/>
    <w:rsid w:val="00792D8E"/>
    <w:rsid w:val="007934C4"/>
    <w:rsid w:val="00793914"/>
    <w:rsid w:val="00793C45"/>
    <w:rsid w:val="00794806"/>
    <w:rsid w:val="007953D8"/>
    <w:rsid w:val="00795658"/>
    <w:rsid w:val="00795978"/>
    <w:rsid w:val="00795DCD"/>
    <w:rsid w:val="007962C8"/>
    <w:rsid w:val="007963C6"/>
    <w:rsid w:val="007964D2"/>
    <w:rsid w:val="0079749D"/>
    <w:rsid w:val="00797B63"/>
    <w:rsid w:val="007A0007"/>
    <w:rsid w:val="007A01AF"/>
    <w:rsid w:val="007A098E"/>
    <w:rsid w:val="007A0E74"/>
    <w:rsid w:val="007A0F4F"/>
    <w:rsid w:val="007A10F6"/>
    <w:rsid w:val="007A1D4C"/>
    <w:rsid w:val="007A1F58"/>
    <w:rsid w:val="007A201F"/>
    <w:rsid w:val="007A2419"/>
    <w:rsid w:val="007A2ADD"/>
    <w:rsid w:val="007A2C42"/>
    <w:rsid w:val="007A3479"/>
    <w:rsid w:val="007A38CF"/>
    <w:rsid w:val="007A3A15"/>
    <w:rsid w:val="007A3B0B"/>
    <w:rsid w:val="007A48AE"/>
    <w:rsid w:val="007A4C0B"/>
    <w:rsid w:val="007A5576"/>
    <w:rsid w:val="007A6167"/>
    <w:rsid w:val="007A683F"/>
    <w:rsid w:val="007A687D"/>
    <w:rsid w:val="007A7CE6"/>
    <w:rsid w:val="007B0352"/>
    <w:rsid w:val="007B12BB"/>
    <w:rsid w:val="007B14F5"/>
    <w:rsid w:val="007B2E32"/>
    <w:rsid w:val="007B3139"/>
    <w:rsid w:val="007B32DB"/>
    <w:rsid w:val="007B3545"/>
    <w:rsid w:val="007B35D1"/>
    <w:rsid w:val="007B3E1F"/>
    <w:rsid w:val="007B43CB"/>
    <w:rsid w:val="007B4A7E"/>
    <w:rsid w:val="007B573A"/>
    <w:rsid w:val="007B5DF1"/>
    <w:rsid w:val="007B5FCC"/>
    <w:rsid w:val="007B6895"/>
    <w:rsid w:val="007B6A17"/>
    <w:rsid w:val="007B6AB4"/>
    <w:rsid w:val="007B6AE8"/>
    <w:rsid w:val="007B6EFC"/>
    <w:rsid w:val="007B6F86"/>
    <w:rsid w:val="007B71E7"/>
    <w:rsid w:val="007B7ACB"/>
    <w:rsid w:val="007C0678"/>
    <w:rsid w:val="007C1564"/>
    <w:rsid w:val="007C2139"/>
    <w:rsid w:val="007C4921"/>
    <w:rsid w:val="007C4EC1"/>
    <w:rsid w:val="007C5379"/>
    <w:rsid w:val="007C6310"/>
    <w:rsid w:val="007C6952"/>
    <w:rsid w:val="007C6F26"/>
    <w:rsid w:val="007C7C15"/>
    <w:rsid w:val="007C7EF6"/>
    <w:rsid w:val="007D0C9D"/>
    <w:rsid w:val="007D2034"/>
    <w:rsid w:val="007D2A72"/>
    <w:rsid w:val="007D2F0E"/>
    <w:rsid w:val="007D33A0"/>
    <w:rsid w:val="007D35CE"/>
    <w:rsid w:val="007D3F25"/>
    <w:rsid w:val="007D40D4"/>
    <w:rsid w:val="007D43D8"/>
    <w:rsid w:val="007D499E"/>
    <w:rsid w:val="007D50EB"/>
    <w:rsid w:val="007D575B"/>
    <w:rsid w:val="007D610E"/>
    <w:rsid w:val="007D66C0"/>
    <w:rsid w:val="007D6C1C"/>
    <w:rsid w:val="007D741F"/>
    <w:rsid w:val="007D7789"/>
    <w:rsid w:val="007D7D21"/>
    <w:rsid w:val="007D7F0D"/>
    <w:rsid w:val="007E0CC5"/>
    <w:rsid w:val="007E0CE2"/>
    <w:rsid w:val="007E1828"/>
    <w:rsid w:val="007E1AE6"/>
    <w:rsid w:val="007E2376"/>
    <w:rsid w:val="007E2580"/>
    <w:rsid w:val="007E2C56"/>
    <w:rsid w:val="007E2F18"/>
    <w:rsid w:val="007E3324"/>
    <w:rsid w:val="007E3BFB"/>
    <w:rsid w:val="007E441E"/>
    <w:rsid w:val="007E49CC"/>
    <w:rsid w:val="007E4CC5"/>
    <w:rsid w:val="007E4E35"/>
    <w:rsid w:val="007E50D9"/>
    <w:rsid w:val="007E50FD"/>
    <w:rsid w:val="007E529E"/>
    <w:rsid w:val="007E6B01"/>
    <w:rsid w:val="007E6C00"/>
    <w:rsid w:val="007E6C03"/>
    <w:rsid w:val="007E6C37"/>
    <w:rsid w:val="007E6E8D"/>
    <w:rsid w:val="007E7EC0"/>
    <w:rsid w:val="007E7F7F"/>
    <w:rsid w:val="007F0A1F"/>
    <w:rsid w:val="007F0F8B"/>
    <w:rsid w:val="007F0F9A"/>
    <w:rsid w:val="007F1257"/>
    <w:rsid w:val="007F2223"/>
    <w:rsid w:val="007F27DE"/>
    <w:rsid w:val="007F2818"/>
    <w:rsid w:val="007F2970"/>
    <w:rsid w:val="007F2F12"/>
    <w:rsid w:val="007F3F45"/>
    <w:rsid w:val="007F3FCB"/>
    <w:rsid w:val="007F4038"/>
    <w:rsid w:val="007F4AA6"/>
    <w:rsid w:val="007F4D4C"/>
    <w:rsid w:val="007F51A7"/>
    <w:rsid w:val="007F5A80"/>
    <w:rsid w:val="007F5A9E"/>
    <w:rsid w:val="007F5E18"/>
    <w:rsid w:val="007F79E7"/>
    <w:rsid w:val="007F7B27"/>
    <w:rsid w:val="007F7C9C"/>
    <w:rsid w:val="007F7CCB"/>
    <w:rsid w:val="007F7D22"/>
    <w:rsid w:val="008000E0"/>
    <w:rsid w:val="00801B80"/>
    <w:rsid w:val="00802546"/>
    <w:rsid w:val="00802553"/>
    <w:rsid w:val="008025E4"/>
    <w:rsid w:val="008028A4"/>
    <w:rsid w:val="008033D1"/>
    <w:rsid w:val="00803C33"/>
    <w:rsid w:val="00804146"/>
    <w:rsid w:val="00804746"/>
    <w:rsid w:val="00805815"/>
    <w:rsid w:val="008059E1"/>
    <w:rsid w:val="00805A62"/>
    <w:rsid w:val="00805A70"/>
    <w:rsid w:val="00806078"/>
    <w:rsid w:val="008077CA"/>
    <w:rsid w:val="00807D8E"/>
    <w:rsid w:val="00810B77"/>
    <w:rsid w:val="00810C1C"/>
    <w:rsid w:val="00811A5D"/>
    <w:rsid w:val="008120B1"/>
    <w:rsid w:val="008127A4"/>
    <w:rsid w:val="008147AC"/>
    <w:rsid w:val="00814990"/>
    <w:rsid w:val="00814BB0"/>
    <w:rsid w:val="00814D12"/>
    <w:rsid w:val="00814E10"/>
    <w:rsid w:val="008150C1"/>
    <w:rsid w:val="00815518"/>
    <w:rsid w:val="008155CC"/>
    <w:rsid w:val="00815724"/>
    <w:rsid w:val="008162B9"/>
    <w:rsid w:val="00816FF8"/>
    <w:rsid w:val="0081706A"/>
    <w:rsid w:val="008174CA"/>
    <w:rsid w:val="008200D9"/>
    <w:rsid w:val="008201B5"/>
    <w:rsid w:val="008201EA"/>
    <w:rsid w:val="00820417"/>
    <w:rsid w:val="00821460"/>
    <w:rsid w:val="00821633"/>
    <w:rsid w:val="008216EC"/>
    <w:rsid w:val="0082172B"/>
    <w:rsid w:val="0082514A"/>
    <w:rsid w:val="00825AA0"/>
    <w:rsid w:val="00825EF6"/>
    <w:rsid w:val="00826954"/>
    <w:rsid w:val="00827D54"/>
    <w:rsid w:val="00827DA5"/>
    <w:rsid w:val="00830C73"/>
    <w:rsid w:val="00830EE4"/>
    <w:rsid w:val="00833A54"/>
    <w:rsid w:val="00833BD5"/>
    <w:rsid w:val="0083419A"/>
    <w:rsid w:val="008344CD"/>
    <w:rsid w:val="008355B4"/>
    <w:rsid w:val="008359B5"/>
    <w:rsid w:val="00835D84"/>
    <w:rsid w:val="00836535"/>
    <w:rsid w:val="0083717D"/>
    <w:rsid w:val="00837DC3"/>
    <w:rsid w:val="0084015A"/>
    <w:rsid w:val="008415FF"/>
    <w:rsid w:val="00842885"/>
    <w:rsid w:val="00844ADB"/>
    <w:rsid w:val="008452DC"/>
    <w:rsid w:val="0084562B"/>
    <w:rsid w:val="00845F2A"/>
    <w:rsid w:val="008464E1"/>
    <w:rsid w:val="008466B5"/>
    <w:rsid w:val="008466DE"/>
    <w:rsid w:val="00847579"/>
    <w:rsid w:val="00847D00"/>
    <w:rsid w:val="00847D86"/>
    <w:rsid w:val="00850A0C"/>
    <w:rsid w:val="00851920"/>
    <w:rsid w:val="00851ABF"/>
    <w:rsid w:val="00851C64"/>
    <w:rsid w:val="00851E5A"/>
    <w:rsid w:val="008520CE"/>
    <w:rsid w:val="008525DD"/>
    <w:rsid w:val="008528EB"/>
    <w:rsid w:val="00852C1B"/>
    <w:rsid w:val="00852DB4"/>
    <w:rsid w:val="00852FF9"/>
    <w:rsid w:val="008537BE"/>
    <w:rsid w:val="0085456B"/>
    <w:rsid w:val="00854F73"/>
    <w:rsid w:val="00854F75"/>
    <w:rsid w:val="0085578B"/>
    <w:rsid w:val="0085589B"/>
    <w:rsid w:val="008558E6"/>
    <w:rsid w:val="00856635"/>
    <w:rsid w:val="008568BE"/>
    <w:rsid w:val="00857248"/>
    <w:rsid w:val="00857B90"/>
    <w:rsid w:val="00857CD0"/>
    <w:rsid w:val="00857D9F"/>
    <w:rsid w:val="0086051D"/>
    <w:rsid w:val="0086083D"/>
    <w:rsid w:val="008613E3"/>
    <w:rsid w:val="00861D86"/>
    <w:rsid w:val="00862B88"/>
    <w:rsid w:val="00862FB9"/>
    <w:rsid w:val="00863251"/>
    <w:rsid w:val="0086331C"/>
    <w:rsid w:val="00863F5F"/>
    <w:rsid w:val="0086473B"/>
    <w:rsid w:val="00864C29"/>
    <w:rsid w:val="00867026"/>
    <w:rsid w:val="008702E7"/>
    <w:rsid w:val="008706CD"/>
    <w:rsid w:val="00870854"/>
    <w:rsid w:val="00870C61"/>
    <w:rsid w:val="00870CBC"/>
    <w:rsid w:val="00870FAB"/>
    <w:rsid w:val="00871EA6"/>
    <w:rsid w:val="008729FB"/>
    <w:rsid w:val="008732C2"/>
    <w:rsid w:val="00873359"/>
    <w:rsid w:val="00873819"/>
    <w:rsid w:val="00873D14"/>
    <w:rsid w:val="00873E29"/>
    <w:rsid w:val="00874517"/>
    <w:rsid w:val="00875C10"/>
    <w:rsid w:val="00875FFD"/>
    <w:rsid w:val="00877226"/>
    <w:rsid w:val="00877EAB"/>
    <w:rsid w:val="008802B1"/>
    <w:rsid w:val="008809C2"/>
    <w:rsid w:val="00880E31"/>
    <w:rsid w:val="008814BF"/>
    <w:rsid w:val="00881A9D"/>
    <w:rsid w:val="00882EC0"/>
    <w:rsid w:val="008831C6"/>
    <w:rsid w:val="00884DDF"/>
    <w:rsid w:val="00885966"/>
    <w:rsid w:val="00885F45"/>
    <w:rsid w:val="00886F25"/>
    <w:rsid w:val="00886F68"/>
    <w:rsid w:val="008909DC"/>
    <w:rsid w:val="00890B62"/>
    <w:rsid w:val="00890F56"/>
    <w:rsid w:val="00891FE7"/>
    <w:rsid w:val="0089257A"/>
    <w:rsid w:val="00892AC3"/>
    <w:rsid w:val="00892D34"/>
    <w:rsid w:val="00892EA8"/>
    <w:rsid w:val="0089381F"/>
    <w:rsid w:val="008939A2"/>
    <w:rsid w:val="00893C58"/>
    <w:rsid w:val="00893D29"/>
    <w:rsid w:val="008942A6"/>
    <w:rsid w:val="00894488"/>
    <w:rsid w:val="00894890"/>
    <w:rsid w:val="0089534B"/>
    <w:rsid w:val="008961AC"/>
    <w:rsid w:val="00896F47"/>
    <w:rsid w:val="008974DB"/>
    <w:rsid w:val="008A00B0"/>
    <w:rsid w:val="008A02F6"/>
    <w:rsid w:val="008A0E55"/>
    <w:rsid w:val="008A2E3B"/>
    <w:rsid w:val="008A2EDA"/>
    <w:rsid w:val="008A2F22"/>
    <w:rsid w:val="008A31A8"/>
    <w:rsid w:val="008A4633"/>
    <w:rsid w:val="008A5618"/>
    <w:rsid w:val="008A5BB7"/>
    <w:rsid w:val="008A5EBB"/>
    <w:rsid w:val="008B2034"/>
    <w:rsid w:val="008B2236"/>
    <w:rsid w:val="008B22AB"/>
    <w:rsid w:val="008B2D31"/>
    <w:rsid w:val="008B2EE4"/>
    <w:rsid w:val="008B31E4"/>
    <w:rsid w:val="008B3763"/>
    <w:rsid w:val="008B4423"/>
    <w:rsid w:val="008B4500"/>
    <w:rsid w:val="008B4DB6"/>
    <w:rsid w:val="008B4F83"/>
    <w:rsid w:val="008B519A"/>
    <w:rsid w:val="008B51E1"/>
    <w:rsid w:val="008B53BC"/>
    <w:rsid w:val="008B6876"/>
    <w:rsid w:val="008C0244"/>
    <w:rsid w:val="008C066B"/>
    <w:rsid w:val="008C0A94"/>
    <w:rsid w:val="008C1728"/>
    <w:rsid w:val="008C17FF"/>
    <w:rsid w:val="008C1B83"/>
    <w:rsid w:val="008C1F0B"/>
    <w:rsid w:val="008C2380"/>
    <w:rsid w:val="008C2E8B"/>
    <w:rsid w:val="008C3102"/>
    <w:rsid w:val="008C4577"/>
    <w:rsid w:val="008C486E"/>
    <w:rsid w:val="008C4D72"/>
    <w:rsid w:val="008C5358"/>
    <w:rsid w:val="008C58E4"/>
    <w:rsid w:val="008C6748"/>
    <w:rsid w:val="008D0636"/>
    <w:rsid w:val="008D0A48"/>
    <w:rsid w:val="008D0E17"/>
    <w:rsid w:val="008D1196"/>
    <w:rsid w:val="008D1460"/>
    <w:rsid w:val="008D2162"/>
    <w:rsid w:val="008D24EF"/>
    <w:rsid w:val="008D2514"/>
    <w:rsid w:val="008D2840"/>
    <w:rsid w:val="008D2A9D"/>
    <w:rsid w:val="008D2F0F"/>
    <w:rsid w:val="008D3348"/>
    <w:rsid w:val="008D33B0"/>
    <w:rsid w:val="008D344B"/>
    <w:rsid w:val="008D346E"/>
    <w:rsid w:val="008D3FC8"/>
    <w:rsid w:val="008D48C0"/>
    <w:rsid w:val="008D5344"/>
    <w:rsid w:val="008D5396"/>
    <w:rsid w:val="008D5528"/>
    <w:rsid w:val="008D5ED1"/>
    <w:rsid w:val="008D6386"/>
    <w:rsid w:val="008D6E69"/>
    <w:rsid w:val="008D7226"/>
    <w:rsid w:val="008D744B"/>
    <w:rsid w:val="008D78E3"/>
    <w:rsid w:val="008D7E73"/>
    <w:rsid w:val="008E019C"/>
    <w:rsid w:val="008E01EA"/>
    <w:rsid w:val="008E09FA"/>
    <w:rsid w:val="008E0A56"/>
    <w:rsid w:val="008E0B11"/>
    <w:rsid w:val="008E10A2"/>
    <w:rsid w:val="008E2DF7"/>
    <w:rsid w:val="008E32CB"/>
    <w:rsid w:val="008E34E4"/>
    <w:rsid w:val="008E365D"/>
    <w:rsid w:val="008E3860"/>
    <w:rsid w:val="008E4623"/>
    <w:rsid w:val="008E5AAF"/>
    <w:rsid w:val="008E5EC7"/>
    <w:rsid w:val="008E60D1"/>
    <w:rsid w:val="008E7055"/>
    <w:rsid w:val="008E70D6"/>
    <w:rsid w:val="008E77C2"/>
    <w:rsid w:val="008E7BE2"/>
    <w:rsid w:val="008F085D"/>
    <w:rsid w:val="008F1618"/>
    <w:rsid w:val="008F2057"/>
    <w:rsid w:val="008F25F2"/>
    <w:rsid w:val="008F28F1"/>
    <w:rsid w:val="008F3040"/>
    <w:rsid w:val="008F3673"/>
    <w:rsid w:val="008F4365"/>
    <w:rsid w:val="008F43EF"/>
    <w:rsid w:val="008F45A3"/>
    <w:rsid w:val="008F4E39"/>
    <w:rsid w:val="008F5854"/>
    <w:rsid w:val="008F5959"/>
    <w:rsid w:val="008F5C0F"/>
    <w:rsid w:val="008F64E7"/>
    <w:rsid w:val="008F6C0E"/>
    <w:rsid w:val="008F70BC"/>
    <w:rsid w:val="008F797B"/>
    <w:rsid w:val="008F7ED4"/>
    <w:rsid w:val="00900117"/>
    <w:rsid w:val="0090013E"/>
    <w:rsid w:val="00900783"/>
    <w:rsid w:val="00900FE2"/>
    <w:rsid w:val="00901EAB"/>
    <w:rsid w:val="0090231C"/>
    <w:rsid w:val="00902743"/>
    <w:rsid w:val="0090274F"/>
    <w:rsid w:val="00902DDA"/>
    <w:rsid w:val="00904164"/>
    <w:rsid w:val="00904B33"/>
    <w:rsid w:val="00904FAA"/>
    <w:rsid w:val="009052B1"/>
    <w:rsid w:val="00905FCA"/>
    <w:rsid w:val="00906490"/>
    <w:rsid w:val="009071B2"/>
    <w:rsid w:val="009103DF"/>
    <w:rsid w:val="00910DE8"/>
    <w:rsid w:val="00911337"/>
    <w:rsid w:val="009113EC"/>
    <w:rsid w:val="00911F35"/>
    <w:rsid w:val="00912F84"/>
    <w:rsid w:val="0091305F"/>
    <w:rsid w:val="009139E5"/>
    <w:rsid w:val="00913F7A"/>
    <w:rsid w:val="00915350"/>
    <w:rsid w:val="0091574B"/>
    <w:rsid w:val="009158DE"/>
    <w:rsid w:val="00915AEF"/>
    <w:rsid w:val="00915D42"/>
    <w:rsid w:val="00917EF1"/>
    <w:rsid w:val="009202AB"/>
    <w:rsid w:val="00920F76"/>
    <w:rsid w:val="009211C7"/>
    <w:rsid w:val="009214FC"/>
    <w:rsid w:val="0092200D"/>
    <w:rsid w:val="0092250F"/>
    <w:rsid w:val="009227F0"/>
    <w:rsid w:val="00922C85"/>
    <w:rsid w:val="00922EE0"/>
    <w:rsid w:val="009237ED"/>
    <w:rsid w:val="00923EC0"/>
    <w:rsid w:val="009246C5"/>
    <w:rsid w:val="00924A94"/>
    <w:rsid w:val="00924B2F"/>
    <w:rsid w:val="00925351"/>
    <w:rsid w:val="0092542A"/>
    <w:rsid w:val="009258AD"/>
    <w:rsid w:val="009258C0"/>
    <w:rsid w:val="0092612A"/>
    <w:rsid w:val="00926A86"/>
    <w:rsid w:val="00927210"/>
    <w:rsid w:val="00927667"/>
    <w:rsid w:val="009277FC"/>
    <w:rsid w:val="009278B9"/>
    <w:rsid w:val="00927DA8"/>
    <w:rsid w:val="00927E02"/>
    <w:rsid w:val="009307FD"/>
    <w:rsid w:val="00930CC6"/>
    <w:rsid w:val="00931507"/>
    <w:rsid w:val="00931917"/>
    <w:rsid w:val="00932A1F"/>
    <w:rsid w:val="00932C49"/>
    <w:rsid w:val="00933038"/>
    <w:rsid w:val="009343C5"/>
    <w:rsid w:val="009347B8"/>
    <w:rsid w:val="00935363"/>
    <w:rsid w:val="00935E8B"/>
    <w:rsid w:val="0094048D"/>
    <w:rsid w:val="00940760"/>
    <w:rsid w:val="00940808"/>
    <w:rsid w:val="0094158F"/>
    <w:rsid w:val="00941804"/>
    <w:rsid w:val="00942131"/>
    <w:rsid w:val="009421EA"/>
    <w:rsid w:val="00943686"/>
    <w:rsid w:val="00943B96"/>
    <w:rsid w:val="00943DC1"/>
    <w:rsid w:val="009441B1"/>
    <w:rsid w:val="00944CBA"/>
    <w:rsid w:val="00945C91"/>
    <w:rsid w:val="009462B6"/>
    <w:rsid w:val="00946B76"/>
    <w:rsid w:val="00946BA4"/>
    <w:rsid w:val="00946CC6"/>
    <w:rsid w:val="0094780E"/>
    <w:rsid w:val="009501A4"/>
    <w:rsid w:val="00950553"/>
    <w:rsid w:val="00950FD1"/>
    <w:rsid w:val="00951029"/>
    <w:rsid w:val="009519C3"/>
    <w:rsid w:val="00952DDC"/>
    <w:rsid w:val="0095327C"/>
    <w:rsid w:val="00953EF3"/>
    <w:rsid w:val="00953FCF"/>
    <w:rsid w:val="0095485F"/>
    <w:rsid w:val="009548B7"/>
    <w:rsid w:val="009549B2"/>
    <w:rsid w:val="00954B6B"/>
    <w:rsid w:val="00954B92"/>
    <w:rsid w:val="00954C69"/>
    <w:rsid w:val="009554B5"/>
    <w:rsid w:val="00956034"/>
    <w:rsid w:val="0095620E"/>
    <w:rsid w:val="00956767"/>
    <w:rsid w:val="00956860"/>
    <w:rsid w:val="00956DBF"/>
    <w:rsid w:val="00956E16"/>
    <w:rsid w:val="0095719F"/>
    <w:rsid w:val="00957756"/>
    <w:rsid w:val="00957B47"/>
    <w:rsid w:val="00957BA4"/>
    <w:rsid w:val="00960458"/>
    <w:rsid w:val="00960C15"/>
    <w:rsid w:val="00960E31"/>
    <w:rsid w:val="009623B8"/>
    <w:rsid w:val="0096248A"/>
    <w:rsid w:val="0096277F"/>
    <w:rsid w:val="009633AD"/>
    <w:rsid w:val="009643B6"/>
    <w:rsid w:val="00964AC8"/>
    <w:rsid w:val="0096505E"/>
    <w:rsid w:val="00965A85"/>
    <w:rsid w:val="00966205"/>
    <w:rsid w:val="00966870"/>
    <w:rsid w:val="00966E8A"/>
    <w:rsid w:val="009704DA"/>
    <w:rsid w:val="009706A5"/>
    <w:rsid w:val="00971093"/>
    <w:rsid w:val="009711D7"/>
    <w:rsid w:val="009713DD"/>
    <w:rsid w:val="00972792"/>
    <w:rsid w:val="00972AA4"/>
    <w:rsid w:val="00972D7E"/>
    <w:rsid w:val="0097418A"/>
    <w:rsid w:val="00974807"/>
    <w:rsid w:val="00974CFD"/>
    <w:rsid w:val="009750FF"/>
    <w:rsid w:val="00975532"/>
    <w:rsid w:val="00975CD1"/>
    <w:rsid w:val="00976961"/>
    <w:rsid w:val="00976D3C"/>
    <w:rsid w:val="00976F2C"/>
    <w:rsid w:val="00977054"/>
    <w:rsid w:val="009772CB"/>
    <w:rsid w:val="009773E9"/>
    <w:rsid w:val="0097745C"/>
    <w:rsid w:val="00977EAE"/>
    <w:rsid w:val="009801F2"/>
    <w:rsid w:val="00980CEE"/>
    <w:rsid w:val="00981501"/>
    <w:rsid w:val="00981819"/>
    <w:rsid w:val="00981C5B"/>
    <w:rsid w:val="00981F14"/>
    <w:rsid w:val="009820FB"/>
    <w:rsid w:val="009821CA"/>
    <w:rsid w:val="00982E3B"/>
    <w:rsid w:val="0098347E"/>
    <w:rsid w:val="00983590"/>
    <w:rsid w:val="00983CFC"/>
    <w:rsid w:val="0098420E"/>
    <w:rsid w:val="0098460D"/>
    <w:rsid w:val="00984E41"/>
    <w:rsid w:val="00987807"/>
    <w:rsid w:val="00987B66"/>
    <w:rsid w:val="009902D8"/>
    <w:rsid w:val="009904DA"/>
    <w:rsid w:val="00990764"/>
    <w:rsid w:val="0099076C"/>
    <w:rsid w:val="009912C6"/>
    <w:rsid w:val="009916F1"/>
    <w:rsid w:val="009917DA"/>
    <w:rsid w:val="00991B3B"/>
    <w:rsid w:val="00991CA3"/>
    <w:rsid w:val="00991F5E"/>
    <w:rsid w:val="00992864"/>
    <w:rsid w:val="00992C23"/>
    <w:rsid w:val="009934D7"/>
    <w:rsid w:val="00993850"/>
    <w:rsid w:val="00994974"/>
    <w:rsid w:val="00994B9F"/>
    <w:rsid w:val="00994BEE"/>
    <w:rsid w:val="00995669"/>
    <w:rsid w:val="009956B1"/>
    <w:rsid w:val="009969FF"/>
    <w:rsid w:val="00996A08"/>
    <w:rsid w:val="00997489"/>
    <w:rsid w:val="009975BC"/>
    <w:rsid w:val="00997942"/>
    <w:rsid w:val="009A002E"/>
    <w:rsid w:val="009A055E"/>
    <w:rsid w:val="009A0587"/>
    <w:rsid w:val="009A0BCD"/>
    <w:rsid w:val="009A0E7F"/>
    <w:rsid w:val="009A0FCC"/>
    <w:rsid w:val="009A1BF2"/>
    <w:rsid w:val="009A1E27"/>
    <w:rsid w:val="009A21DD"/>
    <w:rsid w:val="009A2420"/>
    <w:rsid w:val="009A3231"/>
    <w:rsid w:val="009A3738"/>
    <w:rsid w:val="009A3ABE"/>
    <w:rsid w:val="009A3C11"/>
    <w:rsid w:val="009A4428"/>
    <w:rsid w:val="009A5105"/>
    <w:rsid w:val="009A626A"/>
    <w:rsid w:val="009A65CD"/>
    <w:rsid w:val="009A6835"/>
    <w:rsid w:val="009A6A54"/>
    <w:rsid w:val="009A7254"/>
    <w:rsid w:val="009A75AF"/>
    <w:rsid w:val="009A7B88"/>
    <w:rsid w:val="009A7BF6"/>
    <w:rsid w:val="009B0B68"/>
    <w:rsid w:val="009B0FDA"/>
    <w:rsid w:val="009B2ADC"/>
    <w:rsid w:val="009B3098"/>
    <w:rsid w:val="009B3222"/>
    <w:rsid w:val="009B35A4"/>
    <w:rsid w:val="009B3EDB"/>
    <w:rsid w:val="009B42A9"/>
    <w:rsid w:val="009B46F8"/>
    <w:rsid w:val="009B5176"/>
    <w:rsid w:val="009B539B"/>
    <w:rsid w:val="009B7207"/>
    <w:rsid w:val="009B7E6D"/>
    <w:rsid w:val="009C02F6"/>
    <w:rsid w:val="009C0981"/>
    <w:rsid w:val="009C0ED1"/>
    <w:rsid w:val="009C104D"/>
    <w:rsid w:val="009C11B0"/>
    <w:rsid w:val="009C1520"/>
    <w:rsid w:val="009C19F1"/>
    <w:rsid w:val="009C2532"/>
    <w:rsid w:val="009C2C1E"/>
    <w:rsid w:val="009C2D78"/>
    <w:rsid w:val="009C2FDF"/>
    <w:rsid w:val="009C303D"/>
    <w:rsid w:val="009C3244"/>
    <w:rsid w:val="009C371D"/>
    <w:rsid w:val="009C4FE6"/>
    <w:rsid w:val="009C546E"/>
    <w:rsid w:val="009C5FA0"/>
    <w:rsid w:val="009C6B94"/>
    <w:rsid w:val="009C6FF8"/>
    <w:rsid w:val="009D0093"/>
    <w:rsid w:val="009D023F"/>
    <w:rsid w:val="009D04F8"/>
    <w:rsid w:val="009D06B7"/>
    <w:rsid w:val="009D093B"/>
    <w:rsid w:val="009D1188"/>
    <w:rsid w:val="009D15D4"/>
    <w:rsid w:val="009D168A"/>
    <w:rsid w:val="009D1869"/>
    <w:rsid w:val="009D1AE6"/>
    <w:rsid w:val="009D1CA0"/>
    <w:rsid w:val="009D21C7"/>
    <w:rsid w:val="009D27D2"/>
    <w:rsid w:val="009D2C46"/>
    <w:rsid w:val="009D332C"/>
    <w:rsid w:val="009D3347"/>
    <w:rsid w:val="009D3393"/>
    <w:rsid w:val="009D351F"/>
    <w:rsid w:val="009D4368"/>
    <w:rsid w:val="009D4A7D"/>
    <w:rsid w:val="009D4B23"/>
    <w:rsid w:val="009D5E71"/>
    <w:rsid w:val="009D5FAC"/>
    <w:rsid w:val="009D634F"/>
    <w:rsid w:val="009D67F2"/>
    <w:rsid w:val="009D7919"/>
    <w:rsid w:val="009D7B86"/>
    <w:rsid w:val="009E0705"/>
    <w:rsid w:val="009E0A67"/>
    <w:rsid w:val="009E0FF8"/>
    <w:rsid w:val="009E1143"/>
    <w:rsid w:val="009E1229"/>
    <w:rsid w:val="009E1697"/>
    <w:rsid w:val="009E1BA8"/>
    <w:rsid w:val="009E2E26"/>
    <w:rsid w:val="009E4B7C"/>
    <w:rsid w:val="009E522B"/>
    <w:rsid w:val="009E5458"/>
    <w:rsid w:val="009E5C65"/>
    <w:rsid w:val="009E5F09"/>
    <w:rsid w:val="009E608E"/>
    <w:rsid w:val="009E647E"/>
    <w:rsid w:val="009E7BAA"/>
    <w:rsid w:val="009E7DB6"/>
    <w:rsid w:val="009F04D5"/>
    <w:rsid w:val="009F0699"/>
    <w:rsid w:val="009F0835"/>
    <w:rsid w:val="009F1244"/>
    <w:rsid w:val="009F12FA"/>
    <w:rsid w:val="009F138D"/>
    <w:rsid w:val="009F17D0"/>
    <w:rsid w:val="009F233C"/>
    <w:rsid w:val="009F237F"/>
    <w:rsid w:val="009F3095"/>
    <w:rsid w:val="009F60CA"/>
    <w:rsid w:val="009F6377"/>
    <w:rsid w:val="009F68A9"/>
    <w:rsid w:val="009F6B66"/>
    <w:rsid w:val="00A00017"/>
    <w:rsid w:val="00A0003E"/>
    <w:rsid w:val="00A00C61"/>
    <w:rsid w:val="00A00D40"/>
    <w:rsid w:val="00A011BA"/>
    <w:rsid w:val="00A012BE"/>
    <w:rsid w:val="00A0179E"/>
    <w:rsid w:val="00A01CDB"/>
    <w:rsid w:val="00A020D2"/>
    <w:rsid w:val="00A022AB"/>
    <w:rsid w:val="00A02343"/>
    <w:rsid w:val="00A02392"/>
    <w:rsid w:val="00A025E3"/>
    <w:rsid w:val="00A0306D"/>
    <w:rsid w:val="00A04640"/>
    <w:rsid w:val="00A056C1"/>
    <w:rsid w:val="00A058BA"/>
    <w:rsid w:val="00A06337"/>
    <w:rsid w:val="00A07472"/>
    <w:rsid w:val="00A079C2"/>
    <w:rsid w:val="00A101D1"/>
    <w:rsid w:val="00A1054A"/>
    <w:rsid w:val="00A1080E"/>
    <w:rsid w:val="00A10B5D"/>
    <w:rsid w:val="00A1149E"/>
    <w:rsid w:val="00A11D09"/>
    <w:rsid w:val="00A123A9"/>
    <w:rsid w:val="00A1298F"/>
    <w:rsid w:val="00A12EC1"/>
    <w:rsid w:val="00A13324"/>
    <w:rsid w:val="00A13DEA"/>
    <w:rsid w:val="00A13F2F"/>
    <w:rsid w:val="00A147A5"/>
    <w:rsid w:val="00A14860"/>
    <w:rsid w:val="00A14958"/>
    <w:rsid w:val="00A14BC0"/>
    <w:rsid w:val="00A14E68"/>
    <w:rsid w:val="00A158E5"/>
    <w:rsid w:val="00A15963"/>
    <w:rsid w:val="00A15A2A"/>
    <w:rsid w:val="00A15EC1"/>
    <w:rsid w:val="00A161E6"/>
    <w:rsid w:val="00A163B0"/>
    <w:rsid w:val="00A165B2"/>
    <w:rsid w:val="00A165C8"/>
    <w:rsid w:val="00A16BA5"/>
    <w:rsid w:val="00A16D99"/>
    <w:rsid w:val="00A16DDF"/>
    <w:rsid w:val="00A1779C"/>
    <w:rsid w:val="00A20C75"/>
    <w:rsid w:val="00A20F07"/>
    <w:rsid w:val="00A21CAF"/>
    <w:rsid w:val="00A22799"/>
    <w:rsid w:val="00A227BD"/>
    <w:rsid w:val="00A22AEF"/>
    <w:rsid w:val="00A24956"/>
    <w:rsid w:val="00A24BBB"/>
    <w:rsid w:val="00A24E2C"/>
    <w:rsid w:val="00A25263"/>
    <w:rsid w:val="00A252B1"/>
    <w:rsid w:val="00A2721A"/>
    <w:rsid w:val="00A274D6"/>
    <w:rsid w:val="00A279B3"/>
    <w:rsid w:val="00A27DC3"/>
    <w:rsid w:val="00A302AC"/>
    <w:rsid w:val="00A305A5"/>
    <w:rsid w:val="00A30DF6"/>
    <w:rsid w:val="00A310F5"/>
    <w:rsid w:val="00A314CD"/>
    <w:rsid w:val="00A318D9"/>
    <w:rsid w:val="00A326B8"/>
    <w:rsid w:val="00A32919"/>
    <w:rsid w:val="00A3381E"/>
    <w:rsid w:val="00A3439F"/>
    <w:rsid w:val="00A3483A"/>
    <w:rsid w:val="00A34F3C"/>
    <w:rsid w:val="00A3518C"/>
    <w:rsid w:val="00A36599"/>
    <w:rsid w:val="00A36D51"/>
    <w:rsid w:val="00A374DB"/>
    <w:rsid w:val="00A37693"/>
    <w:rsid w:val="00A400A8"/>
    <w:rsid w:val="00A408CC"/>
    <w:rsid w:val="00A40A9C"/>
    <w:rsid w:val="00A4196E"/>
    <w:rsid w:val="00A419E0"/>
    <w:rsid w:val="00A42DB5"/>
    <w:rsid w:val="00A43038"/>
    <w:rsid w:val="00A43D84"/>
    <w:rsid w:val="00A440C1"/>
    <w:rsid w:val="00A44553"/>
    <w:rsid w:val="00A445F4"/>
    <w:rsid w:val="00A45183"/>
    <w:rsid w:val="00A451E5"/>
    <w:rsid w:val="00A45277"/>
    <w:rsid w:val="00A46C1F"/>
    <w:rsid w:val="00A4782A"/>
    <w:rsid w:val="00A50661"/>
    <w:rsid w:val="00A50CD0"/>
    <w:rsid w:val="00A519AF"/>
    <w:rsid w:val="00A51AF5"/>
    <w:rsid w:val="00A51C4A"/>
    <w:rsid w:val="00A51C66"/>
    <w:rsid w:val="00A51DBF"/>
    <w:rsid w:val="00A51E0C"/>
    <w:rsid w:val="00A51EC1"/>
    <w:rsid w:val="00A51F60"/>
    <w:rsid w:val="00A527DD"/>
    <w:rsid w:val="00A52B14"/>
    <w:rsid w:val="00A52BD4"/>
    <w:rsid w:val="00A52E6E"/>
    <w:rsid w:val="00A53277"/>
    <w:rsid w:val="00A5373E"/>
    <w:rsid w:val="00A55A2F"/>
    <w:rsid w:val="00A56528"/>
    <w:rsid w:val="00A56D53"/>
    <w:rsid w:val="00A57379"/>
    <w:rsid w:val="00A5745F"/>
    <w:rsid w:val="00A575AF"/>
    <w:rsid w:val="00A57D77"/>
    <w:rsid w:val="00A57DE1"/>
    <w:rsid w:val="00A57DEF"/>
    <w:rsid w:val="00A57FD4"/>
    <w:rsid w:val="00A60567"/>
    <w:rsid w:val="00A60B09"/>
    <w:rsid w:val="00A61139"/>
    <w:rsid w:val="00A6130B"/>
    <w:rsid w:val="00A6142B"/>
    <w:rsid w:val="00A61A19"/>
    <w:rsid w:val="00A625B1"/>
    <w:rsid w:val="00A62D87"/>
    <w:rsid w:val="00A630CB"/>
    <w:rsid w:val="00A6379F"/>
    <w:rsid w:val="00A6382E"/>
    <w:rsid w:val="00A639FA"/>
    <w:rsid w:val="00A64FF6"/>
    <w:rsid w:val="00A657A0"/>
    <w:rsid w:val="00A6742F"/>
    <w:rsid w:val="00A67AA3"/>
    <w:rsid w:val="00A67AFE"/>
    <w:rsid w:val="00A70113"/>
    <w:rsid w:val="00A70693"/>
    <w:rsid w:val="00A70E24"/>
    <w:rsid w:val="00A70ECE"/>
    <w:rsid w:val="00A7104E"/>
    <w:rsid w:val="00A72A7E"/>
    <w:rsid w:val="00A73B5D"/>
    <w:rsid w:val="00A740E1"/>
    <w:rsid w:val="00A748A5"/>
    <w:rsid w:val="00A74920"/>
    <w:rsid w:val="00A74A4C"/>
    <w:rsid w:val="00A74A98"/>
    <w:rsid w:val="00A756C5"/>
    <w:rsid w:val="00A761B9"/>
    <w:rsid w:val="00A763EA"/>
    <w:rsid w:val="00A76A36"/>
    <w:rsid w:val="00A7723C"/>
    <w:rsid w:val="00A772CB"/>
    <w:rsid w:val="00A773EC"/>
    <w:rsid w:val="00A80475"/>
    <w:rsid w:val="00A808F4"/>
    <w:rsid w:val="00A80A86"/>
    <w:rsid w:val="00A80F74"/>
    <w:rsid w:val="00A81C97"/>
    <w:rsid w:val="00A82252"/>
    <w:rsid w:val="00A82A86"/>
    <w:rsid w:val="00A83134"/>
    <w:rsid w:val="00A83D1E"/>
    <w:rsid w:val="00A841A1"/>
    <w:rsid w:val="00A84217"/>
    <w:rsid w:val="00A84CAA"/>
    <w:rsid w:val="00A84D9C"/>
    <w:rsid w:val="00A84F0F"/>
    <w:rsid w:val="00A85A28"/>
    <w:rsid w:val="00A85FBD"/>
    <w:rsid w:val="00A85FCA"/>
    <w:rsid w:val="00A85FDD"/>
    <w:rsid w:val="00A86B1A"/>
    <w:rsid w:val="00A872AC"/>
    <w:rsid w:val="00A87713"/>
    <w:rsid w:val="00A90617"/>
    <w:rsid w:val="00A9062B"/>
    <w:rsid w:val="00A9067F"/>
    <w:rsid w:val="00A90E6D"/>
    <w:rsid w:val="00A94588"/>
    <w:rsid w:val="00A94B48"/>
    <w:rsid w:val="00A94C65"/>
    <w:rsid w:val="00A94D43"/>
    <w:rsid w:val="00A94E36"/>
    <w:rsid w:val="00A94E98"/>
    <w:rsid w:val="00A952CC"/>
    <w:rsid w:val="00A96E6B"/>
    <w:rsid w:val="00A96FA9"/>
    <w:rsid w:val="00A97419"/>
    <w:rsid w:val="00A978EC"/>
    <w:rsid w:val="00A97B15"/>
    <w:rsid w:val="00AA0712"/>
    <w:rsid w:val="00AA0D36"/>
    <w:rsid w:val="00AA0ECA"/>
    <w:rsid w:val="00AA1560"/>
    <w:rsid w:val="00AA20C1"/>
    <w:rsid w:val="00AA44C3"/>
    <w:rsid w:val="00AA4F41"/>
    <w:rsid w:val="00AA5186"/>
    <w:rsid w:val="00AA5F71"/>
    <w:rsid w:val="00AA67B3"/>
    <w:rsid w:val="00AA690B"/>
    <w:rsid w:val="00AA6C2F"/>
    <w:rsid w:val="00AA6E2B"/>
    <w:rsid w:val="00AA7096"/>
    <w:rsid w:val="00AA720F"/>
    <w:rsid w:val="00AA7A95"/>
    <w:rsid w:val="00AA7CD7"/>
    <w:rsid w:val="00AB13FB"/>
    <w:rsid w:val="00AB175E"/>
    <w:rsid w:val="00AB17AF"/>
    <w:rsid w:val="00AB1838"/>
    <w:rsid w:val="00AB1CFF"/>
    <w:rsid w:val="00AB1DB0"/>
    <w:rsid w:val="00AB393F"/>
    <w:rsid w:val="00AB39C5"/>
    <w:rsid w:val="00AB41D2"/>
    <w:rsid w:val="00AB4F9C"/>
    <w:rsid w:val="00AB5AB4"/>
    <w:rsid w:val="00AB5CA5"/>
    <w:rsid w:val="00AB616B"/>
    <w:rsid w:val="00AB7320"/>
    <w:rsid w:val="00AB77A9"/>
    <w:rsid w:val="00AB7AC8"/>
    <w:rsid w:val="00AC0122"/>
    <w:rsid w:val="00AC023E"/>
    <w:rsid w:val="00AC04EB"/>
    <w:rsid w:val="00AC0690"/>
    <w:rsid w:val="00AC0C17"/>
    <w:rsid w:val="00AC0F2F"/>
    <w:rsid w:val="00AC12BE"/>
    <w:rsid w:val="00AC1FAF"/>
    <w:rsid w:val="00AC318A"/>
    <w:rsid w:val="00AC3A10"/>
    <w:rsid w:val="00AC4472"/>
    <w:rsid w:val="00AC5D93"/>
    <w:rsid w:val="00AC5E3F"/>
    <w:rsid w:val="00AC60BC"/>
    <w:rsid w:val="00AC6501"/>
    <w:rsid w:val="00AC72D5"/>
    <w:rsid w:val="00AC75B3"/>
    <w:rsid w:val="00AC780A"/>
    <w:rsid w:val="00AD0679"/>
    <w:rsid w:val="00AD06CC"/>
    <w:rsid w:val="00AD096B"/>
    <w:rsid w:val="00AD13BA"/>
    <w:rsid w:val="00AD2AF0"/>
    <w:rsid w:val="00AD4A8E"/>
    <w:rsid w:val="00AD4D20"/>
    <w:rsid w:val="00AD4FF8"/>
    <w:rsid w:val="00AD5D66"/>
    <w:rsid w:val="00AD6228"/>
    <w:rsid w:val="00AD6C56"/>
    <w:rsid w:val="00AD7C11"/>
    <w:rsid w:val="00AE0256"/>
    <w:rsid w:val="00AE0BC0"/>
    <w:rsid w:val="00AE0EC2"/>
    <w:rsid w:val="00AE0F51"/>
    <w:rsid w:val="00AE16B8"/>
    <w:rsid w:val="00AE18AA"/>
    <w:rsid w:val="00AE26AA"/>
    <w:rsid w:val="00AE27B9"/>
    <w:rsid w:val="00AE3104"/>
    <w:rsid w:val="00AE3A7C"/>
    <w:rsid w:val="00AE3CB7"/>
    <w:rsid w:val="00AE404B"/>
    <w:rsid w:val="00AE484E"/>
    <w:rsid w:val="00AE4EF6"/>
    <w:rsid w:val="00AE6BB0"/>
    <w:rsid w:val="00AE742B"/>
    <w:rsid w:val="00AE7BC8"/>
    <w:rsid w:val="00AF00C7"/>
    <w:rsid w:val="00AF096D"/>
    <w:rsid w:val="00AF0FD5"/>
    <w:rsid w:val="00AF1C59"/>
    <w:rsid w:val="00AF20B3"/>
    <w:rsid w:val="00AF2327"/>
    <w:rsid w:val="00AF27DF"/>
    <w:rsid w:val="00AF2D03"/>
    <w:rsid w:val="00AF2FD1"/>
    <w:rsid w:val="00AF45EE"/>
    <w:rsid w:val="00AF4EC4"/>
    <w:rsid w:val="00AF5D46"/>
    <w:rsid w:val="00AF615D"/>
    <w:rsid w:val="00AF621B"/>
    <w:rsid w:val="00AF6368"/>
    <w:rsid w:val="00AF67F3"/>
    <w:rsid w:val="00AF68B6"/>
    <w:rsid w:val="00AF6C15"/>
    <w:rsid w:val="00AF708E"/>
    <w:rsid w:val="00AF7287"/>
    <w:rsid w:val="00AF7CC9"/>
    <w:rsid w:val="00AF7D7C"/>
    <w:rsid w:val="00B003DF"/>
    <w:rsid w:val="00B005D3"/>
    <w:rsid w:val="00B007F4"/>
    <w:rsid w:val="00B012E9"/>
    <w:rsid w:val="00B01580"/>
    <w:rsid w:val="00B01BC5"/>
    <w:rsid w:val="00B01D86"/>
    <w:rsid w:val="00B026C3"/>
    <w:rsid w:val="00B030D0"/>
    <w:rsid w:val="00B03167"/>
    <w:rsid w:val="00B031A7"/>
    <w:rsid w:val="00B03B03"/>
    <w:rsid w:val="00B03C44"/>
    <w:rsid w:val="00B042C7"/>
    <w:rsid w:val="00B0480F"/>
    <w:rsid w:val="00B0494E"/>
    <w:rsid w:val="00B05237"/>
    <w:rsid w:val="00B05806"/>
    <w:rsid w:val="00B05F6F"/>
    <w:rsid w:val="00B065E5"/>
    <w:rsid w:val="00B06C4B"/>
    <w:rsid w:val="00B06DAC"/>
    <w:rsid w:val="00B07DB6"/>
    <w:rsid w:val="00B10122"/>
    <w:rsid w:val="00B10E3D"/>
    <w:rsid w:val="00B110AF"/>
    <w:rsid w:val="00B112DA"/>
    <w:rsid w:val="00B1177A"/>
    <w:rsid w:val="00B11BE3"/>
    <w:rsid w:val="00B1209B"/>
    <w:rsid w:val="00B126B9"/>
    <w:rsid w:val="00B12A59"/>
    <w:rsid w:val="00B142AF"/>
    <w:rsid w:val="00B14BDD"/>
    <w:rsid w:val="00B15471"/>
    <w:rsid w:val="00B161C5"/>
    <w:rsid w:val="00B16E7C"/>
    <w:rsid w:val="00B205B3"/>
    <w:rsid w:val="00B209C6"/>
    <w:rsid w:val="00B20B22"/>
    <w:rsid w:val="00B20BD8"/>
    <w:rsid w:val="00B212E6"/>
    <w:rsid w:val="00B22DC3"/>
    <w:rsid w:val="00B22ECD"/>
    <w:rsid w:val="00B231D4"/>
    <w:rsid w:val="00B2345E"/>
    <w:rsid w:val="00B240D2"/>
    <w:rsid w:val="00B250D6"/>
    <w:rsid w:val="00B263CD"/>
    <w:rsid w:val="00B26868"/>
    <w:rsid w:val="00B26CCB"/>
    <w:rsid w:val="00B26D75"/>
    <w:rsid w:val="00B2716D"/>
    <w:rsid w:val="00B272FA"/>
    <w:rsid w:val="00B3079E"/>
    <w:rsid w:val="00B30BF0"/>
    <w:rsid w:val="00B3114D"/>
    <w:rsid w:val="00B31164"/>
    <w:rsid w:val="00B31506"/>
    <w:rsid w:val="00B31B69"/>
    <w:rsid w:val="00B31BC3"/>
    <w:rsid w:val="00B325F3"/>
    <w:rsid w:val="00B32A31"/>
    <w:rsid w:val="00B33921"/>
    <w:rsid w:val="00B33EEF"/>
    <w:rsid w:val="00B34EA5"/>
    <w:rsid w:val="00B3502F"/>
    <w:rsid w:val="00B350AE"/>
    <w:rsid w:val="00B35159"/>
    <w:rsid w:val="00B36A94"/>
    <w:rsid w:val="00B36DDE"/>
    <w:rsid w:val="00B3719D"/>
    <w:rsid w:val="00B3750D"/>
    <w:rsid w:val="00B37903"/>
    <w:rsid w:val="00B40042"/>
    <w:rsid w:val="00B40047"/>
    <w:rsid w:val="00B40975"/>
    <w:rsid w:val="00B40A7C"/>
    <w:rsid w:val="00B40F7C"/>
    <w:rsid w:val="00B4129B"/>
    <w:rsid w:val="00B416B7"/>
    <w:rsid w:val="00B4175F"/>
    <w:rsid w:val="00B41784"/>
    <w:rsid w:val="00B41835"/>
    <w:rsid w:val="00B418C8"/>
    <w:rsid w:val="00B42C79"/>
    <w:rsid w:val="00B436C8"/>
    <w:rsid w:val="00B4446F"/>
    <w:rsid w:val="00B4466B"/>
    <w:rsid w:val="00B454D0"/>
    <w:rsid w:val="00B45F2B"/>
    <w:rsid w:val="00B462F7"/>
    <w:rsid w:val="00B46739"/>
    <w:rsid w:val="00B46BF1"/>
    <w:rsid w:val="00B470CB"/>
    <w:rsid w:val="00B471D6"/>
    <w:rsid w:val="00B47292"/>
    <w:rsid w:val="00B47758"/>
    <w:rsid w:val="00B47D0C"/>
    <w:rsid w:val="00B47EFE"/>
    <w:rsid w:val="00B510AE"/>
    <w:rsid w:val="00B51555"/>
    <w:rsid w:val="00B521B3"/>
    <w:rsid w:val="00B5305F"/>
    <w:rsid w:val="00B54439"/>
    <w:rsid w:val="00B548CD"/>
    <w:rsid w:val="00B54978"/>
    <w:rsid w:val="00B54AE3"/>
    <w:rsid w:val="00B54D72"/>
    <w:rsid w:val="00B57285"/>
    <w:rsid w:val="00B6123D"/>
    <w:rsid w:val="00B615E4"/>
    <w:rsid w:val="00B621C8"/>
    <w:rsid w:val="00B62239"/>
    <w:rsid w:val="00B6253F"/>
    <w:rsid w:val="00B62655"/>
    <w:rsid w:val="00B626AE"/>
    <w:rsid w:val="00B63405"/>
    <w:rsid w:val="00B6356A"/>
    <w:rsid w:val="00B65E55"/>
    <w:rsid w:val="00B66817"/>
    <w:rsid w:val="00B66887"/>
    <w:rsid w:val="00B67076"/>
    <w:rsid w:val="00B67417"/>
    <w:rsid w:val="00B6759D"/>
    <w:rsid w:val="00B6789A"/>
    <w:rsid w:val="00B67D63"/>
    <w:rsid w:val="00B703B8"/>
    <w:rsid w:val="00B70852"/>
    <w:rsid w:val="00B71213"/>
    <w:rsid w:val="00B71721"/>
    <w:rsid w:val="00B7177E"/>
    <w:rsid w:val="00B71919"/>
    <w:rsid w:val="00B7249A"/>
    <w:rsid w:val="00B72BD7"/>
    <w:rsid w:val="00B735C6"/>
    <w:rsid w:val="00B738D4"/>
    <w:rsid w:val="00B742CB"/>
    <w:rsid w:val="00B7483F"/>
    <w:rsid w:val="00B752B5"/>
    <w:rsid w:val="00B759B8"/>
    <w:rsid w:val="00B762ED"/>
    <w:rsid w:val="00B76F40"/>
    <w:rsid w:val="00B77299"/>
    <w:rsid w:val="00B77478"/>
    <w:rsid w:val="00B774B1"/>
    <w:rsid w:val="00B77CC8"/>
    <w:rsid w:val="00B77E53"/>
    <w:rsid w:val="00B80DBC"/>
    <w:rsid w:val="00B81A51"/>
    <w:rsid w:val="00B81A58"/>
    <w:rsid w:val="00B81C60"/>
    <w:rsid w:val="00B81F21"/>
    <w:rsid w:val="00B82149"/>
    <w:rsid w:val="00B822BA"/>
    <w:rsid w:val="00B830E8"/>
    <w:rsid w:val="00B830FD"/>
    <w:rsid w:val="00B83BC7"/>
    <w:rsid w:val="00B84085"/>
    <w:rsid w:val="00B846DB"/>
    <w:rsid w:val="00B84F34"/>
    <w:rsid w:val="00B8532C"/>
    <w:rsid w:val="00B8563B"/>
    <w:rsid w:val="00B856C1"/>
    <w:rsid w:val="00B85936"/>
    <w:rsid w:val="00B869E4"/>
    <w:rsid w:val="00B86C2A"/>
    <w:rsid w:val="00B8707E"/>
    <w:rsid w:val="00B87304"/>
    <w:rsid w:val="00B878FA"/>
    <w:rsid w:val="00B87926"/>
    <w:rsid w:val="00B902AF"/>
    <w:rsid w:val="00B91018"/>
    <w:rsid w:val="00B9106B"/>
    <w:rsid w:val="00B91960"/>
    <w:rsid w:val="00B91A5D"/>
    <w:rsid w:val="00B91B1D"/>
    <w:rsid w:val="00B920BB"/>
    <w:rsid w:val="00B925C2"/>
    <w:rsid w:val="00B925CA"/>
    <w:rsid w:val="00B92B81"/>
    <w:rsid w:val="00B92DAA"/>
    <w:rsid w:val="00B9320A"/>
    <w:rsid w:val="00B9382E"/>
    <w:rsid w:val="00B94164"/>
    <w:rsid w:val="00B953FF"/>
    <w:rsid w:val="00B958D3"/>
    <w:rsid w:val="00B9619B"/>
    <w:rsid w:val="00B96355"/>
    <w:rsid w:val="00B96E65"/>
    <w:rsid w:val="00B9758D"/>
    <w:rsid w:val="00B97A9B"/>
    <w:rsid w:val="00BA012E"/>
    <w:rsid w:val="00BA04F4"/>
    <w:rsid w:val="00BA0B93"/>
    <w:rsid w:val="00BA1AB6"/>
    <w:rsid w:val="00BA1AC4"/>
    <w:rsid w:val="00BA3FCD"/>
    <w:rsid w:val="00BA41B0"/>
    <w:rsid w:val="00BA44FF"/>
    <w:rsid w:val="00BA4DC5"/>
    <w:rsid w:val="00BA50E5"/>
    <w:rsid w:val="00BA5851"/>
    <w:rsid w:val="00BA5976"/>
    <w:rsid w:val="00BA59C1"/>
    <w:rsid w:val="00BA5B39"/>
    <w:rsid w:val="00BA5C95"/>
    <w:rsid w:val="00BA5CFA"/>
    <w:rsid w:val="00BA5D1C"/>
    <w:rsid w:val="00BA5DD6"/>
    <w:rsid w:val="00BA624B"/>
    <w:rsid w:val="00BA66C1"/>
    <w:rsid w:val="00BA6AF6"/>
    <w:rsid w:val="00BA6B0F"/>
    <w:rsid w:val="00BA6D55"/>
    <w:rsid w:val="00BA719C"/>
    <w:rsid w:val="00BB142B"/>
    <w:rsid w:val="00BB14C7"/>
    <w:rsid w:val="00BB183B"/>
    <w:rsid w:val="00BB1876"/>
    <w:rsid w:val="00BB1898"/>
    <w:rsid w:val="00BB1B56"/>
    <w:rsid w:val="00BB1F6A"/>
    <w:rsid w:val="00BB2145"/>
    <w:rsid w:val="00BB21D1"/>
    <w:rsid w:val="00BB22D1"/>
    <w:rsid w:val="00BB31D9"/>
    <w:rsid w:val="00BB33C3"/>
    <w:rsid w:val="00BB3A88"/>
    <w:rsid w:val="00BB4042"/>
    <w:rsid w:val="00BB4240"/>
    <w:rsid w:val="00BB4539"/>
    <w:rsid w:val="00BB4DCA"/>
    <w:rsid w:val="00BB4F52"/>
    <w:rsid w:val="00BB4FF6"/>
    <w:rsid w:val="00BB53F5"/>
    <w:rsid w:val="00BB6484"/>
    <w:rsid w:val="00BB66D9"/>
    <w:rsid w:val="00BB6A7E"/>
    <w:rsid w:val="00BB736B"/>
    <w:rsid w:val="00BB7CAC"/>
    <w:rsid w:val="00BC0BA0"/>
    <w:rsid w:val="00BC0DAA"/>
    <w:rsid w:val="00BC108E"/>
    <w:rsid w:val="00BC17C8"/>
    <w:rsid w:val="00BC1A2E"/>
    <w:rsid w:val="00BC2676"/>
    <w:rsid w:val="00BC39BF"/>
    <w:rsid w:val="00BC3CB1"/>
    <w:rsid w:val="00BC4784"/>
    <w:rsid w:val="00BC4936"/>
    <w:rsid w:val="00BC4D82"/>
    <w:rsid w:val="00BC52E8"/>
    <w:rsid w:val="00BC58DB"/>
    <w:rsid w:val="00BC6A6E"/>
    <w:rsid w:val="00BC70DB"/>
    <w:rsid w:val="00BC7157"/>
    <w:rsid w:val="00BC772E"/>
    <w:rsid w:val="00BC7CF8"/>
    <w:rsid w:val="00BD0026"/>
    <w:rsid w:val="00BD01B2"/>
    <w:rsid w:val="00BD10A7"/>
    <w:rsid w:val="00BD1215"/>
    <w:rsid w:val="00BD1439"/>
    <w:rsid w:val="00BD1DDA"/>
    <w:rsid w:val="00BD2CA7"/>
    <w:rsid w:val="00BD540E"/>
    <w:rsid w:val="00BD5F69"/>
    <w:rsid w:val="00BD70BC"/>
    <w:rsid w:val="00BD79F1"/>
    <w:rsid w:val="00BD7C64"/>
    <w:rsid w:val="00BE0AF5"/>
    <w:rsid w:val="00BE0F12"/>
    <w:rsid w:val="00BE108E"/>
    <w:rsid w:val="00BE1248"/>
    <w:rsid w:val="00BE17E8"/>
    <w:rsid w:val="00BE1D04"/>
    <w:rsid w:val="00BE2B0D"/>
    <w:rsid w:val="00BE3984"/>
    <w:rsid w:val="00BE3EE0"/>
    <w:rsid w:val="00BE40AE"/>
    <w:rsid w:val="00BE4CD9"/>
    <w:rsid w:val="00BE5018"/>
    <w:rsid w:val="00BE535D"/>
    <w:rsid w:val="00BE5B9E"/>
    <w:rsid w:val="00BE6960"/>
    <w:rsid w:val="00BE6AA6"/>
    <w:rsid w:val="00BE6C4D"/>
    <w:rsid w:val="00BE7CAF"/>
    <w:rsid w:val="00BF04E9"/>
    <w:rsid w:val="00BF0AB0"/>
    <w:rsid w:val="00BF0ADE"/>
    <w:rsid w:val="00BF0E94"/>
    <w:rsid w:val="00BF1826"/>
    <w:rsid w:val="00BF18A4"/>
    <w:rsid w:val="00BF1C30"/>
    <w:rsid w:val="00BF1FA7"/>
    <w:rsid w:val="00BF291F"/>
    <w:rsid w:val="00BF2A7C"/>
    <w:rsid w:val="00BF2B7D"/>
    <w:rsid w:val="00BF2B91"/>
    <w:rsid w:val="00BF2F01"/>
    <w:rsid w:val="00BF2FBF"/>
    <w:rsid w:val="00BF475D"/>
    <w:rsid w:val="00BF6738"/>
    <w:rsid w:val="00BF6D5C"/>
    <w:rsid w:val="00BF7216"/>
    <w:rsid w:val="00C00543"/>
    <w:rsid w:val="00C011B3"/>
    <w:rsid w:val="00C0129F"/>
    <w:rsid w:val="00C013C7"/>
    <w:rsid w:val="00C015DA"/>
    <w:rsid w:val="00C01DF0"/>
    <w:rsid w:val="00C02406"/>
    <w:rsid w:val="00C02540"/>
    <w:rsid w:val="00C02DAA"/>
    <w:rsid w:val="00C03915"/>
    <w:rsid w:val="00C03E21"/>
    <w:rsid w:val="00C0408D"/>
    <w:rsid w:val="00C041E4"/>
    <w:rsid w:val="00C0464F"/>
    <w:rsid w:val="00C04969"/>
    <w:rsid w:val="00C051C1"/>
    <w:rsid w:val="00C05991"/>
    <w:rsid w:val="00C05B2A"/>
    <w:rsid w:val="00C05D32"/>
    <w:rsid w:val="00C061A3"/>
    <w:rsid w:val="00C07240"/>
    <w:rsid w:val="00C073D3"/>
    <w:rsid w:val="00C07AAC"/>
    <w:rsid w:val="00C07F63"/>
    <w:rsid w:val="00C07FC9"/>
    <w:rsid w:val="00C100BB"/>
    <w:rsid w:val="00C10F27"/>
    <w:rsid w:val="00C118F3"/>
    <w:rsid w:val="00C12084"/>
    <w:rsid w:val="00C12670"/>
    <w:rsid w:val="00C126AE"/>
    <w:rsid w:val="00C13635"/>
    <w:rsid w:val="00C1382A"/>
    <w:rsid w:val="00C13BBA"/>
    <w:rsid w:val="00C14195"/>
    <w:rsid w:val="00C141F2"/>
    <w:rsid w:val="00C145D7"/>
    <w:rsid w:val="00C1496A"/>
    <w:rsid w:val="00C14DDD"/>
    <w:rsid w:val="00C158EA"/>
    <w:rsid w:val="00C16230"/>
    <w:rsid w:val="00C165B0"/>
    <w:rsid w:val="00C168D2"/>
    <w:rsid w:val="00C16B44"/>
    <w:rsid w:val="00C16C7F"/>
    <w:rsid w:val="00C1748B"/>
    <w:rsid w:val="00C174D9"/>
    <w:rsid w:val="00C2035F"/>
    <w:rsid w:val="00C20B23"/>
    <w:rsid w:val="00C2131B"/>
    <w:rsid w:val="00C21862"/>
    <w:rsid w:val="00C21CF3"/>
    <w:rsid w:val="00C21E0F"/>
    <w:rsid w:val="00C222FE"/>
    <w:rsid w:val="00C22474"/>
    <w:rsid w:val="00C227A1"/>
    <w:rsid w:val="00C22BDC"/>
    <w:rsid w:val="00C23BBA"/>
    <w:rsid w:val="00C245DF"/>
    <w:rsid w:val="00C25228"/>
    <w:rsid w:val="00C252CD"/>
    <w:rsid w:val="00C2532C"/>
    <w:rsid w:val="00C26F33"/>
    <w:rsid w:val="00C2704C"/>
    <w:rsid w:val="00C27731"/>
    <w:rsid w:val="00C2778C"/>
    <w:rsid w:val="00C27BF1"/>
    <w:rsid w:val="00C30273"/>
    <w:rsid w:val="00C302F2"/>
    <w:rsid w:val="00C30A38"/>
    <w:rsid w:val="00C3164A"/>
    <w:rsid w:val="00C31926"/>
    <w:rsid w:val="00C31EE6"/>
    <w:rsid w:val="00C31F73"/>
    <w:rsid w:val="00C323CF"/>
    <w:rsid w:val="00C323E8"/>
    <w:rsid w:val="00C326E2"/>
    <w:rsid w:val="00C32FB5"/>
    <w:rsid w:val="00C33359"/>
    <w:rsid w:val="00C33921"/>
    <w:rsid w:val="00C33CCF"/>
    <w:rsid w:val="00C34810"/>
    <w:rsid w:val="00C350C1"/>
    <w:rsid w:val="00C3551B"/>
    <w:rsid w:val="00C35A44"/>
    <w:rsid w:val="00C360E8"/>
    <w:rsid w:val="00C36135"/>
    <w:rsid w:val="00C36F52"/>
    <w:rsid w:val="00C37053"/>
    <w:rsid w:val="00C37DD1"/>
    <w:rsid w:val="00C4000F"/>
    <w:rsid w:val="00C408E2"/>
    <w:rsid w:val="00C41856"/>
    <w:rsid w:val="00C4287B"/>
    <w:rsid w:val="00C428DF"/>
    <w:rsid w:val="00C43EDC"/>
    <w:rsid w:val="00C449B2"/>
    <w:rsid w:val="00C44CB6"/>
    <w:rsid w:val="00C44EDE"/>
    <w:rsid w:val="00C4567E"/>
    <w:rsid w:val="00C457DD"/>
    <w:rsid w:val="00C4603C"/>
    <w:rsid w:val="00C46626"/>
    <w:rsid w:val="00C46A6B"/>
    <w:rsid w:val="00C46E23"/>
    <w:rsid w:val="00C47A0B"/>
    <w:rsid w:val="00C47D51"/>
    <w:rsid w:val="00C501E0"/>
    <w:rsid w:val="00C509C6"/>
    <w:rsid w:val="00C50A68"/>
    <w:rsid w:val="00C50B8B"/>
    <w:rsid w:val="00C512A8"/>
    <w:rsid w:val="00C51C6F"/>
    <w:rsid w:val="00C52124"/>
    <w:rsid w:val="00C521B3"/>
    <w:rsid w:val="00C524FB"/>
    <w:rsid w:val="00C53243"/>
    <w:rsid w:val="00C5472C"/>
    <w:rsid w:val="00C54F3C"/>
    <w:rsid w:val="00C55E08"/>
    <w:rsid w:val="00C55F22"/>
    <w:rsid w:val="00C55F2E"/>
    <w:rsid w:val="00C564A3"/>
    <w:rsid w:val="00C56732"/>
    <w:rsid w:val="00C577E6"/>
    <w:rsid w:val="00C60BCC"/>
    <w:rsid w:val="00C61E83"/>
    <w:rsid w:val="00C62A26"/>
    <w:rsid w:val="00C64ABF"/>
    <w:rsid w:val="00C64D84"/>
    <w:rsid w:val="00C64EBF"/>
    <w:rsid w:val="00C64F3F"/>
    <w:rsid w:val="00C65244"/>
    <w:rsid w:val="00C6535C"/>
    <w:rsid w:val="00C664A4"/>
    <w:rsid w:val="00C66E98"/>
    <w:rsid w:val="00C66F7A"/>
    <w:rsid w:val="00C6797B"/>
    <w:rsid w:val="00C67DDC"/>
    <w:rsid w:val="00C67E84"/>
    <w:rsid w:val="00C71786"/>
    <w:rsid w:val="00C71E75"/>
    <w:rsid w:val="00C727CA"/>
    <w:rsid w:val="00C72BA2"/>
    <w:rsid w:val="00C73CC3"/>
    <w:rsid w:val="00C73EAE"/>
    <w:rsid w:val="00C7411C"/>
    <w:rsid w:val="00C74986"/>
    <w:rsid w:val="00C7531F"/>
    <w:rsid w:val="00C75CA2"/>
    <w:rsid w:val="00C75DBC"/>
    <w:rsid w:val="00C761F0"/>
    <w:rsid w:val="00C76513"/>
    <w:rsid w:val="00C76F43"/>
    <w:rsid w:val="00C77A08"/>
    <w:rsid w:val="00C77CD2"/>
    <w:rsid w:val="00C77F73"/>
    <w:rsid w:val="00C801CB"/>
    <w:rsid w:val="00C801FF"/>
    <w:rsid w:val="00C80FC8"/>
    <w:rsid w:val="00C80FF4"/>
    <w:rsid w:val="00C815D4"/>
    <w:rsid w:val="00C822D3"/>
    <w:rsid w:val="00C82686"/>
    <w:rsid w:val="00C83381"/>
    <w:rsid w:val="00C834C3"/>
    <w:rsid w:val="00C83572"/>
    <w:rsid w:val="00C83E35"/>
    <w:rsid w:val="00C8423C"/>
    <w:rsid w:val="00C84B71"/>
    <w:rsid w:val="00C8539F"/>
    <w:rsid w:val="00C8548D"/>
    <w:rsid w:val="00C858B7"/>
    <w:rsid w:val="00C85BA8"/>
    <w:rsid w:val="00C85C80"/>
    <w:rsid w:val="00C85E07"/>
    <w:rsid w:val="00C86105"/>
    <w:rsid w:val="00C862AF"/>
    <w:rsid w:val="00C86DBC"/>
    <w:rsid w:val="00C86DE3"/>
    <w:rsid w:val="00C86E9D"/>
    <w:rsid w:val="00C870BC"/>
    <w:rsid w:val="00C90FF5"/>
    <w:rsid w:val="00C91320"/>
    <w:rsid w:val="00C9198C"/>
    <w:rsid w:val="00C91A33"/>
    <w:rsid w:val="00C92290"/>
    <w:rsid w:val="00C923F5"/>
    <w:rsid w:val="00C9294B"/>
    <w:rsid w:val="00C92B87"/>
    <w:rsid w:val="00C9306B"/>
    <w:rsid w:val="00C9371B"/>
    <w:rsid w:val="00C94191"/>
    <w:rsid w:val="00C94579"/>
    <w:rsid w:val="00C94584"/>
    <w:rsid w:val="00C9556C"/>
    <w:rsid w:val="00C96BDE"/>
    <w:rsid w:val="00C96DFE"/>
    <w:rsid w:val="00C96E57"/>
    <w:rsid w:val="00C97C75"/>
    <w:rsid w:val="00CA02C5"/>
    <w:rsid w:val="00CA0674"/>
    <w:rsid w:val="00CA0828"/>
    <w:rsid w:val="00CA0BAF"/>
    <w:rsid w:val="00CA1FFB"/>
    <w:rsid w:val="00CA208C"/>
    <w:rsid w:val="00CA279C"/>
    <w:rsid w:val="00CA28CD"/>
    <w:rsid w:val="00CA2F3D"/>
    <w:rsid w:val="00CA328D"/>
    <w:rsid w:val="00CA33F9"/>
    <w:rsid w:val="00CA4732"/>
    <w:rsid w:val="00CA4A51"/>
    <w:rsid w:val="00CA4AE0"/>
    <w:rsid w:val="00CA59F6"/>
    <w:rsid w:val="00CA59F9"/>
    <w:rsid w:val="00CA5CC5"/>
    <w:rsid w:val="00CA665E"/>
    <w:rsid w:val="00CA6A48"/>
    <w:rsid w:val="00CA6C0D"/>
    <w:rsid w:val="00CA77FF"/>
    <w:rsid w:val="00CA7E8F"/>
    <w:rsid w:val="00CB0A82"/>
    <w:rsid w:val="00CB1331"/>
    <w:rsid w:val="00CB1F07"/>
    <w:rsid w:val="00CB1FEE"/>
    <w:rsid w:val="00CB23D2"/>
    <w:rsid w:val="00CB2707"/>
    <w:rsid w:val="00CB358F"/>
    <w:rsid w:val="00CB3CB1"/>
    <w:rsid w:val="00CB3D74"/>
    <w:rsid w:val="00CB45CF"/>
    <w:rsid w:val="00CB4669"/>
    <w:rsid w:val="00CB4A17"/>
    <w:rsid w:val="00CB5148"/>
    <w:rsid w:val="00CB5DC3"/>
    <w:rsid w:val="00CB616A"/>
    <w:rsid w:val="00CB665C"/>
    <w:rsid w:val="00CB704C"/>
    <w:rsid w:val="00CB73B3"/>
    <w:rsid w:val="00CB773E"/>
    <w:rsid w:val="00CB7D71"/>
    <w:rsid w:val="00CC038D"/>
    <w:rsid w:val="00CC046D"/>
    <w:rsid w:val="00CC0A96"/>
    <w:rsid w:val="00CC0C05"/>
    <w:rsid w:val="00CC0D21"/>
    <w:rsid w:val="00CC0D47"/>
    <w:rsid w:val="00CC1166"/>
    <w:rsid w:val="00CC17EB"/>
    <w:rsid w:val="00CC1A65"/>
    <w:rsid w:val="00CC254F"/>
    <w:rsid w:val="00CC2698"/>
    <w:rsid w:val="00CC3190"/>
    <w:rsid w:val="00CC463F"/>
    <w:rsid w:val="00CC4B69"/>
    <w:rsid w:val="00CC51EF"/>
    <w:rsid w:val="00CC5401"/>
    <w:rsid w:val="00CC5C62"/>
    <w:rsid w:val="00CC6B28"/>
    <w:rsid w:val="00CC76EC"/>
    <w:rsid w:val="00CC7AF0"/>
    <w:rsid w:val="00CC7DA4"/>
    <w:rsid w:val="00CD014C"/>
    <w:rsid w:val="00CD074B"/>
    <w:rsid w:val="00CD0C87"/>
    <w:rsid w:val="00CD0CF7"/>
    <w:rsid w:val="00CD10FE"/>
    <w:rsid w:val="00CD22AC"/>
    <w:rsid w:val="00CD28EC"/>
    <w:rsid w:val="00CD292F"/>
    <w:rsid w:val="00CD2E9A"/>
    <w:rsid w:val="00CD362F"/>
    <w:rsid w:val="00CD36BB"/>
    <w:rsid w:val="00CD3776"/>
    <w:rsid w:val="00CD3B4C"/>
    <w:rsid w:val="00CD3E27"/>
    <w:rsid w:val="00CD41C5"/>
    <w:rsid w:val="00CD4A29"/>
    <w:rsid w:val="00CD5279"/>
    <w:rsid w:val="00CD599D"/>
    <w:rsid w:val="00CD656A"/>
    <w:rsid w:val="00CE0025"/>
    <w:rsid w:val="00CE0176"/>
    <w:rsid w:val="00CE02CB"/>
    <w:rsid w:val="00CE0F23"/>
    <w:rsid w:val="00CE1026"/>
    <w:rsid w:val="00CE22E9"/>
    <w:rsid w:val="00CE2394"/>
    <w:rsid w:val="00CE2C21"/>
    <w:rsid w:val="00CE2D78"/>
    <w:rsid w:val="00CE2E54"/>
    <w:rsid w:val="00CE326A"/>
    <w:rsid w:val="00CE472B"/>
    <w:rsid w:val="00CE4AC3"/>
    <w:rsid w:val="00CE5A7B"/>
    <w:rsid w:val="00CE61E7"/>
    <w:rsid w:val="00CE653E"/>
    <w:rsid w:val="00CE66DA"/>
    <w:rsid w:val="00CE72E0"/>
    <w:rsid w:val="00CE7416"/>
    <w:rsid w:val="00CE77B4"/>
    <w:rsid w:val="00CE783A"/>
    <w:rsid w:val="00CE7998"/>
    <w:rsid w:val="00CF020C"/>
    <w:rsid w:val="00CF02C8"/>
    <w:rsid w:val="00CF0305"/>
    <w:rsid w:val="00CF06AA"/>
    <w:rsid w:val="00CF0A45"/>
    <w:rsid w:val="00CF140C"/>
    <w:rsid w:val="00CF179C"/>
    <w:rsid w:val="00CF1EB5"/>
    <w:rsid w:val="00CF205E"/>
    <w:rsid w:val="00CF2140"/>
    <w:rsid w:val="00CF2887"/>
    <w:rsid w:val="00CF2ABC"/>
    <w:rsid w:val="00CF3793"/>
    <w:rsid w:val="00CF3F97"/>
    <w:rsid w:val="00CF4911"/>
    <w:rsid w:val="00CF4FB9"/>
    <w:rsid w:val="00CF5999"/>
    <w:rsid w:val="00CF684C"/>
    <w:rsid w:val="00CF7425"/>
    <w:rsid w:val="00CF78D8"/>
    <w:rsid w:val="00D00099"/>
    <w:rsid w:val="00D006AE"/>
    <w:rsid w:val="00D00DFB"/>
    <w:rsid w:val="00D00FEC"/>
    <w:rsid w:val="00D0103E"/>
    <w:rsid w:val="00D01AF6"/>
    <w:rsid w:val="00D01CC2"/>
    <w:rsid w:val="00D02A27"/>
    <w:rsid w:val="00D03AA8"/>
    <w:rsid w:val="00D04C19"/>
    <w:rsid w:val="00D05566"/>
    <w:rsid w:val="00D0565B"/>
    <w:rsid w:val="00D057F3"/>
    <w:rsid w:val="00D05F8B"/>
    <w:rsid w:val="00D0661B"/>
    <w:rsid w:val="00D067CF"/>
    <w:rsid w:val="00D06D59"/>
    <w:rsid w:val="00D074C4"/>
    <w:rsid w:val="00D11085"/>
    <w:rsid w:val="00D11661"/>
    <w:rsid w:val="00D13E7D"/>
    <w:rsid w:val="00D14358"/>
    <w:rsid w:val="00D14EB3"/>
    <w:rsid w:val="00D152DF"/>
    <w:rsid w:val="00D15B03"/>
    <w:rsid w:val="00D15B2D"/>
    <w:rsid w:val="00D16AF3"/>
    <w:rsid w:val="00D16C4F"/>
    <w:rsid w:val="00D1726D"/>
    <w:rsid w:val="00D17F83"/>
    <w:rsid w:val="00D20066"/>
    <w:rsid w:val="00D2102E"/>
    <w:rsid w:val="00D2153E"/>
    <w:rsid w:val="00D21562"/>
    <w:rsid w:val="00D21AD3"/>
    <w:rsid w:val="00D2241D"/>
    <w:rsid w:val="00D22D7D"/>
    <w:rsid w:val="00D24FF1"/>
    <w:rsid w:val="00D25A3C"/>
    <w:rsid w:val="00D26EA5"/>
    <w:rsid w:val="00D2784E"/>
    <w:rsid w:val="00D278B9"/>
    <w:rsid w:val="00D27963"/>
    <w:rsid w:val="00D27E8F"/>
    <w:rsid w:val="00D3008C"/>
    <w:rsid w:val="00D300F5"/>
    <w:rsid w:val="00D30B31"/>
    <w:rsid w:val="00D31A67"/>
    <w:rsid w:val="00D31E72"/>
    <w:rsid w:val="00D32BA2"/>
    <w:rsid w:val="00D33873"/>
    <w:rsid w:val="00D341A2"/>
    <w:rsid w:val="00D34E04"/>
    <w:rsid w:val="00D3503A"/>
    <w:rsid w:val="00D3521F"/>
    <w:rsid w:val="00D35B2F"/>
    <w:rsid w:val="00D363E4"/>
    <w:rsid w:val="00D36747"/>
    <w:rsid w:val="00D36FF4"/>
    <w:rsid w:val="00D3770D"/>
    <w:rsid w:val="00D3782F"/>
    <w:rsid w:val="00D37FA2"/>
    <w:rsid w:val="00D40C23"/>
    <w:rsid w:val="00D415AA"/>
    <w:rsid w:val="00D41B60"/>
    <w:rsid w:val="00D41BDF"/>
    <w:rsid w:val="00D41BF0"/>
    <w:rsid w:val="00D41E41"/>
    <w:rsid w:val="00D428B3"/>
    <w:rsid w:val="00D428FE"/>
    <w:rsid w:val="00D43285"/>
    <w:rsid w:val="00D43B6D"/>
    <w:rsid w:val="00D4433E"/>
    <w:rsid w:val="00D4434B"/>
    <w:rsid w:val="00D44F10"/>
    <w:rsid w:val="00D4501B"/>
    <w:rsid w:val="00D456E4"/>
    <w:rsid w:val="00D45727"/>
    <w:rsid w:val="00D45F05"/>
    <w:rsid w:val="00D474CC"/>
    <w:rsid w:val="00D506C5"/>
    <w:rsid w:val="00D50735"/>
    <w:rsid w:val="00D50F44"/>
    <w:rsid w:val="00D51F2A"/>
    <w:rsid w:val="00D522ED"/>
    <w:rsid w:val="00D52D70"/>
    <w:rsid w:val="00D53912"/>
    <w:rsid w:val="00D53CFD"/>
    <w:rsid w:val="00D5426A"/>
    <w:rsid w:val="00D54B50"/>
    <w:rsid w:val="00D5513E"/>
    <w:rsid w:val="00D561DD"/>
    <w:rsid w:val="00D569D7"/>
    <w:rsid w:val="00D56D6D"/>
    <w:rsid w:val="00D56E41"/>
    <w:rsid w:val="00D570E5"/>
    <w:rsid w:val="00D57923"/>
    <w:rsid w:val="00D579DC"/>
    <w:rsid w:val="00D601E9"/>
    <w:rsid w:val="00D60487"/>
    <w:rsid w:val="00D60657"/>
    <w:rsid w:val="00D606BF"/>
    <w:rsid w:val="00D611E4"/>
    <w:rsid w:val="00D614E3"/>
    <w:rsid w:val="00D61755"/>
    <w:rsid w:val="00D61D74"/>
    <w:rsid w:val="00D62738"/>
    <w:rsid w:val="00D6283F"/>
    <w:rsid w:val="00D6326C"/>
    <w:rsid w:val="00D63530"/>
    <w:rsid w:val="00D63C4C"/>
    <w:rsid w:val="00D64268"/>
    <w:rsid w:val="00D6449E"/>
    <w:rsid w:val="00D65436"/>
    <w:rsid w:val="00D65C03"/>
    <w:rsid w:val="00D660FA"/>
    <w:rsid w:val="00D666AD"/>
    <w:rsid w:val="00D66C54"/>
    <w:rsid w:val="00D66D4F"/>
    <w:rsid w:val="00D67944"/>
    <w:rsid w:val="00D67DBB"/>
    <w:rsid w:val="00D67F20"/>
    <w:rsid w:val="00D70506"/>
    <w:rsid w:val="00D70AA5"/>
    <w:rsid w:val="00D719D8"/>
    <w:rsid w:val="00D719FC"/>
    <w:rsid w:val="00D71DAF"/>
    <w:rsid w:val="00D71FB7"/>
    <w:rsid w:val="00D72485"/>
    <w:rsid w:val="00D73D65"/>
    <w:rsid w:val="00D742AC"/>
    <w:rsid w:val="00D74661"/>
    <w:rsid w:val="00D74950"/>
    <w:rsid w:val="00D753A9"/>
    <w:rsid w:val="00D75A93"/>
    <w:rsid w:val="00D76D54"/>
    <w:rsid w:val="00D776FA"/>
    <w:rsid w:val="00D77801"/>
    <w:rsid w:val="00D77AA3"/>
    <w:rsid w:val="00D77AF2"/>
    <w:rsid w:val="00D80B1E"/>
    <w:rsid w:val="00D80B3C"/>
    <w:rsid w:val="00D81FA1"/>
    <w:rsid w:val="00D82A5D"/>
    <w:rsid w:val="00D834F9"/>
    <w:rsid w:val="00D83C41"/>
    <w:rsid w:val="00D83EF5"/>
    <w:rsid w:val="00D84095"/>
    <w:rsid w:val="00D843C7"/>
    <w:rsid w:val="00D84443"/>
    <w:rsid w:val="00D844E5"/>
    <w:rsid w:val="00D84634"/>
    <w:rsid w:val="00D8468B"/>
    <w:rsid w:val="00D847A9"/>
    <w:rsid w:val="00D84D93"/>
    <w:rsid w:val="00D85DED"/>
    <w:rsid w:val="00D86644"/>
    <w:rsid w:val="00D86BB7"/>
    <w:rsid w:val="00D87220"/>
    <w:rsid w:val="00D87A91"/>
    <w:rsid w:val="00D87DC7"/>
    <w:rsid w:val="00D87FC3"/>
    <w:rsid w:val="00D9035C"/>
    <w:rsid w:val="00D909A1"/>
    <w:rsid w:val="00D90A41"/>
    <w:rsid w:val="00D90B4D"/>
    <w:rsid w:val="00D90F8D"/>
    <w:rsid w:val="00D919B5"/>
    <w:rsid w:val="00D91A2F"/>
    <w:rsid w:val="00D925C1"/>
    <w:rsid w:val="00D92629"/>
    <w:rsid w:val="00D92DA4"/>
    <w:rsid w:val="00D93B1C"/>
    <w:rsid w:val="00D942A2"/>
    <w:rsid w:val="00D947F6"/>
    <w:rsid w:val="00D94EDC"/>
    <w:rsid w:val="00D955A3"/>
    <w:rsid w:val="00D95D38"/>
    <w:rsid w:val="00DA0123"/>
    <w:rsid w:val="00DA08E6"/>
    <w:rsid w:val="00DA0B48"/>
    <w:rsid w:val="00DA103E"/>
    <w:rsid w:val="00DA15DC"/>
    <w:rsid w:val="00DA1951"/>
    <w:rsid w:val="00DA1C34"/>
    <w:rsid w:val="00DA1FAC"/>
    <w:rsid w:val="00DA2A69"/>
    <w:rsid w:val="00DA3B89"/>
    <w:rsid w:val="00DA4276"/>
    <w:rsid w:val="00DA4D08"/>
    <w:rsid w:val="00DA4EE0"/>
    <w:rsid w:val="00DA55A8"/>
    <w:rsid w:val="00DA58FB"/>
    <w:rsid w:val="00DA5EF4"/>
    <w:rsid w:val="00DB0CEE"/>
    <w:rsid w:val="00DB0EEB"/>
    <w:rsid w:val="00DB1889"/>
    <w:rsid w:val="00DB1B32"/>
    <w:rsid w:val="00DB1C25"/>
    <w:rsid w:val="00DB2109"/>
    <w:rsid w:val="00DB21A4"/>
    <w:rsid w:val="00DB21FD"/>
    <w:rsid w:val="00DB2B7D"/>
    <w:rsid w:val="00DB3279"/>
    <w:rsid w:val="00DB3489"/>
    <w:rsid w:val="00DB35EC"/>
    <w:rsid w:val="00DB4329"/>
    <w:rsid w:val="00DB4B89"/>
    <w:rsid w:val="00DB54FA"/>
    <w:rsid w:val="00DB553E"/>
    <w:rsid w:val="00DB598D"/>
    <w:rsid w:val="00DB63EB"/>
    <w:rsid w:val="00DB74D8"/>
    <w:rsid w:val="00DB7C7D"/>
    <w:rsid w:val="00DC023F"/>
    <w:rsid w:val="00DC0963"/>
    <w:rsid w:val="00DC0F2F"/>
    <w:rsid w:val="00DC26DE"/>
    <w:rsid w:val="00DC3273"/>
    <w:rsid w:val="00DC34C6"/>
    <w:rsid w:val="00DC3587"/>
    <w:rsid w:val="00DC46D0"/>
    <w:rsid w:val="00DC5087"/>
    <w:rsid w:val="00DC568D"/>
    <w:rsid w:val="00DC6089"/>
    <w:rsid w:val="00DC67E6"/>
    <w:rsid w:val="00DC743B"/>
    <w:rsid w:val="00DC7598"/>
    <w:rsid w:val="00DC787C"/>
    <w:rsid w:val="00DC7944"/>
    <w:rsid w:val="00DC7B51"/>
    <w:rsid w:val="00DD029E"/>
    <w:rsid w:val="00DD04D9"/>
    <w:rsid w:val="00DD1F28"/>
    <w:rsid w:val="00DD388B"/>
    <w:rsid w:val="00DD39EB"/>
    <w:rsid w:val="00DD3A54"/>
    <w:rsid w:val="00DD3C31"/>
    <w:rsid w:val="00DD43FE"/>
    <w:rsid w:val="00DD45D8"/>
    <w:rsid w:val="00DD4E83"/>
    <w:rsid w:val="00DD5681"/>
    <w:rsid w:val="00DD5C1C"/>
    <w:rsid w:val="00DD68DE"/>
    <w:rsid w:val="00DD759B"/>
    <w:rsid w:val="00DE06F6"/>
    <w:rsid w:val="00DE12EE"/>
    <w:rsid w:val="00DE22E8"/>
    <w:rsid w:val="00DE2CF4"/>
    <w:rsid w:val="00DE30CE"/>
    <w:rsid w:val="00DE3245"/>
    <w:rsid w:val="00DE397C"/>
    <w:rsid w:val="00DE3FA3"/>
    <w:rsid w:val="00DE4062"/>
    <w:rsid w:val="00DE4072"/>
    <w:rsid w:val="00DE431B"/>
    <w:rsid w:val="00DE4353"/>
    <w:rsid w:val="00DE4371"/>
    <w:rsid w:val="00DE4469"/>
    <w:rsid w:val="00DE46F7"/>
    <w:rsid w:val="00DE4CDC"/>
    <w:rsid w:val="00DE6029"/>
    <w:rsid w:val="00DE60D4"/>
    <w:rsid w:val="00DE635D"/>
    <w:rsid w:val="00DE6835"/>
    <w:rsid w:val="00DE736F"/>
    <w:rsid w:val="00DF0FEA"/>
    <w:rsid w:val="00DF1523"/>
    <w:rsid w:val="00DF1AC0"/>
    <w:rsid w:val="00DF1AD2"/>
    <w:rsid w:val="00DF2264"/>
    <w:rsid w:val="00DF2717"/>
    <w:rsid w:val="00DF2AF9"/>
    <w:rsid w:val="00DF301F"/>
    <w:rsid w:val="00DF3700"/>
    <w:rsid w:val="00DF4355"/>
    <w:rsid w:val="00DF4E64"/>
    <w:rsid w:val="00DF540C"/>
    <w:rsid w:val="00DF62D8"/>
    <w:rsid w:val="00DF723F"/>
    <w:rsid w:val="00DF76A5"/>
    <w:rsid w:val="00DF77DD"/>
    <w:rsid w:val="00DF7FA2"/>
    <w:rsid w:val="00DF7FED"/>
    <w:rsid w:val="00E00145"/>
    <w:rsid w:val="00E0021A"/>
    <w:rsid w:val="00E012E5"/>
    <w:rsid w:val="00E01C72"/>
    <w:rsid w:val="00E01E2A"/>
    <w:rsid w:val="00E020A9"/>
    <w:rsid w:val="00E04384"/>
    <w:rsid w:val="00E057D0"/>
    <w:rsid w:val="00E05E4F"/>
    <w:rsid w:val="00E05F5E"/>
    <w:rsid w:val="00E06826"/>
    <w:rsid w:val="00E06D74"/>
    <w:rsid w:val="00E07762"/>
    <w:rsid w:val="00E079F0"/>
    <w:rsid w:val="00E07DE4"/>
    <w:rsid w:val="00E10BF8"/>
    <w:rsid w:val="00E11058"/>
    <w:rsid w:val="00E11A78"/>
    <w:rsid w:val="00E125A7"/>
    <w:rsid w:val="00E13E40"/>
    <w:rsid w:val="00E13FB5"/>
    <w:rsid w:val="00E1418C"/>
    <w:rsid w:val="00E14980"/>
    <w:rsid w:val="00E153C6"/>
    <w:rsid w:val="00E154D8"/>
    <w:rsid w:val="00E15538"/>
    <w:rsid w:val="00E155F9"/>
    <w:rsid w:val="00E16C1B"/>
    <w:rsid w:val="00E16E94"/>
    <w:rsid w:val="00E16F0F"/>
    <w:rsid w:val="00E172E5"/>
    <w:rsid w:val="00E174F4"/>
    <w:rsid w:val="00E178AD"/>
    <w:rsid w:val="00E17B07"/>
    <w:rsid w:val="00E200B2"/>
    <w:rsid w:val="00E2068C"/>
    <w:rsid w:val="00E20C6A"/>
    <w:rsid w:val="00E227D2"/>
    <w:rsid w:val="00E2435F"/>
    <w:rsid w:val="00E24607"/>
    <w:rsid w:val="00E24991"/>
    <w:rsid w:val="00E24CE8"/>
    <w:rsid w:val="00E25126"/>
    <w:rsid w:val="00E25FFA"/>
    <w:rsid w:val="00E26666"/>
    <w:rsid w:val="00E26A60"/>
    <w:rsid w:val="00E26C04"/>
    <w:rsid w:val="00E26EF3"/>
    <w:rsid w:val="00E272C7"/>
    <w:rsid w:val="00E273FD"/>
    <w:rsid w:val="00E27B3B"/>
    <w:rsid w:val="00E27C78"/>
    <w:rsid w:val="00E30012"/>
    <w:rsid w:val="00E3067C"/>
    <w:rsid w:val="00E30B9B"/>
    <w:rsid w:val="00E30CBA"/>
    <w:rsid w:val="00E30CCF"/>
    <w:rsid w:val="00E3160B"/>
    <w:rsid w:val="00E3165F"/>
    <w:rsid w:val="00E31B64"/>
    <w:rsid w:val="00E32163"/>
    <w:rsid w:val="00E3296E"/>
    <w:rsid w:val="00E3297F"/>
    <w:rsid w:val="00E32D7F"/>
    <w:rsid w:val="00E33855"/>
    <w:rsid w:val="00E33937"/>
    <w:rsid w:val="00E33A33"/>
    <w:rsid w:val="00E343CD"/>
    <w:rsid w:val="00E343F5"/>
    <w:rsid w:val="00E34BE2"/>
    <w:rsid w:val="00E34E5C"/>
    <w:rsid w:val="00E3521D"/>
    <w:rsid w:val="00E3550A"/>
    <w:rsid w:val="00E3568F"/>
    <w:rsid w:val="00E359A3"/>
    <w:rsid w:val="00E35FCE"/>
    <w:rsid w:val="00E3601E"/>
    <w:rsid w:val="00E366EC"/>
    <w:rsid w:val="00E37225"/>
    <w:rsid w:val="00E377C3"/>
    <w:rsid w:val="00E37BEC"/>
    <w:rsid w:val="00E40004"/>
    <w:rsid w:val="00E40319"/>
    <w:rsid w:val="00E406C0"/>
    <w:rsid w:val="00E4095E"/>
    <w:rsid w:val="00E40DFE"/>
    <w:rsid w:val="00E416F2"/>
    <w:rsid w:val="00E41FB3"/>
    <w:rsid w:val="00E42FB2"/>
    <w:rsid w:val="00E4369E"/>
    <w:rsid w:val="00E439F2"/>
    <w:rsid w:val="00E43D4A"/>
    <w:rsid w:val="00E43EDE"/>
    <w:rsid w:val="00E43EED"/>
    <w:rsid w:val="00E443AE"/>
    <w:rsid w:val="00E446A6"/>
    <w:rsid w:val="00E4549D"/>
    <w:rsid w:val="00E4568E"/>
    <w:rsid w:val="00E45C51"/>
    <w:rsid w:val="00E45D7A"/>
    <w:rsid w:val="00E47061"/>
    <w:rsid w:val="00E476B0"/>
    <w:rsid w:val="00E5034A"/>
    <w:rsid w:val="00E505CA"/>
    <w:rsid w:val="00E50F61"/>
    <w:rsid w:val="00E51147"/>
    <w:rsid w:val="00E51762"/>
    <w:rsid w:val="00E51773"/>
    <w:rsid w:val="00E518A5"/>
    <w:rsid w:val="00E5270A"/>
    <w:rsid w:val="00E528E0"/>
    <w:rsid w:val="00E53119"/>
    <w:rsid w:val="00E538CB"/>
    <w:rsid w:val="00E54526"/>
    <w:rsid w:val="00E54B65"/>
    <w:rsid w:val="00E54EA9"/>
    <w:rsid w:val="00E5567B"/>
    <w:rsid w:val="00E558E1"/>
    <w:rsid w:val="00E562E4"/>
    <w:rsid w:val="00E564FD"/>
    <w:rsid w:val="00E56961"/>
    <w:rsid w:val="00E56C9B"/>
    <w:rsid w:val="00E56C9F"/>
    <w:rsid w:val="00E56DBE"/>
    <w:rsid w:val="00E570DE"/>
    <w:rsid w:val="00E57892"/>
    <w:rsid w:val="00E57BAB"/>
    <w:rsid w:val="00E57CE4"/>
    <w:rsid w:val="00E57DF0"/>
    <w:rsid w:val="00E57E80"/>
    <w:rsid w:val="00E60F77"/>
    <w:rsid w:val="00E61055"/>
    <w:rsid w:val="00E61328"/>
    <w:rsid w:val="00E63271"/>
    <w:rsid w:val="00E636B6"/>
    <w:rsid w:val="00E63E43"/>
    <w:rsid w:val="00E6431C"/>
    <w:rsid w:val="00E65056"/>
    <w:rsid w:val="00E651B9"/>
    <w:rsid w:val="00E651E4"/>
    <w:rsid w:val="00E65772"/>
    <w:rsid w:val="00E65BD0"/>
    <w:rsid w:val="00E66BE6"/>
    <w:rsid w:val="00E672EC"/>
    <w:rsid w:val="00E6776F"/>
    <w:rsid w:val="00E7107F"/>
    <w:rsid w:val="00E71EEB"/>
    <w:rsid w:val="00E72501"/>
    <w:rsid w:val="00E725E2"/>
    <w:rsid w:val="00E7380E"/>
    <w:rsid w:val="00E73D55"/>
    <w:rsid w:val="00E73D96"/>
    <w:rsid w:val="00E73E53"/>
    <w:rsid w:val="00E7477F"/>
    <w:rsid w:val="00E7543C"/>
    <w:rsid w:val="00E75F7D"/>
    <w:rsid w:val="00E76360"/>
    <w:rsid w:val="00E764D6"/>
    <w:rsid w:val="00E76731"/>
    <w:rsid w:val="00E77376"/>
    <w:rsid w:val="00E7764A"/>
    <w:rsid w:val="00E77CF3"/>
    <w:rsid w:val="00E77DA3"/>
    <w:rsid w:val="00E77EAF"/>
    <w:rsid w:val="00E8071F"/>
    <w:rsid w:val="00E810E9"/>
    <w:rsid w:val="00E8131C"/>
    <w:rsid w:val="00E818F4"/>
    <w:rsid w:val="00E8212D"/>
    <w:rsid w:val="00E82808"/>
    <w:rsid w:val="00E82998"/>
    <w:rsid w:val="00E84B73"/>
    <w:rsid w:val="00E84EE2"/>
    <w:rsid w:val="00E85076"/>
    <w:rsid w:val="00E862A8"/>
    <w:rsid w:val="00E86DF0"/>
    <w:rsid w:val="00E86E7B"/>
    <w:rsid w:val="00E86E85"/>
    <w:rsid w:val="00E870B3"/>
    <w:rsid w:val="00E87457"/>
    <w:rsid w:val="00E87CC4"/>
    <w:rsid w:val="00E90061"/>
    <w:rsid w:val="00E9095C"/>
    <w:rsid w:val="00E91B4D"/>
    <w:rsid w:val="00E91B91"/>
    <w:rsid w:val="00E91C2C"/>
    <w:rsid w:val="00E92D96"/>
    <w:rsid w:val="00E9370E"/>
    <w:rsid w:val="00E938C8"/>
    <w:rsid w:val="00E94A2C"/>
    <w:rsid w:val="00E9526A"/>
    <w:rsid w:val="00E955C3"/>
    <w:rsid w:val="00E95BCB"/>
    <w:rsid w:val="00E9665F"/>
    <w:rsid w:val="00E9701B"/>
    <w:rsid w:val="00E97782"/>
    <w:rsid w:val="00EA0168"/>
    <w:rsid w:val="00EA01BE"/>
    <w:rsid w:val="00EA0225"/>
    <w:rsid w:val="00EA03CF"/>
    <w:rsid w:val="00EA1D25"/>
    <w:rsid w:val="00EA20B5"/>
    <w:rsid w:val="00EA296B"/>
    <w:rsid w:val="00EA2CA5"/>
    <w:rsid w:val="00EA35EA"/>
    <w:rsid w:val="00EA3942"/>
    <w:rsid w:val="00EA3B1A"/>
    <w:rsid w:val="00EA4141"/>
    <w:rsid w:val="00EA48E5"/>
    <w:rsid w:val="00EA4A0C"/>
    <w:rsid w:val="00EA4A1F"/>
    <w:rsid w:val="00EA5004"/>
    <w:rsid w:val="00EA5AF9"/>
    <w:rsid w:val="00EA5BB9"/>
    <w:rsid w:val="00EA6E74"/>
    <w:rsid w:val="00EA7BCD"/>
    <w:rsid w:val="00EB05BB"/>
    <w:rsid w:val="00EB0BDC"/>
    <w:rsid w:val="00EB1485"/>
    <w:rsid w:val="00EB158C"/>
    <w:rsid w:val="00EB1A6C"/>
    <w:rsid w:val="00EB20FA"/>
    <w:rsid w:val="00EB2279"/>
    <w:rsid w:val="00EB2D99"/>
    <w:rsid w:val="00EB374B"/>
    <w:rsid w:val="00EB4246"/>
    <w:rsid w:val="00EB4304"/>
    <w:rsid w:val="00EB43BB"/>
    <w:rsid w:val="00EB4FB5"/>
    <w:rsid w:val="00EB5665"/>
    <w:rsid w:val="00EB566C"/>
    <w:rsid w:val="00EB653C"/>
    <w:rsid w:val="00EB6EEF"/>
    <w:rsid w:val="00EB77C6"/>
    <w:rsid w:val="00EC07D5"/>
    <w:rsid w:val="00EC0BAA"/>
    <w:rsid w:val="00EC0C73"/>
    <w:rsid w:val="00EC10E4"/>
    <w:rsid w:val="00EC1192"/>
    <w:rsid w:val="00EC1597"/>
    <w:rsid w:val="00EC245A"/>
    <w:rsid w:val="00EC25A6"/>
    <w:rsid w:val="00EC2E04"/>
    <w:rsid w:val="00EC2E19"/>
    <w:rsid w:val="00EC3403"/>
    <w:rsid w:val="00EC394F"/>
    <w:rsid w:val="00EC47DD"/>
    <w:rsid w:val="00EC4ADD"/>
    <w:rsid w:val="00EC5299"/>
    <w:rsid w:val="00EC56E4"/>
    <w:rsid w:val="00EC5726"/>
    <w:rsid w:val="00EC5E88"/>
    <w:rsid w:val="00EC6045"/>
    <w:rsid w:val="00EC64D3"/>
    <w:rsid w:val="00EC6669"/>
    <w:rsid w:val="00EC71E9"/>
    <w:rsid w:val="00ED0F06"/>
    <w:rsid w:val="00ED1592"/>
    <w:rsid w:val="00ED15DF"/>
    <w:rsid w:val="00ED1D5C"/>
    <w:rsid w:val="00ED1F73"/>
    <w:rsid w:val="00ED2934"/>
    <w:rsid w:val="00ED3971"/>
    <w:rsid w:val="00ED3D64"/>
    <w:rsid w:val="00ED43D6"/>
    <w:rsid w:val="00ED569C"/>
    <w:rsid w:val="00ED56F2"/>
    <w:rsid w:val="00ED59A1"/>
    <w:rsid w:val="00ED6306"/>
    <w:rsid w:val="00ED6E42"/>
    <w:rsid w:val="00ED6F20"/>
    <w:rsid w:val="00ED7AE2"/>
    <w:rsid w:val="00EE21BF"/>
    <w:rsid w:val="00EE3305"/>
    <w:rsid w:val="00EE3E17"/>
    <w:rsid w:val="00EE417C"/>
    <w:rsid w:val="00EE4AA4"/>
    <w:rsid w:val="00EE533B"/>
    <w:rsid w:val="00EE5655"/>
    <w:rsid w:val="00EE58F3"/>
    <w:rsid w:val="00EE6852"/>
    <w:rsid w:val="00EF0159"/>
    <w:rsid w:val="00EF051F"/>
    <w:rsid w:val="00EF1550"/>
    <w:rsid w:val="00EF17F9"/>
    <w:rsid w:val="00EF186B"/>
    <w:rsid w:val="00EF279E"/>
    <w:rsid w:val="00EF28C1"/>
    <w:rsid w:val="00EF2CA3"/>
    <w:rsid w:val="00EF2F51"/>
    <w:rsid w:val="00EF3B89"/>
    <w:rsid w:val="00EF4176"/>
    <w:rsid w:val="00EF553D"/>
    <w:rsid w:val="00EF575A"/>
    <w:rsid w:val="00EF7229"/>
    <w:rsid w:val="00EF7676"/>
    <w:rsid w:val="00EF7A74"/>
    <w:rsid w:val="00EF7CBE"/>
    <w:rsid w:val="00F004DF"/>
    <w:rsid w:val="00F00F0A"/>
    <w:rsid w:val="00F01589"/>
    <w:rsid w:val="00F019EE"/>
    <w:rsid w:val="00F01BAE"/>
    <w:rsid w:val="00F02080"/>
    <w:rsid w:val="00F0240C"/>
    <w:rsid w:val="00F024C8"/>
    <w:rsid w:val="00F02BC7"/>
    <w:rsid w:val="00F02DB2"/>
    <w:rsid w:val="00F03CB3"/>
    <w:rsid w:val="00F04209"/>
    <w:rsid w:val="00F055D6"/>
    <w:rsid w:val="00F06561"/>
    <w:rsid w:val="00F06966"/>
    <w:rsid w:val="00F06D31"/>
    <w:rsid w:val="00F07189"/>
    <w:rsid w:val="00F076A3"/>
    <w:rsid w:val="00F07A60"/>
    <w:rsid w:val="00F07FDA"/>
    <w:rsid w:val="00F118A6"/>
    <w:rsid w:val="00F119B3"/>
    <w:rsid w:val="00F11E9C"/>
    <w:rsid w:val="00F123CC"/>
    <w:rsid w:val="00F12E8F"/>
    <w:rsid w:val="00F1351B"/>
    <w:rsid w:val="00F1373E"/>
    <w:rsid w:val="00F13A78"/>
    <w:rsid w:val="00F151C5"/>
    <w:rsid w:val="00F15961"/>
    <w:rsid w:val="00F15C56"/>
    <w:rsid w:val="00F168AB"/>
    <w:rsid w:val="00F16DCE"/>
    <w:rsid w:val="00F1762C"/>
    <w:rsid w:val="00F178AF"/>
    <w:rsid w:val="00F200D9"/>
    <w:rsid w:val="00F20C23"/>
    <w:rsid w:val="00F20C26"/>
    <w:rsid w:val="00F20E70"/>
    <w:rsid w:val="00F211E1"/>
    <w:rsid w:val="00F21DBE"/>
    <w:rsid w:val="00F22088"/>
    <w:rsid w:val="00F2247E"/>
    <w:rsid w:val="00F23809"/>
    <w:rsid w:val="00F2407F"/>
    <w:rsid w:val="00F24548"/>
    <w:rsid w:val="00F2477A"/>
    <w:rsid w:val="00F25674"/>
    <w:rsid w:val="00F25D0B"/>
    <w:rsid w:val="00F267F2"/>
    <w:rsid w:val="00F26FCC"/>
    <w:rsid w:val="00F2730C"/>
    <w:rsid w:val="00F2746F"/>
    <w:rsid w:val="00F27583"/>
    <w:rsid w:val="00F277E6"/>
    <w:rsid w:val="00F27E83"/>
    <w:rsid w:val="00F301DB"/>
    <w:rsid w:val="00F309A6"/>
    <w:rsid w:val="00F30B4C"/>
    <w:rsid w:val="00F31334"/>
    <w:rsid w:val="00F314BD"/>
    <w:rsid w:val="00F31A53"/>
    <w:rsid w:val="00F3215B"/>
    <w:rsid w:val="00F32576"/>
    <w:rsid w:val="00F331A0"/>
    <w:rsid w:val="00F33339"/>
    <w:rsid w:val="00F336D4"/>
    <w:rsid w:val="00F3398C"/>
    <w:rsid w:val="00F3423F"/>
    <w:rsid w:val="00F344E8"/>
    <w:rsid w:val="00F348B3"/>
    <w:rsid w:val="00F35676"/>
    <w:rsid w:val="00F35BD1"/>
    <w:rsid w:val="00F371F5"/>
    <w:rsid w:val="00F40FD1"/>
    <w:rsid w:val="00F4211D"/>
    <w:rsid w:val="00F42BD2"/>
    <w:rsid w:val="00F430C4"/>
    <w:rsid w:val="00F43FB7"/>
    <w:rsid w:val="00F4423B"/>
    <w:rsid w:val="00F449C4"/>
    <w:rsid w:val="00F44B7C"/>
    <w:rsid w:val="00F44CF3"/>
    <w:rsid w:val="00F45313"/>
    <w:rsid w:val="00F46290"/>
    <w:rsid w:val="00F46391"/>
    <w:rsid w:val="00F4676F"/>
    <w:rsid w:val="00F46C58"/>
    <w:rsid w:val="00F47141"/>
    <w:rsid w:val="00F4762E"/>
    <w:rsid w:val="00F47918"/>
    <w:rsid w:val="00F47970"/>
    <w:rsid w:val="00F47A6A"/>
    <w:rsid w:val="00F500AA"/>
    <w:rsid w:val="00F50698"/>
    <w:rsid w:val="00F5087E"/>
    <w:rsid w:val="00F50BAE"/>
    <w:rsid w:val="00F50BD0"/>
    <w:rsid w:val="00F5168D"/>
    <w:rsid w:val="00F51EC8"/>
    <w:rsid w:val="00F520CA"/>
    <w:rsid w:val="00F52697"/>
    <w:rsid w:val="00F5289D"/>
    <w:rsid w:val="00F52E82"/>
    <w:rsid w:val="00F54172"/>
    <w:rsid w:val="00F55C85"/>
    <w:rsid w:val="00F562B4"/>
    <w:rsid w:val="00F578B0"/>
    <w:rsid w:val="00F57A03"/>
    <w:rsid w:val="00F57E68"/>
    <w:rsid w:val="00F606AF"/>
    <w:rsid w:val="00F62C1F"/>
    <w:rsid w:val="00F62EDE"/>
    <w:rsid w:val="00F634AF"/>
    <w:rsid w:val="00F63B1D"/>
    <w:rsid w:val="00F63DCE"/>
    <w:rsid w:val="00F63E50"/>
    <w:rsid w:val="00F64065"/>
    <w:rsid w:val="00F6473B"/>
    <w:rsid w:val="00F64D3F"/>
    <w:rsid w:val="00F64E3B"/>
    <w:rsid w:val="00F64F1A"/>
    <w:rsid w:val="00F656D1"/>
    <w:rsid w:val="00F65C99"/>
    <w:rsid w:val="00F66076"/>
    <w:rsid w:val="00F66270"/>
    <w:rsid w:val="00F6643E"/>
    <w:rsid w:val="00F664A4"/>
    <w:rsid w:val="00F668EA"/>
    <w:rsid w:val="00F66918"/>
    <w:rsid w:val="00F70410"/>
    <w:rsid w:val="00F7043C"/>
    <w:rsid w:val="00F70F1D"/>
    <w:rsid w:val="00F718B4"/>
    <w:rsid w:val="00F7194C"/>
    <w:rsid w:val="00F71B25"/>
    <w:rsid w:val="00F71F58"/>
    <w:rsid w:val="00F7231D"/>
    <w:rsid w:val="00F72B37"/>
    <w:rsid w:val="00F73C81"/>
    <w:rsid w:val="00F742D0"/>
    <w:rsid w:val="00F74569"/>
    <w:rsid w:val="00F7479A"/>
    <w:rsid w:val="00F75679"/>
    <w:rsid w:val="00F75A2C"/>
    <w:rsid w:val="00F768D0"/>
    <w:rsid w:val="00F76AE2"/>
    <w:rsid w:val="00F76D08"/>
    <w:rsid w:val="00F776F9"/>
    <w:rsid w:val="00F802C1"/>
    <w:rsid w:val="00F80705"/>
    <w:rsid w:val="00F815DF"/>
    <w:rsid w:val="00F81C62"/>
    <w:rsid w:val="00F82E12"/>
    <w:rsid w:val="00F83A5D"/>
    <w:rsid w:val="00F8552E"/>
    <w:rsid w:val="00F86461"/>
    <w:rsid w:val="00F87277"/>
    <w:rsid w:val="00F910F1"/>
    <w:rsid w:val="00F91C21"/>
    <w:rsid w:val="00F91C98"/>
    <w:rsid w:val="00F925AE"/>
    <w:rsid w:val="00F92615"/>
    <w:rsid w:val="00F92881"/>
    <w:rsid w:val="00F93047"/>
    <w:rsid w:val="00F93919"/>
    <w:rsid w:val="00F93AC4"/>
    <w:rsid w:val="00F94CAF"/>
    <w:rsid w:val="00F95CBB"/>
    <w:rsid w:val="00F95F45"/>
    <w:rsid w:val="00F96153"/>
    <w:rsid w:val="00F96883"/>
    <w:rsid w:val="00F970DC"/>
    <w:rsid w:val="00F972C0"/>
    <w:rsid w:val="00F973B6"/>
    <w:rsid w:val="00F97DFB"/>
    <w:rsid w:val="00FA02E0"/>
    <w:rsid w:val="00FA0335"/>
    <w:rsid w:val="00FA0C59"/>
    <w:rsid w:val="00FA0F63"/>
    <w:rsid w:val="00FA1CAA"/>
    <w:rsid w:val="00FA21F0"/>
    <w:rsid w:val="00FA27C7"/>
    <w:rsid w:val="00FA2D94"/>
    <w:rsid w:val="00FA2DBE"/>
    <w:rsid w:val="00FA2EF8"/>
    <w:rsid w:val="00FA319E"/>
    <w:rsid w:val="00FA33A0"/>
    <w:rsid w:val="00FA358C"/>
    <w:rsid w:val="00FA3A77"/>
    <w:rsid w:val="00FA52CC"/>
    <w:rsid w:val="00FA5B58"/>
    <w:rsid w:val="00FA6815"/>
    <w:rsid w:val="00FA6AD5"/>
    <w:rsid w:val="00FA74F8"/>
    <w:rsid w:val="00FA75C4"/>
    <w:rsid w:val="00FA765E"/>
    <w:rsid w:val="00FA7DC6"/>
    <w:rsid w:val="00FB0EEA"/>
    <w:rsid w:val="00FB0F06"/>
    <w:rsid w:val="00FB140B"/>
    <w:rsid w:val="00FB2636"/>
    <w:rsid w:val="00FB2C19"/>
    <w:rsid w:val="00FB2DBA"/>
    <w:rsid w:val="00FB3018"/>
    <w:rsid w:val="00FB3C78"/>
    <w:rsid w:val="00FB40E2"/>
    <w:rsid w:val="00FB5260"/>
    <w:rsid w:val="00FB563D"/>
    <w:rsid w:val="00FB5AC8"/>
    <w:rsid w:val="00FB6509"/>
    <w:rsid w:val="00FB66F3"/>
    <w:rsid w:val="00FB6D6C"/>
    <w:rsid w:val="00FB7FD8"/>
    <w:rsid w:val="00FC165C"/>
    <w:rsid w:val="00FC2B18"/>
    <w:rsid w:val="00FC34DA"/>
    <w:rsid w:val="00FC37D7"/>
    <w:rsid w:val="00FC393A"/>
    <w:rsid w:val="00FC3E40"/>
    <w:rsid w:val="00FC4404"/>
    <w:rsid w:val="00FC4BC7"/>
    <w:rsid w:val="00FC54B4"/>
    <w:rsid w:val="00FC6088"/>
    <w:rsid w:val="00FC634E"/>
    <w:rsid w:val="00FC6AD1"/>
    <w:rsid w:val="00FC7481"/>
    <w:rsid w:val="00FD04B2"/>
    <w:rsid w:val="00FD04E6"/>
    <w:rsid w:val="00FD08A3"/>
    <w:rsid w:val="00FD1627"/>
    <w:rsid w:val="00FD246D"/>
    <w:rsid w:val="00FD3283"/>
    <w:rsid w:val="00FD4881"/>
    <w:rsid w:val="00FD4D77"/>
    <w:rsid w:val="00FD5053"/>
    <w:rsid w:val="00FD5F1C"/>
    <w:rsid w:val="00FD645B"/>
    <w:rsid w:val="00FD64F6"/>
    <w:rsid w:val="00FD65E6"/>
    <w:rsid w:val="00FD69A4"/>
    <w:rsid w:val="00FD6A4B"/>
    <w:rsid w:val="00FD6C06"/>
    <w:rsid w:val="00FD6CA6"/>
    <w:rsid w:val="00FD7441"/>
    <w:rsid w:val="00FD7638"/>
    <w:rsid w:val="00FD7FC4"/>
    <w:rsid w:val="00FE011D"/>
    <w:rsid w:val="00FE01FE"/>
    <w:rsid w:val="00FE0635"/>
    <w:rsid w:val="00FE0A5B"/>
    <w:rsid w:val="00FE18ED"/>
    <w:rsid w:val="00FE2683"/>
    <w:rsid w:val="00FE2A40"/>
    <w:rsid w:val="00FE2C52"/>
    <w:rsid w:val="00FE33D1"/>
    <w:rsid w:val="00FE3E5A"/>
    <w:rsid w:val="00FE492B"/>
    <w:rsid w:val="00FE4D78"/>
    <w:rsid w:val="00FE50B5"/>
    <w:rsid w:val="00FE5602"/>
    <w:rsid w:val="00FE6586"/>
    <w:rsid w:val="00FE7E67"/>
    <w:rsid w:val="00FE7F82"/>
    <w:rsid w:val="00FF05D8"/>
    <w:rsid w:val="00FF0AAB"/>
    <w:rsid w:val="00FF0D1C"/>
    <w:rsid w:val="00FF0EC5"/>
    <w:rsid w:val="00FF17CB"/>
    <w:rsid w:val="00FF33DB"/>
    <w:rsid w:val="00FF3880"/>
    <w:rsid w:val="00FF3F55"/>
    <w:rsid w:val="00FF47C5"/>
    <w:rsid w:val="00FF499A"/>
    <w:rsid w:val="00FF5594"/>
    <w:rsid w:val="00FF56C5"/>
    <w:rsid w:val="00FF6734"/>
    <w:rsid w:val="00FF6789"/>
    <w:rsid w:val="00FF6B8E"/>
    <w:rsid w:val="00FF6FD9"/>
    <w:rsid w:val="00FF6FF1"/>
    <w:rsid w:val="00FF7483"/>
    <w:rsid w:val="00FF7672"/>
    <w:rsid w:val="00FF7BCD"/>
    <w:rsid w:val="55564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place"/>
  <w:shapeDefaults>
    <o:shapedefaults v:ext="edit" spidmax="2060"/>
    <o:shapelayout v:ext="edit">
      <o:idmap v:ext="edit" data="2"/>
    </o:shapelayout>
  </w:shapeDefaults>
  <w:decimalSymbol w:val="."/>
  <w:listSeparator w:val=","/>
  <w14:docId w14:val="73FFE6DF"/>
  <w15:chartTrackingRefBased/>
  <w15:docId w15:val="{CC7439EF-7C74-42B1-8B49-CD84FE26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0DFE"/>
    <w:pPr>
      <w:jc w:val="both"/>
    </w:pPr>
    <w:rPr>
      <w:rFonts w:ascii="Arial" w:hAnsi="Arial"/>
      <w:sz w:val="24"/>
      <w:szCs w:val="24"/>
    </w:rPr>
  </w:style>
  <w:style w:type="paragraph" w:styleId="Heading1">
    <w:name w:val="heading 1"/>
    <w:basedOn w:val="Normal"/>
    <w:next w:val="Normal"/>
    <w:qFormat/>
    <w:rsid w:val="00FF0D1C"/>
    <w:pPr>
      <w:keepNext/>
      <w:spacing w:before="240" w:after="60"/>
      <w:outlineLvl w:val="0"/>
    </w:pPr>
    <w:rPr>
      <w:rFonts w:cs="Arial"/>
      <w:b/>
      <w:bCs/>
      <w:kern w:val="32"/>
      <w:sz w:val="32"/>
      <w:szCs w:val="32"/>
    </w:rPr>
  </w:style>
  <w:style w:type="paragraph" w:styleId="Heading2">
    <w:name w:val="heading 2"/>
    <w:basedOn w:val="Normal"/>
    <w:next w:val="Normal"/>
    <w:qFormat/>
    <w:rsid w:val="00C46626"/>
    <w:pPr>
      <w:keepNext/>
      <w:numPr>
        <w:ilvl w:val="1"/>
        <w:numId w:val="10"/>
      </w:numPr>
      <w:spacing w:before="240" w:after="60"/>
      <w:jc w:val="left"/>
      <w:outlineLvl w:val="1"/>
    </w:pPr>
    <w:rPr>
      <w:rFonts w:cs="Arial"/>
      <w:b/>
      <w:bCs/>
      <w:i/>
      <w:iCs/>
      <w:sz w:val="28"/>
      <w:szCs w:val="28"/>
    </w:rPr>
  </w:style>
  <w:style w:type="paragraph" w:styleId="Heading3">
    <w:name w:val="heading 3"/>
    <w:basedOn w:val="Normal"/>
    <w:next w:val="Normal"/>
    <w:qFormat/>
    <w:rsid w:val="00C46626"/>
    <w:pPr>
      <w:keepNext/>
      <w:numPr>
        <w:ilvl w:val="2"/>
        <w:numId w:val="10"/>
      </w:numPr>
      <w:spacing w:before="240" w:after="60"/>
      <w:jc w:val="left"/>
      <w:outlineLvl w:val="2"/>
    </w:pPr>
    <w:rPr>
      <w:rFonts w:cs="Arial"/>
      <w:b/>
      <w:bCs/>
      <w:sz w:val="26"/>
      <w:szCs w:val="26"/>
    </w:rPr>
  </w:style>
  <w:style w:type="paragraph" w:styleId="Heading4">
    <w:name w:val="heading 4"/>
    <w:basedOn w:val="Normal"/>
    <w:next w:val="Normal"/>
    <w:qFormat/>
    <w:rsid w:val="00C46626"/>
    <w:pPr>
      <w:keepNext/>
      <w:spacing w:before="240" w:after="60"/>
      <w:jc w:val="left"/>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AB5AB4"/>
    <w:pPr>
      <w:spacing w:before="240" w:after="60"/>
      <w:outlineLvl w:val="4"/>
    </w:pPr>
    <w:rPr>
      <w:rFonts w:ascii="Aptos" w:hAnsi="Aptos"/>
      <w:b/>
      <w:bCs/>
      <w:i/>
      <w:iCs/>
      <w:sz w:val="26"/>
      <w:szCs w:val="26"/>
    </w:rPr>
  </w:style>
  <w:style w:type="paragraph" w:styleId="Heading6">
    <w:name w:val="heading 6"/>
    <w:basedOn w:val="Normal"/>
    <w:next w:val="Normal"/>
    <w:link w:val="Heading6Char"/>
    <w:semiHidden/>
    <w:unhideWhenUsed/>
    <w:qFormat/>
    <w:rsid w:val="00AB5AB4"/>
    <w:pPr>
      <w:spacing w:before="240" w:after="60"/>
      <w:outlineLvl w:val="5"/>
    </w:pPr>
    <w:rPr>
      <w:rFonts w:ascii="Aptos" w:hAnsi="Aptos"/>
      <w:b/>
      <w:bCs/>
      <w:sz w:val="22"/>
      <w:szCs w:val="22"/>
    </w:rPr>
  </w:style>
  <w:style w:type="paragraph" w:styleId="Heading7">
    <w:name w:val="heading 7"/>
    <w:basedOn w:val="Normal"/>
    <w:next w:val="Normal"/>
    <w:link w:val="Heading7Char"/>
    <w:semiHidden/>
    <w:unhideWhenUsed/>
    <w:qFormat/>
    <w:rsid w:val="00AB5AB4"/>
    <w:pPr>
      <w:spacing w:before="240" w:after="60"/>
      <w:outlineLvl w:val="6"/>
    </w:pPr>
    <w:rPr>
      <w:rFonts w:ascii="Aptos" w:hAnsi="Aptos"/>
    </w:rPr>
  </w:style>
  <w:style w:type="paragraph" w:styleId="Heading8">
    <w:name w:val="heading 8"/>
    <w:basedOn w:val="Normal"/>
    <w:next w:val="Normal"/>
    <w:link w:val="Heading8Char"/>
    <w:semiHidden/>
    <w:unhideWhenUsed/>
    <w:qFormat/>
    <w:rsid w:val="00AB5AB4"/>
    <w:pPr>
      <w:spacing w:before="240" w:after="60"/>
      <w:outlineLvl w:val="7"/>
    </w:pPr>
    <w:rPr>
      <w:rFonts w:ascii="Aptos" w:hAnsi="Aptos"/>
      <w:i/>
      <w:iCs/>
    </w:rPr>
  </w:style>
  <w:style w:type="paragraph" w:styleId="Heading9">
    <w:name w:val="heading 9"/>
    <w:basedOn w:val="Normal"/>
    <w:next w:val="Normal"/>
    <w:link w:val="Heading9Char"/>
    <w:semiHidden/>
    <w:unhideWhenUsed/>
    <w:qFormat/>
    <w:rsid w:val="00AB5AB4"/>
    <w:pPr>
      <w:spacing w:before="240" w:after="60"/>
      <w:outlineLvl w:val="8"/>
    </w:pPr>
    <w:rPr>
      <w:rFonts w:ascii="Aptos Display" w:hAnsi="Aptos Display"/>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semiHidden/>
    <w:rsid w:val="00C14DDD"/>
    <w:pPr>
      <w:numPr>
        <w:numId w:val="21"/>
      </w:numPr>
      <w:jc w:val="left"/>
    </w:pPr>
    <w:rPr>
      <w:rFonts w:ascii="Times New Roman" w:hAnsi="Times New Roman"/>
    </w:rPr>
  </w:style>
  <w:style w:type="character" w:customStyle="1" w:styleId="H4SubNumberedParagraphChar">
    <w:name w:val="H4 SubNumbered_Paragraph Char"/>
    <w:link w:val="H4SubNumberedParagraph"/>
    <w:rsid w:val="00321AAC"/>
    <w:rPr>
      <w:rFonts w:ascii="Arial" w:hAnsi="Arial" w:cs="Arial"/>
      <w:b/>
      <w:bCs/>
      <w:sz w:val="22"/>
      <w:szCs w:val="22"/>
    </w:rPr>
  </w:style>
  <w:style w:type="character" w:customStyle="1" w:styleId="H3SubParagraphChar">
    <w:name w:val="H3 SubParagraph Char"/>
    <w:link w:val="H3SubParagraph"/>
    <w:rsid w:val="00187642"/>
    <w:rPr>
      <w:rFonts w:ascii="Arial" w:hAnsi="Arial" w:cs="Arial"/>
      <w:b/>
      <w:bCs/>
      <w:sz w:val="24"/>
      <w:szCs w:val="24"/>
    </w:rPr>
  </w:style>
  <w:style w:type="paragraph" w:customStyle="1" w:styleId="H3SubParagraph">
    <w:name w:val="H3 SubParagraph"/>
    <w:next w:val="Normal"/>
    <w:link w:val="H3SubParagraphChar"/>
    <w:qFormat/>
    <w:rsid w:val="00187642"/>
    <w:pPr>
      <w:numPr>
        <w:ilvl w:val="1"/>
        <w:numId w:val="53"/>
      </w:numPr>
      <w:spacing w:before="120"/>
    </w:pPr>
    <w:rPr>
      <w:rFonts w:ascii="Arial" w:hAnsi="Arial" w:cs="Arial"/>
      <w:b/>
      <w:bCs/>
      <w:sz w:val="24"/>
      <w:szCs w:val="24"/>
    </w:rPr>
  </w:style>
  <w:style w:type="paragraph" w:customStyle="1" w:styleId="H4SubNumberedParagraph">
    <w:name w:val="H4 SubNumbered_Paragraph"/>
    <w:basedOn w:val="H3SubParagraph"/>
    <w:next w:val="Normal"/>
    <w:link w:val="H4SubNumberedParagraphChar"/>
    <w:rsid w:val="00187642"/>
    <w:pPr>
      <w:numPr>
        <w:ilvl w:val="2"/>
      </w:numPr>
    </w:pPr>
    <w:rPr>
      <w:sz w:val="22"/>
      <w:szCs w:val="22"/>
    </w:rPr>
  </w:style>
  <w:style w:type="paragraph" w:customStyle="1" w:styleId="Text">
    <w:name w:val="Text"/>
    <w:basedOn w:val="Normal"/>
    <w:rsid w:val="00515DC3"/>
    <w:pPr>
      <w:spacing w:after="240"/>
      <w:ind w:left="1325"/>
    </w:pPr>
    <w:rPr>
      <w:rFonts w:cs="Arial"/>
      <w:sz w:val="22"/>
      <w:szCs w:val="22"/>
    </w:rPr>
  </w:style>
  <w:style w:type="paragraph" w:customStyle="1" w:styleId="H6Subnumber">
    <w:name w:val="H6 Sub(number)"/>
    <w:basedOn w:val="Normal"/>
    <w:next w:val="Normal"/>
    <w:rsid w:val="00525EF8"/>
    <w:pPr>
      <w:numPr>
        <w:ilvl w:val="4"/>
        <w:numId w:val="1"/>
      </w:numPr>
      <w:spacing w:before="120"/>
    </w:pPr>
    <w:rPr>
      <w:rFonts w:cs="Arial"/>
      <w:b/>
      <w:bCs/>
      <w:sz w:val="22"/>
      <w:szCs w:val="22"/>
    </w:rPr>
  </w:style>
  <w:style w:type="paragraph" w:customStyle="1" w:styleId="H6Text">
    <w:name w:val="H6 Text"/>
    <w:basedOn w:val="Normal"/>
    <w:link w:val="H6TextChar"/>
    <w:rsid w:val="00525EF8"/>
    <w:pPr>
      <w:spacing w:after="120"/>
      <w:ind w:left="1800"/>
    </w:pPr>
    <w:rPr>
      <w:sz w:val="22"/>
    </w:rPr>
  </w:style>
  <w:style w:type="character" w:customStyle="1" w:styleId="H6TextChar">
    <w:name w:val="H6 Text Char"/>
    <w:link w:val="H6Text"/>
    <w:rsid w:val="00CD41C5"/>
    <w:rPr>
      <w:rFonts w:ascii="Arial" w:hAnsi="Arial"/>
      <w:sz w:val="22"/>
      <w:szCs w:val="24"/>
      <w:lang w:val="en-US" w:eastAsia="en-US" w:bidi="ar-SA"/>
    </w:rPr>
  </w:style>
  <w:style w:type="character" w:customStyle="1" w:styleId="H5TextChar">
    <w:name w:val="H5 Text Char"/>
    <w:link w:val="H5Text"/>
    <w:rsid w:val="00CD41C5"/>
    <w:rPr>
      <w:rFonts w:ascii="Arial" w:hAnsi="Arial"/>
      <w:sz w:val="22"/>
      <w:szCs w:val="24"/>
      <w:lang w:val="en-US" w:eastAsia="en-US" w:bidi="ar-SA"/>
    </w:rPr>
  </w:style>
  <w:style w:type="paragraph" w:customStyle="1" w:styleId="H5Text">
    <w:name w:val="H5 Text"/>
    <w:link w:val="H5TextChar"/>
    <w:rsid w:val="00CD41C5"/>
    <w:pPr>
      <w:spacing w:after="120"/>
      <w:ind w:left="1440"/>
    </w:pPr>
    <w:rPr>
      <w:rFonts w:ascii="Arial" w:hAnsi="Arial"/>
      <w:sz w:val="22"/>
      <w:szCs w:val="24"/>
    </w:rPr>
  </w:style>
  <w:style w:type="paragraph" w:customStyle="1" w:styleId="textstyle">
    <w:name w:val="textstyle"/>
    <w:basedOn w:val="Normal"/>
    <w:rsid w:val="00A314CD"/>
    <w:pPr>
      <w:spacing w:after="120"/>
    </w:pPr>
    <w:rPr>
      <w:rFonts w:cs="Arial"/>
      <w:sz w:val="18"/>
      <w:szCs w:val="18"/>
    </w:rPr>
  </w:style>
  <w:style w:type="character" w:styleId="FollowedHyperlink">
    <w:name w:val="FollowedHyperlink"/>
    <w:rsid w:val="005F116A"/>
    <w:rPr>
      <w:color w:val="800080"/>
      <w:u w:val="single"/>
    </w:rPr>
  </w:style>
  <w:style w:type="paragraph" w:customStyle="1" w:styleId="Bulleted">
    <w:name w:val="Bulleted"/>
    <w:basedOn w:val="Normal"/>
    <w:rsid w:val="00C02DAA"/>
    <w:pPr>
      <w:numPr>
        <w:ilvl w:val="1"/>
        <w:numId w:val="2"/>
      </w:numPr>
      <w:shd w:val="clear" w:color="auto" w:fill="FFFFFF"/>
      <w:spacing w:before="120" w:after="120"/>
      <w:ind w:right="115"/>
    </w:pPr>
    <w:rPr>
      <w:rFonts w:cs="Arial"/>
      <w:color w:val="0000FF"/>
      <w:sz w:val="20"/>
      <w:szCs w:val="20"/>
    </w:rPr>
  </w:style>
  <w:style w:type="paragraph" w:customStyle="1" w:styleId="H1ProcedureSection">
    <w:name w:val="H1 Procedure_Section"/>
    <w:basedOn w:val="Heading1"/>
    <w:next w:val="Normal"/>
    <w:rsid w:val="008028A4"/>
    <w:pPr>
      <w:pBdr>
        <w:top w:val="single" w:sz="18" w:space="6" w:color="auto"/>
        <w:bottom w:val="single" w:sz="8" w:space="6" w:color="auto"/>
      </w:pBdr>
      <w:tabs>
        <w:tab w:val="left" w:pos="2000"/>
      </w:tabs>
      <w:spacing w:before="120" w:after="0"/>
      <w:ind w:left="2000" w:hanging="2000"/>
      <w:jc w:val="left"/>
    </w:pPr>
    <w:rPr>
      <w:color w:val="000080"/>
      <w:sz w:val="28"/>
    </w:rPr>
  </w:style>
  <w:style w:type="paragraph" w:customStyle="1" w:styleId="Version">
    <w:name w:val="Version"/>
    <w:basedOn w:val="Normal"/>
    <w:next w:val="Normal"/>
    <w:rsid w:val="00FF0D1C"/>
    <w:pPr>
      <w:tabs>
        <w:tab w:val="right" w:pos="8880"/>
      </w:tabs>
    </w:pPr>
    <w:rPr>
      <w:rFonts w:cs="Arial"/>
      <w:sz w:val="20"/>
      <w:szCs w:val="20"/>
    </w:rPr>
  </w:style>
  <w:style w:type="character" w:styleId="Hyperlink">
    <w:name w:val="Hyperlink"/>
    <w:uiPriority w:val="99"/>
    <w:rsid w:val="004522BD"/>
    <w:rPr>
      <w:rFonts w:ascii="Arial" w:hAnsi="Arial"/>
      <w:color w:val="0000FF"/>
      <w:sz w:val="24"/>
      <w:szCs w:val="24"/>
      <w:u w:val="single"/>
    </w:rPr>
  </w:style>
  <w:style w:type="table" w:styleId="TableGrid">
    <w:name w:val="Table Grid"/>
    <w:basedOn w:val="TableNormal"/>
    <w:semiHidden/>
    <w:rsid w:val="0018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187642"/>
  </w:style>
  <w:style w:type="paragraph" w:styleId="Header">
    <w:name w:val="header"/>
    <w:basedOn w:val="Normal"/>
    <w:semiHidden/>
    <w:rsid w:val="00187642"/>
    <w:pPr>
      <w:tabs>
        <w:tab w:val="center" w:pos="4320"/>
        <w:tab w:val="right" w:pos="8640"/>
      </w:tabs>
      <w:jc w:val="left"/>
    </w:pPr>
    <w:rPr>
      <w:rFonts w:ascii="Times New Roman" w:hAnsi="Times New Roman"/>
    </w:rPr>
  </w:style>
  <w:style w:type="paragraph" w:styleId="Footer">
    <w:name w:val="footer"/>
    <w:basedOn w:val="Normal"/>
    <w:semiHidden/>
    <w:rsid w:val="00187642"/>
    <w:pPr>
      <w:tabs>
        <w:tab w:val="center" w:pos="4320"/>
        <w:tab w:val="right" w:pos="8640"/>
      </w:tabs>
      <w:jc w:val="left"/>
    </w:pPr>
    <w:rPr>
      <w:rFonts w:ascii="Times New Roman" w:hAnsi="Times New Roman"/>
    </w:rPr>
  </w:style>
  <w:style w:type="paragraph" w:customStyle="1" w:styleId="H2Paragraph">
    <w:name w:val="H2 Paragraph"/>
    <w:next w:val="Normal"/>
    <w:rsid w:val="00187642"/>
    <w:pPr>
      <w:numPr>
        <w:numId w:val="53"/>
      </w:numPr>
      <w:pBdr>
        <w:top w:val="single" w:sz="8" w:space="1" w:color="auto"/>
      </w:pBdr>
    </w:pPr>
    <w:rPr>
      <w:rFonts w:ascii="Arial" w:hAnsi="Arial" w:cs="Arial"/>
      <w:b/>
      <w:bCs/>
      <w:iCs/>
      <w:sz w:val="24"/>
      <w:szCs w:val="24"/>
    </w:rPr>
  </w:style>
  <w:style w:type="paragraph" w:customStyle="1" w:styleId="H4Text">
    <w:name w:val="H4 Text"/>
    <w:link w:val="H4TextChar"/>
    <w:rsid w:val="00187642"/>
    <w:pPr>
      <w:spacing w:after="120"/>
      <w:ind w:left="1080"/>
    </w:pPr>
    <w:rPr>
      <w:rFonts w:ascii="Arial" w:hAnsi="Arial"/>
      <w:sz w:val="22"/>
      <w:szCs w:val="24"/>
    </w:rPr>
  </w:style>
  <w:style w:type="character" w:customStyle="1" w:styleId="H4TextChar">
    <w:name w:val="H4 Text Char"/>
    <w:link w:val="H4Text"/>
    <w:rsid w:val="00187642"/>
    <w:rPr>
      <w:rFonts w:ascii="Arial" w:hAnsi="Arial"/>
      <w:sz w:val="22"/>
      <w:szCs w:val="24"/>
      <w:lang w:val="en-US" w:eastAsia="en-US" w:bidi="ar-SA"/>
    </w:rPr>
  </w:style>
  <w:style w:type="paragraph" w:customStyle="1" w:styleId="H3Text">
    <w:name w:val="H3 Text"/>
    <w:link w:val="H3TextChar"/>
    <w:rsid w:val="00187642"/>
    <w:pPr>
      <w:spacing w:after="120"/>
      <w:ind w:left="720"/>
    </w:pPr>
    <w:rPr>
      <w:rFonts w:ascii="Arial" w:hAnsi="Arial"/>
      <w:sz w:val="22"/>
      <w:szCs w:val="24"/>
    </w:rPr>
  </w:style>
  <w:style w:type="character" w:customStyle="1" w:styleId="H3TextChar">
    <w:name w:val="H3 Text Char"/>
    <w:link w:val="H3Text"/>
    <w:rsid w:val="00187642"/>
    <w:rPr>
      <w:rFonts w:ascii="Arial" w:hAnsi="Arial"/>
      <w:sz w:val="22"/>
      <w:szCs w:val="24"/>
      <w:lang w:val="en-US" w:eastAsia="en-US" w:bidi="ar-SA"/>
    </w:rPr>
  </w:style>
  <w:style w:type="paragraph" w:customStyle="1" w:styleId="HeaderProcedure">
    <w:name w:val="Header_Procedure"/>
    <w:rsid w:val="00187642"/>
    <w:pPr>
      <w:jc w:val="center"/>
    </w:pPr>
    <w:rPr>
      <w:rFonts w:ascii="Arial" w:hAnsi="Arial"/>
      <w:b/>
      <w:color w:val="000080"/>
      <w:sz w:val="28"/>
      <w:szCs w:val="28"/>
    </w:rPr>
  </w:style>
  <w:style w:type="paragraph" w:customStyle="1" w:styleId="FooterProcedure">
    <w:name w:val="Footer_Procedure"/>
    <w:rsid w:val="00187642"/>
    <w:pPr>
      <w:jc w:val="center"/>
    </w:pPr>
    <w:rPr>
      <w:rFonts w:ascii="Arial" w:hAnsi="Arial"/>
      <w:szCs w:val="24"/>
    </w:rPr>
  </w:style>
  <w:style w:type="paragraph" w:styleId="TOC1">
    <w:name w:val="toc 1"/>
    <w:basedOn w:val="H1ProcedureSection"/>
    <w:next w:val="Normal"/>
    <w:autoRedefine/>
    <w:uiPriority w:val="39"/>
    <w:rsid w:val="00737F93"/>
    <w:pPr>
      <w:tabs>
        <w:tab w:val="clear" w:pos="2000"/>
        <w:tab w:val="left" w:pos="9200"/>
      </w:tabs>
      <w:ind w:left="1500" w:hanging="1700"/>
      <w:contextualSpacing/>
    </w:pPr>
    <w:rPr>
      <w:sz w:val="22"/>
    </w:rPr>
  </w:style>
  <w:style w:type="paragraph" w:styleId="TOC2">
    <w:name w:val="toc 2"/>
    <w:basedOn w:val="Normal"/>
    <w:next w:val="Normal"/>
    <w:autoRedefine/>
    <w:uiPriority w:val="39"/>
    <w:rsid w:val="001C3604"/>
    <w:pPr>
      <w:tabs>
        <w:tab w:val="left" w:pos="1500"/>
        <w:tab w:val="right" w:leader="dot" w:pos="9300"/>
      </w:tabs>
      <w:ind w:left="1500" w:right="-400" w:hanging="1255"/>
    </w:pPr>
    <w:rPr>
      <w:sz w:val="22"/>
    </w:rPr>
  </w:style>
  <w:style w:type="paragraph" w:styleId="TOC3">
    <w:name w:val="toc 3"/>
    <w:basedOn w:val="Normal"/>
    <w:next w:val="Normal"/>
    <w:autoRedefine/>
    <w:uiPriority w:val="39"/>
    <w:rsid w:val="00D8468B"/>
    <w:pPr>
      <w:ind w:left="480"/>
    </w:pPr>
  </w:style>
  <w:style w:type="paragraph" w:styleId="TOC4">
    <w:name w:val="toc 4"/>
    <w:basedOn w:val="Normal"/>
    <w:next w:val="Normal"/>
    <w:autoRedefine/>
    <w:uiPriority w:val="39"/>
    <w:rsid w:val="00D8468B"/>
    <w:pPr>
      <w:ind w:left="720"/>
    </w:pPr>
  </w:style>
  <w:style w:type="paragraph" w:styleId="FootnoteText">
    <w:name w:val="footnote text"/>
    <w:basedOn w:val="Normal"/>
    <w:link w:val="FootnoteTextChar"/>
    <w:uiPriority w:val="99"/>
    <w:rsid w:val="00C30273"/>
    <w:pPr>
      <w:jc w:val="left"/>
    </w:pPr>
    <w:rPr>
      <w:rFonts w:ascii="Times New Roman" w:hAnsi="Times New Roman"/>
      <w:sz w:val="20"/>
      <w:szCs w:val="20"/>
    </w:rPr>
  </w:style>
  <w:style w:type="character" w:styleId="FootnoteReference">
    <w:name w:val="footnote reference"/>
    <w:uiPriority w:val="99"/>
    <w:semiHidden/>
    <w:rsid w:val="00C30273"/>
    <w:rPr>
      <w:rFonts w:ascii="Arial" w:hAnsi="Arial"/>
      <w:sz w:val="20"/>
      <w:szCs w:val="20"/>
      <w:vertAlign w:val="superscript"/>
    </w:rPr>
  </w:style>
  <w:style w:type="paragraph" w:customStyle="1" w:styleId="H5SubAlphaParagraph">
    <w:name w:val="H5 SubAlpha_Paragraph"/>
    <w:basedOn w:val="H4SubNumberedParagraph"/>
    <w:next w:val="Normal"/>
    <w:rsid w:val="00CD41C5"/>
    <w:pPr>
      <w:numPr>
        <w:ilvl w:val="3"/>
        <w:numId w:val="9"/>
      </w:numPr>
    </w:pPr>
  </w:style>
  <w:style w:type="paragraph" w:styleId="BodyText2">
    <w:name w:val="Body Text 2"/>
    <w:basedOn w:val="Normal"/>
    <w:semiHidden/>
    <w:rsid w:val="00C46626"/>
    <w:pPr>
      <w:spacing w:after="120" w:line="480" w:lineRule="auto"/>
      <w:jc w:val="left"/>
    </w:pPr>
    <w:rPr>
      <w:rFonts w:ascii="Times New Roman" w:hAnsi="Times New Roman"/>
    </w:rPr>
  </w:style>
  <w:style w:type="paragraph" w:styleId="BodyText3">
    <w:name w:val="Body Text 3"/>
    <w:basedOn w:val="Normal"/>
    <w:semiHidden/>
    <w:rsid w:val="00C46626"/>
    <w:pPr>
      <w:spacing w:after="120"/>
      <w:jc w:val="left"/>
    </w:pPr>
    <w:rPr>
      <w:rFonts w:ascii="Times New Roman" w:hAnsi="Times New Roman"/>
      <w:sz w:val="16"/>
      <w:szCs w:val="16"/>
    </w:rPr>
  </w:style>
  <w:style w:type="paragraph" w:styleId="BalloonText">
    <w:name w:val="Balloon Text"/>
    <w:basedOn w:val="Normal"/>
    <w:semiHidden/>
    <w:rsid w:val="00C46626"/>
    <w:rPr>
      <w:rFonts w:ascii="Tahoma" w:hAnsi="Tahoma" w:cs="Tahoma"/>
      <w:sz w:val="16"/>
      <w:szCs w:val="16"/>
    </w:rPr>
  </w:style>
  <w:style w:type="character" w:styleId="Strong">
    <w:name w:val="Strong"/>
    <w:qFormat/>
    <w:rsid w:val="005F116A"/>
    <w:rPr>
      <w:b/>
      <w:bCs/>
    </w:rPr>
  </w:style>
  <w:style w:type="paragraph" w:styleId="BodyTextIndent">
    <w:name w:val="Body Text Indent"/>
    <w:basedOn w:val="Normal"/>
    <w:link w:val="BodyTextIndentChar"/>
    <w:semiHidden/>
    <w:rsid w:val="00597B9A"/>
    <w:pPr>
      <w:spacing w:after="120"/>
      <w:ind w:left="360"/>
      <w:jc w:val="left"/>
    </w:pPr>
    <w:rPr>
      <w:rFonts w:ascii="Times New Roman" w:hAnsi="Times New Roman"/>
    </w:rPr>
  </w:style>
  <w:style w:type="paragraph" w:styleId="ListBullet2">
    <w:name w:val="List Bullet 2"/>
    <w:basedOn w:val="Normal"/>
    <w:semiHidden/>
    <w:rsid w:val="00597B9A"/>
    <w:pPr>
      <w:numPr>
        <w:numId w:val="58"/>
      </w:numPr>
      <w:jc w:val="left"/>
    </w:pPr>
    <w:rPr>
      <w:rFonts w:ascii="Times New Roman" w:hAnsi="Times New Roman"/>
    </w:rPr>
  </w:style>
  <w:style w:type="paragraph" w:styleId="DocumentMap">
    <w:name w:val="Document Map"/>
    <w:basedOn w:val="Normal"/>
    <w:semiHidden/>
    <w:rsid w:val="00F3423F"/>
    <w:pPr>
      <w:shd w:val="clear" w:color="auto" w:fill="000080"/>
    </w:pPr>
    <w:rPr>
      <w:rFonts w:ascii="Tahoma" w:hAnsi="Tahoma" w:cs="Tahoma"/>
      <w:sz w:val="20"/>
      <w:szCs w:val="20"/>
    </w:rPr>
  </w:style>
  <w:style w:type="paragraph" w:styleId="ListBullet3">
    <w:name w:val="List Bullet 3"/>
    <w:basedOn w:val="Normal"/>
    <w:semiHidden/>
    <w:rsid w:val="00732D02"/>
    <w:pPr>
      <w:numPr>
        <w:numId w:val="110"/>
      </w:numPr>
      <w:jc w:val="left"/>
    </w:pPr>
    <w:rPr>
      <w:rFonts w:ascii="Times New Roman" w:hAnsi="Times New Roman"/>
    </w:rPr>
  </w:style>
  <w:style w:type="paragraph" w:styleId="NormalWeb">
    <w:name w:val="Normal (Web)"/>
    <w:basedOn w:val="Normal"/>
    <w:rsid w:val="001F125F"/>
    <w:pPr>
      <w:spacing w:before="100" w:beforeAutospacing="1" w:after="100" w:afterAutospacing="1"/>
      <w:jc w:val="left"/>
    </w:pPr>
    <w:rPr>
      <w:rFonts w:ascii="Times New Roman" w:hAnsi="Times New Roman"/>
    </w:rPr>
  </w:style>
  <w:style w:type="paragraph" w:styleId="TOC5">
    <w:name w:val="toc 5"/>
    <w:basedOn w:val="Normal"/>
    <w:next w:val="Normal"/>
    <w:autoRedefine/>
    <w:uiPriority w:val="39"/>
    <w:rsid w:val="00E77EAF"/>
    <w:pPr>
      <w:ind w:left="960"/>
      <w:jc w:val="left"/>
    </w:pPr>
    <w:rPr>
      <w:rFonts w:ascii="Times New Roman" w:hAnsi="Times New Roman"/>
    </w:rPr>
  </w:style>
  <w:style w:type="paragraph" w:styleId="TOC6">
    <w:name w:val="toc 6"/>
    <w:basedOn w:val="Normal"/>
    <w:next w:val="Normal"/>
    <w:autoRedefine/>
    <w:uiPriority w:val="39"/>
    <w:rsid w:val="00E77EAF"/>
    <w:pPr>
      <w:ind w:left="1200"/>
      <w:jc w:val="left"/>
    </w:pPr>
    <w:rPr>
      <w:rFonts w:ascii="Times New Roman" w:hAnsi="Times New Roman"/>
    </w:rPr>
  </w:style>
  <w:style w:type="paragraph" w:styleId="TOC7">
    <w:name w:val="toc 7"/>
    <w:basedOn w:val="Normal"/>
    <w:next w:val="Normal"/>
    <w:autoRedefine/>
    <w:uiPriority w:val="39"/>
    <w:rsid w:val="00E77EAF"/>
    <w:pPr>
      <w:ind w:left="1440"/>
      <w:jc w:val="left"/>
    </w:pPr>
    <w:rPr>
      <w:rFonts w:ascii="Times New Roman" w:hAnsi="Times New Roman"/>
    </w:rPr>
  </w:style>
  <w:style w:type="paragraph" w:styleId="TOC8">
    <w:name w:val="toc 8"/>
    <w:basedOn w:val="Normal"/>
    <w:next w:val="Normal"/>
    <w:autoRedefine/>
    <w:uiPriority w:val="39"/>
    <w:rsid w:val="00E77EAF"/>
    <w:pPr>
      <w:ind w:left="1680"/>
      <w:jc w:val="left"/>
    </w:pPr>
    <w:rPr>
      <w:rFonts w:ascii="Times New Roman" w:hAnsi="Times New Roman"/>
    </w:rPr>
  </w:style>
  <w:style w:type="paragraph" w:styleId="TOC9">
    <w:name w:val="toc 9"/>
    <w:basedOn w:val="Normal"/>
    <w:next w:val="Normal"/>
    <w:autoRedefine/>
    <w:uiPriority w:val="39"/>
    <w:rsid w:val="00E77EAF"/>
    <w:pPr>
      <w:ind w:left="1920"/>
      <w:jc w:val="left"/>
    </w:pPr>
    <w:rPr>
      <w:rFonts w:ascii="Times New Roman" w:hAnsi="Times New Roman"/>
    </w:rPr>
  </w:style>
  <w:style w:type="character" w:styleId="UnresolvedMention">
    <w:name w:val="Unresolved Mention"/>
    <w:uiPriority w:val="99"/>
    <w:semiHidden/>
    <w:unhideWhenUsed/>
    <w:rsid w:val="00522BDD"/>
    <w:rPr>
      <w:color w:val="605E5C"/>
      <w:shd w:val="clear" w:color="auto" w:fill="E1DFDD"/>
    </w:rPr>
  </w:style>
  <w:style w:type="paragraph" w:styleId="Bibliography">
    <w:name w:val="Bibliography"/>
    <w:basedOn w:val="Normal"/>
    <w:next w:val="Normal"/>
    <w:uiPriority w:val="37"/>
    <w:semiHidden/>
    <w:unhideWhenUsed/>
    <w:rsid w:val="00AB5AB4"/>
  </w:style>
  <w:style w:type="paragraph" w:styleId="BlockText">
    <w:name w:val="Block Text"/>
    <w:basedOn w:val="Normal"/>
    <w:rsid w:val="00AB5AB4"/>
    <w:pPr>
      <w:spacing w:after="120"/>
      <w:ind w:left="1440" w:right="1440"/>
    </w:pPr>
  </w:style>
  <w:style w:type="paragraph" w:styleId="BodyText">
    <w:name w:val="Body Text"/>
    <w:basedOn w:val="Normal"/>
    <w:link w:val="BodyTextChar"/>
    <w:rsid w:val="00AB5AB4"/>
    <w:pPr>
      <w:spacing w:after="120"/>
    </w:pPr>
  </w:style>
  <w:style w:type="character" w:customStyle="1" w:styleId="BodyTextChar">
    <w:name w:val="Body Text Char"/>
    <w:link w:val="BodyText"/>
    <w:rsid w:val="00AB5AB4"/>
    <w:rPr>
      <w:rFonts w:ascii="Arial" w:hAnsi="Arial"/>
      <w:sz w:val="24"/>
      <w:szCs w:val="24"/>
    </w:rPr>
  </w:style>
  <w:style w:type="paragraph" w:styleId="BodyTextFirstIndent">
    <w:name w:val="Body Text First Indent"/>
    <w:basedOn w:val="BodyText"/>
    <w:link w:val="BodyTextFirstIndentChar"/>
    <w:rsid w:val="00AB5AB4"/>
    <w:pPr>
      <w:ind w:firstLine="210"/>
    </w:pPr>
  </w:style>
  <w:style w:type="character" w:customStyle="1" w:styleId="BodyTextFirstIndentChar">
    <w:name w:val="Body Text First Indent Char"/>
    <w:link w:val="BodyTextFirstIndent"/>
    <w:rsid w:val="00AB5AB4"/>
    <w:rPr>
      <w:rFonts w:ascii="Arial" w:hAnsi="Arial"/>
      <w:sz w:val="24"/>
      <w:szCs w:val="24"/>
    </w:rPr>
  </w:style>
  <w:style w:type="paragraph" w:styleId="BodyTextFirstIndent2">
    <w:name w:val="Body Text First Indent 2"/>
    <w:basedOn w:val="BodyTextIndent"/>
    <w:link w:val="BodyTextFirstIndent2Char"/>
    <w:rsid w:val="00AB5AB4"/>
    <w:pPr>
      <w:ind w:firstLine="210"/>
      <w:jc w:val="both"/>
    </w:pPr>
    <w:rPr>
      <w:rFonts w:ascii="Arial" w:hAnsi="Arial"/>
    </w:rPr>
  </w:style>
  <w:style w:type="character" w:customStyle="1" w:styleId="BodyTextIndentChar">
    <w:name w:val="Body Text Indent Char"/>
    <w:link w:val="BodyTextIndent"/>
    <w:semiHidden/>
    <w:rsid w:val="00AB5AB4"/>
    <w:rPr>
      <w:sz w:val="24"/>
      <w:szCs w:val="24"/>
    </w:rPr>
  </w:style>
  <w:style w:type="character" w:customStyle="1" w:styleId="BodyTextFirstIndent2Char">
    <w:name w:val="Body Text First Indent 2 Char"/>
    <w:link w:val="BodyTextFirstIndent2"/>
    <w:rsid w:val="00AB5AB4"/>
    <w:rPr>
      <w:rFonts w:ascii="Arial" w:hAnsi="Arial"/>
      <w:sz w:val="24"/>
      <w:szCs w:val="24"/>
    </w:rPr>
  </w:style>
  <w:style w:type="paragraph" w:styleId="BodyTextIndent2">
    <w:name w:val="Body Text Indent 2"/>
    <w:basedOn w:val="Normal"/>
    <w:link w:val="BodyTextIndent2Char"/>
    <w:rsid w:val="00AB5AB4"/>
    <w:pPr>
      <w:spacing w:after="120" w:line="480" w:lineRule="auto"/>
      <w:ind w:left="360"/>
    </w:pPr>
  </w:style>
  <w:style w:type="character" w:customStyle="1" w:styleId="BodyTextIndent2Char">
    <w:name w:val="Body Text Indent 2 Char"/>
    <w:link w:val="BodyTextIndent2"/>
    <w:rsid w:val="00AB5AB4"/>
    <w:rPr>
      <w:rFonts w:ascii="Arial" w:hAnsi="Arial"/>
      <w:sz w:val="24"/>
      <w:szCs w:val="24"/>
    </w:rPr>
  </w:style>
  <w:style w:type="paragraph" w:styleId="BodyTextIndent3">
    <w:name w:val="Body Text Indent 3"/>
    <w:basedOn w:val="Normal"/>
    <w:link w:val="BodyTextIndent3Char"/>
    <w:rsid w:val="00AB5AB4"/>
    <w:pPr>
      <w:spacing w:after="120"/>
      <w:ind w:left="360"/>
    </w:pPr>
    <w:rPr>
      <w:sz w:val="16"/>
      <w:szCs w:val="16"/>
    </w:rPr>
  </w:style>
  <w:style w:type="character" w:customStyle="1" w:styleId="BodyTextIndent3Char">
    <w:name w:val="Body Text Indent 3 Char"/>
    <w:link w:val="BodyTextIndent3"/>
    <w:rsid w:val="00AB5AB4"/>
    <w:rPr>
      <w:rFonts w:ascii="Arial" w:hAnsi="Arial"/>
      <w:sz w:val="16"/>
      <w:szCs w:val="16"/>
    </w:rPr>
  </w:style>
  <w:style w:type="paragraph" w:styleId="Caption">
    <w:name w:val="caption"/>
    <w:basedOn w:val="Normal"/>
    <w:next w:val="Normal"/>
    <w:semiHidden/>
    <w:unhideWhenUsed/>
    <w:qFormat/>
    <w:rsid w:val="00AB5AB4"/>
    <w:rPr>
      <w:b/>
      <w:bCs/>
      <w:sz w:val="20"/>
      <w:szCs w:val="20"/>
    </w:rPr>
  </w:style>
  <w:style w:type="paragraph" w:styleId="Closing">
    <w:name w:val="Closing"/>
    <w:basedOn w:val="Normal"/>
    <w:link w:val="ClosingChar"/>
    <w:rsid w:val="00AB5AB4"/>
    <w:pPr>
      <w:ind w:left="4320"/>
    </w:pPr>
  </w:style>
  <w:style w:type="character" w:customStyle="1" w:styleId="ClosingChar">
    <w:name w:val="Closing Char"/>
    <w:link w:val="Closing"/>
    <w:rsid w:val="00AB5AB4"/>
    <w:rPr>
      <w:rFonts w:ascii="Arial" w:hAnsi="Arial"/>
      <w:sz w:val="24"/>
      <w:szCs w:val="24"/>
    </w:rPr>
  </w:style>
  <w:style w:type="paragraph" w:styleId="CommentText">
    <w:name w:val="annotation text"/>
    <w:basedOn w:val="Normal"/>
    <w:link w:val="CommentTextChar"/>
    <w:rsid w:val="00AB5AB4"/>
    <w:rPr>
      <w:sz w:val="20"/>
      <w:szCs w:val="20"/>
    </w:rPr>
  </w:style>
  <w:style w:type="character" w:customStyle="1" w:styleId="CommentTextChar">
    <w:name w:val="Comment Text Char"/>
    <w:link w:val="CommentText"/>
    <w:rsid w:val="00AB5AB4"/>
    <w:rPr>
      <w:rFonts w:ascii="Arial" w:hAnsi="Arial"/>
    </w:rPr>
  </w:style>
  <w:style w:type="paragraph" w:styleId="CommentSubject">
    <w:name w:val="annotation subject"/>
    <w:basedOn w:val="CommentText"/>
    <w:next w:val="CommentText"/>
    <w:link w:val="CommentSubjectChar"/>
    <w:rsid w:val="00AB5AB4"/>
    <w:rPr>
      <w:b/>
      <w:bCs/>
    </w:rPr>
  </w:style>
  <w:style w:type="character" w:customStyle="1" w:styleId="CommentSubjectChar">
    <w:name w:val="Comment Subject Char"/>
    <w:link w:val="CommentSubject"/>
    <w:rsid w:val="00AB5AB4"/>
    <w:rPr>
      <w:rFonts w:ascii="Arial" w:hAnsi="Arial"/>
      <w:b/>
      <w:bCs/>
    </w:rPr>
  </w:style>
  <w:style w:type="paragraph" w:styleId="Date">
    <w:name w:val="Date"/>
    <w:basedOn w:val="Normal"/>
    <w:next w:val="Normal"/>
    <w:link w:val="DateChar"/>
    <w:rsid w:val="00AB5AB4"/>
  </w:style>
  <w:style w:type="character" w:customStyle="1" w:styleId="DateChar">
    <w:name w:val="Date Char"/>
    <w:link w:val="Date"/>
    <w:rsid w:val="00AB5AB4"/>
    <w:rPr>
      <w:rFonts w:ascii="Arial" w:hAnsi="Arial"/>
      <w:sz w:val="24"/>
      <w:szCs w:val="24"/>
    </w:rPr>
  </w:style>
  <w:style w:type="paragraph" w:styleId="E-mailSignature">
    <w:name w:val="E-mail Signature"/>
    <w:basedOn w:val="Normal"/>
    <w:link w:val="E-mailSignatureChar"/>
    <w:rsid w:val="00AB5AB4"/>
  </w:style>
  <w:style w:type="character" w:customStyle="1" w:styleId="E-mailSignatureChar">
    <w:name w:val="E-mail Signature Char"/>
    <w:link w:val="E-mailSignature"/>
    <w:rsid w:val="00AB5AB4"/>
    <w:rPr>
      <w:rFonts w:ascii="Arial" w:hAnsi="Arial"/>
      <w:sz w:val="24"/>
      <w:szCs w:val="24"/>
    </w:rPr>
  </w:style>
  <w:style w:type="paragraph" w:styleId="EndnoteText">
    <w:name w:val="endnote text"/>
    <w:basedOn w:val="Normal"/>
    <w:link w:val="EndnoteTextChar"/>
    <w:rsid w:val="00AB5AB4"/>
    <w:rPr>
      <w:sz w:val="20"/>
      <w:szCs w:val="20"/>
    </w:rPr>
  </w:style>
  <w:style w:type="character" w:customStyle="1" w:styleId="EndnoteTextChar">
    <w:name w:val="Endnote Text Char"/>
    <w:link w:val="EndnoteText"/>
    <w:rsid w:val="00AB5AB4"/>
    <w:rPr>
      <w:rFonts w:ascii="Arial" w:hAnsi="Arial"/>
    </w:rPr>
  </w:style>
  <w:style w:type="paragraph" w:styleId="EnvelopeAddress">
    <w:name w:val="envelope address"/>
    <w:basedOn w:val="Normal"/>
    <w:rsid w:val="00AB5AB4"/>
    <w:pPr>
      <w:framePr w:w="7920" w:h="1980" w:hRule="exact" w:hSpace="180" w:wrap="auto" w:hAnchor="page" w:xAlign="center" w:yAlign="bottom"/>
      <w:ind w:left="2880"/>
    </w:pPr>
    <w:rPr>
      <w:rFonts w:ascii="Aptos Display" w:hAnsi="Aptos Display"/>
    </w:rPr>
  </w:style>
  <w:style w:type="paragraph" w:styleId="EnvelopeReturn">
    <w:name w:val="envelope return"/>
    <w:basedOn w:val="Normal"/>
    <w:rsid w:val="00AB5AB4"/>
    <w:rPr>
      <w:rFonts w:ascii="Aptos Display" w:hAnsi="Aptos Display"/>
      <w:sz w:val="20"/>
      <w:szCs w:val="20"/>
    </w:rPr>
  </w:style>
  <w:style w:type="character" w:customStyle="1" w:styleId="Heading5Char">
    <w:name w:val="Heading 5 Char"/>
    <w:link w:val="Heading5"/>
    <w:semiHidden/>
    <w:rsid w:val="00AB5AB4"/>
    <w:rPr>
      <w:rFonts w:ascii="Aptos" w:eastAsia="Times New Roman" w:hAnsi="Aptos" w:cs="Times New Roman"/>
      <w:b/>
      <w:bCs/>
      <w:i/>
      <w:iCs/>
      <w:sz w:val="26"/>
      <w:szCs w:val="26"/>
    </w:rPr>
  </w:style>
  <w:style w:type="character" w:customStyle="1" w:styleId="Heading6Char">
    <w:name w:val="Heading 6 Char"/>
    <w:link w:val="Heading6"/>
    <w:semiHidden/>
    <w:rsid w:val="00AB5AB4"/>
    <w:rPr>
      <w:rFonts w:ascii="Aptos" w:eastAsia="Times New Roman" w:hAnsi="Aptos" w:cs="Times New Roman"/>
      <w:b/>
      <w:bCs/>
      <w:sz w:val="22"/>
      <w:szCs w:val="22"/>
    </w:rPr>
  </w:style>
  <w:style w:type="character" w:customStyle="1" w:styleId="Heading7Char">
    <w:name w:val="Heading 7 Char"/>
    <w:link w:val="Heading7"/>
    <w:semiHidden/>
    <w:rsid w:val="00AB5AB4"/>
    <w:rPr>
      <w:rFonts w:ascii="Aptos" w:eastAsia="Times New Roman" w:hAnsi="Aptos" w:cs="Times New Roman"/>
      <w:sz w:val="24"/>
      <w:szCs w:val="24"/>
    </w:rPr>
  </w:style>
  <w:style w:type="character" w:customStyle="1" w:styleId="Heading8Char">
    <w:name w:val="Heading 8 Char"/>
    <w:link w:val="Heading8"/>
    <w:semiHidden/>
    <w:rsid w:val="00AB5AB4"/>
    <w:rPr>
      <w:rFonts w:ascii="Aptos" w:eastAsia="Times New Roman" w:hAnsi="Aptos" w:cs="Times New Roman"/>
      <w:i/>
      <w:iCs/>
      <w:sz w:val="24"/>
      <w:szCs w:val="24"/>
    </w:rPr>
  </w:style>
  <w:style w:type="character" w:customStyle="1" w:styleId="Heading9Char">
    <w:name w:val="Heading 9 Char"/>
    <w:link w:val="Heading9"/>
    <w:semiHidden/>
    <w:rsid w:val="00AB5AB4"/>
    <w:rPr>
      <w:rFonts w:ascii="Aptos Display" w:eastAsia="Times New Roman" w:hAnsi="Aptos Display" w:cs="Times New Roman"/>
      <w:sz w:val="22"/>
      <w:szCs w:val="22"/>
    </w:rPr>
  </w:style>
  <w:style w:type="paragraph" w:styleId="HTMLAddress">
    <w:name w:val="HTML Address"/>
    <w:basedOn w:val="Normal"/>
    <w:link w:val="HTMLAddressChar"/>
    <w:rsid w:val="00AB5AB4"/>
    <w:rPr>
      <w:i/>
      <w:iCs/>
    </w:rPr>
  </w:style>
  <w:style w:type="character" w:customStyle="1" w:styleId="HTMLAddressChar">
    <w:name w:val="HTML Address Char"/>
    <w:link w:val="HTMLAddress"/>
    <w:rsid w:val="00AB5AB4"/>
    <w:rPr>
      <w:rFonts w:ascii="Arial" w:hAnsi="Arial"/>
      <w:i/>
      <w:iCs/>
      <w:sz w:val="24"/>
      <w:szCs w:val="24"/>
    </w:rPr>
  </w:style>
  <w:style w:type="paragraph" w:styleId="HTMLPreformatted">
    <w:name w:val="HTML Preformatted"/>
    <w:basedOn w:val="Normal"/>
    <w:link w:val="HTMLPreformattedChar"/>
    <w:rsid w:val="00AB5AB4"/>
    <w:rPr>
      <w:rFonts w:ascii="Courier New" w:hAnsi="Courier New" w:cs="Courier New"/>
      <w:sz w:val="20"/>
      <w:szCs w:val="20"/>
    </w:rPr>
  </w:style>
  <w:style w:type="character" w:customStyle="1" w:styleId="HTMLPreformattedChar">
    <w:name w:val="HTML Preformatted Char"/>
    <w:link w:val="HTMLPreformatted"/>
    <w:rsid w:val="00AB5AB4"/>
    <w:rPr>
      <w:rFonts w:ascii="Courier New" w:hAnsi="Courier New" w:cs="Courier New"/>
    </w:rPr>
  </w:style>
  <w:style w:type="paragraph" w:styleId="Index1">
    <w:name w:val="index 1"/>
    <w:basedOn w:val="Normal"/>
    <w:next w:val="Normal"/>
    <w:autoRedefine/>
    <w:rsid w:val="00AB5AB4"/>
    <w:pPr>
      <w:ind w:left="240" w:hanging="240"/>
    </w:pPr>
  </w:style>
  <w:style w:type="paragraph" w:styleId="Index2">
    <w:name w:val="index 2"/>
    <w:basedOn w:val="Normal"/>
    <w:next w:val="Normal"/>
    <w:autoRedefine/>
    <w:rsid w:val="00AB5AB4"/>
    <w:pPr>
      <w:ind w:left="480" w:hanging="240"/>
    </w:pPr>
  </w:style>
  <w:style w:type="paragraph" w:styleId="Index3">
    <w:name w:val="index 3"/>
    <w:basedOn w:val="Normal"/>
    <w:next w:val="Normal"/>
    <w:autoRedefine/>
    <w:rsid w:val="00AB5AB4"/>
    <w:pPr>
      <w:ind w:left="720" w:hanging="240"/>
    </w:pPr>
  </w:style>
  <w:style w:type="paragraph" w:styleId="Index4">
    <w:name w:val="index 4"/>
    <w:basedOn w:val="Normal"/>
    <w:next w:val="Normal"/>
    <w:autoRedefine/>
    <w:rsid w:val="00AB5AB4"/>
    <w:pPr>
      <w:ind w:left="960" w:hanging="240"/>
    </w:pPr>
  </w:style>
  <w:style w:type="paragraph" w:styleId="Index5">
    <w:name w:val="index 5"/>
    <w:basedOn w:val="Normal"/>
    <w:next w:val="Normal"/>
    <w:autoRedefine/>
    <w:rsid w:val="00AB5AB4"/>
    <w:pPr>
      <w:ind w:left="1200" w:hanging="240"/>
    </w:pPr>
  </w:style>
  <w:style w:type="paragraph" w:styleId="Index6">
    <w:name w:val="index 6"/>
    <w:basedOn w:val="Normal"/>
    <w:next w:val="Normal"/>
    <w:autoRedefine/>
    <w:rsid w:val="00AB5AB4"/>
    <w:pPr>
      <w:ind w:left="1440" w:hanging="240"/>
    </w:pPr>
  </w:style>
  <w:style w:type="paragraph" w:styleId="Index7">
    <w:name w:val="index 7"/>
    <w:basedOn w:val="Normal"/>
    <w:next w:val="Normal"/>
    <w:autoRedefine/>
    <w:rsid w:val="00AB5AB4"/>
    <w:pPr>
      <w:ind w:left="1680" w:hanging="240"/>
    </w:pPr>
  </w:style>
  <w:style w:type="paragraph" w:styleId="Index8">
    <w:name w:val="index 8"/>
    <w:basedOn w:val="Normal"/>
    <w:next w:val="Normal"/>
    <w:autoRedefine/>
    <w:rsid w:val="00AB5AB4"/>
    <w:pPr>
      <w:ind w:left="1920" w:hanging="240"/>
    </w:pPr>
  </w:style>
  <w:style w:type="paragraph" w:styleId="Index9">
    <w:name w:val="index 9"/>
    <w:basedOn w:val="Normal"/>
    <w:next w:val="Normal"/>
    <w:autoRedefine/>
    <w:rsid w:val="00AB5AB4"/>
    <w:pPr>
      <w:ind w:left="2160" w:hanging="240"/>
    </w:pPr>
  </w:style>
  <w:style w:type="paragraph" w:styleId="IndexHeading">
    <w:name w:val="index heading"/>
    <w:basedOn w:val="Normal"/>
    <w:next w:val="Index1"/>
    <w:rsid w:val="00AB5AB4"/>
    <w:rPr>
      <w:rFonts w:ascii="Aptos Display" w:hAnsi="Aptos Display"/>
      <w:b/>
      <w:bCs/>
    </w:rPr>
  </w:style>
  <w:style w:type="paragraph" w:styleId="IntenseQuote">
    <w:name w:val="Intense Quote"/>
    <w:basedOn w:val="Normal"/>
    <w:next w:val="Normal"/>
    <w:link w:val="IntenseQuoteChar"/>
    <w:uiPriority w:val="30"/>
    <w:qFormat/>
    <w:rsid w:val="00AB5AB4"/>
    <w:pPr>
      <w:pBdr>
        <w:top w:val="single" w:sz="4" w:space="10" w:color="156082"/>
        <w:bottom w:val="single" w:sz="4" w:space="10" w:color="156082"/>
      </w:pBdr>
      <w:spacing w:before="360" w:after="360"/>
      <w:ind w:left="864" w:right="864"/>
      <w:jc w:val="center"/>
    </w:pPr>
    <w:rPr>
      <w:i/>
      <w:iCs/>
      <w:color w:val="156082"/>
    </w:rPr>
  </w:style>
  <w:style w:type="character" w:customStyle="1" w:styleId="IntenseQuoteChar">
    <w:name w:val="Intense Quote Char"/>
    <w:link w:val="IntenseQuote"/>
    <w:uiPriority w:val="30"/>
    <w:rsid w:val="00AB5AB4"/>
    <w:rPr>
      <w:rFonts w:ascii="Arial" w:hAnsi="Arial"/>
      <w:i/>
      <w:iCs/>
      <w:color w:val="156082"/>
      <w:sz w:val="24"/>
      <w:szCs w:val="24"/>
    </w:rPr>
  </w:style>
  <w:style w:type="paragraph" w:styleId="List">
    <w:name w:val="List"/>
    <w:basedOn w:val="Normal"/>
    <w:rsid w:val="00AB5AB4"/>
    <w:pPr>
      <w:ind w:left="360" w:hanging="360"/>
      <w:contextualSpacing/>
    </w:pPr>
  </w:style>
  <w:style w:type="paragraph" w:styleId="List2">
    <w:name w:val="List 2"/>
    <w:basedOn w:val="Normal"/>
    <w:rsid w:val="00AB5AB4"/>
    <w:pPr>
      <w:ind w:left="720" w:hanging="360"/>
      <w:contextualSpacing/>
    </w:pPr>
  </w:style>
  <w:style w:type="paragraph" w:styleId="List3">
    <w:name w:val="List 3"/>
    <w:basedOn w:val="Normal"/>
    <w:rsid w:val="00AB5AB4"/>
    <w:pPr>
      <w:ind w:left="1080" w:hanging="360"/>
      <w:contextualSpacing/>
    </w:pPr>
  </w:style>
  <w:style w:type="paragraph" w:styleId="List4">
    <w:name w:val="List 4"/>
    <w:basedOn w:val="Normal"/>
    <w:rsid w:val="00AB5AB4"/>
    <w:pPr>
      <w:ind w:left="1440" w:hanging="360"/>
      <w:contextualSpacing/>
    </w:pPr>
  </w:style>
  <w:style w:type="paragraph" w:styleId="List5">
    <w:name w:val="List 5"/>
    <w:basedOn w:val="Normal"/>
    <w:rsid w:val="00AB5AB4"/>
    <w:pPr>
      <w:ind w:left="1800" w:hanging="360"/>
      <w:contextualSpacing/>
    </w:pPr>
  </w:style>
  <w:style w:type="paragraph" w:styleId="ListBullet4">
    <w:name w:val="List Bullet 4"/>
    <w:basedOn w:val="Normal"/>
    <w:rsid w:val="00AB5AB4"/>
    <w:pPr>
      <w:numPr>
        <w:numId w:val="130"/>
      </w:numPr>
      <w:contextualSpacing/>
    </w:pPr>
  </w:style>
  <w:style w:type="paragraph" w:styleId="ListBullet5">
    <w:name w:val="List Bullet 5"/>
    <w:basedOn w:val="Normal"/>
    <w:rsid w:val="00AB5AB4"/>
    <w:pPr>
      <w:numPr>
        <w:numId w:val="131"/>
      </w:numPr>
      <w:contextualSpacing/>
    </w:pPr>
  </w:style>
  <w:style w:type="paragraph" w:styleId="ListContinue">
    <w:name w:val="List Continue"/>
    <w:basedOn w:val="Normal"/>
    <w:rsid w:val="00AB5AB4"/>
    <w:pPr>
      <w:spacing w:after="120"/>
      <w:ind w:left="360"/>
      <w:contextualSpacing/>
    </w:pPr>
  </w:style>
  <w:style w:type="paragraph" w:styleId="ListContinue2">
    <w:name w:val="List Continue 2"/>
    <w:basedOn w:val="Normal"/>
    <w:rsid w:val="00AB5AB4"/>
    <w:pPr>
      <w:spacing w:after="120"/>
      <w:ind w:left="720"/>
      <w:contextualSpacing/>
    </w:pPr>
  </w:style>
  <w:style w:type="paragraph" w:styleId="ListContinue3">
    <w:name w:val="List Continue 3"/>
    <w:basedOn w:val="Normal"/>
    <w:rsid w:val="00AB5AB4"/>
    <w:pPr>
      <w:spacing w:after="120"/>
      <w:ind w:left="1080"/>
      <w:contextualSpacing/>
    </w:pPr>
  </w:style>
  <w:style w:type="paragraph" w:styleId="ListContinue4">
    <w:name w:val="List Continue 4"/>
    <w:basedOn w:val="Normal"/>
    <w:rsid w:val="00AB5AB4"/>
    <w:pPr>
      <w:spacing w:after="120"/>
      <w:ind w:left="1440"/>
      <w:contextualSpacing/>
    </w:pPr>
  </w:style>
  <w:style w:type="paragraph" w:styleId="ListContinue5">
    <w:name w:val="List Continue 5"/>
    <w:basedOn w:val="Normal"/>
    <w:rsid w:val="00AB5AB4"/>
    <w:pPr>
      <w:spacing w:after="120"/>
      <w:ind w:left="1800"/>
      <w:contextualSpacing/>
    </w:pPr>
  </w:style>
  <w:style w:type="paragraph" w:styleId="ListNumber">
    <w:name w:val="List Number"/>
    <w:basedOn w:val="Normal"/>
    <w:rsid w:val="00AB5AB4"/>
    <w:pPr>
      <w:numPr>
        <w:numId w:val="132"/>
      </w:numPr>
      <w:contextualSpacing/>
    </w:pPr>
  </w:style>
  <w:style w:type="paragraph" w:styleId="ListNumber2">
    <w:name w:val="List Number 2"/>
    <w:basedOn w:val="Normal"/>
    <w:rsid w:val="00AB5AB4"/>
    <w:pPr>
      <w:numPr>
        <w:numId w:val="133"/>
      </w:numPr>
      <w:contextualSpacing/>
    </w:pPr>
  </w:style>
  <w:style w:type="paragraph" w:styleId="ListNumber3">
    <w:name w:val="List Number 3"/>
    <w:basedOn w:val="Normal"/>
    <w:rsid w:val="00AB5AB4"/>
    <w:pPr>
      <w:numPr>
        <w:numId w:val="134"/>
      </w:numPr>
      <w:contextualSpacing/>
    </w:pPr>
  </w:style>
  <w:style w:type="paragraph" w:styleId="ListNumber4">
    <w:name w:val="List Number 4"/>
    <w:basedOn w:val="Normal"/>
    <w:rsid w:val="00AB5AB4"/>
    <w:pPr>
      <w:numPr>
        <w:numId w:val="135"/>
      </w:numPr>
      <w:contextualSpacing/>
    </w:pPr>
  </w:style>
  <w:style w:type="paragraph" w:styleId="ListNumber5">
    <w:name w:val="List Number 5"/>
    <w:basedOn w:val="Normal"/>
    <w:rsid w:val="00AB5AB4"/>
    <w:pPr>
      <w:numPr>
        <w:numId w:val="136"/>
      </w:numPr>
      <w:contextualSpacing/>
    </w:pPr>
  </w:style>
  <w:style w:type="paragraph" w:styleId="ListParagraph">
    <w:name w:val="List Paragraph"/>
    <w:basedOn w:val="Normal"/>
    <w:uiPriority w:val="34"/>
    <w:qFormat/>
    <w:rsid w:val="00AB5AB4"/>
    <w:pPr>
      <w:ind w:left="720"/>
    </w:pPr>
  </w:style>
  <w:style w:type="paragraph" w:styleId="MacroText">
    <w:name w:val="macro"/>
    <w:link w:val="MacroTextChar"/>
    <w:rsid w:val="00AB5AB4"/>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character" w:customStyle="1" w:styleId="MacroTextChar">
    <w:name w:val="Macro Text Char"/>
    <w:link w:val="MacroText"/>
    <w:rsid w:val="00AB5AB4"/>
    <w:rPr>
      <w:rFonts w:ascii="Courier New" w:hAnsi="Courier New" w:cs="Courier New"/>
    </w:rPr>
  </w:style>
  <w:style w:type="paragraph" w:styleId="MessageHeader">
    <w:name w:val="Message Header"/>
    <w:basedOn w:val="Normal"/>
    <w:link w:val="MessageHeaderChar"/>
    <w:rsid w:val="00AB5AB4"/>
    <w:pPr>
      <w:pBdr>
        <w:top w:val="single" w:sz="6" w:space="1" w:color="auto"/>
        <w:left w:val="single" w:sz="6" w:space="1" w:color="auto"/>
        <w:bottom w:val="single" w:sz="6" w:space="1" w:color="auto"/>
        <w:right w:val="single" w:sz="6" w:space="1" w:color="auto"/>
      </w:pBdr>
      <w:shd w:val="pct20" w:color="auto" w:fill="auto"/>
      <w:ind w:left="1080" w:hanging="1080"/>
    </w:pPr>
    <w:rPr>
      <w:rFonts w:ascii="Aptos Display" w:hAnsi="Aptos Display"/>
    </w:rPr>
  </w:style>
  <w:style w:type="character" w:customStyle="1" w:styleId="MessageHeaderChar">
    <w:name w:val="Message Header Char"/>
    <w:link w:val="MessageHeader"/>
    <w:rsid w:val="00AB5AB4"/>
    <w:rPr>
      <w:rFonts w:ascii="Aptos Display" w:eastAsia="Times New Roman" w:hAnsi="Aptos Display" w:cs="Times New Roman"/>
      <w:sz w:val="24"/>
      <w:szCs w:val="24"/>
      <w:shd w:val="pct20" w:color="auto" w:fill="auto"/>
    </w:rPr>
  </w:style>
  <w:style w:type="paragraph" w:styleId="NoSpacing">
    <w:name w:val="No Spacing"/>
    <w:uiPriority w:val="1"/>
    <w:qFormat/>
    <w:rsid w:val="00AB5AB4"/>
    <w:pPr>
      <w:jc w:val="both"/>
    </w:pPr>
    <w:rPr>
      <w:rFonts w:ascii="Arial" w:hAnsi="Arial"/>
      <w:sz w:val="24"/>
      <w:szCs w:val="24"/>
    </w:rPr>
  </w:style>
  <w:style w:type="paragraph" w:styleId="NormalIndent">
    <w:name w:val="Normal Indent"/>
    <w:basedOn w:val="Normal"/>
    <w:rsid w:val="00AB5AB4"/>
    <w:pPr>
      <w:ind w:left="720"/>
    </w:pPr>
  </w:style>
  <w:style w:type="paragraph" w:styleId="NoteHeading">
    <w:name w:val="Note Heading"/>
    <w:basedOn w:val="Normal"/>
    <w:next w:val="Normal"/>
    <w:link w:val="NoteHeadingChar"/>
    <w:rsid w:val="00AB5AB4"/>
  </w:style>
  <w:style w:type="character" w:customStyle="1" w:styleId="NoteHeadingChar">
    <w:name w:val="Note Heading Char"/>
    <w:link w:val="NoteHeading"/>
    <w:rsid w:val="00AB5AB4"/>
    <w:rPr>
      <w:rFonts w:ascii="Arial" w:hAnsi="Arial"/>
      <w:sz w:val="24"/>
      <w:szCs w:val="24"/>
    </w:rPr>
  </w:style>
  <w:style w:type="paragraph" w:styleId="PlainText">
    <w:name w:val="Plain Text"/>
    <w:basedOn w:val="Normal"/>
    <w:link w:val="PlainTextChar"/>
    <w:rsid w:val="00AB5AB4"/>
    <w:rPr>
      <w:rFonts w:ascii="Courier New" w:hAnsi="Courier New" w:cs="Courier New"/>
      <w:sz w:val="20"/>
      <w:szCs w:val="20"/>
    </w:rPr>
  </w:style>
  <w:style w:type="character" w:customStyle="1" w:styleId="PlainTextChar">
    <w:name w:val="Plain Text Char"/>
    <w:link w:val="PlainText"/>
    <w:rsid w:val="00AB5AB4"/>
    <w:rPr>
      <w:rFonts w:ascii="Courier New" w:hAnsi="Courier New" w:cs="Courier New"/>
    </w:rPr>
  </w:style>
  <w:style w:type="paragraph" w:styleId="Quote">
    <w:name w:val="Quote"/>
    <w:basedOn w:val="Normal"/>
    <w:next w:val="Normal"/>
    <w:link w:val="QuoteChar"/>
    <w:uiPriority w:val="29"/>
    <w:qFormat/>
    <w:rsid w:val="00AB5AB4"/>
    <w:pPr>
      <w:spacing w:before="200" w:after="160"/>
      <w:ind w:left="864" w:right="864"/>
      <w:jc w:val="center"/>
    </w:pPr>
    <w:rPr>
      <w:i/>
      <w:iCs/>
      <w:color w:val="404040"/>
    </w:rPr>
  </w:style>
  <w:style w:type="character" w:customStyle="1" w:styleId="QuoteChar">
    <w:name w:val="Quote Char"/>
    <w:link w:val="Quote"/>
    <w:uiPriority w:val="29"/>
    <w:rsid w:val="00AB5AB4"/>
    <w:rPr>
      <w:rFonts w:ascii="Arial" w:hAnsi="Arial"/>
      <w:i/>
      <w:iCs/>
      <w:color w:val="404040"/>
      <w:sz w:val="24"/>
      <w:szCs w:val="24"/>
    </w:rPr>
  </w:style>
  <w:style w:type="paragraph" w:styleId="Salutation">
    <w:name w:val="Salutation"/>
    <w:basedOn w:val="Normal"/>
    <w:next w:val="Normal"/>
    <w:link w:val="SalutationChar"/>
    <w:rsid w:val="00AB5AB4"/>
  </w:style>
  <w:style w:type="character" w:customStyle="1" w:styleId="SalutationChar">
    <w:name w:val="Salutation Char"/>
    <w:link w:val="Salutation"/>
    <w:rsid w:val="00AB5AB4"/>
    <w:rPr>
      <w:rFonts w:ascii="Arial" w:hAnsi="Arial"/>
      <w:sz w:val="24"/>
      <w:szCs w:val="24"/>
    </w:rPr>
  </w:style>
  <w:style w:type="paragraph" w:styleId="Signature">
    <w:name w:val="Signature"/>
    <w:basedOn w:val="Normal"/>
    <w:link w:val="SignatureChar"/>
    <w:rsid w:val="00AB5AB4"/>
    <w:pPr>
      <w:ind w:left="4320"/>
    </w:pPr>
  </w:style>
  <w:style w:type="character" w:customStyle="1" w:styleId="SignatureChar">
    <w:name w:val="Signature Char"/>
    <w:link w:val="Signature"/>
    <w:rsid w:val="00AB5AB4"/>
    <w:rPr>
      <w:rFonts w:ascii="Arial" w:hAnsi="Arial"/>
      <w:sz w:val="24"/>
      <w:szCs w:val="24"/>
    </w:rPr>
  </w:style>
  <w:style w:type="paragraph" w:styleId="Subtitle">
    <w:name w:val="Subtitle"/>
    <w:basedOn w:val="Normal"/>
    <w:next w:val="Normal"/>
    <w:link w:val="SubtitleChar"/>
    <w:qFormat/>
    <w:rsid w:val="00AB5AB4"/>
    <w:pPr>
      <w:spacing w:after="60"/>
      <w:jc w:val="center"/>
      <w:outlineLvl w:val="1"/>
    </w:pPr>
    <w:rPr>
      <w:rFonts w:ascii="Aptos Display" w:hAnsi="Aptos Display"/>
    </w:rPr>
  </w:style>
  <w:style w:type="character" w:customStyle="1" w:styleId="SubtitleChar">
    <w:name w:val="Subtitle Char"/>
    <w:link w:val="Subtitle"/>
    <w:rsid w:val="00AB5AB4"/>
    <w:rPr>
      <w:rFonts w:ascii="Aptos Display" w:eastAsia="Times New Roman" w:hAnsi="Aptos Display" w:cs="Times New Roman"/>
      <w:sz w:val="24"/>
      <w:szCs w:val="24"/>
    </w:rPr>
  </w:style>
  <w:style w:type="paragraph" w:styleId="TableofAuthorities">
    <w:name w:val="table of authorities"/>
    <w:basedOn w:val="Normal"/>
    <w:next w:val="Normal"/>
    <w:rsid w:val="00AB5AB4"/>
    <w:pPr>
      <w:ind w:left="240" w:hanging="240"/>
    </w:pPr>
  </w:style>
  <w:style w:type="paragraph" w:styleId="TableofFigures">
    <w:name w:val="table of figures"/>
    <w:basedOn w:val="Normal"/>
    <w:next w:val="Normal"/>
    <w:rsid w:val="00AB5AB4"/>
  </w:style>
  <w:style w:type="paragraph" w:styleId="Title">
    <w:name w:val="Title"/>
    <w:basedOn w:val="Normal"/>
    <w:next w:val="Normal"/>
    <w:link w:val="TitleChar"/>
    <w:qFormat/>
    <w:rsid w:val="00AB5AB4"/>
    <w:pPr>
      <w:spacing w:before="240" w:after="60"/>
      <w:jc w:val="center"/>
      <w:outlineLvl w:val="0"/>
    </w:pPr>
    <w:rPr>
      <w:rFonts w:ascii="Aptos Display" w:hAnsi="Aptos Display"/>
      <w:b/>
      <w:bCs/>
      <w:kern w:val="28"/>
      <w:sz w:val="32"/>
      <w:szCs w:val="32"/>
    </w:rPr>
  </w:style>
  <w:style w:type="character" w:customStyle="1" w:styleId="TitleChar">
    <w:name w:val="Title Char"/>
    <w:link w:val="Title"/>
    <w:rsid w:val="00AB5AB4"/>
    <w:rPr>
      <w:rFonts w:ascii="Aptos Display" w:eastAsia="Times New Roman" w:hAnsi="Aptos Display" w:cs="Times New Roman"/>
      <w:b/>
      <w:bCs/>
      <w:kern w:val="28"/>
      <w:sz w:val="32"/>
      <w:szCs w:val="32"/>
    </w:rPr>
  </w:style>
  <w:style w:type="paragraph" w:styleId="TOAHeading">
    <w:name w:val="toa heading"/>
    <w:basedOn w:val="Normal"/>
    <w:next w:val="Normal"/>
    <w:rsid w:val="00AB5AB4"/>
    <w:pPr>
      <w:spacing w:before="120"/>
    </w:pPr>
    <w:rPr>
      <w:rFonts w:ascii="Aptos Display" w:hAnsi="Aptos Display"/>
      <w:b/>
      <w:bCs/>
    </w:rPr>
  </w:style>
  <w:style w:type="paragraph" w:styleId="TOCHeading">
    <w:name w:val="TOC Heading"/>
    <w:basedOn w:val="Heading1"/>
    <w:next w:val="Normal"/>
    <w:uiPriority w:val="39"/>
    <w:semiHidden/>
    <w:unhideWhenUsed/>
    <w:qFormat/>
    <w:rsid w:val="00AB5AB4"/>
    <w:pPr>
      <w:outlineLvl w:val="9"/>
    </w:pPr>
    <w:rPr>
      <w:rFonts w:ascii="Aptos Display" w:hAnsi="Aptos Display" w:cs="Times New Roman"/>
    </w:rPr>
  </w:style>
  <w:style w:type="character" w:customStyle="1" w:styleId="FootnoteTextChar">
    <w:name w:val="Footnote Text Char"/>
    <w:link w:val="FootnoteText"/>
    <w:uiPriority w:val="99"/>
    <w:rsid w:val="00E87CC4"/>
  </w:style>
  <w:style w:type="character" w:customStyle="1" w:styleId="normaltextrun">
    <w:name w:val="normaltextrun"/>
    <w:basedOn w:val="DefaultParagraphFont"/>
    <w:rsid w:val="00252193"/>
  </w:style>
  <w:style w:type="character" w:customStyle="1" w:styleId="eop">
    <w:name w:val="eop"/>
    <w:basedOn w:val="DefaultParagraphFont"/>
    <w:rsid w:val="00252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566295">
      <w:bodyDiv w:val="1"/>
      <w:marLeft w:val="0"/>
      <w:marRight w:val="0"/>
      <w:marTop w:val="0"/>
      <w:marBottom w:val="0"/>
      <w:divBdr>
        <w:top w:val="none" w:sz="0" w:space="0" w:color="auto"/>
        <w:left w:val="none" w:sz="0" w:space="0" w:color="auto"/>
        <w:bottom w:val="none" w:sz="0" w:space="0" w:color="auto"/>
        <w:right w:val="none" w:sz="0" w:space="0" w:color="auto"/>
      </w:divBdr>
      <w:divsChild>
        <w:div w:id="1284536861">
          <w:marLeft w:val="0"/>
          <w:marRight w:val="0"/>
          <w:marTop w:val="0"/>
          <w:marBottom w:val="0"/>
          <w:divBdr>
            <w:top w:val="none" w:sz="0" w:space="0" w:color="auto"/>
            <w:left w:val="none" w:sz="0" w:space="0" w:color="auto"/>
            <w:bottom w:val="none" w:sz="0" w:space="0" w:color="auto"/>
            <w:right w:val="none" w:sz="0" w:space="0" w:color="auto"/>
          </w:divBdr>
          <w:divsChild>
            <w:div w:id="1847985231">
              <w:marLeft w:val="0"/>
              <w:marRight w:val="0"/>
              <w:marTop w:val="0"/>
              <w:marBottom w:val="0"/>
              <w:divBdr>
                <w:top w:val="none" w:sz="0" w:space="0" w:color="auto"/>
                <w:left w:val="none" w:sz="0" w:space="0" w:color="auto"/>
                <w:bottom w:val="none" w:sz="0" w:space="0" w:color="auto"/>
                <w:right w:val="none" w:sz="0" w:space="0" w:color="auto"/>
              </w:divBdr>
              <w:divsChild>
                <w:div w:id="1593199821">
                  <w:marLeft w:val="0"/>
                  <w:marRight w:val="0"/>
                  <w:marTop w:val="0"/>
                  <w:marBottom w:val="0"/>
                  <w:divBdr>
                    <w:top w:val="none" w:sz="0" w:space="0" w:color="auto"/>
                    <w:left w:val="none" w:sz="0" w:space="0" w:color="auto"/>
                    <w:bottom w:val="none" w:sz="0" w:space="0" w:color="auto"/>
                    <w:right w:val="none" w:sz="0" w:space="0" w:color="auto"/>
                  </w:divBdr>
                  <w:divsChild>
                    <w:div w:id="771703615">
                      <w:marLeft w:val="0"/>
                      <w:marRight w:val="0"/>
                      <w:marTop w:val="0"/>
                      <w:marBottom w:val="0"/>
                      <w:divBdr>
                        <w:top w:val="none" w:sz="0" w:space="0" w:color="auto"/>
                        <w:left w:val="none" w:sz="0" w:space="0" w:color="auto"/>
                        <w:bottom w:val="none" w:sz="0" w:space="0" w:color="auto"/>
                        <w:right w:val="none" w:sz="0" w:space="0" w:color="auto"/>
                      </w:divBdr>
                      <w:divsChild>
                        <w:div w:id="219023785">
                          <w:marLeft w:val="0"/>
                          <w:marRight w:val="0"/>
                          <w:marTop w:val="0"/>
                          <w:marBottom w:val="0"/>
                          <w:divBdr>
                            <w:top w:val="none" w:sz="0" w:space="0" w:color="auto"/>
                            <w:left w:val="none" w:sz="0" w:space="0" w:color="auto"/>
                            <w:bottom w:val="none" w:sz="0" w:space="0" w:color="auto"/>
                            <w:right w:val="none" w:sz="0" w:space="0" w:color="auto"/>
                          </w:divBdr>
                          <w:divsChild>
                            <w:div w:id="656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ivacy.DPH@mass.gov?subject=Confidentiality%20Procedures" TargetMode="Externa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footer" Target="footer11.xml"/><Relationship Id="rId42" Type="http://schemas.openxmlformats.org/officeDocument/2006/relationships/header" Target="header14.xml"/><Relationship Id="rId47" Type="http://schemas.openxmlformats.org/officeDocument/2006/relationships/header" Target="header16.xml"/><Relationship Id="rId50" Type="http://schemas.openxmlformats.org/officeDocument/2006/relationships/footer" Target="footer19.xml"/><Relationship Id="rId55" Type="http://schemas.openxmlformats.org/officeDocument/2006/relationships/hyperlink" Target="https://www.mass.gov/advisory/cryptographic-management-standard" TargetMode="External"/><Relationship Id="rId63" Type="http://schemas.openxmlformats.org/officeDocument/2006/relationships/footer" Target="footer23.xml"/><Relationship Id="rId68" Type="http://schemas.openxmlformats.org/officeDocument/2006/relationships/footer" Target="footer25.xml"/><Relationship Id="rId76" Type="http://schemas.openxmlformats.org/officeDocument/2006/relationships/footer" Target="footer29.xml"/><Relationship Id="rId84" Type="http://schemas.openxmlformats.org/officeDocument/2006/relationships/footer" Target="footer33.xml"/><Relationship Id="rId7" Type="http://schemas.openxmlformats.org/officeDocument/2006/relationships/settings" Target="settings.xml"/><Relationship Id="rId71" Type="http://schemas.openxmlformats.org/officeDocument/2006/relationships/header" Target="header24.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8.xml"/><Relationship Id="rId11" Type="http://schemas.openxmlformats.org/officeDocument/2006/relationships/image" Target="media/image1.jpeg"/><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hyperlink" Target="http://healthnet.dph.state.ma.us/privsec/forms/forms.htm" TargetMode="External"/><Relationship Id="rId40" Type="http://schemas.openxmlformats.org/officeDocument/2006/relationships/footer" Target="footer13.xml"/><Relationship Id="rId45" Type="http://schemas.openxmlformats.org/officeDocument/2006/relationships/footer" Target="footer16.xml"/><Relationship Id="rId53" Type="http://schemas.openxmlformats.org/officeDocument/2006/relationships/oleObject" Target="embeddings/oleObject1.bin"/><Relationship Id="rId58" Type="http://schemas.openxmlformats.org/officeDocument/2006/relationships/header" Target="header18.xml"/><Relationship Id="rId66" Type="http://schemas.openxmlformats.org/officeDocument/2006/relationships/header" Target="header22.xml"/><Relationship Id="rId74" Type="http://schemas.openxmlformats.org/officeDocument/2006/relationships/header" Target="header26.xml"/><Relationship Id="rId79" Type="http://schemas.openxmlformats.org/officeDocument/2006/relationships/header" Target="header28.xml"/><Relationship Id="rId87"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footer" Target="footer22.xml"/><Relationship Id="rId82" Type="http://schemas.openxmlformats.org/officeDocument/2006/relationships/footer" Target="footer32.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1.xml"/><Relationship Id="rId43" Type="http://schemas.openxmlformats.org/officeDocument/2006/relationships/footer" Target="footer15.xml"/><Relationship Id="rId48" Type="http://schemas.openxmlformats.org/officeDocument/2006/relationships/footer" Target="footer18.xml"/><Relationship Id="rId56" Type="http://schemas.openxmlformats.org/officeDocument/2006/relationships/hyperlink" Target="https://www.sec.state.ma.us/divisions/archives/records-management/agency-records.htm" TargetMode="External"/><Relationship Id="rId64" Type="http://schemas.openxmlformats.org/officeDocument/2006/relationships/hyperlink" Target="http://healthnet.dph.state.ma.us/privsec/forms/forms.htm" TargetMode="External"/><Relationship Id="rId69" Type="http://schemas.openxmlformats.org/officeDocument/2006/relationships/header" Target="header23.xml"/><Relationship Id="rId77" Type="http://schemas.openxmlformats.org/officeDocument/2006/relationships/header" Target="header27.xml"/><Relationship Id="rId8" Type="http://schemas.openxmlformats.org/officeDocument/2006/relationships/webSettings" Target="webSettings.xml"/><Relationship Id="rId51" Type="http://schemas.openxmlformats.org/officeDocument/2006/relationships/footer" Target="footer20.xml"/><Relationship Id="rId72" Type="http://schemas.openxmlformats.org/officeDocument/2006/relationships/footer" Target="footer27.xml"/><Relationship Id="rId80" Type="http://schemas.openxmlformats.org/officeDocument/2006/relationships/footer" Target="footer31.xml"/><Relationship Id="rId85" Type="http://schemas.openxmlformats.org/officeDocument/2006/relationships/header" Target="header3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header" Target="header12.xml"/><Relationship Id="rId46" Type="http://schemas.openxmlformats.org/officeDocument/2006/relationships/footer" Target="footer17.xml"/><Relationship Id="rId59" Type="http://schemas.openxmlformats.org/officeDocument/2006/relationships/header" Target="header19.xml"/><Relationship Id="rId67" Type="http://schemas.openxmlformats.org/officeDocument/2006/relationships/footer" Target="footer24.xml"/><Relationship Id="rId20" Type="http://schemas.openxmlformats.org/officeDocument/2006/relationships/footer" Target="footer4.xml"/><Relationship Id="rId41" Type="http://schemas.openxmlformats.org/officeDocument/2006/relationships/footer" Target="footer14.xml"/><Relationship Id="rId54" Type="http://schemas.openxmlformats.org/officeDocument/2006/relationships/hyperlink" Target="https://healthnet.dph.state.ma.us/privsec/approved_electronic_transmission_methods.htm" TargetMode="External"/><Relationship Id="rId62" Type="http://schemas.openxmlformats.org/officeDocument/2006/relationships/header" Target="header20.xml"/><Relationship Id="rId70" Type="http://schemas.openxmlformats.org/officeDocument/2006/relationships/footer" Target="footer26.xml"/><Relationship Id="rId75" Type="http://schemas.openxmlformats.org/officeDocument/2006/relationships/footer" Target="footer28.xml"/><Relationship Id="rId83" Type="http://schemas.openxmlformats.org/officeDocument/2006/relationships/header" Target="header30.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eader" Target="header17.xml"/><Relationship Id="rId57" Type="http://schemas.openxmlformats.org/officeDocument/2006/relationships/hyperlink" Target="https://www.mass.gov/handbook/enterprise-information-security-policies-and-standards" TargetMode="External"/><Relationship Id="rId10" Type="http://schemas.openxmlformats.org/officeDocument/2006/relationships/endnotes" Target="endnotes.xml"/><Relationship Id="rId31" Type="http://schemas.openxmlformats.org/officeDocument/2006/relationships/header" Target="header9.xml"/><Relationship Id="rId44" Type="http://schemas.openxmlformats.org/officeDocument/2006/relationships/header" Target="header15.xml"/><Relationship Id="rId52" Type="http://schemas.openxmlformats.org/officeDocument/2006/relationships/image" Target="media/image3.emf"/><Relationship Id="rId60" Type="http://schemas.openxmlformats.org/officeDocument/2006/relationships/footer" Target="footer21.xml"/><Relationship Id="rId65" Type="http://schemas.openxmlformats.org/officeDocument/2006/relationships/header" Target="header21.xml"/><Relationship Id="rId73" Type="http://schemas.openxmlformats.org/officeDocument/2006/relationships/header" Target="header25.xml"/><Relationship Id="rId78" Type="http://schemas.openxmlformats.org/officeDocument/2006/relationships/footer" Target="footer30.xml"/><Relationship Id="rId81" Type="http://schemas.openxmlformats.org/officeDocument/2006/relationships/header" Target="header29.xml"/><Relationship Id="rId86" Type="http://schemas.openxmlformats.org/officeDocument/2006/relationships/footer" Target="footer34.xml"/></Relationships>
</file>

<file path=word/_rels/footnotes.xml.rels><?xml version="1.0" encoding="UTF-8" standalone="yes"?>
<Relationships xmlns="http://schemas.openxmlformats.org/package/2006/relationships"><Relationship Id="rId8" Type="http://schemas.openxmlformats.org/officeDocument/2006/relationships/hyperlink" Target="http://www.state.ma.us/sec/arc/arcrcb/rcbidx.htm" TargetMode="External"/><Relationship Id="rId3" Type="http://schemas.openxmlformats.org/officeDocument/2006/relationships/hyperlink" Target="http://www.state.ma.us/sec/arc/arcrcb/rcbidx.htm" TargetMode="External"/><Relationship Id="rId7" Type="http://schemas.openxmlformats.org/officeDocument/2006/relationships/hyperlink" Target="http://www.state.ma.us/sec/arc/arcrcb/rcbidx.htm" TargetMode="External"/><Relationship Id="rId2" Type="http://schemas.openxmlformats.org/officeDocument/2006/relationships/hyperlink" Target="http://healthnet.dph.state.ma.us/privsec/forms/forms.htm" TargetMode="External"/><Relationship Id="rId1" Type="http://schemas.openxmlformats.org/officeDocument/2006/relationships/hyperlink" Target="http://www.state.ma.us/sec/arc/arcrcb/rcbidx.htm" TargetMode="External"/><Relationship Id="rId6" Type="http://schemas.openxmlformats.org/officeDocument/2006/relationships/hyperlink" Target="http://www.state.ma.us/sec/arc/arcrcb/rcbidx.htm" TargetMode="External"/><Relationship Id="rId5" Type="http://schemas.openxmlformats.org/officeDocument/2006/relationships/hyperlink" Target="http://www.state.ma.us/sec/arc/arcrcb/rcbidx.htm" TargetMode="External"/><Relationship Id="rId4" Type="http://schemas.openxmlformats.org/officeDocument/2006/relationships/hyperlink" Target="http://healthnet.dph.state.ma.us/privsec/forms/form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34AC7DD48C9146A1D0C5C456A757F4" ma:contentTypeVersion="15" ma:contentTypeDescription="Create a new document." ma:contentTypeScope="" ma:versionID="be8013726aa3837ace1bbd7ee3201c1c">
  <xsd:schema xmlns:xsd="http://www.w3.org/2001/XMLSchema" xmlns:xs="http://www.w3.org/2001/XMLSchema" xmlns:p="http://schemas.microsoft.com/office/2006/metadata/properties" xmlns:ns2="507baf33-95f2-4e9b-8500-20f8ea694494" xmlns:ns3="87455f23-3522-4ee3-9cd5-85aa3fc37913" targetNamespace="http://schemas.microsoft.com/office/2006/metadata/properties" ma:root="true" ma:fieldsID="f307c64a7d7af45147619c5b6ef66c2d" ns2:_="" ns3:_="">
    <xsd:import namespace="507baf33-95f2-4e9b-8500-20f8ea694494"/>
    <xsd:import namespace="87455f23-3522-4ee3-9cd5-85aa3fc379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baf33-95f2-4e9b-8500-20f8ea694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455f23-3522-4ee3-9cd5-85aa3fc3791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fa60b4-7578-433e-a000-f1e5306ba7bf}" ma:internalName="TaxCatchAll" ma:showField="CatchAllData" ma:web="87455f23-3522-4ee3-9cd5-85aa3fc3791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7baf33-95f2-4e9b-8500-20f8ea694494">
      <Terms xmlns="http://schemas.microsoft.com/office/infopath/2007/PartnerControls"/>
    </lcf76f155ced4ddcb4097134ff3c332f>
    <TaxCatchAll xmlns="87455f23-3522-4ee3-9cd5-85aa3fc3791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52F315-AFB7-4394-B743-F17CD26BA357}">
  <ds:schemaRefs>
    <ds:schemaRef ds:uri="http://schemas.openxmlformats.org/officeDocument/2006/bibliography"/>
  </ds:schemaRefs>
</ds:datastoreItem>
</file>

<file path=customXml/itemProps2.xml><?xml version="1.0" encoding="utf-8"?>
<ds:datastoreItem xmlns:ds="http://schemas.openxmlformats.org/officeDocument/2006/customXml" ds:itemID="{72488B4E-E066-4304-8D18-EBB15B068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baf33-95f2-4e9b-8500-20f8ea694494"/>
    <ds:schemaRef ds:uri="87455f23-3522-4ee3-9cd5-85aa3fc37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ACEC84-68C1-45EB-B1BC-3472D0525813}">
  <ds:schemaRefs>
    <ds:schemaRef ds:uri="http://schemas.microsoft.com/office/2006/metadata/properties"/>
    <ds:schemaRef ds:uri="http://schemas.microsoft.com/office/infopath/2007/PartnerControls"/>
    <ds:schemaRef ds:uri="507baf33-95f2-4e9b-8500-20f8ea694494"/>
    <ds:schemaRef ds:uri="87455f23-3522-4ee3-9cd5-85aa3fc37913"/>
  </ds:schemaRefs>
</ds:datastoreItem>
</file>

<file path=customXml/itemProps4.xml><?xml version="1.0" encoding="utf-8"?>
<ds:datastoreItem xmlns:ds="http://schemas.openxmlformats.org/officeDocument/2006/customXml" ds:itemID="{FEB3F775-71D2-42A1-8AAE-007AD9A4B5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31804</Words>
  <Characters>181285</Characters>
  <Application>Microsoft Office Word</Application>
  <DocSecurity>0</DocSecurity>
  <Lines>1510</Lines>
  <Paragraphs>425</Paragraphs>
  <ScaleCrop>false</ScaleCrop>
  <Company>Massachusetts Department of Public Health</Company>
  <LinksUpToDate>false</LinksUpToDate>
  <CharactersWithSpaces>212664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Public Health - Confidentiality Procedures</dc:title>
  <dc:subject>Confidentiality Procedures</dc:subject>
  <dc:creator>William M. Anderson</dc:creator>
  <cp:keywords>Confidentiality; Procedures; Privacy</cp:keywords>
  <dc:description/>
  <cp:lastModifiedBy>Harrison, Deborah (EHS)</cp:lastModifiedBy>
  <cp:revision>2</cp:revision>
  <cp:lastPrinted>2025-09-26T13:42:00Z</cp:lastPrinted>
  <dcterms:created xsi:type="dcterms:W3CDTF">2025-09-26T18:43:00Z</dcterms:created>
  <dcterms:modified xsi:type="dcterms:W3CDTF">2025-09-26T18:43:00Z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0x010100CF34AC7DD48C9146A1D0C5C456A757F4</vt:lpwstr>
  </property>
</Properties>
</file>