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A2B" w:rsidRPr="00EB5A2B" w:rsidRDefault="00EB5A2B">
      <w:pPr>
        <w:rPr>
          <w:b/>
        </w:rPr>
      </w:pPr>
      <w:r>
        <w:rPr>
          <w:b/>
        </w:rPr>
        <w:t xml:space="preserve">Rules effective November </w:t>
      </w:r>
      <w:r w:rsidR="00FE69B4">
        <w:rPr>
          <w:b/>
        </w:rPr>
        <w:t>6</w:t>
      </w:r>
      <w:r>
        <w:rPr>
          <w:b/>
        </w:rPr>
        <w:t>, 2020</w:t>
      </w:r>
    </w:p>
    <w:p w:rsidR="00D530EB" w:rsidRDefault="00D530EB" w:rsidP="00D530EB">
      <w:r>
        <w:t xml:space="preserve">For the purposes of COVID-19 Order No. </w:t>
      </w:r>
      <w:r w:rsidR="00E00C3D">
        <w:t>56</w:t>
      </w:r>
      <w:bookmarkStart w:id="0" w:name="_GoBack"/>
      <w:bookmarkEnd w:id="0"/>
      <w:r>
        <w:t xml:space="preserve">, prior to November 6, 2020, a community shall be designated “red” </w:t>
      </w:r>
      <w:bookmarkStart w:id="1" w:name="_Hlk55409186"/>
      <w:r>
        <w:t>in the weekly municipality data published by the Department of Public Health (DPH) if the community</w:t>
      </w:r>
      <w:bookmarkEnd w:id="1"/>
      <w:r>
        <w:t xml:space="preserve"> has more than an average daily incidence rate of 8 cases per 100,000 residents in the weekly report. </w:t>
      </w:r>
      <w:r w:rsidR="00261AF6">
        <w:t xml:space="preserve">Communities not meeting this threshold are deemed either yellow, green or grey. </w:t>
      </w:r>
    </w:p>
    <w:p w:rsidR="00D530EB" w:rsidRDefault="00D530EB">
      <w:r>
        <w:t>Effective November 6, 2020, a community shall be designated “red” in the weekly municipality data published by DPH if the community meets one of the following metrics</w:t>
      </w:r>
      <w:r w:rsidR="00261AF6">
        <w:t xml:space="preserve"> in the weekly report</w:t>
      </w:r>
      <w:r>
        <w:t xml:space="preserve">: </w:t>
      </w:r>
    </w:p>
    <w:p w:rsidR="001C2F74" w:rsidRDefault="001C2F74" w:rsidP="001C2F74">
      <w:pPr>
        <w:pStyle w:val="ListParagraph"/>
        <w:numPr>
          <w:ilvl w:val="0"/>
          <w:numId w:val="1"/>
        </w:numPr>
      </w:pPr>
      <w:r>
        <w:t xml:space="preserve">The community has a population size under 10,000 and had more than 25 cases; </w:t>
      </w:r>
    </w:p>
    <w:p w:rsidR="009076EA" w:rsidRDefault="001C2F74" w:rsidP="001C2F74">
      <w:pPr>
        <w:pStyle w:val="ListParagraph"/>
        <w:numPr>
          <w:ilvl w:val="0"/>
          <w:numId w:val="1"/>
        </w:numPr>
      </w:pPr>
      <w:r>
        <w:t xml:space="preserve">The community has a population between 10,000 and 50,000 and </w:t>
      </w:r>
      <w:r w:rsidR="000E6842">
        <w:t xml:space="preserve">had an average daily incidence rate of </w:t>
      </w:r>
      <w:r w:rsidR="009076EA">
        <w:t xml:space="preserve">10 or more </w:t>
      </w:r>
      <w:r w:rsidR="000E6842">
        <w:t xml:space="preserve">cases per 100,000 residents and a </w:t>
      </w:r>
      <w:r w:rsidR="009076EA">
        <w:t xml:space="preserve">test positivity rate of </w:t>
      </w:r>
      <w:r w:rsidR="00D530EB">
        <w:t>5</w:t>
      </w:r>
      <w:r w:rsidR="000E6842">
        <w:t xml:space="preserve">% </w:t>
      </w:r>
      <w:r w:rsidR="009076EA">
        <w:t>or more; or</w:t>
      </w:r>
    </w:p>
    <w:p w:rsidR="001C2F74" w:rsidRDefault="001C2F74" w:rsidP="001C2F74">
      <w:pPr>
        <w:pStyle w:val="ListParagraph"/>
        <w:numPr>
          <w:ilvl w:val="0"/>
          <w:numId w:val="1"/>
        </w:numPr>
      </w:pPr>
      <w:r>
        <w:t xml:space="preserve">The community has a population over 50,000 and </w:t>
      </w:r>
      <w:r w:rsidR="009076EA">
        <w:t xml:space="preserve">had an average daily incidence rate of 10 or more cases per 100,000 residents and a test positivity rate of </w:t>
      </w:r>
      <w:r w:rsidR="00D530EB">
        <w:t>4</w:t>
      </w:r>
      <w:r w:rsidR="009076EA">
        <w:t>% or more.</w:t>
      </w:r>
    </w:p>
    <w:p w:rsidR="00261AF6" w:rsidRPr="00261AF6" w:rsidRDefault="00261AF6" w:rsidP="009076EA">
      <w:pPr>
        <w:spacing w:after="120" w:line="276" w:lineRule="auto"/>
        <w:rPr>
          <w:color w:val="201F1E"/>
        </w:rPr>
      </w:pPr>
      <w:r>
        <w:rPr>
          <w:color w:val="201F1E"/>
        </w:rPr>
        <w:t>Communities not meeting the above threshold are deemed either yellow, green or grey.</w:t>
      </w:r>
    </w:p>
    <w:p w:rsidR="00EB5A2B" w:rsidRPr="00EB5A2B" w:rsidRDefault="00EB5A2B" w:rsidP="009076EA">
      <w:pPr>
        <w:spacing w:after="120" w:line="276" w:lineRule="auto"/>
        <w:rPr>
          <w:b/>
          <w:color w:val="201F1E"/>
        </w:rPr>
      </w:pPr>
      <w:r w:rsidRPr="00EB5A2B">
        <w:rPr>
          <w:b/>
          <w:color w:val="201F1E"/>
        </w:rPr>
        <w:t>Moving from 3.2 to 3.1</w:t>
      </w:r>
    </w:p>
    <w:p w:rsidR="00EB5A2B" w:rsidRDefault="009076EA" w:rsidP="00D530EB">
      <w:r>
        <w:rPr>
          <w:color w:val="201F1E"/>
        </w:rPr>
        <w:t>A community that qualifies as a “lower risk community</w:t>
      </w:r>
      <w:r w:rsidR="00EB5A2B">
        <w:rPr>
          <w:color w:val="201F1E"/>
        </w:rPr>
        <w:t xml:space="preserve">” </w:t>
      </w:r>
      <w:r>
        <w:rPr>
          <w:color w:val="201F1E"/>
        </w:rPr>
        <w:t xml:space="preserve">shall cease to qualify as a </w:t>
      </w:r>
      <w:r w:rsidR="00EB5A2B">
        <w:rPr>
          <w:color w:val="201F1E"/>
        </w:rPr>
        <w:t>“l</w:t>
      </w:r>
      <w:r>
        <w:rPr>
          <w:color w:val="201F1E"/>
        </w:rPr>
        <w:t xml:space="preserve">ower </w:t>
      </w:r>
      <w:r w:rsidR="00EB5A2B">
        <w:rPr>
          <w:color w:val="201F1E"/>
        </w:rPr>
        <w:t>r</w:t>
      </w:r>
      <w:r>
        <w:rPr>
          <w:color w:val="201F1E"/>
        </w:rPr>
        <w:t xml:space="preserve">isk </w:t>
      </w:r>
      <w:r w:rsidR="00EB5A2B">
        <w:rPr>
          <w:color w:val="201F1E"/>
        </w:rPr>
        <w:t>c</w:t>
      </w:r>
      <w:r>
        <w:rPr>
          <w:color w:val="201F1E"/>
        </w:rPr>
        <w:t>ommunity</w:t>
      </w:r>
      <w:r w:rsidR="00EB5A2B">
        <w:rPr>
          <w:color w:val="201F1E"/>
        </w:rPr>
        <w:t>”</w:t>
      </w:r>
      <w:r>
        <w:rPr>
          <w:color w:val="201F1E"/>
        </w:rPr>
        <w:t xml:space="preserve"> if </w:t>
      </w:r>
      <w:r w:rsidR="00EB5A2B">
        <w:rPr>
          <w:color w:val="201F1E"/>
        </w:rPr>
        <w:t xml:space="preserve">the 3 most recent </w:t>
      </w:r>
      <w:r>
        <w:rPr>
          <w:color w:val="201F1E"/>
        </w:rPr>
        <w:t>weekly report</w:t>
      </w:r>
      <w:r w:rsidR="00EB5A2B">
        <w:rPr>
          <w:color w:val="201F1E"/>
        </w:rPr>
        <w:t>s</w:t>
      </w:r>
      <w:r>
        <w:rPr>
          <w:color w:val="201F1E"/>
        </w:rPr>
        <w:t xml:space="preserve"> published by DPH </w:t>
      </w:r>
      <w:r w:rsidR="00EB5A2B">
        <w:rPr>
          <w:color w:val="201F1E"/>
        </w:rPr>
        <w:t xml:space="preserve">indicate that the </w:t>
      </w:r>
      <w:r w:rsidR="00EB5A2B">
        <w:t>community is designated red in each of the 3 reports</w:t>
      </w:r>
      <w:r w:rsidR="00D530EB">
        <w:t>.</w:t>
      </w:r>
      <w:r w:rsidR="00EB5A2B">
        <w:t xml:space="preserve"> </w:t>
      </w:r>
    </w:p>
    <w:p w:rsidR="00EB5A2B" w:rsidRPr="00EB5A2B" w:rsidRDefault="00EB5A2B" w:rsidP="009076EA">
      <w:r>
        <w:t xml:space="preserve">Upon meeting the above criteria the community must comply with the </w:t>
      </w:r>
      <w:hyperlink r:id="rId5" w:history="1">
        <w:r w:rsidRPr="00250314">
          <w:rPr>
            <w:rStyle w:val="Hyperlink"/>
          </w:rPr>
          <w:t>rules</w:t>
        </w:r>
      </w:hyperlink>
      <w:r>
        <w:t xml:space="preserve"> associated with Step 1 of Phase 3, effective the Monday after the data is published. </w:t>
      </w:r>
    </w:p>
    <w:p w:rsidR="009076EA" w:rsidRDefault="00EB5A2B" w:rsidP="009076EA">
      <w:pPr>
        <w:rPr>
          <w:b/>
        </w:rPr>
      </w:pPr>
      <w:r w:rsidRPr="00EB5A2B">
        <w:rPr>
          <w:b/>
        </w:rPr>
        <w:t xml:space="preserve">Moving from 3.1 to 3.2 </w:t>
      </w:r>
    </w:p>
    <w:p w:rsidR="00EB5A2B" w:rsidRDefault="00EB5A2B" w:rsidP="00EB5A2B">
      <w:r>
        <w:rPr>
          <w:color w:val="201F1E"/>
        </w:rPr>
        <w:t xml:space="preserve">A community that does </w:t>
      </w:r>
      <w:r w:rsidRPr="00E444C3">
        <w:rPr>
          <w:b/>
          <w:color w:val="201F1E"/>
        </w:rPr>
        <w:t>not</w:t>
      </w:r>
      <w:r>
        <w:rPr>
          <w:color w:val="201F1E"/>
        </w:rPr>
        <w:t xml:space="preserve"> qualify as a “lower risk community” shall qualify as a “lower risk community” if the 3 most recent weekly reports published by DPH indicate that the </w:t>
      </w:r>
      <w:r>
        <w:t xml:space="preserve">community </w:t>
      </w:r>
      <w:r w:rsidR="00E444C3">
        <w:t>is designated yellow, green or grey in each of the 3 reports</w:t>
      </w:r>
      <w:r w:rsidR="00261AF6">
        <w:t>.</w:t>
      </w:r>
    </w:p>
    <w:p w:rsidR="00261AF6" w:rsidRPr="00EB5A2B" w:rsidRDefault="00261AF6" w:rsidP="00261AF6">
      <w:r>
        <w:t xml:space="preserve">Upon meeting the above criteria, the community may move into </w:t>
      </w:r>
      <w:hyperlink r:id="rId6" w:history="1">
        <w:r w:rsidRPr="00261AF6">
          <w:rPr>
            <w:rStyle w:val="Hyperlink"/>
          </w:rPr>
          <w:t>Step 2 of Phase 3</w:t>
        </w:r>
      </w:hyperlink>
      <w:r>
        <w:t xml:space="preserve">, effective the Monday after the data is published. </w:t>
      </w:r>
    </w:p>
    <w:p w:rsidR="00EB5A2B" w:rsidRPr="00EB5A2B" w:rsidRDefault="00EB5A2B" w:rsidP="009076EA">
      <w:pPr>
        <w:rPr>
          <w:b/>
        </w:rPr>
      </w:pPr>
    </w:p>
    <w:sectPr w:rsidR="00EB5A2B" w:rsidRPr="00EB5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B5563"/>
    <w:multiLevelType w:val="hybridMultilevel"/>
    <w:tmpl w:val="E6E4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91"/>
    <w:rsid w:val="0005301A"/>
    <w:rsid w:val="000E6842"/>
    <w:rsid w:val="001C2F74"/>
    <w:rsid w:val="00250314"/>
    <w:rsid w:val="00261AF6"/>
    <w:rsid w:val="00302075"/>
    <w:rsid w:val="00450C85"/>
    <w:rsid w:val="00567F91"/>
    <w:rsid w:val="009076EA"/>
    <w:rsid w:val="00AA2472"/>
    <w:rsid w:val="00D530EB"/>
    <w:rsid w:val="00D92395"/>
    <w:rsid w:val="00E00C3D"/>
    <w:rsid w:val="00E444C3"/>
    <w:rsid w:val="00EB5A2B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79BC"/>
  <w15:chartTrackingRefBased/>
  <w15:docId w15:val="{01B523E2-6667-46F7-A1D5-B6EB8484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3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3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lists/business-sector-reopening-guidance-for-phase-3-steps-1-2" TargetMode="External"/><Relationship Id="rId5" Type="http://schemas.openxmlformats.org/officeDocument/2006/relationships/hyperlink" Target="https://www.mass.gov/lists/business-sector-reopening-guidance-for-phase-3-steps-1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Darcy, Leslie (EHS)</dc:creator>
  <cp:keywords/>
  <dc:description/>
  <cp:lastModifiedBy>Leonard, Michelle A (DPH)</cp:lastModifiedBy>
  <cp:revision>2</cp:revision>
  <dcterms:created xsi:type="dcterms:W3CDTF">2020-11-12T18:02:00Z</dcterms:created>
  <dcterms:modified xsi:type="dcterms:W3CDTF">2020-11-12T18:02:00Z</dcterms:modified>
</cp:coreProperties>
</file>