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7" w:lineRule="auto"/>
      </w:pPr>
      <w:r>
        <w:rPr/>
        <w:t>Massachusetts</w:t>
      </w:r>
      <w:r>
        <w:rPr>
          <w:spacing w:val="-25"/>
        </w:rPr>
        <w:t> </w:t>
      </w:r>
      <w:r>
        <w:rPr/>
        <w:t>Department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Public Health School Health Services Unit</w:t>
      </w:r>
    </w:p>
    <w:p>
      <w:pPr>
        <w:spacing w:line="247" w:lineRule="auto" w:before="229"/>
        <w:ind w:left="283" w:right="674" w:firstLine="0"/>
        <w:jc w:val="center"/>
        <w:rPr>
          <w:sz w:val="38"/>
        </w:rPr>
      </w:pPr>
      <w:r>
        <w:rPr>
          <w:sz w:val="38"/>
        </w:rPr>
        <w:t>Medication</w:t>
      </w:r>
      <w:r>
        <w:rPr>
          <w:spacing w:val="-2"/>
          <w:sz w:val="38"/>
        </w:rPr>
        <w:t> </w:t>
      </w:r>
      <w:r>
        <w:rPr>
          <w:sz w:val="38"/>
        </w:rPr>
        <w:t>Administration and</w:t>
      </w:r>
      <w:r>
        <w:rPr>
          <w:spacing w:val="-2"/>
          <w:sz w:val="38"/>
        </w:rPr>
        <w:t> </w:t>
      </w:r>
      <w:r>
        <w:rPr>
          <w:sz w:val="38"/>
        </w:rPr>
        <w:t>Epinephrine Training Registration Guidance Document</w:t>
      </w:r>
    </w:p>
    <w:p>
      <w:pPr>
        <w:spacing w:line="240" w:lineRule="auto" w:before="242"/>
        <w:ind w:left="101" w:right="577" w:firstLine="0"/>
        <w:jc w:val="left"/>
        <w:rPr>
          <w:sz w:val="22"/>
        </w:rPr>
      </w:pPr>
      <w:r>
        <w:rPr>
          <w:sz w:val="22"/>
        </w:rPr>
        <w:t>All primary and secondary public school districts</w:t>
      </w:r>
      <w:r>
        <w:rPr>
          <w:spacing w:val="-3"/>
          <w:sz w:val="22"/>
        </w:rPr>
        <w:t> </w:t>
      </w:r>
      <w:r>
        <w:rPr>
          <w:sz w:val="22"/>
        </w:rPr>
        <w:t>and non-public schools</w:t>
      </w:r>
      <w:r>
        <w:rPr>
          <w:spacing w:val="-3"/>
          <w:sz w:val="22"/>
        </w:rPr>
        <w:t> </w:t>
      </w:r>
      <w:r>
        <w:rPr>
          <w:sz w:val="22"/>
        </w:rPr>
        <w:t>in the Commonwealth are required to comply with </w:t>
      </w:r>
      <w:hyperlink r:id="rId6">
        <w:r>
          <w:rPr>
            <w:color w:val="0000FF"/>
            <w:sz w:val="22"/>
            <w:u w:val="single" w:color="0000FF"/>
          </w:rPr>
          <w:t>M.G.L. 94C: </w:t>
        </w:r>
        <w:r>
          <w:rPr>
            <w:i/>
            <w:color w:val="0000FF"/>
            <w:sz w:val="22"/>
            <w:u w:val="single" w:color="0000FF"/>
          </w:rPr>
          <w:t>The Controlled Substances Act</w:t>
        </w:r>
      </w:hyperlink>
      <w:r>
        <w:rPr>
          <w:i/>
          <w:color w:val="0000FF"/>
          <w:sz w:val="22"/>
        </w:rPr>
        <w:t> </w:t>
      </w:r>
      <w:r>
        <w:rPr>
          <w:sz w:val="22"/>
        </w:rPr>
        <w:t>and </w:t>
      </w:r>
      <w:hyperlink r:id="rId7">
        <w:r>
          <w:rPr>
            <w:color w:val="0000FF"/>
            <w:sz w:val="22"/>
            <w:u w:val="single" w:color="0000FF"/>
          </w:rPr>
          <w:t>105 CMR 210.000: </w:t>
        </w:r>
        <w:r>
          <w:rPr>
            <w:i/>
            <w:color w:val="0000FF"/>
            <w:sz w:val="22"/>
            <w:u w:val="single" w:color="0000FF"/>
          </w:rPr>
          <w:t>The</w:t>
        </w:r>
      </w:hyperlink>
      <w:r>
        <w:rPr>
          <w:i/>
          <w:color w:val="0000FF"/>
          <w:sz w:val="22"/>
        </w:rPr>
        <w:t> </w:t>
      </w:r>
      <w:hyperlink r:id="rId7">
        <w:r>
          <w:rPr>
            <w:i/>
            <w:color w:val="0000FF"/>
            <w:sz w:val="22"/>
            <w:u w:val="single" w:color="0000FF"/>
          </w:rPr>
          <w:t>Administration of Prescription Medications</w:t>
        </w:r>
        <w:r>
          <w:rPr>
            <w:i/>
            <w:color w:val="0000FF"/>
            <w:spacing w:val="-8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in Public</w:t>
        </w:r>
        <w:r>
          <w:rPr>
            <w:i/>
            <w:color w:val="0000FF"/>
            <w:spacing w:val="-3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and Private</w:t>
        </w:r>
        <w:r>
          <w:rPr>
            <w:i/>
            <w:color w:val="0000FF"/>
            <w:spacing w:val="-3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Schools</w:t>
        </w:r>
      </w:hyperlink>
      <w:r>
        <w:rPr>
          <w:sz w:val="22"/>
        </w:rPr>
        <w:t>. Only licensed healthcare professionals may administer prescription medications in Massachusetts primary and secondary schools/districts </w:t>
      </w:r>
      <w:r>
        <w:rPr>
          <w:b/>
          <w:sz w:val="22"/>
        </w:rPr>
        <w:t>unless </w:t>
      </w:r>
      <w:r>
        <w:rPr>
          <w:sz w:val="22"/>
        </w:rPr>
        <w:t>the school/school district completes the application for the delegation</w:t>
      </w:r>
    </w:p>
    <w:p>
      <w:pPr>
        <w:pStyle w:val="BodyText"/>
        <w:spacing w:line="228" w:lineRule="auto" w:before="11"/>
        <w:ind w:left="101" w:right="577"/>
      </w:pPr>
      <w:r>
        <w:rPr/>
        <w:t>of administration</w:t>
      </w:r>
      <w:r>
        <w:rPr>
          <w:spacing w:val="-2"/>
        </w:rPr>
        <w:t> </w:t>
      </w:r>
      <w:r>
        <w:rPr/>
        <w:t>of medications</w:t>
      </w:r>
      <w:r>
        <w:rPr>
          <w:spacing w:val="-10"/>
        </w:rPr>
        <w:t> </w:t>
      </w:r>
      <w:r>
        <w:rPr/>
        <w:t>to</w:t>
      </w:r>
      <w:r>
        <w:rPr>
          <w:spacing w:val="-2"/>
        </w:rPr>
        <w:t> </w:t>
      </w:r>
      <w:r>
        <w:rPr/>
        <w:t>unlicensed personnel and/or the</w:t>
      </w:r>
      <w:r>
        <w:rPr>
          <w:spacing w:val="-6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 training</w:t>
      </w:r>
      <w:r>
        <w:rPr>
          <w:spacing w:val="-2"/>
        </w:rPr>
        <w:t> </w:t>
      </w:r>
      <w:r>
        <w:rPr/>
        <w:t>on administration of epinephrine by auto-injector by unlicensed school personnel.</w:t>
      </w:r>
    </w:p>
    <w:p>
      <w:pPr>
        <w:pStyle w:val="BodyText"/>
        <w:spacing w:before="9"/>
      </w:pPr>
    </w:p>
    <w:p>
      <w:pPr>
        <w:pStyle w:val="BodyText"/>
        <w:ind w:left="101" w:right="577"/>
      </w:pPr>
      <w:r>
        <w:rPr/>
        <w:t>This Guidance</w:t>
      </w:r>
      <w:r>
        <w:rPr>
          <w:spacing w:val="-5"/>
        </w:rPr>
        <w:t> </w:t>
      </w:r>
      <w:r>
        <w:rPr/>
        <w:t>details</w:t>
      </w:r>
      <w:r>
        <w:rPr>
          <w:spacing w:val="-10"/>
        </w:rPr>
        <w:t> </w:t>
      </w:r>
      <w:r>
        <w:rPr/>
        <w:t>the process</w:t>
      </w:r>
      <w:r>
        <w:rPr>
          <w:spacing w:val="-10"/>
        </w:rPr>
        <w:t> </w:t>
      </w:r>
      <w:r>
        <w:rPr/>
        <w:t>by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primary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secondary public</w:t>
      </w:r>
      <w:r>
        <w:rPr>
          <w:spacing w:val="-5"/>
        </w:rPr>
        <w:t> </w:t>
      </w:r>
      <w:r>
        <w:rPr/>
        <w:t>school districts</w:t>
      </w:r>
      <w:r>
        <w:rPr>
          <w:spacing w:val="-10"/>
        </w:rPr>
        <w:t> </w:t>
      </w:r>
      <w:r>
        <w:rPr/>
        <w:t>and</w:t>
      </w:r>
      <w:r>
        <w:rPr>
          <w:spacing w:val="-1"/>
        </w:rPr>
        <w:t> </w:t>
      </w:r>
      <w:r>
        <w:rPr/>
        <w:t>non-public schools in the Commonwealth can apply for authorization to allow a school nurse to delegate the administration of prescription medications</w:t>
      </w:r>
      <w:r>
        <w:rPr>
          <w:spacing w:val="-8"/>
        </w:rPr>
        <w:t> </w:t>
      </w:r>
      <w:r>
        <w:rPr/>
        <w:t>to unlicensed school personnel. This</w:t>
      </w:r>
      <w:r>
        <w:rPr>
          <w:spacing w:val="-8"/>
        </w:rPr>
        <w:t> </w:t>
      </w:r>
      <w:r>
        <w:rPr/>
        <w:t>Guidance</w:t>
      </w:r>
      <w:r>
        <w:rPr>
          <w:spacing w:val="-3"/>
        </w:rPr>
        <w:t> </w:t>
      </w:r>
      <w:r>
        <w:rPr/>
        <w:t>also details</w:t>
      </w:r>
      <w:r>
        <w:rPr>
          <w:spacing w:val="-8"/>
        </w:rPr>
        <w:t> </w:t>
      </w:r>
      <w:r>
        <w:rPr/>
        <w:t>the process by which primary and secondary public school districts and non-public schools in the Commonwealth can apply to train their staff on the administration of epinephrine by autoinjector.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01" w:right="577"/>
      </w:pPr>
      <w:r>
        <w:rPr/>
        <w:t>All primary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schools/districts</w:t>
      </w:r>
      <w:r>
        <w:rPr>
          <w:spacing w:val="-9"/>
        </w:rPr>
        <w:t> </w:t>
      </w:r>
      <w:r>
        <w:rPr/>
        <w:t>delegating</w:t>
      </w:r>
      <w:r>
        <w:rPr>
          <w:spacing w:val="-1"/>
        </w:rPr>
        <w:t> </w:t>
      </w:r>
      <w:r>
        <w:rPr/>
        <w:t>medications, or training</w:t>
      </w:r>
      <w:r>
        <w:rPr>
          <w:spacing w:val="-1"/>
        </w:rPr>
        <w:t> </w:t>
      </w:r>
      <w:r>
        <w:rPr/>
        <w:t>unlicensed</w:t>
      </w:r>
      <w:r>
        <w:rPr>
          <w:spacing w:val="-1"/>
        </w:rPr>
        <w:t> </w:t>
      </w:r>
      <w:r>
        <w:rPr/>
        <w:t>personnel to administer epinephrine via auto-injector, or that have stock medications, must obtain a Massachusetts Controlled Substance Registration (MCSR) from the Massachusetts Department of Public Health (MDPH) School Health Unit (SHU).</w:t>
      </w:r>
      <w:r>
        <w:rPr>
          <w:spacing w:val="40"/>
        </w:rPr>
        <w:t> </w:t>
      </w:r>
      <w:r>
        <w:rPr/>
        <w:t>This process is explained in this guidance document.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42" w:lineRule="auto"/>
        <w:ind w:left="101" w:right="577"/>
      </w:pPr>
      <w:r>
        <w:rPr/>
        <w:t>While</w:t>
      </w:r>
      <w:r>
        <w:rPr>
          <w:spacing w:val="-1"/>
        </w:rPr>
        <w:t> </w:t>
      </w:r>
      <w:r>
        <w:rPr/>
        <w:t>105 CMR 210.000 allows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school committee</w:t>
      </w:r>
      <w:r>
        <w:rPr>
          <w:spacing w:val="-1"/>
        </w:rPr>
        <w:t> </w:t>
      </w:r>
      <w:r>
        <w:rPr/>
        <w:t>or board of trustees, in consultation with the</w:t>
      </w:r>
      <w:r>
        <w:rPr>
          <w:spacing w:val="-1"/>
        </w:rPr>
        <w:t> </w:t>
      </w:r>
      <w:r>
        <w:rPr/>
        <w:t>board of health, to seek authorization from MDPH</w:t>
      </w:r>
      <w:r>
        <w:rPr>
          <w:spacing w:val="-1"/>
        </w:rPr>
        <w:t> </w:t>
      </w:r>
      <w:r>
        <w:rPr/>
        <w:t>SHU</w:t>
      </w:r>
      <w:r>
        <w:rPr>
          <w:spacing w:val="-1"/>
        </w:rPr>
        <w:t> </w:t>
      </w:r>
      <w:r>
        <w:rPr/>
        <w:t>to delegate</w:t>
      </w:r>
      <w:r>
        <w:rPr>
          <w:spacing w:val="-4"/>
        </w:rPr>
        <w:t> </w:t>
      </w:r>
      <w:r>
        <w:rPr/>
        <w:t>administration of prescription</w:t>
      </w:r>
      <w:r>
        <w:rPr>
          <w:spacing w:val="-18"/>
        </w:rPr>
        <w:t> </w:t>
      </w:r>
      <w:r>
        <w:rPr/>
        <w:t>medications to unlicensed school employees, delegation to unlicensed school personnel is</w:t>
      </w:r>
      <w:r>
        <w:rPr>
          <w:spacing w:val="-3"/>
        </w:rPr>
        <w:t> </w:t>
      </w:r>
      <w:r>
        <w:rPr/>
        <w:t>not intended to take the place of a school nurse but rather intended to add flexibility to the nurse's</w:t>
      </w:r>
      <w:r>
        <w:rPr>
          <w:spacing w:val="-4"/>
        </w:rPr>
        <w:t> </w:t>
      </w:r>
      <w:r>
        <w:rPr/>
        <w:t>daily practice. 105 CMR</w:t>
      </w:r>
    </w:p>
    <w:p>
      <w:pPr>
        <w:spacing w:line="242" w:lineRule="auto" w:before="0"/>
        <w:ind w:left="101" w:right="497" w:firstLine="0"/>
        <w:jc w:val="both"/>
        <w:rPr>
          <w:i/>
          <w:sz w:val="22"/>
        </w:rPr>
      </w:pPr>
      <w:r>
        <w:rPr>
          <w:sz w:val="22"/>
        </w:rPr>
        <w:t>210.000 still requires</w:t>
      </w:r>
      <w:r>
        <w:rPr>
          <w:spacing w:val="-8"/>
          <w:sz w:val="22"/>
        </w:rPr>
        <w:t> </w:t>
      </w:r>
      <w:r>
        <w:rPr>
          <w:sz w:val="22"/>
        </w:rPr>
        <w:t>that </w:t>
      </w:r>
      <w:r>
        <w:rPr>
          <w:i/>
          <w:sz w:val="22"/>
        </w:rPr>
        <w:t>“The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School Committee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Board of Trustees, in consultation with 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Board of</w:t>
      </w:r>
      <w:r>
        <w:rPr>
          <w:i/>
          <w:sz w:val="22"/>
        </w:rPr>
        <w:t> Health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where appropriate, shall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assurance that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sufficient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school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nurse(s) are available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provide proper supervision of unlicensed school personnel."</w:t>
      </w:r>
    </w:p>
    <w:p>
      <w:pPr>
        <w:spacing w:line="242" w:lineRule="auto" w:before="102"/>
        <w:ind w:left="101" w:right="464" w:firstLine="0"/>
        <w:jc w:val="left"/>
        <w:rPr>
          <w:sz w:val="22"/>
        </w:rPr>
      </w:pPr>
      <w:r>
        <w:rPr>
          <w:sz w:val="22"/>
        </w:rPr>
        <w:t>The 1998 legislative report </w:t>
      </w:r>
      <w:r>
        <w:rPr>
          <w:i/>
          <w:sz w:val="22"/>
        </w:rPr>
        <w:t>Options for Developing School Health Services in Massachusetts</w:t>
      </w:r>
      <w:r>
        <w:rPr>
          <w:i/>
          <w:sz w:val="22"/>
        </w:rPr>
        <w:t> </w:t>
      </w:r>
      <w:r>
        <w:rPr>
          <w:sz w:val="22"/>
        </w:rPr>
        <w:t>recommended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 nurse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student ratio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1.0</w:t>
      </w:r>
      <w:r>
        <w:rPr>
          <w:spacing w:val="-1"/>
          <w:sz w:val="22"/>
        </w:rPr>
        <w:t> </w:t>
      </w:r>
      <w:r>
        <w:rPr>
          <w:sz w:val="22"/>
        </w:rPr>
        <w:t>fulltime</w:t>
      </w:r>
      <w:r>
        <w:rPr>
          <w:spacing w:val="-4"/>
          <w:sz w:val="22"/>
        </w:rPr>
        <w:t> </w:t>
      </w:r>
      <w:r>
        <w:rPr>
          <w:sz w:val="22"/>
        </w:rPr>
        <w:t>equivalent (FTE) professional school nurse (RN) in each building with 250 to 500 students. In buildings</w:t>
      </w:r>
      <w:r>
        <w:rPr>
          <w:spacing w:val="-2"/>
          <w:sz w:val="22"/>
        </w:rPr>
        <w:t> </w:t>
      </w:r>
      <w:r>
        <w:rPr>
          <w:sz w:val="22"/>
        </w:rPr>
        <w:t>with more than 500 students, an additional</w:t>
      </w:r>
    </w:p>
    <w:p>
      <w:pPr>
        <w:pStyle w:val="BodyText"/>
        <w:spacing w:line="242" w:lineRule="auto" w:before="1"/>
        <w:ind w:left="101" w:right="577"/>
      </w:pPr>
      <w:r>
        <w:rPr/>
        <w:t>0.1</w:t>
      </w:r>
      <w:r>
        <w:rPr>
          <w:spacing w:val="-2"/>
        </w:rPr>
        <w:t> </w:t>
      </w:r>
      <w:r>
        <w:rPr/>
        <w:t>FTE is</w:t>
      </w:r>
      <w:r>
        <w:rPr>
          <w:spacing w:val="-10"/>
        </w:rPr>
        <w:t> </w:t>
      </w:r>
      <w:r>
        <w:rPr/>
        <w:t>recommended</w:t>
      </w:r>
      <w:r>
        <w:rPr>
          <w:spacing w:val="-2"/>
        </w:rPr>
        <w:t> </w:t>
      </w:r>
      <w:r>
        <w:rPr/>
        <w:t>for each</w:t>
      </w:r>
      <w:r>
        <w:rPr>
          <w:spacing w:val="-2"/>
        </w:rPr>
        <w:t> </w:t>
      </w:r>
      <w:r>
        <w:rPr/>
        <w:t>additional 50</w:t>
      </w:r>
      <w:r>
        <w:rPr>
          <w:spacing w:val="-2"/>
        </w:rPr>
        <w:t> </w:t>
      </w:r>
      <w:r>
        <w:rPr/>
        <w:t>students. For buildings</w:t>
      </w:r>
      <w:r>
        <w:rPr>
          <w:spacing w:val="-10"/>
        </w:rPr>
        <w:t> </w:t>
      </w:r>
      <w:r>
        <w:rPr/>
        <w:t>with</w:t>
      </w:r>
      <w:r>
        <w:rPr>
          <w:spacing w:val="-2"/>
        </w:rPr>
        <w:t> </w:t>
      </w:r>
      <w:r>
        <w:rPr/>
        <w:t>fewer than</w:t>
      </w:r>
      <w:r>
        <w:rPr>
          <w:spacing w:val="-2"/>
        </w:rPr>
        <w:t> </w:t>
      </w:r>
      <w:r>
        <w:rPr/>
        <w:t>250</w:t>
      </w:r>
      <w:r>
        <w:rPr>
          <w:spacing w:val="-2"/>
        </w:rPr>
        <w:t> </w:t>
      </w:r>
      <w:r>
        <w:rPr/>
        <w:t>students, the recommended ratio is 0.1 FTE: 25 students.</w:t>
      </w:r>
    </w:p>
    <w:p>
      <w:pPr>
        <w:pStyle w:val="BodyText"/>
        <w:spacing w:before="115"/>
        <w:ind w:left="101" w:right="539"/>
      </w:pPr>
      <w:r>
        <w:rPr/>
        <w:t>In addition to these</w:t>
      </w:r>
      <w:r>
        <w:rPr>
          <w:spacing w:val="-4"/>
        </w:rPr>
        <w:t> </w:t>
      </w:r>
      <w:r>
        <w:rPr/>
        <w:t>guidelines, the</w:t>
      </w:r>
      <w:r>
        <w:rPr>
          <w:spacing w:val="-4"/>
        </w:rPr>
        <w:t> </w:t>
      </w:r>
      <w:r>
        <w:rPr/>
        <w:t>MDPH</w:t>
      </w:r>
      <w:r>
        <w:rPr>
          <w:spacing w:val="-1"/>
        </w:rPr>
        <w:t> </w:t>
      </w:r>
      <w:r>
        <w:rPr/>
        <w:t>SHU</w:t>
      </w:r>
      <w:r>
        <w:rPr>
          <w:spacing w:val="-1"/>
        </w:rPr>
        <w:t> </w:t>
      </w:r>
      <w:r>
        <w:rPr/>
        <w:t>recommends</w:t>
      </w:r>
      <w:r>
        <w:rPr>
          <w:spacing w:val="-8"/>
        </w:rPr>
        <w:t> </w:t>
      </w:r>
      <w:r>
        <w:rPr/>
        <w:t>that a</w:t>
      </w:r>
      <w:r>
        <w:rPr>
          <w:spacing w:val="-4"/>
        </w:rPr>
        <w:t> </w:t>
      </w:r>
      <w:r>
        <w:rPr/>
        <w:t>needs assessment</w:t>
      </w:r>
      <w:r>
        <w:rPr>
          <w:spacing w:val="40"/>
        </w:rPr>
        <w:t> </w:t>
      </w:r>
      <w:r>
        <w:rPr/>
        <w:t>be</w:t>
      </w:r>
      <w:r>
        <w:rPr>
          <w:spacing w:val="-4"/>
        </w:rPr>
        <w:t> </w:t>
      </w:r>
      <w:r>
        <w:rPr/>
        <w:t>completed with attention paid to those children with special health care needs, as well as emergency response time for each building.</w:t>
      </w:r>
      <w:r>
        <w:rPr>
          <w:spacing w:val="78"/>
        </w:rPr>
        <w:t> </w:t>
      </w:r>
      <w:r>
        <w:rPr/>
        <w:t>If an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indicates</w:t>
      </w:r>
      <w:r>
        <w:rPr>
          <w:spacing w:val="-11"/>
        </w:rPr>
        <w:t> </w:t>
      </w:r>
      <w:r>
        <w:rPr/>
        <w:t>that the nurse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student ratios</w:t>
      </w:r>
      <w:r>
        <w:rPr>
          <w:spacing w:val="-11"/>
        </w:rPr>
        <w:t> </w:t>
      </w:r>
      <w:r>
        <w:rPr/>
        <w:t>for any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greater than 1:750, a letter will be emailed to the school/district noting that the ratios</w:t>
      </w:r>
      <w:r>
        <w:rPr>
          <w:spacing w:val="-5"/>
        </w:rPr>
        <w:t> </w:t>
      </w:r>
      <w:r>
        <w:rPr/>
        <w:t>are above recommended levels, and the MDPH SHU reserves</w:t>
      </w:r>
      <w:r>
        <w:rPr>
          <w:spacing w:val="-3"/>
        </w:rPr>
        <w:t> </w:t>
      </w:r>
      <w:r>
        <w:rPr/>
        <w:t>the right to deny the application for medication delegation.</w:t>
      </w:r>
      <w:r>
        <w:rPr>
          <w:spacing w:val="80"/>
        </w:rPr>
        <w:t> </w:t>
      </w:r>
      <w:r>
        <w:rPr>
          <w:b/>
        </w:rPr>
        <w:t>Note</w:t>
      </w:r>
      <w:r>
        <w:rPr/>
        <w:t>:</w:t>
      </w:r>
      <w:r>
        <w:rPr>
          <w:spacing w:val="40"/>
        </w:rPr>
        <w:t> </w:t>
      </w:r>
      <w:r>
        <w:rPr/>
        <w:t>Any school building with less than 1 FTE RN that intends to delegate medications</w:t>
      </w:r>
      <w:r>
        <w:rPr>
          <w:spacing w:val="-4"/>
        </w:rPr>
        <w:t> </w:t>
      </w:r>
      <w:r>
        <w:rPr/>
        <w:t>must have an</w:t>
      </w:r>
      <w:r>
        <w:rPr>
          <w:spacing w:val="26"/>
        </w:rPr>
        <w:t> </w:t>
      </w:r>
      <w:r>
        <w:rPr/>
        <w:t>RN on-call via telephone while school is in session and the nurse is not physically present.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385" w:header="0" w:top="1380" w:bottom="1580" w:left="1340" w:right="940"/>
          <w:pgNumType w:start="1"/>
        </w:sectPr>
      </w:pPr>
    </w:p>
    <w:p>
      <w:pPr>
        <w:pStyle w:val="Heading1"/>
        <w:ind w:left="518"/>
        <w:rPr>
          <w:u w:val="none"/>
        </w:rPr>
      </w:pPr>
      <w:r>
        <w:rPr>
          <w:spacing w:val="-2"/>
          <w:u w:val="single"/>
        </w:rPr>
        <w:t>Registration</w:t>
      </w:r>
      <w:r>
        <w:rPr>
          <w:spacing w:val="-26"/>
          <w:u w:val="single"/>
        </w:rPr>
        <w:t> </w:t>
      </w:r>
      <w:r>
        <w:rPr>
          <w:spacing w:val="-2"/>
          <w:u w:val="single"/>
        </w:rPr>
        <w:t>Instructions</w:t>
      </w:r>
      <w:r>
        <w:rPr>
          <w:spacing w:val="-24"/>
          <w:u w:val="single"/>
        </w:rPr>
        <w:t> </w:t>
      </w:r>
      <w:r>
        <w:rPr>
          <w:spacing w:val="-2"/>
          <w:u w:val="single"/>
        </w:rPr>
        <w:t>for</w:t>
      </w:r>
      <w:r>
        <w:rPr>
          <w:spacing w:val="-24"/>
          <w:u w:val="single"/>
        </w:rPr>
        <w:t> </w:t>
      </w:r>
      <w:r>
        <w:rPr>
          <w:spacing w:val="-2"/>
          <w:u w:val="single"/>
        </w:rPr>
        <w:t>Medication</w:t>
      </w:r>
      <w:r>
        <w:rPr>
          <w:spacing w:val="-26"/>
          <w:u w:val="single"/>
        </w:rPr>
        <w:t> </w:t>
      </w:r>
      <w:r>
        <w:rPr>
          <w:spacing w:val="-2"/>
          <w:u w:val="single"/>
        </w:rPr>
        <w:t>Delegation</w:t>
      </w:r>
      <w:r>
        <w:rPr>
          <w:spacing w:val="-25"/>
          <w:u w:val="single"/>
        </w:rPr>
        <w:t> </w:t>
      </w:r>
      <w:r>
        <w:rPr>
          <w:spacing w:val="-2"/>
          <w:u w:val="single"/>
        </w:rPr>
        <w:t>&amp;</w:t>
      </w:r>
      <w:r>
        <w:rPr>
          <w:spacing w:val="-24"/>
          <w:u w:val="single"/>
        </w:rPr>
        <w:t> </w:t>
      </w:r>
      <w:r>
        <w:rPr>
          <w:spacing w:val="-2"/>
          <w:u w:val="single"/>
        </w:rPr>
        <w:t>Epinephrine</w:t>
      </w:r>
      <w:r>
        <w:rPr>
          <w:spacing w:val="-25"/>
          <w:u w:val="single"/>
        </w:rPr>
        <w:t> </w:t>
      </w:r>
      <w:r>
        <w:rPr>
          <w:spacing w:val="-2"/>
          <w:u w:val="single"/>
        </w:rPr>
        <w:t>Training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37" w:lineRule="auto" w:before="128" w:after="0"/>
        <w:ind w:left="646" w:right="336" w:hanging="353"/>
        <w:jc w:val="both"/>
        <w:rPr>
          <w:sz w:val="22"/>
        </w:rPr>
      </w:pPr>
      <w:r>
        <w:rPr>
          <w:sz w:val="22"/>
        </w:rPr>
        <w:t>Fill out the </w:t>
      </w:r>
      <w:r>
        <w:rPr>
          <w:b/>
          <w:sz w:val="22"/>
        </w:rPr>
        <w:t>Staffing Spreadsheet</w:t>
      </w:r>
      <w:r>
        <w:rPr>
          <w:sz w:val="22"/>
        </w:rPr>
        <w:t>.</w:t>
      </w:r>
      <w:r>
        <w:rPr>
          <w:spacing w:val="-8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only include</w:t>
      </w:r>
      <w:r>
        <w:rPr>
          <w:spacing w:val="-2"/>
          <w:sz w:val="22"/>
        </w:rPr>
        <w:t> </w:t>
      </w:r>
      <w:r>
        <w:rPr>
          <w:sz w:val="22"/>
        </w:rPr>
        <w:t>healthcare</w:t>
      </w:r>
      <w:r>
        <w:rPr>
          <w:spacing w:val="-2"/>
          <w:sz w:val="22"/>
        </w:rPr>
        <w:t> </w:t>
      </w:r>
      <w:r>
        <w:rPr>
          <w:sz w:val="22"/>
        </w:rPr>
        <w:t>professionals</w:t>
      </w:r>
      <w:r>
        <w:rPr>
          <w:spacing w:val="-7"/>
          <w:sz w:val="22"/>
        </w:rPr>
        <w:t> </w:t>
      </w:r>
      <w:r>
        <w:rPr>
          <w:sz w:val="22"/>
        </w:rPr>
        <w:t>working in the</w:t>
      </w:r>
      <w:r>
        <w:rPr>
          <w:spacing w:val="-2"/>
          <w:sz w:val="22"/>
        </w:rPr>
        <w:t> </w:t>
      </w:r>
      <w:r>
        <w:rPr>
          <w:sz w:val="22"/>
        </w:rPr>
        <w:t>school health</w:t>
      </w:r>
      <w:r>
        <w:rPr>
          <w:spacing w:val="-3"/>
          <w:sz w:val="22"/>
        </w:rPr>
        <w:t> </w:t>
      </w:r>
      <w:r>
        <w:rPr>
          <w:sz w:val="22"/>
        </w:rPr>
        <w:t>office.</w:t>
      </w:r>
      <w:r>
        <w:rPr>
          <w:spacing w:val="40"/>
          <w:sz w:val="22"/>
        </w:rPr>
        <w:t> </w:t>
      </w:r>
      <w:r>
        <w:rPr>
          <w:sz w:val="22"/>
        </w:rPr>
        <w:t>Healthcare</w:t>
      </w:r>
      <w:r>
        <w:rPr>
          <w:spacing w:val="-6"/>
          <w:sz w:val="22"/>
        </w:rPr>
        <w:t> </w:t>
      </w:r>
      <w:r>
        <w:rPr>
          <w:sz w:val="22"/>
        </w:rPr>
        <w:t>professionals</w:t>
      </w:r>
      <w:r>
        <w:rPr>
          <w:spacing w:val="-11"/>
          <w:sz w:val="22"/>
        </w:rPr>
        <w:t> </w:t>
      </w:r>
      <w:r>
        <w:rPr>
          <w:sz w:val="22"/>
        </w:rPr>
        <w:t>assigned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individual</w:t>
      </w:r>
      <w:r>
        <w:rPr>
          <w:spacing w:val="-1"/>
          <w:sz w:val="22"/>
        </w:rPr>
        <w:t> </w:t>
      </w:r>
      <w:r>
        <w:rPr>
          <w:sz w:val="22"/>
        </w:rPr>
        <w:t>student</w:t>
      </w:r>
      <w:r>
        <w:rPr>
          <w:spacing w:val="-1"/>
          <w:sz w:val="22"/>
        </w:rPr>
        <w:t> </w:t>
      </w:r>
      <w:r>
        <w:rPr>
          <w:sz w:val="22"/>
        </w:rPr>
        <w:t>or specific</w:t>
      </w:r>
      <w:r>
        <w:rPr>
          <w:spacing w:val="-6"/>
          <w:sz w:val="22"/>
        </w:rPr>
        <w:t> </w:t>
      </w:r>
      <w:r>
        <w:rPr>
          <w:sz w:val="22"/>
        </w:rPr>
        <w:t>classroom</w:t>
      </w:r>
      <w:r>
        <w:rPr>
          <w:spacing w:val="-1"/>
          <w:sz w:val="22"/>
        </w:rPr>
        <w:t> </w:t>
      </w:r>
      <w:r>
        <w:rPr>
          <w:sz w:val="22"/>
        </w:rPr>
        <w:t>should not be included in the staffing spreadsheet.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32" w:lineRule="auto" w:before="163" w:after="0"/>
        <w:ind w:left="646" w:right="280" w:hanging="353"/>
        <w:jc w:val="left"/>
        <w:rPr>
          <w:sz w:val="22"/>
        </w:rPr>
      </w:pPr>
      <w:r>
        <w:rPr>
          <w:sz w:val="22"/>
        </w:rPr>
        <w:t>Meet with the signatories review the school/district policies regarding health services, medication administration, and/or epinephrine training at least every other year. All signatories</w:t>
      </w:r>
      <w:r>
        <w:rPr>
          <w:spacing w:val="-1"/>
          <w:sz w:val="22"/>
        </w:rPr>
        <w:t> </w:t>
      </w:r>
      <w:r>
        <w:rPr>
          <w:sz w:val="22"/>
        </w:rPr>
        <w:t>must sign the </w:t>
      </w:r>
      <w:r>
        <w:rPr>
          <w:b/>
          <w:sz w:val="22"/>
        </w:rPr>
        <w:t>Signature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Page</w:t>
      </w:r>
      <w:r>
        <w:rPr>
          <w:b/>
          <w:spacing w:val="-4"/>
          <w:sz w:val="22"/>
        </w:rPr>
        <w:t> </w:t>
      </w:r>
      <w:r>
        <w:rPr>
          <w:sz w:val="22"/>
        </w:rPr>
        <w:t>annually.</w:t>
      </w:r>
      <w:r>
        <w:rPr>
          <w:spacing w:val="40"/>
          <w:sz w:val="22"/>
        </w:rPr>
        <w:t> </w:t>
      </w:r>
      <w:r>
        <w:rPr>
          <w:sz w:val="22"/>
        </w:rPr>
        <w:t>Signatures</w:t>
      </w:r>
      <w:r>
        <w:rPr>
          <w:spacing w:val="-9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scanned</w:t>
      </w:r>
      <w:r>
        <w:rPr>
          <w:spacing w:val="-1"/>
          <w:sz w:val="22"/>
        </w:rPr>
        <w:t> </w:t>
      </w:r>
      <w:r>
        <w:rPr>
          <w:sz w:val="22"/>
        </w:rPr>
        <w:t>and emailed</w:t>
      </w:r>
      <w:r>
        <w:rPr>
          <w:spacing w:val="-1"/>
          <w:sz w:val="22"/>
        </w:rPr>
        <w:t> </w:t>
      </w:r>
      <w:r>
        <w:rPr>
          <w:sz w:val="22"/>
        </w:rPr>
        <w:t>or be</w:t>
      </w:r>
      <w:r>
        <w:rPr>
          <w:spacing w:val="-5"/>
          <w:sz w:val="22"/>
        </w:rPr>
        <w:t> </w:t>
      </w:r>
      <w:r>
        <w:rPr>
          <w:sz w:val="22"/>
        </w:rPr>
        <w:t>an electronic</w:t>
      </w:r>
      <w:r>
        <w:rPr>
          <w:spacing w:val="-5"/>
          <w:sz w:val="22"/>
        </w:rPr>
        <w:t> </w:t>
      </w:r>
      <w:r>
        <w:rPr>
          <w:sz w:val="22"/>
        </w:rPr>
        <w:t>signature</w:t>
      </w:r>
      <w:r>
        <w:rPr>
          <w:spacing w:val="-5"/>
          <w:sz w:val="22"/>
        </w:rPr>
        <w:t> </w:t>
      </w:r>
      <w:r>
        <w:rPr>
          <w:sz w:val="22"/>
        </w:rPr>
        <w:t>(typed signatures will not be accepted).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37" w:lineRule="auto" w:before="164" w:after="0"/>
        <w:ind w:left="646" w:right="183" w:hanging="353"/>
        <w:jc w:val="left"/>
        <w:rPr>
          <w:sz w:val="22"/>
        </w:rPr>
      </w:pPr>
      <w:r>
        <w:rPr>
          <w:sz w:val="22"/>
        </w:rPr>
        <w:t>Obtain certificates of attendance from the two mandatory BU SHIELD courses, </w:t>
      </w:r>
      <w:hyperlink r:id="rId8">
        <w:r>
          <w:rPr>
            <w:i/>
            <w:color w:val="0000FF"/>
            <w:sz w:val="22"/>
            <w:u w:val="single" w:color="0000FF"/>
          </w:rPr>
          <w:t>Medication</w:t>
        </w:r>
      </w:hyperlink>
      <w:r>
        <w:rPr>
          <w:i/>
          <w:color w:val="0000FF"/>
          <w:sz w:val="22"/>
        </w:rPr>
        <w:t> </w:t>
      </w:r>
      <w:hyperlink r:id="rId8">
        <w:r>
          <w:rPr>
            <w:i/>
            <w:color w:val="0000FF"/>
            <w:sz w:val="22"/>
            <w:u w:val="single" w:color="0000FF"/>
          </w:rPr>
          <w:t>Administration in a School Setting: School Nurse Practice in Massachusetts</w:t>
        </w:r>
      </w:hyperlink>
      <w:r>
        <w:rPr>
          <w:i/>
          <w:color w:val="0000FF"/>
          <w:sz w:val="22"/>
        </w:rPr>
        <w:t> </w:t>
      </w:r>
      <w:r>
        <w:rPr>
          <w:sz w:val="22"/>
        </w:rPr>
        <w:t>and </w:t>
      </w:r>
      <w:hyperlink r:id="rId9">
        <w:r>
          <w:rPr>
            <w:i/>
            <w:color w:val="0000FF"/>
            <w:sz w:val="22"/>
            <w:u w:val="single" w:color="0000FF"/>
          </w:rPr>
          <w:t>Medication</w:t>
        </w:r>
      </w:hyperlink>
      <w:r>
        <w:rPr>
          <w:i/>
          <w:color w:val="0000FF"/>
          <w:sz w:val="22"/>
        </w:rPr>
        <w:t> </w:t>
      </w:r>
      <w:hyperlink r:id="rId9">
        <w:r>
          <w:rPr>
            <w:i/>
            <w:color w:val="0000FF"/>
            <w:sz w:val="22"/>
            <w:u w:val="single" w:color="0000FF"/>
          </w:rPr>
          <w:t>Administration</w:t>
        </w:r>
        <w:r>
          <w:rPr>
            <w:i/>
            <w:color w:val="0000FF"/>
            <w:spacing w:val="-6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in</w:t>
        </w:r>
        <w:r>
          <w:rPr>
            <w:i/>
            <w:color w:val="0000FF"/>
            <w:spacing w:val="-6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Schools: What</w:t>
        </w:r>
        <w:r>
          <w:rPr>
            <w:i/>
            <w:color w:val="0000FF"/>
            <w:spacing w:val="-4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School Nurse</w:t>
        </w:r>
        <w:r>
          <w:rPr>
            <w:i/>
            <w:color w:val="0000FF"/>
            <w:spacing w:val="-9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Managers</w:t>
        </w:r>
        <w:r>
          <w:rPr>
            <w:i/>
            <w:color w:val="0000FF"/>
            <w:spacing w:val="-14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Need</w:t>
        </w:r>
        <w:r>
          <w:rPr>
            <w:i/>
            <w:color w:val="0000FF"/>
            <w:spacing w:val="-6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to</w:t>
        </w:r>
        <w:r>
          <w:rPr>
            <w:i/>
            <w:color w:val="0000FF"/>
            <w:spacing w:val="-6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Know</w:t>
        </w:r>
        <w:r>
          <w:rPr>
            <w:sz w:val="22"/>
          </w:rPr>
          <w:t>.</w:t>
        </w:r>
      </w:hyperlink>
      <w:r>
        <w:rPr>
          <w:spacing w:val="70"/>
          <w:sz w:val="22"/>
        </w:rPr>
        <w:t> </w:t>
      </w:r>
      <w:r>
        <w:rPr>
          <w:sz w:val="22"/>
        </w:rPr>
        <w:t>Both</w:t>
      </w:r>
      <w:r>
        <w:rPr>
          <w:spacing w:val="-6"/>
          <w:sz w:val="22"/>
        </w:rPr>
        <w:t> </w:t>
      </w:r>
      <w:r>
        <w:rPr>
          <w:sz w:val="22"/>
        </w:rPr>
        <w:t>classes</w:t>
      </w:r>
      <w:r>
        <w:rPr>
          <w:spacing w:val="20"/>
          <w:sz w:val="22"/>
        </w:rPr>
        <w:t> </w:t>
      </w: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be taken every three years.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144" w:after="0"/>
        <w:ind w:left="646" w:right="191" w:hanging="353"/>
        <w:jc w:val="left"/>
        <w:rPr>
          <w:sz w:val="22"/>
        </w:rPr>
      </w:pPr>
      <w:r>
        <w:rPr>
          <w:sz w:val="22"/>
        </w:rPr>
        <w:t>Log onto</w:t>
      </w:r>
      <w:r>
        <w:rPr>
          <w:spacing w:val="-5"/>
          <w:sz w:val="22"/>
        </w:rPr>
        <w:t> </w:t>
      </w:r>
      <w:hyperlink r:id="rId10">
        <w:r>
          <w:rPr>
            <w:color w:val="0000FF"/>
            <w:sz w:val="22"/>
            <w:u w:val="single" w:color="0000FF"/>
          </w:rPr>
          <w:t>https://healthprofessionlicensing.mass.gov/</w:t>
        </w:r>
      </w:hyperlink>
      <w:r>
        <w:rPr>
          <w:color w:val="0000FF"/>
          <w:sz w:val="22"/>
        </w:rPr>
        <w:t> </w:t>
      </w:r>
      <w:r>
        <w:rPr>
          <w:sz w:val="22"/>
        </w:rPr>
        <w:t>to submit the staffing/building profile, signature page, 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BU SHIELD</w:t>
      </w:r>
      <w:r>
        <w:rPr>
          <w:spacing w:val="-3"/>
          <w:sz w:val="22"/>
        </w:rPr>
        <w:t> </w:t>
      </w:r>
      <w:r>
        <w:rPr>
          <w:sz w:val="22"/>
        </w:rPr>
        <w:t>certificates.</w:t>
      </w:r>
      <w:r>
        <w:rPr>
          <w:spacing w:val="80"/>
          <w:sz w:val="22"/>
        </w:rPr>
        <w:t> </w:t>
      </w:r>
      <w:r>
        <w:rPr>
          <w:sz w:val="22"/>
        </w:rPr>
        <w:t>Follow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prompts</w:t>
      </w:r>
      <w:r>
        <w:rPr>
          <w:spacing w:val="-10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website</w:t>
      </w:r>
      <w:r>
        <w:rPr>
          <w:spacing w:val="-6"/>
          <w:sz w:val="22"/>
        </w:rPr>
        <w:t> </w:t>
      </w:r>
      <w:r>
        <w:rPr>
          <w:sz w:val="22"/>
        </w:rPr>
        <w:t>until the</w:t>
      </w:r>
      <w:r>
        <w:rPr>
          <w:spacing w:val="-6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fully submitted. If you need assistance with the</w:t>
      </w:r>
      <w:r>
        <w:rPr>
          <w:spacing w:val="-1"/>
          <w:sz w:val="22"/>
        </w:rPr>
        <w:t> </w:t>
      </w:r>
      <w:r>
        <w:rPr>
          <w:sz w:val="22"/>
        </w:rPr>
        <w:t>website</w:t>
      </w:r>
      <w:r>
        <w:rPr>
          <w:spacing w:val="-1"/>
          <w:sz w:val="22"/>
        </w:rPr>
        <w:t> </w:t>
      </w:r>
      <w:r>
        <w:rPr>
          <w:sz w:val="22"/>
        </w:rPr>
        <w:t>please email </w:t>
      </w:r>
      <w:hyperlink r:id="rId11">
        <w:r>
          <w:rPr>
            <w:color w:val="0000FF"/>
            <w:sz w:val="22"/>
            <w:u w:val="single" w:color="0000FF"/>
          </w:rPr>
          <w:t>elicensing.helpdesk@mass.gov</w:t>
        </w:r>
      </w:hyperlink>
      <w:r>
        <w:rPr>
          <w:color w:val="0000FF"/>
          <w:sz w:val="22"/>
        </w:rPr>
        <w:t> </w:t>
      </w:r>
      <w:r>
        <w:rPr>
          <w:sz w:val="22"/>
        </w:rPr>
        <w:t>or call the Help Desk at (617) 973-0935.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30" w:lineRule="auto" w:before="147" w:after="0"/>
        <w:ind w:left="646" w:right="766" w:hanging="353"/>
        <w:jc w:val="left"/>
        <w:rPr>
          <w:sz w:val="22"/>
        </w:rPr>
      </w:pPr>
      <w:r>
        <w:rPr>
          <w:sz w:val="22"/>
        </w:rPr>
        <w:t>The school/school</w:t>
      </w:r>
      <w:r>
        <w:rPr>
          <w:spacing w:val="-1"/>
          <w:sz w:val="22"/>
        </w:rPr>
        <w:t> </w:t>
      </w:r>
      <w:r>
        <w:rPr>
          <w:sz w:val="22"/>
        </w:rPr>
        <w:t>district’s</w:t>
      </w:r>
      <w:r>
        <w:rPr>
          <w:spacing w:val="-4"/>
          <w:sz w:val="22"/>
        </w:rPr>
        <w:t> </w:t>
      </w:r>
      <w:r>
        <w:rPr>
          <w:sz w:val="22"/>
        </w:rPr>
        <w:t>registration</w:t>
      </w:r>
      <w:r>
        <w:rPr>
          <w:spacing w:val="-3"/>
          <w:sz w:val="22"/>
        </w:rPr>
        <w:t> </w:t>
      </w:r>
      <w:r>
        <w:rPr>
          <w:sz w:val="22"/>
        </w:rPr>
        <w:t>expires</w:t>
      </w:r>
      <w:r>
        <w:rPr>
          <w:spacing w:val="-11"/>
          <w:sz w:val="22"/>
        </w:rPr>
        <w:t> </w:t>
      </w:r>
      <w:r>
        <w:rPr>
          <w:sz w:val="22"/>
        </w:rPr>
        <w:t>one</w:t>
      </w:r>
      <w:r>
        <w:rPr>
          <w:spacing w:val="-6"/>
          <w:sz w:val="22"/>
        </w:rPr>
        <w:t> </w:t>
      </w:r>
      <w:r>
        <w:rPr>
          <w:sz w:val="22"/>
        </w:rPr>
        <w:t>year (365</w:t>
      </w:r>
      <w:r>
        <w:rPr>
          <w:spacing w:val="-3"/>
          <w:sz w:val="22"/>
        </w:rPr>
        <w:t> </w:t>
      </w:r>
      <w:r>
        <w:rPr>
          <w:sz w:val="22"/>
        </w:rPr>
        <w:t>days) 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MCSR. Districts/schools can renew the registration up to 90 days prior to the expiration date.</w:t>
      </w:r>
    </w:p>
    <w:p>
      <w:pPr>
        <w:pStyle w:val="BodyText"/>
        <w:rPr>
          <w:sz w:val="24"/>
        </w:rPr>
      </w:pPr>
    </w:p>
    <w:p>
      <w:pPr>
        <w:pStyle w:val="Heading1"/>
        <w:spacing w:before="193"/>
        <w:rPr>
          <w:u w:val="none"/>
        </w:rPr>
      </w:pPr>
      <w:r>
        <w:rPr>
          <w:spacing w:val="-2"/>
          <w:u w:val="single"/>
        </w:rPr>
        <w:t>Key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Points</w:t>
      </w:r>
      <w:r>
        <w:rPr>
          <w:spacing w:val="-23"/>
          <w:u w:val="single"/>
        </w:rPr>
        <w:t> </w:t>
      </w:r>
      <w:r>
        <w:rPr>
          <w:spacing w:val="-2"/>
          <w:u w:val="single"/>
        </w:rPr>
        <w:t>for</w:t>
      </w:r>
      <w:r>
        <w:rPr>
          <w:spacing w:val="-24"/>
          <w:u w:val="single"/>
        </w:rPr>
        <w:t> </w:t>
      </w:r>
      <w:r>
        <w:rPr>
          <w:spacing w:val="-2"/>
          <w:u w:val="single"/>
        </w:rPr>
        <w:t>Registering</w:t>
      </w:r>
      <w:r>
        <w:rPr>
          <w:spacing w:val="-22"/>
          <w:u w:val="single"/>
        </w:rPr>
        <w:t> </w:t>
      </w:r>
      <w:r>
        <w:rPr>
          <w:spacing w:val="-2"/>
          <w:u w:val="single"/>
        </w:rPr>
        <w:t>for</w:t>
      </w:r>
      <w:r>
        <w:rPr>
          <w:spacing w:val="-24"/>
          <w:u w:val="single"/>
        </w:rPr>
        <w:t> </w:t>
      </w:r>
      <w:r>
        <w:rPr>
          <w:spacing w:val="-2"/>
          <w:u w:val="single"/>
        </w:rPr>
        <w:t>Medication</w:t>
      </w:r>
      <w:r>
        <w:rPr>
          <w:spacing w:val="-25"/>
          <w:u w:val="single"/>
        </w:rPr>
        <w:t> </w:t>
      </w:r>
      <w:r>
        <w:rPr>
          <w:spacing w:val="-2"/>
          <w:u w:val="single"/>
        </w:rPr>
        <w:t>Delegation</w:t>
      </w:r>
      <w:r>
        <w:rPr>
          <w:spacing w:val="-25"/>
          <w:u w:val="single"/>
        </w:rPr>
        <w:t> </w:t>
      </w:r>
      <w:r>
        <w:rPr>
          <w:spacing w:val="-2"/>
          <w:u w:val="single"/>
        </w:rPr>
        <w:t>&amp;</w:t>
      </w:r>
      <w:r>
        <w:rPr>
          <w:spacing w:val="-24"/>
          <w:u w:val="single"/>
        </w:rPr>
        <w:t> </w:t>
      </w:r>
      <w:r>
        <w:rPr>
          <w:spacing w:val="-2"/>
          <w:u w:val="single"/>
        </w:rPr>
        <w:t>Epinephrine</w:t>
      </w:r>
      <w:r>
        <w:rPr>
          <w:spacing w:val="-24"/>
          <w:u w:val="single"/>
        </w:rPr>
        <w:t> </w:t>
      </w:r>
      <w:r>
        <w:rPr>
          <w:spacing w:val="-2"/>
          <w:u w:val="single"/>
        </w:rPr>
        <w:t>Training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46" w:after="0"/>
        <w:ind w:left="470" w:right="1101" w:hanging="369"/>
        <w:jc w:val="left"/>
        <w:rPr>
          <w:sz w:val="22"/>
        </w:rPr>
      </w:pPr>
      <w:r>
        <w:rPr>
          <w:sz w:val="22"/>
        </w:rPr>
        <w:t>The Medication Manager (the Medication Manager must be a Registered Nurse in the Commonwealth</w:t>
      </w:r>
      <w:r>
        <w:rPr>
          <w:spacing w:val="-5"/>
          <w:sz w:val="22"/>
        </w:rPr>
        <w:t> </w:t>
      </w:r>
      <w:r>
        <w:rPr>
          <w:sz w:val="22"/>
        </w:rPr>
        <w:t>of Massachusetts)</w:t>
      </w:r>
      <w:r>
        <w:rPr>
          <w:spacing w:val="20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legally</w:t>
      </w:r>
      <w:r>
        <w:rPr>
          <w:spacing w:val="-3"/>
          <w:sz w:val="22"/>
        </w:rPr>
        <w:t> </w:t>
      </w:r>
      <w:r>
        <w:rPr>
          <w:sz w:val="22"/>
        </w:rPr>
        <w:t>responsible</w:t>
      </w:r>
      <w:r>
        <w:rPr>
          <w:spacing w:val="-8"/>
          <w:sz w:val="22"/>
        </w:rPr>
        <w:t> </w:t>
      </w:r>
      <w:r>
        <w:rPr>
          <w:sz w:val="22"/>
        </w:rPr>
        <w:t>for the</w:t>
      </w:r>
      <w:r>
        <w:rPr>
          <w:spacing w:val="-8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8"/>
          <w:sz w:val="22"/>
        </w:rPr>
        <w:t> </w:t>
      </w:r>
      <w:r>
        <w:rPr>
          <w:sz w:val="22"/>
        </w:rPr>
        <w:t>medication administration and/or epinephrine training program.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46" w:after="0"/>
        <w:ind w:left="470" w:right="561" w:hanging="369"/>
        <w:jc w:val="left"/>
        <w:rPr>
          <w:sz w:val="22"/>
        </w:rPr>
      </w:pPr>
      <w:r>
        <w:rPr>
          <w:sz w:val="22"/>
        </w:rPr>
        <w:t>All registrations</w:t>
      </w:r>
      <w:r>
        <w:rPr>
          <w:spacing w:val="-10"/>
          <w:sz w:val="22"/>
        </w:rPr>
        <w:t> </w:t>
      </w:r>
      <w:r>
        <w:rPr>
          <w:sz w:val="22"/>
        </w:rPr>
        <w:t>must be</w:t>
      </w:r>
      <w:r>
        <w:rPr>
          <w:spacing w:val="-5"/>
          <w:sz w:val="22"/>
        </w:rPr>
        <w:t> </w:t>
      </w:r>
      <w:r>
        <w:rPr>
          <w:sz w:val="22"/>
        </w:rPr>
        <w:t>submitted</w:t>
      </w:r>
      <w:r>
        <w:rPr>
          <w:spacing w:val="-2"/>
          <w:sz w:val="22"/>
        </w:rPr>
        <w:t> </w:t>
      </w:r>
      <w:r>
        <w:rPr>
          <w:sz w:val="22"/>
        </w:rPr>
        <w:t>annually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will expire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year (365</w:t>
      </w:r>
      <w:r>
        <w:rPr>
          <w:spacing w:val="-2"/>
          <w:sz w:val="22"/>
        </w:rPr>
        <w:t> </w:t>
      </w:r>
      <w:r>
        <w:rPr>
          <w:sz w:val="22"/>
        </w:rPr>
        <w:t>days) from the</w:t>
      </w:r>
      <w:r>
        <w:rPr>
          <w:spacing w:val="-5"/>
          <w:sz w:val="22"/>
        </w:rPr>
        <w:t> </w:t>
      </w: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 MCSR. Please note the date your application was</w:t>
      </w:r>
      <w:r>
        <w:rPr>
          <w:spacing w:val="-4"/>
          <w:sz w:val="22"/>
        </w:rPr>
        <w:t> </w:t>
      </w:r>
      <w:r>
        <w:rPr>
          <w:sz w:val="22"/>
        </w:rPr>
        <w:t>approved so that your ability to delegate does</w:t>
      </w:r>
      <w:r>
        <w:rPr>
          <w:spacing w:val="-4"/>
          <w:sz w:val="22"/>
        </w:rPr>
        <w:t> </w:t>
      </w:r>
      <w:r>
        <w:rPr>
          <w:sz w:val="22"/>
        </w:rPr>
        <w:t>not </w:t>
      </w:r>
      <w:r>
        <w:rPr>
          <w:spacing w:val="-2"/>
          <w:sz w:val="22"/>
        </w:rPr>
        <w:t>lapse.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2" w:lineRule="auto" w:before="163" w:after="0"/>
        <w:ind w:left="470" w:right="698" w:hanging="369"/>
        <w:jc w:val="left"/>
        <w:rPr>
          <w:sz w:val="22"/>
        </w:rPr>
      </w:pPr>
      <w:r>
        <w:rPr>
          <w:sz w:val="22"/>
        </w:rPr>
        <w:t>The primary or secondary school/district must have policies</w:t>
      </w:r>
      <w:r>
        <w:rPr>
          <w:spacing w:val="-3"/>
          <w:sz w:val="22"/>
        </w:rPr>
        <w:t> </w:t>
      </w:r>
      <w:r>
        <w:rPr>
          <w:sz w:val="22"/>
        </w:rPr>
        <w:t>for handling, storage, delegation, and disposal</w:t>
      </w:r>
      <w:r>
        <w:rPr>
          <w:spacing w:val="34"/>
          <w:sz w:val="22"/>
        </w:rPr>
        <w:t> </w:t>
      </w:r>
      <w:r>
        <w:rPr>
          <w:sz w:val="22"/>
        </w:rPr>
        <w:t>of prescription medications and these policies must comply with the laws of the Commonwealth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regulation 105</w:t>
      </w:r>
      <w:r>
        <w:rPr>
          <w:spacing w:val="-4"/>
          <w:sz w:val="22"/>
        </w:rPr>
        <w:t> </w:t>
      </w:r>
      <w:r>
        <w:rPr>
          <w:sz w:val="22"/>
        </w:rPr>
        <w:t>CMR</w:t>
      </w:r>
      <w:r>
        <w:rPr>
          <w:spacing w:val="-9"/>
          <w:sz w:val="22"/>
        </w:rPr>
        <w:t> </w:t>
      </w:r>
      <w:r>
        <w:rPr>
          <w:sz w:val="22"/>
        </w:rPr>
        <w:t>210.</w:t>
      </w:r>
      <w:r>
        <w:rPr>
          <w:spacing w:val="7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policies</w:t>
      </w:r>
      <w:r>
        <w:rPr>
          <w:spacing w:val="-12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requested</w:t>
      </w:r>
      <w:r>
        <w:rPr>
          <w:spacing w:val="-4"/>
          <w:sz w:val="22"/>
        </w:rPr>
        <w:t> </w:t>
      </w:r>
      <w:r>
        <w:rPr>
          <w:sz w:val="22"/>
        </w:rPr>
        <w:t>by MDPH SHU at any time.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  <w:tab w:pos="6349" w:val="left" w:leader="none"/>
        </w:tabs>
        <w:spacing w:line="242" w:lineRule="auto" w:before="140" w:after="0"/>
        <w:ind w:left="470" w:right="615" w:hanging="369"/>
        <w:jc w:val="left"/>
        <w:rPr>
          <w:sz w:val="22"/>
        </w:rPr>
      </w:pPr>
      <w:r>
        <w:rPr>
          <w:sz w:val="22"/>
        </w:rPr>
        <w:t>If a primary or secondary school district/school opts to </w:t>
      </w:r>
      <w:r>
        <w:rPr>
          <w:b/>
          <w:i/>
          <w:sz w:val="22"/>
        </w:rPr>
        <w:t>not </w:t>
      </w:r>
      <w:r>
        <w:rPr>
          <w:sz w:val="22"/>
        </w:rPr>
        <w:t>delegate prescription medications to unlicensed personnel, and only practices</w:t>
      </w:r>
      <w:r>
        <w:rPr>
          <w:spacing w:val="-5"/>
          <w:sz w:val="22"/>
        </w:rPr>
        <w:t> </w:t>
      </w:r>
      <w:r>
        <w:rPr>
          <w:sz w:val="22"/>
        </w:rPr>
        <w:t>direct administration by a licensed healthcare professional, registration with the MDPH SHU and a MCSR is not necessary.</w:t>
        <w:tab/>
        <w:t>The handling, storage, administration, and</w:t>
      </w:r>
      <w:r>
        <w:rPr>
          <w:spacing w:val="-3"/>
          <w:sz w:val="22"/>
        </w:rPr>
        <w:t> </w:t>
      </w:r>
      <w:r>
        <w:rPr>
          <w:sz w:val="22"/>
        </w:rPr>
        <w:t>disposal</w:t>
      </w:r>
      <w:r>
        <w:rPr>
          <w:spacing w:val="-1"/>
          <w:sz w:val="22"/>
        </w:rPr>
        <w:t> </w:t>
      </w:r>
      <w:r>
        <w:rPr>
          <w:sz w:val="22"/>
        </w:rPr>
        <w:t>of medications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occur under the</w:t>
      </w:r>
      <w:r>
        <w:rPr>
          <w:spacing w:val="-7"/>
          <w:sz w:val="22"/>
        </w:rPr>
        <w:t> </w:t>
      </w:r>
      <w:r>
        <w:rPr>
          <w:sz w:val="22"/>
        </w:rPr>
        <w:t>license</w:t>
      </w:r>
      <w:r>
        <w:rPr>
          <w:spacing w:val="-7"/>
          <w:sz w:val="22"/>
        </w:rPr>
        <w:t> </w:t>
      </w:r>
      <w:r>
        <w:rPr>
          <w:sz w:val="22"/>
        </w:rPr>
        <w:t>of a</w:t>
      </w:r>
      <w:r>
        <w:rPr>
          <w:spacing w:val="-7"/>
          <w:sz w:val="22"/>
        </w:rPr>
        <w:t> </w:t>
      </w:r>
      <w:r>
        <w:rPr>
          <w:sz w:val="22"/>
        </w:rPr>
        <w:t>healthcare</w:t>
      </w:r>
      <w:r>
        <w:rPr>
          <w:spacing w:val="-7"/>
          <w:sz w:val="22"/>
        </w:rPr>
        <w:t> </w:t>
      </w:r>
      <w:r>
        <w:rPr>
          <w:sz w:val="22"/>
        </w:rPr>
        <w:t>professional.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  <w:tab w:pos="823" w:val="left" w:leader="none"/>
        </w:tabs>
        <w:spacing w:line="242" w:lineRule="auto" w:before="159" w:after="0"/>
        <w:ind w:left="823" w:right="844" w:hanging="353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primary</w:t>
      </w:r>
      <w:r>
        <w:rPr>
          <w:spacing w:val="-1"/>
          <w:sz w:val="22"/>
        </w:rPr>
        <w:t> </w:t>
      </w:r>
      <w:r>
        <w:rPr>
          <w:sz w:val="22"/>
        </w:rPr>
        <w:t>or secondary school district/school who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not registered for medication</w:t>
      </w:r>
      <w:r>
        <w:rPr>
          <w:spacing w:val="-1"/>
          <w:sz w:val="22"/>
        </w:rPr>
        <w:t> </w:t>
      </w:r>
      <w:r>
        <w:rPr>
          <w:sz w:val="22"/>
        </w:rPr>
        <w:t>delegation must apply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MDPH</w:t>
      </w:r>
      <w:r>
        <w:rPr>
          <w:spacing w:val="-3"/>
          <w:sz w:val="22"/>
        </w:rPr>
        <w:t> </w:t>
      </w:r>
      <w:r>
        <w:rPr>
          <w:sz w:val="22"/>
        </w:rPr>
        <w:t>SHU</w:t>
      </w:r>
      <w:r>
        <w:rPr>
          <w:spacing w:val="-3"/>
          <w:sz w:val="22"/>
        </w:rPr>
        <w:t> </w:t>
      </w:r>
      <w:r>
        <w:rPr>
          <w:sz w:val="22"/>
        </w:rPr>
        <w:t>for registration</w:t>
      </w:r>
      <w:r>
        <w:rPr>
          <w:spacing w:val="-2"/>
          <w:sz w:val="22"/>
        </w:rPr>
        <w:t> </w:t>
      </w:r>
      <w:r>
        <w:rPr>
          <w:sz w:val="22"/>
        </w:rPr>
        <w:t>to train</w:t>
      </w:r>
      <w:r>
        <w:rPr>
          <w:spacing w:val="-2"/>
          <w:sz w:val="22"/>
        </w:rPr>
        <w:t> </w:t>
      </w:r>
      <w:r>
        <w:rPr>
          <w:sz w:val="22"/>
        </w:rPr>
        <w:t>unlicensed</w:t>
      </w:r>
      <w:r>
        <w:rPr>
          <w:spacing w:val="-2"/>
          <w:sz w:val="22"/>
        </w:rPr>
        <w:t> </w:t>
      </w:r>
      <w:r>
        <w:rPr>
          <w:sz w:val="22"/>
        </w:rPr>
        <w:t>staff to administer epinephrine.</w:t>
      </w:r>
    </w:p>
    <w:p>
      <w:pPr>
        <w:pStyle w:val="ListParagraph"/>
        <w:numPr>
          <w:ilvl w:val="1"/>
          <w:numId w:val="2"/>
        </w:numPr>
        <w:tabs>
          <w:tab w:pos="823" w:val="left" w:leader="none"/>
        </w:tabs>
        <w:spacing w:line="242" w:lineRule="auto" w:before="145" w:after="0"/>
        <w:ind w:left="823" w:right="508" w:hanging="353"/>
        <w:jc w:val="left"/>
        <w:rPr>
          <w:sz w:val="22"/>
        </w:rPr>
      </w:pPr>
      <w:r>
        <w:rPr>
          <w:sz w:val="22"/>
        </w:rPr>
        <w:t>The storage</w:t>
      </w:r>
      <w:r>
        <w:rPr>
          <w:spacing w:val="-8"/>
          <w:sz w:val="22"/>
        </w:rPr>
        <w:t> </w:t>
      </w:r>
      <w:r>
        <w:rPr>
          <w:sz w:val="22"/>
        </w:rPr>
        <w:t>of any</w:t>
      </w:r>
      <w:r>
        <w:rPr>
          <w:spacing w:val="-5"/>
          <w:sz w:val="22"/>
        </w:rPr>
        <w:t> </w:t>
      </w:r>
      <w:r>
        <w:rPr>
          <w:sz w:val="22"/>
        </w:rPr>
        <w:t>stock medication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administered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licensed</w:t>
      </w:r>
      <w:r>
        <w:rPr>
          <w:spacing w:val="-5"/>
          <w:sz w:val="22"/>
        </w:rPr>
        <w:t> </w:t>
      </w:r>
      <w:r>
        <w:rPr>
          <w:sz w:val="22"/>
        </w:rPr>
        <w:t>healthcare</w:t>
      </w:r>
      <w:r>
        <w:rPr>
          <w:spacing w:val="-8"/>
          <w:sz w:val="22"/>
        </w:rPr>
        <w:t> </w:t>
      </w: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does require a MCSR through the MDPH SHU.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header="0" w:footer="1385" w:top="1360" w:bottom="1580" w:left="1340" w:right="940"/>
        </w:sectPr>
      </w:pPr>
    </w:p>
    <w:p>
      <w:pPr>
        <w:pStyle w:val="Heading1"/>
        <w:ind w:left="998" w:right="678"/>
        <w:jc w:val="center"/>
        <w:rPr>
          <w:u w:val="none"/>
        </w:rPr>
      </w:pPr>
      <w:r>
        <w:rPr>
          <w:spacing w:val="-4"/>
          <w:u w:val="single"/>
        </w:rPr>
        <w:t>OPTIONAL</w:t>
      </w:r>
      <w:r>
        <w:rPr>
          <w:spacing w:val="-16"/>
          <w:u w:val="single"/>
        </w:rPr>
        <w:t> </w:t>
      </w:r>
      <w:r>
        <w:rPr>
          <w:spacing w:val="-4"/>
          <w:u w:val="single"/>
        </w:rPr>
        <w:t>Back-Up</w:t>
      </w:r>
      <w:r>
        <w:rPr>
          <w:spacing w:val="-16"/>
          <w:u w:val="single"/>
        </w:rPr>
        <w:t> </w:t>
      </w:r>
      <w:r>
        <w:rPr>
          <w:spacing w:val="-4"/>
          <w:u w:val="single"/>
        </w:rPr>
        <w:t>Medication</w:t>
      </w:r>
      <w:r>
        <w:rPr>
          <w:spacing w:val="-15"/>
          <w:u w:val="single"/>
        </w:rPr>
        <w:t> </w:t>
      </w:r>
      <w:r>
        <w:rPr>
          <w:spacing w:val="-4"/>
          <w:u w:val="single"/>
        </w:rPr>
        <w:t>Manager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(RN)</w:t>
      </w: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before="95"/>
        <w:ind w:left="101" w:right="477"/>
      </w:pPr>
      <w:r>
        <w:rPr/>
        <w:t>School districts/schools</w:t>
      </w:r>
      <w:r>
        <w:rPr>
          <w:spacing w:val="-1"/>
        </w:rPr>
        <w:t> </w:t>
      </w:r>
      <w:r>
        <w:rPr/>
        <w:t>have an option to submit a back-up Medication Manager (RN) with their medication delegation registration application.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event the</w:t>
      </w:r>
      <w:r>
        <w:rPr>
          <w:spacing w:val="-5"/>
        </w:rPr>
        <w:t> </w:t>
      </w:r>
      <w:r>
        <w:rPr/>
        <w:t>primary Medication</w:t>
      </w:r>
      <w:r>
        <w:rPr>
          <w:spacing w:val="-2"/>
        </w:rPr>
        <w:t> </w:t>
      </w:r>
      <w:r>
        <w:rPr/>
        <w:t>Manager (RN) leaves their position, or steps down from this registration, the back-up Medication Manager (RN) on this application can immediately fill in as the primary</w:t>
      </w:r>
      <w:r>
        <w:rPr>
          <w:spacing w:val="24"/>
        </w:rPr>
        <w:t> </w:t>
      </w:r>
      <w:r>
        <w:rPr/>
        <w:t>Medication Manager</w:t>
      </w:r>
      <w:r>
        <w:rPr>
          <w:spacing w:val="19"/>
        </w:rPr>
        <w:t> </w:t>
      </w:r>
      <w:r>
        <w:rPr/>
        <w:t>(RN),</w:t>
      </w:r>
      <w:r>
        <w:rPr>
          <w:spacing w:val="21"/>
        </w:rPr>
        <w:t> </w:t>
      </w:r>
      <w:r>
        <w:rPr/>
        <w:t>without lapse of registration. In the event there is no back-up Medication Manager (RN), or the back-up Medication Manager (RN) does not confirm their intention to become the primary Medication Manager (RN) within seven business days, the school district/school’s</w:t>
      </w:r>
      <w:r>
        <w:rPr>
          <w:spacing w:val="-3"/>
        </w:rPr>
        <w:t> </w:t>
      </w:r>
      <w:r>
        <w:rPr/>
        <w:t>registration will be null and void and the school district/school cannot delegate medication to unlicensed school staff.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70" w:val="left" w:leader="none"/>
          <w:tab w:pos="471" w:val="left" w:leader="none"/>
        </w:tabs>
        <w:spacing w:line="237" w:lineRule="auto" w:before="0" w:after="0"/>
        <w:ind w:left="470" w:right="537" w:hanging="369"/>
        <w:jc w:val="left"/>
        <w:rPr>
          <w:sz w:val="22"/>
        </w:rPr>
      </w:pPr>
      <w:r>
        <w:rPr>
          <w:sz w:val="22"/>
        </w:rPr>
        <w:t>The optional back-up</w:t>
      </w:r>
      <w:r>
        <w:rPr>
          <w:spacing w:val="-1"/>
          <w:sz w:val="22"/>
        </w:rPr>
        <w:t> </w:t>
      </w:r>
      <w:r>
        <w:rPr>
          <w:sz w:val="22"/>
        </w:rPr>
        <w:t>Medication</w:t>
      </w:r>
      <w:r>
        <w:rPr>
          <w:spacing w:val="-2"/>
          <w:sz w:val="22"/>
        </w:rPr>
        <w:t> </w:t>
      </w:r>
      <w:r>
        <w:rPr>
          <w:sz w:val="22"/>
        </w:rPr>
        <w:t>Manager (RN) must complete</w:t>
      </w:r>
      <w:r>
        <w:rPr>
          <w:spacing w:val="-6"/>
          <w:sz w:val="22"/>
        </w:rPr>
        <w:t> </w:t>
      </w:r>
      <w:r>
        <w:rPr>
          <w:sz w:val="22"/>
        </w:rPr>
        <w:t>both </w:t>
      </w:r>
      <w:r>
        <w:rPr>
          <w:i/>
          <w:sz w:val="22"/>
          <w:u w:val="single"/>
        </w:rPr>
        <w:t>Medication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Administration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in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a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School Setting: School Nurse Practice in Massachusetts </w:t>
      </w:r>
      <w:r>
        <w:rPr>
          <w:sz w:val="22"/>
        </w:rPr>
        <w:t>and </w:t>
      </w:r>
      <w:r>
        <w:rPr>
          <w:i/>
          <w:sz w:val="22"/>
          <w:u w:val="single"/>
        </w:rPr>
        <w:t>Medication Administration in Schools: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What School Nurse Managers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Need to Know</w:t>
      </w:r>
      <w:r>
        <w:rPr>
          <w:i/>
          <w:sz w:val="22"/>
        </w:rPr>
        <w:t> </w:t>
      </w:r>
      <w:r>
        <w:rPr>
          <w:sz w:val="22"/>
        </w:rPr>
        <w:t>and submit the certificates</w:t>
      </w:r>
      <w:r>
        <w:rPr>
          <w:spacing w:val="-4"/>
          <w:sz w:val="22"/>
        </w:rPr>
        <w:t> </w:t>
      </w:r>
      <w:r>
        <w:rPr>
          <w:sz w:val="22"/>
        </w:rPr>
        <w:t>with the application.</w:t>
      </w:r>
      <w:r>
        <w:rPr>
          <w:spacing w:val="80"/>
          <w:sz w:val="22"/>
        </w:rPr>
        <w:t> </w:t>
      </w:r>
      <w:r>
        <w:rPr>
          <w:sz w:val="22"/>
        </w:rPr>
        <w:t>Both classes</w:t>
      </w:r>
      <w:r>
        <w:rPr>
          <w:spacing w:val="40"/>
          <w:sz w:val="22"/>
        </w:rPr>
        <w:t> </w:t>
      </w:r>
      <w:r>
        <w:rPr>
          <w:sz w:val="22"/>
        </w:rPr>
        <w:t>need to be taken every three years.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70" w:val="left" w:leader="none"/>
          <w:tab w:pos="471" w:val="left" w:leader="none"/>
        </w:tabs>
        <w:spacing w:line="242" w:lineRule="auto" w:before="0" w:after="0"/>
        <w:ind w:left="470" w:right="696" w:hanging="369"/>
        <w:jc w:val="left"/>
        <w:rPr>
          <w:sz w:val="22"/>
        </w:rPr>
      </w:pPr>
      <w:r>
        <w:rPr>
          <w:sz w:val="22"/>
        </w:rPr>
        <w:t>The optional</w:t>
      </w:r>
      <w:r>
        <w:rPr>
          <w:spacing w:val="-3"/>
          <w:sz w:val="22"/>
        </w:rPr>
        <w:t> </w:t>
      </w:r>
      <w:r>
        <w:rPr>
          <w:sz w:val="22"/>
        </w:rPr>
        <w:t>back-up</w:t>
      </w:r>
      <w:r>
        <w:rPr>
          <w:spacing w:val="-4"/>
          <w:sz w:val="22"/>
        </w:rPr>
        <w:t> </w:t>
      </w:r>
      <w:r>
        <w:rPr>
          <w:sz w:val="22"/>
        </w:rPr>
        <w:t>Medication</w:t>
      </w:r>
      <w:r>
        <w:rPr>
          <w:spacing w:val="-3"/>
          <w:sz w:val="22"/>
        </w:rPr>
        <w:t> </w:t>
      </w:r>
      <w:r>
        <w:rPr>
          <w:sz w:val="22"/>
        </w:rPr>
        <w:t>Manager (RN) 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Registered</w:t>
      </w:r>
      <w:r>
        <w:rPr>
          <w:spacing w:val="-3"/>
          <w:sz w:val="22"/>
        </w:rPr>
        <w:t> </w:t>
      </w:r>
      <w:r>
        <w:rPr>
          <w:sz w:val="22"/>
        </w:rPr>
        <w:t>Nurse 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Commonwealth of Massachusetts.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70" w:val="left" w:leader="none"/>
          <w:tab w:pos="471" w:val="left" w:leader="none"/>
        </w:tabs>
        <w:spacing w:line="228" w:lineRule="auto" w:before="0" w:after="0"/>
        <w:ind w:left="470" w:right="964" w:hanging="369"/>
        <w:jc w:val="left"/>
        <w:rPr>
          <w:sz w:val="22"/>
        </w:rPr>
      </w:pP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the primary</w:t>
      </w:r>
      <w:r>
        <w:rPr>
          <w:spacing w:val="-1"/>
          <w:sz w:val="22"/>
        </w:rPr>
        <w:t> </w:t>
      </w:r>
      <w:r>
        <w:rPr>
          <w:sz w:val="22"/>
        </w:rPr>
        <w:t>Medication</w:t>
      </w:r>
      <w:r>
        <w:rPr>
          <w:spacing w:val="-1"/>
          <w:sz w:val="22"/>
        </w:rPr>
        <w:t> </w:t>
      </w:r>
      <w:r>
        <w:rPr>
          <w:sz w:val="22"/>
        </w:rPr>
        <w:t>Manager (RN) leaves</w:t>
      </w:r>
      <w:r>
        <w:rPr>
          <w:spacing w:val="-11"/>
          <w:sz w:val="22"/>
        </w:rPr>
        <w:t> </w:t>
      </w:r>
      <w:r>
        <w:rPr>
          <w:sz w:val="22"/>
        </w:rPr>
        <w:t>their position, they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inform</w:t>
      </w:r>
      <w:r>
        <w:rPr>
          <w:spacing w:val="-1"/>
          <w:sz w:val="22"/>
        </w:rPr>
        <w:t> </w:t>
      </w:r>
      <w:r>
        <w:rPr>
          <w:sz w:val="22"/>
        </w:rPr>
        <w:t>the MDPH School Health Unit via email at </w:t>
      </w:r>
      <w:hyperlink r:id="rId12">
        <w:r>
          <w:rPr>
            <w:color w:val="0000FF"/>
            <w:sz w:val="22"/>
            <w:u w:val="single" w:color="0000FF"/>
          </w:rPr>
          <w:t>medication.delegation@mass.gov</w:t>
        </w:r>
      </w:hyperlink>
      <w:r>
        <w:rPr>
          <w:sz w:val="22"/>
        </w:rPr>
        <w:t>.</w:t>
      </w:r>
    </w:p>
    <w:sectPr>
      <w:pgSz w:w="12240" w:h="15840"/>
      <w:pgMar w:header="0" w:footer="1385" w:top="1360" w:bottom="1580" w:left="13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100006pt;margin-top:712.726013pt;width:468.6pt;height:5.6pt;mso-position-horizontal-relative:page;mso-position-vertical-relative:page;z-index:-15778816" id="docshape1" coordorigin="1442,14255" coordsize="9372,112" path="m10814,14255l7033,14255,1442,14255,1442,14367,7033,14367,10814,14367,10814,14255xe" filled="true" fillcolor="#4471c4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099998pt;margin-top:726.349976pt;width:226.25pt;height:12.4pt;mso-position-horizontal-relative:page;mso-position-vertical-relative:page;z-index:-15778304" type="#_x0000_t202" id="docshape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Calibri Light"/>
                    <w:b w:val="0"/>
                    <w:sz w:val="21"/>
                  </w:rPr>
                </w:pPr>
                <w:r>
                  <w:rPr>
                    <w:rFonts w:ascii="Calibri Light"/>
                    <w:b w:val="0"/>
                    <w:spacing w:val="-2"/>
                    <w:sz w:val="21"/>
                  </w:rPr>
                  <w:t>SHU</w:t>
                </w:r>
                <w:r>
                  <w:rPr>
                    <w:rFonts w:ascii="Calibri Light"/>
                    <w:b w:val="0"/>
                    <w:spacing w:val="-17"/>
                    <w:sz w:val="21"/>
                  </w:rPr>
                  <w:t> </w:t>
                </w:r>
                <w:r>
                  <w:rPr>
                    <w:rFonts w:ascii="Calibri Light"/>
                    <w:b w:val="0"/>
                    <w:spacing w:val="-2"/>
                    <w:sz w:val="21"/>
                  </w:rPr>
                  <w:t>School</w:t>
                </w:r>
                <w:r>
                  <w:rPr>
                    <w:rFonts w:ascii="Calibri Light"/>
                    <w:b w:val="0"/>
                    <w:spacing w:val="-9"/>
                    <w:sz w:val="21"/>
                  </w:rPr>
                  <w:t> </w:t>
                </w:r>
                <w:r>
                  <w:rPr>
                    <w:rFonts w:ascii="Calibri Light"/>
                    <w:b w:val="0"/>
                    <w:spacing w:val="-2"/>
                    <w:sz w:val="21"/>
                  </w:rPr>
                  <w:t>Medication</w:t>
                </w:r>
                <w:r>
                  <w:rPr>
                    <w:rFonts w:ascii="Calibri Light"/>
                    <w:b w:val="0"/>
                    <w:spacing w:val="-20"/>
                    <w:sz w:val="21"/>
                  </w:rPr>
                  <w:t> </w:t>
                </w:r>
                <w:r>
                  <w:rPr>
                    <w:rFonts w:ascii="Calibri Light"/>
                    <w:b w:val="0"/>
                    <w:spacing w:val="-2"/>
                    <w:sz w:val="21"/>
                  </w:rPr>
                  <w:t>Registration</w:t>
                </w:r>
                <w:r>
                  <w:rPr>
                    <w:rFonts w:ascii="Calibri Light"/>
                    <w:b w:val="0"/>
                    <w:spacing w:val="-23"/>
                    <w:sz w:val="21"/>
                  </w:rPr>
                  <w:t> </w:t>
                </w:r>
                <w:r>
                  <w:rPr>
                    <w:rFonts w:ascii="Calibri Light"/>
                    <w:b w:val="0"/>
                    <w:spacing w:val="-2"/>
                    <w:sz w:val="21"/>
                  </w:rPr>
                  <w:t>Guidance</w:t>
                </w:r>
                <w:r>
                  <w:rPr>
                    <w:rFonts w:ascii="Calibri Light"/>
                    <w:b w:val="0"/>
                    <w:spacing w:val="-19"/>
                    <w:sz w:val="21"/>
                  </w:rPr>
                  <w:t> </w:t>
                </w:r>
                <w:r>
                  <w:rPr>
                    <w:rFonts w:ascii="Calibri Light"/>
                    <w:b w:val="0"/>
                    <w:spacing w:val="-2"/>
                    <w:sz w:val="21"/>
                  </w:rPr>
                  <w:t>(3/2023)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280029pt;margin-top:726.308228pt;width:11.4pt;height:11.75pt;mso-position-horizontal-relative:page;mso-position-vertical-relative:page;z-index:-15777792" type="#_x0000_t202" id="docshape3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sz w:val="17"/>
                  </w:rPr>
                </w:pPr>
                <w:r>
                  <w:rPr>
                    <w:color w:val="808080"/>
                    <w:w w:val="103"/>
                    <w:sz w:val="17"/>
                  </w:rPr>
                  <w:fldChar w:fldCharType="begin"/>
                </w:r>
                <w:r>
                  <w:rPr>
                    <w:color w:val="808080"/>
                    <w:w w:val="103"/>
                    <w:sz w:val="17"/>
                  </w:rPr>
                  <w:instrText> PAGE </w:instrText>
                </w:r>
                <w:r>
                  <w:rPr>
                    <w:color w:val="808080"/>
                    <w:w w:val="103"/>
                    <w:sz w:val="17"/>
                  </w:rPr>
                  <w:fldChar w:fldCharType="separate"/>
                </w:r>
                <w:r>
                  <w:rPr>
                    <w:color w:val="808080"/>
                    <w:w w:val="103"/>
                    <w:sz w:val="17"/>
                  </w:rPr>
                  <w:t>1</w:t>
                </w:r>
                <w:r>
                  <w:rPr>
                    <w:color w:val="808080"/>
                    <w:w w:val="103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646" w:hanging="353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6" w:hanging="35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70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4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70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1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2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3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53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438"/>
      <w:jc w:val="both"/>
      <w:outlineLvl w:val="1"/>
    </w:pPr>
    <w:rPr>
      <w:rFonts w:ascii="Times New Roman" w:hAnsi="Times New Roman" w:eastAsia="Times New Roman" w:cs="Times New Roman"/>
      <w:b/>
      <w:bCs/>
      <w:sz w:val="29"/>
      <w:szCs w:val="29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283" w:right="678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0" w:right="183" w:hanging="36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malegislature.gov/Laws/GeneralLaws/PartI/TitleXV/Chapter94C/Section7" TargetMode="External"/><Relationship Id="rId7" Type="http://schemas.openxmlformats.org/officeDocument/2006/relationships/hyperlink" Target="https://www.mass.gov/regulations/105-CMR-21000-the-administration-of-prescription-medications-in-public-and-private-schools" TargetMode="External"/><Relationship Id="rId8" Type="http://schemas.openxmlformats.org/officeDocument/2006/relationships/hyperlink" Target="https://cme.bu.edu/shield.bu.edu/content/fy23-med-admin-school-setting-MA#group-tabs-node-course-default1" TargetMode="External"/><Relationship Id="rId9" Type="http://schemas.openxmlformats.org/officeDocument/2006/relationships/hyperlink" Target="https://cme.bu.edu/shield.bu.edu/content/fy23-medication-admin-school-nurse-managers#group-tabs-node-course-default2" TargetMode="External"/><Relationship Id="rId10" Type="http://schemas.openxmlformats.org/officeDocument/2006/relationships/hyperlink" Target="https://healthprofessionlicensing.mass.gov/" TargetMode="External"/><Relationship Id="rId11" Type="http://schemas.openxmlformats.org/officeDocument/2006/relationships/hyperlink" Target="mailto:elicensing.helpdesk@mass.gov" TargetMode="External"/><Relationship Id="rId12" Type="http://schemas.openxmlformats.org/officeDocument/2006/relationships/hyperlink" Target="mailto:medication.delegation@mass.gov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Pettengill, Caitlin (DP</dc:creator>
  <dcterms:created xsi:type="dcterms:W3CDTF">2023-03-14T18:12:05Z</dcterms:created>
  <dcterms:modified xsi:type="dcterms:W3CDTF">2023-03-14T18:12:05Z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for Microsoft 365</vt:lpwstr>
  </property>
</Properties>
</file>