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42"/>
        <w:ind w:left="3168" w:right="38" w:hanging="3"/>
        <w:jc w:val="center"/>
      </w:pPr>
      <w:r>
        <w:rPr/>
        <w:drawing>
          <wp:anchor distT="0" distB="0" distL="0" distR="0" allowOverlap="1" layoutInCell="1" locked="0" behindDoc="0" simplePos="0" relativeHeight="1048">
            <wp:simplePos x="0" y="0"/>
            <wp:positionH relativeFrom="page">
              <wp:posOffset>612851</wp:posOffset>
            </wp:positionH>
            <wp:positionV relativeFrom="paragraph">
              <wp:posOffset>-3324</wp:posOffset>
            </wp:positionV>
            <wp:extent cx="895678" cy="1068956"/>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895678" cy="1068956"/>
                    </a:xfrm>
                    <a:prstGeom prst="rect">
                      <a:avLst/>
                    </a:prstGeom>
                  </pic:spPr>
                </pic:pic>
              </a:graphicData>
            </a:graphic>
          </wp:anchor>
        </w:drawing>
      </w:r>
      <w:r>
        <w:rPr/>
        <w:t>The Commonwealth of Massachusetts Executive Office of Health and Human </w:t>
      </w:r>
      <w:r>
        <w:rPr>
          <w:spacing w:val="-3"/>
        </w:rPr>
        <w:t>Services </w:t>
      </w:r>
      <w:r>
        <w:rPr/>
        <w:t>Department of Public</w:t>
      </w:r>
      <w:r>
        <w:rPr>
          <w:spacing w:val="-2"/>
        </w:rPr>
        <w:t> </w:t>
      </w:r>
      <w:r>
        <w:rPr/>
        <w:t>Health</w:t>
      </w:r>
    </w:p>
    <w:p>
      <w:pPr>
        <w:pStyle w:val="BodyText"/>
        <w:spacing w:before="1"/>
        <w:ind w:left="3449" w:right="318" w:firstLine="2"/>
        <w:jc w:val="center"/>
      </w:pPr>
      <w:r>
        <w:rPr/>
        <w:t>Bureau of Health Care Safety and Quality 67 Forest Street, Marlborough, MA 01752</w:t>
      </w:r>
    </w:p>
    <w:p>
      <w:pPr>
        <w:pStyle w:val="BodyText"/>
        <w:rPr>
          <w:sz w:val="18"/>
        </w:rPr>
      </w:pPr>
      <w:r>
        <w:rPr/>
        <w:br w:type="column"/>
      </w:r>
      <w:r>
        <w:rPr>
          <w:sz w:val="18"/>
        </w:rPr>
      </w:r>
    </w:p>
    <w:p>
      <w:pPr>
        <w:pStyle w:val="BodyText"/>
        <w:spacing w:before="1"/>
        <w:rPr>
          <w:sz w:val="20"/>
        </w:rPr>
      </w:pPr>
    </w:p>
    <w:p>
      <w:pPr>
        <w:spacing w:before="0"/>
        <w:ind w:left="81" w:right="97" w:firstLine="0"/>
        <w:jc w:val="center"/>
        <w:rPr>
          <w:rFonts w:ascii="Arial Rounded MT Bold"/>
          <w:sz w:val="16"/>
        </w:rPr>
      </w:pPr>
      <w:r>
        <w:rPr>
          <w:rFonts w:ascii="Arial Rounded MT Bold"/>
          <w:sz w:val="16"/>
        </w:rPr>
        <w:t>MARYLOU SUDDERS</w:t>
      </w:r>
    </w:p>
    <w:p>
      <w:pPr>
        <w:spacing w:line="161" w:lineRule="exact" w:before="0"/>
        <w:ind w:left="82" w:right="97" w:firstLine="0"/>
        <w:jc w:val="center"/>
        <w:rPr>
          <w:rFonts w:ascii="Arial Rounded MT Bold"/>
          <w:sz w:val="14"/>
        </w:rPr>
      </w:pPr>
      <w:r>
        <w:rPr>
          <w:rFonts w:ascii="Arial Rounded MT Bold"/>
          <w:sz w:val="14"/>
        </w:rPr>
        <w:t>Secretary</w:t>
      </w:r>
    </w:p>
    <w:p>
      <w:pPr>
        <w:spacing w:line="185" w:lineRule="exact" w:before="122"/>
        <w:ind w:left="88" w:right="97" w:firstLine="0"/>
        <w:jc w:val="center"/>
        <w:rPr>
          <w:rFonts w:ascii="Arial Rounded MT Bold"/>
          <w:sz w:val="16"/>
        </w:rPr>
      </w:pPr>
      <w:r>
        <w:rPr>
          <w:rFonts w:ascii="Arial Rounded MT Bold"/>
          <w:sz w:val="16"/>
        </w:rPr>
        <w:t>MONICA BHAREL</w:t>
      </w:r>
    </w:p>
    <w:p>
      <w:pPr>
        <w:spacing w:line="162" w:lineRule="exact" w:before="0"/>
        <w:ind w:left="82" w:right="97" w:firstLine="0"/>
        <w:jc w:val="center"/>
        <w:rPr>
          <w:rFonts w:ascii="Arial Rounded MT Bold"/>
          <w:sz w:val="14"/>
        </w:rPr>
      </w:pPr>
      <w:r>
        <w:rPr>
          <w:rFonts w:ascii="Arial Rounded MT Bold"/>
          <w:sz w:val="14"/>
        </w:rPr>
        <w:t>Commissioner</w:t>
      </w:r>
    </w:p>
    <w:p>
      <w:pPr>
        <w:pStyle w:val="BodyText"/>
        <w:rPr>
          <w:rFonts w:ascii="Arial Rounded MT Bold"/>
          <w:sz w:val="19"/>
        </w:rPr>
      </w:pPr>
    </w:p>
    <w:p>
      <w:pPr>
        <w:spacing w:before="1"/>
        <w:ind w:left="82" w:right="97" w:firstLine="0"/>
        <w:jc w:val="center"/>
        <w:rPr>
          <w:rFonts w:ascii="Arial"/>
          <w:b/>
          <w:sz w:val="14"/>
        </w:rPr>
      </w:pPr>
      <w:r>
        <w:rPr>
          <w:rFonts w:ascii="Arial"/>
          <w:b/>
          <w:sz w:val="14"/>
        </w:rPr>
        <w:t>Tel: 617-624-6000</w:t>
      </w:r>
    </w:p>
    <w:p>
      <w:pPr>
        <w:spacing w:after="0"/>
        <w:jc w:val="center"/>
        <w:rPr>
          <w:rFonts w:ascii="Arial"/>
          <w:sz w:val="14"/>
        </w:rPr>
        <w:sectPr>
          <w:footerReference w:type="default" r:id="rId5"/>
          <w:type w:val="continuous"/>
          <w:pgSz w:w="12240" w:h="15840"/>
          <w:pgMar w:footer="990" w:top="560" w:bottom="1180" w:left="860" w:right="1380"/>
          <w:pgNumType w:start="1"/>
          <w:cols w:num="2" w:equalWidth="0">
            <w:col w:w="7841" w:space="558"/>
            <w:col w:w="1601"/>
          </w:cols>
        </w:sectPr>
      </w:pPr>
    </w:p>
    <w:p>
      <w:pPr>
        <w:pStyle w:val="BodyText"/>
        <w:spacing w:before="4"/>
        <w:rPr>
          <w:rFonts w:ascii="Arial"/>
          <w:b/>
          <w:sz w:val="16"/>
        </w:rPr>
      </w:pPr>
    </w:p>
    <w:p>
      <w:pPr>
        <w:spacing w:line="185" w:lineRule="exact" w:before="0"/>
        <w:ind w:left="843" w:right="7517" w:firstLine="0"/>
        <w:jc w:val="center"/>
        <w:rPr>
          <w:rFonts w:ascii="Arial Rounded MT Bold"/>
          <w:sz w:val="16"/>
        </w:rPr>
      </w:pPr>
      <w:r>
        <w:rPr>
          <w:rFonts w:ascii="Arial Rounded MT Bold"/>
          <w:sz w:val="16"/>
        </w:rPr>
        <w:t>CHARLES D. BAKER</w:t>
      </w:r>
    </w:p>
    <w:p>
      <w:pPr>
        <w:spacing w:line="162" w:lineRule="exact" w:before="0"/>
        <w:ind w:left="836" w:right="7517" w:firstLine="0"/>
        <w:jc w:val="center"/>
        <w:rPr>
          <w:rFonts w:ascii="Arial Rounded MT Bold"/>
          <w:sz w:val="14"/>
        </w:rPr>
      </w:pPr>
      <w:r>
        <w:rPr>
          <w:rFonts w:ascii="Arial Rounded MT Bold"/>
          <w:sz w:val="14"/>
        </w:rPr>
        <w:t>Governor</w:t>
      </w:r>
    </w:p>
    <w:p>
      <w:pPr>
        <w:spacing w:line="184" w:lineRule="exact" w:before="119"/>
        <w:ind w:left="840" w:right="7517" w:firstLine="0"/>
        <w:jc w:val="center"/>
        <w:rPr>
          <w:rFonts w:ascii="Arial Rounded MT Bold"/>
          <w:sz w:val="16"/>
        </w:rPr>
      </w:pPr>
      <w:r>
        <w:rPr>
          <w:rFonts w:ascii="Arial Rounded MT Bold"/>
          <w:sz w:val="16"/>
        </w:rPr>
        <w:t>KARYN E.</w:t>
      </w:r>
      <w:r>
        <w:rPr>
          <w:rFonts w:ascii="Arial Rounded MT Bold"/>
          <w:spacing w:val="-5"/>
          <w:sz w:val="16"/>
        </w:rPr>
        <w:t> </w:t>
      </w:r>
      <w:r>
        <w:rPr>
          <w:rFonts w:ascii="Arial Rounded MT Bold"/>
          <w:sz w:val="16"/>
        </w:rPr>
        <w:t>POLITO</w:t>
      </w:r>
    </w:p>
    <w:p>
      <w:pPr>
        <w:spacing w:line="160" w:lineRule="exact" w:before="0"/>
        <w:ind w:left="838" w:right="7517" w:firstLine="0"/>
        <w:jc w:val="center"/>
        <w:rPr>
          <w:rFonts w:ascii="Arial Rounded MT Bold"/>
          <w:sz w:val="14"/>
        </w:rPr>
      </w:pPr>
      <w:r>
        <w:rPr>
          <w:rFonts w:ascii="Arial Rounded MT Bold"/>
          <w:sz w:val="14"/>
        </w:rPr>
        <w:t>Lieutenant</w:t>
      </w:r>
      <w:r>
        <w:rPr>
          <w:rFonts w:ascii="Arial Rounded MT Bold"/>
          <w:spacing w:val="-8"/>
          <w:sz w:val="14"/>
        </w:rPr>
        <w:t> </w:t>
      </w:r>
      <w:r>
        <w:rPr>
          <w:rFonts w:ascii="Arial Rounded MT Bold"/>
          <w:sz w:val="14"/>
        </w:rPr>
        <w:t>Governor</w:t>
      </w:r>
    </w:p>
    <w:p>
      <w:pPr>
        <w:pStyle w:val="BodyText"/>
        <w:spacing w:before="10"/>
        <w:rPr>
          <w:rFonts w:ascii="Arial Rounded MT Bold"/>
          <w:sz w:val="23"/>
        </w:rPr>
      </w:pPr>
    </w:p>
    <w:p>
      <w:pPr>
        <w:pStyle w:val="Heading1"/>
        <w:spacing w:before="90"/>
        <w:ind w:left="3059" w:right="2539" w:firstLine="1253"/>
      </w:pPr>
      <w:r>
        <w:rPr/>
        <w:t>MEMORANDUM CLINICAL LABORIATORY </w:t>
      </w:r>
      <w:r>
        <w:rPr>
          <w:spacing w:val="-3"/>
        </w:rPr>
        <w:t>PROGRAM</w:t>
      </w:r>
    </w:p>
    <w:p>
      <w:pPr>
        <w:spacing w:before="0"/>
        <w:ind w:left="3533" w:right="0" w:firstLine="0"/>
        <w:jc w:val="left"/>
        <w:rPr>
          <w:b/>
          <w:sz w:val="24"/>
        </w:rPr>
      </w:pPr>
      <w:r>
        <w:rPr>
          <w:b/>
          <w:sz w:val="24"/>
        </w:rPr>
        <w:t>NOTIFICATION OF CHANGES</w:t>
      </w:r>
    </w:p>
    <w:p>
      <w:pPr>
        <w:pStyle w:val="BodyText"/>
        <w:spacing w:before="6"/>
        <w:rPr>
          <w:b/>
          <w:sz w:val="23"/>
        </w:rPr>
      </w:pPr>
    </w:p>
    <w:p>
      <w:pPr>
        <w:pStyle w:val="BodyText"/>
        <w:tabs>
          <w:tab w:pos="2020" w:val="left" w:leader="none"/>
        </w:tabs>
        <w:spacing w:before="1"/>
        <w:ind w:left="580"/>
      </w:pPr>
      <w:r>
        <w:rPr>
          <w:b/>
        </w:rPr>
        <w:t>TO:</w:t>
        <w:tab/>
      </w:r>
      <w:r>
        <w:rPr/>
        <w:t>Clinical</w:t>
      </w:r>
      <w:r>
        <w:rPr>
          <w:spacing w:val="1"/>
        </w:rPr>
        <w:t> </w:t>
      </w:r>
      <w:r>
        <w:rPr/>
        <w:t>Laboratories</w:t>
      </w:r>
    </w:p>
    <w:p>
      <w:pPr>
        <w:pStyle w:val="BodyText"/>
      </w:pPr>
    </w:p>
    <w:p>
      <w:pPr>
        <w:pStyle w:val="BodyText"/>
        <w:tabs>
          <w:tab w:pos="2020" w:val="left" w:leader="none"/>
        </w:tabs>
        <w:ind w:left="580"/>
      </w:pPr>
      <w:r>
        <w:rPr>
          <w:b/>
        </w:rPr>
        <w:t>FROM:</w:t>
        <w:tab/>
      </w:r>
      <w:r>
        <w:rPr/>
        <w:t>Clinical Laboratory Program, Bureau of Health Care Safety and</w:t>
      </w:r>
      <w:r>
        <w:rPr>
          <w:spacing w:val="-9"/>
        </w:rPr>
        <w:t> </w:t>
      </w:r>
      <w:r>
        <w:rPr/>
        <w:t>Quality</w:t>
      </w:r>
    </w:p>
    <w:p>
      <w:pPr>
        <w:pStyle w:val="BodyText"/>
      </w:pPr>
    </w:p>
    <w:p>
      <w:pPr>
        <w:tabs>
          <w:tab w:pos="2020" w:val="left" w:leader="none"/>
        </w:tabs>
        <w:spacing w:before="0"/>
        <w:ind w:left="580" w:right="0" w:firstLine="0"/>
        <w:jc w:val="left"/>
        <w:rPr>
          <w:sz w:val="24"/>
        </w:rPr>
      </w:pPr>
      <w:r>
        <w:rPr>
          <w:b/>
          <w:sz w:val="24"/>
        </w:rPr>
        <w:t>DATE:</w:t>
        <w:tab/>
      </w:r>
      <w:r>
        <w:rPr>
          <w:sz w:val="24"/>
        </w:rPr>
        <w:t>April 7,</w:t>
      </w:r>
      <w:r>
        <w:rPr>
          <w:spacing w:val="-1"/>
          <w:sz w:val="24"/>
        </w:rPr>
        <w:t> </w:t>
      </w:r>
      <w:r>
        <w:rPr>
          <w:sz w:val="24"/>
        </w:rPr>
        <w:t>2020</w:t>
      </w:r>
    </w:p>
    <w:p>
      <w:pPr>
        <w:pStyle w:val="BodyText"/>
      </w:pPr>
    </w:p>
    <w:p>
      <w:pPr>
        <w:pStyle w:val="BodyText"/>
        <w:tabs>
          <w:tab w:pos="2020" w:val="left" w:leader="none"/>
        </w:tabs>
        <w:ind w:left="2020" w:right="324" w:hanging="1440"/>
      </w:pPr>
      <w:r>
        <w:rPr>
          <w:b/>
        </w:rPr>
        <w:t>RE:</w:t>
        <w:tab/>
      </w:r>
      <w:r>
        <w:rPr/>
        <w:t>Massachusetts Clinical Laboratory Program – Changes to Exempt Test List and Definition of</w:t>
      </w:r>
      <w:r>
        <w:rPr>
          <w:spacing w:val="-2"/>
        </w:rPr>
        <w:t> </w:t>
      </w:r>
      <w:r>
        <w:rPr/>
        <w:t>Physician</w:t>
      </w:r>
    </w:p>
    <w:p>
      <w:pPr>
        <w:pStyle w:val="BodyText"/>
        <w:spacing w:before="11"/>
        <w:rPr>
          <w:sz w:val="22"/>
        </w:rPr>
      </w:pPr>
      <w:r>
        <w:rPr/>
        <w:pict>
          <v:line style="position:absolute;mso-position-horizontal-relative:page;mso-position-vertical-relative:paragraph;z-index:-1024;mso-wrap-distance-left:0;mso-wrap-distance-right:0" from="70.584pt,15.553086pt" to="541.534pt,15.553086pt" stroked="true" strokeweight=".72pt" strokecolor="#000000">
            <v:stroke dashstyle="solid"/>
            <w10:wrap type="topAndBottom"/>
          </v:line>
        </w:pict>
      </w:r>
    </w:p>
    <w:p>
      <w:pPr>
        <w:pStyle w:val="BodyText"/>
        <w:rPr>
          <w:sz w:val="20"/>
        </w:rPr>
      </w:pPr>
    </w:p>
    <w:p>
      <w:pPr>
        <w:pStyle w:val="BodyText"/>
        <w:spacing w:before="11"/>
        <w:rPr>
          <w:sz w:val="21"/>
        </w:rPr>
      </w:pPr>
    </w:p>
    <w:p>
      <w:pPr>
        <w:pStyle w:val="BodyText"/>
        <w:spacing w:line="276" w:lineRule="auto"/>
        <w:ind w:left="580" w:right="608"/>
      </w:pPr>
      <w:r>
        <w:rPr/>
        <w:t>This notice provides important information about changes to the state’s Clinical Laboratory program and provides guidance to help providers comply with the state clinical laboratory requirements.</w:t>
      </w:r>
    </w:p>
    <w:p>
      <w:pPr>
        <w:pStyle w:val="BodyText"/>
        <w:spacing w:line="276" w:lineRule="auto" w:before="200"/>
        <w:ind w:left="580" w:right="735"/>
      </w:pPr>
      <w:r>
        <w:rPr/>
        <w:t>This notice supersedes the following circular letter: DHCQ 15-11-645, Addition of CLIA- Waived Blood Lead Testing to Exempt Test List.</w:t>
      </w:r>
    </w:p>
    <w:p>
      <w:pPr>
        <w:pStyle w:val="Heading1"/>
        <w:numPr>
          <w:ilvl w:val="0"/>
          <w:numId w:val="1"/>
        </w:numPr>
        <w:tabs>
          <w:tab w:pos="1300" w:val="left" w:leader="none"/>
          <w:tab w:pos="1301" w:val="left" w:leader="none"/>
        </w:tabs>
        <w:spacing w:line="240" w:lineRule="auto" w:before="206" w:after="0"/>
        <w:ind w:left="1300" w:right="0" w:hanging="720"/>
        <w:jc w:val="left"/>
      </w:pPr>
      <w:r>
        <w:rPr/>
        <w:t>Changes to Exempt Test</w:t>
      </w:r>
      <w:r>
        <w:rPr>
          <w:spacing w:val="-2"/>
        </w:rPr>
        <w:t> </w:t>
      </w:r>
      <w:r>
        <w:rPr/>
        <w:t>List</w:t>
      </w:r>
    </w:p>
    <w:p>
      <w:pPr>
        <w:pStyle w:val="BodyText"/>
        <w:spacing w:before="5"/>
        <w:rPr>
          <w:b/>
          <w:sz w:val="20"/>
        </w:rPr>
      </w:pPr>
    </w:p>
    <w:p>
      <w:pPr>
        <w:pStyle w:val="BodyText"/>
        <w:ind w:left="580"/>
      </w:pPr>
      <w:r>
        <w:rPr/>
        <w:t>Effective immediately, the state’s Clinical Laboratory Program’s Exempt Test List (“MA</w:t>
      </w:r>
    </w:p>
    <w:p>
      <w:pPr>
        <w:pStyle w:val="BodyText"/>
        <w:spacing w:line="276" w:lineRule="auto" w:before="41"/>
        <w:ind w:left="580"/>
      </w:pPr>
      <w:r>
        <w:rPr/>
        <w:t>Exempt Test List”) will include, but not be limited to, all tests on the then current list of tests granted waived status (“CLIA waived tests”) under the Clinical Laboratory Improvement Amendments (“CLIA”). In addition to the CLIA waived tests, the MA Exempt Test List also includes:</w:t>
      </w:r>
    </w:p>
    <w:p>
      <w:pPr>
        <w:pStyle w:val="ListParagraph"/>
        <w:numPr>
          <w:ilvl w:val="1"/>
          <w:numId w:val="1"/>
        </w:numPr>
        <w:tabs>
          <w:tab w:pos="1300" w:val="left" w:leader="none"/>
          <w:tab w:pos="1301" w:val="left" w:leader="none"/>
        </w:tabs>
        <w:spacing w:line="273" w:lineRule="auto" w:before="202" w:after="0"/>
        <w:ind w:left="1300" w:right="971" w:hanging="360"/>
        <w:jc w:val="left"/>
        <w:rPr>
          <w:rFonts w:ascii="Symbol" w:hAnsi="Symbol"/>
          <w:sz w:val="24"/>
        </w:rPr>
      </w:pPr>
      <w:r>
        <w:rPr>
          <w:sz w:val="24"/>
        </w:rPr>
        <w:t>All tests on the CLIA list of tests categorized as provider-performed microscopy procedures (“PPMP”):</w:t>
      </w:r>
      <w:r>
        <w:rPr>
          <w:spacing w:val="-1"/>
          <w:sz w:val="24"/>
        </w:rPr>
        <w:t> </w:t>
      </w:r>
      <w:r>
        <w:rPr>
          <w:sz w:val="24"/>
        </w:rPr>
        <w:t>and</w:t>
      </w:r>
    </w:p>
    <w:p>
      <w:pPr>
        <w:pStyle w:val="ListParagraph"/>
        <w:numPr>
          <w:ilvl w:val="1"/>
          <w:numId w:val="1"/>
        </w:numPr>
        <w:tabs>
          <w:tab w:pos="1300" w:val="left" w:leader="none"/>
          <w:tab w:pos="1301" w:val="left" w:leader="none"/>
        </w:tabs>
        <w:spacing w:line="273" w:lineRule="auto" w:before="0" w:after="0"/>
        <w:ind w:left="1300" w:right="285" w:hanging="360"/>
        <w:jc w:val="left"/>
        <w:rPr>
          <w:rFonts w:ascii="Symbol" w:hAnsi="Symbol"/>
          <w:sz w:val="24"/>
        </w:rPr>
      </w:pPr>
      <w:r>
        <w:rPr>
          <w:sz w:val="24"/>
        </w:rPr>
        <w:t>Throat Culture, screening only (including Bacitracin disk) and Urine Culture, screening only (growth or no</w:t>
      </w:r>
      <w:r>
        <w:rPr>
          <w:spacing w:val="-5"/>
          <w:sz w:val="24"/>
        </w:rPr>
        <w:t> </w:t>
      </w:r>
      <w:r>
        <w:rPr>
          <w:sz w:val="24"/>
        </w:rPr>
        <w:t>growth).</w:t>
      </w:r>
    </w:p>
    <w:p>
      <w:pPr>
        <w:pStyle w:val="BodyText"/>
        <w:spacing w:before="203"/>
        <w:ind w:left="580"/>
      </w:pPr>
      <w:r>
        <w:rPr/>
        <w:t>Please keep in mind that the tests on the MA Exempt Test List may change.</w:t>
      </w:r>
    </w:p>
    <w:p>
      <w:pPr>
        <w:spacing w:after="0"/>
        <w:sectPr>
          <w:type w:val="continuous"/>
          <w:pgSz w:w="12240" w:h="15840"/>
          <w:pgMar w:top="560" w:bottom="1180" w:left="860" w:right="1380"/>
        </w:sectPr>
      </w:pPr>
    </w:p>
    <w:p>
      <w:pPr>
        <w:pStyle w:val="Heading1"/>
        <w:numPr>
          <w:ilvl w:val="0"/>
          <w:numId w:val="1"/>
        </w:numPr>
        <w:tabs>
          <w:tab w:pos="1300" w:val="left" w:leader="none"/>
          <w:tab w:pos="1301" w:val="left" w:leader="none"/>
        </w:tabs>
        <w:spacing w:line="240" w:lineRule="auto" w:before="79" w:after="0"/>
        <w:ind w:left="1300" w:right="0" w:hanging="720"/>
        <w:jc w:val="left"/>
      </w:pPr>
      <w:r>
        <w:rPr/>
        <w:t>Definition of</w:t>
      </w:r>
      <w:r>
        <w:rPr>
          <w:spacing w:val="1"/>
        </w:rPr>
        <w:t> </w:t>
      </w:r>
      <w:r>
        <w:rPr/>
        <w:t>“Physician”</w:t>
      </w:r>
    </w:p>
    <w:p>
      <w:pPr>
        <w:pStyle w:val="BodyText"/>
        <w:spacing w:before="8"/>
        <w:rPr>
          <w:b/>
          <w:sz w:val="20"/>
        </w:rPr>
      </w:pPr>
    </w:p>
    <w:p>
      <w:pPr>
        <w:pStyle w:val="BodyText"/>
        <w:spacing w:line="276" w:lineRule="auto"/>
        <w:ind w:left="580" w:right="349"/>
      </w:pPr>
      <w:r>
        <w:rPr/>
        <w:t>Effective immediately, “physician” is defined as follows solely for the purposes of the clinical laboratory licensure program statutes and regulation:</w:t>
      </w:r>
    </w:p>
    <w:p>
      <w:pPr>
        <w:pStyle w:val="BodyText"/>
        <w:spacing w:before="196"/>
        <w:ind w:left="1300" w:right="1321"/>
      </w:pPr>
      <w:r>
        <w:rPr/>
        <w:t>“A “physician” is any of the following types of professionals licensed by the Commonwealth:</w:t>
      </w:r>
    </w:p>
    <w:p>
      <w:pPr>
        <w:pStyle w:val="ListParagraph"/>
        <w:numPr>
          <w:ilvl w:val="1"/>
          <w:numId w:val="1"/>
        </w:numPr>
        <w:tabs>
          <w:tab w:pos="2020" w:val="left" w:leader="none"/>
          <w:tab w:pos="2021" w:val="left" w:leader="none"/>
        </w:tabs>
        <w:spacing w:line="240" w:lineRule="auto" w:before="2" w:after="0"/>
        <w:ind w:left="2020" w:right="0" w:hanging="360"/>
        <w:jc w:val="left"/>
        <w:rPr>
          <w:rFonts w:ascii="Symbol" w:hAnsi="Symbol"/>
          <w:sz w:val="24"/>
        </w:rPr>
      </w:pPr>
      <w:r>
        <w:rPr>
          <w:sz w:val="24"/>
        </w:rPr>
        <w:t>Doctor of Medicine or Osteopathic</w:t>
      </w:r>
      <w:r>
        <w:rPr>
          <w:spacing w:val="-5"/>
          <w:sz w:val="24"/>
        </w:rPr>
        <w:t> </w:t>
      </w:r>
      <w:r>
        <w:rPr>
          <w:sz w:val="24"/>
        </w:rPr>
        <w:t>Medicine;</w:t>
      </w:r>
    </w:p>
    <w:p>
      <w:pPr>
        <w:pStyle w:val="ListParagraph"/>
        <w:numPr>
          <w:ilvl w:val="1"/>
          <w:numId w:val="1"/>
        </w:numPr>
        <w:tabs>
          <w:tab w:pos="2020" w:val="left" w:leader="none"/>
          <w:tab w:pos="2021" w:val="left" w:leader="none"/>
        </w:tabs>
        <w:spacing w:line="240" w:lineRule="auto" w:before="42" w:after="0"/>
        <w:ind w:left="2020" w:right="0" w:hanging="360"/>
        <w:jc w:val="left"/>
        <w:rPr>
          <w:rFonts w:ascii="Symbol" w:hAnsi="Symbol"/>
          <w:sz w:val="24"/>
        </w:rPr>
      </w:pPr>
      <w:r>
        <w:rPr>
          <w:sz w:val="24"/>
        </w:rPr>
        <w:t>Doctor of Dental Medicine or Dental</w:t>
      </w:r>
      <w:r>
        <w:rPr>
          <w:spacing w:val="-3"/>
          <w:sz w:val="24"/>
        </w:rPr>
        <w:t> </w:t>
      </w:r>
      <w:r>
        <w:rPr>
          <w:sz w:val="24"/>
        </w:rPr>
        <w:t>Surgery;</w:t>
      </w:r>
    </w:p>
    <w:p>
      <w:pPr>
        <w:pStyle w:val="ListParagraph"/>
        <w:numPr>
          <w:ilvl w:val="1"/>
          <w:numId w:val="1"/>
        </w:numPr>
        <w:tabs>
          <w:tab w:pos="2020" w:val="left" w:leader="none"/>
          <w:tab w:pos="2021" w:val="left" w:leader="none"/>
        </w:tabs>
        <w:spacing w:line="240" w:lineRule="auto" w:before="39" w:after="0"/>
        <w:ind w:left="2020" w:right="0" w:hanging="360"/>
        <w:jc w:val="left"/>
        <w:rPr>
          <w:rFonts w:ascii="Symbol" w:hAnsi="Symbol"/>
          <w:sz w:val="24"/>
        </w:rPr>
      </w:pPr>
      <w:r>
        <w:rPr>
          <w:sz w:val="24"/>
        </w:rPr>
        <w:t>Doctor of Podiatric</w:t>
      </w:r>
      <w:r>
        <w:rPr>
          <w:spacing w:val="-2"/>
          <w:sz w:val="24"/>
        </w:rPr>
        <w:t> </w:t>
      </w:r>
      <w:r>
        <w:rPr>
          <w:sz w:val="24"/>
        </w:rPr>
        <w:t>Medicine;</w:t>
      </w:r>
    </w:p>
    <w:p>
      <w:pPr>
        <w:pStyle w:val="ListParagraph"/>
        <w:numPr>
          <w:ilvl w:val="1"/>
          <w:numId w:val="1"/>
        </w:numPr>
        <w:tabs>
          <w:tab w:pos="2020" w:val="left" w:leader="none"/>
          <w:tab w:pos="2021" w:val="left" w:leader="none"/>
        </w:tabs>
        <w:spacing w:line="240" w:lineRule="auto" w:before="42" w:after="0"/>
        <w:ind w:left="2020" w:right="0" w:hanging="360"/>
        <w:jc w:val="left"/>
        <w:rPr>
          <w:rFonts w:ascii="Symbol" w:hAnsi="Symbol"/>
          <w:sz w:val="24"/>
        </w:rPr>
      </w:pPr>
      <w:r>
        <w:rPr>
          <w:sz w:val="24"/>
        </w:rPr>
        <w:t>Doctor of Optometry;</w:t>
      </w:r>
      <w:r>
        <w:rPr>
          <w:spacing w:val="-2"/>
          <w:sz w:val="24"/>
        </w:rPr>
        <w:t> </w:t>
      </w:r>
      <w:r>
        <w:rPr>
          <w:sz w:val="24"/>
        </w:rPr>
        <w:t>and</w:t>
      </w:r>
    </w:p>
    <w:p>
      <w:pPr>
        <w:pStyle w:val="ListParagraph"/>
        <w:numPr>
          <w:ilvl w:val="1"/>
          <w:numId w:val="1"/>
        </w:numPr>
        <w:tabs>
          <w:tab w:pos="2020" w:val="left" w:leader="none"/>
          <w:tab w:pos="2021" w:val="left" w:leader="none"/>
        </w:tabs>
        <w:spacing w:line="240" w:lineRule="auto" w:before="40" w:after="0"/>
        <w:ind w:left="2020" w:right="0" w:hanging="360"/>
        <w:jc w:val="left"/>
        <w:rPr>
          <w:rFonts w:ascii="Symbol" w:hAnsi="Symbol"/>
          <w:sz w:val="22"/>
        </w:rPr>
      </w:pPr>
      <w:r>
        <w:rPr>
          <w:sz w:val="24"/>
        </w:rPr>
        <w:t>Chiropractor.”</w:t>
      </w:r>
    </w:p>
    <w:p>
      <w:pPr>
        <w:pStyle w:val="BodyText"/>
        <w:spacing w:before="1"/>
        <w:rPr>
          <w:sz w:val="21"/>
        </w:rPr>
      </w:pPr>
    </w:p>
    <w:p>
      <w:pPr>
        <w:pStyle w:val="BodyText"/>
        <w:spacing w:line="276" w:lineRule="auto" w:before="1"/>
        <w:ind w:left="580" w:right="16"/>
      </w:pPr>
      <w:r>
        <w:rPr/>
        <w:t>Please note that this notice is informational only and is not legal advice or a rule or regulation. The information in this notice is current as of the date of the notice and may be revised, updated, superseded, or replaced by information in future notices.</w:t>
      </w:r>
    </w:p>
    <w:p>
      <w:pPr>
        <w:pStyle w:val="BodyText"/>
        <w:spacing w:line="276" w:lineRule="auto" w:before="200"/>
        <w:ind w:left="580" w:right="328"/>
      </w:pPr>
      <w:r>
        <w:rPr/>
        <w:t>If you have any questions about the information in this notification, please contact the Clinical Laboratory Program at </w:t>
      </w:r>
      <w:hyperlink r:id="rId7">
        <w:r>
          <w:rPr/>
          <w:t>CLIALab@mass.gov.</w:t>
        </w:r>
      </w:hyperlink>
    </w:p>
    <w:sectPr>
      <w:pgSz w:w="12240" w:h="15840"/>
      <w:pgMar w:header="0" w:footer="990" w:top="1360" w:bottom="1180" w:left="86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Rounded MT Bold">
    <w:altName w:val="Arial Rounded MT Bold"/>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98.299988pt;margin-top:731.475952pt;width:42.75pt;height:12pt;mso-position-horizontal-relative:page;mso-position-vertical-relative:page;z-index:-3280" type="#_x0000_t202" filled="false" stroked="false">
          <v:textbox inset="0,0,0,0">
            <w:txbxContent>
              <w:p>
                <w:pPr>
                  <w:spacing w:before="12"/>
                  <w:ind w:left="20" w:right="0" w:firstLine="0"/>
                  <w:jc w:val="left"/>
                  <w:rPr>
                    <w:b/>
                    <w:sz w:val="18"/>
                  </w:rPr>
                </w:pPr>
                <w:r>
                  <w:rPr>
                    <w:sz w:val="18"/>
                  </w:rPr>
                  <w:t>Page </w:t>
                </w:r>
                <w:r>
                  <w:rPr/>
                  <w:fldChar w:fldCharType="begin"/>
                </w:r>
                <w:r>
                  <w:rPr>
                    <w:b/>
                    <w:sz w:val="18"/>
                  </w:rPr>
                  <w:instrText> PAGE </w:instrText>
                </w:r>
                <w:r>
                  <w:rPr/>
                  <w:fldChar w:fldCharType="separate"/>
                </w:r>
                <w:r>
                  <w:rPr/>
                  <w:t>1</w:t>
                </w:r>
                <w:r>
                  <w:rPr/>
                  <w:fldChar w:fldCharType="end"/>
                </w:r>
                <w:r>
                  <w:rPr>
                    <w:b/>
                    <w:sz w:val="18"/>
                  </w:rPr>
                  <w:t> </w:t>
                </w:r>
                <w:r>
                  <w:rPr>
                    <w:sz w:val="18"/>
                  </w:rPr>
                  <w:t>of </w:t>
                </w:r>
                <w:r>
                  <w:rPr>
                    <w:b/>
                    <w:sz w:val="18"/>
                  </w:rPr>
                  <w:t>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1300" w:hanging="720"/>
        <w:jc w:val="left"/>
      </w:pPr>
      <w:rPr>
        <w:rFonts w:hint="default" w:ascii="Times New Roman" w:hAnsi="Times New Roman" w:eastAsia="Times New Roman" w:cs="Times New Roman"/>
        <w:b/>
        <w:bCs/>
        <w:w w:val="99"/>
        <w:sz w:val="24"/>
        <w:szCs w:val="24"/>
        <w:lang w:val="en-us" w:eastAsia="en-us" w:bidi="en-us"/>
      </w:rPr>
    </w:lvl>
    <w:lvl w:ilvl="1">
      <w:start w:val="0"/>
      <w:numFmt w:val="bullet"/>
      <w:lvlText w:val=""/>
      <w:lvlJc w:val="left"/>
      <w:pPr>
        <w:ind w:left="2020" w:hanging="360"/>
      </w:pPr>
      <w:rPr>
        <w:rFonts w:hint="default"/>
        <w:w w:val="100"/>
        <w:lang w:val="en-us" w:eastAsia="en-us" w:bidi="en-us"/>
      </w:rPr>
    </w:lvl>
    <w:lvl w:ilvl="2">
      <w:start w:val="0"/>
      <w:numFmt w:val="bullet"/>
      <w:lvlText w:val="•"/>
      <w:lvlJc w:val="left"/>
      <w:pPr>
        <w:ind w:left="2906" w:hanging="360"/>
      </w:pPr>
      <w:rPr>
        <w:rFonts w:hint="default"/>
        <w:lang w:val="en-us" w:eastAsia="en-us" w:bidi="en-us"/>
      </w:rPr>
    </w:lvl>
    <w:lvl w:ilvl="3">
      <w:start w:val="0"/>
      <w:numFmt w:val="bullet"/>
      <w:lvlText w:val="•"/>
      <w:lvlJc w:val="left"/>
      <w:pPr>
        <w:ind w:left="3793" w:hanging="360"/>
      </w:pPr>
      <w:rPr>
        <w:rFonts w:hint="default"/>
        <w:lang w:val="en-us" w:eastAsia="en-us" w:bidi="en-us"/>
      </w:rPr>
    </w:lvl>
    <w:lvl w:ilvl="4">
      <w:start w:val="0"/>
      <w:numFmt w:val="bullet"/>
      <w:lvlText w:val="•"/>
      <w:lvlJc w:val="left"/>
      <w:pPr>
        <w:ind w:left="4680" w:hanging="360"/>
      </w:pPr>
      <w:rPr>
        <w:rFonts w:hint="default"/>
        <w:lang w:val="en-us" w:eastAsia="en-us" w:bidi="en-us"/>
      </w:rPr>
    </w:lvl>
    <w:lvl w:ilvl="5">
      <w:start w:val="0"/>
      <w:numFmt w:val="bullet"/>
      <w:lvlText w:val="•"/>
      <w:lvlJc w:val="left"/>
      <w:pPr>
        <w:ind w:left="5566" w:hanging="360"/>
      </w:pPr>
      <w:rPr>
        <w:rFonts w:hint="default"/>
        <w:lang w:val="en-us" w:eastAsia="en-us" w:bidi="en-us"/>
      </w:rPr>
    </w:lvl>
    <w:lvl w:ilvl="6">
      <w:start w:val="0"/>
      <w:numFmt w:val="bullet"/>
      <w:lvlText w:val="•"/>
      <w:lvlJc w:val="left"/>
      <w:pPr>
        <w:ind w:left="6453" w:hanging="360"/>
      </w:pPr>
      <w:rPr>
        <w:rFonts w:hint="default"/>
        <w:lang w:val="en-us" w:eastAsia="en-us" w:bidi="en-us"/>
      </w:rPr>
    </w:lvl>
    <w:lvl w:ilvl="7">
      <w:start w:val="0"/>
      <w:numFmt w:val="bullet"/>
      <w:lvlText w:val="•"/>
      <w:lvlJc w:val="left"/>
      <w:pPr>
        <w:ind w:left="7340" w:hanging="360"/>
      </w:pPr>
      <w:rPr>
        <w:rFonts w:hint="default"/>
        <w:lang w:val="en-us" w:eastAsia="en-us" w:bidi="en-us"/>
      </w:rPr>
    </w:lvl>
    <w:lvl w:ilvl="8">
      <w:start w:val="0"/>
      <w:numFmt w:val="bullet"/>
      <w:lvlText w:val="•"/>
      <w:lvlJc w:val="left"/>
      <w:pPr>
        <w:ind w:left="8226"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1300" w:hanging="720"/>
      <w:outlineLvl w:val="1"/>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ind w:left="2020" w:hanging="360"/>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CLIALab@mass.gov"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Phaltankar, Pooja P.  (DPH)</dc:creator>
  <dcterms:created xsi:type="dcterms:W3CDTF">2021-01-12T20:37:03Z</dcterms:created>
  <dcterms:modified xsi:type="dcterms:W3CDTF">2021-01-12T20:37:03Z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2010</vt:lpwstr>
  </property>
  <property fmtid="{D5CDD505-2E9C-101B-9397-08002B2CF9AE}" pid="4" name="LastSaved">
    <vt:filetime>2021-01-12T00:00:00Z</vt:filetime>
  </property>
</Properties>
</file>