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015A" w14:textId="77777777" w:rsidR="000537DA" w:rsidRDefault="000537DA" w:rsidP="000F315B">
      <w:pPr>
        <w:framePr w:w="6926" w:hSpace="187" w:wrap="notBeside" w:vAnchor="page" w:hAnchor="page" w:x="2884" w:y="711"/>
        <w:jc w:val="center"/>
        <w:rPr>
          <w:rFonts w:ascii="Arial" w:hAnsi="Arial"/>
          <w:sz w:val="36"/>
        </w:rPr>
      </w:pPr>
      <w:bookmarkStart w:id="0" w:name="_Hlk203127234"/>
      <w:bookmarkEnd w:id="0"/>
      <w:r>
        <w:rPr>
          <w:rFonts w:ascii="Arial" w:hAnsi="Arial"/>
          <w:sz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FE9E88A" w14:textId="635A6638" w:rsidR="00D76119" w:rsidRDefault="000537DA" w:rsidP="00D76119">
      <w:pPr>
        <w:pStyle w:val="ExecOffice"/>
        <w:framePr w:w="6926" w:wrap="notBeside" w:vAnchor="page" w:x="2884" w:y="711"/>
      </w:pPr>
      <w:r>
        <w:t>Department of Public Health</w:t>
      </w:r>
    </w:p>
    <w:p w14:paraId="0958205A" w14:textId="77777777" w:rsidR="006D06D9" w:rsidRPr="00951305" w:rsidRDefault="000537DA" w:rsidP="000F315B">
      <w:pPr>
        <w:pStyle w:val="ExecOffice"/>
        <w:framePr w:w="6926" w:wrap="notBeside" w:vAnchor="page" w:x="2884" w:y="711"/>
        <w:rPr>
          <w:sz w:val="24"/>
          <w:szCs w:val="18"/>
        </w:rPr>
      </w:pPr>
      <w:r w:rsidRPr="00951305">
        <w:rPr>
          <w:sz w:val="24"/>
          <w:szCs w:val="18"/>
        </w:rPr>
        <w:t>250 Washington Street, Boston, MA 02108-4619</w:t>
      </w:r>
    </w:p>
    <w:p w14:paraId="10BFC7A4" w14:textId="1D6C16C5" w:rsidR="0017749A" w:rsidRPr="0017749A" w:rsidRDefault="0017749A" w:rsidP="000F315B">
      <w:pPr>
        <w:pStyle w:val="ExecOffice"/>
        <w:framePr w:w="6926" w:wrap="notBeside" w:vAnchor="page" w:x="2884" w:y="711"/>
        <w:rPr>
          <w:sz w:val="24"/>
          <w:szCs w:val="18"/>
        </w:rPr>
      </w:pPr>
      <w:r w:rsidRPr="0017749A">
        <w:rPr>
          <w:sz w:val="24"/>
          <w:szCs w:val="18"/>
        </w:rPr>
        <w:t>617-624-6000 | mass.gov/</w:t>
      </w:r>
      <w:proofErr w:type="spellStart"/>
      <w:r w:rsidRPr="0017749A">
        <w:rPr>
          <w:sz w:val="24"/>
          <w:szCs w:val="18"/>
        </w:rPr>
        <w:t>dph</w:t>
      </w:r>
      <w:proofErr w:type="spellEnd"/>
    </w:p>
    <w:p w14:paraId="14DDC802" w14:textId="3FA133ED" w:rsidR="00BA4055" w:rsidRDefault="00E814A1" w:rsidP="00E814A1">
      <w:pPr>
        <w:framePr w:w="2300" w:hSpace="180" w:wrap="auto" w:vAnchor="text" w:hAnchor="page" w:x="940" w:y="-951"/>
        <w:ind w:left="630"/>
        <w:rPr>
          <w:rFonts w:ascii="LinePrinter" w:hAnsi="LinePrinter"/>
        </w:rPr>
      </w:pPr>
      <w:r>
        <w:rPr>
          <w:rFonts w:ascii="LinePrinter" w:hAnsi="LinePrinter"/>
          <w:noProof/>
        </w:rPr>
        <w:drawing>
          <wp:inline distT="0" distB="0" distL="0" distR="0" wp14:anchorId="2651EE28" wp14:editId="302A2CF4">
            <wp:extent cx="962025" cy="1152525"/>
            <wp:effectExtent l="0" t="0" r="0" b="0"/>
            <wp:docPr id="1" name="Picture 1" descr="Massachusetts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ssachusetts state se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33866557" w14:textId="7B11C513" w:rsidR="00FC6B42" w:rsidRDefault="00FC6B42" w:rsidP="0072610D"/>
    <w:p w14:paraId="5523EF4D" w14:textId="77777777" w:rsidR="00802852" w:rsidRDefault="00802852" w:rsidP="0072610D">
      <w:pPr>
        <w:rPr>
          <w:rFonts w:ascii="Arial" w:hAnsi="Arial" w:cs="Arial"/>
          <w:b/>
          <w:bCs/>
        </w:rPr>
        <w:sectPr w:rsidR="00802852">
          <w:pgSz w:w="12240" w:h="15840"/>
          <w:pgMar w:top="1440" w:right="1440" w:bottom="1440" w:left="1440" w:header="720" w:footer="720" w:gutter="0"/>
          <w:cols w:space="720"/>
        </w:sectPr>
      </w:pPr>
    </w:p>
    <w:p w14:paraId="70EB315F" w14:textId="77777777" w:rsidR="00802852" w:rsidRDefault="00E814A1" w:rsidP="0072610D">
      <w:pPr>
        <w:rPr>
          <w:rFonts w:ascii="Arial" w:hAnsi="Arial" w:cs="Arial"/>
          <w:b/>
          <w:bCs/>
        </w:rPr>
      </w:pPr>
      <w:r w:rsidRPr="00237280">
        <w:rPr>
          <w:rFonts w:ascii="Arial" w:hAnsi="Arial" w:cs="Arial"/>
          <w:b/>
          <w:bCs/>
        </w:rPr>
        <w:t>Maura T. Healey</w:t>
      </w:r>
    </w:p>
    <w:p w14:paraId="25BE71A6" w14:textId="51C5E49E" w:rsidR="0088305B" w:rsidRDefault="00802852" w:rsidP="000C2E20">
      <w:pPr>
        <w:spacing w:line="360" w:lineRule="auto"/>
        <w:rPr>
          <w:rFonts w:ascii="Arial" w:hAnsi="Arial" w:cs="Arial"/>
        </w:rPr>
      </w:pPr>
      <w:r w:rsidRPr="00237280">
        <w:rPr>
          <w:rFonts w:ascii="Arial" w:hAnsi="Arial" w:cs="Arial"/>
        </w:rPr>
        <w:t>Governor</w:t>
      </w:r>
    </w:p>
    <w:p w14:paraId="19D02B02" w14:textId="77777777" w:rsidR="00951305" w:rsidRDefault="0088305B" w:rsidP="0072610D">
      <w:pPr>
        <w:rPr>
          <w:rFonts w:ascii="Arial" w:hAnsi="Arial" w:cs="Arial"/>
        </w:rPr>
      </w:pPr>
      <w:r w:rsidRPr="0088305B">
        <w:rPr>
          <w:rFonts w:ascii="Arial" w:hAnsi="Arial" w:cs="Arial"/>
          <w:b/>
          <w:bCs/>
        </w:rPr>
        <w:t>Kimberley Driscoll</w:t>
      </w:r>
    </w:p>
    <w:p w14:paraId="45EA865C" w14:textId="703E4E09" w:rsidR="00FC6B42" w:rsidRPr="0088305B" w:rsidRDefault="0088305B" w:rsidP="0072610D">
      <w:pPr>
        <w:rPr>
          <w:rFonts w:ascii="Arial" w:hAnsi="Arial" w:cs="Arial"/>
        </w:rPr>
      </w:pPr>
      <w:r>
        <w:rPr>
          <w:rFonts w:ascii="Arial" w:hAnsi="Arial" w:cs="Arial"/>
        </w:rPr>
        <w:t>Lieutenant Governor</w:t>
      </w:r>
      <w:r w:rsidR="00237280" w:rsidRPr="00237280">
        <w:rPr>
          <w:rFonts w:ascii="Arial" w:hAnsi="Arial" w:cs="Arial"/>
          <w:b/>
          <w:bCs/>
        </w:rPr>
        <w:t xml:space="preserve"> </w:t>
      </w:r>
    </w:p>
    <w:p w14:paraId="723AD3B1" w14:textId="5030074F" w:rsidR="007D1D51" w:rsidRDefault="00802852" w:rsidP="00802852">
      <w:pPr>
        <w:jc w:val="right"/>
        <w:rPr>
          <w:rFonts w:ascii="Arial" w:hAnsi="Arial" w:cs="Arial"/>
        </w:rPr>
      </w:pPr>
      <w:r w:rsidRPr="00237280">
        <w:rPr>
          <w:rFonts w:ascii="Arial" w:hAnsi="Arial" w:cs="Arial"/>
          <w:b/>
          <w:bCs/>
        </w:rPr>
        <w:t>Kiame Mahaniah, MD</w:t>
      </w:r>
      <w:r w:rsidR="000164B3">
        <w:rPr>
          <w:rFonts w:ascii="Arial" w:hAnsi="Arial" w:cs="Arial"/>
          <w:b/>
          <w:bCs/>
        </w:rPr>
        <w:t>, MBA</w:t>
      </w:r>
    </w:p>
    <w:p w14:paraId="51314366" w14:textId="498AF08B" w:rsidR="00033154" w:rsidRDefault="00237280" w:rsidP="007D1D51">
      <w:pPr>
        <w:spacing w:line="360" w:lineRule="auto"/>
        <w:jc w:val="right"/>
        <w:rPr>
          <w:rFonts w:ascii="Arial" w:hAnsi="Arial" w:cs="Arial"/>
        </w:rPr>
      </w:pPr>
      <w:r w:rsidRPr="00237280">
        <w:rPr>
          <w:rFonts w:ascii="Arial" w:hAnsi="Arial" w:cs="Arial"/>
        </w:rPr>
        <w:t>Secretary</w:t>
      </w:r>
    </w:p>
    <w:p w14:paraId="49013D2D" w14:textId="509F30C9" w:rsidR="00951305" w:rsidRPr="00951305" w:rsidRDefault="00951305" w:rsidP="00802852">
      <w:pPr>
        <w:jc w:val="right"/>
        <w:rPr>
          <w:rFonts w:ascii="Arial" w:hAnsi="Arial" w:cs="Arial"/>
          <w:b/>
          <w:bCs/>
        </w:rPr>
      </w:pPr>
      <w:r w:rsidRPr="00951305">
        <w:rPr>
          <w:rFonts w:ascii="Arial" w:hAnsi="Arial" w:cs="Arial"/>
          <w:b/>
          <w:bCs/>
        </w:rPr>
        <w:t>Robert Goldstein, MD, PhD</w:t>
      </w:r>
    </w:p>
    <w:p w14:paraId="5EA03CA8" w14:textId="7173ADCA" w:rsidR="00802852" w:rsidRDefault="00951305" w:rsidP="00951305">
      <w:pPr>
        <w:jc w:val="right"/>
        <w:rPr>
          <w:rFonts w:ascii="Arial" w:hAnsi="Arial" w:cs="Arial"/>
        </w:rPr>
        <w:sectPr w:rsidR="00802852" w:rsidSect="00802852">
          <w:type w:val="continuous"/>
          <w:pgSz w:w="12240" w:h="15840"/>
          <w:pgMar w:top="1440" w:right="1440" w:bottom="1440" w:left="1440" w:header="720" w:footer="720" w:gutter="0"/>
          <w:cols w:num="2" w:space="720"/>
        </w:sectPr>
      </w:pPr>
      <w:r>
        <w:rPr>
          <w:rFonts w:ascii="Arial" w:hAnsi="Arial" w:cs="Arial"/>
        </w:rPr>
        <w:t>Commissione</w:t>
      </w:r>
      <w:r w:rsidR="00D10DDE">
        <w:rPr>
          <w:rFonts w:ascii="Arial" w:hAnsi="Arial" w:cs="Arial"/>
        </w:rPr>
        <w:t>r</w:t>
      </w:r>
    </w:p>
    <w:p w14:paraId="76751140" w14:textId="77777777" w:rsidR="00D10DDE" w:rsidRDefault="00D10DDE" w:rsidP="0072610D"/>
    <w:p w14:paraId="010B380B" w14:textId="77777777" w:rsidR="001C4DBC" w:rsidRPr="004953AA" w:rsidRDefault="001C4DBC" w:rsidP="001C4DBC">
      <w:pPr>
        <w:autoSpaceDE w:val="0"/>
        <w:autoSpaceDN w:val="0"/>
        <w:adjustRightInd w:val="0"/>
        <w:jc w:val="center"/>
        <w:rPr>
          <w:b/>
          <w:bCs/>
          <w:color w:val="000000"/>
          <w:szCs w:val="24"/>
        </w:rPr>
      </w:pPr>
      <w:r w:rsidRPr="00372F00">
        <w:rPr>
          <w:b/>
          <w:bCs/>
          <w:color w:val="000000"/>
          <w:szCs w:val="24"/>
        </w:rPr>
        <w:t>MEMORANDUM</w:t>
      </w:r>
    </w:p>
    <w:p w14:paraId="2671BE70" w14:textId="77777777" w:rsidR="001C4DBC" w:rsidRDefault="001C4DBC" w:rsidP="001C4DBC"/>
    <w:p w14:paraId="74A38A41" w14:textId="77777777" w:rsidR="001C4DBC" w:rsidRPr="008D0C6F" w:rsidRDefault="001C4DBC" w:rsidP="001C4DBC">
      <w:r>
        <w:t>TO</w:t>
      </w:r>
      <w:proofErr w:type="gramStart"/>
      <w:r>
        <w:t>:</w:t>
      </w:r>
      <w:r>
        <w:tab/>
        <w:t xml:space="preserve">   </w:t>
      </w:r>
      <w:r>
        <w:tab/>
        <w:t>Licensed</w:t>
      </w:r>
      <w:proofErr w:type="gramEnd"/>
      <w:r>
        <w:t xml:space="preserve"> Hospitals and Licensed Clinics Providing Birth Center Services </w:t>
      </w:r>
    </w:p>
    <w:p w14:paraId="40FBD477" w14:textId="77777777" w:rsidR="001C4DBC" w:rsidRPr="008D0C6F" w:rsidRDefault="001C4DBC" w:rsidP="001C4DBC">
      <w:pPr>
        <w:rPr>
          <w:szCs w:val="24"/>
        </w:rPr>
      </w:pPr>
      <w:r w:rsidRPr="008D0C6F">
        <w:rPr>
          <w:szCs w:val="24"/>
        </w:rPr>
        <w:tab/>
      </w:r>
      <w:r w:rsidRPr="008D0C6F">
        <w:rPr>
          <w:szCs w:val="24"/>
        </w:rPr>
        <w:tab/>
      </w:r>
      <w:r w:rsidRPr="008D0C6F">
        <w:rPr>
          <w:szCs w:val="24"/>
        </w:rPr>
        <w:tab/>
      </w:r>
    </w:p>
    <w:p w14:paraId="1812AA3B" w14:textId="77777777" w:rsidR="001C4DBC" w:rsidRPr="008D0C6F" w:rsidRDefault="001C4DBC" w:rsidP="001C4DBC">
      <w:pPr>
        <w:autoSpaceDE w:val="0"/>
        <w:autoSpaceDN w:val="0"/>
        <w:adjustRightInd w:val="0"/>
      </w:pPr>
      <w:r>
        <w:t>FROM</w:t>
      </w:r>
      <w:proofErr w:type="gramStart"/>
      <w:r>
        <w:t xml:space="preserve">: </w:t>
      </w:r>
      <w:r>
        <w:tab/>
        <w:t>Teryl</w:t>
      </w:r>
      <w:proofErr w:type="gramEnd"/>
      <w:r>
        <w:t xml:space="preserve"> Smith, RN, MPH, Director, Bureau of Health Care Safety and Quality</w:t>
      </w:r>
    </w:p>
    <w:p w14:paraId="1F195A79" w14:textId="77777777" w:rsidR="001C4DBC" w:rsidRPr="008D0C6F" w:rsidRDefault="001C4DBC" w:rsidP="001C4DBC">
      <w:pPr>
        <w:outlineLvl w:val="0"/>
        <w:rPr>
          <w:szCs w:val="24"/>
        </w:rPr>
      </w:pPr>
      <w:r w:rsidRPr="008D0C6F">
        <w:rPr>
          <w:szCs w:val="24"/>
        </w:rPr>
        <w:tab/>
      </w:r>
      <w:r w:rsidRPr="008D0C6F">
        <w:rPr>
          <w:szCs w:val="24"/>
        </w:rPr>
        <w:tab/>
      </w:r>
    </w:p>
    <w:p w14:paraId="2AB0A0E9" w14:textId="77777777" w:rsidR="001C4DBC" w:rsidRPr="008D0C6F" w:rsidRDefault="001C4DBC" w:rsidP="001C4DBC">
      <w:r>
        <w:t>DATE</w:t>
      </w:r>
      <w:proofErr w:type="gramStart"/>
      <w:r>
        <w:t>:</w:t>
      </w:r>
      <w:r>
        <w:tab/>
      </w:r>
      <w:r>
        <w:tab/>
        <w:t>August</w:t>
      </w:r>
      <w:proofErr w:type="gramEnd"/>
      <w:r>
        <w:t xml:space="preserve"> 18, 2025</w:t>
      </w:r>
    </w:p>
    <w:p w14:paraId="5519D306" w14:textId="77777777" w:rsidR="001C4DBC" w:rsidRPr="008D0C6F" w:rsidRDefault="001C4DBC" w:rsidP="001C4DBC">
      <w:pPr>
        <w:rPr>
          <w:szCs w:val="24"/>
        </w:rPr>
      </w:pPr>
    </w:p>
    <w:p w14:paraId="5AC178DA" w14:textId="77777777" w:rsidR="001C4DBC" w:rsidRPr="008D0C6F" w:rsidRDefault="001C4DBC" w:rsidP="001C4DBC">
      <w:pPr>
        <w:ind w:left="1440" w:hanging="1440"/>
      </w:pPr>
      <w:r>
        <w:t>RE:</w:t>
      </w:r>
      <w:r>
        <w:tab/>
        <w:t xml:space="preserve">Updated Regulatory Requirements for Licensed Hospitals and Licensed Clinics Providing Birth Center Services  </w:t>
      </w:r>
    </w:p>
    <w:p w14:paraId="4B461DB5" w14:textId="77777777" w:rsidR="001C4DBC" w:rsidRPr="004C7499" w:rsidRDefault="001C4DBC" w:rsidP="001C4DBC">
      <w:pPr>
        <w:rPr>
          <w:b/>
          <w:bCs/>
        </w:rPr>
      </w:pPr>
    </w:p>
    <w:p w14:paraId="5BEE92C7" w14:textId="77777777" w:rsidR="001C4DBC" w:rsidRDefault="001C4DBC" w:rsidP="001C4DBC">
      <w:r>
        <w:t>In February 2025, the Department of Public Health (Department or DPH) promulgated regulatory revisions for birth center services in Massachusetts (</w:t>
      </w:r>
      <w:hyperlink r:id="rId11" w:history="1">
        <w:r w:rsidRPr="00AF3604">
          <w:rPr>
            <w:rStyle w:val="Hyperlink"/>
          </w:rPr>
          <w:t>105 CMR 130.000</w:t>
        </w:r>
      </w:hyperlink>
      <w:r>
        <w:t xml:space="preserve"> and </w:t>
      </w:r>
      <w:hyperlink r:id="rId12" w:history="1">
        <w:r w:rsidRPr="00AF3604">
          <w:rPr>
            <w:rStyle w:val="Hyperlink"/>
          </w:rPr>
          <w:t>105 CMR 140.000</w:t>
        </w:r>
      </w:hyperlink>
      <w:r>
        <w:t xml:space="preserve">). The revisions include, but are not limited to: </w:t>
      </w:r>
    </w:p>
    <w:p w14:paraId="6A81B6F4" w14:textId="77777777" w:rsidR="001C4DBC" w:rsidRDefault="001C4DBC" w:rsidP="001C4DBC">
      <w:pPr>
        <w:pStyle w:val="ListParagraph"/>
        <w:numPr>
          <w:ilvl w:val="0"/>
          <w:numId w:val="1"/>
        </w:num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Updating gender references and removing stigmatizing language. </w:t>
      </w:r>
    </w:p>
    <w:p w14:paraId="0D54A69B" w14:textId="77777777" w:rsidR="001C4DBC" w:rsidRDefault="001C4DBC" w:rsidP="001C4DBC">
      <w:pPr>
        <w:pStyle w:val="ListParagraph"/>
        <w:numPr>
          <w:ilvl w:val="0"/>
          <w:numId w:val="1"/>
        </w:numPr>
        <w:spacing w:after="0" w:line="240" w:lineRule="auto"/>
        <w:rPr>
          <w:rFonts w:ascii="Times New Roman" w:eastAsia="Times New Roman" w:hAnsi="Times New Roman" w:cs="Times New Roman"/>
          <w:color w:val="000000" w:themeColor="text1"/>
        </w:rPr>
      </w:pPr>
      <w:r w:rsidRPr="55434239">
        <w:rPr>
          <w:rFonts w:ascii="Times New Roman" w:eastAsia="Times New Roman" w:hAnsi="Times New Roman" w:cs="Times New Roman"/>
          <w:color w:val="000000" w:themeColor="text1"/>
        </w:rPr>
        <w:t xml:space="preserve">Allowing licensed clinics providing only birth center services to follow the standards </w:t>
      </w:r>
      <w:r>
        <w:rPr>
          <w:rFonts w:ascii="Times New Roman" w:eastAsia="Times New Roman" w:hAnsi="Times New Roman" w:cs="Times New Roman"/>
          <w:color w:val="000000" w:themeColor="text1"/>
        </w:rPr>
        <w:t xml:space="preserve">for </w:t>
      </w:r>
      <w:r w:rsidRPr="55434239">
        <w:rPr>
          <w:rFonts w:ascii="Times New Roman" w:eastAsia="Times New Roman" w:hAnsi="Times New Roman" w:cs="Times New Roman"/>
          <w:color w:val="000000" w:themeColor="text1"/>
        </w:rPr>
        <w:t>facility requirements in the Commission for the Accreditation of Birth Centers.</w:t>
      </w:r>
    </w:p>
    <w:p w14:paraId="0388345F" w14:textId="77777777" w:rsidR="001C4DBC" w:rsidRDefault="001C4DBC" w:rsidP="001C4DBC">
      <w:pPr>
        <w:pStyle w:val="ListParagraph"/>
        <w:numPr>
          <w:ilvl w:val="0"/>
          <w:numId w:val="1"/>
        </w:num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Permitting hospitals with birth center services to provide birth center services within the hospital, </w:t>
      </w:r>
      <w:proofErr w:type="gramStart"/>
      <w:r>
        <w:rPr>
          <w:rFonts w:ascii="Times New Roman" w:eastAsia="Times New Roman" w:hAnsi="Times New Roman" w:cs="Times New Roman"/>
          <w:color w:val="000000" w:themeColor="text1"/>
        </w:rPr>
        <w:t>as long as</w:t>
      </w:r>
      <w:proofErr w:type="gramEnd"/>
      <w:r>
        <w:rPr>
          <w:rFonts w:ascii="Times New Roman" w:eastAsia="Times New Roman" w:hAnsi="Times New Roman" w:cs="Times New Roman"/>
          <w:color w:val="000000" w:themeColor="text1"/>
        </w:rPr>
        <w:t xml:space="preserve"> the services are provided in a separate and discrete unit of the hospital.</w:t>
      </w:r>
    </w:p>
    <w:p w14:paraId="1B4DCC7F" w14:textId="77777777" w:rsidR="001C4DBC" w:rsidRDefault="001C4DBC" w:rsidP="001C4DBC">
      <w:pPr>
        <w:pStyle w:val="ListParagraph"/>
        <w:numPr>
          <w:ilvl w:val="0"/>
          <w:numId w:val="1"/>
        </w:numPr>
        <w:spacing w:after="0" w:line="240" w:lineRule="auto"/>
        <w:rPr>
          <w:rFonts w:ascii="Times New Roman" w:eastAsia="Times New Roman" w:hAnsi="Times New Roman" w:cs="Times New Roman"/>
          <w:color w:val="000000" w:themeColor="text1"/>
        </w:rPr>
      </w:pPr>
      <w:r w:rsidRPr="3E83AE61">
        <w:rPr>
          <w:rFonts w:ascii="Times New Roman" w:eastAsia="Times New Roman" w:hAnsi="Times New Roman" w:cs="Times New Roman"/>
          <w:color w:val="000000" w:themeColor="text1"/>
        </w:rPr>
        <w:t>Allowing an individual with health care and business experience to serve as the administrative director and allow the same person to serve as both the administrative director and director of medical affairs, if they meet the regulatory requirements. </w:t>
      </w:r>
    </w:p>
    <w:p w14:paraId="12AAEF85" w14:textId="77777777" w:rsidR="001C4DBC" w:rsidRDefault="001C4DBC" w:rsidP="001C4DBC">
      <w:pPr>
        <w:pStyle w:val="ListParagraph"/>
        <w:numPr>
          <w:ilvl w:val="0"/>
          <w:numId w:val="1"/>
        </w:numPr>
        <w:spacing w:after="0" w:line="240" w:lineRule="auto"/>
        <w:rPr>
          <w:rFonts w:ascii="Times New Roman" w:eastAsia="Times New Roman" w:hAnsi="Times New Roman" w:cs="Times New Roman"/>
          <w:color w:val="000000" w:themeColor="text1"/>
        </w:rPr>
      </w:pPr>
      <w:r w:rsidRPr="3E83AE61">
        <w:rPr>
          <w:rFonts w:ascii="Times New Roman" w:eastAsia="Times New Roman" w:hAnsi="Times New Roman" w:cs="Times New Roman"/>
          <w:color w:val="000000" w:themeColor="text1"/>
        </w:rPr>
        <w:t xml:space="preserve">Allowing certified professional midwives to serve as director of medical affairs, administrative director, and provider in a birth center. </w:t>
      </w:r>
    </w:p>
    <w:p w14:paraId="42B36A74" w14:textId="77777777" w:rsidR="001C4DBC" w:rsidRDefault="001C4DBC" w:rsidP="001C4DBC">
      <w:pPr>
        <w:pStyle w:val="ListParagraph"/>
        <w:numPr>
          <w:ilvl w:val="0"/>
          <w:numId w:val="1"/>
        </w:numPr>
        <w:spacing w:after="0" w:line="240" w:lineRule="auto"/>
        <w:rPr>
          <w:rFonts w:ascii="Times New Roman" w:eastAsia="Times New Roman" w:hAnsi="Times New Roman" w:cs="Times New Roman"/>
          <w:color w:val="000000" w:themeColor="text1"/>
        </w:rPr>
      </w:pPr>
      <w:r w:rsidRPr="55434239">
        <w:rPr>
          <w:rFonts w:ascii="Times New Roman" w:eastAsia="Times New Roman" w:hAnsi="Times New Roman" w:cs="Times New Roman"/>
          <w:color w:val="000000" w:themeColor="text1"/>
        </w:rPr>
        <w:t>Revising the experience requirement for licensed nurses functioning as a birth assistant to experience with laboring and birthing patients.</w:t>
      </w:r>
    </w:p>
    <w:p w14:paraId="7807B343" w14:textId="77777777" w:rsidR="001C4DBC" w:rsidRDefault="001C4DBC" w:rsidP="001C4DBC">
      <w:pPr>
        <w:pStyle w:val="ListParagraph"/>
        <w:numPr>
          <w:ilvl w:val="0"/>
          <w:numId w:val="1"/>
        </w:numPr>
        <w:spacing w:after="0" w:line="240" w:lineRule="auto"/>
        <w:rPr>
          <w:rFonts w:ascii="Times New Roman" w:eastAsia="Times New Roman" w:hAnsi="Times New Roman" w:cs="Times New Roman"/>
          <w:color w:val="000000" w:themeColor="text1"/>
        </w:rPr>
      </w:pPr>
      <w:r w:rsidRPr="55434239">
        <w:rPr>
          <w:rFonts w:ascii="Times New Roman" w:eastAsia="Times New Roman" w:hAnsi="Times New Roman" w:cs="Times New Roman"/>
          <w:color w:val="000000" w:themeColor="text1"/>
        </w:rPr>
        <w:t xml:space="preserve">Removing the requirement that the Director of Medical Affairs must have full obstetrical privileges at a nearby hospital. </w:t>
      </w:r>
    </w:p>
    <w:p w14:paraId="5A750A59" w14:textId="77777777" w:rsidR="001C4DBC" w:rsidRPr="00573F76" w:rsidRDefault="001C4DBC" w:rsidP="001C4DBC">
      <w:pPr>
        <w:pStyle w:val="ListParagraph"/>
        <w:numPr>
          <w:ilvl w:val="0"/>
          <w:numId w:val="1"/>
        </w:numPr>
        <w:spacing w:after="0" w:line="240" w:lineRule="auto"/>
        <w:rPr>
          <w:rFonts w:ascii="Times New Roman" w:eastAsia="Times New Roman" w:hAnsi="Times New Roman" w:cs="Times New Roman"/>
          <w:color w:val="000000" w:themeColor="text1"/>
        </w:rPr>
      </w:pPr>
      <w:r w:rsidRPr="55434239">
        <w:rPr>
          <w:rFonts w:ascii="Times New Roman" w:eastAsia="Times New Roman" w:hAnsi="Times New Roman" w:cs="Times New Roman"/>
          <w:color w:val="000000" w:themeColor="text1"/>
        </w:rPr>
        <w:t xml:space="preserve">Removing the requirement that the provider attending </w:t>
      </w:r>
      <w:proofErr w:type="gramStart"/>
      <w:r w:rsidRPr="55434239">
        <w:rPr>
          <w:rFonts w:ascii="Times New Roman" w:eastAsia="Times New Roman" w:hAnsi="Times New Roman" w:cs="Times New Roman"/>
          <w:color w:val="000000" w:themeColor="text1"/>
        </w:rPr>
        <w:t>a birth</w:t>
      </w:r>
      <w:proofErr w:type="gramEnd"/>
      <w:r w:rsidRPr="55434239">
        <w:rPr>
          <w:rFonts w:ascii="Times New Roman" w:eastAsia="Times New Roman" w:hAnsi="Times New Roman" w:cs="Times New Roman"/>
          <w:color w:val="000000" w:themeColor="text1"/>
        </w:rPr>
        <w:t xml:space="preserve"> must have obstetrical privileges at a nearby hospital. </w:t>
      </w:r>
    </w:p>
    <w:p w14:paraId="571ADFA8" w14:textId="77777777" w:rsidR="001C4DBC" w:rsidRDefault="001C4DBC" w:rsidP="001C4DBC">
      <w:pPr>
        <w:pStyle w:val="ListParagraph"/>
        <w:numPr>
          <w:ilvl w:val="0"/>
          <w:numId w:val="1"/>
        </w:numPr>
        <w:spacing w:after="0" w:line="240" w:lineRule="auto"/>
      </w:pPr>
      <w:r w:rsidRPr="55434239">
        <w:rPr>
          <w:rFonts w:ascii="Times New Roman" w:eastAsia="Times New Roman" w:hAnsi="Times New Roman" w:cs="Times New Roman"/>
          <w:color w:val="000000" w:themeColor="text1"/>
        </w:rPr>
        <w:t>Removing the requirement for birth centers to have a transfer incubator.</w:t>
      </w:r>
    </w:p>
    <w:p w14:paraId="3D031C61" w14:textId="77777777" w:rsidR="001C4DBC" w:rsidRDefault="001C4DBC" w:rsidP="001C4DBC">
      <w:pPr>
        <w:pStyle w:val="ListParagraph"/>
        <w:numPr>
          <w:ilvl w:val="0"/>
          <w:numId w:val="1"/>
        </w:numPr>
        <w:spacing w:after="0" w:line="240" w:lineRule="auto"/>
        <w:rPr>
          <w:rFonts w:ascii="Times New Roman" w:eastAsia="Times New Roman" w:hAnsi="Times New Roman" w:cs="Times New Roman"/>
          <w:color w:val="000000" w:themeColor="text1"/>
        </w:rPr>
      </w:pPr>
      <w:r w:rsidRPr="55434239">
        <w:rPr>
          <w:rFonts w:ascii="Times New Roman" w:eastAsia="Times New Roman" w:hAnsi="Times New Roman" w:cs="Times New Roman"/>
          <w:color w:val="000000" w:themeColor="text1"/>
        </w:rPr>
        <w:t>Setting standards for the medical record for each pregnant and birthing person.</w:t>
      </w:r>
    </w:p>
    <w:p w14:paraId="3B6481BE" w14:textId="77777777" w:rsidR="001C4DBC" w:rsidRDefault="001C4DBC" w:rsidP="001C4DBC">
      <w:pPr>
        <w:pStyle w:val="ListParagraph"/>
        <w:numPr>
          <w:ilvl w:val="0"/>
          <w:numId w:val="1"/>
        </w:numPr>
        <w:spacing w:after="0" w:line="240" w:lineRule="auto"/>
        <w:rPr>
          <w:rFonts w:ascii="Times New Roman" w:eastAsia="Times New Roman" w:hAnsi="Times New Roman" w:cs="Times New Roman"/>
          <w:color w:val="000000" w:themeColor="text1"/>
        </w:rPr>
      </w:pPr>
      <w:r w:rsidRPr="55434239">
        <w:rPr>
          <w:rFonts w:ascii="Times New Roman" w:eastAsia="Times New Roman" w:hAnsi="Times New Roman" w:cs="Times New Roman"/>
          <w:color w:val="000000" w:themeColor="text1"/>
        </w:rPr>
        <w:t>Requiring a birth center to have written policies and procedures for the coordination of ongoing care and transfer of patients to hospitals for treatment beyond that provided by the birth center.</w:t>
      </w:r>
    </w:p>
    <w:p w14:paraId="19D21AF6" w14:textId="77777777" w:rsidR="001C4DBC" w:rsidRDefault="001C4DBC" w:rsidP="001C4DBC">
      <w:pPr>
        <w:ind w:left="720"/>
      </w:pPr>
    </w:p>
    <w:p w14:paraId="2C61070A" w14:textId="427D65F3" w:rsidR="001C4DBC" w:rsidRDefault="001C4DBC" w:rsidP="001C4DBC">
      <w:r>
        <w:t>The purpose of this memorandum is to provide further detail and information to licensed hospitals and licensed clinics providing birth center services, on the recent regulatory revisions to birth center service</w:t>
      </w:r>
      <w:r w:rsidR="00132BAA">
        <w:t>s</w:t>
      </w:r>
      <w:r>
        <w:t xml:space="preserve"> requirements in 105 CMR 130.000 and 105 CMR 140.000.</w:t>
      </w:r>
    </w:p>
    <w:p w14:paraId="2157E2E7" w14:textId="77777777" w:rsidR="001C4DBC" w:rsidRDefault="001C4DBC" w:rsidP="001C4DBC"/>
    <w:p w14:paraId="43A86A58" w14:textId="77777777" w:rsidR="001C4DBC" w:rsidRDefault="001C4DBC" w:rsidP="001C4DBC">
      <w:pPr>
        <w:rPr>
          <w:b/>
          <w:bCs/>
        </w:rPr>
      </w:pPr>
      <w:r>
        <w:rPr>
          <w:b/>
          <w:bCs/>
          <w:u w:val="single"/>
        </w:rPr>
        <w:t>Birth Center Services</w:t>
      </w:r>
    </w:p>
    <w:p w14:paraId="2F04952D" w14:textId="77777777" w:rsidR="001C4DBC" w:rsidRDefault="001C4DBC" w:rsidP="001C4DBC">
      <w:pPr>
        <w:rPr>
          <w:b/>
          <w:bCs/>
        </w:rPr>
      </w:pPr>
    </w:p>
    <w:p w14:paraId="5DDBA5B4" w14:textId="77777777" w:rsidR="001C4DBC" w:rsidRDefault="001C4DBC" w:rsidP="001C4DBC">
      <w:r>
        <w:t>Birth center services are defined in regulation as the service of providing professional midwifery services to low-risk pregnant persons during pregnancy, birth and post-partum, and to the infant during the immediate newborn period by certified professional midwives, certified nurse-midwives, obstetricians or family practitioners (see 105 CMR 140.020).</w:t>
      </w:r>
    </w:p>
    <w:p w14:paraId="4E70D9BC" w14:textId="77777777" w:rsidR="001C4DBC" w:rsidRDefault="001C4DBC" w:rsidP="001C4DBC"/>
    <w:p w14:paraId="5A5DD7FD" w14:textId="77777777" w:rsidR="001C4DBC" w:rsidRDefault="001C4DBC" w:rsidP="001C4DBC">
      <w:r>
        <w:t xml:space="preserve">If a licensed clinic or licensed hospital is to provide services beyond those as detailed in the definition of birth center services, the clinic or hospital must have the appropriate service levels on its license. For example, if a licensed clinic with birth center services provides obstetric care beyond birth and post-partum stages, the licensed clinic would also need to have medical services on its clinic license.  </w:t>
      </w:r>
    </w:p>
    <w:p w14:paraId="5D33E4D1" w14:textId="77777777" w:rsidR="001C4DBC" w:rsidRDefault="001C4DBC" w:rsidP="001C4DBC"/>
    <w:p w14:paraId="2ADE12F3" w14:textId="77777777" w:rsidR="001C4DBC" w:rsidRDefault="001C4DBC" w:rsidP="001C4DBC">
      <w:r>
        <w:rPr>
          <w:b/>
          <w:bCs/>
          <w:u w:val="single"/>
        </w:rPr>
        <w:t>Physical Plant Requirements</w:t>
      </w:r>
    </w:p>
    <w:p w14:paraId="2489B2C5" w14:textId="77777777" w:rsidR="001C4DBC" w:rsidRDefault="001C4DBC" w:rsidP="001C4DBC"/>
    <w:p w14:paraId="519BF5C6" w14:textId="77777777" w:rsidR="001C4DBC" w:rsidRDefault="001C4DBC" w:rsidP="001C4DBC">
      <w:r>
        <w:t xml:space="preserve">The physical plant requirements for licensed clinics providing birth center services </w:t>
      </w:r>
      <w:r>
        <w:rPr>
          <w:b/>
          <w:bCs/>
          <w:u w:val="single"/>
        </w:rPr>
        <w:t>only</w:t>
      </w:r>
      <w:r>
        <w:t xml:space="preserve"> are based on the facility requirements in the Commission for the Accreditation of Birth Centers Indicators of Compliance (see 105 CMR 140.103(E)).</w:t>
      </w:r>
    </w:p>
    <w:p w14:paraId="67308E56" w14:textId="77777777" w:rsidR="001C4DBC" w:rsidRDefault="001C4DBC" w:rsidP="001C4DBC"/>
    <w:p w14:paraId="4CD1582D" w14:textId="77777777" w:rsidR="001C4DBC" w:rsidRPr="00C601A3" w:rsidRDefault="001C4DBC" w:rsidP="001C4DBC">
      <w:r>
        <w:t>The physical plant requirements for licensed clinics providing more than birth center services and licensed hospitals providing birth center services are required to comply with the</w:t>
      </w:r>
      <w:r w:rsidRPr="008F0B4F">
        <w:t xml:space="preserve"> Facility Guidelines Institute’s Guidelines for Design and Construction of Health Care Facilities</w:t>
      </w:r>
      <w:r>
        <w:t xml:space="preserve"> (see 105 CMR 130.107 and 105 CMR 140.103(E)). </w:t>
      </w:r>
    </w:p>
    <w:p w14:paraId="16309582" w14:textId="77777777" w:rsidR="001C4DBC" w:rsidRPr="00E9423C" w:rsidRDefault="001C4DBC" w:rsidP="001C4DBC">
      <w:pPr>
        <w:rPr>
          <w:b/>
          <w:bCs/>
        </w:rPr>
      </w:pPr>
    </w:p>
    <w:p w14:paraId="60E469ED" w14:textId="77777777" w:rsidR="001C4DBC" w:rsidRDefault="001C4DBC" w:rsidP="001C4DBC">
      <w:pPr>
        <w:rPr>
          <w:b/>
          <w:bCs/>
          <w:u w:val="single"/>
        </w:rPr>
      </w:pPr>
      <w:r w:rsidRPr="661FF10B">
        <w:rPr>
          <w:b/>
          <w:bCs/>
          <w:u w:val="single"/>
        </w:rPr>
        <w:t>Neonatal Warming Devices</w:t>
      </w:r>
    </w:p>
    <w:p w14:paraId="35C090CD" w14:textId="77777777" w:rsidR="001C4DBC" w:rsidRDefault="001C4DBC" w:rsidP="001C4DBC"/>
    <w:p w14:paraId="377FCAEF" w14:textId="77777777" w:rsidR="001C4DBC" w:rsidRDefault="001C4DBC" w:rsidP="001C4DBC">
      <w:r>
        <w:t xml:space="preserve">Under 105 CMR 140.903 and 105 CMR 130.812, birth centers shall have safe and adequate equipment, including a neonatal warming device. The recent revisions to the regulations require a neonatal warming device in accordance with Department guidelines. The Department provides the below recommendations for neonatal warming devices. </w:t>
      </w:r>
    </w:p>
    <w:p w14:paraId="3C991116" w14:textId="77777777" w:rsidR="001C4DBC" w:rsidRDefault="001C4DBC" w:rsidP="001C4DBC"/>
    <w:p w14:paraId="57313FCC" w14:textId="77777777" w:rsidR="001C4DBC" w:rsidRDefault="001C4DBC" w:rsidP="001C4DBC">
      <w:pPr>
        <w:rPr>
          <w:rStyle w:val="FootnoteReference"/>
        </w:rPr>
      </w:pPr>
      <w:r>
        <w:t xml:space="preserve">Health care personnel may assess and determine that there is a need for a neonatal warming device. The need falls into four categories depending on the care necessary for the neonate: Prevention, Rewarming, Transport, and Resuscitation. While the Department encourages skin to skin care (SSC) there may be situations when additional </w:t>
      </w:r>
      <w:proofErr w:type="gramStart"/>
      <w:r>
        <w:t>supports are</w:t>
      </w:r>
      <w:proofErr w:type="gramEnd"/>
      <w:r>
        <w:t xml:space="preserve"> needed to increase and maintain the neonate’s temperature. The Department is providing possible options that meet the regulatory requirements at 105 CMR 140.903 and 105 CMR 130.812 for neonatal warming </w:t>
      </w:r>
      <w:r>
        <w:lastRenderedPageBreak/>
        <w:t>devices for each of these categories which are described in detail below and in alignment with clinical best practice.</w:t>
      </w:r>
      <w:r w:rsidRPr="5AF2ED7B">
        <w:rPr>
          <w:rStyle w:val="FootnoteReference"/>
        </w:rPr>
        <w:footnoteReference w:id="1"/>
      </w:r>
    </w:p>
    <w:p w14:paraId="176967E7" w14:textId="77777777" w:rsidR="001C4DBC" w:rsidRDefault="001C4DBC" w:rsidP="001C4DBC">
      <w:pPr>
        <w:rPr>
          <w:b/>
          <w:bCs/>
          <w:u w:val="single"/>
        </w:rPr>
      </w:pPr>
    </w:p>
    <w:p w14:paraId="41C3C6E2" w14:textId="77777777" w:rsidR="001C4DBC" w:rsidRPr="00D627A5" w:rsidRDefault="001C4DBC" w:rsidP="001C4DBC">
      <w:pPr>
        <w:rPr>
          <w:b/>
          <w:bCs/>
          <w:u w:val="single"/>
        </w:rPr>
      </w:pPr>
      <w:r w:rsidRPr="004B0D1F">
        <w:rPr>
          <w:u w:val="single"/>
        </w:rPr>
        <w:t>Prevention</w:t>
      </w:r>
      <w:r w:rsidRPr="004B0D1F">
        <w:t xml:space="preserve">: The regulations require birth centers to have a neonatal warming device (see 105 CMR 140.903 and 105 CMR 130.812). The requirement can be met by using one of the </w:t>
      </w:r>
      <w:proofErr w:type="gramStart"/>
      <w:r w:rsidRPr="004B0D1F">
        <w:t>below</w:t>
      </w:r>
      <w:proofErr w:type="gramEnd"/>
      <w:r w:rsidRPr="004B0D1F">
        <w:t xml:space="preserve"> methods:</w:t>
      </w:r>
    </w:p>
    <w:p w14:paraId="0EB1AE43" w14:textId="77777777" w:rsidR="001C4DBC" w:rsidRPr="00B64511" w:rsidRDefault="001C4DBC" w:rsidP="001C4DBC">
      <w:pPr>
        <w:rPr>
          <w:u w:val="single"/>
        </w:rPr>
      </w:pPr>
    </w:p>
    <w:p w14:paraId="5176F1DE" w14:textId="77777777" w:rsidR="001C4DBC" w:rsidRPr="00AE2B16" w:rsidRDefault="001C4DBC" w:rsidP="001C4DBC">
      <w:pPr>
        <w:pStyle w:val="ListParagraph"/>
        <w:numPr>
          <w:ilvl w:val="0"/>
          <w:numId w:val="1"/>
        </w:numPr>
        <w:spacing w:after="0" w:line="240" w:lineRule="auto"/>
        <w:rPr>
          <w:rFonts w:ascii="Times New Roman" w:hAnsi="Times New Roman" w:cs="Times New Roman"/>
          <w:color w:val="000000" w:themeColor="text1"/>
        </w:rPr>
      </w:pPr>
      <w:r w:rsidRPr="00AE2B16">
        <w:rPr>
          <w:rFonts w:ascii="Times New Roman" w:eastAsia="Times New Roman" w:hAnsi="Times New Roman" w:cs="Times New Roman"/>
          <w:color w:val="000000" w:themeColor="text1"/>
        </w:rPr>
        <w:t>SSC can be used for low birth weight (LBW) neonates (neonates who weigh 2500 grams or less), or clinically unremarkable neonates.</w:t>
      </w:r>
    </w:p>
    <w:p w14:paraId="5B29ADF5" w14:textId="77777777" w:rsidR="001C4DBC" w:rsidRPr="00AE2B16" w:rsidRDefault="001C4DBC" w:rsidP="001C4DBC">
      <w:pPr>
        <w:pStyle w:val="ListParagraph"/>
        <w:numPr>
          <w:ilvl w:val="0"/>
          <w:numId w:val="1"/>
        </w:numPr>
        <w:spacing w:after="0" w:line="240" w:lineRule="auto"/>
        <w:rPr>
          <w:rFonts w:ascii="Times New Roman" w:hAnsi="Times New Roman" w:cs="Times New Roman"/>
          <w:color w:val="000000" w:themeColor="text1"/>
        </w:rPr>
      </w:pPr>
      <w:r w:rsidRPr="00AE2B16">
        <w:rPr>
          <w:rFonts w:ascii="Times New Roman" w:hAnsi="Times New Roman" w:cs="Times New Roman"/>
          <w:color w:val="000000" w:themeColor="text1"/>
        </w:rPr>
        <w:t xml:space="preserve">Radiant Warmers, used for neonates with LBW for whom SSC is not clinically appropriate or who have low APGAR score (6 or below at birth, aka 5 at 5 minutes) or who do not need supplemental oxygen. </w:t>
      </w:r>
    </w:p>
    <w:p w14:paraId="690387D0" w14:textId="77777777" w:rsidR="001C4DBC" w:rsidRPr="00AE2B16" w:rsidRDefault="001C4DBC" w:rsidP="001C4DBC">
      <w:pPr>
        <w:pStyle w:val="ListParagraph"/>
        <w:numPr>
          <w:ilvl w:val="0"/>
          <w:numId w:val="1"/>
        </w:numPr>
        <w:spacing w:after="0" w:line="240" w:lineRule="auto"/>
        <w:rPr>
          <w:rFonts w:ascii="Times New Roman" w:hAnsi="Times New Roman" w:cs="Times New Roman"/>
          <w:color w:val="000000" w:themeColor="text1"/>
        </w:rPr>
      </w:pPr>
      <w:r w:rsidRPr="00AE2B16">
        <w:rPr>
          <w:rFonts w:ascii="Times New Roman" w:hAnsi="Times New Roman" w:cs="Times New Roman"/>
          <w:color w:val="000000" w:themeColor="text1"/>
        </w:rPr>
        <w:t>Warm rooms with temperatures set at 77</w:t>
      </w:r>
      <w:r w:rsidRPr="00AE2B16">
        <w:rPr>
          <w:rFonts w:ascii="Times New Roman" w:hAnsi="Times New Roman" w:cs="Times New Roman"/>
        </w:rPr>
        <w:t>°</w:t>
      </w:r>
      <w:r w:rsidRPr="00AE2B16">
        <w:rPr>
          <w:rFonts w:ascii="Times New Roman" w:hAnsi="Times New Roman" w:cs="Times New Roman"/>
          <w:color w:val="000000" w:themeColor="text1"/>
        </w:rPr>
        <w:t>F – 83</w:t>
      </w:r>
      <w:r w:rsidRPr="00AE2B16">
        <w:rPr>
          <w:rFonts w:ascii="Times New Roman" w:hAnsi="Times New Roman" w:cs="Times New Roman"/>
        </w:rPr>
        <w:t>°</w:t>
      </w:r>
      <w:r w:rsidRPr="00AE2B16">
        <w:rPr>
          <w:rFonts w:ascii="Times New Roman" w:hAnsi="Times New Roman" w:cs="Times New Roman"/>
          <w:color w:val="000000" w:themeColor="text1"/>
        </w:rPr>
        <w:t>F (25</w:t>
      </w:r>
      <w:r w:rsidRPr="00AE2B16">
        <w:rPr>
          <w:rFonts w:ascii="Times New Roman" w:hAnsi="Times New Roman" w:cs="Times New Roman"/>
        </w:rPr>
        <w:t>°</w:t>
      </w:r>
      <w:r w:rsidRPr="00AE2B16">
        <w:rPr>
          <w:rFonts w:ascii="Times New Roman" w:hAnsi="Times New Roman" w:cs="Times New Roman"/>
          <w:color w:val="000000" w:themeColor="text1"/>
        </w:rPr>
        <w:t>C-28</w:t>
      </w:r>
      <w:r w:rsidRPr="00AE2B16">
        <w:rPr>
          <w:rFonts w:ascii="Times New Roman" w:hAnsi="Times New Roman" w:cs="Times New Roman"/>
        </w:rPr>
        <w:t>°</w:t>
      </w:r>
      <w:r w:rsidRPr="00AE2B16">
        <w:rPr>
          <w:rFonts w:ascii="Times New Roman" w:hAnsi="Times New Roman" w:cs="Times New Roman"/>
          <w:color w:val="000000" w:themeColor="text1"/>
        </w:rPr>
        <w:t>C) for babies with very low birth weight (weighing ≤ 1500 grams), or</w:t>
      </w:r>
      <w:r w:rsidRPr="00AE2B16">
        <w:rPr>
          <w:rFonts w:ascii="Times New Roman" w:eastAsia="Times New Roman" w:hAnsi="Times New Roman" w:cs="Times New Roman"/>
          <w:color w:val="000000" w:themeColor="text1"/>
        </w:rPr>
        <w:t xml:space="preserve"> 80</w:t>
      </w:r>
      <w:r w:rsidRPr="00AE2B16">
        <w:rPr>
          <w:rFonts w:ascii="Times New Roman" w:hAnsi="Times New Roman" w:cs="Times New Roman"/>
        </w:rPr>
        <w:t>°</w:t>
      </w:r>
      <w:r w:rsidRPr="00AE2B16">
        <w:rPr>
          <w:rFonts w:ascii="Times New Roman" w:eastAsia="Times New Roman" w:hAnsi="Times New Roman" w:cs="Times New Roman"/>
          <w:color w:val="000000" w:themeColor="text1"/>
        </w:rPr>
        <w:t>F – 86</w:t>
      </w:r>
      <w:r w:rsidRPr="00AE2B16">
        <w:rPr>
          <w:rFonts w:ascii="Times New Roman" w:hAnsi="Times New Roman" w:cs="Times New Roman"/>
        </w:rPr>
        <w:t>°</w:t>
      </w:r>
      <w:r w:rsidRPr="00AE2B16">
        <w:rPr>
          <w:rFonts w:ascii="Times New Roman" w:eastAsia="Times New Roman" w:hAnsi="Times New Roman" w:cs="Times New Roman"/>
          <w:color w:val="000000" w:themeColor="text1"/>
        </w:rPr>
        <w:t>F (27</w:t>
      </w:r>
      <w:r w:rsidRPr="00AE2B16">
        <w:rPr>
          <w:rFonts w:ascii="Times New Roman" w:hAnsi="Times New Roman" w:cs="Times New Roman"/>
        </w:rPr>
        <w:t>°</w:t>
      </w:r>
      <w:r w:rsidRPr="00AE2B16">
        <w:rPr>
          <w:rFonts w:ascii="Times New Roman" w:eastAsia="Times New Roman" w:hAnsi="Times New Roman" w:cs="Times New Roman"/>
          <w:color w:val="000000" w:themeColor="text1"/>
        </w:rPr>
        <w:t>C-30</w:t>
      </w:r>
      <w:r w:rsidRPr="00AE2B16">
        <w:rPr>
          <w:rFonts w:ascii="Times New Roman" w:hAnsi="Times New Roman" w:cs="Times New Roman"/>
        </w:rPr>
        <w:t>°</w:t>
      </w:r>
      <w:r w:rsidRPr="00AE2B16">
        <w:rPr>
          <w:rFonts w:ascii="Times New Roman" w:eastAsia="Times New Roman" w:hAnsi="Times New Roman" w:cs="Times New Roman"/>
          <w:color w:val="000000" w:themeColor="text1"/>
        </w:rPr>
        <w:t>C) for babies with LBW. </w:t>
      </w:r>
    </w:p>
    <w:p w14:paraId="477E2169" w14:textId="77777777" w:rsidR="001C4DBC" w:rsidRPr="004C7499" w:rsidRDefault="001C4DBC" w:rsidP="001C4DBC">
      <w:pPr>
        <w:ind w:left="1800"/>
      </w:pPr>
    </w:p>
    <w:p w14:paraId="4CD493BB" w14:textId="77777777" w:rsidR="001C4DBC" w:rsidRPr="00AF4B1D" w:rsidRDefault="001C4DBC" w:rsidP="001C4DBC">
      <w:pPr>
        <w:spacing w:after="160" w:line="278" w:lineRule="auto"/>
        <w:rPr>
          <w:i/>
          <w:iCs/>
        </w:rPr>
      </w:pPr>
      <w:r w:rsidRPr="004B0D1F">
        <w:rPr>
          <w:u w:val="single"/>
        </w:rPr>
        <w:t>Rewarming</w:t>
      </w:r>
      <w:r>
        <w:t xml:space="preserve">: </w:t>
      </w:r>
      <w:r w:rsidRPr="004B0D1F">
        <w:t xml:space="preserve">The regulations require birth centers to have a neonatal warming device (see 105 CMR 140.903 and 105 CMR 130.812). The requirement can be met by using one of the </w:t>
      </w:r>
      <w:proofErr w:type="gramStart"/>
      <w:r w:rsidRPr="004B0D1F">
        <w:t>below</w:t>
      </w:r>
      <w:proofErr w:type="gramEnd"/>
      <w:r w:rsidRPr="004B0D1F">
        <w:t xml:space="preserve"> methods:</w:t>
      </w:r>
    </w:p>
    <w:p w14:paraId="12345DEE" w14:textId="77777777" w:rsidR="001C4DBC" w:rsidRPr="00AF4B1D" w:rsidRDefault="001C4DBC" w:rsidP="001C4DBC">
      <w:pPr>
        <w:pStyle w:val="ListParagraph"/>
        <w:numPr>
          <w:ilvl w:val="0"/>
          <w:numId w:val="1"/>
        </w:numPr>
        <w:spacing w:after="0" w:line="240" w:lineRule="auto"/>
        <w:rPr>
          <w:color w:val="000000" w:themeColor="text1"/>
        </w:rPr>
      </w:pPr>
      <w:r w:rsidRPr="00AF4B1D">
        <w:rPr>
          <w:rFonts w:ascii="Times New Roman" w:eastAsia="Times New Roman" w:hAnsi="Times New Roman" w:cs="Times New Roman"/>
          <w:color w:val="000000" w:themeColor="text1"/>
        </w:rPr>
        <w:t>SSC in a warm room at least 77</w:t>
      </w:r>
      <w:r>
        <w:t>°</w:t>
      </w:r>
      <w:r w:rsidRPr="00AF4B1D">
        <w:rPr>
          <w:rFonts w:ascii="Times New Roman" w:eastAsia="Times New Roman" w:hAnsi="Times New Roman" w:cs="Times New Roman"/>
          <w:color w:val="000000" w:themeColor="text1"/>
        </w:rPr>
        <w:t>F</w:t>
      </w:r>
      <w:r>
        <w:rPr>
          <w:rFonts w:ascii="Times New Roman" w:eastAsia="Times New Roman" w:hAnsi="Times New Roman" w:cs="Times New Roman"/>
          <w:color w:val="000000" w:themeColor="text1"/>
        </w:rPr>
        <w:t xml:space="preserve"> </w:t>
      </w:r>
      <w:r w:rsidRPr="00AF4B1D">
        <w:rPr>
          <w:rFonts w:ascii="Times New Roman" w:eastAsia="Times New Roman" w:hAnsi="Times New Roman" w:cs="Times New Roman"/>
          <w:color w:val="000000" w:themeColor="text1"/>
        </w:rPr>
        <w:t>(25</w:t>
      </w:r>
      <w:r>
        <w:t>°</w:t>
      </w:r>
      <w:r w:rsidRPr="00AF4B1D">
        <w:rPr>
          <w:rFonts w:ascii="Times New Roman" w:eastAsia="Times New Roman" w:hAnsi="Times New Roman" w:cs="Times New Roman"/>
          <w:color w:val="000000" w:themeColor="text1"/>
        </w:rPr>
        <w:t>C) immediately after birth for neonates who are clinically stable </w:t>
      </w:r>
    </w:p>
    <w:p w14:paraId="7E0423A3" w14:textId="77777777" w:rsidR="001C4DBC" w:rsidRPr="00AF4B1D" w:rsidRDefault="001C4DBC" w:rsidP="001C4DBC">
      <w:pPr>
        <w:pStyle w:val="ListParagraph"/>
        <w:numPr>
          <w:ilvl w:val="0"/>
          <w:numId w:val="1"/>
        </w:numPr>
        <w:spacing w:after="0" w:line="240" w:lineRule="auto"/>
        <w:rPr>
          <w:color w:val="000000" w:themeColor="text1"/>
        </w:rPr>
      </w:pPr>
      <w:r w:rsidRPr="00AF4B1D">
        <w:rPr>
          <w:rFonts w:ascii="Times New Roman" w:eastAsia="Times New Roman" w:hAnsi="Times New Roman" w:cs="Times New Roman"/>
          <w:color w:val="000000" w:themeColor="text1"/>
        </w:rPr>
        <w:t>Radiant warmers, used for unstable neonates with LBW who cannot be given SSC or who have low APGAR score (6 or below, aka 5 at 5 minutes) or who exhibited signs of stress during delivery. Radiant warmers should be used on clothed neonates only.</w:t>
      </w:r>
    </w:p>
    <w:p w14:paraId="7FD81C8C" w14:textId="77777777" w:rsidR="001C4DBC" w:rsidRPr="00AF4B1D" w:rsidRDefault="001C4DBC" w:rsidP="001C4DBC">
      <w:pPr>
        <w:pStyle w:val="ListParagraph"/>
        <w:numPr>
          <w:ilvl w:val="0"/>
          <w:numId w:val="1"/>
        </w:numPr>
        <w:spacing w:after="0" w:line="240" w:lineRule="auto"/>
        <w:rPr>
          <w:color w:val="000000" w:themeColor="text1"/>
        </w:rPr>
      </w:pPr>
      <w:r w:rsidRPr="00AF4B1D">
        <w:rPr>
          <w:rFonts w:ascii="Times New Roman" w:eastAsia="Times New Roman" w:hAnsi="Times New Roman" w:cs="Times New Roman"/>
          <w:color w:val="000000" w:themeColor="text1"/>
        </w:rPr>
        <w:t>A heated water-filled mattress, used with a clothed neonate. This can be an economic alternative for LBW neonates when an incubator is not available and allows for a smaller barrier between mother and neonate for simultaneous SSC.</w:t>
      </w:r>
    </w:p>
    <w:p w14:paraId="20CC1C46" w14:textId="77777777" w:rsidR="001C4DBC" w:rsidRPr="004C7499" w:rsidRDefault="001C4DBC" w:rsidP="001C4DBC"/>
    <w:p w14:paraId="5165752E" w14:textId="77777777" w:rsidR="001C4DBC" w:rsidRPr="00AF4B1D" w:rsidRDefault="001C4DBC" w:rsidP="001C4DBC">
      <w:pPr>
        <w:rPr>
          <w:i/>
          <w:iCs/>
        </w:rPr>
      </w:pPr>
      <w:r w:rsidRPr="00D627A5">
        <w:rPr>
          <w:u w:val="single"/>
        </w:rPr>
        <w:t>Transport</w:t>
      </w:r>
      <w:r>
        <w:t>:</w:t>
      </w:r>
      <w:r w:rsidRPr="00AF4B1D">
        <w:rPr>
          <w:i/>
          <w:iCs/>
        </w:rPr>
        <w:t xml:space="preserve"> </w:t>
      </w:r>
      <w:r w:rsidRPr="00D627A5">
        <w:t>Neonates with LBW should be transferred to a hospital. Birth centers are required to have written policies and procedures for the coordination of ongoing care and transfer of patients to hospitals for treatment beyond that provided by the birth center (see 105 CMR 130.810 and 105 CMR 140.901). For purposes of neonatal warming devices for transport, the Department recommends the following:</w:t>
      </w:r>
    </w:p>
    <w:p w14:paraId="3C4D580D" w14:textId="77777777" w:rsidR="001C4DBC" w:rsidRPr="004C7499" w:rsidRDefault="001C4DBC" w:rsidP="001C4DBC">
      <w:pPr>
        <w:ind w:left="720"/>
        <w:rPr>
          <w:u w:val="single"/>
        </w:rPr>
      </w:pPr>
    </w:p>
    <w:p w14:paraId="7E37CB9A" w14:textId="77777777" w:rsidR="001C4DBC" w:rsidRPr="00AF4B1D" w:rsidRDefault="001C4DBC" w:rsidP="001C4DBC">
      <w:pPr>
        <w:pStyle w:val="ListParagraph"/>
        <w:numPr>
          <w:ilvl w:val="0"/>
          <w:numId w:val="1"/>
        </w:numPr>
        <w:spacing w:after="0" w:line="240" w:lineRule="auto"/>
        <w:rPr>
          <w:color w:val="000000" w:themeColor="text1"/>
        </w:rPr>
      </w:pPr>
      <w:r w:rsidRPr="00AF4B1D">
        <w:rPr>
          <w:rFonts w:ascii="Times New Roman" w:eastAsia="Times New Roman" w:hAnsi="Times New Roman" w:cs="Times New Roman"/>
          <w:color w:val="000000" w:themeColor="text1"/>
        </w:rPr>
        <w:t>SSC</w:t>
      </w:r>
      <w:r w:rsidRPr="00AF4B1D">
        <w:rPr>
          <w:rFonts w:ascii="Times New Roman" w:eastAsia="Times New Roman" w:hAnsi="Times New Roman" w:cs="Times New Roman"/>
          <w:color w:val="000000" w:themeColor="text1"/>
        </w:rPr>
        <w:tab/>
        <w:t> </w:t>
      </w:r>
    </w:p>
    <w:p w14:paraId="3D8ACDD4" w14:textId="77777777" w:rsidR="001C4DBC" w:rsidRPr="00AF4B1D" w:rsidRDefault="001C4DBC" w:rsidP="001C4DBC">
      <w:pPr>
        <w:pStyle w:val="ListParagraph"/>
        <w:numPr>
          <w:ilvl w:val="0"/>
          <w:numId w:val="1"/>
        </w:numPr>
        <w:spacing w:after="0" w:line="240" w:lineRule="auto"/>
        <w:rPr>
          <w:color w:val="000000" w:themeColor="text1"/>
        </w:rPr>
      </w:pPr>
      <w:r w:rsidRPr="00AF4B1D">
        <w:rPr>
          <w:rFonts w:ascii="Times New Roman" w:eastAsia="Times New Roman" w:hAnsi="Times New Roman" w:cs="Times New Roman"/>
          <w:color w:val="000000" w:themeColor="text1"/>
        </w:rPr>
        <w:t>Wrapped warm water bottles </w:t>
      </w:r>
    </w:p>
    <w:p w14:paraId="110713A9" w14:textId="77777777" w:rsidR="001C4DBC" w:rsidRPr="00AF4B1D" w:rsidRDefault="001C4DBC" w:rsidP="001C4DBC">
      <w:pPr>
        <w:pStyle w:val="ListParagraph"/>
        <w:numPr>
          <w:ilvl w:val="0"/>
          <w:numId w:val="1"/>
        </w:numPr>
        <w:spacing w:after="0" w:line="240" w:lineRule="auto"/>
        <w:rPr>
          <w:color w:val="000000" w:themeColor="text1"/>
        </w:rPr>
      </w:pPr>
      <w:r w:rsidRPr="00AF4B1D">
        <w:rPr>
          <w:rFonts w:ascii="Times New Roman" w:eastAsia="Times New Roman" w:hAnsi="Times New Roman" w:cs="Times New Roman"/>
          <w:color w:val="000000" w:themeColor="text1"/>
        </w:rPr>
        <w:t>Transport Incubators </w:t>
      </w:r>
    </w:p>
    <w:p w14:paraId="578A0579" w14:textId="77777777" w:rsidR="001C4DBC" w:rsidRDefault="001C4DBC" w:rsidP="001C4DBC">
      <w:pPr>
        <w:ind w:left="720"/>
        <w:rPr>
          <w:b/>
          <w:bCs/>
          <w:u w:val="single"/>
        </w:rPr>
      </w:pPr>
    </w:p>
    <w:p w14:paraId="6500CCF2" w14:textId="77777777" w:rsidR="001C4DBC" w:rsidRDefault="001C4DBC" w:rsidP="001C4DBC">
      <w:pPr>
        <w:rPr>
          <w:i/>
          <w:iCs/>
        </w:rPr>
      </w:pPr>
      <w:r w:rsidRPr="004B0D1F">
        <w:rPr>
          <w:u w:val="single"/>
        </w:rPr>
        <w:lastRenderedPageBreak/>
        <w:t>Resuscitation</w:t>
      </w:r>
      <w:r>
        <w:rPr>
          <w:u w:val="single"/>
        </w:rPr>
        <w:t>:</w:t>
      </w:r>
      <w:r>
        <w:rPr>
          <w:i/>
          <w:iCs/>
        </w:rPr>
        <w:t xml:space="preserve"> </w:t>
      </w:r>
      <w:r w:rsidRPr="004B0D1F">
        <w:t xml:space="preserve">Birth centers are required to have written policies and procedures, </w:t>
      </w:r>
      <w:proofErr w:type="gramStart"/>
      <w:r w:rsidRPr="004B0D1F">
        <w:t>including for</w:t>
      </w:r>
      <w:proofErr w:type="gramEnd"/>
      <w:r w:rsidRPr="004B0D1F">
        <w:t xml:space="preserve"> emergency procedures which include adult and neonatal cardiopulmonary resuscitation (see 105 CMR 130.810 and 105 CMR 140.901).  For purposes of neonatal warming devices for resuscitation, the Department recommends the use of a radiant heater.</w:t>
      </w:r>
    </w:p>
    <w:p w14:paraId="6AC33F85" w14:textId="77777777" w:rsidR="001C4DBC" w:rsidRPr="00AF4B1D" w:rsidRDefault="001C4DBC" w:rsidP="001C4DBC">
      <w:pPr>
        <w:rPr>
          <w:i/>
          <w:iCs/>
        </w:rPr>
      </w:pPr>
    </w:p>
    <w:p w14:paraId="5F68C8D3" w14:textId="77777777" w:rsidR="001C4DBC" w:rsidRDefault="001C4DBC" w:rsidP="001C4DBC">
      <w:pPr>
        <w:rPr>
          <w:b/>
          <w:bCs/>
          <w:u w:val="single"/>
        </w:rPr>
      </w:pPr>
      <w:r w:rsidRPr="3E83AE61">
        <w:rPr>
          <w:b/>
          <w:bCs/>
          <w:u w:val="single"/>
        </w:rPr>
        <w:t xml:space="preserve">Clinical Recommendations for monitoring neonatal temperature: </w:t>
      </w:r>
    </w:p>
    <w:p w14:paraId="51ED3BFD" w14:textId="77777777" w:rsidR="001C4DBC" w:rsidRDefault="001C4DBC" w:rsidP="001C4DBC"/>
    <w:p w14:paraId="152343FC" w14:textId="77777777" w:rsidR="001C4DBC" w:rsidRDefault="001C4DBC" w:rsidP="001C4DBC">
      <w:pPr>
        <w:rPr>
          <w:b/>
          <w:bCs/>
          <w:u w:val="single"/>
        </w:rPr>
      </w:pPr>
      <w:r>
        <w:t>Warming tables, or beds, should be regulated to maintain a temperature between 97.7°F (36.5°C) and 99.5°F (37.5°C), with axillary, temporal, or rectal neonatal temperatures monitored at 10-minute intervals to mitigate the risk of hyperthermia in clothed neonates with a goal temperature of 96.98°F (36.1°C) - 98.6°F (37°C).</w:t>
      </w:r>
    </w:p>
    <w:p w14:paraId="04F3E3AE" w14:textId="77777777" w:rsidR="001C4DBC" w:rsidRDefault="001C4DBC" w:rsidP="001C4DBC"/>
    <w:p w14:paraId="1B72487B" w14:textId="77777777" w:rsidR="001C4DBC" w:rsidRDefault="001C4DBC" w:rsidP="001C4DBC">
      <w:pPr>
        <w:rPr>
          <w:b/>
          <w:bCs/>
          <w:u w:val="single"/>
        </w:rPr>
      </w:pPr>
      <w:r w:rsidRPr="55434239">
        <w:rPr>
          <w:b/>
          <w:bCs/>
          <w:u w:val="single"/>
        </w:rPr>
        <w:t>Reporting</w:t>
      </w:r>
    </w:p>
    <w:p w14:paraId="0A5347FD" w14:textId="77777777" w:rsidR="001C4DBC" w:rsidRDefault="001C4DBC" w:rsidP="001C4DBC"/>
    <w:p w14:paraId="37FD7C51" w14:textId="77777777" w:rsidR="001C4DBC" w:rsidRDefault="001C4DBC" w:rsidP="001C4DBC">
      <w:r>
        <w:t xml:space="preserve">Licensed hospitals and licensed clinics providing birth center services must participate in the American Association of Birth Centers’ Perinatal Data Registry and report each birth as directed at:  </w:t>
      </w:r>
      <w:hyperlink r:id="rId13">
        <w:r w:rsidRPr="55434239">
          <w:rPr>
            <w:rStyle w:val="Hyperlink"/>
          </w:rPr>
          <w:t>https://www.birthcenters.org/pdr</w:t>
        </w:r>
      </w:hyperlink>
      <w:r>
        <w:t xml:space="preserve"> (see 105 CMR 130.818 and 105 CMR 140.909).</w:t>
      </w:r>
    </w:p>
    <w:p w14:paraId="12970D3D" w14:textId="77777777" w:rsidR="001C4DBC" w:rsidRDefault="001C4DBC" w:rsidP="001C4DBC"/>
    <w:p w14:paraId="47E3A085" w14:textId="77777777" w:rsidR="001C4DBC" w:rsidRPr="00D627A5" w:rsidRDefault="001C4DBC" w:rsidP="001C4DBC">
      <w:r w:rsidRPr="00AC689C">
        <w:rPr>
          <w:b/>
          <w:bCs/>
          <w:u w:val="single"/>
        </w:rPr>
        <w:t>Transfer of Patients</w:t>
      </w:r>
    </w:p>
    <w:p w14:paraId="0291F379" w14:textId="77777777" w:rsidR="001C4DBC" w:rsidRDefault="001C4DBC" w:rsidP="001C4DBC">
      <w:pPr>
        <w:rPr>
          <w:b/>
          <w:bCs/>
          <w:u w:val="single"/>
        </w:rPr>
      </w:pPr>
    </w:p>
    <w:p w14:paraId="343624AD" w14:textId="77777777" w:rsidR="001C4DBC" w:rsidRDefault="001C4DBC" w:rsidP="001C4DBC">
      <w:r>
        <w:t>Licensed hospitals and licensed clinics providing birth center services must develop written policies and procedures for the prompt and safe transfer of patients for emergency treatment (see 105 CMR 130.814 and 105 CMR 140.905).</w:t>
      </w:r>
    </w:p>
    <w:p w14:paraId="1C29D1C6" w14:textId="77777777" w:rsidR="001C4DBC" w:rsidRDefault="001C4DBC" w:rsidP="001C4DBC"/>
    <w:p w14:paraId="0B616A01" w14:textId="77777777" w:rsidR="001C4DBC" w:rsidRDefault="001C4DBC" w:rsidP="001C4DBC">
      <w:r>
        <w:t>Additionally, licensed hospitals and licensed clinics providing birth center services must have written policies for coordinating ongoing care and transfer of patients to hospitals for treatment beyond that provided by the birth center (see 105 CMR 130.814 and 105 CMR 140.905).</w:t>
      </w:r>
    </w:p>
    <w:p w14:paraId="332C705F" w14:textId="77777777" w:rsidR="001C4DBC" w:rsidRDefault="001C4DBC" w:rsidP="001C4DBC"/>
    <w:p w14:paraId="4ADFB557" w14:textId="77777777" w:rsidR="001C4DBC" w:rsidRPr="00AC689C" w:rsidRDefault="001C4DBC" w:rsidP="001C4DBC">
      <w:r>
        <w:t>For questions, please contact the Bureau of Health Care Safety and Quality at</w:t>
      </w:r>
      <w:r w:rsidRPr="00AE2B16">
        <w:t xml:space="preserve"> </w:t>
      </w:r>
      <w:hyperlink r:id="rId14" w:history="1">
        <w:r w:rsidRPr="00011646">
          <w:rPr>
            <w:rStyle w:val="Hyperlink"/>
          </w:rPr>
          <w:t>DPH.BHCSQ@MassMail.State.MA.US</w:t>
        </w:r>
      </w:hyperlink>
      <w:r>
        <w:t>.</w:t>
      </w:r>
    </w:p>
    <w:p w14:paraId="033CB9BA" w14:textId="77777777" w:rsidR="001C4DBC" w:rsidRDefault="001C4DBC" w:rsidP="001C4DBC">
      <w:pPr>
        <w:shd w:val="clear" w:color="auto" w:fill="FFFFFF" w:themeFill="background1"/>
      </w:pPr>
    </w:p>
    <w:p w14:paraId="4BADD65B" w14:textId="77777777" w:rsidR="001C4DBC" w:rsidRPr="00AF4B1D" w:rsidRDefault="001C4DBC" w:rsidP="001C4DBC">
      <w:pPr>
        <w:shd w:val="clear" w:color="auto" w:fill="FFFFFF" w:themeFill="background1"/>
        <w:rPr>
          <w:b/>
          <w:bCs/>
        </w:rPr>
      </w:pPr>
    </w:p>
    <w:p w14:paraId="67054D55" w14:textId="77777777" w:rsidR="001C4DBC" w:rsidRPr="00AF4B1D" w:rsidRDefault="001C4DBC" w:rsidP="001C4DBC">
      <w:pPr>
        <w:shd w:val="clear" w:color="auto" w:fill="FFFFFF" w:themeFill="background1"/>
        <w:rPr>
          <w:b/>
          <w:bCs/>
          <w:szCs w:val="24"/>
        </w:rPr>
      </w:pPr>
      <w:r w:rsidRPr="00AF4B1D">
        <w:rPr>
          <w:b/>
          <w:bCs/>
          <w:szCs w:val="24"/>
        </w:rPr>
        <w:t>References:</w:t>
      </w:r>
    </w:p>
    <w:p w14:paraId="5174926A" w14:textId="77777777" w:rsidR="001C4DBC" w:rsidRPr="00AF4B1D" w:rsidRDefault="001C4DBC" w:rsidP="001C4DBC">
      <w:pPr>
        <w:shd w:val="clear" w:color="auto" w:fill="FFFFFF" w:themeFill="background1"/>
        <w:rPr>
          <w:rFonts w:eastAsia="Calibri"/>
          <w:color w:val="242424"/>
          <w:szCs w:val="24"/>
        </w:rPr>
      </w:pPr>
    </w:p>
    <w:p w14:paraId="0021D2DD" w14:textId="77777777" w:rsidR="001C4DBC" w:rsidRPr="00AF4B1D" w:rsidRDefault="001C4DBC" w:rsidP="001C4DBC">
      <w:pPr>
        <w:shd w:val="clear" w:color="auto" w:fill="FFFFFF" w:themeFill="background1"/>
        <w:rPr>
          <w:color w:val="242424"/>
          <w:szCs w:val="24"/>
        </w:rPr>
      </w:pPr>
      <w:r w:rsidRPr="00AF4B1D">
        <w:rPr>
          <w:rFonts w:eastAsia="Calibri"/>
          <w:color w:val="242424"/>
          <w:szCs w:val="24"/>
        </w:rPr>
        <w:t xml:space="preserve">CDC: </w:t>
      </w:r>
      <w:hyperlink r:id="rId15" w:history="1">
        <w:r w:rsidRPr="00AF4B1D">
          <w:rPr>
            <w:rStyle w:val="Hyperlink"/>
            <w:rFonts w:eastAsia="Calibri"/>
            <w:szCs w:val="24"/>
          </w:rPr>
          <w:t>Guidelines for Environmental Infection Control in Health-Care Facilities (2003)</w:t>
        </w:r>
      </w:hyperlink>
      <w:r w:rsidRPr="00AF4B1D">
        <w:rPr>
          <w:rFonts w:eastAsia="Calibri"/>
          <w:color w:val="242424"/>
          <w:szCs w:val="24"/>
        </w:rPr>
        <w:t xml:space="preserve"> </w:t>
      </w:r>
    </w:p>
    <w:p w14:paraId="2CA32068" w14:textId="77777777" w:rsidR="001C4DBC" w:rsidRPr="00AF4B1D" w:rsidRDefault="001C4DBC" w:rsidP="001C4DBC">
      <w:pPr>
        <w:shd w:val="clear" w:color="auto" w:fill="FFFFFF" w:themeFill="background1"/>
        <w:rPr>
          <w:rFonts w:eastAsia="Calibri"/>
          <w:color w:val="242424"/>
          <w:szCs w:val="24"/>
        </w:rPr>
      </w:pPr>
      <w:r w:rsidRPr="00AF4B1D">
        <w:rPr>
          <w:rFonts w:eastAsia="Calibri"/>
          <w:color w:val="242424"/>
          <w:szCs w:val="24"/>
        </w:rPr>
        <w:t xml:space="preserve"> </w:t>
      </w:r>
    </w:p>
    <w:p w14:paraId="091F1180" w14:textId="77777777" w:rsidR="001C4DBC" w:rsidRPr="00AF4B1D" w:rsidRDefault="001C4DBC" w:rsidP="001C4DBC">
      <w:pPr>
        <w:shd w:val="clear" w:color="auto" w:fill="FFFFFF" w:themeFill="background1"/>
        <w:rPr>
          <w:color w:val="0000FF"/>
        </w:rPr>
      </w:pPr>
      <w:r w:rsidRPr="00AF4B1D">
        <w:rPr>
          <w:rFonts w:eastAsia="Calibri"/>
          <w:color w:val="242424"/>
          <w:szCs w:val="24"/>
        </w:rPr>
        <w:t xml:space="preserve">American National Standards Institute (ANSI); American Society of Heating, Refrigerating, and Air-Conditioning Engineers (ASHRAE); and the American Society for Healthcare Engineering (ASHE) updated their </w:t>
      </w:r>
      <w:hyperlink r:id="rId16" w:history="1">
        <w:r w:rsidRPr="00AF4B1D">
          <w:rPr>
            <w:rStyle w:val="Hyperlink"/>
            <w:rFonts w:eastAsia="Calibri"/>
            <w:szCs w:val="24"/>
          </w:rPr>
          <w:t>joint standard on Ventilation of Health Care Facilities</w:t>
        </w:r>
      </w:hyperlink>
      <w:r>
        <w:rPr>
          <w:color w:val="242424"/>
          <w:szCs w:val="24"/>
        </w:rPr>
        <w:t xml:space="preserve"> </w:t>
      </w:r>
    </w:p>
    <w:p w14:paraId="07EF0397" w14:textId="77777777" w:rsidR="001C4DBC" w:rsidRPr="00AF4B1D" w:rsidRDefault="001C4DBC" w:rsidP="001C4DBC">
      <w:pPr>
        <w:shd w:val="clear" w:color="auto" w:fill="FFFFFF" w:themeFill="background1"/>
        <w:rPr>
          <w:rFonts w:eastAsia="Calibri"/>
          <w:color w:val="242424"/>
          <w:szCs w:val="24"/>
        </w:rPr>
      </w:pPr>
    </w:p>
    <w:p w14:paraId="77697226" w14:textId="77777777" w:rsidR="001C4DBC" w:rsidRPr="00AF4B1D" w:rsidRDefault="001C4DBC" w:rsidP="001C4DBC">
      <w:pPr>
        <w:shd w:val="clear" w:color="auto" w:fill="FFFFFF" w:themeFill="background1"/>
        <w:rPr>
          <w:rFonts w:eastAsia="Calibri"/>
          <w:color w:val="242424"/>
          <w:szCs w:val="24"/>
        </w:rPr>
      </w:pPr>
      <w:r w:rsidRPr="00AF4B1D">
        <w:rPr>
          <w:rFonts w:eastAsia="Calibri"/>
          <w:color w:val="242424"/>
          <w:szCs w:val="24"/>
        </w:rPr>
        <w:t>World Health Organization</w:t>
      </w:r>
      <w:r>
        <w:rPr>
          <w:color w:val="242424"/>
          <w:szCs w:val="24"/>
        </w:rPr>
        <w:t xml:space="preserve">: </w:t>
      </w:r>
      <w:hyperlink r:id="rId17" w:history="1">
        <w:r w:rsidRPr="003D58EE">
          <w:rPr>
            <w:rStyle w:val="Hyperlink"/>
            <w:szCs w:val="24"/>
          </w:rPr>
          <w:t>Thermal Protection of the Newborn: a practical guide</w:t>
        </w:r>
      </w:hyperlink>
    </w:p>
    <w:p w14:paraId="234D01C9" w14:textId="77777777" w:rsidR="001C4DBC" w:rsidRPr="00AF4B1D" w:rsidRDefault="001C4DBC" w:rsidP="001C4DBC">
      <w:pPr>
        <w:shd w:val="clear" w:color="auto" w:fill="FFFFFF" w:themeFill="background1"/>
        <w:rPr>
          <w:rFonts w:eastAsia="Calibri"/>
          <w:color w:val="242424"/>
          <w:szCs w:val="24"/>
        </w:rPr>
      </w:pPr>
    </w:p>
    <w:p w14:paraId="74BAC1E1" w14:textId="5C4A37BC" w:rsidR="007210FB" w:rsidRPr="009908FF" w:rsidRDefault="001C4DBC" w:rsidP="001C4DBC">
      <w:r w:rsidRPr="00AF4B1D">
        <w:rPr>
          <w:rFonts w:eastAsia="Calibri"/>
          <w:color w:val="242424"/>
          <w:szCs w:val="24"/>
        </w:rPr>
        <w:t xml:space="preserve">Up to </w:t>
      </w:r>
      <w:r>
        <w:rPr>
          <w:rFonts w:eastAsia="Calibri"/>
          <w:color w:val="242424"/>
          <w:szCs w:val="24"/>
        </w:rPr>
        <w:t xml:space="preserve">Date: </w:t>
      </w:r>
      <w:hyperlink r:id="rId18" w:history="1">
        <w:r w:rsidRPr="00AF4B1D">
          <w:rPr>
            <w:rStyle w:val="Hyperlink"/>
            <w:rFonts w:eastAsia="Calibri"/>
          </w:rPr>
          <w:t>Neonatal resuscitation in the delivery room</w:t>
        </w:r>
      </w:hyperlink>
    </w:p>
    <w:sectPr w:rsidR="007210FB" w:rsidRPr="009908FF" w:rsidSect="00802852">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9AB94" w14:textId="77777777" w:rsidR="00937A5E" w:rsidRDefault="00937A5E" w:rsidP="001C4DBC">
      <w:r>
        <w:separator/>
      </w:r>
    </w:p>
  </w:endnote>
  <w:endnote w:type="continuationSeparator" w:id="0">
    <w:p w14:paraId="320ED711" w14:textId="77777777" w:rsidR="00937A5E" w:rsidRDefault="00937A5E" w:rsidP="001C4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1060C" w14:textId="77777777" w:rsidR="00937A5E" w:rsidRDefault="00937A5E" w:rsidP="001C4DBC">
      <w:r>
        <w:separator/>
      </w:r>
    </w:p>
  </w:footnote>
  <w:footnote w:type="continuationSeparator" w:id="0">
    <w:p w14:paraId="4DE856E9" w14:textId="77777777" w:rsidR="00937A5E" w:rsidRDefault="00937A5E" w:rsidP="001C4DBC">
      <w:r>
        <w:continuationSeparator/>
      </w:r>
    </w:p>
  </w:footnote>
  <w:footnote w:id="1">
    <w:p w14:paraId="26491E96" w14:textId="77777777" w:rsidR="001C4DBC" w:rsidRPr="001831DB" w:rsidRDefault="001C4DBC" w:rsidP="001C4DBC">
      <w:pPr>
        <w:spacing w:before="240" w:after="240"/>
        <w:rPr>
          <w:color w:val="000000" w:themeColor="text1"/>
          <w:sz w:val="16"/>
          <w:szCs w:val="16"/>
        </w:rPr>
      </w:pPr>
      <w:r w:rsidRPr="001831DB">
        <w:rPr>
          <w:b/>
          <w:bCs/>
          <w:color w:val="000000" w:themeColor="text1"/>
          <w:sz w:val="16"/>
          <w:szCs w:val="16"/>
        </w:rPr>
        <w:t>Michiko Kyokan</w:t>
      </w:r>
      <w:r w:rsidRPr="001831DB">
        <w:rPr>
          <w:b/>
          <w:bCs/>
          <w:color w:val="000000" w:themeColor="text1"/>
          <w:sz w:val="16"/>
          <w:szCs w:val="16"/>
          <w:vertAlign w:val="superscript"/>
        </w:rPr>
        <w:t>1*</w:t>
      </w:r>
      <w:r w:rsidRPr="001831DB">
        <w:rPr>
          <w:b/>
          <w:bCs/>
          <w:color w:val="000000" w:themeColor="text1"/>
          <w:sz w:val="16"/>
          <w:szCs w:val="16"/>
        </w:rPr>
        <w:t>, Flavia Rosa-Mangeret</w:t>
      </w:r>
      <w:r w:rsidRPr="001831DB">
        <w:rPr>
          <w:b/>
          <w:bCs/>
          <w:color w:val="000000" w:themeColor="text1"/>
          <w:sz w:val="16"/>
          <w:szCs w:val="16"/>
          <w:vertAlign w:val="superscript"/>
        </w:rPr>
        <w:t>1,2*</w:t>
      </w:r>
      <w:r w:rsidRPr="001831DB">
        <w:rPr>
          <w:b/>
          <w:bCs/>
          <w:color w:val="000000" w:themeColor="text1"/>
          <w:sz w:val="16"/>
          <w:szCs w:val="16"/>
        </w:rPr>
        <w:t>, Matthieu Gani</w:t>
      </w:r>
      <w:r w:rsidRPr="001831DB">
        <w:rPr>
          <w:b/>
          <w:bCs/>
          <w:color w:val="000000" w:themeColor="text1"/>
          <w:sz w:val="16"/>
          <w:szCs w:val="16"/>
          <w:vertAlign w:val="superscript"/>
        </w:rPr>
        <w:t>3</w:t>
      </w:r>
      <w:r w:rsidRPr="001831DB">
        <w:rPr>
          <w:b/>
          <w:bCs/>
          <w:color w:val="000000" w:themeColor="text1"/>
          <w:sz w:val="16"/>
          <w:szCs w:val="16"/>
        </w:rPr>
        <w:t>, Riccardo E Pfister</w:t>
      </w:r>
      <w:r w:rsidRPr="001831DB">
        <w:rPr>
          <w:b/>
          <w:bCs/>
          <w:color w:val="000000" w:themeColor="text1"/>
          <w:sz w:val="16"/>
          <w:szCs w:val="16"/>
          <w:vertAlign w:val="superscript"/>
        </w:rPr>
        <w:t>1,2</w:t>
      </w:r>
    </w:p>
    <w:p w14:paraId="5E271A8F" w14:textId="77777777" w:rsidR="001C4DBC" w:rsidRPr="001831DB" w:rsidRDefault="001C4DBC" w:rsidP="001C4DBC">
      <w:pPr>
        <w:spacing w:before="240"/>
        <w:rPr>
          <w:color w:val="000000" w:themeColor="text1"/>
          <w:sz w:val="16"/>
          <w:szCs w:val="16"/>
        </w:rPr>
      </w:pPr>
      <w:r w:rsidRPr="001831DB">
        <w:rPr>
          <w:color w:val="000000" w:themeColor="text1"/>
          <w:sz w:val="16"/>
          <w:szCs w:val="16"/>
          <w:vertAlign w:val="superscript"/>
          <w:lang w:val="en-GB"/>
        </w:rPr>
        <w:t>1</w:t>
      </w:r>
      <w:r w:rsidRPr="001831DB">
        <w:rPr>
          <w:color w:val="000000" w:themeColor="text1"/>
          <w:sz w:val="16"/>
          <w:szCs w:val="16"/>
          <w:lang w:val="en-GB"/>
        </w:rPr>
        <w:t xml:space="preserve">Institute of Global Health, University of Geneva, Geneva, Switzerland. </w:t>
      </w:r>
    </w:p>
    <w:p w14:paraId="1D32D763" w14:textId="77777777" w:rsidR="001C4DBC" w:rsidRPr="001831DB" w:rsidRDefault="001C4DBC" w:rsidP="001C4DBC">
      <w:pPr>
        <w:spacing w:before="120"/>
        <w:rPr>
          <w:color w:val="000000" w:themeColor="text1"/>
          <w:sz w:val="16"/>
          <w:szCs w:val="16"/>
        </w:rPr>
      </w:pPr>
      <w:r w:rsidRPr="001831DB">
        <w:rPr>
          <w:color w:val="000000" w:themeColor="text1"/>
          <w:sz w:val="16"/>
          <w:szCs w:val="16"/>
          <w:vertAlign w:val="superscript"/>
          <w:lang w:val="en-GB"/>
        </w:rPr>
        <w:t>2</w:t>
      </w:r>
      <w:r w:rsidRPr="001831DB">
        <w:rPr>
          <w:color w:val="000000" w:themeColor="text1"/>
          <w:sz w:val="16"/>
          <w:szCs w:val="16"/>
          <w:lang w:val="en-GB"/>
        </w:rPr>
        <w:t>Department of Neonatology, Geneva University Hospitals and Geneva University, Geneva, Switzerland.</w:t>
      </w:r>
    </w:p>
    <w:p w14:paraId="427DB8F9" w14:textId="77777777" w:rsidR="001C4DBC" w:rsidRPr="001831DB" w:rsidRDefault="001C4DBC" w:rsidP="001C4DBC">
      <w:pPr>
        <w:spacing w:before="120"/>
        <w:rPr>
          <w:color w:val="000000" w:themeColor="text1"/>
          <w:sz w:val="16"/>
          <w:szCs w:val="16"/>
        </w:rPr>
      </w:pPr>
      <w:r w:rsidRPr="001831DB">
        <w:rPr>
          <w:color w:val="000000" w:themeColor="text1"/>
          <w:sz w:val="16"/>
          <w:szCs w:val="16"/>
          <w:vertAlign w:val="superscript"/>
          <w:lang w:val="en-GB"/>
        </w:rPr>
        <w:t>3</w:t>
      </w:r>
      <w:r w:rsidRPr="001831DB">
        <w:rPr>
          <w:color w:val="000000" w:themeColor="text1"/>
          <w:sz w:val="16"/>
          <w:szCs w:val="16"/>
          <w:lang w:val="en-GB"/>
        </w:rPr>
        <w:t xml:space="preserve"> Essential Medical Devices Foundation, Lausanne, Switzerland.</w:t>
      </w:r>
    </w:p>
    <w:p w14:paraId="6C2DF149" w14:textId="77777777" w:rsidR="001C4DBC" w:rsidRDefault="001C4DBC" w:rsidP="001C4DB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65DC1"/>
    <w:multiLevelType w:val="hybridMultilevel"/>
    <w:tmpl w:val="FFFFFFFF"/>
    <w:lvl w:ilvl="0" w:tplc="9FE24696">
      <w:start w:val="1"/>
      <w:numFmt w:val="bullet"/>
      <w:lvlText w:val=""/>
      <w:lvlJc w:val="left"/>
      <w:pPr>
        <w:ind w:left="720" w:hanging="360"/>
      </w:pPr>
      <w:rPr>
        <w:rFonts w:ascii="Symbol" w:hAnsi="Symbol" w:hint="default"/>
      </w:rPr>
    </w:lvl>
    <w:lvl w:ilvl="1" w:tplc="79984036">
      <w:start w:val="1"/>
      <w:numFmt w:val="bullet"/>
      <w:lvlText w:val="o"/>
      <w:lvlJc w:val="left"/>
      <w:pPr>
        <w:ind w:left="1440" w:hanging="360"/>
      </w:pPr>
      <w:rPr>
        <w:rFonts w:ascii="Courier New" w:hAnsi="Courier New" w:hint="default"/>
      </w:rPr>
    </w:lvl>
    <w:lvl w:ilvl="2" w:tplc="E18085B2">
      <w:start w:val="1"/>
      <w:numFmt w:val="bullet"/>
      <w:lvlText w:val=""/>
      <w:lvlJc w:val="left"/>
      <w:pPr>
        <w:ind w:left="2160" w:hanging="360"/>
      </w:pPr>
      <w:rPr>
        <w:rFonts w:ascii="Wingdings" w:hAnsi="Wingdings" w:hint="default"/>
      </w:rPr>
    </w:lvl>
    <w:lvl w:ilvl="3" w:tplc="8CF03B8C">
      <w:start w:val="1"/>
      <w:numFmt w:val="bullet"/>
      <w:lvlText w:val=""/>
      <w:lvlJc w:val="left"/>
      <w:pPr>
        <w:ind w:left="2880" w:hanging="360"/>
      </w:pPr>
      <w:rPr>
        <w:rFonts w:ascii="Symbol" w:hAnsi="Symbol" w:hint="default"/>
      </w:rPr>
    </w:lvl>
    <w:lvl w:ilvl="4" w:tplc="EA80C532">
      <w:start w:val="1"/>
      <w:numFmt w:val="bullet"/>
      <w:lvlText w:val="o"/>
      <w:lvlJc w:val="left"/>
      <w:pPr>
        <w:ind w:left="3600" w:hanging="360"/>
      </w:pPr>
      <w:rPr>
        <w:rFonts w:ascii="Courier New" w:hAnsi="Courier New" w:hint="default"/>
      </w:rPr>
    </w:lvl>
    <w:lvl w:ilvl="5" w:tplc="B9601C94">
      <w:start w:val="1"/>
      <w:numFmt w:val="bullet"/>
      <w:lvlText w:val=""/>
      <w:lvlJc w:val="left"/>
      <w:pPr>
        <w:ind w:left="4320" w:hanging="360"/>
      </w:pPr>
      <w:rPr>
        <w:rFonts w:ascii="Wingdings" w:hAnsi="Wingdings" w:hint="default"/>
      </w:rPr>
    </w:lvl>
    <w:lvl w:ilvl="6" w:tplc="BE1011E6">
      <w:start w:val="1"/>
      <w:numFmt w:val="bullet"/>
      <w:lvlText w:val=""/>
      <w:lvlJc w:val="left"/>
      <w:pPr>
        <w:ind w:left="5040" w:hanging="360"/>
      </w:pPr>
      <w:rPr>
        <w:rFonts w:ascii="Symbol" w:hAnsi="Symbol" w:hint="default"/>
      </w:rPr>
    </w:lvl>
    <w:lvl w:ilvl="7" w:tplc="03948668">
      <w:start w:val="1"/>
      <w:numFmt w:val="bullet"/>
      <w:lvlText w:val="o"/>
      <w:lvlJc w:val="left"/>
      <w:pPr>
        <w:ind w:left="5760" w:hanging="360"/>
      </w:pPr>
      <w:rPr>
        <w:rFonts w:ascii="Courier New" w:hAnsi="Courier New" w:hint="default"/>
      </w:rPr>
    </w:lvl>
    <w:lvl w:ilvl="8" w:tplc="A720F3AE">
      <w:start w:val="1"/>
      <w:numFmt w:val="bullet"/>
      <w:lvlText w:val=""/>
      <w:lvlJc w:val="left"/>
      <w:pPr>
        <w:ind w:left="6480" w:hanging="360"/>
      </w:pPr>
      <w:rPr>
        <w:rFonts w:ascii="Wingdings" w:hAnsi="Wingdings" w:hint="default"/>
      </w:rPr>
    </w:lvl>
  </w:abstractNum>
  <w:num w:numId="1" w16cid:durableId="617106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218B"/>
    <w:rsid w:val="000164B3"/>
    <w:rsid w:val="00033154"/>
    <w:rsid w:val="00042048"/>
    <w:rsid w:val="000537DA"/>
    <w:rsid w:val="000A1DE1"/>
    <w:rsid w:val="000B7D96"/>
    <w:rsid w:val="000C2E20"/>
    <w:rsid w:val="000F315B"/>
    <w:rsid w:val="001125C0"/>
    <w:rsid w:val="00132BAA"/>
    <w:rsid w:val="0015268B"/>
    <w:rsid w:val="0015709E"/>
    <w:rsid w:val="0017749A"/>
    <w:rsid w:val="00177C77"/>
    <w:rsid w:val="001A7E66"/>
    <w:rsid w:val="001B6693"/>
    <w:rsid w:val="001C4DBC"/>
    <w:rsid w:val="0021698C"/>
    <w:rsid w:val="00237280"/>
    <w:rsid w:val="00260D54"/>
    <w:rsid w:val="00276957"/>
    <w:rsid w:val="00276DCC"/>
    <w:rsid w:val="002A132F"/>
    <w:rsid w:val="002D1C21"/>
    <w:rsid w:val="00301022"/>
    <w:rsid w:val="00357A68"/>
    <w:rsid w:val="00375EAD"/>
    <w:rsid w:val="00385812"/>
    <w:rsid w:val="00392D0B"/>
    <w:rsid w:val="003A7AFC"/>
    <w:rsid w:val="003C60EF"/>
    <w:rsid w:val="004813AC"/>
    <w:rsid w:val="004B37A0"/>
    <w:rsid w:val="004B5CFB"/>
    <w:rsid w:val="004D6B39"/>
    <w:rsid w:val="004E0C3F"/>
    <w:rsid w:val="00512956"/>
    <w:rsid w:val="00530145"/>
    <w:rsid w:val="005448AA"/>
    <w:rsid w:val="00572A6E"/>
    <w:rsid w:val="006D06D9"/>
    <w:rsid w:val="006D77A6"/>
    <w:rsid w:val="00702109"/>
    <w:rsid w:val="007210FB"/>
    <w:rsid w:val="0072610D"/>
    <w:rsid w:val="007359C3"/>
    <w:rsid w:val="00757006"/>
    <w:rsid w:val="00771FEB"/>
    <w:rsid w:val="0077654A"/>
    <w:rsid w:val="007B3F4B"/>
    <w:rsid w:val="007B7347"/>
    <w:rsid w:val="007D10F3"/>
    <w:rsid w:val="007D1D51"/>
    <w:rsid w:val="007E06B4"/>
    <w:rsid w:val="007F3CDB"/>
    <w:rsid w:val="00802852"/>
    <w:rsid w:val="00850407"/>
    <w:rsid w:val="0088305B"/>
    <w:rsid w:val="00937A5E"/>
    <w:rsid w:val="00951305"/>
    <w:rsid w:val="009730E5"/>
    <w:rsid w:val="009908FF"/>
    <w:rsid w:val="00995505"/>
    <w:rsid w:val="009C4428"/>
    <w:rsid w:val="009D48CD"/>
    <w:rsid w:val="00A5547C"/>
    <w:rsid w:val="00A65101"/>
    <w:rsid w:val="00B403BF"/>
    <w:rsid w:val="00B608D9"/>
    <w:rsid w:val="00BA15C5"/>
    <w:rsid w:val="00BA4055"/>
    <w:rsid w:val="00BA7FB6"/>
    <w:rsid w:val="00C20BFE"/>
    <w:rsid w:val="00C46D29"/>
    <w:rsid w:val="00CC1778"/>
    <w:rsid w:val="00CE575B"/>
    <w:rsid w:val="00CF3DE8"/>
    <w:rsid w:val="00D0493F"/>
    <w:rsid w:val="00D10DDE"/>
    <w:rsid w:val="00D56F91"/>
    <w:rsid w:val="00D76119"/>
    <w:rsid w:val="00D8671C"/>
    <w:rsid w:val="00D91390"/>
    <w:rsid w:val="00DA57C3"/>
    <w:rsid w:val="00DC3855"/>
    <w:rsid w:val="00E242A8"/>
    <w:rsid w:val="00E274B8"/>
    <w:rsid w:val="00E72707"/>
    <w:rsid w:val="00E814A1"/>
    <w:rsid w:val="00E92038"/>
    <w:rsid w:val="00EE3732"/>
    <w:rsid w:val="00EF0780"/>
    <w:rsid w:val="00F0586E"/>
    <w:rsid w:val="00F43932"/>
    <w:rsid w:val="00FA575E"/>
    <w:rsid w:val="00FC6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9AB33"/>
  <w15:chartTrackingRefBased/>
  <w15:docId w15:val="{DCFA160E-D377-4B05-982F-B9CF6A55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Revision">
    <w:name w:val="Revision"/>
    <w:hidden/>
    <w:uiPriority w:val="99"/>
    <w:semiHidden/>
    <w:rsid w:val="00572A6E"/>
    <w:rPr>
      <w:sz w:val="24"/>
    </w:rPr>
  </w:style>
  <w:style w:type="paragraph" w:styleId="ListParagraph">
    <w:name w:val="List Paragraph"/>
    <w:basedOn w:val="Normal"/>
    <w:uiPriority w:val="34"/>
    <w:qFormat/>
    <w:rsid w:val="001C4DBC"/>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FootnoteReference">
    <w:name w:val="footnote reference"/>
    <w:basedOn w:val="DefaultParagraphFont"/>
    <w:uiPriority w:val="99"/>
    <w:unhideWhenUsed/>
    <w:rsid w:val="001C4DBC"/>
    <w:rPr>
      <w:vertAlign w:val="superscript"/>
    </w:rPr>
  </w:style>
  <w:style w:type="character" w:customStyle="1" w:styleId="FootnoteTextChar">
    <w:name w:val="Footnote Text Char"/>
    <w:basedOn w:val="DefaultParagraphFont"/>
    <w:link w:val="FootnoteText"/>
    <w:uiPriority w:val="99"/>
    <w:rsid w:val="001C4DBC"/>
  </w:style>
  <w:style w:type="paragraph" w:styleId="FootnoteText">
    <w:name w:val="footnote text"/>
    <w:basedOn w:val="Normal"/>
    <w:link w:val="FootnoteTextChar"/>
    <w:uiPriority w:val="99"/>
    <w:unhideWhenUsed/>
    <w:rsid w:val="001C4DBC"/>
    <w:rPr>
      <w:sz w:val="20"/>
    </w:rPr>
  </w:style>
  <w:style w:type="character" w:customStyle="1" w:styleId="FootnoteTextChar1">
    <w:name w:val="Footnote Text Char1"/>
    <w:basedOn w:val="DefaultParagraphFont"/>
    <w:rsid w:val="001C4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irthcenters.org/pdr" TargetMode="External"/><Relationship Id="rId18" Type="http://schemas.openxmlformats.org/officeDocument/2006/relationships/hyperlink" Target="https://www.uptodate.com/contents/neonatal-resuscitation-in-the-delivery-ro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ss.gov/regulations/105-CMR-14000-licensure-of-clinics" TargetMode="External"/><Relationship Id="rId17" Type="http://schemas.openxmlformats.org/officeDocument/2006/relationships/hyperlink" Target="https://iris.who.int/bitstream/handle/10665/63986/WHO_RHT_MSM_97.2.pdf?sequence=1" TargetMode="External"/><Relationship Id="rId2" Type="http://schemas.openxmlformats.org/officeDocument/2006/relationships/customXml" Target="../customXml/item2.xml"/><Relationship Id="rId16" Type="http://schemas.openxmlformats.org/officeDocument/2006/relationships/hyperlink" Target="https://residential.aafintl.com/en/home/commercial/blog/2021/07/ashrae-standard-17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ss.gov/regulations/105-CMR-13000-hospital-licensure" TargetMode="External"/><Relationship Id="rId5" Type="http://schemas.openxmlformats.org/officeDocument/2006/relationships/styles" Target="styles.xml"/><Relationship Id="rId15" Type="http://schemas.openxmlformats.org/officeDocument/2006/relationships/hyperlink" Target="https://massgov.sharepoint.com/sites/DPH-Teams-Commissioners_Office_Document_Review/Shared%20Documents/Document%20Submissions/Birth%20Center%20Guidance/Guidelines%20for%20Environmental%20Infection%20Control%20in%20Health-Care%20Facilitie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PH.BHCSQ@MassMail.State.MA.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10e4db1-d899-403d-9807-651178ead3da" xsi:nil="true"/>
    <lcf76f155ced4ddcb4097134ff3c332f xmlns="ae916ade-957f-4a2f-93c3-592a84a0e7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F2FAA928F6D64BB16ED70B5ACF963F" ma:contentTypeVersion="17" ma:contentTypeDescription="Create a new document." ma:contentTypeScope="" ma:versionID="7432218a972c9ec232d3a9b6f06fcc42">
  <xsd:schema xmlns:xsd="http://www.w3.org/2001/XMLSchema" xmlns:xs="http://www.w3.org/2001/XMLSchema" xmlns:p="http://schemas.microsoft.com/office/2006/metadata/properties" xmlns:ns2="ae916ade-957f-4a2f-93c3-592a84a0e75c" xmlns:ns3="e10e4db1-d899-403d-9807-651178ead3da" targetNamespace="http://schemas.microsoft.com/office/2006/metadata/properties" ma:root="true" ma:fieldsID="32b2b4497390a973007cec6a698f283a" ns2:_="" ns3:_="">
    <xsd:import namespace="ae916ade-957f-4a2f-93c3-592a84a0e75c"/>
    <xsd:import namespace="e10e4db1-d899-403d-9807-651178ead3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16ade-957f-4a2f-93c3-592a84a0e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0e4db1-d899-403d-9807-651178ead3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eacaf4-c60b-4f8e-ba39-6419a80e96c9}" ma:internalName="TaxCatchAll" ma:showField="CatchAllData" ma:web="e10e4db1-d899-403d-9807-651178ead3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FC13ED-9ACC-4689-9EBE-D1CEF212FA91}">
  <ds:schemaRefs>
    <ds:schemaRef ds:uri="http://schemas.microsoft.com/office/2006/metadata/properties"/>
    <ds:schemaRef ds:uri="http://schemas.microsoft.com/office/infopath/2007/PartnerControls"/>
    <ds:schemaRef ds:uri="e10e4db1-d899-403d-9807-651178ead3da"/>
    <ds:schemaRef ds:uri="ae916ade-957f-4a2f-93c3-592a84a0e75c"/>
  </ds:schemaRefs>
</ds:datastoreItem>
</file>

<file path=customXml/itemProps2.xml><?xml version="1.0" encoding="utf-8"?>
<ds:datastoreItem xmlns:ds="http://schemas.openxmlformats.org/officeDocument/2006/customXml" ds:itemID="{55F539BB-9888-4AE4-B08D-D8DEA85C8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16ade-957f-4a2f-93c3-592a84a0e75c"/>
    <ds:schemaRef ds:uri="e10e4db1-d899-403d-9807-651178ead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00FE09-04B5-4F2D-BE35-4F00C3FBD9A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DPH Letterhead</Template>
  <TotalTime>1</TotalTime>
  <Pages>4</Pages>
  <Words>1489</Words>
  <Characters>8489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Callahan, Marita (DPH)</cp:lastModifiedBy>
  <cp:revision>3</cp:revision>
  <cp:lastPrinted>2015-01-29T14:50:00Z</cp:lastPrinted>
  <dcterms:created xsi:type="dcterms:W3CDTF">2025-08-16T00:29:00Z</dcterms:created>
  <dcterms:modified xsi:type="dcterms:W3CDTF">2025-08-16T00:29:00Z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0x010100B0F2FAA928F6D64BB16ED70B5ACF963F</vt:lpwstr>
  </property>
  <property fmtid="{D5CDD505-2E9C-101B-9397-08002B2CF9AE}" pid="3" name="MediaServiceImageTags">
    <vt:lpwstr/>
  </property>
</Properties>
</file>