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D4029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6234E9E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238BE88E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9654B4E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4E06C042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740A8468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52868137" w14:textId="77777777" w:rsidR="00BA4055" w:rsidRDefault="003A386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4D3559B" wp14:editId="32BF9396">
            <wp:extent cx="962025" cy="1143000"/>
            <wp:effectExtent l="0" t="0" r="952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0981" w14:textId="77777777" w:rsidR="009908FF" w:rsidRDefault="003A3869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C4022" wp14:editId="2702C3F6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A71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1526FE0" w14:textId="2EE894DD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29AB47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40A6677" w14:textId="7977FB32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</w:t>
                            </w:r>
                            <w:r w:rsidR="00A37325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DRISCOLL</w:t>
                            </w:r>
                          </w:p>
                          <w:p w14:paraId="2E09BB46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C4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7ivxo3gAAAAgBAAAPAAAAZHJzL2Rvd25yZXYu&#10;eG1sTI/BTsMwEETvSPyDtUjcqEPVNjSNU1VUXDggUZDo0Y2dOMJeW7abhr9nOdHb7s5o9k29nZxl&#10;o45p8CjgcVYA09h6NWAv4PPj5eEJWMoSlbQetYAfnWDb3N7UslL+gu96POSeUQimSgowOYeK89Qa&#10;7WSa+aCRtM5HJzOtsecqyguFO8vnRbHiTg5IH4wM+tno9vtwdgK+nBnUPr4dO2XH/Wu3W4YpBiHu&#10;76bdBljWU/43wx8+oUNDTCd/RpWYFUBFMl0X6xUwkueLsgR2oqFcroE3Nb8u0PwC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e4r8aN4AAAAIAQAADwAAAAAAAAAAAAAAAABKBAAAZHJz&#10;L2Rvd25yZXYueG1sUEsFBgAAAAAEAAQA8wAAAFUFAAAAAA==&#10;" stroked="f">
                <v:textbox style="mso-fit-shape-to-text:t">
                  <w:txbxContent>
                    <w:p w14:paraId="766CA71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1526FE0" w14:textId="2EE894DD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29AB47A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40A6677" w14:textId="7977FB32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</w:t>
                      </w:r>
                      <w:r w:rsidR="00A37325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DRISCOLL</w:t>
                      </w:r>
                    </w:p>
                    <w:p w14:paraId="2E09BB46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0BE51" wp14:editId="30248A29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1905" t="0" r="3175" b="0"/>
                <wp:wrapNone/>
                <wp:docPr id="2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5CA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DF7D853" w14:textId="536D715A" w:rsidR="00FA288C" w:rsidRDefault="00AE5834" w:rsidP="00FA288C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2832D986" w14:textId="39C094F7" w:rsidR="00FA288C" w:rsidRPr="00E662E1" w:rsidRDefault="00FA288C" w:rsidP="00AE5834">
                            <w:pPr>
                              <w:pStyle w:val="Governor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Cs w:val="14"/>
                              </w:rPr>
                              <w:t xml:space="preserve"> </w:t>
                            </w:r>
                            <w:r w:rsidR="00AE5834">
                              <w:rPr>
                                <w:szCs w:val="14"/>
                              </w:rPr>
                              <w:tab/>
                            </w:r>
                            <w:r>
                              <w:rPr>
                                <w:szCs w:val="14"/>
                              </w:rPr>
                              <w:t>Secretary</w:t>
                            </w:r>
                          </w:p>
                          <w:p w14:paraId="01DFB38D" w14:textId="77777777" w:rsidR="00FA288C" w:rsidRDefault="00FA288C" w:rsidP="00FA288C">
                            <w:pP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6DDEF0E9" w14:textId="67694804" w:rsidR="00FC6B42" w:rsidRDefault="00DD77A7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B763E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</w:t>
                            </w:r>
                            <w:r w:rsidR="004B763E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1CCD1B4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9D07C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A413178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21394F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BE51" id="Text Box 3" o:spid="_x0000_s1027" type="#_x0000_t202" alt="&quot;&quot;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3FE45CA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DF7D853" w14:textId="536D715A" w:rsidR="00FA288C" w:rsidRDefault="00AE5834" w:rsidP="00FA288C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2832D986" w14:textId="39C094F7" w:rsidR="00FA288C" w:rsidRPr="00E662E1" w:rsidRDefault="00FA288C" w:rsidP="00AE5834">
                      <w:pPr>
                        <w:pStyle w:val="Governor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Cs w:val="14"/>
                        </w:rPr>
                        <w:t xml:space="preserve"> </w:t>
                      </w:r>
                      <w:r w:rsidR="00AE5834">
                        <w:rPr>
                          <w:szCs w:val="14"/>
                        </w:rPr>
                        <w:tab/>
                      </w:r>
                      <w:r>
                        <w:rPr>
                          <w:szCs w:val="14"/>
                        </w:rPr>
                        <w:t>Secretary</w:t>
                      </w:r>
                    </w:p>
                    <w:p w14:paraId="01DFB38D" w14:textId="77777777" w:rsidR="00FA288C" w:rsidRDefault="00FA288C" w:rsidP="00FA288C">
                      <w:pP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6DDEF0E9" w14:textId="67694804" w:rsidR="00FC6B42" w:rsidRDefault="00DD77A7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4B763E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</w:t>
                      </w:r>
                      <w:r w:rsidR="004B763E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1CCD1B4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9D07C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A413178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21394F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14A44" w14:textId="77777777" w:rsidR="00FC6B42" w:rsidRDefault="00FC6B42" w:rsidP="0072610D"/>
    <w:p w14:paraId="73FAF994" w14:textId="77777777" w:rsidR="00033154" w:rsidRDefault="00033154" w:rsidP="0072610D"/>
    <w:p w14:paraId="7E458BBD" w14:textId="77777777" w:rsidR="00033154" w:rsidRDefault="00033154" w:rsidP="0072610D"/>
    <w:p w14:paraId="4D0EBDEE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49993F6F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7E1C7FC2" w14:textId="77777777" w:rsidR="00204E38" w:rsidRDefault="00204E38" w:rsidP="0020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E409851" w14:textId="39BFD7AE" w:rsidR="00DB08A0" w:rsidRPr="009C6109" w:rsidRDefault="00204E38" w:rsidP="00DB08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Bookman Old Style" w:hAnsi="Bookman Old Style" w:cs="Bookman Old Style"/>
          <w:sz w:val="22"/>
          <w:szCs w:val="22"/>
        </w:rPr>
      </w:pPr>
      <w:r w:rsidRPr="007F6896">
        <w:rPr>
          <w:rFonts w:ascii="Arial" w:hAnsi="Arial" w:cs="Arial"/>
          <w:sz w:val="22"/>
          <w:szCs w:val="22"/>
        </w:rPr>
        <w:tab/>
      </w:r>
    </w:p>
    <w:p w14:paraId="322D67DA" w14:textId="6F18BE8B" w:rsidR="009C6109" w:rsidRPr="009C6109" w:rsidRDefault="009C6109" w:rsidP="009C61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Bookman Old Style" w:hAnsi="Bookman Old Style" w:cs="Bookman Old Style"/>
          <w:sz w:val="22"/>
          <w:szCs w:val="22"/>
        </w:rPr>
      </w:pPr>
    </w:p>
    <w:p w14:paraId="12F5EA7E" w14:textId="77777777" w:rsidR="009C6109" w:rsidRPr="009C6109" w:rsidRDefault="009C6109" w:rsidP="009C6109">
      <w:pPr>
        <w:autoSpaceDE w:val="0"/>
        <w:autoSpaceDN w:val="0"/>
        <w:adjustRightInd w:val="0"/>
        <w:rPr>
          <w:rFonts w:ascii="Bookman Old Style" w:hAnsi="Bookman Old Style" w:cs="Bookman Old Style"/>
          <w:sz w:val="22"/>
          <w:szCs w:val="22"/>
        </w:rPr>
      </w:pPr>
    </w:p>
    <w:p w14:paraId="248FC44F" w14:textId="77777777" w:rsidR="00843F38" w:rsidRPr="00507FD5" w:rsidRDefault="00843F38" w:rsidP="00843F38">
      <w:pPr>
        <w:tabs>
          <w:tab w:val="left" w:pos="1080"/>
        </w:tabs>
        <w:spacing w:line="259" w:lineRule="auto"/>
        <w:ind w:left="1080" w:hanging="1080"/>
        <w:rPr>
          <w:b/>
          <w:bCs/>
          <w:sz w:val="22"/>
          <w:szCs w:val="22"/>
        </w:rPr>
      </w:pPr>
      <w:r w:rsidRPr="00507FD5">
        <w:rPr>
          <w:b/>
          <w:bCs/>
          <w:sz w:val="22"/>
          <w:szCs w:val="22"/>
        </w:rPr>
        <w:t>To:</w:t>
      </w:r>
      <w:r w:rsidRPr="00507FD5">
        <w:rPr>
          <w:sz w:val="22"/>
          <w:szCs w:val="22"/>
        </w:rPr>
        <w:tab/>
        <w:t>Massachusetts Licensed Adult Day Health Programs</w:t>
      </w:r>
    </w:p>
    <w:p w14:paraId="3A6ADF99" w14:textId="77777777" w:rsidR="00843F38" w:rsidRPr="00507FD5" w:rsidRDefault="00843F38" w:rsidP="00843F38">
      <w:pPr>
        <w:rPr>
          <w:spacing w:val="-3"/>
          <w:sz w:val="22"/>
          <w:szCs w:val="22"/>
        </w:rPr>
      </w:pPr>
    </w:p>
    <w:p w14:paraId="3110B358" w14:textId="77777777" w:rsidR="00843F38" w:rsidRPr="00507FD5" w:rsidRDefault="00843F38" w:rsidP="00843F38">
      <w:pPr>
        <w:tabs>
          <w:tab w:val="left" w:pos="1080"/>
        </w:tabs>
        <w:ind w:left="1080" w:hanging="1080"/>
        <w:rPr>
          <w:sz w:val="22"/>
          <w:szCs w:val="22"/>
        </w:rPr>
      </w:pPr>
      <w:r w:rsidRPr="00507FD5">
        <w:rPr>
          <w:b/>
          <w:bCs/>
          <w:spacing w:val="-3"/>
          <w:sz w:val="22"/>
          <w:szCs w:val="22"/>
        </w:rPr>
        <w:t>F</w:t>
      </w:r>
      <w:r w:rsidRPr="00507FD5">
        <w:rPr>
          <w:b/>
          <w:bCs/>
          <w:spacing w:val="-1"/>
          <w:sz w:val="22"/>
          <w:szCs w:val="22"/>
        </w:rPr>
        <w:t>r</w:t>
      </w:r>
      <w:r w:rsidRPr="00507FD5">
        <w:rPr>
          <w:b/>
          <w:bCs/>
          <w:spacing w:val="2"/>
          <w:sz w:val="22"/>
          <w:szCs w:val="22"/>
        </w:rPr>
        <w:t>o</w:t>
      </w:r>
      <w:r w:rsidRPr="00507FD5">
        <w:rPr>
          <w:b/>
          <w:bCs/>
          <w:spacing w:val="-1"/>
          <w:sz w:val="22"/>
          <w:szCs w:val="22"/>
        </w:rPr>
        <w:t>m</w:t>
      </w:r>
      <w:r w:rsidRPr="00507FD5">
        <w:rPr>
          <w:b/>
          <w:bCs/>
          <w:sz w:val="22"/>
          <w:szCs w:val="22"/>
        </w:rPr>
        <w:t>:</w:t>
      </w:r>
      <w:r w:rsidRPr="00507FD5">
        <w:rPr>
          <w:b/>
          <w:bCs/>
          <w:sz w:val="22"/>
          <w:szCs w:val="22"/>
        </w:rPr>
        <w:tab/>
      </w:r>
      <w:r w:rsidRPr="00507FD5">
        <w:rPr>
          <w:sz w:val="22"/>
          <w:szCs w:val="22"/>
        </w:rPr>
        <w:t>Stephen Davis, Division Director. Division of Health Care Facility Licensure and Certification. Massachusetts Department of Public Health</w:t>
      </w:r>
    </w:p>
    <w:p w14:paraId="68BD0ABD" w14:textId="77777777" w:rsidR="00843F38" w:rsidRPr="00507FD5" w:rsidRDefault="00843F38" w:rsidP="00843F38">
      <w:pPr>
        <w:tabs>
          <w:tab w:val="left" w:pos="1080"/>
        </w:tabs>
        <w:rPr>
          <w:b/>
          <w:bCs/>
          <w:sz w:val="22"/>
          <w:szCs w:val="22"/>
        </w:rPr>
      </w:pPr>
    </w:p>
    <w:p w14:paraId="3751D159" w14:textId="54CC3418" w:rsidR="00843F38" w:rsidRPr="00507FD5" w:rsidRDefault="00843F38" w:rsidP="00843F38">
      <w:pPr>
        <w:tabs>
          <w:tab w:val="left" w:pos="1080"/>
        </w:tabs>
        <w:rPr>
          <w:spacing w:val="-3"/>
          <w:sz w:val="22"/>
          <w:szCs w:val="22"/>
        </w:rPr>
      </w:pPr>
      <w:r w:rsidRPr="00507FD5">
        <w:rPr>
          <w:b/>
          <w:bCs/>
          <w:sz w:val="22"/>
          <w:szCs w:val="22"/>
        </w:rPr>
        <w:t>Da</w:t>
      </w:r>
      <w:r w:rsidRPr="00507FD5">
        <w:rPr>
          <w:b/>
          <w:bCs/>
          <w:spacing w:val="-2"/>
          <w:sz w:val="22"/>
          <w:szCs w:val="22"/>
        </w:rPr>
        <w:t>t</w:t>
      </w:r>
      <w:r w:rsidRPr="00507FD5">
        <w:rPr>
          <w:b/>
          <w:bCs/>
          <w:spacing w:val="-1"/>
          <w:sz w:val="22"/>
          <w:szCs w:val="22"/>
        </w:rPr>
        <w:t>e</w:t>
      </w:r>
      <w:r w:rsidRPr="00507FD5">
        <w:rPr>
          <w:b/>
          <w:bCs/>
          <w:sz w:val="22"/>
          <w:szCs w:val="22"/>
        </w:rPr>
        <w:t>:</w:t>
      </w:r>
      <w:r w:rsidRPr="00507FD5">
        <w:rPr>
          <w:b/>
          <w:bCs/>
          <w:sz w:val="22"/>
          <w:szCs w:val="22"/>
        </w:rPr>
        <w:tab/>
      </w:r>
      <w:r w:rsidR="3D2E18F3" w:rsidRPr="1E6FC228">
        <w:rPr>
          <w:sz w:val="22"/>
          <w:szCs w:val="22"/>
        </w:rPr>
        <w:t>June</w:t>
      </w:r>
      <w:r w:rsidRPr="1E6FC228">
        <w:rPr>
          <w:sz w:val="22"/>
          <w:szCs w:val="22"/>
        </w:rPr>
        <w:t xml:space="preserve"> </w:t>
      </w:r>
      <w:r w:rsidR="2C2B9D57" w:rsidRPr="1E6FC228">
        <w:rPr>
          <w:sz w:val="22"/>
          <w:szCs w:val="22"/>
        </w:rPr>
        <w:t>27,</w:t>
      </w:r>
      <w:r w:rsidRPr="1E6FC228">
        <w:rPr>
          <w:sz w:val="22"/>
          <w:szCs w:val="22"/>
        </w:rPr>
        <w:t xml:space="preserve"> 2024</w:t>
      </w:r>
    </w:p>
    <w:p w14:paraId="58D91142" w14:textId="77777777" w:rsidR="00843F38" w:rsidRPr="00507FD5" w:rsidRDefault="00843F38" w:rsidP="00843F38">
      <w:pPr>
        <w:tabs>
          <w:tab w:val="left" w:pos="9630"/>
        </w:tabs>
        <w:spacing w:before="16" w:line="260" w:lineRule="exact"/>
        <w:rPr>
          <w:sz w:val="22"/>
          <w:szCs w:val="22"/>
        </w:rPr>
      </w:pPr>
    </w:p>
    <w:p w14:paraId="1A77E739" w14:textId="77777777" w:rsidR="00843F38" w:rsidRPr="00507FD5" w:rsidRDefault="00843F38" w:rsidP="00843F38">
      <w:pPr>
        <w:tabs>
          <w:tab w:val="left" w:pos="1080"/>
        </w:tabs>
        <w:ind w:left="1080" w:hanging="1080"/>
        <w:rPr>
          <w:sz w:val="22"/>
          <w:szCs w:val="22"/>
        </w:rPr>
      </w:pPr>
      <w:r w:rsidRPr="00507FD5">
        <w:rPr>
          <w:b/>
          <w:bCs/>
          <w:sz w:val="22"/>
          <w:szCs w:val="22"/>
        </w:rPr>
        <w:t>Subj</w:t>
      </w:r>
      <w:r w:rsidRPr="00507FD5">
        <w:rPr>
          <w:b/>
          <w:bCs/>
          <w:spacing w:val="-2"/>
          <w:sz w:val="22"/>
          <w:szCs w:val="22"/>
        </w:rPr>
        <w:t>e</w:t>
      </w:r>
      <w:r w:rsidRPr="00507FD5">
        <w:rPr>
          <w:b/>
          <w:bCs/>
          <w:spacing w:val="-1"/>
          <w:sz w:val="22"/>
          <w:szCs w:val="22"/>
        </w:rPr>
        <w:t>c</w:t>
      </w:r>
      <w:r w:rsidRPr="00507FD5">
        <w:rPr>
          <w:b/>
          <w:bCs/>
          <w:sz w:val="22"/>
          <w:szCs w:val="22"/>
        </w:rPr>
        <w:t>t:</w:t>
      </w:r>
      <w:r w:rsidRPr="00507FD5">
        <w:rPr>
          <w:b/>
          <w:bCs/>
          <w:sz w:val="22"/>
          <w:szCs w:val="22"/>
        </w:rPr>
        <w:tab/>
      </w:r>
      <w:r w:rsidRPr="00507FD5">
        <w:rPr>
          <w:sz w:val="22"/>
          <w:szCs w:val="22"/>
        </w:rPr>
        <w:t>Reminder to Licensees Regarding</w:t>
      </w:r>
      <w:r w:rsidRPr="00507FD5">
        <w:rPr>
          <w:b/>
          <w:bCs/>
          <w:sz w:val="22"/>
          <w:szCs w:val="22"/>
        </w:rPr>
        <w:t xml:space="preserve"> </w:t>
      </w:r>
      <w:r w:rsidRPr="00507FD5">
        <w:rPr>
          <w:sz w:val="22"/>
          <w:szCs w:val="22"/>
        </w:rPr>
        <w:t xml:space="preserve">the </w:t>
      </w:r>
      <w:r>
        <w:rPr>
          <w:sz w:val="22"/>
          <w:szCs w:val="22"/>
        </w:rPr>
        <w:t>R</w:t>
      </w:r>
      <w:r w:rsidRPr="00507FD5">
        <w:rPr>
          <w:sz w:val="22"/>
          <w:szCs w:val="22"/>
        </w:rPr>
        <w:t xml:space="preserve">egulatory </w:t>
      </w:r>
      <w:r>
        <w:rPr>
          <w:sz w:val="22"/>
          <w:szCs w:val="22"/>
        </w:rPr>
        <w:t>R</w:t>
      </w:r>
      <w:r w:rsidRPr="00507FD5">
        <w:rPr>
          <w:sz w:val="22"/>
          <w:szCs w:val="22"/>
        </w:rPr>
        <w:t xml:space="preserve">equirements for </w:t>
      </w:r>
      <w:r>
        <w:rPr>
          <w:sz w:val="22"/>
          <w:szCs w:val="22"/>
        </w:rPr>
        <w:t>C</w:t>
      </w:r>
      <w:r w:rsidRPr="00507FD5">
        <w:rPr>
          <w:sz w:val="22"/>
          <w:szCs w:val="22"/>
        </w:rPr>
        <w:t xml:space="preserve">alculating the </w:t>
      </w:r>
      <w:r>
        <w:rPr>
          <w:sz w:val="22"/>
          <w:szCs w:val="22"/>
        </w:rPr>
        <w:t>M</w:t>
      </w:r>
      <w:r w:rsidRPr="00507FD5">
        <w:rPr>
          <w:sz w:val="22"/>
          <w:szCs w:val="22"/>
        </w:rPr>
        <w:t xml:space="preserve">aximum Participant Capacity and Participant Square Footage for Adult Day Health Programs </w:t>
      </w:r>
    </w:p>
    <w:p w14:paraId="04EE2BCF" w14:textId="77777777" w:rsidR="00843F38" w:rsidRPr="00507FD5" w:rsidRDefault="00843F38" w:rsidP="00843F38">
      <w:pPr>
        <w:spacing w:line="200" w:lineRule="exact"/>
        <w:rPr>
          <w:sz w:val="22"/>
          <w:szCs w:val="22"/>
        </w:rPr>
      </w:pPr>
    </w:p>
    <w:p w14:paraId="40135D38" w14:textId="77777777" w:rsidR="00843F38" w:rsidRPr="00507FD5" w:rsidRDefault="00843F38" w:rsidP="00843F38">
      <w:pPr>
        <w:rPr>
          <w:sz w:val="22"/>
          <w:szCs w:val="22"/>
        </w:rPr>
      </w:pPr>
      <w:r w:rsidRPr="00507FD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CCF057" wp14:editId="7A8DA513">
                <wp:simplePos x="0" y="0"/>
                <wp:positionH relativeFrom="column">
                  <wp:posOffset>-31750</wp:posOffset>
                </wp:positionH>
                <wp:positionV relativeFrom="paragraph">
                  <wp:posOffset>28575</wp:posOffset>
                </wp:positionV>
                <wp:extent cx="6064250" cy="25400"/>
                <wp:effectExtent l="0" t="0" r="31750" b="3175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4250" cy="254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175724" id="Straight Connector 4" o:spid="_x0000_s1026" alt="&quot;&quot;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2.25pt" to="47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" strokecolor="windowText" strokeweight="1.5pt">
                <v:stroke joinstyle="miter"/>
              </v:line>
            </w:pict>
          </mc:Fallback>
        </mc:AlternateContent>
      </w:r>
    </w:p>
    <w:p w14:paraId="41EC0FF3" w14:textId="77777777" w:rsidR="00843F38" w:rsidRPr="00507FD5" w:rsidRDefault="00843F38" w:rsidP="00843F38">
      <w:pPr>
        <w:autoSpaceDE w:val="0"/>
        <w:autoSpaceDN w:val="0"/>
        <w:adjustRightInd w:val="0"/>
        <w:rPr>
          <w:sz w:val="22"/>
          <w:szCs w:val="22"/>
        </w:rPr>
      </w:pPr>
    </w:p>
    <w:p w14:paraId="182CB89E" w14:textId="77777777" w:rsidR="00843F38" w:rsidRDefault="00843F38" w:rsidP="00843F38">
      <w:pPr>
        <w:autoSpaceDE w:val="0"/>
        <w:autoSpaceDN w:val="0"/>
        <w:adjustRightInd w:val="0"/>
        <w:rPr>
          <w:sz w:val="22"/>
          <w:szCs w:val="22"/>
        </w:rPr>
      </w:pPr>
      <w:r w:rsidRPr="00814A8B">
        <w:rPr>
          <w:sz w:val="22"/>
          <w:szCs w:val="22"/>
        </w:rPr>
        <w:t>The purpose of this memorandum is to provide important clarifying information about the Department</w:t>
      </w:r>
      <w:r>
        <w:rPr>
          <w:sz w:val="22"/>
          <w:szCs w:val="22"/>
        </w:rPr>
        <w:t xml:space="preserve"> of Public Health’s (Department)</w:t>
      </w:r>
      <w:r w:rsidRPr="00814A8B">
        <w:rPr>
          <w:sz w:val="22"/>
          <w:szCs w:val="22"/>
        </w:rPr>
        <w:t xml:space="preserve"> requirements pertaining to occupancy for </w:t>
      </w:r>
      <w:r>
        <w:rPr>
          <w:sz w:val="22"/>
          <w:szCs w:val="22"/>
        </w:rPr>
        <w:t>licensed a</w:t>
      </w:r>
      <w:r w:rsidRPr="00814A8B">
        <w:rPr>
          <w:sz w:val="22"/>
          <w:szCs w:val="22"/>
        </w:rPr>
        <w:t xml:space="preserve">dult </w:t>
      </w:r>
      <w:r>
        <w:rPr>
          <w:sz w:val="22"/>
          <w:szCs w:val="22"/>
        </w:rPr>
        <w:t>d</w:t>
      </w:r>
      <w:r w:rsidRPr="00814A8B">
        <w:rPr>
          <w:sz w:val="22"/>
          <w:szCs w:val="22"/>
        </w:rPr>
        <w:t xml:space="preserve">ay </w:t>
      </w:r>
      <w:r>
        <w:rPr>
          <w:sz w:val="22"/>
          <w:szCs w:val="22"/>
        </w:rPr>
        <w:t>h</w:t>
      </w:r>
      <w:r w:rsidRPr="00814A8B">
        <w:rPr>
          <w:sz w:val="22"/>
          <w:szCs w:val="22"/>
        </w:rPr>
        <w:t xml:space="preserve">ealth </w:t>
      </w:r>
      <w:r>
        <w:rPr>
          <w:sz w:val="22"/>
          <w:szCs w:val="22"/>
        </w:rPr>
        <w:t>p</w:t>
      </w:r>
      <w:r w:rsidRPr="00814A8B">
        <w:rPr>
          <w:sz w:val="22"/>
          <w:szCs w:val="22"/>
        </w:rPr>
        <w:t>rograms</w:t>
      </w:r>
      <w:r>
        <w:rPr>
          <w:sz w:val="22"/>
          <w:szCs w:val="22"/>
        </w:rPr>
        <w:t xml:space="preserve"> (Program)</w:t>
      </w:r>
      <w:r w:rsidRPr="00814A8B">
        <w:rPr>
          <w:sz w:val="22"/>
          <w:szCs w:val="22"/>
        </w:rPr>
        <w:t>, and to share instructions to assist applicants, licensees, and municipalities in calculating the Maximum Participant Capacity and Maximum Participant Square Footage.</w:t>
      </w:r>
      <w:r w:rsidRPr="00507FD5">
        <w:rPr>
          <w:sz w:val="22"/>
          <w:szCs w:val="22"/>
        </w:rPr>
        <w:t xml:space="preserve"> </w:t>
      </w:r>
    </w:p>
    <w:p w14:paraId="06B348FD" w14:textId="77777777" w:rsidR="00843F38" w:rsidRDefault="00843F38" w:rsidP="00843F38">
      <w:pPr>
        <w:autoSpaceDE w:val="0"/>
        <w:autoSpaceDN w:val="0"/>
        <w:adjustRightInd w:val="0"/>
        <w:rPr>
          <w:sz w:val="22"/>
          <w:szCs w:val="22"/>
        </w:rPr>
      </w:pPr>
    </w:p>
    <w:p w14:paraId="2703BF3E" w14:textId="77777777" w:rsidR="00843F38" w:rsidRPr="00507FD5" w:rsidRDefault="00843F38" w:rsidP="00843F3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 licensed adult day health program must utilize this guidance to calculate t</w:t>
      </w:r>
      <w:r w:rsidRPr="00507FD5">
        <w:rPr>
          <w:sz w:val="22"/>
          <w:szCs w:val="22"/>
        </w:rPr>
        <w:t xml:space="preserve">he </w:t>
      </w:r>
      <w:r>
        <w:rPr>
          <w:sz w:val="22"/>
          <w:szCs w:val="22"/>
        </w:rPr>
        <w:t xml:space="preserve">Maximum </w:t>
      </w:r>
      <w:r w:rsidRPr="00507FD5">
        <w:rPr>
          <w:sz w:val="22"/>
          <w:szCs w:val="22"/>
        </w:rPr>
        <w:t>Participant Capacity</w:t>
      </w:r>
      <w:r>
        <w:rPr>
          <w:sz w:val="22"/>
          <w:szCs w:val="22"/>
        </w:rPr>
        <w:t>.  A Program’s Maximum Participant Capacity</w:t>
      </w:r>
      <w:r w:rsidRPr="00507FD5">
        <w:rPr>
          <w:sz w:val="22"/>
          <w:szCs w:val="22"/>
        </w:rPr>
        <w:t xml:space="preserve"> will be by the </w:t>
      </w:r>
      <w:r>
        <w:rPr>
          <w:sz w:val="22"/>
          <w:szCs w:val="22"/>
        </w:rPr>
        <w:t>least</w:t>
      </w:r>
      <w:r w:rsidRPr="00507FD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participant </w:t>
      </w:r>
      <w:r w:rsidRPr="00507FD5">
        <w:rPr>
          <w:sz w:val="22"/>
          <w:szCs w:val="22"/>
        </w:rPr>
        <w:t xml:space="preserve">number </w:t>
      </w:r>
      <w:r>
        <w:rPr>
          <w:sz w:val="22"/>
          <w:szCs w:val="22"/>
        </w:rPr>
        <w:t xml:space="preserve">calculated upon using </w:t>
      </w:r>
      <w:r w:rsidRPr="00507FD5">
        <w:rPr>
          <w:sz w:val="22"/>
          <w:szCs w:val="22"/>
        </w:rPr>
        <w:t>the three criteria</w:t>
      </w:r>
      <w:r>
        <w:rPr>
          <w:sz w:val="22"/>
          <w:szCs w:val="22"/>
        </w:rPr>
        <w:t xml:space="preserve"> below</w:t>
      </w:r>
      <w:r w:rsidRPr="00507FD5">
        <w:rPr>
          <w:sz w:val="22"/>
          <w:szCs w:val="22"/>
        </w:rPr>
        <w:t xml:space="preserve">. </w:t>
      </w:r>
    </w:p>
    <w:p w14:paraId="55CC833E" w14:textId="77777777" w:rsidR="00843F38" w:rsidRPr="00507FD5" w:rsidRDefault="00843F38" w:rsidP="00843F38">
      <w:pPr>
        <w:autoSpaceDE w:val="0"/>
        <w:autoSpaceDN w:val="0"/>
        <w:adjustRightInd w:val="0"/>
        <w:rPr>
          <w:sz w:val="22"/>
          <w:szCs w:val="22"/>
        </w:rPr>
      </w:pPr>
    </w:p>
    <w:p w14:paraId="21D3B392" w14:textId="77777777" w:rsidR="00843F38" w:rsidRDefault="00843F38" w:rsidP="00843F38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Participant Area: </w:t>
      </w:r>
      <w:r w:rsidRPr="00507FD5">
        <w:rPr>
          <w:sz w:val="22"/>
          <w:szCs w:val="22"/>
        </w:rPr>
        <w:t xml:space="preserve">Participant Area </w:t>
      </w:r>
      <w:r>
        <w:rPr>
          <w:sz w:val="22"/>
          <w:szCs w:val="22"/>
        </w:rPr>
        <w:t>is defined by the adult day health program licensure regulation (105 CMR 158) as</w:t>
      </w:r>
      <w:r w:rsidRPr="00507FD5">
        <w:rPr>
          <w:sz w:val="22"/>
          <w:szCs w:val="22"/>
        </w:rPr>
        <w:t xml:space="preserve"> the physical space within the Program used for</w:t>
      </w:r>
      <w:r>
        <w:rPr>
          <w:sz w:val="22"/>
          <w:szCs w:val="22"/>
        </w:rPr>
        <w:t xml:space="preserve"> the</w:t>
      </w:r>
      <w:r w:rsidRPr="00507FD5">
        <w:rPr>
          <w:sz w:val="22"/>
          <w:szCs w:val="22"/>
        </w:rPr>
        <w:t xml:space="preserve"> provision of services, therapeutic activities, and dining. </w:t>
      </w:r>
      <w:r>
        <w:rPr>
          <w:sz w:val="22"/>
          <w:szCs w:val="22"/>
        </w:rPr>
        <w:t>T</w:t>
      </w:r>
      <w:r w:rsidRPr="00507FD5">
        <w:rPr>
          <w:sz w:val="22"/>
          <w:szCs w:val="22"/>
        </w:rPr>
        <w:t>he Participant Area does not include reception areas, storage areas, offices, restrooms, corridors, or services areas</w:t>
      </w:r>
      <w:r>
        <w:rPr>
          <w:sz w:val="22"/>
          <w:szCs w:val="22"/>
        </w:rPr>
        <w:t>.</w:t>
      </w:r>
      <w:r w:rsidRPr="00507FD5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507FD5">
        <w:rPr>
          <w:sz w:val="22"/>
          <w:szCs w:val="22"/>
        </w:rPr>
        <w:t xml:space="preserve">he Participant Area </w:t>
      </w:r>
      <w:r>
        <w:rPr>
          <w:sz w:val="22"/>
          <w:szCs w:val="22"/>
        </w:rPr>
        <w:t>must</w:t>
      </w:r>
      <w:r w:rsidRPr="00507FD5">
        <w:rPr>
          <w:sz w:val="22"/>
          <w:szCs w:val="22"/>
        </w:rPr>
        <w:t xml:space="preserve"> contain at least 50 square feet per participant. </w:t>
      </w:r>
      <w:r>
        <w:rPr>
          <w:sz w:val="22"/>
          <w:szCs w:val="22"/>
        </w:rPr>
        <w:t>W</w:t>
      </w:r>
      <w:r w:rsidRPr="00507FD5">
        <w:rPr>
          <w:sz w:val="22"/>
          <w:szCs w:val="22"/>
        </w:rPr>
        <w:t xml:space="preserve">hen a kitchen is used for activities other than meal preparation, 50% of the kitchen floor area </w:t>
      </w:r>
      <w:r>
        <w:rPr>
          <w:sz w:val="22"/>
          <w:szCs w:val="22"/>
        </w:rPr>
        <w:t>must</w:t>
      </w:r>
      <w:r w:rsidRPr="00507FD5">
        <w:rPr>
          <w:sz w:val="22"/>
          <w:szCs w:val="22"/>
        </w:rPr>
        <w:t xml:space="preserve"> be counted as Participant Area</w:t>
      </w:r>
      <w:r>
        <w:rPr>
          <w:sz w:val="22"/>
          <w:szCs w:val="22"/>
        </w:rPr>
        <w:t>.</w:t>
      </w:r>
      <w:r w:rsidRPr="00507FD5">
        <w:rPr>
          <w:sz w:val="22"/>
          <w:szCs w:val="22"/>
        </w:rPr>
        <w:t xml:space="preserve"> </w:t>
      </w:r>
    </w:p>
    <w:p w14:paraId="519CBDE8" w14:textId="77777777" w:rsidR="00843F38" w:rsidRDefault="00843F38" w:rsidP="00843F38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14:paraId="052E4D45" w14:textId="77777777" w:rsidR="00843F38" w:rsidRPr="00105280" w:rsidRDefault="00843F38" w:rsidP="00843F3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Total Participant Area Square Feet divided by 50 equals Number of Participants. </w:t>
      </w:r>
    </w:p>
    <w:p w14:paraId="5C56F754" w14:textId="77777777" w:rsidR="00843F38" w:rsidRPr="00507FD5" w:rsidRDefault="00843F38" w:rsidP="00843F38">
      <w:pPr>
        <w:autoSpaceDE w:val="0"/>
        <w:autoSpaceDN w:val="0"/>
        <w:adjustRightInd w:val="0"/>
        <w:rPr>
          <w:sz w:val="22"/>
          <w:szCs w:val="22"/>
        </w:rPr>
      </w:pPr>
    </w:p>
    <w:p w14:paraId="0F5B3240" w14:textId="77777777" w:rsidR="00843F38" w:rsidRDefault="00843F38" w:rsidP="00843F38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Participant Toilets: </w:t>
      </w:r>
      <w:r>
        <w:rPr>
          <w:sz w:val="22"/>
          <w:szCs w:val="22"/>
        </w:rPr>
        <w:t>A</w:t>
      </w:r>
      <w:r w:rsidRPr="00507FD5">
        <w:rPr>
          <w:sz w:val="22"/>
          <w:szCs w:val="22"/>
        </w:rPr>
        <w:t xml:space="preserve"> Program with a licensed program capacity of 24 or more participants </w:t>
      </w:r>
      <w:r>
        <w:rPr>
          <w:sz w:val="22"/>
          <w:szCs w:val="22"/>
        </w:rPr>
        <w:t>must</w:t>
      </w:r>
      <w:r w:rsidRPr="00507FD5">
        <w:rPr>
          <w:sz w:val="22"/>
          <w:szCs w:val="22"/>
        </w:rPr>
        <w:t xml:space="preserve"> provide at least one toilet per 12 participants</w:t>
      </w:r>
      <w:r>
        <w:rPr>
          <w:sz w:val="22"/>
          <w:szCs w:val="22"/>
        </w:rPr>
        <w:t xml:space="preserve"> and a</w:t>
      </w:r>
      <w:r w:rsidRPr="00507FD5">
        <w:rPr>
          <w:sz w:val="22"/>
          <w:szCs w:val="22"/>
        </w:rPr>
        <w:t xml:space="preserve">t least 50% of the toilets </w:t>
      </w:r>
      <w:r>
        <w:rPr>
          <w:sz w:val="22"/>
          <w:szCs w:val="22"/>
        </w:rPr>
        <w:t>must</w:t>
      </w:r>
      <w:r w:rsidRPr="00507FD5">
        <w:rPr>
          <w:sz w:val="22"/>
          <w:szCs w:val="22"/>
        </w:rPr>
        <w:t xml:space="preserve"> be designed or adapted to provide access and maneuverability</w:t>
      </w:r>
      <w:r w:rsidRPr="00814A8B">
        <w:t xml:space="preserve"> </w:t>
      </w:r>
      <w:r w:rsidRPr="00814A8B">
        <w:rPr>
          <w:sz w:val="22"/>
          <w:szCs w:val="22"/>
        </w:rPr>
        <w:t>for individuals with disabilities or individuals in wheelchairs</w:t>
      </w:r>
      <w:r w:rsidRPr="00507FD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8A387D5" w14:textId="77777777" w:rsidR="00843F38" w:rsidRDefault="00843F38" w:rsidP="00843F38">
      <w:pPr>
        <w:rPr>
          <w:sz w:val="22"/>
          <w:szCs w:val="22"/>
        </w:rPr>
      </w:pPr>
    </w:p>
    <w:p w14:paraId="749ED443" w14:textId="77777777" w:rsidR="00843F38" w:rsidRPr="00105280" w:rsidRDefault="00843F38" w:rsidP="00843F38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Total Participant Toilets multiplied by 12 equals Number of Participants. </w:t>
      </w:r>
    </w:p>
    <w:p w14:paraId="0C41FF09" w14:textId="77777777" w:rsidR="00843F38" w:rsidRPr="00507FD5" w:rsidRDefault="00843F38" w:rsidP="00843F38">
      <w:pPr>
        <w:autoSpaceDE w:val="0"/>
        <w:autoSpaceDN w:val="0"/>
        <w:adjustRightInd w:val="0"/>
        <w:rPr>
          <w:sz w:val="22"/>
          <w:szCs w:val="22"/>
        </w:rPr>
      </w:pPr>
    </w:p>
    <w:p w14:paraId="5AE1B6F0" w14:textId="77777777" w:rsidR="00843F38" w:rsidRDefault="00843F38" w:rsidP="00843F38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</w:rPr>
      </w:pPr>
      <w:r w:rsidRPr="00933210">
        <w:rPr>
          <w:b/>
          <w:bCs/>
          <w:sz w:val="22"/>
          <w:szCs w:val="22"/>
        </w:rPr>
        <w:lastRenderedPageBreak/>
        <w:t>Maximum Occupant Load:</w:t>
      </w:r>
      <w:r>
        <w:rPr>
          <w:sz w:val="22"/>
          <w:szCs w:val="22"/>
        </w:rPr>
        <w:t xml:space="preserve"> A</w:t>
      </w:r>
      <w:r w:rsidRPr="00507FD5">
        <w:rPr>
          <w:sz w:val="22"/>
          <w:szCs w:val="22"/>
        </w:rPr>
        <w:t xml:space="preserve"> Program with five or more unrelated participants </w:t>
      </w:r>
      <w:r>
        <w:rPr>
          <w:sz w:val="22"/>
          <w:szCs w:val="22"/>
        </w:rPr>
        <w:t>must</w:t>
      </w:r>
      <w:r w:rsidRPr="00507FD5">
        <w:rPr>
          <w:sz w:val="22"/>
          <w:szCs w:val="22"/>
        </w:rPr>
        <w:t xml:space="preserve"> comply with the Massachusetts State Building Code, 780 CMR 3.00: Use and Occupancy Classification. </w:t>
      </w:r>
      <w:r w:rsidRPr="00E41980">
        <w:rPr>
          <w:sz w:val="22"/>
          <w:szCs w:val="22"/>
        </w:rPr>
        <w:t xml:space="preserve">The Maximum Occupant Load </w:t>
      </w:r>
      <w:r>
        <w:rPr>
          <w:sz w:val="22"/>
          <w:szCs w:val="22"/>
        </w:rPr>
        <w:t xml:space="preserve">from </w:t>
      </w:r>
      <w:r w:rsidRPr="00E41980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current </w:t>
      </w:r>
      <w:r w:rsidRPr="00E41980">
        <w:rPr>
          <w:sz w:val="22"/>
          <w:szCs w:val="22"/>
        </w:rPr>
        <w:t>Certificate of Occupancy</w:t>
      </w:r>
      <w:r w:rsidRPr="007823C8">
        <w:t xml:space="preserve"> </w:t>
      </w:r>
      <w:r w:rsidRPr="007823C8">
        <w:rPr>
          <w:sz w:val="22"/>
          <w:szCs w:val="22"/>
        </w:rPr>
        <w:t xml:space="preserve">is issued by the local municipality </w:t>
      </w:r>
      <w:r>
        <w:rPr>
          <w:sz w:val="22"/>
          <w:szCs w:val="22"/>
        </w:rPr>
        <w:t xml:space="preserve">and </w:t>
      </w:r>
      <w:r w:rsidRPr="00507FD5">
        <w:rPr>
          <w:sz w:val="22"/>
          <w:szCs w:val="22"/>
        </w:rPr>
        <w:t xml:space="preserve">is the maximum number of people anticipated to occupy the building rooms or spaces at any given time and </w:t>
      </w:r>
      <w:r>
        <w:rPr>
          <w:sz w:val="22"/>
          <w:szCs w:val="22"/>
        </w:rPr>
        <w:t xml:space="preserve">under </w:t>
      </w:r>
      <w:r w:rsidRPr="00507FD5">
        <w:rPr>
          <w:sz w:val="22"/>
          <w:szCs w:val="22"/>
        </w:rPr>
        <w:t xml:space="preserve">all probable situations. </w:t>
      </w:r>
    </w:p>
    <w:p w14:paraId="2033F7A5" w14:textId="77777777" w:rsidR="00843F38" w:rsidRDefault="00843F38" w:rsidP="00843F38">
      <w:pPr>
        <w:pStyle w:val="ListParagraph"/>
        <w:autoSpaceDE w:val="0"/>
        <w:autoSpaceDN w:val="0"/>
        <w:adjustRightInd w:val="0"/>
        <w:ind w:left="1080"/>
        <w:rPr>
          <w:sz w:val="22"/>
          <w:szCs w:val="22"/>
        </w:rPr>
      </w:pPr>
    </w:p>
    <w:p w14:paraId="04B04259" w14:textId="77777777" w:rsidR="00843F38" w:rsidRDefault="00843F38" w:rsidP="00843F3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</w:t>
      </w:r>
      <w:r w:rsidRPr="00507FD5">
        <w:rPr>
          <w:sz w:val="22"/>
          <w:szCs w:val="22"/>
        </w:rPr>
        <w:t xml:space="preserve">he </w:t>
      </w:r>
      <w:r>
        <w:rPr>
          <w:sz w:val="22"/>
          <w:szCs w:val="22"/>
        </w:rPr>
        <w:t>Maximum</w:t>
      </w:r>
      <w:r w:rsidRPr="00507FD5">
        <w:rPr>
          <w:sz w:val="22"/>
          <w:szCs w:val="22"/>
        </w:rPr>
        <w:t xml:space="preserve"> Participant Capacity, plus required staffing, </w:t>
      </w:r>
      <w:r>
        <w:rPr>
          <w:sz w:val="22"/>
          <w:szCs w:val="22"/>
        </w:rPr>
        <w:t>plus</w:t>
      </w:r>
      <w:r w:rsidRPr="00507FD5">
        <w:rPr>
          <w:sz w:val="22"/>
          <w:szCs w:val="22"/>
        </w:rPr>
        <w:t xml:space="preserve"> probable visitors </w:t>
      </w:r>
      <w:r>
        <w:rPr>
          <w:sz w:val="22"/>
          <w:szCs w:val="22"/>
        </w:rPr>
        <w:t>can</w:t>
      </w:r>
      <w:r w:rsidRPr="00507FD5">
        <w:rPr>
          <w:sz w:val="22"/>
          <w:szCs w:val="22"/>
        </w:rPr>
        <w:t>not exceed the Certificate of Occupancy Max</w:t>
      </w:r>
      <w:r>
        <w:rPr>
          <w:sz w:val="22"/>
          <w:szCs w:val="22"/>
        </w:rPr>
        <w:t>imum</w:t>
      </w:r>
      <w:r w:rsidRPr="00507FD5">
        <w:rPr>
          <w:sz w:val="22"/>
          <w:szCs w:val="22"/>
        </w:rPr>
        <w:t xml:space="preserve"> Occupant Load.</w:t>
      </w:r>
      <w:r>
        <w:rPr>
          <w:sz w:val="22"/>
          <w:szCs w:val="22"/>
        </w:rPr>
        <w:t xml:space="preserve">  This means the Maximum Participant Capacity cannot equal the Maximum Occupant Load.</w:t>
      </w:r>
    </w:p>
    <w:p w14:paraId="78EDF5CB" w14:textId="77777777" w:rsidR="00843F38" w:rsidRPr="00507FD5" w:rsidRDefault="00843F38" w:rsidP="00843F38">
      <w:pPr>
        <w:autoSpaceDE w:val="0"/>
        <w:autoSpaceDN w:val="0"/>
        <w:adjustRightInd w:val="0"/>
        <w:rPr>
          <w:sz w:val="22"/>
          <w:szCs w:val="22"/>
        </w:rPr>
      </w:pPr>
    </w:p>
    <w:p w14:paraId="568703EC" w14:textId="45DB561E" w:rsidR="00843F38" w:rsidRPr="00507FD5" w:rsidRDefault="00843F38" w:rsidP="1E6FC228">
      <w:pPr>
        <w:rPr>
          <w:rFonts w:eastAsia="Calibri"/>
          <w:sz w:val="22"/>
          <w:szCs w:val="22"/>
          <w14:ligatures w14:val="standardContextual"/>
        </w:rPr>
      </w:pPr>
      <w:r>
        <w:rPr>
          <w:sz w:val="22"/>
          <w:szCs w:val="22"/>
        </w:rPr>
        <w:t>The Department reminds all licensed Programs to p</w:t>
      </w:r>
      <w:r w:rsidRPr="00507FD5">
        <w:rPr>
          <w:sz w:val="22"/>
          <w:szCs w:val="22"/>
        </w:rPr>
        <w:t xml:space="preserve">lease </w:t>
      </w:r>
      <w:r>
        <w:rPr>
          <w:sz w:val="22"/>
          <w:szCs w:val="22"/>
        </w:rPr>
        <w:t xml:space="preserve">closely </w:t>
      </w:r>
      <w:r w:rsidRPr="00507FD5">
        <w:rPr>
          <w:sz w:val="22"/>
          <w:szCs w:val="22"/>
        </w:rPr>
        <w:t xml:space="preserve">review the Adult Day Health Licensure regulations </w:t>
      </w:r>
      <w:hyperlink r:id="rId12" w:history="1">
        <w:r w:rsidRPr="00507FD5">
          <w:rPr>
            <w:rFonts w:eastAsia="Calibri"/>
            <w:color w:val="0000FF"/>
            <w:sz w:val="22"/>
            <w:szCs w:val="22"/>
            <w:u w:val="single"/>
            <w14:ligatures w14:val="standardContextual"/>
          </w:rPr>
          <w:t>105 CMR 158.00: Licensure of adult day health programs | Mass.gov</w:t>
        </w:r>
      </w:hyperlink>
      <w:r w:rsidRPr="00507FD5">
        <w:rPr>
          <w:rFonts w:eastAsia="Calibri"/>
          <w:sz w:val="22"/>
          <w:szCs w:val="22"/>
          <w14:ligatures w14:val="standardContextual"/>
        </w:rPr>
        <w:t xml:space="preserve"> </w:t>
      </w:r>
      <w:r>
        <w:rPr>
          <w:rFonts w:eastAsia="Calibri"/>
          <w:sz w:val="22"/>
          <w:szCs w:val="22"/>
          <w14:ligatures w14:val="standardContextual"/>
        </w:rPr>
        <w:t xml:space="preserve">for additional information and licensure requirements. </w:t>
      </w:r>
    </w:p>
    <w:p w14:paraId="14AE5099" w14:textId="77777777" w:rsidR="00843F38" w:rsidRDefault="00843F38" w:rsidP="00843F38">
      <w:pPr>
        <w:autoSpaceDE w:val="0"/>
        <w:autoSpaceDN w:val="0"/>
        <w:adjustRightInd w:val="0"/>
        <w:rPr>
          <w:sz w:val="20"/>
        </w:rPr>
      </w:pPr>
    </w:p>
    <w:p w14:paraId="7E56CB94" w14:textId="77777777" w:rsidR="00843F38" w:rsidRPr="007823C8" w:rsidRDefault="00843F38" w:rsidP="00843F38">
      <w:pPr>
        <w:autoSpaceDE w:val="0"/>
        <w:autoSpaceDN w:val="0"/>
        <w:adjustRightInd w:val="0"/>
        <w:rPr>
          <w:sz w:val="22"/>
          <w:szCs w:val="22"/>
        </w:rPr>
      </w:pPr>
      <w:r w:rsidRPr="007823C8">
        <w:rPr>
          <w:sz w:val="22"/>
          <w:szCs w:val="22"/>
        </w:rPr>
        <w:t xml:space="preserve">If there are additional questions, please contact Julie Crocker-Wilson, Licensure Unit Supervisor </w:t>
      </w:r>
      <w:hyperlink r:id="rId13" w:history="1">
        <w:r w:rsidRPr="007823C8">
          <w:rPr>
            <w:rStyle w:val="Hyperlink"/>
            <w:sz w:val="22"/>
            <w:szCs w:val="22"/>
          </w:rPr>
          <w:t>julie.crocker-wilson@mass.gov</w:t>
        </w:r>
      </w:hyperlink>
      <w:r w:rsidRPr="007823C8">
        <w:rPr>
          <w:sz w:val="22"/>
          <w:szCs w:val="22"/>
        </w:rPr>
        <w:t xml:space="preserve"> </w:t>
      </w:r>
    </w:p>
    <w:p w14:paraId="7F31A482" w14:textId="77777777" w:rsidR="009C6109" w:rsidRPr="009C6109" w:rsidRDefault="009C6109" w:rsidP="009C6109">
      <w:pPr>
        <w:autoSpaceDE w:val="0"/>
        <w:autoSpaceDN w:val="0"/>
        <w:adjustRightInd w:val="0"/>
        <w:rPr>
          <w:rFonts w:ascii="Bookman Old Style" w:hAnsi="Bookman Old Style" w:cs="Bookman Old Style"/>
          <w:sz w:val="22"/>
          <w:szCs w:val="22"/>
        </w:rPr>
      </w:pPr>
    </w:p>
    <w:p w14:paraId="2E810D08" w14:textId="77777777" w:rsidR="009C6109" w:rsidRPr="009C6109" w:rsidRDefault="009C6109" w:rsidP="009C6109">
      <w:pPr>
        <w:autoSpaceDE w:val="0"/>
        <w:autoSpaceDN w:val="0"/>
        <w:adjustRightInd w:val="0"/>
        <w:rPr>
          <w:rFonts w:ascii="Bookman Old Style" w:hAnsi="Bookman Old Style" w:cs="Bookman Old Style"/>
          <w:sz w:val="22"/>
          <w:szCs w:val="22"/>
        </w:rPr>
      </w:pPr>
    </w:p>
    <w:p w14:paraId="27DDC4D9" w14:textId="77777777" w:rsidR="009C6109" w:rsidRPr="009C6109" w:rsidRDefault="009C6109" w:rsidP="009C6109">
      <w:pPr>
        <w:autoSpaceDE w:val="0"/>
        <w:autoSpaceDN w:val="0"/>
        <w:adjustRightInd w:val="0"/>
        <w:rPr>
          <w:rFonts w:ascii="Bookman Old Style" w:hAnsi="Bookman Old Style" w:cs="Bookman Old Style"/>
          <w:sz w:val="22"/>
          <w:szCs w:val="22"/>
        </w:rPr>
      </w:pPr>
    </w:p>
    <w:p w14:paraId="01D5839D" w14:textId="77777777" w:rsidR="009C6109" w:rsidRPr="009C6109" w:rsidRDefault="009C6109" w:rsidP="009C6109">
      <w:pPr>
        <w:autoSpaceDE w:val="0"/>
        <w:autoSpaceDN w:val="0"/>
        <w:adjustRightInd w:val="0"/>
        <w:rPr>
          <w:rFonts w:ascii="Bookman Old Style" w:hAnsi="Bookman Old Style" w:cs="Bookman Old Style"/>
          <w:sz w:val="22"/>
          <w:szCs w:val="22"/>
        </w:rPr>
      </w:pPr>
    </w:p>
    <w:p w14:paraId="7726DC26" w14:textId="77777777" w:rsidR="009C6109" w:rsidRPr="009C6109" w:rsidRDefault="009C6109" w:rsidP="009C6109">
      <w:pPr>
        <w:autoSpaceDE w:val="0"/>
        <w:autoSpaceDN w:val="0"/>
        <w:adjustRightInd w:val="0"/>
        <w:rPr>
          <w:rFonts w:ascii="Bookman Old Style" w:hAnsi="Bookman Old Style" w:cs="Bookman Old Style"/>
          <w:sz w:val="22"/>
          <w:szCs w:val="22"/>
        </w:rPr>
      </w:pPr>
    </w:p>
    <w:p w14:paraId="28D88DE7" w14:textId="77777777" w:rsidR="009C6109" w:rsidRPr="009C6109" w:rsidRDefault="009C6109" w:rsidP="009C6109">
      <w:pPr>
        <w:autoSpaceDE w:val="0"/>
        <w:autoSpaceDN w:val="0"/>
        <w:adjustRightInd w:val="0"/>
        <w:rPr>
          <w:rFonts w:ascii="Bookman Old Style" w:hAnsi="Bookman Old Style" w:cs="Bookman Old Style"/>
          <w:sz w:val="22"/>
          <w:szCs w:val="22"/>
        </w:rPr>
      </w:pPr>
    </w:p>
    <w:p w14:paraId="16C89749" w14:textId="77777777" w:rsidR="009C6109" w:rsidRPr="009C6109" w:rsidRDefault="009C6109" w:rsidP="009C6109">
      <w:pPr>
        <w:autoSpaceDE w:val="0"/>
        <w:autoSpaceDN w:val="0"/>
        <w:adjustRightInd w:val="0"/>
        <w:rPr>
          <w:rFonts w:ascii="Bookman Old Style" w:hAnsi="Bookman Old Style" w:cs="Bookman Old Style"/>
          <w:sz w:val="22"/>
          <w:szCs w:val="22"/>
        </w:rPr>
      </w:pPr>
    </w:p>
    <w:p w14:paraId="2860801F" w14:textId="77777777" w:rsidR="009C6109" w:rsidRPr="009C6109" w:rsidRDefault="009C6109" w:rsidP="009C6109">
      <w:pPr>
        <w:autoSpaceDE w:val="0"/>
        <w:autoSpaceDN w:val="0"/>
        <w:adjustRightInd w:val="0"/>
        <w:rPr>
          <w:rFonts w:ascii="Bookman Old Style" w:hAnsi="Bookman Old Style" w:cs="Bookman Old Style"/>
          <w:sz w:val="22"/>
          <w:szCs w:val="22"/>
        </w:rPr>
      </w:pPr>
    </w:p>
    <w:p w14:paraId="191FEC5F" w14:textId="77777777" w:rsidR="009C6109" w:rsidRPr="009C6109" w:rsidRDefault="009C6109" w:rsidP="009C6109">
      <w:pPr>
        <w:autoSpaceDE w:val="0"/>
        <w:autoSpaceDN w:val="0"/>
        <w:adjustRightInd w:val="0"/>
        <w:rPr>
          <w:rFonts w:ascii="Bookman Old Style" w:hAnsi="Bookman Old Style" w:cs="Bookman Old Style"/>
          <w:sz w:val="22"/>
          <w:szCs w:val="22"/>
        </w:rPr>
      </w:pPr>
    </w:p>
    <w:p w14:paraId="3DA9EF81" w14:textId="33FFAC77" w:rsidR="00E1374E" w:rsidRPr="003F3252" w:rsidRDefault="00E1374E" w:rsidP="009C61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rPr>
          <w:rFonts w:ascii="Bookman Old Style" w:hAnsi="Bookman Old Style"/>
          <w:sz w:val="22"/>
          <w:szCs w:val="22"/>
        </w:rPr>
      </w:pPr>
    </w:p>
    <w:sectPr w:rsidR="00E1374E" w:rsidRPr="003F3252" w:rsidSect="00A323E0">
      <w:headerReference w:type="default" r:id="rId14"/>
      <w:pgSz w:w="12240" w:h="15840" w:code="1"/>
      <w:pgMar w:top="1440" w:right="720" w:bottom="99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7C551" w14:textId="77777777" w:rsidR="002B1825" w:rsidRDefault="002B1825" w:rsidP="005F102B">
      <w:r>
        <w:separator/>
      </w:r>
    </w:p>
  </w:endnote>
  <w:endnote w:type="continuationSeparator" w:id="0">
    <w:p w14:paraId="394EB049" w14:textId="77777777" w:rsidR="002B1825" w:rsidRDefault="002B1825" w:rsidP="005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6673C" w14:textId="77777777" w:rsidR="002B1825" w:rsidRDefault="002B1825" w:rsidP="005F102B">
      <w:r>
        <w:separator/>
      </w:r>
    </w:p>
  </w:footnote>
  <w:footnote w:type="continuationSeparator" w:id="0">
    <w:p w14:paraId="541BCD2C" w14:textId="77777777" w:rsidR="002B1825" w:rsidRDefault="002B1825" w:rsidP="005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74A86" w14:textId="080B228B" w:rsidR="008A2CFB" w:rsidRDefault="008A2CFB">
    <w:pPr>
      <w:pStyle w:val="Header"/>
      <w:rPr>
        <w:rFonts w:ascii="Arial" w:hAnsi="Arial" w:cs="Arial"/>
      </w:rPr>
    </w:pPr>
  </w:p>
  <w:p w14:paraId="28E9019E" w14:textId="77777777" w:rsidR="00C05C98" w:rsidRDefault="00C05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11871131"/>
    <w:multiLevelType w:val="hybridMultilevel"/>
    <w:tmpl w:val="F606D8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541083"/>
    <w:multiLevelType w:val="hybridMultilevel"/>
    <w:tmpl w:val="D26066CA"/>
    <w:lvl w:ilvl="0" w:tplc="E67CB3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E0501"/>
    <w:multiLevelType w:val="multilevel"/>
    <w:tmpl w:val="66CE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A425BF"/>
    <w:multiLevelType w:val="hybridMultilevel"/>
    <w:tmpl w:val="1E8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D3AE4"/>
    <w:multiLevelType w:val="multilevel"/>
    <w:tmpl w:val="D50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66633"/>
    <w:multiLevelType w:val="multilevel"/>
    <w:tmpl w:val="145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24579450">
    <w:abstractNumId w:val="10"/>
  </w:num>
  <w:num w:numId="2" w16cid:durableId="1127359406">
    <w:abstractNumId w:val="8"/>
  </w:num>
  <w:num w:numId="3" w16cid:durableId="1642036061">
    <w:abstractNumId w:val="12"/>
  </w:num>
  <w:num w:numId="4" w16cid:durableId="914634135">
    <w:abstractNumId w:val="9"/>
  </w:num>
  <w:num w:numId="5" w16cid:durableId="1461418881">
    <w:abstractNumId w:val="2"/>
  </w:num>
  <w:num w:numId="6" w16cid:durableId="1988362471">
    <w:abstractNumId w:val="6"/>
  </w:num>
  <w:num w:numId="7" w16cid:durableId="579364305">
    <w:abstractNumId w:val="11"/>
  </w:num>
  <w:num w:numId="8" w16cid:durableId="1093664982">
    <w:abstractNumId w:val="5"/>
  </w:num>
  <w:num w:numId="9" w16cid:durableId="679477385">
    <w:abstractNumId w:val="7"/>
  </w:num>
  <w:num w:numId="10" w16cid:durableId="749737641">
    <w:abstractNumId w:val="0"/>
  </w:num>
  <w:num w:numId="11" w16cid:durableId="1045522306">
    <w:abstractNumId w:val="1"/>
  </w:num>
  <w:num w:numId="12" w16cid:durableId="1831829038">
    <w:abstractNumId w:val="4"/>
  </w:num>
  <w:num w:numId="13" w16cid:durableId="577909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DA0"/>
    <w:rsid w:val="00005C15"/>
    <w:rsid w:val="00013273"/>
    <w:rsid w:val="0001400A"/>
    <w:rsid w:val="00024B9C"/>
    <w:rsid w:val="00024C04"/>
    <w:rsid w:val="00033154"/>
    <w:rsid w:val="00035D61"/>
    <w:rsid w:val="00037B19"/>
    <w:rsid w:val="00042048"/>
    <w:rsid w:val="0004283C"/>
    <w:rsid w:val="00052F41"/>
    <w:rsid w:val="000537DA"/>
    <w:rsid w:val="00053B7D"/>
    <w:rsid w:val="000545A8"/>
    <w:rsid w:val="00066B3C"/>
    <w:rsid w:val="00092FFE"/>
    <w:rsid w:val="000B4875"/>
    <w:rsid w:val="000E7420"/>
    <w:rsid w:val="000F315B"/>
    <w:rsid w:val="000F3A3E"/>
    <w:rsid w:val="001004D3"/>
    <w:rsid w:val="001106E2"/>
    <w:rsid w:val="00134659"/>
    <w:rsid w:val="001347DE"/>
    <w:rsid w:val="00141CCC"/>
    <w:rsid w:val="00145C68"/>
    <w:rsid w:val="0015268B"/>
    <w:rsid w:val="0017047F"/>
    <w:rsid w:val="00177C77"/>
    <w:rsid w:val="00182503"/>
    <w:rsid w:val="00182719"/>
    <w:rsid w:val="00187F05"/>
    <w:rsid w:val="001945F8"/>
    <w:rsid w:val="001A04FA"/>
    <w:rsid w:val="00200716"/>
    <w:rsid w:val="00204E38"/>
    <w:rsid w:val="00207CC6"/>
    <w:rsid w:val="00207E5B"/>
    <w:rsid w:val="002328D7"/>
    <w:rsid w:val="00262003"/>
    <w:rsid w:val="00266826"/>
    <w:rsid w:val="00276957"/>
    <w:rsid w:val="00276DCC"/>
    <w:rsid w:val="002B1825"/>
    <w:rsid w:val="002B26B0"/>
    <w:rsid w:val="002B3E91"/>
    <w:rsid w:val="002C085F"/>
    <w:rsid w:val="002E0638"/>
    <w:rsid w:val="002F4BFF"/>
    <w:rsid w:val="003234A5"/>
    <w:rsid w:val="00334577"/>
    <w:rsid w:val="0033596F"/>
    <w:rsid w:val="0034178D"/>
    <w:rsid w:val="00344C70"/>
    <w:rsid w:val="00347E85"/>
    <w:rsid w:val="003634C8"/>
    <w:rsid w:val="00385812"/>
    <w:rsid w:val="0038663D"/>
    <w:rsid w:val="00390FDF"/>
    <w:rsid w:val="00392D0B"/>
    <w:rsid w:val="003A3869"/>
    <w:rsid w:val="003A7A0F"/>
    <w:rsid w:val="003A7AFC"/>
    <w:rsid w:val="003C60EF"/>
    <w:rsid w:val="003D0700"/>
    <w:rsid w:val="003F3252"/>
    <w:rsid w:val="00466FA6"/>
    <w:rsid w:val="004714CB"/>
    <w:rsid w:val="00475692"/>
    <w:rsid w:val="0048097B"/>
    <w:rsid w:val="004813AC"/>
    <w:rsid w:val="004A27B4"/>
    <w:rsid w:val="004B37A0"/>
    <w:rsid w:val="004B763E"/>
    <w:rsid w:val="004C41B4"/>
    <w:rsid w:val="004C6648"/>
    <w:rsid w:val="004D6B39"/>
    <w:rsid w:val="00501449"/>
    <w:rsid w:val="00514651"/>
    <w:rsid w:val="005448AA"/>
    <w:rsid w:val="00554021"/>
    <w:rsid w:val="0056249F"/>
    <w:rsid w:val="00573292"/>
    <w:rsid w:val="00585417"/>
    <w:rsid w:val="00596DAF"/>
    <w:rsid w:val="005E1241"/>
    <w:rsid w:val="005F102B"/>
    <w:rsid w:val="005F583E"/>
    <w:rsid w:val="006552E9"/>
    <w:rsid w:val="00677479"/>
    <w:rsid w:val="006A7D0A"/>
    <w:rsid w:val="006B47DE"/>
    <w:rsid w:val="006D06D9"/>
    <w:rsid w:val="006D480D"/>
    <w:rsid w:val="006D77A6"/>
    <w:rsid w:val="006D788A"/>
    <w:rsid w:val="00702109"/>
    <w:rsid w:val="0072610D"/>
    <w:rsid w:val="00727BCB"/>
    <w:rsid w:val="00761092"/>
    <w:rsid w:val="007623F3"/>
    <w:rsid w:val="00767606"/>
    <w:rsid w:val="007867C9"/>
    <w:rsid w:val="007872AC"/>
    <w:rsid w:val="00790D18"/>
    <w:rsid w:val="007B3F4B"/>
    <w:rsid w:val="007B7347"/>
    <w:rsid w:val="007B7678"/>
    <w:rsid w:val="007D10F3"/>
    <w:rsid w:val="007F6896"/>
    <w:rsid w:val="0082310D"/>
    <w:rsid w:val="00823753"/>
    <w:rsid w:val="008377B0"/>
    <w:rsid w:val="00843F38"/>
    <w:rsid w:val="00872A13"/>
    <w:rsid w:val="0088605E"/>
    <w:rsid w:val="008A2CFB"/>
    <w:rsid w:val="008A4EE5"/>
    <w:rsid w:val="008E104F"/>
    <w:rsid w:val="00945A24"/>
    <w:rsid w:val="009908FF"/>
    <w:rsid w:val="00995505"/>
    <w:rsid w:val="009C6109"/>
    <w:rsid w:val="009D0124"/>
    <w:rsid w:val="009E31BA"/>
    <w:rsid w:val="009E4B4E"/>
    <w:rsid w:val="009F2F5E"/>
    <w:rsid w:val="00A26158"/>
    <w:rsid w:val="00A26AA8"/>
    <w:rsid w:val="00A323E0"/>
    <w:rsid w:val="00A37325"/>
    <w:rsid w:val="00A40C84"/>
    <w:rsid w:val="00A44761"/>
    <w:rsid w:val="00A6104E"/>
    <w:rsid w:val="00A63B61"/>
    <w:rsid w:val="00A65101"/>
    <w:rsid w:val="00AB4789"/>
    <w:rsid w:val="00AC60EA"/>
    <w:rsid w:val="00AC7BE5"/>
    <w:rsid w:val="00AD15F3"/>
    <w:rsid w:val="00AE46E5"/>
    <w:rsid w:val="00AE5834"/>
    <w:rsid w:val="00AE6F51"/>
    <w:rsid w:val="00B31FB7"/>
    <w:rsid w:val="00B403BF"/>
    <w:rsid w:val="00B55492"/>
    <w:rsid w:val="00B608D9"/>
    <w:rsid w:val="00B66332"/>
    <w:rsid w:val="00B67A5E"/>
    <w:rsid w:val="00B979CA"/>
    <w:rsid w:val="00BA1432"/>
    <w:rsid w:val="00BA1AD3"/>
    <w:rsid w:val="00BA4055"/>
    <w:rsid w:val="00BA7FB6"/>
    <w:rsid w:val="00BB3431"/>
    <w:rsid w:val="00BC2B61"/>
    <w:rsid w:val="00BC2FF7"/>
    <w:rsid w:val="00BD6FF4"/>
    <w:rsid w:val="00C05C98"/>
    <w:rsid w:val="00C10E6D"/>
    <w:rsid w:val="00C20BFE"/>
    <w:rsid w:val="00C24EE2"/>
    <w:rsid w:val="00C451FE"/>
    <w:rsid w:val="00C56F6D"/>
    <w:rsid w:val="00C832EB"/>
    <w:rsid w:val="00C83551"/>
    <w:rsid w:val="00CA5D47"/>
    <w:rsid w:val="00CB0C6A"/>
    <w:rsid w:val="00CB246F"/>
    <w:rsid w:val="00CC1778"/>
    <w:rsid w:val="00CC536F"/>
    <w:rsid w:val="00CE0892"/>
    <w:rsid w:val="00CE575B"/>
    <w:rsid w:val="00CF3DE8"/>
    <w:rsid w:val="00D03E01"/>
    <w:rsid w:val="00D0493F"/>
    <w:rsid w:val="00D41673"/>
    <w:rsid w:val="00D51B96"/>
    <w:rsid w:val="00D52786"/>
    <w:rsid w:val="00D56F91"/>
    <w:rsid w:val="00D642F2"/>
    <w:rsid w:val="00D67158"/>
    <w:rsid w:val="00D8283F"/>
    <w:rsid w:val="00D8671C"/>
    <w:rsid w:val="00D95CA3"/>
    <w:rsid w:val="00DA57C3"/>
    <w:rsid w:val="00DB08A0"/>
    <w:rsid w:val="00DC3855"/>
    <w:rsid w:val="00DD77A7"/>
    <w:rsid w:val="00E1374E"/>
    <w:rsid w:val="00E242A8"/>
    <w:rsid w:val="00E274B8"/>
    <w:rsid w:val="00E338C7"/>
    <w:rsid w:val="00E406AF"/>
    <w:rsid w:val="00E44BCF"/>
    <w:rsid w:val="00E72707"/>
    <w:rsid w:val="00E72B6C"/>
    <w:rsid w:val="00E8120E"/>
    <w:rsid w:val="00EA7788"/>
    <w:rsid w:val="00EB2A12"/>
    <w:rsid w:val="00EB5FAF"/>
    <w:rsid w:val="00EE498B"/>
    <w:rsid w:val="00F0586E"/>
    <w:rsid w:val="00F43932"/>
    <w:rsid w:val="00F702AA"/>
    <w:rsid w:val="00F841B8"/>
    <w:rsid w:val="00F84768"/>
    <w:rsid w:val="00FA02E8"/>
    <w:rsid w:val="00FA0A5E"/>
    <w:rsid w:val="00FA2515"/>
    <w:rsid w:val="00FA288C"/>
    <w:rsid w:val="00FC45CF"/>
    <w:rsid w:val="00FC6B42"/>
    <w:rsid w:val="00FE4446"/>
    <w:rsid w:val="00FF4728"/>
    <w:rsid w:val="1E6FC228"/>
    <w:rsid w:val="2C2B9D57"/>
    <w:rsid w:val="3D2E18F3"/>
    <w:rsid w:val="54AAB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ED98D"/>
  <w15:docId w15:val="{2F054A19-F293-4F2A-AB42-A0596C8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iPriority w:val="99"/>
    <w:rsid w:val="00182719"/>
    <w:pPr>
      <w:ind w:left="4320"/>
    </w:pPr>
  </w:style>
  <w:style w:type="character" w:customStyle="1" w:styleId="ClosingChar">
    <w:name w:val="Closing Char"/>
    <w:link w:val="Closing"/>
    <w:uiPriority w:val="99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uiPriority w:val="99"/>
    <w:rsid w:val="00182719"/>
  </w:style>
  <w:style w:type="character" w:customStyle="1" w:styleId="SalutationChar">
    <w:name w:val="Salutation Char"/>
    <w:link w:val="Salutation"/>
    <w:uiPriority w:val="99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uiPriority w:val="99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uiPriority w:val="99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024C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7788"/>
    <w:rPr>
      <w:sz w:val="24"/>
    </w:rPr>
  </w:style>
  <w:style w:type="character" w:styleId="CommentReference">
    <w:name w:val="annotation reference"/>
    <w:basedOn w:val="DefaultParagraphFont"/>
    <w:rsid w:val="00F84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768"/>
  </w:style>
  <w:style w:type="paragraph" w:styleId="CommentSubject">
    <w:name w:val="annotation subject"/>
    <w:basedOn w:val="CommentText"/>
    <w:next w:val="CommentText"/>
    <w:link w:val="CommentSubjectChar"/>
    <w:rsid w:val="00F8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4768"/>
    <w:rPr>
      <w:b/>
      <w:bCs/>
    </w:rPr>
  </w:style>
  <w:style w:type="paragraph" w:customStyle="1" w:styleId="Normal0">
    <w:name w:val="[Normal]"/>
    <w:uiPriority w:val="99"/>
    <w:rsid w:val="001A04FA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32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lie.crocker-wilson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regulations/105-CMR-15800-licensure-of-adult-day-health-program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1A6858227C846BEFA69E4B03380E3" ma:contentTypeVersion="6" ma:contentTypeDescription="Create a new document." ma:contentTypeScope="" ma:versionID="409eff13f0ca2c40bd30be95d754713f">
  <xsd:schema xmlns:xsd="http://www.w3.org/2001/XMLSchema" xmlns:xs="http://www.w3.org/2001/XMLSchema" xmlns:p="http://schemas.microsoft.com/office/2006/metadata/properties" xmlns:ns2="5e534dad-a852-42fd-82d2-5a0d78a5662f" xmlns:ns3="dcadab36-1c69-4410-9845-0bf25bbcf585" targetNamespace="http://schemas.microsoft.com/office/2006/metadata/properties" ma:root="true" ma:fieldsID="821019a09045b755a4c967da8ba7ea19" ns2:_="" ns3:_="">
    <xsd:import namespace="5e534dad-a852-42fd-82d2-5a0d78a5662f"/>
    <xsd:import namespace="dcadab36-1c69-4410-9845-0bf25bbcf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34dad-a852-42fd-82d2-5a0d78a56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dab36-1c69-4410-9845-0bf25bbcf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3D36D-6AFC-44A8-96F7-2B4C78CBB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F30A-CA01-47E6-B707-E88E9CD2D7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BE5BFE-7CE9-451A-85F0-14EA9F0800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3103D-E653-49F5-88F3-DE0179468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34dad-a852-42fd-82d2-5a0d78a5662f"/>
    <ds:schemaRef ds:uri="dcadab36-1c69-4410-9845-0bf25bbcf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Letterhead.dot</Template>
  <TotalTime>1</TotalTime>
  <Pages>2</Pages>
  <Words>474</Words>
  <Characters>3037</Characters>
  <Application>Microsoft Office Word</Application>
  <DocSecurity>0</DocSecurity>
  <Lines>25</Lines>
  <Paragraphs>7</Paragraphs>
  <ScaleCrop>false</ScaleCrop>
  <Company>Commonwealth of Massachusetts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Woo, Karl (EHS)</cp:lastModifiedBy>
  <cp:revision>5</cp:revision>
  <cp:lastPrinted>2024-04-16T16:00:00Z</cp:lastPrinted>
  <dcterms:created xsi:type="dcterms:W3CDTF">2024-05-23T18:18:00Z</dcterms:created>
  <dcterms:modified xsi:type="dcterms:W3CDTF">2024-06-27T18:51:00Z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0x0101009601A6858227C846BEFA69E4B03380E3</vt:lpwstr>
  </property>
</Properties>
</file>