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443E3" w14:textId="77777777" w:rsidR="0068593A" w:rsidRPr="006B368D" w:rsidRDefault="00422AE8">
      <w:pPr>
        <w:pStyle w:val="BodyText"/>
        <w:rPr>
          <w:rFonts w:ascii="Times New Roman"/>
          <w:color w:val="000000" w:themeColor="text1"/>
          <w:sz w:val="20"/>
        </w:rPr>
      </w:pPr>
      <w:r>
        <w:pict w14:anchorId="61BE4B31">
          <v:group id="docshapegroup1" o:spid="_x0000_s1161" alt="&quot;&quot;" style="position:absolute;margin-left:0;margin-top:0;width:10in;height:72.5pt;z-index:-15999488;mso-position-horizontal-relative:page;mso-position-vertical-relative:page" coordsize="14400,1450">
            <v:rect id="docshape2" o:spid="_x0000_s1162" alt="&quot;&quot;" style="position:absolute;top:-1;width:14400;height:856" fillcolor="#92a199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163" type="#_x0000_t75" alt="&quot;&quot;" style="position:absolute;left:12803;top:14;width:1436;height:1436">
              <v:imagedata r:id="rId7" o:title=""/>
            </v:shape>
            <w10:wrap anchorx="page" anchory="page"/>
          </v:group>
        </w:pict>
      </w:r>
    </w:p>
    <w:p w14:paraId="31FD4A23" w14:textId="77777777" w:rsidR="0068593A" w:rsidRPr="006B368D" w:rsidRDefault="0068593A">
      <w:pPr>
        <w:pStyle w:val="BodyText"/>
        <w:rPr>
          <w:rFonts w:ascii="Times New Roman"/>
          <w:color w:val="000000" w:themeColor="text1"/>
          <w:sz w:val="20"/>
        </w:rPr>
      </w:pPr>
    </w:p>
    <w:p w14:paraId="5D11DF21" w14:textId="77777777" w:rsidR="0068593A" w:rsidRPr="006B368D" w:rsidRDefault="0068593A">
      <w:pPr>
        <w:pStyle w:val="BodyText"/>
        <w:rPr>
          <w:rFonts w:ascii="Times New Roman"/>
          <w:color w:val="000000" w:themeColor="text1"/>
          <w:sz w:val="20"/>
        </w:rPr>
      </w:pPr>
    </w:p>
    <w:p w14:paraId="11A9DA98" w14:textId="77777777" w:rsidR="0068593A" w:rsidRPr="006B368D" w:rsidRDefault="0068593A">
      <w:pPr>
        <w:pStyle w:val="BodyText"/>
        <w:spacing w:before="5"/>
        <w:rPr>
          <w:rFonts w:ascii="Times New Roman"/>
          <w:color w:val="000000" w:themeColor="text1"/>
          <w:sz w:val="29"/>
        </w:rPr>
      </w:pPr>
    </w:p>
    <w:p w14:paraId="77173378" w14:textId="3A5962CA" w:rsidR="006B368D" w:rsidRPr="006B368D" w:rsidRDefault="006B368D" w:rsidP="006B368D">
      <w:pPr>
        <w:pStyle w:val="Heading1"/>
      </w:pPr>
      <w:r w:rsidRPr="006B368D">
        <w:t>DPH BSAS Q1 Opiate Report Slides 5-14-2021</w:t>
      </w:r>
    </w:p>
    <w:p w14:paraId="3C33B862" w14:textId="25D4FDBE" w:rsidR="0068593A" w:rsidRPr="006B368D" w:rsidRDefault="00422AE8" w:rsidP="006B368D">
      <w:pPr>
        <w:pStyle w:val="Heading2"/>
      </w:pPr>
      <w:r>
        <w:rPr>
          <w:b w:val="0"/>
          <w:sz w:val="22"/>
        </w:rPr>
        <w:pict w14:anchorId="216C568C">
          <v:group id="docshapegroup4" o:spid="_x0000_s1078" alt="Figure 1. Opioid-Related Overdoes Deaths, All Intents by Month for Massachusetts Residents from October 2019 to March 2021" style="position:absolute;left:0;text-align:left;margin-left:45.4pt;margin-top:111.2pt;width:627.95pt;height:205.1pt;z-index:15730176;mso-position-horizontal-relative:page" coordorigin="908,2224" coordsize="12559,4102">
            <v:rect id="docshape5" o:spid="_x0000_s1079" alt="Figure 1. Opioid-Related Overdoes Deaths, All Intents by Month for Massachusetts Residents from October 2019 to March 2021" style="position:absolute;left:4183;top:4321;width:260;height:1362" fillcolor="#a6a6a6" stroked="f"/>
            <v:rect id="docshape6" o:spid="_x0000_s1080" alt="Figure 1. Opioid-Related Overdoes Deaths, All Intents by Month for Massachusetts Residents from October 2019 to March 2021" style="position:absolute;left:4183;top:4302;width:260;height:19" fillcolor="red" stroked="f"/>
            <v:rect id="docshape7" o:spid="_x0000_s1081" alt="Figure 1. Opioid-Related Overdoes Deaths, All Intents by Month for Massachusetts Residents from October 2019 to March 2021" style="position:absolute;left:4804;top:3983;width:260;height:1701" fillcolor="#a6a6a6" stroked="f"/>
            <v:rect id="docshape8" o:spid="_x0000_s1082" alt="Figure 1. Opioid-Related Overdoes Deaths, All Intents by Month for Massachusetts Residents from October 2019 to March 2021" style="position:absolute;left:4804;top:3945;width:260;height:38" fillcolor="red" stroked="f"/>
            <v:rect id="docshape9" o:spid="_x0000_s1083" alt="Figure 1. Opioid-Related Overdoes Deaths, All Intents by Month for Massachusetts Residents from October 2019 to March 2021" style="position:absolute;left:5425;top:4030;width:260;height:1653" fillcolor="#a6a6a6" stroked="f"/>
            <v:rect id="docshape10" o:spid="_x0000_s1084" alt="Figure 1. Opioid-Related Overdoes Deaths, All Intents by Month for Massachusetts Residents from October 2019 to March 2021" style="position:absolute;left:5425;top:3994;width:260;height:36" fillcolor="red" stroked="f"/>
            <v:rect id="docshape11" o:spid="_x0000_s1085" alt="Figure 1. Opioid-Related Overdoes Deaths, All Intents by Month for Massachusetts Residents from October 2019 to March 2021" style="position:absolute;left:6046;top:3838;width:260;height:1845" fillcolor="#a6a6a6" stroked="f"/>
            <v:rect id="docshape12" o:spid="_x0000_s1086" alt="Figure 1. Opioid-Related Overdoes Deaths, All Intents by Month for Massachusetts Residents from October 2019 to March 2021" style="position:absolute;left:6046;top:3791;width:260;height:48" fillcolor="red" stroked="f"/>
            <v:rect id="docshape13" o:spid="_x0000_s1087" alt="Figure 1. Opioid-Related Overdoes Deaths, All Intents by Month for Massachusetts Residents from October 2019 to March 2021" style="position:absolute;left:6667;top:3653;width:260;height:2030" fillcolor="#a6a6a6" stroked="f"/>
            <v:rect id="docshape14" o:spid="_x0000_s1088" alt="Figure 1. Opioid-Related Overdoes Deaths, All Intents by Month for Massachusetts Residents from October 2019 to March 2021" style="position:absolute;left:6667;top:3623;width:260;height:31" fillcolor="red" stroked="f"/>
            <v:rect id="docshape15" o:spid="_x0000_s1089" alt="Figure 1. Opioid-Related Overdoes Deaths, All Intents by Month for Massachusetts Residents from October 2019 to March 2021" style="position:absolute;left:7288;top:3983;width:260;height:1701" fillcolor="#a6a6a6" stroked="f"/>
            <v:rect id="docshape16" o:spid="_x0000_s1090" alt="Figure 1. Opioid-Related Overdoes Deaths, All Intents by Month for Massachusetts Residents from October 2019 to March 2021" style="position:absolute;left:7288;top:3945;width:260;height:38" fillcolor="red" stroked="f"/>
            <v:rect id="docshape17" o:spid="_x0000_s1091" alt="Figure 1. Opioid-Related Overdoes Deaths, All Intents by Month for Massachusetts Residents from October 2019 to March 2021" style="position:absolute;left:7910;top:3914;width:260;height:1769" fillcolor="#a6a6a6" stroked="f"/>
            <v:rect id="docshape18" o:spid="_x0000_s1092" alt="Figure 1. Opioid-Related Overdoes Deaths, All Intents by Month for Massachusetts Residents from October 2019 to March 2021" style="position:absolute;left:7910;top:3845;width:260;height:69" fillcolor="red" stroked="f"/>
            <v:rect id="docshape19" o:spid="_x0000_s1093" alt="Figure 1. Opioid-Related Overdoes Deaths, All Intents by Month for Massachusetts Residents from October 2019 to March 2021" style="position:absolute;left:9773;top:4011;width:260;height:1672" fillcolor="#a6a6a6" stroked="f"/>
            <v:rect id="docshape20" o:spid="_x0000_s1094" alt="Figure 1. Opioid-Related Overdoes Deaths, All Intents by Month for Massachusetts Residents from October 2019 to March 2021" style="position:absolute;left:9773;top:3966;width:260;height:45" fillcolor="red" stroked="f"/>
            <v:rect id="docshape21" o:spid="_x0000_s1095" alt="Figure 1. Opioid-Related Overdoes Deaths, All Intents by Month for Massachusetts Residents from October 2019 to March 2021" style="position:absolute;left:10394;top:4177;width:260;height:1507" fillcolor="#a6a6a6" stroked="f"/>
            <v:rect id="docshape22" o:spid="_x0000_s1096" alt="Figure 1. Opioid-Related Overdoes Deaths, All Intents by Month for Massachusetts Residents from October 2019 to March 2021" style="position:absolute;left:10394;top:4118;width:260;height:60" fillcolor="red" stroked="f"/>
            <v:rect id="docshape23" o:spid="_x0000_s1097" alt="Figure 1. Opioid-Related Overdoes Deaths, All Intents by Month for Massachusetts Residents from October 2019 to March 2021" style="position:absolute;left:11015;top:4234;width:260;height:1450" fillcolor="#a6a6a6" stroked="f"/>
            <v:rect id="docshape24" o:spid="_x0000_s1098" alt="Figure 1. Opioid-Related Overdoes Deaths, All Intents by Month for Massachusetts Residents from October 2019 to March 2021" style="position:absolute;left:11015;top:3971;width:260;height:263" fillcolor="red" stroked="f"/>
            <v:rect id="docshape25" o:spid="_x0000_s1099" alt="Figure 1. Opioid-Related Overdoes Deaths, All Intents by Month for Massachusetts Residents from October 2019 to March 2021" style="position:absolute;left:11636;top:4852;width:260;height:832" fillcolor="#a6a6a6" stroked="f"/>
            <v:rect id="docshape26" o:spid="_x0000_s1100" alt="Figure 1. Opioid-Related Overdoes Deaths, All Intents by Month for Massachusetts Residents from October 2019 to March 2021" style="position:absolute;left:11636;top:4087;width:260;height:765" fillcolor="red" stroked="f"/>
            <v:rect id="docshape27" o:spid="_x0000_s1101" alt="Figure 1. Opioid-Related Overdoes Deaths, All Intents by Month for Massachusetts Residents from October 2019 to March 2021" style="position:absolute;left:12260;top:5576;width:258;height:100" fillcolor="#a6a6a6" stroked="f"/>
            <v:rect id="docshape28" o:spid="_x0000_s1102" alt="Figure 1. Opioid-Related Overdoes Deaths, All Intents by Month for Massachusetts Residents from October 2019 to March 2021" style="position:absolute;left:12260;top:4167;width:258;height:1409" fillcolor="red" stroked="f"/>
            <v:rect id="docshape29" o:spid="_x0000_s1103" alt="Figure 1. Opioid-Related Overdoes Deaths, All Intents by Month for Massachusetts Residents from October 2019 to March 2021" style="position:absolute;left:12881;top:5664;width:258;height:12" fillcolor="#a6a6a6" stroked="f"/>
            <v:line id="_x0000_s1104" alt="Figure 1. Opioid-Related Overdoes Deaths, All Intents by Month for Massachusetts Residents from October 2019 to March 2021" style="position:absolute" from="2139,5683" to="2139,3268" strokecolor="#858585" strokeweight=".2555mm"/>
            <v:shape id="docshape30" o:spid="_x0000_s1105" alt="Figure 1. Opioid-Related Overdoes Deaths, All Intents by Month for Massachusetts Residents from October 2019 to March 2021" style="position:absolute;left:2076;top:5679;width:63;height:8" coordorigin="2076,5680" coordsize="63,8" o:spt="100" adj="0,,0" path="m2076,5687r63,m2076,5680r63,e" filled="f" strokecolor="#858585" strokeweight=".37pt">
              <v:stroke joinstyle="round"/>
              <v:formulas/>
              <v:path arrowok="t" o:connecttype="segments"/>
            </v:shape>
            <v:shape id="docshape31" o:spid="_x0000_s1106" alt="Figure 1. Opioid-Related Overdoes Deaths, All Intents by Month for Massachusetts Residents from October 2019 to March 2021" style="position:absolute;left:2076;top:3267;width:63;height:1933" coordorigin="2076,3268" coordsize="63,1933" o:spt="100" adj="0,,0" path="m2076,5200r63,m2076,4717r63,m2076,4234r63,m2076,3751r63,m2076,3268r63,e" filled="f" strokecolor="#858585" strokeweight=".25828mm">
              <v:stroke joinstyle="round"/>
              <v:formulas/>
              <v:path arrowok="t" o:connecttype="segments"/>
            </v:shape>
            <v:shape id="docshape32" o:spid="_x0000_s1107" type="#_x0000_t75" alt="Figure 1. Opioid-Related Overdoes Deaths, All Intents by Month for Massachusetts Residents from October 2019 to March 2021" style="position:absolute;left:2131;top:5675;width:11196;height:550">
              <v:imagedata r:id="rId8" o:title=""/>
            </v:shape>
            <v:rect id="docshape33" o:spid="_x0000_s1108" alt="Figure 1. Opioid-Related Overdoes Deaths, All Intents by Month for Massachusetts Residents from October 2019 to March 2021" style="position:absolute;left:6385;top:3085;width:89;height:90" fillcolor="#a6a6a6" stroked="f"/>
            <v:rect id="docshape34" o:spid="_x0000_s1109" alt="Figure 1. Opioid-Related Overdoes Deaths, All Intents by Month for Massachusetts Residents from October 2019 to March 2021" style="position:absolute;left:7455;top:3085;width:89;height:90" fillcolor="red" stroked="f"/>
            <v:rect id="docshape35" o:spid="_x0000_s1110" alt="Figure 1. Opioid-Related Overdoes Deaths, All Intents by Month for Massachusetts Residents from October 2019 to March 2021" style="position:absolute;left:915;top:2230;width:12544;height:4087" filled="f" strokecolor="#858585" strokeweight=".2605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6" o:spid="_x0000_s1111" type="#_x0000_t202" alt="Figure 1. Opioid-Related Overdoes Deaths, All Intents by Month for Massachusetts Residents from October 2019 to March 2021" style="position:absolute;left:4029;top:2327;width:6627;height:569;mso-wrap-style:square;v-text-anchor:top" filled="f" stroked="f">
              <v:textbox inset="0,0,0,0">
                <w:txbxContent>
                  <w:p w14:paraId="3E9E8F88" w14:textId="77777777" w:rsidR="0068593A" w:rsidRDefault="00422AE8">
                    <w:pPr>
                      <w:spacing w:line="245" w:lineRule="exact"/>
                      <w:ind w:left="-1" w:right="18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w w:val="85"/>
                        <w:sz w:val="25"/>
                      </w:rPr>
                      <w:t>Figure</w:t>
                    </w:r>
                    <w:r>
                      <w:rPr>
                        <w:b/>
                        <w:spacing w:val="17"/>
                        <w:w w:val="85"/>
                        <w:sz w:val="25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5"/>
                      </w:rPr>
                      <w:t>1.</w:t>
                    </w:r>
                    <w:r>
                      <w:rPr>
                        <w:b/>
                        <w:spacing w:val="15"/>
                        <w:w w:val="85"/>
                        <w:sz w:val="25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5"/>
                      </w:rPr>
                      <w:t>Opioid-Related</w:t>
                    </w:r>
                    <w:r>
                      <w:rPr>
                        <w:b/>
                        <w:spacing w:val="26"/>
                        <w:w w:val="85"/>
                        <w:sz w:val="25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5"/>
                      </w:rPr>
                      <w:t>Overdose</w:t>
                    </w:r>
                    <w:r>
                      <w:rPr>
                        <w:b/>
                        <w:spacing w:val="22"/>
                        <w:w w:val="85"/>
                        <w:sz w:val="25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5"/>
                      </w:rPr>
                      <w:t>Deaths,</w:t>
                    </w:r>
                    <w:r>
                      <w:rPr>
                        <w:b/>
                        <w:spacing w:val="26"/>
                        <w:w w:val="85"/>
                        <w:sz w:val="25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5"/>
                      </w:rPr>
                      <w:t>All</w:t>
                    </w:r>
                    <w:r>
                      <w:rPr>
                        <w:b/>
                        <w:spacing w:val="15"/>
                        <w:w w:val="85"/>
                        <w:sz w:val="25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5"/>
                      </w:rPr>
                      <w:t>Intents</w:t>
                    </w:r>
                    <w:r>
                      <w:rPr>
                        <w:b/>
                        <w:spacing w:val="22"/>
                        <w:w w:val="85"/>
                        <w:sz w:val="25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5"/>
                      </w:rPr>
                      <w:t>by</w:t>
                    </w:r>
                    <w:r>
                      <w:rPr>
                        <w:b/>
                        <w:spacing w:val="18"/>
                        <w:w w:val="85"/>
                        <w:sz w:val="25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5"/>
                      </w:rPr>
                      <w:t>Month</w:t>
                    </w:r>
                  </w:p>
                  <w:p w14:paraId="63F525C7" w14:textId="77777777" w:rsidR="0068593A" w:rsidRDefault="00422AE8">
                    <w:pPr>
                      <w:spacing w:before="25"/>
                      <w:ind w:left="3" w:right="18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w w:val="85"/>
                        <w:sz w:val="25"/>
                      </w:rPr>
                      <w:t>Massachusetts</w:t>
                    </w:r>
                    <w:r>
                      <w:rPr>
                        <w:b/>
                        <w:spacing w:val="27"/>
                        <w:w w:val="85"/>
                        <w:sz w:val="25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5"/>
                      </w:rPr>
                      <w:t>Residents:</w:t>
                    </w:r>
                    <w:r>
                      <w:rPr>
                        <w:b/>
                        <w:spacing w:val="23"/>
                        <w:w w:val="85"/>
                        <w:sz w:val="25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5"/>
                      </w:rPr>
                      <w:t>October</w:t>
                    </w:r>
                    <w:r>
                      <w:rPr>
                        <w:b/>
                        <w:spacing w:val="21"/>
                        <w:w w:val="85"/>
                        <w:sz w:val="25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5"/>
                      </w:rPr>
                      <w:t>2019-</w:t>
                    </w:r>
                    <w:r>
                      <w:rPr>
                        <w:b/>
                        <w:spacing w:val="13"/>
                        <w:w w:val="85"/>
                        <w:sz w:val="25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5"/>
                      </w:rPr>
                      <w:t>March</w:t>
                    </w:r>
                    <w:r>
                      <w:rPr>
                        <w:b/>
                        <w:spacing w:val="21"/>
                        <w:w w:val="85"/>
                        <w:sz w:val="25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5"/>
                      </w:rPr>
                      <w:t>2021</w:t>
                    </w:r>
                  </w:p>
                </w:txbxContent>
              </v:textbox>
            </v:shape>
            <v:shape id="docshape37" o:spid="_x0000_s1112" type="#_x0000_t202" alt="Figure 1. Opioid-Related Overdoes Deaths, All Intents by Month for Massachusetts Residents from October 2019 to March 2021" style="position:absolute;left:1664;top:3176;width:315;height:681;mso-wrap-style:square;v-text-anchor:top" filled="f" stroked="f">
              <v:textbox inset="0,0,0,0">
                <w:txbxContent>
                  <w:p w14:paraId="6366A1B1" w14:textId="77777777" w:rsidR="0068593A" w:rsidRDefault="00422AE8">
                    <w:pPr>
                      <w:spacing w:line="188" w:lineRule="exact"/>
                      <w:rPr>
                        <w:sz w:val="19"/>
                      </w:rPr>
                    </w:pPr>
                    <w:r>
                      <w:rPr>
                        <w:w w:val="95"/>
                        <w:sz w:val="19"/>
                      </w:rPr>
                      <w:t>250</w:t>
                    </w:r>
                  </w:p>
                  <w:p w14:paraId="7355F3EA" w14:textId="77777777" w:rsidR="0068593A" w:rsidRDefault="0068593A">
                    <w:pPr>
                      <w:rPr>
                        <w:sz w:val="23"/>
                      </w:rPr>
                    </w:pPr>
                  </w:p>
                  <w:p w14:paraId="437B586F" w14:textId="77777777" w:rsidR="0068593A" w:rsidRDefault="00422AE8">
                    <w:pPr>
                      <w:rPr>
                        <w:sz w:val="19"/>
                      </w:rPr>
                    </w:pPr>
                    <w:r>
                      <w:rPr>
                        <w:w w:val="95"/>
                        <w:sz w:val="19"/>
                      </w:rPr>
                      <w:t>200</w:t>
                    </w:r>
                  </w:p>
                </w:txbxContent>
              </v:textbox>
            </v:shape>
            <v:shape id="docshape38" o:spid="_x0000_s1113" type="#_x0000_t202" alt="Figure 1. Opioid-Related Overdoes Deaths, All Intents by Month for Massachusetts Residents from October 2019 to March 2021" style="position:absolute;left:6757;top:3573;width:99;height:159;mso-wrap-style:square;v-text-anchor:top" filled="f" stroked="f">
              <v:textbox inset="0,0,0,0">
                <w:txbxContent>
                  <w:p w14:paraId="0AEFAAB0" w14:textId="77777777" w:rsidR="0068593A" w:rsidRDefault="00422AE8">
                    <w:pPr>
                      <w:spacing w:line="153" w:lineRule="exac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8"/>
                        <w:sz w:val="16"/>
                      </w:rPr>
                      <w:t>3</w:t>
                    </w:r>
                  </w:p>
                </w:txbxContent>
              </v:textbox>
            </v:shape>
            <v:shape id="docshape39" o:spid="_x0000_s1114" type="#_x0000_t202" alt="Figure 1. Opioid-Related Overdoes Deaths, All Intents by Month for Massachusetts Residents from October 2019 to March 2021" style="position:absolute;left:6136;top:3749;width:99;height:159;mso-wrap-style:square;v-text-anchor:top" filled="f" stroked="f">
              <v:textbox inset="0,0,0,0">
                <w:txbxContent>
                  <w:p w14:paraId="24C5F30A" w14:textId="77777777" w:rsidR="0068593A" w:rsidRDefault="00422AE8">
                    <w:pPr>
                      <w:spacing w:line="153" w:lineRule="exac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8"/>
                        <w:sz w:val="16"/>
                      </w:rPr>
                      <w:t>5</w:t>
                    </w:r>
                  </w:p>
                </w:txbxContent>
              </v:textbox>
            </v:shape>
            <v:shape id="docshape40" o:spid="_x0000_s1115" type="#_x0000_t202" alt="Figure 1. Opioid-Related Overdoes Deaths, All Intents by Month for Massachusetts Residents from October 2019 to March 2021" style="position:absolute;left:4894;top:3899;width:99;height:159;mso-wrap-style:square;v-text-anchor:top" filled="f" stroked="f">
              <v:textbox inset="0,0,0,0">
                <w:txbxContent>
                  <w:p w14:paraId="5F3BEC33" w14:textId="77777777" w:rsidR="0068593A" w:rsidRDefault="00422AE8">
                    <w:pPr>
                      <w:spacing w:line="153" w:lineRule="exac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8"/>
                        <w:sz w:val="16"/>
                      </w:rPr>
                      <w:t>4</w:t>
                    </w:r>
                  </w:p>
                </w:txbxContent>
              </v:textbox>
            </v:shape>
            <v:shape id="docshape41" o:spid="_x0000_s1116" type="#_x0000_t202" alt="Figure 1. Opioid-Related Overdoes Deaths, All Intents by Month for Massachusetts Residents from October 2019 to March 2021" style="position:absolute;left:8000;top:3814;width:99;height:159;mso-wrap-style:square;v-text-anchor:top" filled="f" stroked="f">
              <v:textbox inset="0,0,0,0">
                <w:txbxContent>
                  <w:p w14:paraId="15D35F71" w14:textId="77777777" w:rsidR="0068593A" w:rsidRDefault="00422AE8">
                    <w:pPr>
                      <w:spacing w:line="153" w:lineRule="exac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8"/>
                        <w:sz w:val="16"/>
                      </w:rPr>
                      <w:t>7</w:t>
                    </w:r>
                  </w:p>
                </w:txbxContent>
              </v:textbox>
            </v:shape>
            <v:shape id="docshape42" o:spid="_x0000_s1117" type="#_x0000_t202" alt="Figure 1. Opioid-Related Overdoes Deaths, All Intents by Month for Massachusetts Residents from October 2019 to March 2021" style="position:absolute;left:5515;top:3947;width:99;height:159;mso-wrap-style:square;v-text-anchor:top" filled="f" stroked="f">
              <v:textbox inset="0,0,0,0">
                <w:txbxContent>
                  <w:p w14:paraId="6C76B8CC" w14:textId="77777777" w:rsidR="0068593A" w:rsidRDefault="00422AE8">
                    <w:pPr>
                      <w:spacing w:line="153" w:lineRule="exac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8"/>
                        <w:sz w:val="16"/>
                      </w:rPr>
                      <w:t>4</w:t>
                    </w:r>
                  </w:p>
                </w:txbxContent>
              </v:textbox>
            </v:shape>
            <v:shape id="docshape43" o:spid="_x0000_s1118" type="#_x0000_t202" alt="Figure 1. Opioid-Related Overdoes Deaths, All Intents by Month for Massachusetts Residents from October 2019 to March 2021" style="position:absolute;left:7379;top:3899;width:99;height:159;mso-wrap-style:square;v-text-anchor:top" filled="f" stroked="f">
              <v:textbox inset="0,0,0,0">
                <w:txbxContent>
                  <w:p w14:paraId="081D5705" w14:textId="77777777" w:rsidR="0068593A" w:rsidRDefault="00422AE8">
                    <w:pPr>
                      <w:spacing w:line="153" w:lineRule="exac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8"/>
                        <w:sz w:val="16"/>
                      </w:rPr>
                      <w:t>4</w:t>
                    </w:r>
                  </w:p>
                </w:txbxContent>
              </v:textbox>
            </v:shape>
            <v:shape id="docshape44" o:spid="_x0000_s1119" type="#_x0000_t202" alt="Figure 1. Opioid-Related Overdoes Deaths, All Intents by Month for Massachusetts Residents from October 2019 to March 2021" style="position:absolute;left:9865;top:3923;width:99;height:159;mso-wrap-style:square;v-text-anchor:top" filled="f" stroked="f">
              <v:textbox inset="0,0,0,0">
                <w:txbxContent>
                  <w:p w14:paraId="61312F52" w14:textId="77777777" w:rsidR="0068593A" w:rsidRDefault="00422AE8">
                    <w:pPr>
                      <w:spacing w:line="153" w:lineRule="exac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8"/>
                        <w:sz w:val="16"/>
                      </w:rPr>
                      <w:t>5</w:t>
                    </w:r>
                  </w:p>
                </w:txbxContent>
              </v:textbox>
            </v:shape>
            <v:shape id="docshape45" o:spid="_x0000_s1120" type="#_x0000_t202" alt="Figure 1. Opioid-Related Overdoes Deaths, All Intents by Month for Massachusetts Residents from October 2019 to March 2021" style="position:absolute;left:1664;top:4143;width:315;height:197;mso-wrap-style:square;v-text-anchor:top" filled="f" stroked="f">
              <v:textbox inset="0,0,0,0">
                <w:txbxContent>
                  <w:p w14:paraId="5F116CED" w14:textId="77777777" w:rsidR="0068593A" w:rsidRDefault="00422AE8">
                    <w:pPr>
                      <w:spacing w:line="188" w:lineRule="exact"/>
                      <w:rPr>
                        <w:sz w:val="19"/>
                      </w:rPr>
                    </w:pPr>
                    <w:r>
                      <w:rPr>
                        <w:w w:val="95"/>
                        <w:sz w:val="19"/>
                      </w:rPr>
                      <w:t>150</w:t>
                    </w:r>
                  </w:p>
                </w:txbxContent>
              </v:textbox>
            </v:shape>
            <v:shape id="docshape46" o:spid="_x0000_s1121" type="#_x0000_t202" alt="Figure 1. Opioid-Related Overdoes Deaths, All Intents by Month for Massachusetts Residents from October 2019 to March 2021" style="position:absolute;left:10486;top:4081;width:99;height:159;mso-wrap-style:square;v-text-anchor:top" filled="f" stroked="f">
              <v:textbox inset="0,0,0,0">
                <w:txbxContent>
                  <w:p w14:paraId="40B7E9D0" w14:textId="77777777" w:rsidR="0068593A" w:rsidRDefault="00422AE8">
                    <w:pPr>
                      <w:spacing w:line="153" w:lineRule="exac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8"/>
                        <w:sz w:val="16"/>
                      </w:rPr>
                      <w:t>6</w:t>
                    </w:r>
                  </w:p>
                </w:txbxContent>
              </v:textbox>
            </v:shape>
            <v:shape id="docshape47" o:spid="_x0000_s1122" type="#_x0000_t202" alt="Figure 1. Opioid-Related Overdoes Deaths, All Intents by Month for Massachusetts Residents from October 2019 to March 2021" style="position:absolute;left:11067;top:4037;width:178;height:159;mso-wrap-style:square;v-text-anchor:top" filled="f" stroked="f">
              <v:textbox inset="0,0,0,0">
                <w:txbxContent>
                  <w:p w14:paraId="73344CB7" w14:textId="77777777" w:rsidR="0068593A" w:rsidRDefault="00422AE8">
                    <w:pPr>
                      <w:spacing w:line="153" w:lineRule="exac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95"/>
                        <w:sz w:val="16"/>
                      </w:rPr>
                      <w:t>27</w:t>
                    </w:r>
                  </w:p>
                </w:txbxContent>
              </v:textbox>
            </v:shape>
            <v:shape id="docshape48" o:spid="_x0000_s1123" type="#_x0000_t202" alt="Figure 1. Opioid-Related Overdoes Deaths, All Intents by Month for Massachusetts Residents from October 2019 to March 2021" style="position:absolute;left:4272;top:4246;width:99;height:159;mso-wrap-style:square;v-text-anchor:top" filled="f" stroked="f">
              <v:textbox inset="0,0,0,0">
                <w:txbxContent>
                  <w:p w14:paraId="399D3AD7" w14:textId="77777777" w:rsidR="0068593A" w:rsidRDefault="00422AE8">
                    <w:pPr>
                      <w:spacing w:line="153" w:lineRule="exac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88"/>
                        <w:sz w:val="16"/>
                      </w:rPr>
                      <w:t>2</w:t>
                    </w:r>
                  </w:p>
                </w:txbxContent>
              </v:textbox>
            </v:shape>
            <v:shape id="docshape49" o:spid="_x0000_s1124" type="#_x0000_t202" alt="Figure 1. Opioid-Related Overdoes Deaths, All Intents by Month for Massachusetts Residents from October 2019 to March 2021" style="position:absolute;left:11689;top:4404;width:178;height:159;mso-wrap-style:square;v-text-anchor:top" filled="f" stroked="f">
              <v:textbox inset="0,0,0,0">
                <w:txbxContent>
                  <w:p w14:paraId="420464F5" w14:textId="77777777" w:rsidR="0068593A" w:rsidRDefault="00422AE8">
                    <w:pPr>
                      <w:spacing w:line="153" w:lineRule="exac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95"/>
                        <w:sz w:val="16"/>
                      </w:rPr>
                      <w:t>79</w:t>
                    </w:r>
                  </w:p>
                </w:txbxContent>
              </v:textbox>
            </v:shape>
            <v:shape id="docshape50" o:spid="_x0000_s1125" type="#_x0000_t202" alt="Figure 1. Opioid-Related Overdoes Deaths, All Intents by Month for Massachusetts Residents from October 2019 to March 2021" style="position:absolute;left:1664;top:4626;width:315;height:197;mso-wrap-style:square;v-text-anchor:top" filled="f" stroked="f">
              <v:textbox inset="0,0,0,0">
                <w:txbxContent>
                  <w:p w14:paraId="04D27B4B" w14:textId="77777777" w:rsidR="0068593A" w:rsidRDefault="00422AE8">
                    <w:pPr>
                      <w:spacing w:line="188" w:lineRule="exact"/>
                      <w:rPr>
                        <w:sz w:val="19"/>
                      </w:rPr>
                    </w:pPr>
                    <w:r>
                      <w:rPr>
                        <w:w w:val="95"/>
                        <w:sz w:val="19"/>
                      </w:rPr>
                      <w:t>100</w:t>
                    </w:r>
                  </w:p>
                </w:txbxContent>
              </v:textbox>
            </v:shape>
            <v:shape id="docshape51" o:spid="_x0000_s1126" type="#_x0000_t202" alt="Figure 1. Opioid-Related Overdoes Deaths, All Intents by Month for Massachusetts Residents from October 2019 to March 2021" style="position:absolute;left:4815;top:4768;width:257;height:159;mso-wrap-style:square;v-text-anchor:top" filled="f" stroked="f">
              <v:textbox inset="0,0,0,0">
                <w:txbxContent>
                  <w:p w14:paraId="74CB5F85" w14:textId="77777777" w:rsidR="0068593A" w:rsidRDefault="00422AE8">
                    <w:pPr>
                      <w:spacing w:line="153" w:lineRule="exact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176</w:t>
                    </w:r>
                  </w:p>
                </w:txbxContent>
              </v:textbox>
            </v:shape>
            <v:shape id="docshape52" o:spid="_x0000_s1127" type="#_x0000_t202" alt="Figure 1. Opioid-Related Overdoes Deaths, All Intents by Month for Massachusetts Residents from October 2019 to March 2021" style="position:absolute;left:5436;top:4792;width:257;height:159;mso-wrap-style:square;v-text-anchor:top" filled="f" stroked="f">
              <v:textbox inset="0,0,0,0">
                <w:txbxContent>
                  <w:p w14:paraId="139AA8B9" w14:textId="77777777" w:rsidR="0068593A" w:rsidRDefault="00422AE8">
                    <w:pPr>
                      <w:spacing w:line="153" w:lineRule="exact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171</w:t>
                    </w:r>
                  </w:p>
                </w:txbxContent>
              </v:textbox>
            </v:shape>
            <v:shape id="docshape53" o:spid="_x0000_s1128" type="#_x0000_t202" alt="Figure 1. Opioid-Related Overdoes Deaths, All Intents by Month for Massachusetts Residents from October 2019 to March 2021" style="position:absolute;left:6058;top:4695;width:257;height:159;mso-wrap-style:square;v-text-anchor:top" filled="f" stroked="f">
              <v:textbox inset="0,0,0,0">
                <w:txbxContent>
                  <w:p w14:paraId="65E0B1E3" w14:textId="77777777" w:rsidR="0068593A" w:rsidRDefault="00422AE8">
                    <w:pPr>
                      <w:spacing w:line="153" w:lineRule="exact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191</w:t>
                    </w:r>
                  </w:p>
                </w:txbxContent>
              </v:textbox>
            </v:shape>
            <v:shape id="docshape54" o:spid="_x0000_s1129" type="#_x0000_t202" alt="Figure 1. Opioid-Related Overdoes Deaths, All Intents by Month for Massachusetts Residents from October 2019 to March 2021" style="position:absolute;left:6679;top:4604;width:257;height:159;mso-wrap-style:square;v-text-anchor:top" filled="f" stroked="f">
              <v:textbox inset="0,0,0,0">
                <w:txbxContent>
                  <w:p w14:paraId="62A3590B" w14:textId="77777777" w:rsidR="0068593A" w:rsidRDefault="00422AE8">
                    <w:pPr>
                      <w:spacing w:line="153" w:lineRule="exact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210</w:t>
                    </w:r>
                  </w:p>
                </w:txbxContent>
              </v:textbox>
            </v:shape>
            <v:shape id="docshape55" o:spid="_x0000_s1130" type="#_x0000_t202" alt="Figure 1. Opioid-Related Overdoes Deaths, All Intents by Month for Massachusetts Residents from October 2019 to March 2021" style="position:absolute;left:7300;top:4768;width:257;height:159;mso-wrap-style:square;v-text-anchor:top" filled="f" stroked="f">
              <v:textbox inset="0,0,0,0">
                <w:txbxContent>
                  <w:p w14:paraId="0CD5B2A7" w14:textId="77777777" w:rsidR="0068593A" w:rsidRDefault="00422AE8">
                    <w:pPr>
                      <w:spacing w:line="153" w:lineRule="exact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176</w:t>
                    </w:r>
                  </w:p>
                </w:txbxContent>
              </v:textbox>
            </v:shape>
            <v:shape id="docshape56" o:spid="_x0000_s1131" type="#_x0000_t202" alt="Figure 1. Opioid-Related Overdoes Deaths, All Intents by Month for Massachusetts Residents from October 2019 to March 2021" style="position:absolute;left:7922;top:4733;width:257;height:160;mso-wrap-style:square;v-text-anchor:top" filled="f" stroked="f">
              <v:textbox inset="0,0,0,0">
                <w:txbxContent>
                  <w:p w14:paraId="38816682" w14:textId="77777777" w:rsidR="0068593A" w:rsidRDefault="00422AE8">
                    <w:pPr>
                      <w:spacing w:line="153" w:lineRule="exact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183</w:t>
                    </w:r>
                  </w:p>
                </w:txbxContent>
              </v:textbox>
            </v:shape>
            <v:shape id="docshape57" o:spid="_x0000_s1132" type="#_x0000_t202" alt="Figure 1. Opioid-Related Overdoes Deaths, All Intents by Month for Massachusetts Residents from October 2019 to March 2021" style="position:absolute;left:9786;top:4783;width:257;height:159;mso-wrap-style:square;v-text-anchor:top" filled="f" stroked="f">
              <v:textbox inset="0,0,0,0">
                <w:txbxContent>
                  <w:p w14:paraId="435BC8F3" w14:textId="77777777" w:rsidR="0068593A" w:rsidRDefault="00422AE8">
                    <w:pPr>
                      <w:spacing w:line="153" w:lineRule="exact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173</w:t>
                    </w:r>
                  </w:p>
                </w:txbxContent>
              </v:textbox>
            </v:shape>
            <v:shape id="docshape58" o:spid="_x0000_s1133" type="#_x0000_t202" alt="Figure 1. Opioid-Related Overdoes Deaths, All Intents by Month for Massachusetts Residents from October 2019 to March 2021" style="position:absolute;left:12271;top:4808;width:257;height:159;mso-wrap-style:square;v-text-anchor:top" filled="f" stroked="f">
              <v:textbox inset="0,0,0,0">
                <w:txbxContent>
                  <w:p w14:paraId="2A624597" w14:textId="77777777" w:rsidR="0068593A" w:rsidRDefault="00422AE8">
                    <w:pPr>
                      <w:spacing w:line="153" w:lineRule="exac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90"/>
                        <w:sz w:val="16"/>
                      </w:rPr>
                      <w:t>146</w:t>
                    </w:r>
                  </w:p>
                </w:txbxContent>
              </v:textbox>
            </v:shape>
            <v:shape id="docshape59" o:spid="_x0000_s1134" type="#_x0000_t202" alt="Figure 1. Opioid-Related Overdoes Deaths, All Intents by Month for Massachusetts Residents from October 2019 to March 2021" style="position:absolute;left:4193;top:4937;width:257;height:159;mso-wrap-style:square;v-text-anchor:top" filled="f" stroked="f">
              <v:textbox inset="0,0,0,0">
                <w:txbxContent>
                  <w:p w14:paraId="05943324" w14:textId="77777777" w:rsidR="0068593A" w:rsidRDefault="00422AE8">
                    <w:pPr>
                      <w:spacing w:line="153" w:lineRule="exact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141</w:t>
                    </w:r>
                  </w:p>
                </w:txbxContent>
              </v:textbox>
            </v:shape>
            <v:shape id="docshape60" o:spid="_x0000_s1135" type="#_x0000_t202" alt="Figure 1. Opioid-Related Overdoes Deaths, All Intents by Month for Massachusetts Residents from October 2019 to March 2021" style="position:absolute;left:10407;top:4865;width:879;height:188;mso-wrap-style:square;v-text-anchor:top" filled="f" stroked="f">
              <v:textbox inset="0,0,0,0">
                <w:txbxContent>
                  <w:p w14:paraId="766AB1B9" w14:textId="77777777" w:rsidR="0068593A" w:rsidRDefault="00422AE8">
                    <w:pPr>
                      <w:tabs>
                        <w:tab w:val="left" w:pos="621"/>
                      </w:tabs>
                      <w:spacing w:line="183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156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w w:val="90"/>
                        <w:position w:val="-2"/>
                        <w:sz w:val="16"/>
                      </w:rPr>
                      <w:t>150</w:t>
                    </w:r>
                  </w:p>
                </w:txbxContent>
              </v:textbox>
            </v:shape>
            <v:shape id="docshape61" o:spid="_x0000_s1136" type="#_x0000_t202" alt="Figure 1. Opioid-Related Overdoes Deaths, All Intents by Month for Massachusetts Residents from October 2019 to March 2021" style="position:absolute;left:1762;top:5110;width:215;height:197;mso-wrap-style:square;v-text-anchor:top" filled="f" stroked="f">
              <v:textbox inset="0,0,0,0">
                <w:txbxContent>
                  <w:p w14:paraId="50C747CA" w14:textId="77777777" w:rsidR="0068593A" w:rsidRDefault="00422AE8">
                    <w:pPr>
                      <w:spacing w:line="188" w:lineRule="exact"/>
                      <w:rPr>
                        <w:sz w:val="19"/>
                      </w:rPr>
                    </w:pPr>
                    <w:r>
                      <w:rPr>
                        <w:w w:val="95"/>
                        <w:sz w:val="19"/>
                      </w:rPr>
                      <w:t>50</w:t>
                    </w:r>
                  </w:p>
                </w:txbxContent>
              </v:textbox>
            </v:shape>
            <v:shape id="docshape62" o:spid="_x0000_s1137" type="#_x0000_t202" alt="Figure 1. Opioid-Related Overdoes Deaths, All Intents by Month for Massachusetts Residents from October 2019 to March 2021" style="position:absolute;left:11689;top:5203;width:178;height:159;mso-wrap-style:square;v-text-anchor:top" filled="f" stroked="f">
              <v:textbox inset="0,0,0,0">
                <w:txbxContent>
                  <w:p w14:paraId="658BDAC1" w14:textId="77777777" w:rsidR="0068593A" w:rsidRDefault="00422AE8">
                    <w:pPr>
                      <w:spacing w:line="153" w:lineRule="exac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86</w:t>
                    </w:r>
                  </w:p>
                </w:txbxContent>
              </v:textbox>
            </v:shape>
            <v:shape id="docshape63" o:spid="_x0000_s1138" type="#_x0000_t202" alt="Figure 1. Opioid-Related Overdoes Deaths, All Intents by Month for Massachusetts Residents from October 2019 to March 2021" style="position:absolute;left:1860;top:5593;width:118;height:197;mso-wrap-style:square;v-text-anchor:top" filled="f" stroked="f">
              <v:textbox inset="0,0,0,0">
                <w:txbxContent>
                  <w:p w14:paraId="52FF1C64" w14:textId="77777777" w:rsidR="0068593A" w:rsidRDefault="00422AE8">
                    <w:pPr>
                      <w:spacing w:line="188" w:lineRule="exact"/>
                      <w:rPr>
                        <w:sz w:val="19"/>
                      </w:rPr>
                    </w:pPr>
                    <w:r>
                      <w:rPr>
                        <w:w w:val="92"/>
                        <w:sz w:val="19"/>
                      </w:rPr>
                      <w:t>0</w:t>
                    </w:r>
                  </w:p>
                </w:txbxContent>
              </v:textbox>
            </v:shape>
            <v:shape id="docshape64" o:spid="_x0000_s1139" type="#_x0000_t202" alt="Figure 1. Opioid-Related Overdoes Deaths, All Intents by Month for Massachusetts Residents from October 2019 to March 2021" style="position:absolute;left:2352;top:5803;width:211;height:138;mso-wrap-style:square;v-text-anchor:top" filled="f" stroked="f">
              <v:textbox inset="0,0,0,0">
                <w:txbxContent>
                  <w:p w14:paraId="7C48F927" w14:textId="77777777" w:rsidR="0068593A" w:rsidRDefault="00422AE8">
                    <w:pPr>
                      <w:spacing w:line="131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Oct</w:t>
                    </w:r>
                  </w:p>
                </w:txbxContent>
              </v:textbox>
            </v:shape>
            <v:shape id="docshape65" o:spid="_x0000_s1140" type="#_x0000_t202" alt="Figure 1. Opioid-Related Overdoes Deaths, All Intents by Month for Massachusetts Residents from October 2019 to March 2021" style="position:absolute;left:2960;top:5803;width:239;height:138;mso-wrap-style:square;v-text-anchor:top" filled="f" stroked="f">
              <v:textbox inset="0,0,0,0">
                <w:txbxContent>
                  <w:p w14:paraId="768EE500" w14:textId="77777777" w:rsidR="0068593A" w:rsidRDefault="00422AE8">
                    <w:pPr>
                      <w:spacing w:line="131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Nov</w:t>
                    </w:r>
                  </w:p>
                </w:txbxContent>
              </v:textbox>
            </v:shape>
            <v:shape id="docshape66" o:spid="_x0000_s1141" type="#_x0000_t202" alt="Figure 1. Opioid-Related Overdoes Deaths, All Intents by Month for Massachusetts Residents from October 2019 to March 2021" style="position:absolute;left:3587;top:5803;width:228;height:138;mso-wrap-style:square;v-text-anchor:top" filled="f" stroked="f">
              <v:textbox inset="0,0,0,0">
                <w:txbxContent>
                  <w:p w14:paraId="4C5B51B6" w14:textId="77777777" w:rsidR="0068593A" w:rsidRDefault="00422AE8">
                    <w:pPr>
                      <w:spacing w:line="131" w:lineRule="exact"/>
                      <w:rPr>
                        <w:sz w:val="13"/>
                      </w:rPr>
                    </w:pPr>
                    <w:r>
                      <w:rPr>
                        <w:w w:val="95"/>
                        <w:sz w:val="13"/>
                      </w:rPr>
                      <w:t>Dec</w:t>
                    </w:r>
                  </w:p>
                </w:txbxContent>
              </v:textbox>
            </v:shape>
            <v:shape id="docshape67" o:spid="_x0000_s1142" type="#_x0000_t202" alt="Figure 1. Opioid-Related Overdoes Deaths, All Intents by Month for Massachusetts Residents from October 2019 to March 2021" style="position:absolute;left:4222;top:5803;width:200;height:138;mso-wrap-style:square;v-text-anchor:top" filled="f" stroked="f">
              <v:textbox inset="0,0,0,0">
                <w:txbxContent>
                  <w:p w14:paraId="397714D8" w14:textId="77777777" w:rsidR="0068593A" w:rsidRDefault="00422AE8">
                    <w:pPr>
                      <w:spacing w:line="131" w:lineRule="exact"/>
                      <w:rPr>
                        <w:sz w:val="13"/>
                      </w:rPr>
                    </w:pPr>
                    <w:r>
                      <w:rPr>
                        <w:w w:val="90"/>
                        <w:sz w:val="13"/>
                      </w:rPr>
                      <w:t>Jan</w:t>
                    </w:r>
                  </w:p>
                </w:txbxContent>
              </v:textbox>
            </v:shape>
            <v:shape id="docshape68" o:spid="_x0000_s1143" type="#_x0000_t202" alt="Figure 1. Opioid-Related Overdoes Deaths, All Intents by Month for Massachusetts Residents from October 2019 to March 2021" style="position:absolute;left:4833;top:5803;width:221;height:138;mso-wrap-style:square;v-text-anchor:top" filled="f" stroked="f">
              <v:textbox inset="0,0,0,0">
                <w:txbxContent>
                  <w:p w14:paraId="21BD3B0B" w14:textId="77777777" w:rsidR="0068593A" w:rsidRDefault="00422AE8">
                    <w:pPr>
                      <w:spacing w:line="131" w:lineRule="exact"/>
                      <w:rPr>
                        <w:sz w:val="13"/>
                      </w:rPr>
                    </w:pPr>
                    <w:r>
                      <w:rPr>
                        <w:w w:val="95"/>
                        <w:sz w:val="13"/>
                      </w:rPr>
                      <w:t>Feb</w:t>
                    </w:r>
                  </w:p>
                </w:txbxContent>
              </v:textbox>
            </v:shape>
            <v:shape id="docshape69" o:spid="_x0000_s1144" type="#_x0000_t202" alt="Figure 1. Opioid-Related Overdoes Deaths, All Intents by Month for Massachusetts Residents from October 2019 to March 2021" style="position:absolute;left:5441;top:5803;width:248;height:138;mso-wrap-style:square;v-text-anchor:top" filled="f" stroked="f">
              <v:textbox inset="0,0,0,0">
                <w:txbxContent>
                  <w:p w14:paraId="484BB484" w14:textId="77777777" w:rsidR="0068593A" w:rsidRDefault="00422AE8">
                    <w:pPr>
                      <w:spacing w:line="131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Mar</w:t>
                    </w:r>
                  </w:p>
                </w:txbxContent>
              </v:textbox>
            </v:shape>
            <v:shape id="docshape70" o:spid="_x0000_s1145" type="#_x0000_t202" alt="Figure 1. Opioid-Related Overdoes Deaths, All Intents by Month for Massachusetts Residents from October 2019 to March 2021" style="position:absolute;left:6078;top:5803;width:215;height:138;mso-wrap-style:square;v-text-anchor:top" filled="f" stroked="f">
              <v:textbox inset="0,0,0,0">
                <w:txbxContent>
                  <w:p w14:paraId="41B8C8FD" w14:textId="77777777" w:rsidR="0068593A" w:rsidRDefault="00422AE8">
                    <w:pPr>
                      <w:spacing w:line="131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Apr</w:t>
                    </w:r>
                  </w:p>
                </w:txbxContent>
              </v:textbox>
            </v:shape>
            <v:shape id="docshape71" o:spid="_x0000_s1146" type="#_x0000_t202" alt="Figure 1. Opioid-Related Overdoes Deaths, All Intents by Month for Massachusetts Residents from October 2019 to March 2021" style="position:absolute;left:6677;top:5803;width:262;height:138;mso-wrap-style:square;v-text-anchor:top" filled="f" stroked="f">
              <v:textbox inset="0,0,0,0">
                <w:txbxContent>
                  <w:p w14:paraId="40471915" w14:textId="77777777" w:rsidR="0068593A" w:rsidRDefault="00422AE8">
                    <w:pPr>
                      <w:spacing w:line="131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May</w:t>
                    </w:r>
                  </w:p>
                </w:txbxContent>
              </v:textbox>
            </v:shape>
            <v:shape id="docshape72" o:spid="_x0000_s1147" type="#_x0000_t202" alt="Figure 1. Opioid-Related Overdoes Deaths, All Intents by Month for Massachusetts Residents from October 2019 to March 2021" style="position:absolute;left:7326;top:5803;width:205;height:138;mso-wrap-style:square;v-text-anchor:top" filled="f" stroked="f">
              <v:textbox inset="0,0,0,0">
                <w:txbxContent>
                  <w:p w14:paraId="6AC86002" w14:textId="77777777" w:rsidR="0068593A" w:rsidRDefault="00422AE8">
                    <w:pPr>
                      <w:spacing w:line="131" w:lineRule="exact"/>
                      <w:rPr>
                        <w:sz w:val="13"/>
                      </w:rPr>
                    </w:pPr>
                    <w:r>
                      <w:rPr>
                        <w:spacing w:val="-1"/>
                        <w:w w:val="95"/>
                        <w:sz w:val="13"/>
                      </w:rPr>
                      <w:t>Jun</w:t>
                    </w:r>
                  </w:p>
                </w:txbxContent>
              </v:textbox>
            </v:shape>
            <v:shape id="docshape73" o:spid="_x0000_s1148" type="#_x0000_t202" alt="Figure 1. Opioid-Related Overdoes Deaths, All Intents by Month for Massachusetts Residents from October 2019 to March 2021" style="position:absolute;left:7968;top:5803;width:165;height:138;mso-wrap-style:square;v-text-anchor:top" filled="f" stroked="f">
              <v:textbox inset="0,0,0,0">
                <w:txbxContent>
                  <w:p w14:paraId="4A19C1D5" w14:textId="77777777" w:rsidR="0068593A" w:rsidRDefault="00422AE8">
                    <w:pPr>
                      <w:spacing w:line="131" w:lineRule="exact"/>
                      <w:rPr>
                        <w:sz w:val="13"/>
                      </w:rPr>
                    </w:pPr>
                    <w:r>
                      <w:rPr>
                        <w:spacing w:val="-1"/>
                        <w:w w:val="95"/>
                        <w:sz w:val="13"/>
                      </w:rPr>
                      <w:t>Jul</w:t>
                    </w:r>
                  </w:p>
                </w:txbxContent>
              </v:textbox>
            </v:shape>
            <v:shape id="docshape74" o:spid="_x0000_s1149" type="#_x0000_t202" alt="Figure 1. Opioid-Related Overdoes Deaths, All Intents by Month for Massachusetts Residents from October 2019 to March 2021" style="position:absolute;left:8555;top:5803;width:232;height:138;mso-wrap-style:square;v-text-anchor:top" filled="f" stroked="f">
              <v:textbox inset="0,0,0,0">
                <w:txbxContent>
                  <w:p w14:paraId="4F803932" w14:textId="77777777" w:rsidR="0068593A" w:rsidRDefault="00422AE8">
                    <w:pPr>
                      <w:spacing w:line="131" w:lineRule="exact"/>
                      <w:rPr>
                        <w:sz w:val="13"/>
                      </w:rPr>
                    </w:pPr>
                    <w:r>
                      <w:rPr>
                        <w:w w:val="95"/>
                        <w:sz w:val="13"/>
                      </w:rPr>
                      <w:t>Aug</w:t>
                    </w:r>
                  </w:p>
                </w:txbxContent>
              </v:textbox>
            </v:shape>
            <v:shape id="docshape75" o:spid="_x0000_s1150" type="#_x0000_t202" alt="Figure 1. Opioid-Related Overdoes Deaths, All Intents by Month for Massachusetts Residents from October 2019 to March 2021" style="position:absolute;left:9183;top:5803;width:2696;height:138;mso-wrap-style:square;v-text-anchor:top" filled="f" stroked="f">
              <v:textbox inset="0,0,0,0">
                <w:txbxContent>
                  <w:p w14:paraId="16CC284D" w14:textId="77777777" w:rsidR="0068593A" w:rsidRDefault="00422AE8">
                    <w:pPr>
                      <w:tabs>
                        <w:tab w:val="left" w:pos="497"/>
                        <w:tab w:val="left" w:pos="2496"/>
                      </w:tabs>
                      <w:spacing w:line="131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Sep</w:t>
                    </w:r>
                    <w:r>
                      <w:rPr>
                        <w:sz w:val="13"/>
                      </w:rPr>
                      <w:tab/>
                      <w:t>October</w:t>
                    </w:r>
                    <w:r>
                      <w:rPr>
                        <w:spacing w:val="3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November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December</w:t>
                    </w:r>
                    <w:r>
                      <w:rPr>
                        <w:sz w:val="13"/>
                      </w:rPr>
                      <w:tab/>
                    </w:r>
                    <w:r>
                      <w:rPr>
                        <w:w w:val="90"/>
                        <w:sz w:val="13"/>
                      </w:rPr>
                      <w:t>Jan</w:t>
                    </w:r>
                  </w:p>
                </w:txbxContent>
              </v:textbox>
            </v:shape>
            <v:shape id="docshape76" o:spid="_x0000_s1151" type="#_x0000_t202" alt="Figure 1. Opioid-Related Overdoes Deaths, All Intents by Month for Massachusetts Residents from October 2019 to March 2021" style="position:absolute;left:12290;top:5566;width:221;height:374;mso-wrap-style:square;v-text-anchor:top" filled="f" stroked="f">
              <v:textbox inset="0,0,0,0">
                <w:txbxContent>
                  <w:p w14:paraId="04AAF47F" w14:textId="77777777" w:rsidR="0068593A" w:rsidRDefault="00422AE8">
                    <w:pPr>
                      <w:spacing w:line="15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</w:t>
                    </w:r>
                  </w:p>
                  <w:p w14:paraId="2D7254C0" w14:textId="77777777" w:rsidR="0068593A" w:rsidRDefault="00422AE8">
                    <w:pPr>
                      <w:spacing w:before="65"/>
                      <w:rPr>
                        <w:sz w:val="13"/>
                      </w:rPr>
                    </w:pPr>
                    <w:r>
                      <w:rPr>
                        <w:w w:val="95"/>
                        <w:sz w:val="13"/>
                      </w:rPr>
                      <w:t>Feb</w:t>
                    </w:r>
                  </w:p>
                </w:txbxContent>
              </v:textbox>
            </v:shape>
            <v:shape id="docshape77" o:spid="_x0000_s1152" type="#_x0000_t202" alt="Figure 1. Opioid-Related Overdoes Deaths, All Intents by Month for Massachusetts Residents from October 2019 to March 2021" style="position:absolute;left:12898;top:5609;width:248;height:332;mso-wrap-style:square;v-text-anchor:top" filled="f" stroked="f">
              <v:textbox inset="0,0,0,0">
                <w:txbxContent>
                  <w:p w14:paraId="66798DFF" w14:textId="77777777" w:rsidR="0068593A" w:rsidRDefault="00422AE8">
                    <w:pPr>
                      <w:spacing w:line="153" w:lineRule="exact"/>
                      <w:ind w:left="73"/>
                      <w:rPr>
                        <w:sz w:val="16"/>
                      </w:rPr>
                    </w:pPr>
                    <w:r>
                      <w:rPr>
                        <w:w w:val="88"/>
                        <w:sz w:val="16"/>
                      </w:rPr>
                      <w:t>2</w:t>
                    </w:r>
                  </w:p>
                  <w:p w14:paraId="60495444" w14:textId="77777777" w:rsidR="0068593A" w:rsidRDefault="00422AE8">
                    <w:pPr>
                      <w:spacing w:before="21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Mar</w:t>
                    </w:r>
                  </w:p>
                </w:txbxContent>
              </v:textbox>
            </v:shape>
            <v:shape id="docshape78" o:spid="_x0000_s1153" type="#_x0000_t202" alt="Figure 1. Opioid-Related Overdoes Deaths, All Intents by Month for Massachusetts Residents from October 2019 to March 2021" style="position:absolute;left:2932;top:6073;width:9615;height:138;mso-wrap-style:square;v-text-anchor:top" filled="f" stroked="f">
              <v:textbox inset="0,0,0,0">
                <w:txbxContent>
                  <w:p w14:paraId="463FDFEB" w14:textId="77777777" w:rsidR="0068593A" w:rsidRDefault="00422AE8">
                    <w:pPr>
                      <w:tabs>
                        <w:tab w:val="left" w:pos="4660"/>
                        <w:tab w:val="left" w:pos="9320"/>
                      </w:tabs>
                      <w:spacing w:line="131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2019</w:t>
                    </w:r>
                    <w:r>
                      <w:rPr>
                        <w:sz w:val="13"/>
                      </w:rPr>
                      <w:tab/>
                      <w:t>2020</w:t>
                    </w:r>
                    <w:r>
                      <w:rPr>
                        <w:sz w:val="13"/>
                      </w:rPr>
                      <w:tab/>
                    </w:r>
                    <w:r>
                      <w:rPr>
                        <w:spacing w:val="-1"/>
                        <w:sz w:val="13"/>
                      </w:rPr>
                      <w:t>2021</w:t>
                    </w:r>
                  </w:p>
                </w:txbxContent>
              </v:textbox>
            </v:shape>
            <v:shape id="docshape79" o:spid="_x0000_s1154" type="#_x0000_t202" alt="Figure 1. Opioid-Related Overdoes Deaths, All Intents by Month for Massachusetts Residents from October 2019 to March 2021" style="position:absolute;left:8531;top:4205;width:260;height:1478;mso-wrap-style:square;v-text-anchor:top" fillcolor="#a6a6a6" stroked="f">
              <v:textbox inset="0,0,0,0">
                <w:txbxContent>
                  <w:p w14:paraId="4F75664E" w14:textId="77777777" w:rsidR="0068593A" w:rsidRDefault="00422AE8">
                    <w:pPr>
                      <w:spacing w:line="82" w:lineRule="exact"/>
                      <w:rPr>
                        <w:color w:val="000000"/>
                        <w:sz w:val="16"/>
                      </w:rPr>
                    </w:pPr>
                    <w:r>
                      <w:rPr>
                        <w:strike/>
                        <w:color w:val="FFFFFF"/>
                        <w:w w:val="78"/>
                        <w:sz w:val="16"/>
                      </w:rPr>
                      <w:t xml:space="preserve"> </w:t>
                    </w:r>
                    <w:r>
                      <w:rPr>
                        <w:strike/>
                        <w:color w:val="FFFFFF"/>
                        <w:spacing w:val="11"/>
                        <w:sz w:val="16"/>
                      </w:rPr>
                      <w:t xml:space="preserve"> </w:t>
                    </w:r>
                    <w:r w:rsidRPr="006B368D">
                      <w:rPr>
                        <w:strike/>
                        <w:color w:val="000000" w:themeColor="text1"/>
                        <w:sz w:val="16"/>
                      </w:rPr>
                      <w:t xml:space="preserve">1  </w:t>
                    </w:r>
                  </w:p>
                  <w:p w14:paraId="65E29F5E" w14:textId="77777777" w:rsidR="0068593A" w:rsidRDefault="0068593A">
                    <w:pPr>
                      <w:rPr>
                        <w:color w:val="000000"/>
                        <w:sz w:val="16"/>
                      </w:rPr>
                    </w:pPr>
                  </w:p>
                  <w:p w14:paraId="4208BB9B" w14:textId="77777777" w:rsidR="0068593A" w:rsidRDefault="0068593A">
                    <w:pPr>
                      <w:rPr>
                        <w:color w:val="000000"/>
                        <w:sz w:val="16"/>
                      </w:rPr>
                    </w:pPr>
                  </w:p>
                  <w:p w14:paraId="6411F6B5" w14:textId="77777777" w:rsidR="0068593A" w:rsidRDefault="0068593A">
                    <w:pPr>
                      <w:spacing w:before="8"/>
                      <w:rPr>
                        <w:color w:val="000000"/>
                        <w:sz w:val="16"/>
                      </w:rPr>
                    </w:pPr>
                  </w:p>
                  <w:p w14:paraId="20326FF2" w14:textId="77777777" w:rsidR="0068593A" w:rsidRDefault="00422AE8">
                    <w:pPr>
                      <w:ind w:left="12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w w:val="90"/>
                        <w:sz w:val="16"/>
                      </w:rPr>
                      <w:t>153</w:t>
                    </w:r>
                  </w:p>
                </w:txbxContent>
              </v:textbox>
            </v:shape>
            <v:shape id="docshape80" o:spid="_x0000_s1155" type="#_x0000_t202" alt="Figure 1. Opioid-Related Overdoes Deaths, All Intents by Month for Massachusetts Residents from October 2019 to March 2021" style="position:absolute;left:9152;top:4186;width:260;height:1497;mso-wrap-style:square;v-text-anchor:top" fillcolor="#a6a6a6" stroked="f">
              <v:textbox inset="0,0,0,0">
                <w:txbxContent>
                  <w:p w14:paraId="19D2F9B0" w14:textId="77777777" w:rsidR="0068593A" w:rsidRDefault="00422AE8">
                    <w:pPr>
                      <w:spacing w:line="84" w:lineRule="exact"/>
                      <w:rPr>
                        <w:color w:val="000000"/>
                        <w:sz w:val="16"/>
                      </w:rPr>
                    </w:pPr>
                    <w:r>
                      <w:rPr>
                        <w:strike/>
                        <w:color w:val="FFFFFF"/>
                        <w:w w:val="78"/>
                        <w:sz w:val="16"/>
                      </w:rPr>
                      <w:t xml:space="preserve"> </w:t>
                    </w:r>
                    <w:r>
                      <w:rPr>
                        <w:strike/>
                        <w:color w:val="FFFFFF"/>
                        <w:spacing w:val="11"/>
                        <w:sz w:val="16"/>
                      </w:rPr>
                      <w:t xml:space="preserve"> </w:t>
                    </w:r>
                    <w:r w:rsidRPr="006B368D">
                      <w:rPr>
                        <w:strike/>
                        <w:color w:val="000000" w:themeColor="text1"/>
                        <w:sz w:val="16"/>
                      </w:rPr>
                      <w:t xml:space="preserve">1  </w:t>
                    </w:r>
                  </w:p>
                  <w:p w14:paraId="4DC18378" w14:textId="77777777" w:rsidR="0068593A" w:rsidRDefault="0068593A">
                    <w:pPr>
                      <w:rPr>
                        <w:color w:val="000000"/>
                        <w:sz w:val="16"/>
                      </w:rPr>
                    </w:pPr>
                  </w:p>
                  <w:p w14:paraId="13DD64B8" w14:textId="77777777" w:rsidR="0068593A" w:rsidRDefault="0068593A">
                    <w:pPr>
                      <w:rPr>
                        <w:color w:val="000000"/>
                        <w:sz w:val="16"/>
                      </w:rPr>
                    </w:pPr>
                  </w:p>
                  <w:p w14:paraId="2F6D9D51" w14:textId="77777777" w:rsidR="0068593A" w:rsidRDefault="0068593A">
                    <w:pPr>
                      <w:spacing w:before="4"/>
                      <w:rPr>
                        <w:color w:val="000000"/>
                        <w:sz w:val="17"/>
                      </w:rPr>
                    </w:pPr>
                  </w:p>
                  <w:p w14:paraId="1B39084A" w14:textId="77777777" w:rsidR="0068593A" w:rsidRDefault="00422AE8">
                    <w:pPr>
                      <w:ind w:left="12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w w:val="90"/>
                        <w:sz w:val="16"/>
                      </w:rPr>
                      <w:t>155</w:t>
                    </w:r>
                  </w:p>
                </w:txbxContent>
              </v:textbox>
            </v:shape>
            <v:shape id="docshape81" o:spid="_x0000_s1156" type="#_x0000_t202" alt="Figure 1. Opioid-Related Overdoes Deaths, All Intents by Month for Massachusetts Residents from October 2019 to March 2021" style="position:absolute;left:3562;top:4061;width:260;height:1623;mso-wrap-style:square;v-text-anchor:top" fillcolor="#a6a6a6" stroked="f">
              <v:textbox inset="0,0,0,0">
                <w:txbxContent>
                  <w:p w14:paraId="7163D74F" w14:textId="77777777" w:rsidR="0068593A" w:rsidRDefault="0068593A">
                    <w:pPr>
                      <w:rPr>
                        <w:b/>
                        <w:color w:val="000000"/>
                        <w:sz w:val="16"/>
                      </w:rPr>
                    </w:pPr>
                  </w:p>
                  <w:p w14:paraId="1E47F068" w14:textId="77777777" w:rsidR="0068593A" w:rsidRDefault="0068593A">
                    <w:pPr>
                      <w:rPr>
                        <w:b/>
                        <w:color w:val="000000"/>
                        <w:sz w:val="16"/>
                      </w:rPr>
                    </w:pPr>
                  </w:p>
                  <w:p w14:paraId="48DE7F40" w14:textId="77777777" w:rsidR="0068593A" w:rsidRDefault="0068593A">
                    <w:pPr>
                      <w:rPr>
                        <w:b/>
                        <w:color w:val="000000"/>
                        <w:sz w:val="16"/>
                      </w:rPr>
                    </w:pPr>
                  </w:p>
                  <w:p w14:paraId="1AC4A04E" w14:textId="77777777" w:rsidR="0068593A" w:rsidRDefault="0068593A">
                    <w:pPr>
                      <w:spacing w:before="2"/>
                      <w:rPr>
                        <w:b/>
                        <w:color w:val="000000"/>
                        <w:sz w:val="14"/>
                      </w:rPr>
                    </w:pPr>
                  </w:p>
                  <w:p w14:paraId="044692F3" w14:textId="77777777" w:rsidR="0068593A" w:rsidRDefault="00422AE8">
                    <w:pPr>
                      <w:ind w:left="10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w w:val="90"/>
                        <w:sz w:val="16"/>
                      </w:rPr>
                      <w:t>168</w:t>
                    </w:r>
                  </w:p>
                </w:txbxContent>
              </v:textbox>
            </v:shape>
            <v:shape id="docshape82" o:spid="_x0000_s1157" type="#_x0000_t202" alt="Figure 1. Opioid-Related Overdoes Deaths, All Intents by Month for Massachusetts Residents from October 2019 to March 2021" style="position:absolute;left:2940;top:3973;width:258;height:1710;mso-wrap-style:square;v-text-anchor:top" fillcolor="#a6a6a6" stroked="f">
              <v:textbox inset="0,0,0,0">
                <w:txbxContent>
                  <w:p w14:paraId="2C42291A" w14:textId="77777777" w:rsidR="0068593A" w:rsidRDefault="0068593A">
                    <w:pPr>
                      <w:rPr>
                        <w:b/>
                        <w:color w:val="000000"/>
                        <w:sz w:val="16"/>
                      </w:rPr>
                    </w:pPr>
                  </w:p>
                  <w:p w14:paraId="012F97A0" w14:textId="77777777" w:rsidR="0068593A" w:rsidRDefault="0068593A">
                    <w:pPr>
                      <w:rPr>
                        <w:b/>
                        <w:color w:val="000000"/>
                        <w:sz w:val="16"/>
                      </w:rPr>
                    </w:pPr>
                  </w:p>
                  <w:p w14:paraId="19D88C0D" w14:textId="77777777" w:rsidR="0068593A" w:rsidRDefault="0068593A">
                    <w:pPr>
                      <w:rPr>
                        <w:b/>
                        <w:color w:val="000000"/>
                        <w:sz w:val="16"/>
                      </w:rPr>
                    </w:pPr>
                  </w:p>
                  <w:p w14:paraId="238187AC" w14:textId="77777777" w:rsidR="0068593A" w:rsidRDefault="0068593A">
                    <w:pPr>
                      <w:rPr>
                        <w:b/>
                        <w:color w:val="000000"/>
                        <w:sz w:val="18"/>
                      </w:rPr>
                    </w:pPr>
                  </w:p>
                  <w:p w14:paraId="3B3E9243" w14:textId="77777777" w:rsidR="0068593A" w:rsidRDefault="00422AE8">
                    <w:pPr>
                      <w:ind w:left="10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w w:val="90"/>
                        <w:sz w:val="16"/>
                      </w:rPr>
                      <w:t>177</w:t>
                    </w:r>
                  </w:p>
                </w:txbxContent>
              </v:textbox>
            </v:shape>
            <v:shape id="docshape83" o:spid="_x0000_s1158" type="#_x0000_t202" alt="Figure 1. Opioid-Related Overdoes Deaths, All Intents by Month for Massachusetts Residents from October 2019 to March 2021" style="position:absolute;left:12881;top:3897;width:258;height:1767;mso-wrap-style:square;v-text-anchor:top" fillcolor="red" stroked="f">
              <v:textbox inset="0,0,0,0">
                <w:txbxContent>
                  <w:p w14:paraId="7970FB93" w14:textId="77777777" w:rsidR="0068593A" w:rsidRDefault="0068593A">
                    <w:pPr>
                      <w:rPr>
                        <w:b/>
                        <w:color w:val="000000"/>
                        <w:sz w:val="16"/>
                      </w:rPr>
                    </w:pPr>
                  </w:p>
                  <w:p w14:paraId="7E703075" w14:textId="77777777" w:rsidR="0068593A" w:rsidRDefault="0068593A">
                    <w:pPr>
                      <w:rPr>
                        <w:b/>
                        <w:color w:val="000000"/>
                        <w:sz w:val="16"/>
                      </w:rPr>
                    </w:pPr>
                  </w:p>
                  <w:p w14:paraId="30FFF4A9" w14:textId="77777777" w:rsidR="0068593A" w:rsidRDefault="0068593A">
                    <w:pPr>
                      <w:rPr>
                        <w:b/>
                        <w:color w:val="000000"/>
                        <w:sz w:val="16"/>
                      </w:rPr>
                    </w:pPr>
                  </w:p>
                  <w:p w14:paraId="6659D07B" w14:textId="77777777" w:rsidR="0068593A" w:rsidRDefault="0068593A">
                    <w:pPr>
                      <w:spacing w:before="5"/>
                      <w:rPr>
                        <w:b/>
                        <w:color w:val="000000"/>
                        <w:sz w:val="20"/>
                      </w:rPr>
                    </w:pPr>
                  </w:p>
                  <w:p w14:paraId="1E9FFDC4" w14:textId="77777777" w:rsidR="0068593A" w:rsidRDefault="00422AE8">
                    <w:pPr>
                      <w:ind w:left="11"/>
                      <w:rPr>
                        <w:color w:val="000000"/>
                        <w:sz w:val="16"/>
                      </w:rPr>
                    </w:pPr>
                    <w:r w:rsidRPr="006B368D">
                      <w:rPr>
                        <w:color w:val="000000" w:themeColor="text1"/>
                        <w:w w:val="90"/>
                        <w:sz w:val="16"/>
                      </w:rPr>
                      <w:t>183</w:t>
                    </w:r>
                  </w:p>
                </w:txbxContent>
              </v:textbox>
            </v:shape>
            <v:shape id="docshape84" o:spid="_x0000_s1159" type="#_x0000_t202" alt="Figure 1. Opioid-Related Overdoes Deaths, All Intents by Month for Massachusetts Residents from October 2019 to March 2021" style="position:absolute;left:2319;top:3895;width:258;height:1788;mso-wrap-style:square;v-text-anchor:top" fillcolor="#a6a6a6" stroked="f">
              <v:textbox inset="0,0,0,0">
                <w:txbxContent>
                  <w:p w14:paraId="24DE0FBF" w14:textId="77777777" w:rsidR="0068593A" w:rsidRDefault="0068593A">
                    <w:pPr>
                      <w:rPr>
                        <w:b/>
                        <w:color w:val="000000"/>
                        <w:sz w:val="16"/>
                      </w:rPr>
                    </w:pPr>
                  </w:p>
                  <w:p w14:paraId="760EDB24" w14:textId="77777777" w:rsidR="0068593A" w:rsidRDefault="0068593A">
                    <w:pPr>
                      <w:rPr>
                        <w:b/>
                        <w:color w:val="000000"/>
                        <w:sz w:val="16"/>
                      </w:rPr>
                    </w:pPr>
                  </w:p>
                  <w:p w14:paraId="32F9DC3B" w14:textId="77777777" w:rsidR="0068593A" w:rsidRDefault="0068593A">
                    <w:pPr>
                      <w:rPr>
                        <w:b/>
                        <w:color w:val="000000"/>
                        <w:sz w:val="16"/>
                      </w:rPr>
                    </w:pPr>
                  </w:p>
                  <w:p w14:paraId="3682897E" w14:textId="77777777" w:rsidR="0068593A" w:rsidRDefault="0068593A">
                    <w:pPr>
                      <w:spacing w:before="4"/>
                      <w:rPr>
                        <w:b/>
                        <w:color w:val="000000"/>
                        <w:sz w:val="21"/>
                      </w:rPr>
                    </w:pPr>
                  </w:p>
                  <w:p w14:paraId="48E17A3E" w14:textId="77777777" w:rsidR="0068593A" w:rsidRDefault="00422AE8">
                    <w:pPr>
                      <w:spacing w:before="1"/>
                      <w:ind w:left="9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w w:val="90"/>
                        <w:sz w:val="16"/>
                      </w:rPr>
                      <w:t>185</w:t>
                    </w:r>
                  </w:p>
                </w:txbxContent>
              </v:textbox>
            </v:shape>
            <v:shape id="docshape85" o:spid="_x0000_s1160" type="#_x0000_t202" alt="Figure 1. Opioid-Related Overdoes Deaths, All Intents by Month for Massachusetts Residents from October 2019 to March 2021" style="position:absolute;left:6116;top:2979;width:2318;height:306;mso-wrap-style:square;v-text-anchor:top" filled="f" strokecolor="#4f81bc" strokeweight=".26094mm">
              <v:textbox inset="0,0,0,0">
                <w:txbxContent>
                  <w:p w14:paraId="7398486F" w14:textId="77777777" w:rsidR="0068593A" w:rsidRDefault="00422AE8">
                    <w:pPr>
                      <w:tabs>
                        <w:tab w:val="left" w:pos="1456"/>
                      </w:tabs>
                      <w:spacing w:before="40"/>
                      <w:ind w:left="38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Confirmed</w:t>
                    </w:r>
                    <w:r>
                      <w:rPr>
                        <w:sz w:val="16"/>
                      </w:rPr>
                      <w:tab/>
                      <w:t>Estimated</w:t>
                    </w:r>
                  </w:p>
                </w:txbxContent>
              </v:textbox>
            </v:shape>
            <w10:wrap anchorx="page"/>
          </v:group>
        </w:pict>
      </w:r>
      <w:r>
        <w:rPr>
          <w:b w:val="0"/>
          <w:sz w:val="22"/>
        </w:rPr>
        <w:pict w14:anchorId="5A136CC6">
          <v:shape id="docshape86" o:spid="_x0000_s1077" type="#_x0000_t202" alt="" style="position:absolute;left:0;text-align:left;margin-left:48.4pt;margin-top:180.25pt;width:11.65pt;height:77pt;z-index:15730688;mso-wrap-style:square;mso-wrap-edited:f;mso-width-percent:0;mso-height-percent:0;mso-position-horizontal-relative:page;mso-width-percent:0;mso-height-percent:0;v-text-anchor:top" filled="f" stroked="f">
            <v:textbox style="layout-flow:vertical;mso-layout-flow-alt:bottom-to-top" inset="0,0,0,0">
              <w:txbxContent>
                <w:p w14:paraId="41E5F796" w14:textId="77777777" w:rsidR="0068593A" w:rsidRDefault="00422AE8">
                  <w:pPr>
                    <w:spacing w:line="205" w:lineRule="exact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90"/>
                      <w:sz w:val="19"/>
                    </w:rPr>
                    <w:t>Number</w:t>
                  </w:r>
                  <w:r>
                    <w:rPr>
                      <w:b/>
                      <w:spacing w:val="4"/>
                      <w:w w:val="90"/>
                      <w:sz w:val="19"/>
                    </w:rPr>
                    <w:t xml:space="preserve"> </w:t>
                  </w:r>
                  <w:r>
                    <w:rPr>
                      <w:b/>
                      <w:w w:val="90"/>
                      <w:sz w:val="19"/>
                    </w:rPr>
                    <w:t>of</w:t>
                  </w:r>
                  <w:r>
                    <w:rPr>
                      <w:b/>
                      <w:spacing w:val="9"/>
                      <w:w w:val="90"/>
                      <w:sz w:val="19"/>
                    </w:rPr>
                    <w:t xml:space="preserve"> </w:t>
                  </w:r>
                  <w:r>
                    <w:rPr>
                      <w:b/>
                      <w:w w:val="90"/>
                      <w:sz w:val="19"/>
                    </w:rPr>
                    <w:t>Deaths</w:t>
                  </w:r>
                </w:p>
              </w:txbxContent>
            </v:textbox>
            <w10:wrap anchorx="page"/>
          </v:shape>
        </w:pict>
      </w:r>
      <w:r w:rsidRPr="006B368D">
        <w:t>Preliminary</w:t>
      </w:r>
      <w:r w:rsidRPr="006B368D">
        <w:t xml:space="preserve"> </w:t>
      </w:r>
      <w:r w:rsidRPr="006B368D">
        <w:rPr>
          <w:spacing w:val="-15"/>
        </w:rPr>
        <w:t>data</w:t>
      </w:r>
      <w:r w:rsidRPr="006B368D">
        <w:t xml:space="preserve"> </w:t>
      </w:r>
      <w:r w:rsidRPr="006B368D">
        <w:rPr>
          <w:spacing w:val="-15"/>
        </w:rPr>
        <w:t>show</w:t>
      </w:r>
      <w:r w:rsidRPr="006B368D">
        <w:t xml:space="preserve"> </w:t>
      </w:r>
      <w:r w:rsidRPr="006B368D">
        <w:rPr>
          <w:spacing w:val="-14"/>
        </w:rPr>
        <w:t>507</w:t>
      </w:r>
      <w:r w:rsidRPr="006B368D">
        <w:t xml:space="preserve"> </w:t>
      </w:r>
      <w:r w:rsidRPr="006B368D">
        <w:t>confirmed</w:t>
      </w:r>
      <w:r w:rsidRPr="006B368D">
        <w:t xml:space="preserve"> </w:t>
      </w:r>
      <w:r w:rsidRPr="006B368D">
        <w:t>and</w:t>
      </w:r>
      <w:r w:rsidRPr="006B368D">
        <w:t xml:space="preserve"> </w:t>
      </w:r>
      <w:r w:rsidRPr="006B368D">
        <w:t>estimated</w:t>
      </w:r>
      <w:r w:rsidRPr="006B368D">
        <w:t xml:space="preserve"> </w:t>
      </w:r>
      <w:r w:rsidRPr="006B368D">
        <w:t>opioid-</w:t>
      </w:r>
      <w:r w:rsidRPr="006B368D">
        <w:t xml:space="preserve"> </w:t>
      </w:r>
      <w:r w:rsidRPr="006B368D">
        <w:t>related</w:t>
      </w:r>
      <w:r w:rsidRPr="006B368D">
        <w:t xml:space="preserve"> </w:t>
      </w:r>
      <w:r w:rsidRPr="006B368D">
        <w:t>overdose</w:t>
      </w:r>
      <w:r w:rsidRPr="006B368D">
        <w:t xml:space="preserve"> </w:t>
      </w:r>
      <w:r w:rsidRPr="006B368D">
        <w:t>deaths</w:t>
      </w:r>
      <w:r w:rsidRPr="006B368D">
        <w:t xml:space="preserve"> </w:t>
      </w:r>
      <w:r w:rsidRPr="006B368D">
        <w:t>in</w:t>
      </w:r>
      <w:r w:rsidRPr="006B368D">
        <w:t xml:space="preserve"> </w:t>
      </w:r>
      <w:r w:rsidRPr="006B368D">
        <w:t>the</w:t>
      </w:r>
      <w:r w:rsidRPr="006B368D">
        <w:t xml:space="preserve"> </w:t>
      </w:r>
      <w:r w:rsidRPr="006B368D">
        <w:t>first</w:t>
      </w:r>
      <w:r w:rsidRPr="006B368D">
        <w:t xml:space="preserve"> </w:t>
      </w:r>
      <w:r w:rsidRPr="006B368D">
        <w:t>three</w:t>
      </w:r>
      <w:r w:rsidRPr="006B368D">
        <w:t xml:space="preserve"> </w:t>
      </w:r>
      <w:r w:rsidRPr="006B368D">
        <w:t>months</w:t>
      </w:r>
      <w:r w:rsidRPr="006B368D">
        <w:t xml:space="preserve"> </w:t>
      </w:r>
      <w:r w:rsidRPr="006B368D">
        <w:t>of</w:t>
      </w:r>
      <w:r w:rsidRPr="006B368D">
        <w:t xml:space="preserve"> </w:t>
      </w:r>
      <w:r w:rsidRPr="006B368D">
        <w:t>2021,</w:t>
      </w:r>
      <w:r w:rsidRPr="006B368D">
        <w:t xml:space="preserve"> </w:t>
      </w:r>
      <w:r w:rsidRPr="006B368D">
        <w:t>an</w:t>
      </w:r>
      <w:r w:rsidRPr="006B368D">
        <w:t xml:space="preserve"> </w:t>
      </w:r>
      <w:r w:rsidRPr="006B368D">
        <w:t>estimated</w:t>
      </w:r>
      <w:r w:rsidRPr="006B368D">
        <w:t xml:space="preserve"> </w:t>
      </w:r>
      <w:r w:rsidRPr="006B368D">
        <w:t>2%</w:t>
      </w:r>
      <w:r w:rsidRPr="006B368D">
        <w:t xml:space="preserve"> </w:t>
      </w:r>
      <w:r w:rsidRPr="006B368D">
        <w:t>increase</w:t>
      </w:r>
      <w:r w:rsidRPr="006B368D">
        <w:t xml:space="preserve"> </w:t>
      </w:r>
      <w:r w:rsidRPr="006B368D">
        <w:t>compared</w:t>
      </w:r>
      <w:r w:rsidRPr="006B368D">
        <w:rPr>
          <w:spacing w:val="-43"/>
        </w:rPr>
        <w:t xml:space="preserve"> </w:t>
      </w:r>
      <w:r w:rsidRPr="006B368D">
        <w:rPr>
          <w:spacing w:val="-14"/>
        </w:rPr>
        <w:t>with</w:t>
      </w:r>
      <w:r w:rsidRPr="006B368D">
        <w:rPr>
          <w:spacing w:val="-46"/>
        </w:rPr>
        <w:t xml:space="preserve"> </w:t>
      </w:r>
      <w:r w:rsidRPr="006B368D">
        <w:rPr>
          <w:spacing w:val="-13"/>
        </w:rPr>
        <w:t>the</w:t>
      </w:r>
      <w:r w:rsidRPr="006B368D">
        <w:rPr>
          <w:spacing w:val="-40"/>
        </w:rPr>
        <w:t xml:space="preserve"> </w:t>
      </w:r>
      <w:r w:rsidRPr="006B368D">
        <w:rPr>
          <w:spacing w:val="-15"/>
        </w:rPr>
        <w:t>same</w:t>
      </w:r>
      <w:r w:rsidRPr="006B368D">
        <w:rPr>
          <w:spacing w:val="-39"/>
        </w:rPr>
        <w:t xml:space="preserve"> </w:t>
      </w:r>
      <w:r w:rsidRPr="006B368D">
        <w:rPr>
          <w:spacing w:val="-17"/>
        </w:rPr>
        <w:t>period</w:t>
      </w:r>
      <w:r w:rsidRPr="006B368D">
        <w:rPr>
          <w:spacing w:val="-46"/>
        </w:rPr>
        <w:t xml:space="preserve"> </w:t>
      </w:r>
      <w:r w:rsidRPr="006B368D">
        <w:rPr>
          <w:spacing w:val="-10"/>
        </w:rPr>
        <w:t>in</w:t>
      </w:r>
      <w:r w:rsidRPr="006B368D">
        <w:rPr>
          <w:spacing w:val="-42"/>
        </w:rPr>
        <w:t xml:space="preserve"> </w:t>
      </w:r>
      <w:r w:rsidRPr="006B368D">
        <w:rPr>
          <w:spacing w:val="-16"/>
        </w:rPr>
        <w:t>2020.</w:t>
      </w:r>
    </w:p>
    <w:p w14:paraId="2735662A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469D1593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13518AB6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3A432795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3D525333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1A4E9DBA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5505A603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54BE98D4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2EF9F1C1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45BC52CD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64C16C92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6B6EFEAB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1C2CD9F6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7FB2854F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7EB12AD2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6DC4B5B2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2E7B4DCC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4B6466BF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65C68CD8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0D16240C" w14:textId="77777777" w:rsidR="0068593A" w:rsidRPr="006B368D" w:rsidRDefault="00422AE8">
      <w:pPr>
        <w:pStyle w:val="BodyText"/>
        <w:spacing w:before="5"/>
        <w:rPr>
          <w:b/>
          <w:color w:val="000000" w:themeColor="text1"/>
          <w:sz w:val="28"/>
        </w:rPr>
      </w:pPr>
      <w:r>
        <w:pict w14:anchorId="70810FC4">
          <v:polyline id="docshape87" o:spid="_x0000_s1076" alt="Bracket from Jan 2020 to March 2020" style="position:absolute;z-index:-15728640;mso-wrap-edited:f;mso-width-percent:0;mso-height-percent:0;mso-wrap-distance-left:0;mso-wrap-distance-right:0;mso-position-horizontal-relative:page;mso-width-percent:0;mso-height-percent:0" points="295.8pt,24.55pt,295.65pt,27.9pt,295.35pt,30.65pt,294.9pt,32.5pt,294.35pt,33.15pt,251.85pt,33.15pt,251.3pt,33.85pt,250.8pt,35.7pt,250.5pt,38.45pt,250.4pt,41.8pt,250.3pt,38.45pt,250pt,35.7pt,249.55pt,33.85pt,248.95pt,33.15pt,206.45pt,33.15pt,205.9pt,32.5pt,205.45pt,30.65pt,205.15pt,27.9pt,205.05pt,24.55pt" coordsize="1815,345" filled="f" strokecolor="#292934" strokeweight="2pt">
            <v:path arrowok="t" o:connecttype="custom" o:connectlocs="1152525,311785;1150620,354330;1146810,389255;1141095,412750;1134110,421005;594360,421005;587375,429895;581025,453390;577215,488315;575945,530860;574675,488315;570865,453390;565150,429895;557530,421005;17780,421005;10795,412750;5080,389255;1270,354330;0,311785" o:connectangles="0,0,0,0,0,0,0,0,0,0,0,0,0,0,0,0,0,0,0"/>
            <w10:wrap type="topAndBottom" anchorx="page"/>
          </v:polyline>
        </w:pict>
      </w:r>
      <w:r>
        <w:pict w14:anchorId="104245B5">
          <v:polyline id="docshape88" o:spid="_x0000_s1075" alt="Bracket for Jan 2021 to March 2021" style="position:absolute;z-index:-15728128;mso-wrap-edited:f;mso-width-percent:0;mso-height-percent:0;mso-wrap-distance-left:0;mso-wrap-distance-right:0;mso-position-horizontal-relative:page;mso-width-percent:0;mso-height-percent:0" points="665.25pt,17.55pt,665.1pt,22.25pt,664.65pt,26.1pt,664pt,28.7pt,663.25pt,29.65pt,621.9pt,29.65pt,621.1pt,30.6pt,620.45pt,33.2pt,620.05pt,37.05pt,619.9pt,41.8pt,619.7pt,37.05pt,619.3pt,33.2pt,618.65pt,30.6pt,617.85pt,29.65pt,576.5pt,29.65pt,575.75pt,28.7pt,575.1pt,26.1pt,574.65pt,22.25pt,574.5pt,17.55pt" coordsize="1815,485" filled="f" strokecolor="#292934" strokeweight="2pt">
            <v:path arrowok="t" o:connecttype="custom" o:connectlocs="1152525,222885;1150620,282575;1144905,331470;1136650,364490;1127125,376555;601980,376555;591820,388620;583565,421640;578485,470535;576580,530860;574040,470535;568960,421640;560705,388620;550545,376555;25400,376555;15875,364490;7620,331470;1905,282575;0,222885" o:connectangles="0,0,0,0,0,0,0,0,0,0,0,0,0,0,0,0,0,0,0"/>
            <w10:wrap type="topAndBottom" anchorx="page"/>
          </v:polyline>
        </w:pict>
      </w:r>
    </w:p>
    <w:p w14:paraId="25719137" w14:textId="77777777" w:rsidR="0068593A" w:rsidRPr="006B368D" w:rsidRDefault="0068593A">
      <w:pPr>
        <w:pStyle w:val="BodyText"/>
        <w:spacing w:before="5"/>
        <w:rPr>
          <w:b/>
          <w:color w:val="000000" w:themeColor="text1"/>
          <w:sz w:val="15"/>
        </w:rPr>
      </w:pPr>
    </w:p>
    <w:p w14:paraId="10DCAEF2" w14:textId="77777777" w:rsidR="0068593A" w:rsidRPr="006B368D" w:rsidRDefault="00422AE8">
      <w:pPr>
        <w:tabs>
          <w:tab w:val="left" w:pos="10815"/>
        </w:tabs>
        <w:spacing w:before="92"/>
        <w:ind w:left="3464"/>
        <w:rPr>
          <w:b/>
          <w:color w:val="000000" w:themeColor="text1"/>
          <w:sz w:val="28"/>
        </w:rPr>
      </w:pPr>
      <w:r w:rsidRPr="006B368D">
        <w:rPr>
          <w:b/>
          <w:color w:val="000000" w:themeColor="text1"/>
          <w:sz w:val="28"/>
        </w:rPr>
        <w:t>Estimated</w:t>
      </w:r>
      <w:r w:rsidRPr="006B368D">
        <w:rPr>
          <w:b/>
          <w:color w:val="000000" w:themeColor="text1"/>
          <w:spacing w:val="-8"/>
          <w:sz w:val="28"/>
        </w:rPr>
        <w:t xml:space="preserve"> </w:t>
      </w:r>
      <w:r w:rsidRPr="006B368D">
        <w:rPr>
          <w:b/>
          <w:color w:val="000000" w:themeColor="text1"/>
          <w:sz w:val="28"/>
        </w:rPr>
        <w:t>498</w:t>
      </w:r>
      <w:r w:rsidRPr="006B368D">
        <w:rPr>
          <w:b/>
          <w:color w:val="000000" w:themeColor="text1"/>
          <w:spacing w:val="-3"/>
          <w:sz w:val="28"/>
        </w:rPr>
        <w:t xml:space="preserve"> </w:t>
      </w:r>
      <w:r w:rsidRPr="006B368D">
        <w:rPr>
          <w:b/>
          <w:color w:val="000000" w:themeColor="text1"/>
          <w:sz w:val="28"/>
        </w:rPr>
        <w:t>deaths</w:t>
      </w:r>
      <w:r w:rsidRPr="006B368D">
        <w:rPr>
          <w:b/>
          <w:color w:val="000000" w:themeColor="text1"/>
          <w:sz w:val="28"/>
        </w:rPr>
        <w:tab/>
        <w:t>Estimated</w:t>
      </w:r>
      <w:r w:rsidRPr="006B368D">
        <w:rPr>
          <w:b/>
          <w:color w:val="000000" w:themeColor="text1"/>
          <w:spacing w:val="-7"/>
          <w:sz w:val="28"/>
        </w:rPr>
        <w:t xml:space="preserve"> </w:t>
      </w:r>
      <w:r w:rsidRPr="006B368D">
        <w:rPr>
          <w:b/>
          <w:color w:val="000000" w:themeColor="text1"/>
          <w:sz w:val="28"/>
        </w:rPr>
        <w:t>507</w:t>
      </w:r>
      <w:r w:rsidRPr="006B368D">
        <w:rPr>
          <w:b/>
          <w:color w:val="000000" w:themeColor="text1"/>
          <w:spacing w:val="-3"/>
          <w:sz w:val="28"/>
        </w:rPr>
        <w:t xml:space="preserve"> </w:t>
      </w:r>
      <w:r w:rsidRPr="006B368D">
        <w:rPr>
          <w:b/>
          <w:color w:val="000000" w:themeColor="text1"/>
          <w:sz w:val="28"/>
        </w:rPr>
        <w:t>deaths</w:t>
      </w:r>
    </w:p>
    <w:p w14:paraId="7D3023B8" w14:textId="77777777" w:rsidR="0068593A" w:rsidRPr="006B368D" w:rsidRDefault="0068593A">
      <w:pPr>
        <w:rPr>
          <w:color w:val="000000" w:themeColor="text1"/>
          <w:sz w:val="28"/>
        </w:rPr>
        <w:sectPr w:rsidR="0068593A" w:rsidRPr="006B368D">
          <w:type w:val="continuous"/>
          <w:pgSz w:w="14400" w:h="10800" w:orient="landscape"/>
          <w:pgMar w:top="0" w:right="200" w:bottom="280" w:left="40" w:header="720" w:footer="720" w:gutter="0"/>
          <w:cols w:space="720"/>
        </w:sectPr>
      </w:pPr>
    </w:p>
    <w:p w14:paraId="3AD757AF" w14:textId="77777777" w:rsidR="0068593A" w:rsidRPr="006B368D" w:rsidRDefault="00422AE8">
      <w:pPr>
        <w:pStyle w:val="BodyText"/>
        <w:rPr>
          <w:b/>
          <w:color w:val="000000" w:themeColor="text1"/>
          <w:sz w:val="20"/>
        </w:rPr>
      </w:pPr>
      <w:r>
        <w:lastRenderedPageBreak/>
        <w:pict w14:anchorId="0D6E21E5">
          <v:group id="docshapegroup89" o:spid="_x0000_s1072" alt="&quot;&quot;" style="position:absolute;margin-left:0;margin-top:0;width:10in;height:72.5pt;z-index:-15997440;mso-position-horizontal-relative:page;mso-position-vertical-relative:page" coordsize="14400,1450">
            <v:rect id="docshape90" o:spid="_x0000_s1073" alt="&quot;&quot;" style="position:absolute;top:-1;width:14400;height:856" fillcolor="#92a199" stroked="f"/>
            <v:shape id="docshape91" o:spid="_x0000_s1074" type="#_x0000_t75" alt="&quot;&quot;" style="position:absolute;left:12803;top:14;width:1436;height:1436">
              <v:imagedata r:id="rId7" o:title=""/>
            </v:shape>
            <w10:wrap anchorx="page" anchory="page"/>
          </v:group>
        </w:pict>
      </w:r>
    </w:p>
    <w:p w14:paraId="724BA891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5B8EB444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0CA67CA2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6A0803DA" w14:textId="77777777" w:rsidR="0068593A" w:rsidRPr="006B368D" w:rsidRDefault="0068593A">
      <w:pPr>
        <w:pStyle w:val="BodyText"/>
        <w:spacing w:before="6"/>
        <w:rPr>
          <w:b/>
          <w:color w:val="000000" w:themeColor="text1"/>
          <w:sz w:val="20"/>
        </w:rPr>
      </w:pPr>
    </w:p>
    <w:p w14:paraId="2865E270" w14:textId="4BB0B394" w:rsidR="0068593A" w:rsidRPr="006B368D" w:rsidRDefault="00422AE8" w:rsidP="006B368D">
      <w:pPr>
        <w:pStyle w:val="Heading2"/>
      </w:pPr>
      <w:r w:rsidRPr="006B368D">
        <w:rPr>
          <w:spacing w:val="-14"/>
        </w:rPr>
        <w:t>The</w:t>
      </w:r>
      <w:r w:rsidRPr="006B368D">
        <w:rPr>
          <w:spacing w:val="-40"/>
        </w:rPr>
        <w:t xml:space="preserve"> </w:t>
      </w:r>
      <w:r w:rsidRPr="006B368D">
        <w:rPr>
          <w:u w:val="thick" w:color="D2523B"/>
        </w:rPr>
        <w:t>rate</w:t>
      </w:r>
      <w:r w:rsidRPr="006B368D">
        <w:rPr>
          <w:spacing w:val="-40"/>
        </w:rPr>
        <w:t xml:space="preserve"> </w:t>
      </w:r>
      <w:r w:rsidRPr="006B368D">
        <w:rPr>
          <w:spacing w:val="-10"/>
        </w:rPr>
        <w:t>of</w:t>
      </w:r>
      <w:r w:rsidRPr="006B368D">
        <w:rPr>
          <w:spacing w:val="-39"/>
        </w:rPr>
        <w:t xml:space="preserve"> </w:t>
      </w:r>
      <w:r w:rsidRPr="006B368D">
        <w:rPr>
          <w:spacing w:val="-19"/>
        </w:rPr>
        <w:t>opioid-related</w:t>
      </w:r>
      <w:r w:rsidRPr="006B368D">
        <w:rPr>
          <w:spacing w:val="-47"/>
        </w:rPr>
        <w:t xml:space="preserve"> </w:t>
      </w:r>
      <w:r w:rsidRPr="006B368D">
        <w:t>overdose</w:t>
      </w:r>
      <w:r w:rsidRPr="006B368D">
        <w:rPr>
          <w:spacing w:val="-40"/>
        </w:rPr>
        <w:t xml:space="preserve"> </w:t>
      </w:r>
      <w:r w:rsidRPr="006B368D">
        <w:rPr>
          <w:spacing w:val="-17"/>
        </w:rPr>
        <w:t>deaths</w:t>
      </w:r>
      <w:r w:rsidRPr="006B368D">
        <w:rPr>
          <w:spacing w:val="-40"/>
        </w:rPr>
        <w:t xml:space="preserve"> </w:t>
      </w:r>
      <w:r w:rsidRPr="006B368D">
        <w:rPr>
          <w:spacing w:val="-14"/>
        </w:rPr>
        <w:t>has</w:t>
      </w:r>
      <w:r w:rsidRPr="006B368D">
        <w:rPr>
          <w:spacing w:val="-40"/>
        </w:rPr>
        <w:t xml:space="preserve"> </w:t>
      </w:r>
      <w:r w:rsidRPr="006B368D">
        <w:t>increased</w:t>
      </w:r>
      <w:r w:rsidRPr="006B368D">
        <w:rPr>
          <w:spacing w:val="-130"/>
        </w:rPr>
        <w:t xml:space="preserve"> </w:t>
      </w:r>
      <w:r w:rsidRPr="006B368D">
        <w:rPr>
          <w:spacing w:val="-10"/>
        </w:rPr>
        <w:t>5%</w:t>
      </w:r>
      <w:r w:rsidRPr="006B368D">
        <w:rPr>
          <w:spacing w:val="-40"/>
        </w:rPr>
        <w:t xml:space="preserve"> </w:t>
      </w:r>
      <w:r w:rsidRPr="006B368D">
        <w:rPr>
          <w:spacing w:val="-10"/>
        </w:rPr>
        <w:t>in</w:t>
      </w:r>
      <w:r w:rsidRPr="006B368D">
        <w:rPr>
          <w:spacing w:val="-45"/>
        </w:rPr>
        <w:t xml:space="preserve"> </w:t>
      </w:r>
      <w:r w:rsidRPr="006B368D">
        <w:t>2020</w:t>
      </w:r>
      <w:r w:rsidRPr="006B368D">
        <w:rPr>
          <w:spacing w:val="-41"/>
        </w:rPr>
        <w:t xml:space="preserve"> </w:t>
      </w:r>
      <w:r w:rsidRPr="006B368D">
        <w:t>compared</w:t>
      </w:r>
      <w:r w:rsidRPr="006B368D">
        <w:rPr>
          <w:spacing w:val="-43"/>
        </w:rPr>
        <w:t xml:space="preserve"> </w:t>
      </w:r>
      <w:r w:rsidRPr="006B368D">
        <w:rPr>
          <w:spacing w:val="-14"/>
        </w:rPr>
        <w:t>with</w:t>
      </w:r>
      <w:r w:rsidRPr="006B368D">
        <w:rPr>
          <w:spacing w:val="-50"/>
        </w:rPr>
        <w:t xml:space="preserve"> </w:t>
      </w:r>
      <w:r w:rsidRPr="006B368D">
        <w:t>2019</w:t>
      </w:r>
      <w:r w:rsidRPr="006B368D">
        <w:rPr>
          <w:spacing w:val="-37"/>
        </w:rPr>
        <w:t xml:space="preserve"> </w:t>
      </w:r>
      <w:r w:rsidRPr="006B368D">
        <w:rPr>
          <w:spacing w:val="-14"/>
        </w:rPr>
        <w:t>and</w:t>
      </w:r>
      <w:r w:rsidRPr="006B368D">
        <w:rPr>
          <w:spacing w:val="-43"/>
        </w:rPr>
        <w:t xml:space="preserve"> </w:t>
      </w:r>
      <w:r w:rsidRPr="006B368D">
        <w:rPr>
          <w:spacing w:val="-10"/>
        </w:rPr>
        <w:t>is</w:t>
      </w:r>
      <w:r w:rsidR="006B368D">
        <w:t xml:space="preserve"> </w:t>
      </w:r>
      <w:r w:rsidRPr="006B368D">
        <w:t>1%</w:t>
      </w:r>
      <w:r w:rsidRPr="006B368D">
        <w:rPr>
          <w:spacing w:val="-40"/>
        </w:rPr>
        <w:t xml:space="preserve"> </w:t>
      </w:r>
      <w:r w:rsidRPr="006B368D">
        <w:t>lower</w:t>
      </w:r>
      <w:r w:rsidRPr="006B368D">
        <w:rPr>
          <w:spacing w:val="-47"/>
        </w:rPr>
        <w:t xml:space="preserve"> </w:t>
      </w:r>
      <w:r w:rsidRPr="006B368D">
        <w:t>than</w:t>
      </w:r>
      <w:r w:rsidRPr="006B368D">
        <w:rPr>
          <w:spacing w:val="-46"/>
        </w:rPr>
        <w:t xml:space="preserve"> </w:t>
      </w:r>
      <w:r w:rsidRPr="006B368D">
        <w:t>the</w:t>
      </w:r>
      <w:r w:rsidRPr="006B368D">
        <w:rPr>
          <w:spacing w:val="-44"/>
        </w:rPr>
        <w:t xml:space="preserve"> </w:t>
      </w:r>
      <w:r w:rsidRPr="006B368D">
        <w:t>2016</w:t>
      </w:r>
      <w:r w:rsidRPr="006B368D">
        <w:rPr>
          <w:spacing w:val="-39"/>
        </w:rPr>
        <w:t xml:space="preserve"> </w:t>
      </w:r>
      <w:r w:rsidRPr="006B368D">
        <w:t>peak.</w:t>
      </w:r>
    </w:p>
    <w:p w14:paraId="67ACA48C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65318219" w14:textId="77777777" w:rsidR="0068593A" w:rsidRPr="006B368D" w:rsidRDefault="00422AE8">
      <w:pPr>
        <w:pStyle w:val="BodyText"/>
        <w:spacing w:before="7"/>
        <w:rPr>
          <w:b/>
          <w:color w:val="000000" w:themeColor="text1"/>
          <w:sz w:val="15"/>
        </w:rPr>
      </w:pPr>
      <w:r>
        <w:pict w14:anchorId="6E71313F">
          <v:group id="docshapegroup92" o:spid="_x0000_s1069" alt="Figure 3. Rate of Confirmed and Estimated Opioid-Related Overdose Deaths, All Intents in Massachusetts Residents: 2000-2020" style="position:absolute;margin-left:52.1pt;margin-top:10.15pt;width:629.65pt;height:267.55pt;z-index:-15726080;mso-wrap-distance-left:0;mso-wrap-distance-right:0;mso-position-horizontal-relative:page" coordorigin="1042,203" coordsize="12593,5351">
            <v:shape id="docshape93" o:spid="_x0000_s1070" type="#_x0000_t75" alt="Figure 3. Rate of Confirmed and Estimated Opioid-Related Overdose Deaths, All Intents in Massachusetts Residents: 2000-2020" style="position:absolute;left:1042;top:203;width:12316;height:5351">
              <v:imagedata r:id="rId9" o:title=""/>
            </v:shape>
            <v:shape id="docshape94" o:spid="_x0000_s1071" alt="Figure 3. Rate of Confirmed and Estimated Opioid-Related Overdose Deaths, All Intents in Massachusetts Residents: 2000-2020" style="position:absolute;left:10466;top:901;width:3147;height:1613" coordorigin="10467,901" coordsize="3147,1613" path="m10467,1708r12,-101l10515,1509r58,-93l10651,1329r47,-42l10749,1247r55,-38l10864,1172r64,-34l10995,1105r72,-31l11141,1046r78,-26l11301,996r84,-21l11472,956r89,-16l11653,926r94,-11l11843,908r98,-5l12040,901r100,2l12238,908r96,7l12428,926r91,14l12609,956r87,19l12780,996r81,24l12939,1046r75,28l13085,1105r68,33l13217,1172r59,37l13332,1247r51,40l13429,1329r79,87l13566,1509r36,98l13614,1708r-3,51l13586,1858r-47,95l13471,2043r-88,85l13332,2168r-56,38l13217,2243r-64,35l13085,2310r-71,31l12939,2369r-78,26l12780,2419r-84,22l12609,2459r-90,17l12428,2489r-94,11l12238,2507r-98,5l12040,2514r-99,-2l11843,2507r-96,-7l11653,2489r-92,-13l11472,2459r-87,-18l11301,2419r-82,-24l11141,2369r-74,-28l10995,2310r-67,-32l10864,2243r-60,-37l10749,2168r-51,-40l10651,2087r-78,-88l10515,1906r-36,-97l10467,1708xe" filled="f" strokecolor="#00af50" strokeweight=".73403mm">
              <v:path arrowok="t"/>
            </v:shape>
            <w10:wrap type="topAndBottom" anchorx="page"/>
          </v:group>
        </w:pict>
      </w:r>
    </w:p>
    <w:p w14:paraId="3758E0DC" w14:textId="77777777" w:rsidR="0068593A" w:rsidRPr="006B368D" w:rsidRDefault="0068593A">
      <w:pPr>
        <w:rPr>
          <w:color w:val="000000" w:themeColor="text1"/>
          <w:sz w:val="15"/>
        </w:rPr>
        <w:sectPr w:rsidR="0068593A" w:rsidRPr="006B368D">
          <w:pgSz w:w="14400" w:h="10800" w:orient="landscape"/>
          <w:pgMar w:top="0" w:right="200" w:bottom="280" w:left="40" w:header="720" w:footer="720" w:gutter="0"/>
          <w:cols w:space="720"/>
        </w:sectPr>
      </w:pPr>
    </w:p>
    <w:p w14:paraId="778753D5" w14:textId="77D14A83" w:rsidR="0068593A" w:rsidRPr="006B368D" w:rsidRDefault="00422AE8" w:rsidP="006B368D">
      <w:pPr>
        <w:pStyle w:val="Heading2"/>
      </w:pPr>
      <w:r>
        <w:rPr>
          <w:b w:val="0"/>
          <w:sz w:val="22"/>
        </w:rPr>
        <w:lastRenderedPageBreak/>
        <w:pict w14:anchorId="1311F0E0">
          <v:group id="docshapegroup99" o:spid="_x0000_s1041" alt="Figure 4. Percent of Opioid-Related Overdose Deaths with Specific Drugs Present in Massachusetts Residents: 2014-2020" style="position:absolute;left:0;text-align:left;margin-left:58.3pt;margin-top:108.3pt;width:610.5pt;height:281.1pt;z-index:15732224;mso-position-horizontal-relative:page" coordorigin="1096,1082" coordsize="12210,5622">
            <v:shape id="docshape100" o:spid="_x0000_s1042" alt="Figure 4. Percent of Opioid-Related Overdose Deaths with Specific Drugs Present in Massachusetts Residents: 2014-2020" style="position:absolute;left:1777;top:2166;width:9119;height:3825" coordorigin="1778,2167" coordsize="9119,3825" o:spt="100" adj="0,,0" path="m1832,5282r,-3115m1778,5282r54,m1778,4971r54,m1778,4659r54,m1778,4347r54,m1778,4036r54,m1778,3724r54,m1778,3413r54,m1778,3101r54,m1778,2790r54,m1778,2478r54,m1778,2167r54,m1832,5282r9065,m1832,5282r,58m1832,5282r,354m2157,5282r,58m2157,5282r,354m2480,5282r,58m2480,5282r,354m2803,5282r,58m2803,5282r,354m3128,5282r,58m3128,5282r,354m3451,5282r,58m3451,5282r,354m3775,5282r,58m3775,5282r,354m4100,5282r,58m4100,5282r,354m4423,5282r,58m4423,5282r,354m4746,5282r,58m4746,5282r,354m5071,5282r,58m5071,5282r,354m5394,5282r,58m5394,5282r,354m5717,5282r,58m5717,5282r,354m6042,5282r,58m6042,5282r,354m6365,5282r,58m6365,5282r,354m6688,5282r,58m6688,5282r,354m7014,5282r,58m7014,5282r,354m7337,5282r,58m7337,5282r,354m7660,5282r,58m7660,5282r,354m7983,5282r,58m7983,5282r,354m8308,5282r,58m8308,5282r,354m8631,5282r,58m8631,5282r,354m8954,5282r,58m8954,5282r,354m9279,5282r,58m9279,5282r,354m9602,5282r,58m9602,5282r,354m9925,5282r,58m9925,5282r,354m10251,5282r,58m10251,5282r,354m10574,5282r,58m10574,5282r,354m10897,5282r,58m10897,5282r,354m1832,5636r,355m3128,5636r,355m4423,5636r,355m5717,5636r,355m7014,5636r,355m8308,5636r,355m9602,5636r,355m10897,5636r,355e" filled="f" strokecolor="#858585" strokeweight=".23669mm">
              <v:stroke joinstyle="round"/>
              <v:formulas/>
              <v:path arrowok="t" o:connecttype="segments"/>
            </v:shape>
            <v:shape id="docshape101" o:spid="_x0000_s1043" alt="Figure 4. Percent of Opioid-Related Overdose Deaths with Specific Drugs Present in Massachusetts Residents: 2014-2020" style="position:absolute;left:1995;top:2353;width:8740;height:2044" coordorigin="1996,2353" coordsize="8740,2044" path="m1996,3986r323,142l2642,4397r325,-820l3290,3390r323,-47l3936,3451r325,-183l4584,3085r323,-259l5233,2992r323,-161l5879,2771r325,35l6527,2532r323,-15l7175,2508r323,-20l7821,2512r325,29l8469,2415r324,-53l9118,2353r323,29l9764,2398r325,-23l10412,2375r323,162e" filled="f" strokecolor="#416ea6" strokeweight=".72858mm">
              <v:path arrowok="t"/>
            </v:shape>
            <v:shape id="docshape102" o:spid="_x0000_s1044" alt="Figure 4. Percent of Opioid-Related Overdose Deaths with Specific Drugs Present in Massachusetts Residents: 2014-2020" style="position:absolute;left:1995;top:2952;width:8740;height:2002" coordorigin="1996,2952" coordsize="8740,2002" path="m1996,3250r323,-298l2642,3041r325,-3l3290,3259r323,-227l3936,3147r325,-34l4584,3359r323,302l5233,3796r323,164l5879,4059r325,-57l6527,4064r323,132l7175,4360r323,-64l7821,4360r325,2l8469,4349r324,176l9118,4631r323,36l9764,4808r325,16l10412,4806r323,148e" filled="f" strokecolor="#a8423e" strokeweight=".72867mm">
              <v:path arrowok="t"/>
            </v:shape>
            <v:shape id="docshape103" o:spid="_x0000_s1045" alt="Figure 4. Percent of Opioid-Related Overdose Deaths with Specific Drugs Present in Massachusetts Residents: 2014-2020" style="position:absolute;left:1995;top:4171;width:8740;height:758" coordorigin="1996,4172" coordsize="8740,758" path="m1996,4459r323,234l2642,4172r325,382l3290,4729r323,-56l3936,4764r325,75l4584,4746r323,-22l5233,4748r323,129l5879,4872r325,20l6527,4888r323,-31l7175,4782r323,-14l7821,4830r325,51l8469,4801r324,71l9118,4930r323,-49l9764,4841r325,-154l10412,4832r323,-117e" filled="f" strokecolor="#4aacc5" strokeweight=".73042mm">
              <v:path arrowok="t"/>
            </v:shape>
            <v:shape id="docshape104" o:spid="_x0000_s1046" alt="Figure 4. Percent of Opioid-Related Overdose Deaths with Specific Drugs Present in Massachusetts Residents: 2014-2020" style="position:absolute;left:1995;top:3718;width:8740;height:661" coordorigin="1996,3719" coordsize="8740,661" path="m1996,3734r323,117l2642,3719r325,311l3290,4066r323,-217l3936,4234r325,-131l4584,4008r323,166l5233,4196r323,113l5879,4309r325,-367l6527,4094r323,-6l7175,3973r323,88l7821,4105r325,-26l8469,4075r324,174l9118,4351r323,2l9764,4289r325,-13l10412,4324r323,55e" filled="f" strokecolor="#85a349" strokeweight=".7305mm">
              <v:path arrowok="t"/>
            </v:shape>
            <v:shape id="docshape105" o:spid="_x0000_s1047" alt="Figure 4. Percent of Opioid-Related Overdose Deaths with Specific Drugs Present in Massachusetts Residents: 2014-2020" style="position:absolute;left:1995;top:3758;width:8740;height:661" coordorigin="1996,3759" coordsize="8740,661" path="m1996,4276r323,-159l2642,4419r325,-99l3290,4304r323,64l3936,4156r325,188l4584,4189r323,67l5233,4046r323,126l5879,3999r325,87l6527,4130r323,-371l7175,3962r323,68l7821,3838r325,312l8469,4068r324,-119l9118,3867r323,99l9764,3876r325,-42l10412,3774r323,159e" filled="f" strokecolor="#6d538d" strokeweight=".7305mm">
              <v:path arrowok="t"/>
            </v:shape>
            <v:shape id="docshape106" o:spid="_x0000_s1048" alt="Figure 4. Percent of Opioid-Related Overdose Deaths with Specific Drugs Present in Massachusetts Residents: 2014-2020" style="position:absolute;left:1995;top:4938;width:8740;height:270" coordorigin="1996,4939" coordsize="8740,270" path="m1996,5135r323,-4l2642,5034r325,13l3290,5179r323,-35l3936,5144r325,13l4584,5126r323,36l5233,5208r323,-24l5879,5140r325,66l6527,5179r323,-81l7175,5155r323,2l7821,5071r325,38l8469,5027r324,106l9118,5135r323,-68l9764,5058r325,-58l10412,4939r323,119e" filled="f" strokecolor="#da8137" strokeweight=".73069mm">
              <v:path arrowok="t"/>
            </v:shape>
            <v:line id="_x0000_s1049" alt="Figure 4. Percent of Opioid-Related Overdose Deaths with Specific Drugs Present in Massachusetts Residents: 2014-2020" style="position:absolute" from="11167,2680" to="11500,2680" strokecolor="#416ea6" strokeweight=".73072mm"/>
            <v:line id="_x0000_s1050" alt="Figure 4. Percent of Opioid-Related Overdose Deaths with Specific Drugs Present in Massachusetts Residents: 2014-2020" style="position:absolute" from="11167,3052" to="11500,3052" strokecolor="#a8423e" strokeweight=".73072mm"/>
            <v:line id="_x0000_s1051" alt="Figure 4. Percent of Opioid-Related Overdose Deaths with Specific Drugs Present in Massachusetts Residents: 2014-2020" style="position:absolute" from="11167,3425" to="11500,3425" strokecolor="#4aacc5" strokeweight=".73072mm"/>
            <v:line id="_x0000_s1052" alt="Figure 4. Percent of Opioid-Related Overdose Deaths with Specific Drugs Present in Massachusetts Residents: 2014-2020" style="position:absolute" from="11167,3798" to="11500,3798" strokecolor="#85a349" strokeweight=".73072mm"/>
            <v:line id="_x0000_s1053" alt="Figure 4. Percent of Opioid-Related Overdose Deaths with Specific Drugs Present in Massachusetts Residents: 2014-2020" style="position:absolute" from="11167,4172" to="11500,4172" strokecolor="#6d538d" strokeweight=".73072mm"/>
            <v:line id="_x0000_s1054" alt="Figure 4. Percent of Opioid-Related Overdose Deaths with Specific Drugs Present in Massachusetts Residents: 2014-2020" style="position:absolute" from="11167,4545" to="11500,4545" strokecolor="#da8137" strokeweight=".73072mm"/>
            <v:rect id="docshape107" o:spid="_x0000_s1055" alt="Figure 4. Percent of Opioid-Related Overdose Deaths with Specific Drugs Present in Massachusetts Residents: 2014-2020" style="position:absolute;left:1102;top:1088;width:12196;height:5608" filled="f" strokecolor="#858585" strokeweight=".24117mm"/>
            <v:line id="_x0000_s1056" alt="Figure 4. Percent of Opioid-Related Overdose Deaths with Specific Drugs Present in Massachusetts Residents: 2014-2020" style="position:absolute" from="6038,2027" to="6032,5948" strokeweight=".15319mm">
              <v:stroke dashstyle="3 1"/>
            </v:line>
            <v:shape id="docshape108" o:spid="_x0000_s1057" type="#_x0000_t202" alt="Figure 4. Percent of Opioid-Related Overdose Deaths with Specific Drugs Present in Massachusetts Residents: 2014-2020" style="position:absolute;left:3149;top:1354;width:7533;height:531;mso-wrap-style:square;v-text-anchor:top" filled="f" stroked="f">
              <v:textbox inset="0,0,0,0">
                <w:txbxContent>
                  <w:p w14:paraId="31BEA9B8" w14:textId="77777777" w:rsidR="0068593A" w:rsidRDefault="00422AE8">
                    <w:pPr>
                      <w:spacing w:line="230" w:lineRule="exact"/>
                      <w:ind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0"/>
                        <w:sz w:val="24"/>
                      </w:rPr>
                      <w:t>Figure</w:t>
                    </w:r>
                    <w:r>
                      <w:rPr>
                        <w:b/>
                        <w:spacing w:val="1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4.</w:t>
                    </w:r>
                    <w:r>
                      <w:rPr>
                        <w:b/>
                        <w:spacing w:val="2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Percent</w:t>
                    </w:r>
                    <w:r>
                      <w:rPr>
                        <w:b/>
                        <w:spacing w:val="10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of</w:t>
                    </w:r>
                    <w:r>
                      <w:rPr>
                        <w:b/>
                        <w:spacing w:val="2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Opioid-Related</w:t>
                    </w:r>
                    <w:r>
                      <w:rPr>
                        <w:b/>
                        <w:spacing w:val="7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Overdose</w:t>
                    </w:r>
                    <w:r>
                      <w:rPr>
                        <w:b/>
                        <w:spacing w:val="4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Deaths</w:t>
                    </w:r>
                    <w:r>
                      <w:rPr>
                        <w:b/>
                        <w:spacing w:val="7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with</w:t>
                    </w:r>
                    <w:r>
                      <w:rPr>
                        <w:b/>
                        <w:spacing w:val="5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Specific</w:t>
                    </w:r>
                    <w:r>
                      <w:rPr>
                        <w:b/>
                        <w:spacing w:val="2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Drugs</w:t>
                    </w:r>
                    <w:r>
                      <w:rPr>
                        <w:b/>
                        <w:spacing w:val="3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Present</w:t>
                    </w:r>
                  </w:p>
                  <w:p w14:paraId="7A81C64A" w14:textId="77777777" w:rsidR="0068593A" w:rsidRDefault="00422AE8">
                    <w:pPr>
                      <w:spacing w:before="15"/>
                      <w:ind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0"/>
                        <w:sz w:val="24"/>
                      </w:rPr>
                      <w:t>Massachusetts</w:t>
                    </w:r>
                    <w:r>
                      <w:rPr>
                        <w:b/>
                        <w:spacing w:val="12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Residents:</w:t>
                    </w:r>
                    <w:r>
                      <w:rPr>
                        <w:b/>
                        <w:spacing w:val="9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2014</w:t>
                    </w:r>
                    <w:r>
                      <w:rPr>
                        <w:b/>
                        <w:spacing w:val="5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-</w:t>
                    </w:r>
                    <w:r>
                      <w:rPr>
                        <w:b/>
                        <w:spacing w:val="4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2020</w:t>
                    </w:r>
                  </w:p>
                </w:txbxContent>
              </v:textbox>
            </v:shape>
            <v:shape id="docshape109" o:spid="_x0000_s1058" type="#_x0000_t202" alt="Figure 4. Percent of Opioid-Related Overdose Deaths with Specific Drugs Present in Massachusetts Residents: 2014-2020" style="position:absolute;left:1407;top:2082;width:285;height:3298;mso-wrap-style:square;v-text-anchor:top" filled="f" stroked="f">
              <v:textbox inset="0,0,0,0">
                <w:txbxContent>
                  <w:p w14:paraId="4052830C" w14:textId="77777777" w:rsidR="0068593A" w:rsidRDefault="00422AE8">
                    <w:pPr>
                      <w:spacing w:line="176" w:lineRule="exac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100</w:t>
                    </w:r>
                  </w:p>
                  <w:p w14:paraId="387A2CF1" w14:textId="77777777" w:rsidR="0068593A" w:rsidRDefault="00422AE8">
                    <w:pPr>
                      <w:spacing w:before="104"/>
                      <w:ind w:left="88"/>
                      <w:rPr>
                        <w:sz w:val="18"/>
                      </w:rPr>
                    </w:pPr>
                    <w:r>
                      <w:rPr>
                        <w:spacing w:val="-1"/>
                        <w:w w:val="95"/>
                        <w:sz w:val="18"/>
                      </w:rPr>
                      <w:t>90</w:t>
                    </w:r>
                  </w:p>
                  <w:p w14:paraId="421ADB43" w14:textId="77777777" w:rsidR="0068593A" w:rsidRDefault="00422AE8">
                    <w:pPr>
                      <w:spacing w:before="105"/>
                      <w:ind w:left="88"/>
                      <w:rPr>
                        <w:sz w:val="18"/>
                      </w:rPr>
                    </w:pPr>
                    <w:r>
                      <w:rPr>
                        <w:spacing w:val="-1"/>
                        <w:w w:val="95"/>
                        <w:sz w:val="18"/>
                      </w:rPr>
                      <w:t>80</w:t>
                    </w:r>
                  </w:p>
                  <w:p w14:paraId="1B5A7EA5" w14:textId="77777777" w:rsidR="0068593A" w:rsidRDefault="00422AE8">
                    <w:pPr>
                      <w:spacing w:before="104"/>
                      <w:ind w:left="88"/>
                      <w:rPr>
                        <w:sz w:val="18"/>
                      </w:rPr>
                    </w:pPr>
                    <w:r>
                      <w:rPr>
                        <w:spacing w:val="-1"/>
                        <w:w w:val="95"/>
                        <w:sz w:val="18"/>
                      </w:rPr>
                      <w:t>70</w:t>
                    </w:r>
                  </w:p>
                  <w:p w14:paraId="79B94998" w14:textId="77777777" w:rsidR="0068593A" w:rsidRDefault="00422AE8">
                    <w:pPr>
                      <w:spacing w:before="104"/>
                      <w:ind w:left="88"/>
                      <w:rPr>
                        <w:sz w:val="18"/>
                      </w:rPr>
                    </w:pPr>
                    <w:r>
                      <w:rPr>
                        <w:spacing w:val="-1"/>
                        <w:w w:val="95"/>
                        <w:sz w:val="18"/>
                      </w:rPr>
                      <w:t>60</w:t>
                    </w:r>
                  </w:p>
                  <w:p w14:paraId="54493B43" w14:textId="77777777" w:rsidR="0068593A" w:rsidRDefault="00422AE8">
                    <w:pPr>
                      <w:spacing w:before="105"/>
                      <w:ind w:left="88"/>
                      <w:rPr>
                        <w:sz w:val="18"/>
                      </w:rPr>
                    </w:pPr>
                    <w:r>
                      <w:rPr>
                        <w:spacing w:val="-1"/>
                        <w:w w:val="95"/>
                        <w:sz w:val="18"/>
                      </w:rPr>
                      <w:t>50</w:t>
                    </w:r>
                  </w:p>
                  <w:p w14:paraId="18735AAD" w14:textId="77777777" w:rsidR="0068593A" w:rsidRDefault="00422AE8">
                    <w:pPr>
                      <w:spacing w:before="104"/>
                      <w:ind w:left="88"/>
                      <w:rPr>
                        <w:sz w:val="18"/>
                      </w:rPr>
                    </w:pPr>
                    <w:r>
                      <w:rPr>
                        <w:spacing w:val="-1"/>
                        <w:w w:val="95"/>
                        <w:sz w:val="18"/>
                      </w:rPr>
                      <w:t>40</w:t>
                    </w:r>
                  </w:p>
                  <w:p w14:paraId="1C6A5074" w14:textId="77777777" w:rsidR="0068593A" w:rsidRDefault="00422AE8">
                    <w:pPr>
                      <w:spacing w:before="105"/>
                      <w:ind w:left="88"/>
                      <w:rPr>
                        <w:sz w:val="18"/>
                      </w:rPr>
                    </w:pPr>
                    <w:r>
                      <w:rPr>
                        <w:spacing w:val="-1"/>
                        <w:w w:val="95"/>
                        <w:sz w:val="18"/>
                      </w:rPr>
                      <w:t>30</w:t>
                    </w:r>
                  </w:p>
                  <w:p w14:paraId="359D2F0F" w14:textId="77777777" w:rsidR="0068593A" w:rsidRDefault="00422AE8">
                    <w:pPr>
                      <w:spacing w:before="104"/>
                      <w:ind w:left="88"/>
                      <w:rPr>
                        <w:sz w:val="18"/>
                      </w:rPr>
                    </w:pPr>
                    <w:r>
                      <w:rPr>
                        <w:spacing w:val="-1"/>
                        <w:w w:val="95"/>
                        <w:sz w:val="18"/>
                      </w:rPr>
                      <w:t>20</w:t>
                    </w:r>
                  </w:p>
                  <w:p w14:paraId="6A231FC6" w14:textId="77777777" w:rsidR="0068593A" w:rsidRDefault="00422AE8">
                    <w:pPr>
                      <w:spacing w:before="105"/>
                      <w:ind w:left="88"/>
                      <w:rPr>
                        <w:sz w:val="18"/>
                      </w:rPr>
                    </w:pPr>
                    <w:r>
                      <w:rPr>
                        <w:spacing w:val="-1"/>
                        <w:w w:val="95"/>
                        <w:sz w:val="18"/>
                      </w:rPr>
                      <w:t>10</w:t>
                    </w:r>
                  </w:p>
                  <w:p w14:paraId="6086DA27" w14:textId="77777777" w:rsidR="0068593A" w:rsidRDefault="00422AE8">
                    <w:pPr>
                      <w:spacing w:before="104"/>
                      <w:ind w:left="176"/>
                      <w:rPr>
                        <w:sz w:val="18"/>
                      </w:rPr>
                    </w:pPr>
                    <w:r>
                      <w:rPr>
                        <w:w w:val="87"/>
                        <w:sz w:val="18"/>
                      </w:rPr>
                      <w:t>0</w:t>
                    </w:r>
                  </w:p>
                </w:txbxContent>
              </v:textbox>
            </v:shape>
            <v:shape id="docshape110" o:spid="_x0000_s1059" type="#_x0000_t202" alt="Figure 4. Percent of Opioid-Related Overdose Deaths with Specific Drugs Present in Massachusetts Residents: 2014-2020" style="position:absolute;left:1950;top:5435;width:8850;height:184;mso-wrap-style:square;v-text-anchor:top" filled="f" stroked="f">
              <v:textbox inset="0,0,0,0">
                <w:txbxContent>
                  <w:p w14:paraId="35AC972F" w14:textId="77777777" w:rsidR="0068593A" w:rsidRDefault="00422AE8">
                    <w:pPr>
                      <w:tabs>
                        <w:tab w:val="left" w:pos="323"/>
                        <w:tab w:val="left" w:pos="647"/>
                        <w:tab w:val="left" w:pos="971"/>
                        <w:tab w:val="left" w:pos="1294"/>
                        <w:tab w:val="left" w:pos="1618"/>
                        <w:tab w:val="left" w:pos="1942"/>
                        <w:tab w:val="left" w:pos="2266"/>
                        <w:tab w:val="left" w:pos="2589"/>
                        <w:tab w:val="left" w:pos="2913"/>
                        <w:tab w:val="left" w:pos="3237"/>
                        <w:tab w:val="left" w:pos="3561"/>
                        <w:tab w:val="left" w:pos="3885"/>
                        <w:tab w:val="left" w:pos="4209"/>
                        <w:tab w:val="left" w:pos="4532"/>
                        <w:tab w:val="left" w:pos="4856"/>
                        <w:tab w:val="left" w:pos="5180"/>
                        <w:tab w:val="left" w:pos="5504"/>
                        <w:tab w:val="left" w:pos="5828"/>
                        <w:tab w:val="left" w:pos="6151"/>
                        <w:tab w:val="left" w:pos="6475"/>
                        <w:tab w:val="left" w:pos="6799"/>
                        <w:tab w:val="left" w:pos="7123"/>
                        <w:tab w:val="left" w:pos="7447"/>
                        <w:tab w:val="left" w:pos="7770"/>
                        <w:tab w:val="left" w:pos="8094"/>
                        <w:tab w:val="left" w:pos="8418"/>
                        <w:tab w:val="left" w:pos="8742"/>
                      </w:tabs>
                      <w:spacing w:line="176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tab/>
                      <w:t>2</w:t>
                    </w:r>
                    <w:r>
                      <w:rPr>
                        <w:sz w:val="18"/>
                      </w:rPr>
                      <w:tab/>
                      <w:t>3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tab/>
                      <w:t>1</w:t>
                    </w:r>
                    <w:r>
                      <w:rPr>
                        <w:sz w:val="18"/>
                      </w:rPr>
                      <w:tab/>
                      <w:t>2</w:t>
                    </w:r>
                    <w:r>
                      <w:rPr>
                        <w:sz w:val="18"/>
                      </w:rPr>
                      <w:tab/>
                      <w:t>3</w:t>
                    </w:r>
                    <w:r>
                      <w:rPr>
                        <w:sz w:val="18"/>
                      </w:rPr>
                      <w:tab/>
                      <w:t>4</w:t>
                    </w:r>
                    <w:r>
                      <w:rPr>
                        <w:sz w:val="18"/>
                      </w:rPr>
                      <w:tab/>
                      <w:t>1</w:t>
                    </w:r>
                    <w:r>
                      <w:rPr>
                        <w:sz w:val="18"/>
                      </w:rPr>
                      <w:tab/>
                      <w:t>2</w:t>
                    </w:r>
                    <w:r>
                      <w:rPr>
                        <w:sz w:val="18"/>
                      </w:rPr>
                      <w:tab/>
                      <w:t>3</w:t>
                    </w:r>
                    <w:r>
                      <w:rPr>
                        <w:sz w:val="18"/>
                      </w:rPr>
                      <w:tab/>
                      <w:t>4</w:t>
                    </w:r>
                    <w:r>
                      <w:rPr>
                        <w:sz w:val="18"/>
                      </w:rPr>
                      <w:tab/>
                      <w:t>1</w:t>
                    </w:r>
                    <w:r>
                      <w:rPr>
                        <w:sz w:val="18"/>
                      </w:rPr>
                      <w:tab/>
                      <w:t>2</w:t>
                    </w:r>
                    <w:r>
                      <w:rPr>
                        <w:sz w:val="18"/>
                      </w:rPr>
                      <w:tab/>
                      <w:t>3</w:t>
                    </w:r>
                    <w:r>
                      <w:rPr>
                        <w:sz w:val="18"/>
                      </w:rPr>
                      <w:tab/>
                      <w:t>4</w:t>
                    </w:r>
                    <w:r>
                      <w:rPr>
                        <w:sz w:val="18"/>
                      </w:rPr>
                      <w:tab/>
                      <w:t>1</w:t>
                    </w:r>
                    <w:r>
                      <w:rPr>
                        <w:sz w:val="18"/>
                      </w:rPr>
                      <w:tab/>
                      <w:t>2</w:t>
                    </w:r>
                    <w:r>
                      <w:rPr>
                        <w:sz w:val="18"/>
                      </w:rPr>
                      <w:tab/>
                      <w:t>3</w:t>
                    </w:r>
                    <w:r>
                      <w:rPr>
                        <w:sz w:val="18"/>
                      </w:rPr>
                      <w:tab/>
                      <w:t>4</w:t>
                    </w:r>
                    <w:r>
                      <w:rPr>
                        <w:sz w:val="18"/>
                      </w:rPr>
                      <w:tab/>
                      <w:t>1</w:t>
                    </w:r>
                    <w:r>
                      <w:rPr>
                        <w:sz w:val="18"/>
                      </w:rPr>
                      <w:tab/>
                      <w:t>2</w:t>
                    </w:r>
                    <w:r>
                      <w:rPr>
                        <w:sz w:val="18"/>
                      </w:rPr>
                      <w:tab/>
                      <w:t>3</w:t>
                    </w:r>
                    <w:r>
                      <w:rPr>
                        <w:sz w:val="18"/>
                      </w:rPr>
                      <w:tab/>
                      <w:t>4</w:t>
                    </w:r>
                    <w:r>
                      <w:rPr>
                        <w:sz w:val="18"/>
                      </w:rPr>
                      <w:tab/>
                      <w:t>1</w:t>
                    </w:r>
                    <w:r>
                      <w:rPr>
                        <w:sz w:val="18"/>
                      </w:rPr>
                      <w:tab/>
                      <w:t>2</w:t>
                    </w:r>
                    <w:r>
                      <w:rPr>
                        <w:sz w:val="18"/>
                      </w:rPr>
                      <w:tab/>
                      <w:t>3</w:t>
                    </w:r>
                    <w:r>
                      <w:rPr>
                        <w:sz w:val="18"/>
                      </w:rPr>
                      <w:tab/>
                      <w:t>4</w:t>
                    </w:r>
                  </w:p>
                </w:txbxContent>
              </v:textbox>
            </v:shape>
            <v:shape id="docshape111" o:spid="_x0000_s1060" type="#_x0000_t202" alt="Figure 4. Percent of Opioid-Related Overdose Deaths with Specific Drugs Present in Massachusetts Residents: 2014-2020" style="position:absolute;left:2304;top:5791;width:373;height:184;mso-wrap-style:square;v-text-anchor:top" filled="f" stroked="f">
              <v:textbox inset="0,0,0,0">
                <w:txbxContent>
                  <w:p w14:paraId="1E08A824" w14:textId="77777777" w:rsidR="0068593A" w:rsidRDefault="00422AE8">
                    <w:pPr>
                      <w:spacing w:line="176" w:lineRule="exac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2014</w:t>
                    </w:r>
                  </w:p>
                </w:txbxContent>
              </v:textbox>
            </v:shape>
            <v:shape id="docshape112" o:spid="_x0000_s1061" type="#_x0000_t202" alt="Figure 4. Percent of Opioid-Related Overdose Deaths with Specific Drugs Present in Massachusetts Residents: 2014-2020" style="position:absolute;left:3599;top:5791;width:373;height:184;mso-wrap-style:square;v-text-anchor:top" filled="f" stroked="f">
              <v:textbox inset="0,0,0,0">
                <w:txbxContent>
                  <w:p w14:paraId="7143D751" w14:textId="77777777" w:rsidR="0068593A" w:rsidRDefault="00422AE8">
                    <w:pPr>
                      <w:spacing w:line="176" w:lineRule="exac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2015</w:t>
                    </w:r>
                  </w:p>
                </w:txbxContent>
              </v:textbox>
            </v:shape>
            <v:shape id="docshape113" o:spid="_x0000_s1062" type="#_x0000_t202" alt="Figure 4. Percent of Opioid-Related Overdose Deaths with Specific Drugs Present in Massachusetts Residents: 2014-2020" style="position:absolute;left:4894;top:5791;width:373;height:184;mso-wrap-style:square;v-text-anchor:top" filled="f" stroked="f">
              <v:textbox inset="0,0,0,0">
                <w:txbxContent>
                  <w:p w14:paraId="17E2816B" w14:textId="77777777" w:rsidR="0068593A" w:rsidRDefault="00422AE8">
                    <w:pPr>
                      <w:spacing w:line="176" w:lineRule="exac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2016</w:t>
                    </w:r>
                  </w:p>
                </w:txbxContent>
              </v:textbox>
            </v:shape>
            <v:shape id="docshape114" o:spid="_x0000_s1063" type="#_x0000_t202" alt="Figure 4. Percent of Opioid-Related Overdose Deaths with Specific Drugs Present in Massachusetts Residents: 2014-2020" style="position:absolute;left:6189;top:5791;width:373;height:184;mso-wrap-style:square;v-text-anchor:top" filled="f" stroked="f">
              <v:textbox inset="0,0,0,0">
                <w:txbxContent>
                  <w:p w14:paraId="72FF4C0F" w14:textId="77777777" w:rsidR="0068593A" w:rsidRDefault="00422AE8">
                    <w:pPr>
                      <w:spacing w:line="176" w:lineRule="exac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2017</w:t>
                    </w:r>
                  </w:p>
                </w:txbxContent>
              </v:textbox>
            </v:shape>
            <v:shape id="docshape115" o:spid="_x0000_s1064" type="#_x0000_t202" alt="Figure 4. Percent of Opioid-Related Overdose Deaths with Specific Drugs Present in Massachusetts Residents: 2014-2020" style="position:absolute;left:7484;top:5791;width:373;height:184;mso-wrap-style:square;v-text-anchor:top" filled="f" stroked="f">
              <v:textbox inset="0,0,0,0">
                <w:txbxContent>
                  <w:p w14:paraId="2C1CCCE7" w14:textId="77777777" w:rsidR="0068593A" w:rsidRDefault="00422AE8">
                    <w:pPr>
                      <w:spacing w:line="176" w:lineRule="exac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2018</w:t>
                    </w:r>
                  </w:p>
                </w:txbxContent>
              </v:textbox>
            </v:shape>
            <v:shape id="docshape116" o:spid="_x0000_s1065" type="#_x0000_t202" alt="Figure 4. Percent of Opioid-Related Overdose Deaths with Specific Drugs Present in Massachusetts Residents: 2014-2020" style="position:absolute;left:8779;top:5791;width:373;height:184;mso-wrap-style:square;v-text-anchor:top" filled="f" stroked="f">
              <v:textbox inset="0,0,0,0">
                <w:txbxContent>
                  <w:p w14:paraId="1E088525" w14:textId="77777777" w:rsidR="0068593A" w:rsidRDefault="00422AE8">
                    <w:pPr>
                      <w:spacing w:line="176" w:lineRule="exac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2019</w:t>
                    </w:r>
                  </w:p>
                </w:txbxContent>
              </v:textbox>
            </v:shape>
            <v:shape id="docshape117" o:spid="_x0000_s1066" type="#_x0000_t202" alt="Figure 4. Percent of Opioid-Related Overdose Deaths with Specific Drugs Present in Massachusetts Residents: 2014-2020" style="position:absolute;left:10074;top:5791;width:373;height:184;mso-wrap-style:square;v-text-anchor:top" filled="f" stroked="f">
              <v:textbox inset="0,0,0,0">
                <w:txbxContent>
                  <w:p w14:paraId="433BB5A2" w14:textId="77777777" w:rsidR="0068593A" w:rsidRDefault="00422AE8">
                    <w:pPr>
                      <w:spacing w:line="176" w:lineRule="exac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2020</w:t>
                    </w:r>
                  </w:p>
                </w:txbxContent>
              </v:textbox>
            </v:shape>
            <v:shape id="docshape118" o:spid="_x0000_s1067" type="#_x0000_t202" alt="Figure 4. Percent of Opioid-Related Overdose Deaths with Specific Drugs Present in Massachusetts Residents: 2014-2020" style="position:absolute;left:6108;top:6262;width:1265;height:184;mso-wrap-style:square;v-text-anchor:top" filled="f" stroked="f">
              <v:textbox inset="0,0,0,0">
                <w:txbxContent>
                  <w:p w14:paraId="6461AF69" w14:textId="77777777" w:rsidR="0068593A" w:rsidRDefault="00422AE8">
                    <w:pPr>
                      <w:spacing w:line="176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85"/>
                        <w:sz w:val="18"/>
                      </w:rPr>
                      <w:t>Year and</w:t>
                    </w:r>
                    <w:r>
                      <w:rPr>
                        <w:b/>
                        <w:spacing w:val="-3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18"/>
                      </w:rPr>
                      <w:t>Quarter</w:t>
                    </w:r>
                  </w:p>
                </w:txbxContent>
              </v:textbox>
            </v:shape>
            <v:shape id="docshape119" o:spid="_x0000_s1068" type="#_x0000_t202" alt="Figure 4. Percent of Opioid-Related Overdose Deaths with Specific Drugs Present in Massachusetts Residents: 2014-2020" style="position:absolute;left:11059;top:2493;width:1991;height:2239;mso-wrap-style:square;v-text-anchor:top" filled="f" strokecolor="#4f81bc" strokeweight=".23628mm">
              <v:textbox inset="0,0,0,0">
                <w:txbxContent>
                  <w:p w14:paraId="34B764C7" w14:textId="77777777" w:rsidR="0068593A" w:rsidRDefault="00422AE8">
                    <w:pPr>
                      <w:spacing w:before="62" w:line="432" w:lineRule="auto"/>
                      <w:ind w:left="470" w:right="38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Fentanyl¹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Likely</w:t>
                    </w:r>
                    <w:r>
                      <w:rPr>
                        <w:spacing w:val="5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Heroin</w:t>
                    </w:r>
                  </w:p>
                  <w:p w14:paraId="7AA1F411" w14:textId="77777777" w:rsidR="0068593A" w:rsidRDefault="00422AE8">
                    <w:pPr>
                      <w:spacing w:before="1" w:line="432" w:lineRule="auto"/>
                      <w:ind w:left="470" w:right="85"/>
                      <w:rPr>
                        <w:sz w:val="18"/>
                      </w:rPr>
                    </w:pPr>
                    <w:r>
                      <w:rPr>
                        <w:spacing w:val="-1"/>
                        <w:w w:val="90"/>
                        <w:sz w:val="18"/>
                      </w:rPr>
                      <w:t>Prescription Opioid²</w:t>
                    </w:r>
                    <w:r>
                      <w:rPr>
                        <w:spacing w:val="-4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Benzodiazepine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Cocaine</w:t>
                    </w:r>
                  </w:p>
                  <w:p w14:paraId="321D1ED9" w14:textId="77777777" w:rsidR="0068593A" w:rsidRDefault="00422AE8">
                    <w:pPr>
                      <w:spacing w:before="2"/>
                      <w:ind w:left="470"/>
                      <w:rPr>
                        <w:sz w:val="11"/>
                      </w:rPr>
                    </w:pPr>
                    <w:r>
                      <w:rPr>
                        <w:sz w:val="18"/>
                      </w:rPr>
                      <w:t>Amphetamine</w:t>
                    </w:r>
                    <w:r>
                      <w:rPr>
                        <w:position w:val="5"/>
                        <w:sz w:val="11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rPr>
          <w:b w:val="0"/>
          <w:sz w:val="22"/>
        </w:rPr>
        <w:pict w14:anchorId="1E34E83D">
          <v:shape id="docshape98" o:spid="_x0000_s1040" type="#_x0000_t202" alt="" style="position:absolute;left:0;text-align:left;margin-left:57.95pt;margin-top:266.75pt;width:10.65pt;height:31.45pt;z-index:15732736;mso-wrap-style:square;mso-wrap-edited:f;mso-width-percent:0;mso-height-percent:0;mso-position-horizontal-relative:page;mso-position-vertical-relative:page;mso-width-percent:0;mso-height-percent:0;v-text-anchor:top" filled="f" stroked="f">
            <v:textbox style="layout-flow:vertical;mso-layout-flow-alt:bottom-to-top" inset="0,0,0,0">
              <w:txbxContent>
                <w:p w14:paraId="004BC458" w14:textId="77777777" w:rsidR="0068593A" w:rsidRDefault="00422AE8">
                  <w:pPr>
                    <w:spacing w:line="186" w:lineRule="exact"/>
                    <w:ind w:left="20"/>
                    <w:rPr>
                      <w:b/>
                      <w:sz w:val="17"/>
                    </w:rPr>
                  </w:pPr>
                  <w:r>
                    <w:rPr>
                      <w:b/>
                      <w:w w:val="95"/>
                      <w:sz w:val="17"/>
                    </w:rPr>
                    <w:t>Percent</w:t>
                  </w:r>
                </w:p>
              </w:txbxContent>
            </v:textbox>
            <w10:wrap anchorx="page" anchory="page"/>
          </v:shape>
        </w:pict>
      </w:r>
      <w:r w:rsidRPr="006B368D">
        <w:t>Fentanyl</w:t>
      </w:r>
      <w:r w:rsidRPr="006B368D">
        <w:rPr>
          <w:spacing w:val="-40"/>
        </w:rPr>
        <w:t xml:space="preserve"> </w:t>
      </w:r>
      <w:r w:rsidRPr="006B368D">
        <w:rPr>
          <w:spacing w:val="-17"/>
        </w:rPr>
        <w:t>remains</w:t>
      </w:r>
      <w:r w:rsidRPr="006B368D">
        <w:rPr>
          <w:spacing w:val="-44"/>
        </w:rPr>
        <w:t xml:space="preserve"> </w:t>
      </w:r>
      <w:r w:rsidRPr="006B368D">
        <w:t>a</w:t>
      </w:r>
      <w:r w:rsidRPr="006B368D">
        <w:rPr>
          <w:spacing w:val="-38"/>
        </w:rPr>
        <w:t xml:space="preserve"> </w:t>
      </w:r>
      <w:r w:rsidRPr="006B368D">
        <w:rPr>
          <w:spacing w:val="-14"/>
        </w:rPr>
        <w:t>key</w:t>
      </w:r>
      <w:r w:rsidRPr="006B368D">
        <w:rPr>
          <w:spacing w:val="-36"/>
        </w:rPr>
        <w:t xml:space="preserve"> </w:t>
      </w:r>
      <w:r w:rsidRPr="006B368D">
        <w:t>factor</w:t>
      </w:r>
      <w:r w:rsidRPr="006B368D">
        <w:t xml:space="preserve"> </w:t>
      </w:r>
      <w:r w:rsidRPr="006B368D">
        <w:t>in</w:t>
      </w:r>
      <w:r w:rsidRPr="006B368D">
        <w:rPr>
          <w:spacing w:val="-42"/>
        </w:rPr>
        <w:t xml:space="preserve"> </w:t>
      </w:r>
      <w:r w:rsidRPr="006B368D">
        <w:t>opioid-related</w:t>
      </w:r>
      <w:r w:rsidRPr="006B368D">
        <w:rPr>
          <w:spacing w:val="-48"/>
        </w:rPr>
        <w:t xml:space="preserve"> </w:t>
      </w:r>
      <w:r w:rsidRPr="006B368D">
        <w:t>overdose</w:t>
      </w:r>
      <w:r w:rsidRPr="006B368D">
        <w:rPr>
          <w:spacing w:val="-41"/>
        </w:rPr>
        <w:t xml:space="preserve"> </w:t>
      </w:r>
      <w:r w:rsidRPr="006B368D">
        <w:rPr>
          <w:spacing w:val="-17"/>
        </w:rPr>
        <w:t>deaths</w:t>
      </w:r>
      <w:r w:rsidR="006B368D">
        <w:rPr>
          <w:spacing w:val="-17"/>
        </w:rPr>
        <w:t xml:space="preserve"> </w:t>
      </w:r>
      <w:r w:rsidRPr="006B368D">
        <w:rPr>
          <w:spacing w:val="-16"/>
        </w:rPr>
        <w:t>(92%</w:t>
      </w:r>
      <w:r w:rsidRPr="006B368D">
        <w:rPr>
          <w:spacing w:val="-40"/>
        </w:rPr>
        <w:t xml:space="preserve"> </w:t>
      </w:r>
      <w:r w:rsidRPr="006B368D">
        <w:t>present</w:t>
      </w:r>
      <w:r w:rsidRPr="006B368D">
        <w:rPr>
          <w:spacing w:val="-38"/>
        </w:rPr>
        <w:t xml:space="preserve"> </w:t>
      </w:r>
      <w:r w:rsidRPr="006B368D">
        <w:rPr>
          <w:spacing w:val="-10"/>
        </w:rPr>
        <w:t>in</w:t>
      </w:r>
      <w:r w:rsidRPr="006B368D">
        <w:rPr>
          <w:spacing w:val="-42"/>
        </w:rPr>
        <w:t xml:space="preserve"> </w:t>
      </w:r>
      <w:r w:rsidRPr="006B368D">
        <w:t>toxicology</w:t>
      </w:r>
      <w:r w:rsidRPr="006B368D">
        <w:rPr>
          <w:spacing w:val="-44"/>
        </w:rPr>
        <w:t xml:space="preserve"> </w:t>
      </w:r>
      <w:r w:rsidRPr="006B368D">
        <w:t>screen</w:t>
      </w:r>
      <w:r w:rsidRPr="006B368D">
        <w:rPr>
          <w:spacing w:val="-40"/>
        </w:rPr>
        <w:t xml:space="preserve"> </w:t>
      </w:r>
      <w:r w:rsidRPr="006B368D">
        <w:rPr>
          <w:spacing w:val="-10"/>
        </w:rPr>
        <w:t>in</w:t>
      </w:r>
      <w:r w:rsidRPr="006B368D">
        <w:rPr>
          <w:spacing w:val="-39"/>
        </w:rPr>
        <w:t xml:space="preserve"> </w:t>
      </w:r>
      <w:r w:rsidRPr="006B368D">
        <w:t>2020).</w:t>
      </w:r>
    </w:p>
    <w:p w14:paraId="1DA7FFED" w14:textId="77777777" w:rsidR="0068593A" w:rsidRPr="006B368D" w:rsidRDefault="0068593A">
      <w:pPr>
        <w:jc w:val="center"/>
        <w:rPr>
          <w:color w:val="000000" w:themeColor="text1"/>
          <w:sz w:val="48"/>
        </w:rPr>
        <w:sectPr w:rsidR="0068593A" w:rsidRPr="006B368D">
          <w:headerReference w:type="default" r:id="rId10"/>
          <w:pgSz w:w="14400" w:h="10800" w:orient="landscape"/>
          <w:pgMar w:top="1440" w:right="200" w:bottom="280" w:left="40" w:header="0" w:footer="0" w:gutter="0"/>
          <w:cols w:space="720"/>
        </w:sectPr>
      </w:pPr>
    </w:p>
    <w:p w14:paraId="3836E5D4" w14:textId="194E669A" w:rsidR="0068593A" w:rsidRPr="006B368D" w:rsidRDefault="00422AE8" w:rsidP="006B368D">
      <w:pPr>
        <w:pStyle w:val="Heading2"/>
        <w:rPr>
          <w:sz w:val="40"/>
        </w:rPr>
      </w:pPr>
      <w:r w:rsidRPr="006B368D">
        <w:rPr>
          <w:sz w:val="40"/>
        </w:rPr>
        <w:lastRenderedPageBreak/>
        <w:t>Between</w:t>
      </w:r>
      <w:r w:rsidRPr="006B368D">
        <w:rPr>
          <w:spacing w:val="-42"/>
          <w:sz w:val="40"/>
        </w:rPr>
        <w:t xml:space="preserve"> </w:t>
      </w:r>
      <w:r w:rsidRPr="006B368D">
        <w:rPr>
          <w:spacing w:val="-15"/>
          <w:sz w:val="40"/>
        </w:rPr>
        <w:t>2019</w:t>
      </w:r>
      <w:r w:rsidRPr="006B368D">
        <w:rPr>
          <w:spacing w:val="-42"/>
          <w:sz w:val="40"/>
        </w:rPr>
        <w:t xml:space="preserve"> </w:t>
      </w:r>
      <w:r w:rsidRPr="006B368D">
        <w:rPr>
          <w:sz w:val="40"/>
        </w:rPr>
        <w:t>&amp;</w:t>
      </w:r>
      <w:r w:rsidRPr="006B368D">
        <w:rPr>
          <w:spacing w:val="-36"/>
          <w:sz w:val="40"/>
        </w:rPr>
        <w:t xml:space="preserve"> </w:t>
      </w:r>
      <w:r w:rsidRPr="006B368D">
        <w:t>2020,</w:t>
      </w:r>
      <w:r w:rsidRPr="006B368D">
        <w:t xml:space="preserve"> </w:t>
      </w:r>
      <w:r w:rsidRPr="006B368D">
        <w:t>the</w:t>
      </w:r>
      <w:r w:rsidRPr="006B368D">
        <w:t xml:space="preserve"> </w:t>
      </w:r>
      <w:r w:rsidRPr="006B368D">
        <w:t>confirmed</w:t>
      </w:r>
      <w:r w:rsidRPr="006B368D">
        <w:t xml:space="preserve"> </w:t>
      </w:r>
      <w:r w:rsidRPr="006B368D">
        <w:t>opioid-related</w:t>
      </w:r>
      <w:r w:rsidRPr="006B368D">
        <w:t xml:space="preserve"> </w:t>
      </w:r>
      <w:r w:rsidRPr="006B368D">
        <w:t>overdose</w:t>
      </w:r>
      <w:r w:rsidRPr="006B368D">
        <w:t xml:space="preserve"> </w:t>
      </w:r>
      <w:r w:rsidRPr="006B368D">
        <w:t>death</w:t>
      </w:r>
      <w:r w:rsidRPr="006B368D">
        <w:t xml:space="preserve"> </w:t>
      </w:r>
      <w:r w:rsidRPr="006B368D">
        <w:t>rates</w:t>
      </w:r>
      <w:r w:rsidRPr="006B368D">
        <w:t xml:space="preserve"> </w:t>
      </w:r>
      <w:r w:rsidRPr="006B368D">
        <w:t>for</w:t>
      </w:r>
      <w:r w:rsidR="006B368D" w:rsidRPr="006B368D">
        <w:t xml:space="preserve"> </w:t>
      </w:r>
      <w:r w:rsidRPr="006B368D">
        <w:t>Black</w:t>
      </w:r>
      <w:r w:rsidRPr="006B368D">
        <w:t xml:space="preserve"> </w:t>
      </w:r>
      <w:r w:rsidRPr="006B368D">
        <w:t>n</w:t>
      </w:r>
      <w:r w:rsidRPr="006B368D">
        <w:rPr>
          <w:spacing w:val="-19"/>
          <w:sz w:val="40"/>
        </w:rPr>
        <w:t>on-Hispanic</w:t>
      </w:r>
      <w:r w:rsidRPr="006B368D">
        <w:rPr>
          <w:spacing w:val="-47"/>
          <w:sz w:val="40"/>
        </w:rPr>
        <w:t xml:space="preserve"> </w:t>
      </w:r>
      <w:r w:rsidRPr="006B368D">
        <w:rPr>
          <w:spacing w:val="-14"/>
          <w:sz w:val="40"/>
        </w:rPr>
        <w:t>men</w:t>
      </w:r>
      <w:r w:rsidRPr="006B368D">
        <w:rPr>
          <w:spacing w:val="-38"/>
          <w:sz w:val="40"/>
        </w:rPr>
        <w:t xml:space="preserve"> </w:t>
      </w:r>
      <w:r w:rsidRPr="006B368D">
        <w:rPr>
          <w:sz w:val="40"/>
        </w:rPr>
        <w:t>increased</w:t>
      </w:r>
      <w:r w:rsidRPr="006B368D">
        <w:rPr>
          <w:spacing w:val="-45"/>
          <w:sz w:val="40"/>
        </w:rPr>
        <w:t xml:space="preserve"> </w:t>
      </w:r>
      <w:r w:rsidRPr="006B368D">
        <w:rPr>
          <w:spacing w:val="-19"/>
          <w:sz w:val="40"/>
        </w:rPr>
        <w:t>significantly</w:t>
      </w:r>
      <w:r w:rsidRPr="006B368D">
        <w:rPr>
          <w:spacing w:val="-44"/>
          <w:sz w:val="40"/>
        </w:rPr>
        <w:t xml:space="preserve"> </w:t>
      </w:r>
      <w:r w:rsidRPr="006B368D">
        <w:rPr>
          <w:spacing w:val="-10"/>
          <w:sz w:val="40"/>
        </w:rPr>
        <w:t>at</w:t>
      </w:r>
      <w:r w:rsidRPr="006B368D">
        <w:rPr>
          <w:spacing w:val="-39"/>
          <w:sz w:val="40"/>
        </w:rPr>
        <w:t xml:space="preserve"> </w:t>
      </w:r>
      <w:r w:rsidRPr="006B368D">
        <w:rPr>
          <w:spacing w:val="-17"/>
          <w:sz w:val="40"/>
        </w:rPr>
        <w:t>69%.</w:t>
      </w:r>
    </w:p>
    <w:p w14:paraId="2D1BD1CE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1F4C92DF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57AB2FFB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5D5C8826" w14:textId="77777777" w:rsidR="0068593A" w:rsidRPr="006B368D" w:rsidRDefault="00422AE8">
      <w:pPr>
        <w:pStyle w:val="BodyText"/>
        <w:spacing w:before="3"/>
        <w:rPr>
          <w:b/>
          <w:color w:val="000000" w:themeColor="text1"/>
          <w:sz w:val="10"/>
        </w:rPr>
      </w:pPr>
      <w:r>
        <w:pict w14:anchorId="21F1CE81">
          <v:group id="docshapegroup120" o:spid="_x0000_s1035" alt="Confirmed Opioid-Related Overdose Death Rates, All Intents, by Race and Hispanic Ethnicity - Males" style="position:absolute;margin-left:92.9pt;margin-top:7.1pt;width:535.8pt;height:336.6pt;z-index:-15724032;mso-wrap-distance-left:0;mso-wrap-distance-right:0;mso-position-horizontal-relative:page" coordorigin="1858,142" coordsize="10716,6732">
            <v:shape id="docshape121" o:spid="_x0000_s1036" type="#_x0000_t75" alt="Confirmed Opioid-Related Overdose Death Rates, All Intents, by Race and Hispanic Ethnicity - Males" style="position:absolute;left:1857;top:142;width:10716;height:6732">
              <v:imagedata r:id="rId11" o:title=""/>
            </v:shape>
            <v:shape id="docshape122" o:spid="_x0000_s1037" alt="Confirmed Opioid-Related Overdose Death Rates, All Intents, by Race and Hispanic Ethnicity - Males" style="position:absolute;left:7615;top:1647;width:240;height:1042" coordorigin="7616,1648" coordsize="240,1042" o:spt="100" adj="0,,0" path="m7621,2644r-5,39l7655,2689r6,-40l7621,2644xm7633,2564r-6,40l7667,2610r5,-40l7633,2564xm7644,2485r-5,40l7678,2531r6,-40l7644,2485xm7656,2406r-6,40l7690,2451r5,-39l7656,2406xm7667,2327r-5,40l7701,2372r6,-39l7667,2327xm7679,2248r-6,39l7713,2293r5,-39l7679,2248xm7690,2169r-5,39l7724,2214r6,-40l7690,2169xm7702,2089r-6,40l7736,2135r5,-40l7702,2089xm7713,2010r-6,40l7747,2056r6,-40l7713,2010xm7725,1931r-6,40l7759,1976r5,-39l7725,1931xm7736,1852r-6,39l7770,1897r6,-39l7736,1852xm7779,1737r35,86l7818,1834r12,5l7840,1834r10,-4l7855,1819r-4,-11l7823,1739r-30,l7779,1737xm7786,1648r-115,144l7673,1805r8,6l7690,1818r13,-1l7709,1808r59,-73l7753,1733r6,-39l7805,1694r-19,-46xm7748,1773r-6,39l7782,1818r5,-40l7748,1773xm7766,1695r-4,l7796,1700r-21,26l7779,1737r14,2l7799,1699r-33,-4xm7805,1694r-46,l7799,1699r-6,40l7823,1739r-18,-45xm7775,1726r-7,9l7779,1737r-4,-11xm7759,1694r-6,39l7768,1735r7,-9l7762,1695r4,l7759,1694xm7762,1695r13,31l7796,1700r-34,-5xe" fillcolor="#a6a6a6" stroked="f">
              <v:stroke joinstyle="round"/>
              <v:formulas/>
              <v:path arrowok="t" o:connecttype="segments"/>
            </v:shape>
            <v:shape id="docshape123" o:spid="_x0000_s1038" type="#_x0000_t75" alt="Confirmed Opioid-Related Overdose Death Rates, All Intents, by Race and Hispanic Ethnicity - Males" style="position:absolute;left:11993;top:5172;width:348;height:284">
              <v:imagedata r:id="rId12" o:title=""/>
            </v:shape>
            <v:shape id="docshape124" o:spid="_x0000_s1039" alt="Confirmed Opioid-Related Overdose Death Rates, All Intents, by Race and Hispanic Ethnicity - Males" style="position:absolute;left:5910;top:873;width:4430;height:1058" coordorigin="5910,873" coordsize="4430,1058" o:spt="100" adj="0,,0" path="m5963,1666r-36,-17l5910,1686r37,16l5963,1666xm6036,1700r-36,-17l5983,1719r36,17l6036,1700xm6109,1733r-37,-17l6056,1753r36,16l6109,1733xm6181,1766r-36,-16l6128,1786r37,17l6181,1766xm6254,1800r-36,-17l6201,1819r36,17l6254,1800xm6327,1833r-37,-16l6274,1853r36,17l6327,1833xm6452,1913r-3,-5l6426,1876r-18,-26l6353,1771r-7,-9l6334,1760r-9,6l6316,1773r-2,12l6320,1794r42,60l6348,1883r-83,8l6257,1901r1,12l6259,1923r10,8l6452,1913xm9865,1067r-10,-39l9816,1038r11,39l9865,1067xm9943,1047r-10,-39l9894,1018r10,39l9943,1047xm10020,1027r-10,-39l9971,998r10,39l10020,1027xm10097,1006r-10,-38l10049,978r10,39l10097,1006xm10175,986r-10,-38l10126,958r10,38l10175,986xm10340,923r-33,-10l10263,901r,42l10250,956r-5,-18l10263,943r,-42l10163,873r-11,6l10146,900r6,11l10225,932r-21,6l10214,976r21,-5l10181,1024r,13l10189,1045r8,8l10209,1053r97,-97l10340,923xe" fillcolor="#a6a6a6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41DFFD16" w14:textId="77777777" w:rsidR="0068593A" w:rsidRPr="006B368D" w:rsidRDefault="0068593A">
      <w:pPr>
        <w:rPr>
          <w:color w:val="000000" w:themeColor="text1"/>
          <w:sz w:val="10"/>
        </w:rPr>
        <w:sectPr w:rsidR="0068593A" w:rsidRPr="006B368D">
          <w:pgSz w:w="14400" w:h="10800" w:orient="landscape"/>
          <w:pgMar w:top="1440" w:right="200" w:bottom="280" w:left="40" w:header="0" w:footer="0" w:gutter="0"/>
          <w:cols w:space="720"/>
        </w:sectPr>
      </w:pPr>
    </w:p>
    <w:p w14:paraId="48FD0251" w14:textId="77777777" w:rsidR="0068593A" w:rsidRPr="006B368D" w:rsidRDefault="00422AE8">
      <w:pPr>
        <w:pStyle w:val="BodyText"/>
        <w:rPr>
          <w:b/>
          <w:color w:val="000000" w:themeColor="text1"/>
          <w:sz w:val="20"/>
        </w:rPr>
      </w:pPr>
      <w:r>
        <w:lastRenderedPageBreak/>
        <w:pict w14:anchorId="191650A7">
          <v:group id="docshapegroup125" o:spid="_x0000_s1032" alt="&quot;&quot;" style="position:absolute;margin-left:0;margin-top:0;width:10in;height:72.5pt;z-index:-15995392;mso-position-horizontal-relative:page;mso-position-vertical-relative:page" coordsize="14400,1450">
            <v:rect id="docshape126" o:spid="_x0000_s1033" alt="&quot;&quot;" style="position:absolute;top:-1;width:14400;height:856" fillcolor="#92a199" stroked="f"/>
            <v:shape id="docshape127" o:spid="_x0000_s1034" type="#_x0000_t75" alt="&quot;&quot;" style="position:absolute;left:12803;top:14;width:1436;height:1436">
              <v:imagedata r:id="rId7" o:title=""/>
            </v:shape>
            <w10:wrap anchorx="page" anchory="page"/>
          </v:group>
        </w:pict>
      </w:r>
    </w:p>
    <w:p w14:paraId="2D4EC8A6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42745F5F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057B9BE7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72189EF8" w14:textId="77777777" w:rsidR="0068593A" w:rsidRPr="006B368D" w:rsidRDefault="0068593A">
      <w:pPr>
        <w:pStyle w:val="BodyText"/>
        <w:rPr>
          <w:b/>
          <w:color w:val="000000" w:themeColor="text1"/>
          <w:sz w:val="20"/>
        </w:rPr>
      </w:pPr>
    </w:p>
    <w:p w14:paraId="359776D2" w14:textId="77777777" w:rsidR="0068593A" w:rsidRPr="006B368D" w:rsidRDefault="00422AE8" w:rsidP="006B368D">
      <w:pPr>
        <w:pStyle w:val="Heading2"/>
      </w:pPr>
      <w:r w:rsidRPr="006B368D">
        <w:rPr>
          <w:spacing w:val="-19"/>
        </w:rPr>
        <w:t>DPH/BSAS</w:t>
      </w:r>
      <w:r w:rsidRPr="006B368D">
        <w:t xml:space="preserve"> </w:t>
      </w:r>
      <w:r w:rsidRPr="006B368D">
        <w:rPr>
          <w:spacing w:val="-10"/>
        </w:rPr>
        <w:t>is</w:t>
      </w:r>
      <w:r w:rsidRPr="006B368D">
        <w:t xml:space="preserve"> </w:t>
      </w:r>
      <w:r w:rsidRPr="006B368D">
        <w:rPr>
          <w:spacing w:val="-19"/>
        </w:rPr>
        <w:t>implementing</w:t>
      </w:r>
      <w:r w:rsidRPr="006B368D">
        <w:t xml:space="preserve"> </w:t>
      </w:r>
      <w:r w:rsidRPr="006B368D">
        <w:rPr>
          <w:spacing w:val="-14"/>
        </w:rPr>
        <w:t>new</w:t>
      </w:r>
      <w:r w:rsidRPr="006B368D">
        <w:t xml:space="preserve"> </w:t>
      </w:r>
      <w:r w:rsidRPr="006B368D">
        <w:t>investments</w:t>
      </w:r>
      <w:r w:rsidRPr="006B368D">
        <w:t xml:space="preserve"> </w:t>
      </w:r>
      <w:r w:rsidRPr="006B368D">
        <w:rPr>
          <w:spacing w:val="-10"/>
        </w:rPr>
        <w:t>to</w:t>
      </w:r>
      <w:r w:rsidRPr="006B368D">
        <w:t xml:space="preserve"> </w:t>
      </w:r>
      <w:r w:rsidRPr="006B368D">
        <w:t>enhance</w:t>
      </w:r>
      <w:r w:rsidRPr="006B368D">
        <w:rPr>
          <w:spacing w:val="1"/>
        </w:rPr>
        <w:t xml:space="preserve"> </w:t>
      </w:r>
      <w:r w:rsidRPr="006B368D">
        <w:t>treatment</w:t>
      </w:r>
      <w:r w:rsidRPr="006B368D">
        <w:rPr>
          <w:spacing w:val="-41"/>
        </w:rPr>
        <w:t xml:space="preserve"> </w:t>
      </w:r>
      <w:r w:rsidRPr="006B368D">
        <w:rPr>
          <w:spacing w:val="-14"/>
        </w:rPr>
        <w:t>and</w:t>
      </w:r>
      <w:r w:rsidRPr="006B368D">
        <w:rPr>
          <w:spacing w:val="-38"/>
        </w:rPr>
        <w:t xml:space="preserve"> </w:t>
      </w:r>
      <w:r w:rsidRPr="006B368D">
        <w:t>recovery</w:t>
      </w:r>
      <w:r w:rsidRPr="006B368D">
        <w:rPr>
          <w:spacing w:val="-35"/>
        </w:rPr>
        <w:t xml:space="preserve"> </w:t>
      </w:r>
      <w:r w:rsidRPr="006B368D">
        <w:t>support,</w:t>
      </w:r>
      <w:r w:rsidRPr="006B368D">
        <w:rPr>
          <w:spacing w:val="-44"/>
        </w:rPr>
        <w:t xml:space="preserve"> </w:t>
      </w:r>
      <w:r w:rsidRPr="006B368D">
        <w:rPr>
          <w:spacing w:val="-19"/>
        </w:rPr>
        <w:t>particularly</w:t>
      </w:r>
      <w:r w:rsidRPr="006B368D">
        <w:rPr>
          <w:spacing w:val="-43"/>
        </w:rPr>
        <w:t xml:space="preserve"> </w:t>
      </w:r>
      <w:r w:rsidRPr="006B368D">
        <w:rPr>
          <w:spacing w:val="-10"/>
        </w:rPr>
        <w:t>in</w:t>
      </w:r>
      <w:r w:rsidRPr="006B368D">
        <w:rPr>
          <w:spacing w:val="-37"/>
        </w:rPr>
        <w:t xml:space="preserve"> </w:t>
      </w:r>
      <w:r w:rsidRPr="006B368D">
        <w:rPr>
          <w:spacing w:val="-19"/>
        </w:rPr>
        <w:t>communities</w:t>
      </w:r>
      <w:r w:rsidRPr="006B368D">
        <w:rPr>
          <w:spacing w:val="-43"/>
        </w:rPr>
        <w:t xml:space="preserve"> </w:t>
      </w:r>
      <w:r w:rsidRPr="006B368D">
        <w:rPr>
          <w:spacing w:val="-10"/>
        </w:rPr>
        <w:t>of</w:t>
      </w:r>
      <w:r w:rsidRPr="006B368D">
        <w:rPr>
          <w:spacing w:val="-130"/>
        </w:rPr>
        <w:t xml:space="preserve"> </w:t>
      </w:r>
      <w:r w:rsidRPr="006B368D">
        <w:t>color</w:t>
      </w:r>
    </w:p>
    <w:p w14:paraId="0EB63155" w14:textId="77777777" w:rsidR="0068593A" w:rsidRPr="006B368D" w:rsidRDefault="00422AE8">
      <w:pPr>
        <w:pStyle w:val="ListParagraph"/>
        <w:numPr>
          <w:ilvl w:val="0"/>
          <w:numId w:val="2"/>
        </w:numPr>
        <w:tabs>
          <w:tab w:val="left" w:pos="556"/>
        </w:tabs>
        <w:spacing w:before="380" w:line="249" w:lineRule="auto"/>
        <w:ind w:right="119"/>
        <w:rPr>
          <w:color w:val="000000" w:themeColor="text1"/>
          <w:sz w:val="36"/>
        </w:rPr>
      </w:pPr>
      <w:r w:rsidRPr="006B368D">
        <w:rPr>
          <w:color w:val="000000" w:themeColor="text1"/>
          <w:sz w:val="36"/>
        </w:rPr>
        <w:t>BSAS is dedicating a significant portion of supplemental funding from SAMHSA’s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Substance Abuse Prevention &amp; Treatment Block Grant towards addressing racial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equity,</w:t>
      </w:r>
      <w:r w:rsidRPr="006B368D">
        <w:rPr>
          <w:color w:val="000000" w:themeColor="text1"/>
          <w:spacing w:val="5"/>
          <w:sz w:val="36"/>
        </w:rPr>
        <w:t xml:space="preserve"> </w:t>
      </w:r>
      <w:r w:rsidRPr="006B368D">
        <w:rPr>
          <w:color w:val="000000" w:themeColor="text1"/>
          <w:sz w:val="36"/>
        </w:rPr>
        <w:t>including:</w:t>
      </w:r>
    </w:p>
    <w:p w14:paraId="7E8F3196" w14:textId="77777777" w:rsidR="0068593A" w:rsidRPr="006B368D" w:rsidRDefault="00422AE8">
      <w:pPr>
        <w:pStyle w:val="ListParagraph"/>
        <w:numPr>
          <w:ilvl w:val="1"/>
          <w:numId w:val="2"/>
        </w:numPr>
        <w:tabs>
          <w:tab w:val="left" w:pos="1276"/>
        </w:tabs>
        <w:spacing w:before="14" w:line="232" w:lineRule="auto"/>
        <w:ind w:right="118"/>
        <w:rPr>
          <w:color w:val="000000" w:themeColor="text1"/>
          <w:sz w:val="36"/>
        </w:rPr>
      </w:pPr>
      <w:r w:rsidRPr="006B368D">
        <w:rPr>
          <w:color w:val="000000" w:themeColor="text1"/>
          <w:sz w:val="36"/>
        </w:rPr>
        <w:t>Increasing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behavioral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healthcare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workforce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diversity,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recruitment,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and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retention</w:t>
      </w:r>
      <w:r w:rsidRPr="006B368D">
        <w:rPr>
          <w:b/>
          <w:color w:val="000000" w:themeColor="text1"/>
          <w:spacing w:val="-1"/>
          <w:sz w:val="36"/>
        </w:rPr>
        <w:t xml:space="preserve"> </w:t>
      </w:r>
      <w:r w:rsidRPr="006B368D">
        <w:rPr>
          <w:color w:val="000000" w:themeColor="text1"/>
          <w:sz w:val="36"/>
        </w:rPr>
        <w:t>through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workforce</w:t>
      </w:r>
      <w:r w:rsidRPr="006B368D">
        <w:rPr>
          <w:color w:val="000000" w:themeColor="text1"/>
          <w:spacing w:val="10"/>
          <w:sz w:val="36"/>
        </w:rPr>
        <w:t xml:space="preserve"> </w:t>
      </w:r>
      <w:r w:rsidRPr="006B368D">
        <w:rPr>
          <w:color w:val="000000" w:themeColor="text1"/>
          <w:sz w:val="36"/>
        </w:rPr>
        <w:t>development</w:t>
      </w:r>
      <w:r w:rsidRPr="006B368D">
        <w:rPr>
          <w:color w:val="000000" w:themeColor="text1"/>
          <w:spacing w:val="5"/>
          <w:sz w:val="36"/>
        </w:rPr>
        <w:t xml:space="preserve"> </w:t>
      </w:r>
      <w:r w:rsidRPr="006B368D">
        <w:rPr>
          <w:color w:val="000000" w:themeColor="text1"/>
          <w:sz w:val="36"/>
        </w:rPr>
        <w:t>initiatives</w:t>
      </w:r>
    </w:p>
    <w:p w14:paraId="566E5209" w14:textId="77777777" w:rsidR="0068593A" w:rsidRPr="006B368D" w:rsidRDefault="00422AE8">
      <w:pPr>
        <w:pStyle w:val="ListParagraph"/>
        <w:numPr>
          <w:ilvl w:val="1"/>
          <w:numId w:val="2"/>
        </w:numPr>
        <w:tabs>
          <w:tab w:val="left" w:pos="1276"/>
        </w:tabs>
        <w:spacing w:before="20" w:line="242" w:lineRule="auto"/>
        <w:rPr>
          <w:color w:val="000000" w:themeColor="text1"/>
          <w:sz w:val="36"/>
        </w:rPr>
      </w:pPr>
      <w:r w:rsidRPr="006B368D">
        <w:rPr>
          <w:b/>
          <w:color w:val="000000" w:themeColor="text1"/>
          <w:sz w:val="36"/>
        </w:rPr>
        <w:t>Funding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community-led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programming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in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communities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of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color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through</w:t>
      </w:r>
      <w:r w:rsidRPr="006B368D">
        <w:rPr>
          <w:color w:val="000000" w:themeColor="text1"/>
          <w:spacing w:val="-98"/>
          <w:sz w:val="36"/>
        </w:rPr>
        <w:t xml:space="preserve"> </w:t>
      </w:r>
      <w:r w:rsidRPr="006B368D">
        <w:rPr>
          <w:color w:val="000000" w:themeColor="text1"/>
          <w:sz w:val="36"/>
        </w:rPr>
        <w:t>grant making and support for increasing community-based organizations’ ability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to</w:t>
      </w:r>
      <w:r w:rsidRPr="006B368D">
        <w:rPr>
          <w:color w:val="000000" w:themeColor="text1"/>
          <w:spacing w:val="-1"/>
          <w:sz w:val="36"/>
        </w:rPr>
        <w:t xml:space="preserve"> </w:t>
      </w:r>
      <w:r w:rsidRPr="006B368D">
        <w:rPr>
          <w:color w:val="000000" w:themeColor="text1"/>
          <w:sz w:val="36"/>
        </w:rPr>
        <w:t>contract with</w:t>
      </w:r>
      <w:r w:rsidRPr="006B368D">
        <w:rPr>
          <w:color w:val="000000" w:themeColor="text1"/>
          <w:spacing w:val="6"/>
          <w:sz w:val="36"/>
        </w:rPr>
        <w:t xml:space="preserve"> </w:t>
      </w:r>
      <w:r w:rsidRPr="006B368D">
        <w:rPr>
          <w:color w:val="000000" w:themeColor="text1"/>
          <w:sz w:val="36"/>
        </w:rPr>
        <w:t>the</w:t>
      </w:r>
      <w:r w:rsidRPr="006B368D">
        <w:rPr>
          <w:color w:val="000000" w:themeColor="text1"/>
          <w:spacing w:val="-3"/>
          <w:sz w:val="36"/>
        </w:rPr>
        <w:t xml:space="preserve"> </w:t>
      </w:r>
      <w:r w:rsidRPr="006B368D">
        <w:rPr>
          <w:color w:val="000000" w:themeColor="text1"/>
          <w:sz w:val="36"/>
        </w:rPr>
        <w:t>Commonwealth</w:t>
      </w:r>
    </w:p>
    <w:p w14:paraId="614DF790" w14:textId="77777777" w:rsidR="0068593A" w:rsidRPr="006B368D" w:rsidRDefault="00422AE8">
      <w:pPr>
        <w:pStyle w:val="ListParagraph"/>
        <w:numPr>
          <w:ilvl w:val="1"/>
          <w:numId w:val="2"/>
        </w:numPr>
        <w:tabs>
          <w:tab w:val="left" w:pos="1276"/>
        </w:tabs>
        <w:spacing w:before="19" w:line="232" w:lineRule="auto"/>
        <w:ind w:right="120"/>
        <w:rPr>
          <w:color w:val="000000" w:themeColor="text1"/>
          <w:sz w:val="36"/>
        </w:rPr>
      </w:pPr>
      <w:r w:rsidRPr="006B368D">
        <w:rPr>
          <w:b/>
          <w:color w:val="000000" w:themeColor="text1"/>
          <w:sz w:val="36"/>
        </w:rPr>
        <w:t xml:space="preserve">Increasing the number of </w:t>
      </w:r>
      <w:proofErr w:type="gramStart"/>
      <w:r w:rsidRPr="006B368D">
        <w:rPr>
          <w:b/>
          <w:color w:val="000000" w:themeColor="text1"/>
          <w:sz w:val="36"/>
        </w:rPr>
        <w:t>culturally-specific</w:t>
      </w:r>
      <w:proofErr w:type="gramEnd"/>
      <w:r w:rsidRPr="006B368D">
        <w:rPr>
          <w:b/>
          <w:color w:val="000000" w:themeColor="text1"/>
          <w:sz w:val="36"/>
        </w:rPr>
        <w:t xml:space="preserve"> programs </w:t>
      </w:r>
      <w:r w:rsidRPr="006B368D">
        <w:rPr>
          <w:color w:val="000000" w:themeColor="text1"/>
          <w:sz w:val="36"/>
        </w:rPr>
        <w:t>across the continuum</w:t>
      </w:r>
      <w:r w:rsidRPr="006B368D">
        <w:rPr>
          <w:color w:val="000000" w:themeColor="text1"/>
          <w:spacing w:val="-98"/>
          <w:sz w:val="36"/>
        </w:rPr>
        <w:t xml:space="preserve"> </w:t>
      </w:r>
      <w:r w:rsidRPr="006B368D">
        <w:rPr>
          <w:color w:val="000000" w:themeColor="text1"/>
          <w:sz w:val="36"/>
        </w:rPr>
        <w:t>of</w:t>
      </w:r>
      <w:r w:rsidRPr="006B368D">
        <w:rPr>
          <w:color w:val="000000" w:themeColor="text1"/>
          <w:spacing w:val="-3"/>
          <w:sz w:val="36"/>
        </w:rPr>
        <w:t xml:space="preserve"> </w:t>
      </w:r>
      <w:r w:rsidRPr="006B368D">
        <w:rPr>
          <w:color w:val="000000" w:themeColor="text1"/>
          <w:sz w:val="36"/>
        </w:rPr>
        <w:t>prevention,</w:t>
      </w:r>
      <w:r w:rsidRPr="006B368D">
        <w:rPr>
          <w:color w:val="000000" w:themeColor="text1"/>
          <w:spacing w:val="-1"/>
          <w:sz w:val="36"/>
        </w:rPr>
        <w:t xml:space="preserve"> </w:t>
      </w:r>
      <w:r w:rsidRPr="006B368D">
        <w:rPr>
          <w:color w:val="000000" w:themeColor="text1"/>
          <w:sz w:val="36"/>
        </w:rPr>
        <w:t>outreach/engagement,</w:t>
      </w:r>
      <w:r w:rsidRPr="006B368D">
        <w:rPr>
          <w:color w:val="000000" w:themeColor="text1"/>
          <w:spacing w:val="5"/>
          <w:sz w:val="36"/>
        </w:rPr>
        <w:t xml:space="preserve"> </w:t>
      </w:r>
      <w:r w:rsidRPr="006B368D">
        <w:rPr>
          <w:color w:val="000000" w:themeColor="text1"/>
          <w:sz w:val="36"/>
        </w:rPr>
        <w:t>treatment,</w:t>
      </w:r>
      <w:r w:rsidRPr="006B368D">
        <w:rPr>
          <w:color w:val="000000" w:themeColor="text1"/>
          <w:spacing w:val="-4"/>
          <w:sz w:val="36"/>
        </w:rPr>
        <w:t xml:space="preserve"> </w:t>
      </w:r>
      <w:r w:rsidRPr="006B368D">
        <w:rPr>
          <w:color w:val="000000" w:themeColor="text1"/>
          <w:sz w:val="36"/>
        </w:rPr>
        <w:t>and</w:t>
      </w:r>
      <w:r w:rsidRPr="006B368D">
        <w:rPr>
          <w:color w:val="000000" w:themeColor="text1"/>
          <w:spacing w:val="-1"/>
          <w:sz w:val="36"/>
        </w:rPr>
        <w:t xml:space="preserve"> </w:t>
      </w:r>
      <w:r w:rsidRPr="006B368D">
        <w:rPr>
          <w:color w:val="000000" w:themeColor="text1"/>
          <w:sz w:val="36"/>
        </w:rPr>
        <w:t>recovery</w:t>
      </w:r>
      <w:r w:rsidRPr="006B368D">
        <w:rPr>
          <w:color w:val="000000" w:themeColor="text1"/>
          <w:spacing w:val="-2"/>
          <w:sz w:val="36"/>
        </w:rPr>
        <w:t xml:space="preserve"> </w:t>
      </w:r>
      <w:r w:rsidRPr="006B368D">
        <w:rPr>
          <w:color w:val="000000" w:themeColor="text1"/>
          <w:sz w:val="36"/>
        </w:rPr>
        <w:t>support</w:t>
      </w:r>
      <w:r w:rsidRPr="006B368D">
        <w:rPr>
          <w:color w:val="000000" w:themeColor="text1"/>
          <w:spacing w:val="-2"/>
          <w:sz w:val="36"/>
        </w:rPr>
        <w:t xml:space="preserve"> </w:t>
      </w:r>
      <w:r w:rsidRPr="006B368D">
        <w:rPr>
          <w:color w:val="000000" w:themeColor="text1"/>
          <w:sz w:val="36"/>
        </w:rPr>
        <w:t>services</w:t>
      </w:r>
    </w:p>
    <w:p w14:paraId="071F366B" w14:textId="77777777" w:rsidR="0068593A" w:rsidRPr="006B368D" w:rsidRDefault="00422AE8">
      <w:pPr>
        <w:pStyle w:val="ListParagraph"/>
        <w:numPr>
          <w:ilvl w:val="1"/>
          <w:numId w:val="2"/>
        </w:numPr>
        <w:tabs>
          <w:tab w:val="left" w:pos="1276"/>
        </w:tabs>
        <w:spacing w:before="20" w:line="242" w:lineRule="auto"/>
        <w:ind w:right="119"/>
        <w:rPr>
          <w:color w:val="000000" w:themeColor="text1"/>
          <w:sz w:val="36"/>
        </w:rPr>
      </w:pPr>
      <w:r w:rsidRPr="006B368D">
        <w:rPr>
          <w:b/>
          <w:color w:val="000000" w:themeColor="text1"/>
          <w:sz w:val="36"/>
        </w:rPr>
        <w:t>Increasing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investments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in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pre-arrest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diversion/co-response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models</w:t>
      </w:r>
      <w:r w:rsidRPr="006B368D">
        <w:rPr>
          <w:color w:val="000000" w:themeColor="text1"/>
          <w:sz w:val="36"/>
        </w:rPr>
        <w:t>,</w:t>
      </w:r>
      <w:r w:rsidRPr="006B368D">
        <w:rPr>
          <w:color w:val="000000" w:themeColor="text1"/>
          <w:spacing w:val="1"/>
          <w:sz w:val="36"/>
        </w:rPr>
        <w:t xml:space="preserve"> </w:t>
      </w:r>
      <w:proofErr w:type="gramStart"/>
      <w:r w:rsidRPr="006B368D">
        <w:rPr>
          <w:color w:val="000000" w:themeColor="text1"/>
          <w:sz w:val="36"/>
        </w:rPr>
        <w:t>in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order to</w:t>
      </w:r>
      <w:proofErr w:type="gramEnd"/>
      <w:r w:rsidRPr="006B368D">
        <w:rPr>
          <w:color w:val="000000" w:themeColor="text1"/>
          <w:sz w:val="36"/>
        </w:rPr>
        <w:t xml:space="preserve"> divert people with SUD from the criminal justice system, in partnership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with</w:t>
      </w:r>
      <w:r w:rsidRPr="006B368D">
        <w:rPr>
          <w:color w:val="000000" w:themeColor="text1"/>
          <w:spacing w:val="6"/>
          <w:sz w:val="36"/>
        </w:rPr>
        <w:t xml:space="preserve"> </w:t>
      </w:r>
      <w:r w:rsidRPr="006B368D">
        <w:rPr>
          <w:color w:val="000000" w:themeColor="text1"/>
          <w:sz w:val="36"/>
        </w:rPr>
        <w:t>the</w:t>
      </w:r>
      <w:r w:rsidRPr="006B368D">
        <w:rPr>
          <w:color w:val="000000" w:themeColor="text1"/>
          <w:spacing w:val="-1"/>
          <w:sz w:val="36"/>
        </w:rPr>
        <w:t xml:space="preserve"> </w:t>
      </w:r>
      <w:r w:rsidRPr="006B368D">
        <w:rPr>
          <w:color w:val="000000" w:themeColor="text1"/>
          <w:sz w:val="36"/>
        </w:rPr>
        <w:t>Department</w:t>
      </w:r>
      <w:r w:rsidRPr="006B368D">
        <w:rPr>
          <w:color w:val="000000" w:themeColor="text1"/>
          <w:spacing w:val="3"/>
          <w:sz w:val="36"/>
        </w:rPr>
        <w:t xml:space="preserve"> </w:t>
      </w:r>
      <w:r w:rsidRPr="006B368D">
        <w:rPr>
          <w:color w:val="000000" w:themeColor="text1"/>
          <w:sz w:val="36"/>
        </w:rPr>
        <w:t>of Mental</w:t>
      </w:r>
      <w:r w:rsidRPr="006B368D">
        <w:rPr>
          <w:color w:val="000000" w:themeColor="text1"/>
          <w:spacing w:val="2"/>
          <w:sz w:val="36"/>
        </w:rPr>
        <w:t xml:space="preserve"> </w:t>
      </w:r>
      <w:r w:rsidRPr="006B368D">
        <w:rPr>
          <w:color w:val="000000" w:themeColor="text1"/>
          <w:sz w:val="36"/>
        </w:rPr>
        <w:t>Health</w:t>
      </w:r>
    </w:p>
    <w:p w14:paraId="537757F3" w14:textId="77777777" w:rsidR="0068593A" w:rsidRPr="006B368D" w:rsidRDefault="00422AE8">
      <w:pPr>
        <w:pStyle w:val="ListParagraph"/>
        <w:numPr>
          <w:ilvl w:val="1"/>
          <w:numId w:val="2"/>
        </w:numPr>
        <w:tabs>
          <w:tab w:val="left" w:pos="1276"/>
        </w:tabs>
        <w:spacing w:before="11" w:line="242" w:lineRule="auto"/>
        <w:rPr>
          <w:color w:val="000000" w:themeColor="text1"/>
          <w:sz w:val="36"/>
        </w:rPr>
      </w:pPr>
      <w:r w:rsidRPr="006B368D">
        <w:rPr>
          <w:b/>
          <w:color w:val="000000" w:themeColor="text1"/>
          <w:sz w:val="36"/>
        </w:rPr>
        <w:t>Increasing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funding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for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low-threshold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housing/housing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first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models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in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Suffolk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County,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with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program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expansions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expected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in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Merrimack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Valley,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Springfield,</w:t>
      </w:r>
      <w:r w:rsidRPr="006B368D">
        <w:rPr>
          <w:color w:val="000000" w:themeColor="text1"/>
          <w:spacing w:val="5"/>
          <w:sz w:val="36"/>
        </w:rPr>
        <w:t xml:space="preserve"> </w:t>
      </w:r>
      <w:r w:rsidRPr="006B368D">
        <w:rPr>
          <w:color w:val="000000" w:themeColor="text1"/>
          <w:sz w:val="36"/>
        </w:rPr>
        <w:t>and</w:t>
      </w:r>
      <w:r w:rsidRPr="006B368D">
        <w:rPr>
          <w:color w:val="000000" w:themeColor="text1"/>
          <w:spacing w:val="-2"/>
          <w:sz w:val="36"/>
        </w:rPr>
        <w:t xml:space="preserve"> </w:t>
      </w:r>
      <w:r w:rsidRPr="006B368D">
        <w:rPr>
          <w:color w:val="000000" w:themeColor="text1"/>
          <w:sz w:val="36"/>
        </w:rPr>
        <w:t>Worcester</w:t>
      </w:r>
      <w:r w:rsidRPr="006B368D">
        <w:rPr>
          <w:color w:val="000000" w:themeColor="text1"/>
          <w:spacing w:val="2"/>
          <w:sz w:val="36"/>
        </w:rPr>
        <w:t xml:space="preserve"> </w:t>
      </w:r>
      <w:r w:rsidRPr="006B368D">
        <w:rPr>
          <w:color w:val="000000" w:themeColor="text1"/>
          <w:sz w:val="36"/>
        </w:rPr>
        <w:t>to</w:t>
      </w:r>
      <w:r w:rsidRPr="006B368D">
        <w:rPr>
          <w:color w:val="000000" w:themeColor="text1"/>
          <w:spacing w:val="-4"/>
          <w:sz w:val="36"/>
        </w:rPr>
        <w:t xml:space="preserve"> </w:t>
      </w:r>
      <w:r w:rsidRPr="006B368D">
        <w:rPr>
          <w:color w:val="000000" w:themeColor="text1"/>
          <w:sz w:val="36"/>
        </w:rPr>
        <w:t>address</w:t>
      </w:r>
      <w:r w:rsidRPr="006B368D">
        <w:rPr>
          <w:color w:val="000000" w:themeColor="text1"/>
          <w:spacing w:val="2"/>
          <w:sz w:val="36"/>
        </w:rPr>
        <w:t xml:space="preserve"> </w:t>
      </w:r>
      <w:r w:rsidRPr="006B368D">
        <w:rPr>
          <w:color w:val="000000" w:themeColor="text1"/>
          <w:sz w:val="36"/>
        </w:rPr>
        <w:t>communities</w:t>
      </w:r>
      <w:r w:rsidRPr="006B368D">
        <w:rPr>
          <w:color w:val="000000" w:themeColor="text1"/>
          <w:spacing w:val="5"/>
          <w:sz w:val="36"/>
        </w:rPr>
        <w:t xml:space="preserve"> </w:t>
      </w:r>
      <w:r w:rsidRPr="006B368D">
        <w:rPr>
          <w:color w:val="000000" w:themeColor="text1"/>
          <w:sz w:val="36"/>
        </w:rPr>
        <w:t>in</w:t>
      </w:r>
      <w:r w:rsidRPr="006B368D">
        <w:rPr>
          <w:color w:val="000000" w:themeColor="text1"/>
          <w:spacing w:val="-2"/>
          <w:sz w:val="36"/>
        </w:rPr>
        <w:t xml:space="preserve"> </w:t>
      </w:r>
      <w:r w:rsidRPr="006B368D">
        <w:rPr>
          <w:color w:val="000000" w:themeColor="text1"/>
          <w:sz w:val="36"/>
        </w:rPr>
        <w:t>need</w:t>
      </w:r>
    </w:p>
    <w:p w14:paraId="2475DE25" w14:textId="77777777" w:rsidR="0068593A" w:rsidRPr="006B368D" w:rsidRDefault="0068593A">
      <w:pPr>
        <w:spacing w:line="242" w:lineRule="auto"/>
        <w:jc w:val="both"/>
        <w:rPr>
          <w:color w:val="000000" w:themeColor="text1"/>
          <w:sz w:val="36"/>
        </w:rPr>
        <w:sectPr w:rsidR="0068593A" w:rsidRPr="006B368D">
          <w:headerReference w:type="default" r:id="rId13"/>
          <w:pgSz w:w="14400" w:h="10800" w:orient="landscape"/>
          <w:pgMar w:top="0" w:right="200" w:bottom="280" w:left="40" w:header="0" w:footer="0" w:gutter="0"/>
          <w:cols w:space="720"/>
        </w:sectPr>
      </w:pPr>
    </w:p>
    <w:p w14:paraId="58D7F540" w14:textId="77777777" w:rsidR="0068593A" w:rsidRPr="006B368D" w:rsidRDefault="00422AE8">
      <w:pPr>
        <w:pStyle w:val="BodyText"/>
        <w:rPr>
          <w:color w:val="000000" w:themeColor="text1"/>
          <w:sz w:val="20"/>
        </w:rPr>
      </w:pPr>
      <w:r>
        <w:lastRenderedPageBreak/>
        <w:pict w14:anchorId="70675789">
          <v:group id="docshapegroup128" o:spid="_x0000_s1029" alt="&quot;&quot;" style="position:absolute;margin-left:0;margin-top:0;width:10in;height:72.5pt;z-index:-15994880;mso-position-horizontal-relative:page;mso-position-vertical-relative:page" coordsize="14400,1450">
            <v:rect id="docshape129" o:spid="_x0000_s1030" alt="&quot;&quot;" style="position:absolute;top:-1;width:14400;height:856" fillcolor="#92a199" stroked="f"/>
            <v:shape id="docshape130" o:spid="_x0000_s1031" type="#_x0000_t75" alt="&quot;&quot;" style="position:absolute;left:12803;top:14;width:1436;height:1436">
              <v:imagedata r:id="rId7" o:title=""/>
            </v:shape>
            <w10:wrap anchorx="page" anchory="page"/>
          </v:group>
        </w:pict>
      </w:r>
    </w:p>
    <w:p w14:paraId="6FE880D9" w14:textId="77777777" w:rsidR="0068593A" w:rsidRPr="006B368D" w:rsidRDefault="0068593A">
      <w:pPr>
        <w:pStyle w:val="BodyText"/>
        <w:rPr>
          <w:color w:val="000000" w:themeColor="text1"/>
          <w:sz w:val="20"/>
        </w:rPr>
      </w:pPr>
    </w:p>
    <w:p w14:paraId="45A3F48D" w14:textId="77777777" w:rsidR="0068593A" w:rsidRPr="006B368D" w:rsidRDefault="0068593A">
      <w:pPr>
        <w:pStyle w:val="BodyText"/>
        <w:rPr>
          <w:color w:val="000000" w:themeColor="text1"/>
          <w:sz w:val="20"/>
        </w:rPr>
      </w:pPr>
    </w:p>
    <w:p w14:paraId="3DE99878" w14:textId="77777777" w:rsidR="0068593A" w:rsidRPr="006B368D" w:rsidRDefault="0068593A">
      <w:pPr>
        <w:pStyle w:val="BodyText"/>
        <w:rPr>
          <w:color w:val="000000" w:themeColor="text1"/>
          <w:sz w:val="20"/>
        </w:rPr>
      </w:pPr>
    </w:p>
    <w:p w14:paraId="458B05DD" w14:textId="77777777" w:rsidR="0068593A" w:rsidRPr="006B368D" w:rsidRDefault="0068593A">
      <w:pPr>
        <w:pStyle w:val="BodyText"/>
        <w:rPr>
          <w:color w:val="000000" w:themeColor="text1"/>
          <w:sz w:val="20"/>
        </w:rPr>
      </w:pPr>
    </w:p>
    <w:p w14:paraId="016CDA10" w14:textId="77777777" w:rsidR="0068593A" w:rsidRPr="006B368D" w:rsidRDefault="0068593A">
      <w:pPr>
        <w:pStyle w:val="BodyText"/>
        <w:spacing w:before="1"/>
        <w:rPr>
          <w:color w:val="000000" w:themeColor="text1"/>
          <w:sz w:val="25"/>
        </w:rPr>
      </w:pPr>
    </w:p>
    <w:p w14:paraId="47F64512" w14:textId="77777777" w:rsidR="0068593A" w:rsidRPr="006B368D" w:rsidRDefault="00422AE8" w:rsidP="006B368D">
      <w:pPr>
        <w:pStyle w:val="Heading2"/>
      </w:pPr>
      <w:r w:rsidRPr="006B368D">
        <w:t>DPH/BSAS</w:t>
      </w:r>
      <w:r w:rsidRPr="006B368D">
        <w:rPr>
          <w:spacing w:val="-36"/>
        </w:rPr>
        <w:t xml:space="preserve"> </w:t>
      </w:r>
      <w:r w:rsidRPr="006B368D">
        <w:t>addresses</w:t>
      </w:r>
      <w:r w:rsidRPr="006B368D">
        <w:rPr>
          <w:spacing w:val="-40"/>
        </w:rPr>
        <w:t xml:space="preserve"> </w:t>
      </w:r>
      <w:r w:rsidRPr="006B368D">
        <w:rPr>
          <w:spacing w:val="-17"/>
        </w:rPr>
        <w:t>health</w:t>
      </w:r>
      <w:r w:rsidRPr="006B368D">
        <w:rPr>
          <w:spacing w:val="-43"/>
        </w:rPr>
        <w:t xml:space="preserve"> </w:t>
      </w:r>
      <w:r w:rsidRPr="006B368D">
        <w:rPr>
          <w:spacing w:val="-14"/>
        </w:rPr>
        <w:t>and</w:t>
      </w:r>
      <w:r w:rsidRPr="006B368D">
        <w:rPr>
          <w:spacing w:val="-40"/>
        </w:rPr>
        <w:t xml:space="preserve"> </w:t>
      </w:r>
      <w:r w:rsidRPr="006B368D">
        <w:rPr>
          <w:spacing w:val="-17"/>
        </w:rPr>
        <w:t>racial</w:t>
      </w:r>
      <w:r w:rsidRPr="006B368D">
        <w:rPr>
          <w:spacing w:val="-42"/>
        </w:rPr>
        <w:t xml:space="preserve"> </w:t>
      </w:r>
      <w:r w:rsidRPr="006B368D">
        <w:rPr>
          <w:spacing w:val="-17"/>
        </w:rPr>
        <w:t>equity</w:t>
      </w:r>
      <w:r w:rsidRPr="006B368D">
        <w:rPr>
          <w:spacing w:val="-43"/>
        </w:rPr>
        <w:t xml:space="preserve"> </w:t>
      </w:r>
      <w:r w:rsidRPr="006B368D">
        <w:rPr>
          <w:spacing w:val="-11"/>
        </w:rPr>
        <w:t>by</w:t>
      </w:r>
      <w:r w:rsidRPr="006B368D">
        <w:rPr>
          <w:spacing w:val="-40"/>
        </w:rPr>
        <w:t xml:space="preserve"> </w:t>
      </w:r>
      <w:r w:rsidRPr="006B368D">
        <w:t>continuing</w:t>
      </w:r>
    </w:p>
    <w:p w14:paraId="4DC4924A" w14:textId="77777777" w:rsidR="0068593A" w:rsidRPr="006B368D" w:rsidRDefault="00422AE8" w:rsidP="006B368D">
      <w:pPr>
        <w:pStyle w:val="Heading2"/>
      </w:pPr>
      <w:r w:rsidRPr="006B368D">
        <w:rPr>
          <w:spacing w:val="-17"/>
        </w:rPr>
        <w:t>and</w:t>
      </w:r>
      <w:r w:rsidRPr="006B368D">
        <w:rPr>
          <w:spacing w:val="-43"/>
        </w:rPr>
        <w:t xml:space="preserve"> </w:t>
      </w:r>
      <w:r w:rsidRPr="006B368D">
        <w:rPr>
          <w:spacing w:val="-17"/>
        </w:rPr>
        <w:t>enhancing</w:t>
      </w:r>
      <w:r w:rsidRPr="006B368D">
        <w:rPr>
          <w:spacing w:val="-48"/>
        </w:rPr>
        <w:t xml:space="preserve"> </w:t>
      </w:r>
      <w:r w:rsidRPr="006B368D">
        <w:rPr>
          <w:spacing w:val="-17"/>
        </w:rPr>
        <w:t>existing</w:t>
      </w:r>
      <w:r w:rsidRPr="006B368D">
        <w:rPr>
          <w:spacing w:val="-49"/>
        </w:rPr>
        <w:t xml:space="preserve"> </w:t>
      </w:r>
      <w:r w:rsidRPr="006B368D">
        <w:rPr>
          <w:spacing w:val="-17"/>
        </w:rPr>
        <w:t>programs</w:t>
      </w:r>
    </w:p>
    <w:p w14:paraId="092D0285" w14:textId="77777777" w:rsidR="0068593A" w:rsidRPr="006B368D" w:rsidRDefault="00422AE8">
      <w:pPr>
        <w:pStyle w:val="ListParagraph"/>
        <w:numPr>
          <w:ilvl w:val="0"/>
          <w:numId w:val="2"/>
        </w:numPr>
        <w:tabs>
          <w:tab w:val="left" w:pos="556"/>
        </w:tabs>
        <w:spacing w:before="133" w:line="249" w:lineRule="auto"/>
        <w:ind w:left="550" w:right="120" w:hanging="447"/>
        <w:rPr>
          <w:color w:val="000000" w:themeColor="text1"/>
          <w:sz w:val="36"/>
        </w:rPr>
      </w:pPr>
      <w:r w:rsidRPr="006B368D">
        <w:rPr>
          <w:color w:val="000000" w:themeColor="text1"/>
          <w:sz w:val="36"/>
        </w:rPr>
        <w:t>Current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BSAS</w:t>
      </w:r>
      <w:r w:rsidRPr="006B368D">
        <w:rPr>
          <w:color w:val="000000" w:themeColor="text1"/>
          <w:spacing w:val="98"/>
          <w:sz w:val="36"/>
        </w:rPr>
        <w:t xml:space="preserve"> </w:t>
      </w:r>
      <w:r w:rsidRPr="006B368D">
        <w:rPr>
          <w:color w:val="000000" w:themeColor="text1"/>
          <w:sz w:val="36"/>
        </w:rPr>
        <w:t>programs</w:t>
      </w:r>
      <w:r w:rsidRPr="006B368D">
        <w:rPr>
          <w:color w:val="000000" w:themeColor="text1"/>
          <w:spacing w:val="99"/>
          <w:sz w:val="36"/>
        </w:rPr>
        <w:t xml:space="preserve"> </w:t>
      </w:r>
      <w:r w:rsidRPr="006B368D">
        <w:rPr>
          <w:color w:val="000000" w:themeColor="text1"/>
          <w:sz w:val="36"/>
        </w:rPr>
        <w:t>dedicated</w:t>
      </w:r>
      <w:r w:rsidRPr="006B368D">
        <w:rPr>
          <w:color w:val="000000" w:themeColor="text1"/>
          <w:spacing w:val="97"/>
          <w:sz w:val="36"/>
        </w:rPr>
        <w:t xml:space="preserve"> </w:t>
      </w:r>
      <w:r w:rsidRPr="006B368D">
        <w:rPr>
          <w:color w:val="000000" w:themeColor="text1"/>
          <w:sz w:val="36"/>
        </w:rPr>
        <w:t>to</w:t>
      </w:r>
      <w:r w:rsidRPr="006B368D">
        <w:rPr>
          <w:color w:val="000000" w:themeColor="text1"/>
          <w:spacing w:val="98"/>
          <w:sz w:val="36"/>
        </w:rPr>
        <w:t xml:space="preserve"> </w:t>
      </w:r>
      <w:r w:rsidRPr="006B368D">
        <w:rPr>
          <w:color w:val="000000" w:themeColor="text1"/>
          <w:sz w:val="36"/>
        </w:rPr>
        <w:t>addressing</w:t>
      </w:r>
      <w:r w:rsidRPr="006B368D">
        <w:rPr>
          <w:color w:val="000000" w:themeColor="text1"/>
          <w:spacing w:val="98"/>
          <w:sz w:val="36"/>
        </w:rPr>
        <w:t xml:space="preserve"> </w:t>
      </w:r>
      <w:r w:rsidRPr="006B368D">
        <w:rPr>
          <w:color w:val="000000" w:themeColor="text1"/>
          <w:sz w:val="36"/>
        </w:rPr>
        <w:t>overdoses</w:t>
      </w:r>
      <w:r w:rsidRPr="006B368D">
        <w:rPr>
          <w:color w:val="000000" w:themeColor="text1"/>
          <w:spacing w:val="98"/>
          <w:sz w:val="36"/>
        </w:rPr>
        <w:t xml:space="preserve"> </w:t>
      </w:r>
      <w:r w:rsidRPr="006B368D">
        <w:rPr>
          <w:color w:val="000000" w:themeColor="text1"/>
          <w:sz w:val="36"/>
        </w:rPr>
        <w:t>in</w:t>
      </w:r>
      <w:r w:rsidRPr="006B368D">
        <w:rPr>
          <w:color w:val="000000" w:themeColor="text1"/>
          <w:spacing w:val="98"/>
          <w:sz w:val="36"/>
        </w:rPr>
        <w:t xml:space="preserve"> </w:t>
      </w:r>
      <w:r w:rsidRPr="006B368D">
        <w:rPr>
          <w:color w:val="000000" w:themeColor="text1"/>
          <w:sz w:val="36"/>
        </w:rPr>
        <w:t>the</w:t>
      </w:r>
      <w:r w:rsidRPr="006B368D">
        <w:rPr>
          <w:color w:val="000000" w:themeColor="text1"/>
          <w:spacing w:val="97"/>
          <w:sz w:val="36"/>
        </w:rPr>
        <w:t xml:space="preserve"> </w:t>
      </w:r>
      <w:r w:rsidRPr="006B368D">
        <w:rPr>
          <w:color w:val="000000" w:themeColor="text1"/>
          <w:sz w:val="36"/>
        </w:rPr>
        <w:t>Black/Latinx</w:t>
      </w:r>
      <w:r w:rsidRPr="006B368D">
        <w:rPr>
          <w:color w:val="000000" w:themeColor="text1"/>
          <w:spacing w:val="-98"/>
          <w:sz w:val="36"/>
        </w:rPr>
        <w:t xml:space="preserve"> </w:t>
      </w:r>
      <w:r w:rsidRPr="006B368D">
        <w:rPr>
          <w:color w:val="000000" w:themeColor="text1"/>
          <w:sz w:val="36"/>
        </w:rPr>
        <w:t>community</w:t>
      </w:r>
      <w:r w:rsidRPr="006B368D">
        <w:rPr>
          <w:color w:val="000000" w:themeColor="text1"/>
          <w:spacing w:val="3"/>
          <w:sz w:val="36"/>
        </w:rPr>
        <w:t xml:space="preserve"> </w:t>
      </w:r>
      <w:r w:rsidRPr="006B368D">
        <w:rPr>
          <w:color w:val="000000" w:themeColor="text1"/>
          <w:sz w:val="36"/>
        </w:rPr>
        <w:t>include:</w:t>
      </w:r>
    </w:p>
    <w:p w14:paraId="1EC64F6E" w14:textId="77777777" w:rsidR="0068593A" w:rsidRPr="006B368D" w:rsidRDefault="00422AE8">
      <w:pPr>
        <w:pStyle w:val="ListParagraph"/>
        <w:numPr>
          <w:ilvl w:val="1"/>
          <w:numId w:val="2"/>
        </w:numPr>
        <w:tabs>
          <w:tab w:val="left" w:pos="1271"/>
        </w:tabs>
        <w:spacing w:before="3" w:line="242" w:lineRule="auto"/>
        <w:ind w:left="1270" w:right="116"/>
        <w:rPr>
          <w:color w:val="000000" w:themeColor="text1"/>
          <w:sz w:val="36"/>
        </w:rPr>
      </w:pPr>
      <w:r w:rsidRPr="006B368D">
        <w:rPr>
          <w:b/>
          <w:color w:val="000000" w:themeColor="text1"/>
          <w:sz w:val="36"/>
        </w:rPr>
        <w:t>Recovery-Based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Re-Entry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Services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for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Black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and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Latino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Men</w:t>
      </w:r>
      <w:r w:rsidRPr="006B368D">
        <w:rPr>
          <w:color w:val="000000" w:themeColor="text1"/>
          <w:sz w:val="36"/>
        </w:rPr>
        <w:t>,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a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pilot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program for Black and Latino men leaving incarceration that will be provided by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the</w:t>
      </w:r>
      <w:r w:rsidRPr="006B368D">
        <w:rPr>
          <w:color w:val="000000" w:themeColor="text1"/>
          <w:spacing w:val="-1"/>
          <w:sz w:val="36"/>
        </w:rPr>
        <w:t xml:space="preserve"> </w:t>
      </w:r>
      <w:r w:rsidRPr="006B368D">
        <w:rPr>
          <w:color w:val="000000" w:themeColor="text1"/>
          <w:sz w:val="36"/>
        </w:rPr>
        <w:t>following</w:t>
      </w:r>
      <w:r w:rsidRPr="006B368D">
        <w:rPr>
          <w:color w:val="000000" w:themeColor="text1"/>
          <w:spacing w:val="12"/>
          <w:sz w:val="36"/>
        </w:rPr>
        <w:t xml:space="preserve"> </w:t>
      </w:r>
      <w:r w:rsidRPr="006B368D">
        <w:rPr>
          <w:color w:val="000000" w:themeColor="text1"/>
          <w:sz w:val="36"/>
        </w:rPr>
        <w:t>agencies:</w:t>
      </w:r>
    </w:p>
    <w:p w14:paraId="38E201C2" w14:textId="77777777" w:rsidR="0068593A" w:rsidRPr="006B368D" w:rsidRDefault="00422AE8">
      <w:pPr>
        <w:tabs>
          <w:tab w:val="left" w:pos="1990"/>
        </w:tabs>
        <w:spacing w:before="10"/>
        <w:ind w:left="1539"/>
        <w:rPr>
          <w:color w:val="000000" w:themeColor="text1"/>
          <w:sz w:val="36"/>
          <w:szCs w:val="36"/>
        </w:rPr>
      </w:pPr>
      <w:r w:rsidRPr="006B368D">
        <w:rPr>
          <w:color w:val="000000" w:themeColor="text1"/>
          <w:sz w:val="36"/>
          <w:szCs w:val="36"/>
        </w:rPr>
        <w:t>ꟷ</w:t>
      </w:r>
      <w:r w:rsidRPr="006B368D">
        <w:rPr>
          <w:color w:val="000000" w:themeColor="text1"/>
          <w:sz w:val="36"/>
          <w:szCs w:val="36"/>
        </w:rPr>
        <w:tab/>
        <w:t>Fathers’</w:t>
      </w:r>
      <w:r w:rsidRPr="006B368D">
        <w:rPr>
          <w:color w:val="000000" w:themeColor="text1"/>
          <w:spacing w:val="-16"/>
          <w:sz w:val="36"/>
          <w:szCs w:val="36"/>
        </w:rPr>
        <w:t xml:space="preserve"> </w:t>
      </w:r>
      <w:r w:rsidRPr="006B368D">
        <w:rPr>
          <w:color w:val="000000" w:themeColor="text1"/>
          <w:sz w:val="36"/>
          <w:szCs w:val="36"/>
        </w:rPr>
        <w:t>Uplift</w:t>
      </w:r>
    </w:p>
    <w:p w14:paraId="516A3E4D" w14:textId="77777777" w:rsidR="0068593A" w:rsidRPr="006B368D" w:rsidRDefault="00422AE8">
      <w:pPr>
        <w:tabs>
          <w:tab w:val="left" w:pos="1990"/>
        </w:tabs>
        <w:spacing w:before="18"/>
        <w:ind w:left="1539"/>
        <w:rPr>
          <w:color w:val="000000" w:themeColor="text1"/>
          <w:sz w:val="36"/>
          <w:szCs w:val="36"/>
        </w:rPr>
      </w:pPr>
      <w:r w:rsidRPr="006B368D">
        <w:rPr>
          <w:color w:val="000000" w:themeColor="text1"/>
          <w:sz w:val="36"/>
          <w:szCs w:val="36"/>
        </w:rPr>
        <w:t>ꟷ</w:t>
      </w:r>
      <w:r w:rsidRPr="006B368D">
        <w:rPr>
          <w:color w:val="000000" w:themeColor="text1"/>
          <w:sz w:val="36"/>
          <w:szCs w:val="36"/>
        </w:rPr>
        <w:tab/>
        <w:t>Casa</w:t>
      </w:r>
      <w:r w:rsidRPr="006B368D">
        <w:rPr>
          <w:color w:val="000000" w:themeColor="text1"/>
          <w:spacing w:val="-1"/>
          <w:sz w:val="36"/>
          <w:szCs w:val="36"/>
        </w:rPr>
        <w:t xml:space="preserve"> </w:t>
      </w:r>
      <w:r w:rsidRPr="006B368D">
        <w:rPr>
          <w:color w:val="000000" w:themeColor="text1"/>
          <w:sz w:val="36"/>
          <w:szCs w:val="36"/>
        </w:rPr>
        <w:t>Esperanza</w:t>
      </w:r>
    </w:p>
    <w:p w14:paraId="73E4ED1B" w14:textId="77777777" w:rsidR="0068593A" w:rsidRPr="006B368D" w:rsidRDefault="00422AE8">
      <w:pPr>
        <w:tabs>
          <w:tab w:val="left" w:pos="1990"/>
        </w:tabs>
        <w:spacing w:before="19"/>
        <w:ind w:left="1539"/>
        <w:rPr>
          <w:color w:val="000000" w:themeColor="text1"/>
          <w:sz w:val="36"/>
          <w:szCs w:val="36"/>
        </w:rPr>
      </w:pPr>
      <w:r w:rsidRPr="006B368D">
        <w:rPr>
          <w:color w:val="000000" w:themeColor="text1"/>
          <w:sz w:val="36"/>
          <w:szCs w:val="36"/>
        </w:rPr>
        <w:t>ꟷ</w:t>
      </w:r>
      <w:r w:rsidRPr="006B368D">
        <w:rPr>
          <w:color w:val="000000" w:themeColor="text1"/>
          <w:sz w:val="36"/>
          <w:szCs w:val="36"/>
        </w:rPr>
        <w:tab/>
        <w:t>Legendary</w:t>
      </w:r>
      <w:r w:rsidRPr="006B368D">
        <w:rPr>
          <w:color w:val="000000" w:themeColor="text1"/>
          <w:spacing w:val="-6"/>
          <w:sz w:val="36"/>
          <w:szCs w:val="36"/>
        </w:rPr>
        <w:t xml:space="preserve"> </w:t>
      </w:r>
      <w:r w:rsidRPr="006B368D">
        <w:rPr>
          <w:color w:val="000000" w:themeColor="text1"/>
          <w:sz w:val="36"/>
          <w:szCs w:val="36"/>
        </w:rPr>
        <w:t>Legacies</w:t>
      </w:r>
    </w:p>
    <w:p w14:paraId="30691C8C" w14:textId="77777777" w:rsidR="0068593A" w:rsidRPr="006B368D" w:rsidRDefault="00422AE8">
      <w:pPr>
        <w:tabs>
          <w:tab w:val="left" w:pos="1990"/>
        </w:tabs>
        <w:spacing w:before="18"/>
        <w:ind w:left="1539"/>
        <w:rPr>
          <w:color w:val="000000" w:themeColor="text1"/>
          <w:sz w:val="36"/>
          <w:szCs w:val="36"/>
        </w:rPr>
      </w:pPr>
      <w:r w:rsidRPr="006B368D">
        <w:rPr>
          <w:color w:val="000000" w:themeColor="text1"/>
          <w:sz w:val="36"/>
          <w:szCs w:val="36"/>
        </w:rPr>
        <w:t>ꟷ</w:t>
      </w:r>
      <w:r w:rsidRPr="006B368D">
        <w:rPr>
          <w:color w:val="000000" w:themeColor="text1"/>
          <w:sz w:val="36"/>
          <w:szCs w:val="36"/>
        </w:rPr>
        <w:tab/>
        <w:t>New</w:t>
      </w:r>
      <w:r w:rsidRPr="006B368D">
        <w:rPr>
          <w:color w:val="000000" w:themeColor="text1"/>
          <w:spacing w:val="-2"/>
          <w:sz w:val="36"/>
          <w:szCs w:val="36"/>
        </w:rPr>
        <w:t xml:space="preserve"> </w:t>
      </w:r>
      <w:r w:rsidRPr="006B368D">
        <w:rPr>
          <w:color w:val="000000" w:themeColor="text1"/>
          <w:sz w:val="36"/>
          <w:szCs w:val="36"/>
        </w:rPr>
        <w:t>North</w:t>
      </w:r>
      <w:r w:rsidRPr="006B368D">
        <w:rPr>
          <w:color w:val="000000" w:themeColor="text1"/>
          <w:spacing w:val="-3"/>
          <w:sz w:val="36"/>
          <w:szCs w:val="36"/>
        </w:rPr>
        <w:t xml:space="preserve"> </w:t>
      </w:r>
      <w:r w:rsidRPr="006B368D">
        <w:rPr>
          <w:color w:val="000000" w:themeColor="text1"/>
          <w:sz w:val="36"/>
          <w:szCs w:val="36"/>
        </w:rPr>
        <w:t>Citizens’</w:t>
      </w:r>
      <w:r w:rsidRPr="006B368D">
        <w:rPr>
          <w:color w:val="000000" w:themeColor="text1"/>
          <w:spacing w:val="-13"/>
          <w:sz w:val="36"/>
          <w:szCs w:val="36"/>
        </w:rPr>
        <w:t xml:space="preserve"> </w:t>
      </w:r>
      <w:r w:rsidRPr="006B368D">
        <w:rPr>
          <w:color w:val="000000" w:themeColor="text1"/>
          <w:sz w:val="36"/>
          <w:szCs w:val="36"/>
        </w:rPr>
        <w:t>Council</w:t>
      </w:r>
    </w:p>
    <w:p w14:paraId="4B78E486" w14:textId="77777777" w:rsidR="0068593A" w:rsidRPr="006B368D" w:rsidRDefault="00422AE8">
      <w:pPr>
        <w:tabs>
          <w:tab w:val="left" w:pos="1990"/>
        </w:tabs>
        <w:spacing w:before="18"/>
        <w:ind w:left="1539"/>
        <w:rPr>
          <w:color w:val="000000" w:themeColor="text1"/>
          <w:sz w:val="36"/>
          <w:szCs w:val="36"/>
        </w:rPr>
      </w:pPr>
      <w:r w:rsidRPr="006B368D">
        <w:rPr>
          <w:color w:val="000000" w:themeColor="text1"/>
          <w:sz w:val="36"/>
          <w:szCs w:val="36"/>
        </w:rPr>
        <w:t>ꟷ</w:t>
      </w:r>
      <w:r w:rsidRPr="006B368D">
        <w:rPr>
          <w:color w:val="000000" w:themeColor="text1"/>
          <w:sz w:val="36"/>
          <w:szCs w:val="36"/>
        </w:rPr>
        <w:tab/>
        <w:t>Greater</w:t>
      </w:r>
      <w:r w:rsidRPr="006B368D">
        <w:rPr>
          <w:color w:val="000000" w:themeColor="text1"/>
          <w:spacing w:val="-7"/>
          <w:sz w:val="36"/>
          <w:szCs w:val="36"/>
        </w:rPr>
        <w:t xml:space="preserve"> </w:t>
      </w:r>
      <w:r w:rsidRPr="006B368D">
        <w:rPr>
          <w:color w:val="000000" w:themeColor="text1"/>
          <w:sz w:val="36"/>
          <w:szCs w:val="36"/>
        </w:rPr>
        <w:t>Lawrence</w:t>
      </w:r>
      <w:r w:rsidRPr="006B368D">
        <w:rPr>
          <w:color w:val="000000" w:themeColor="text1"/>
          <w:spacing w:val="4"/>
          <w:sz w:val="36"/>
          <w:szCs w:val="36"/>
        </w:rPr>
        <w:t xml:space="preserve"> </w:t>
      </w:r>
      <w:r w:rsidRPr="006B368D">
        <w:rPr>
          <w:color w:val="000000" w:themeColor="text1"/>
          <w:sz w:val="36"/>
          <w:szCs w:val="36"/>
        </w:rPr>
        <w:t>Family</w:t>
      </w:r>
      <w:r w:rsidRPr="006B368D">
        <w:rPr>
          <w:color w:val="000000" w:themeColor="text1"/>
          <w:spacing w:val="-7"/>
          <w:sz w:val="36"/>
          <w:szCs w:val="36"/>
        </w:rPr>
        <w:t xml:space="preserve"> </w:t>
      </w:r>
      <w:r w:rsidRPr="006B368D">
        <w:rPr>
          <w:color w:val="000000" w:themeColor="text1"/>
          <w:sz w:val="36"/>
          <w:szCs w:val="36"/>
        </w:rPr>
        <w:t>Health</w:t>
      </w:r>
      <w:r w:rsidRPr="006B368D">
        <w:rPr>
          <w:color w:val="000000" w:themeColor="text1"/>
          <w:spacing w:val="-4"/>
          <w:sz w:val="36"/>
          <w:szCs w:val="36"/>
        </w:rPr>
        <w:t xml:space="preserve"> </w:t>
      </w:r>
      <w:r w:rsidRPr="006B368D">
        <w:rPr>
          <w:color w:val="000000" w:themeColor="text1"/>
          <w:sz w:val="36"/>
          <w:szCs w:val="36"/>
        </w:rPr>
        <w:t>Center/Lynn</w:t>
      </w:r>
      <w:r w:rsidRPr="006B368D">
        <w:rPr>
          <w:color w:val="000000" w:themeColor="text1"/>
          <w:spacing w:val="1"/>
          <w:sz w:val="36"/>
          <w:szCs w:val="36"/>
        </w:rPr>
        <w:t xml:space="preserve"> </w:t>
      </w:r>
      <w:r w:rsidRPr="006B368D">
        <w:rPr>
          <w:color w:val="000000" w:themeColor="text1"/>
          <w:sz w:val="36"/>
          <w:szCs w:val="36"/>
        </w:rPr>
        <w:t>Community</w:t>
      </w:r>
      <w:r w:rsidRPr="006B368D">
        <w:rPr>
          <w:color w:val="000000" w:themeColor="text1"/>
          <w:spacing w:val="-3"/>
          <w:sz w:val="36"/>
          <w:szCs w:val="36"/>
        </w:rPr>
        <w:t xml:space="preserve"> </w:t>
      </w:r>
      <w:r w:rsidRPr="006B368D">
        <w:rPr>
          <w:color w:val="000000" w:themeColor="text1"/>
          <w:sz w:val="36"/>
          <w:szCs w:val="36"/>
        </w:rPr>
        <w:t>Health</w:t>
      </w:r>
      <w:r w:rsidRPr="006B368D">
        <w:rPr>
          <w:color w:val="000000" w:themeColor="text1"/>
          <w:spacing w:val="-4"/>
          <w:sz w:val="36"/>
          <w:szCs w:val="36"/>
        </w:rPr>
        <w:t xml:space="preserve"> </w:t>
      </w:r>
      <w:r w:rsidRPr="006B368D">
        <w:rPr>
          <w:color w:val="000000" w:themeColor="text1"/>
          <w:sz w:val="36"/>
          <w:szCs w:val="36"/>
        </w:rPr>
        <w:t>Center</w:t>
      </w:r>
    </w:p>
    <w:p w14:paraId="77E3D553" w14:textId="77777777" w:rsidR="0068593A" w:rsidRPr="006B368D" w:rsidRDefault="00422AE8">
      <w:pPr>
        <w:pStyle w:val="ListParagraph"/>
        <w:numPr>
          <w:ilvl w:val="1"/>
          <w:numId w:val="2"/>
        </w:numPr>
        <w:tabs>
          <w:tab w:val="left" w:pos="1271"/>
        </w:tabs>
        <w:spacing w:before="18" w:line="242" w:lineRule="auto"/>
        <w:ind w:left="1270" w:right="118"/>
        <w:rPr>
          <w:color w:val="000000" w:themeColor="text1"/>
          <w:sz w:val="36"/>
        </w:rPr>
      </w:pPr>
      <w:r w:rsidRPr="006B368D">
        <w:rPr>
          <w:color w:val="000000" w:themeColor="text1"/>
          <w:sz w:val="36"/>
        </w:rPr>
        <w:t xml:space="preserve">Increased investments in the </w:t>
      </w:r>
      <w:r w:rsidRPr="006B368D">
        <w:rPr>
          <w:b/>
          <w:color w:val="000000" w:themeColor="text1"/>
          <w:sz w:val="36"/>
        </w:rPr>
        <w:t>Black Addiction Counselor Education (BACE)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and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Latinx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Addiction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Counselor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Education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>(LACE)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programs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to</w:t>
      </w:r>
      <w:r w:rsidRPr="006B368D">
        <w:rPr>
          <w:color w:val="000000" w:themeColor="text1"/>
          <w:spacing w:val="100"/>
          <w:sz w:val="36"/>
        </w:rPr>
        <w:t xml:space="preserve"> </w:t>
      </w:r>
      <w:r w:rsidRPr="006B368D">
        <w:rPr>
          <w:color w:val="000000" w:themeColor="text1"/>
          <w:sz w:val="36"/>
        </w:rPr>
        <w:t>support</w:t>
      </w:r>
      <w:r w:rsidRPr="006B368D">
        <w:rPr>
          <w:color w:val="000000" w:themeColor="text1"/>
          <w:spacing w:val="-98"/>
          <w:sz w:val="36"/>
        </w:rPr>
        <w:t xml:space="preserve"> </w:t>
      </w:r>
      <w:r w:rsidRPr="006B368D">
        <w:rPr>
          <w:color w:val="000000" w:themeColor="text1"/>
          <w:sz w:val="36"/>
        </w:rPr>
        <w:t>Black and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Latinx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people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seeking</w:t>
      </w:r>
      <w:r w:rsidRPr="006B368D">
        <w:rPr>
          <w:color w:val="000000" w:themeColor="text1"/>
          <w:spacing w:val="3"/>
          <w:sz w:val="36"/>
        </w:rPr>
        <w:t xml:space="preserve"> </w:t>
      </w:r>
      <w:r w:rsidRPr="006B368D">
        <w:rPr>
          <w:color w:val="000000" w:themeColor="text1"/>
          <w:sz w:val="36"/>
        </w:rPr>
        <w:t>to</w:t>
      </w:r>
      <w:r w:rsidRPr="006B368D">
        <w:rPr>
          <w:color w:val="000000" w:themeColor="text1"/>
          <w:spacing w:val="-4"/>
          <w:sz w:val="36"/>
        </w:rPr>
        <w:t xml:space="preserve"> </w:t>
      </w:r>
      <w:r w:rsidRPr="006B368D">
        <w:rPr>
          <w:color w:val="000000" w:themeColor="text1"/>
          <w:sz w:val="36"/>
        </w:rPr>
        <w:t>enter</w:t>
      </w:r>
      <w:r w:rsidRPr="006B368D">
        <w:rPr>
          <w:color w:val="000000" w:themeColor="text1"/>
          <w:spacing w:val="3"/>
          <w:sz w:val="36"/>
        </w:rPr>
        <w:t xml:space="preserve"> </w:t>
      </w:r>
      <w:r w:rsidRPr="006B368D">
        <w:rPr>
          <w:color w:val="000000" w:themeColor="text1"/>
          <w:sz w:val="36"/>
        </w:rPr>
        <w:t>the</w:t>
      </w:r>
      <w:r w:rsidRPr="006B368D">
        <w:rPr>
          <w:color w:val="000000" w:themeColor="text1"/>
          <w:spacing w:val="-2"/>
          <w:sz w:val="36"/>
        </w:rPr>
        <w:t xml:space="preserve"> </w:t>
      </w:r>
      <w:r w:rsidRPr="006B368D">
        <w:rPr>
          <w:color w:val="000000" w:themeColor="text1"/>
          <w:sz w:val="36"/>
        </w:rPr>
        <w:t>SUD</w:t>
      </w:r>
      <w:r w:rsidRPr="006B368D">
        <w:rPr>
          <w:color w:val="000000" w:themeColor="text1"/>
          <w:spacing w:val="-2"/>
          <w:sz w:val="36"/>
        </w:rPr>
        <w:t xml:space="preserve"> </w:t>
      </w:r>
      <w:r w:rsidRPr="006B368D">
        <w:rPr>
          <w:color w:val="000000" w:themeColor="text1"/>
          <w:sz w:val="36"/>
        </w:rPr>
        <w:t>workforce</w:t>
      </w:r>
    </w:p>
    <w:p w14:paraId="7A7BB986" w14:textId="77777777" w:rsidR="0068593A" w:rsidRPr="006B368D" w:rsidRDefault="0068593A">
      <w:pPr>
        <w:pStyle w:val="BodyText"/>
        <w:spacing w:before="5"/>
        <w:rPr>
          <w:color w:val="000000" w:themeColor="text1"/>
          <w:sz w:val="38"/>
        </w:rPr>
      </w:pPr>
    </w:p>
    <w:p w14:paraId="77894AEE" w14:textId="77777777" w:rsidR="0068593A" w:rsidRPr="006B368D" w:rsidRDefault="00422AE8">
      <w:pPr>
        <w:pStyle w:val="ListParagraph"/>
        <w:numPr>
          <w:ilvl w:val="0"/>
          <w:numId w:val="2"/>
        </w:numPr>
        <w:tabs>
          <w:tab w:val="left" w:pos="556"/>
        </w:tabs>
        <w:spacing w:line="249" w:lineRule="auto"/>
        <w:rPr>
          <w:color w:val="000000" w:themeColor="text1"/>
          <w:sz w:val="36"/>
        </w:rPr>
      </w:pPr>
      <w:r w:rsidRPr="006B368D">
        <w:rPr>
          <w:color w:val="000000" w:themeColor="text1"/>
          <w:sz w:val="36"/>
        </w:rPr>
        <w:t xml:space="preserve">BSAS is also partnering with other existing </w:t>
      </w:r>
      <w:proofErr w:type="gramStart"/>
      <w:r w:rsidRPr="006B368D">
        <w:rPr>
          <w:b/>
          <w:color w:val="000000" w:themeColor="text1"/>
          <w:sz w:val="36"/>
        </w:rPr>
        <w:t>culturally-specific</w:t>
      </w:r>
      <w:proofErr w:type="gramEnd"/>
      <w:r w:rsidRPr="006B368D">
        <w:rPr>
          <w:b/>
          <w:color w:val="000000" w:themeColor="text1"/>
          <w:sz w:val="36"/>
        </w:rPr>
        <w:t xml:space="preserve"> agencies/programs</w:t>
      </w:r>
      <w:r w:rsidRPr="006B368D">
        <w:rPr>
          <w:b/>
          <w:color w:val="000000" w:themeColor="text1"/>
          <w:spacing w:val="1"/>
          <w:sz w:val="36"/>
        </w:rPr>
        <w:t xml:space="preserve"> </w:t>
      </w:r>
      <w:r w:rsidRPr="006B368D">
        <w:rPr>
          <w:b/>
          <w:color w:val="000000" w:themeColor="text1"/>
          <w:sz w:val="36"/>
        </w:rPr>
        <w:t xml:space="preserve">in the Commonwealth </w:t>
      </w:r>
      <w:r w:rsidRPr="006B368D">
        <w:rPr>
          <w:color w:val="000000" w:themeColor="text1"/>
          <w:sz w:val="36"/>
        </w:rPr>
        <w:t>to expand their services and provide increased access for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communities</w:t>
      </w:r>
      <w:r w:rsidRPr="006B368D">
        <w:rPr>
          <w:color w:val="000000" w:themeColor="text1"/>
          <w:spacing w:val="2"/>
          <w:sz w:val="36"/>
        </w:rPr>
        <w:t xml:space="preserve"> </w:t>
      </w:r>
      <w:r w:rsidRPr="006B368D">
        <w:rPr>
          <w:color w:val="000000" w:themeColor="text1"/>
          <w:sz w:val="36"/>
        </w:rPr>
        <w:t>of</w:t>
      </w:r>
      <w:r w:rsidRPr="006B368D">
        <w:rPr>
          <w:color w:val="000000" w:themeColor="text1"/>
          <w:spacing w:val="1"/>
          <w:sz w:val="36"/>
        </w:rPr>
        <w:t xml:space="preserve"> </w:t>
      </w:r>
      <w:r w:rsidRPr="006B368D">
        <w:rPr>
          <w:color w:val="000000" w:themeColor="text1"/>
          <w:sz w:val="36"/>
        </w:rPr>
        <w:t>color</w:t>
      </w:r>
    </w:p>
    <w:p w14:paraId="690C7309" w14:textId="77777777" w:rsidR="0068593A" w:rsidRPr="006B368D" w:rsidRDefault="0068593A">
      <w:pPr>
        <w:spacing w:line="249" w:lineRule="auto"/>
        <w:jc w:val="both"/>
        <w:rPr>
          <w:color w:val="000000" w:themeColor="text1"/>
          <w:sz w:val="36"/>
        </w:rPr>
        <w:sectPr w:rsidR="0068593A" w:rsidRPr="006B368D">
          <w:headerReference w:type="default" r:id="rId14"/>
          <w:pgSz w:w="14400" w:h="10800" w:orient="landscape"/>
          <w:pgMar w:top="0" w:right="200" w:bottom="280" w:left="40" w:header="0" w:footer="0" w:gutter="0"/>
          <w:cols w:space="720"/>
        </w:sectPr>
      </w:pPr>
    </w:p>
    <w:p w14:paraId="1DA613BD" w14:textId="77777777" w:rsidR="0068593A" w:rsidRPr="006B368D" w:rsidRDefault="00422AE8">
      <w:pPr>
        <w:pStyle w:val="BodyText"/>
        <w:rPr>
          <w:color w:val="000000" w:themeColor="text1"/>
          <w:sz w:val="20"/>
        </w:rPr>
      </w:pPr>
      <w:r>
        <w:lastRenderedPageBreak/>
        <w:pict w14:anchorId="6674F471">
          <v:group id="docshapegroup131" o:spid="_x0000_s1026" alt="&quot;&quot;" style="position:absolute;margin-left:0;margin-top:0;width:10in;height:72.5pt;z-index:-15994368;mso-position-horizontal-relative:page;mso-position-vertical-relative:page" coordsize="14400,1450">
            <v:rect id="docshape132" o:spid="_x0000_s1027" alt="&quot;&quot;" style="position:absolute;top:-1;width:14400;height:856" fillcolor="#92a199" stroked="f"/>
            <v:shape id="docshape133" o:spid="_x0000_s1028" type="#_x0000_t75" alt="&quot;&quot;" style="position:absolute;left:12803;top:14;width:1436;height:1436">
              <v:imagedata r:id="rId7" o:title=""/>
            </v:shape>
            <w10:wrap anchorx="page" anchory="page"/>
          </v:group>
        </w:pict>
      </w:r>
    </w:p>
    <w:p w14:paraId="074FE99E" w14:textId="77777777" w:rsidR="0068593A" w:rsidRPr="006B368D" w:rsidRDefault="0068593A" w:rsidP="006B368D"/>
    <w:p w14:paraId="1FC20F78" w14:textId="77777777" w:rsidR="0068593A" w:rsidRPr="006B368D" w:rsidRDefault="0068593A" w:rsidP="006B368D"/>
    <w:p w14:paraId="72D8237E" w14:textId="77777777" w:rsidR="0068593A" w:rsidRPr="006B368D" w:rsidRDefault="0068593A" w:rsidP="006B368D"/>
    <w:p w14:paraId="68D67BC0" w14:textId="77777777" w:rsidR="0068593A" w:rsidRPr="006B368D" w:rsidRDefault="00422AE8" w:rsidP="006B368D">
      <w:pPr>
        <w:pStyle w:val="Heading2"/>
        <w:rPr>
          <w:sz w:val="42"/>
        </w:rPr>
      </w:pPr>
      <w:r w:rsidRPr="006B368D">
        <w:rPr>
          <w:sz w:val="42"/>
        </w:rPr>
        <w:t>DPH/BSAS</w:t>
      </w:r>
      <w:r w:rsidRPr="006B368D">
        <w:rPr>
          <w:sz w:val="42"/>
        </w:rPr>
        <w:t xml:space="preserve"> </w:t>
      </w:r>
      <w:r w:rsidRPr="006B368D">
        <w:rPr>
          <w:spacing w:val="-13"/>
          <w:sz w:val="42"/>
        </w:rPr>
        <w:t>has</w:t>
      </w:r>
      <w:r w:rsidRPr="006B368D">
        <w:rPr>
          <w:sz w:val="42"/>
        </w:rPr>
        <w:t xml:space="preserve"> </w:t>
      </w:r>
      <w:r w:rsidRPr="006B368D">
        <w:rPr>
          <w:spacing w:val="-19"/>
          <w:sz w:val="42"/>
        </w:rPr>
        <w:t>aggressively</w:t>
      </w:r>
      <w:r w:rsidRPr="006B368D">
        <w:rPr>
          <w:sz w:val="42"/>
        </w:rPr>
        <w:t xml:space="preserve"> </w:t>
      </w:r>
      <w:r w:rsidRPr="006B368D">
        <w:rPr>
          <w:sz w:val="42"/>
        </w:rPr>
        <w:t>maximized</w:t>
      </w:r>
      <w:r w:rsidRPr="006B368D">
        <w:rPr>
          <w:sz w:val="42"/>
        </w:rPr>
        <w:t xml:space="preserve"> </w:t>
      </w:r>
      <w:r w:rsidRPr="006B368D">
        <w:rPr>
          <w:spacing w:val="-17"/>
          <w:sz w:val="42"/>
        </w:rPr>
        <w:t>access</w:t>
      </w:r>
      <w:r w:rsidRPr="006B368D">
        <w:rPr>
          <w:sz w:val="42"/>
        </w:rPr>
        <w:t xml:space="preserve"> </w:t>
      </w:r>
      <w:r w:rsidRPr="006B368D">
        <w:rPr>
          <w:spacing w:val="-10"/>
          <w:sz w:val="42"/>
        </w:rPr>
        <w:t>to</w:t>
      </w:r>
      <w:r w:rsidRPr="006B368D">
        <w:rPr>
          <w:sz w:val="42"/>
        </w:rPr>
        <w:t xml:space="preserve"> </w:t>
      </w:r>
      <w:r w:rsidRPr="006B368D">
        <w:rPr>
          <w:spacing w:val="-14"/>
          <w:sz w:val="42"/>
        </w:rPr>
        <w:t>SUD</w:t>
      </w:r>
      <w:r w:rsidRPr="006B368D">
        <w:rPr>
          <w:sz w:val="42"/>
        </w:rPr>
        <w:t xml:space="preserve"> </w:t>
      </w:r>
      <w:r w:rsidRPr="006B368D">
        <w:rPr>
          <w:sz w:val="42"/>
        </w:rPr>
        <w:t>treatment</w:t>
      </w:r>
      <w:r w:rsidRPr="006B368D">
        <w:rPr>
          <w:spacing w:val="1"/>
          <w:sz w:val="42"/>
        </w:rPr>
        <w:t xml:space="preserve"> </w:t>
      </w:r>
      <w:r w:rsidRPr="006B368D">
        <w:rPr>
          <w:spacing w:val="-16"/>
          <w:sz w:val="42"/>
        </w:rPr>
        <w:t>during</w:t>
      </w:r>
      <w:r w:rsidRPr="006B368D">
        <w:rPr>
          <w:spacing w:val="-40"/>
          <w:sz w:val="42"/>
        </w:rPr>
        <w:t xml:space="preserve"> </w:t>
      </w:r>
      <w:r w:rsidRPr="006B368D">
        <w:rPr>
          <w:spacing w:val="-13"/>
          <w:sz w:val="42"/>
        </w:rPr>
        <w:t>the</w:t>
      </w:r>
      <w:r w:rsidRPr="006B368D">
        <w:rPr>
          <w:spacing w:val="-37"/>
          <w:sz w:val="42"/>
        </w:rPr>
        <w:t xml:space="preserve"> </w:t>
      </w:r>
      <w:r w:rsidRPr="006B368D">
        <w:rPr>
          <w:sz w:val="42"/>
        </w:rPr>
        <w:t>COVID-19</w:t>
      </w:r>
      <w:r w:rsidRPr="006B368D">
        <w:rPr>
          <w:spacing w:val="-44"/>
          <w:sz w:val="42"/>
        </w:rPr>
        <w:t xml:space="preserve"> </w:t>
      </w:r>
      <w:r w:rsidRPr="006B368D">
        <w:rPr>
          <w:sz w:val="42"/>
        </w:rPr>
        <w:t>pandemic,</w:t>
      </w:r>
      <w:r w:rsidRPr="006B368D">
        <w:rPr>
          <w:spacing w:val="-44"/>
          <w:sz w:val="42"/>
        </w:rPr>
        <w:t xml:space="preserve"> </w:t>
      </w:r>
      <w:r w:rsidRPr="006B368D">
        <w:rPr>
          <w:spacing w:val="-13"/>
          <w:sz w:val="42"/>
        </w:rPr>
        <w:t>and</w:t>
      </w:r>
      <w:r w:rsidRPr="006B368D">
        <w:rPr>
          <w:spacing w:val="-38"/>
          <w:sz w:val="42"/>
        </w:rPr>
        <w:t xml:space="preserve"> </w:t>
      </w:r>
      <w:r w:rsidRPr="006B368D">
        <w:rPr>
          <w:spacing w:val="-10"/>
          <w:sz w:val="42"/>
        </w:rPr>
        <w:t>is</w:t>
      </w:r>
      <w:r w:rsidRPr="006B368D">
        <w:rPr>
          <w:spacing w:val="-39"/>
          <w:sz w:val="42"/>
        </w:rPr>
        <w:t xml:space="preserve"> </w:t>
      </w:r>
      <w:r w:rsidRPr="006B368D">
        <w:rPr>
          <w:sz w:val="42"/>
        </w:rPr>
        <w:t>continuing</w:t>
      </w:r>
      <w:r w:rsidRPr="006B368D">
        <w:rPr>
          <w:spacing w:val="-39"/>
          <w:sz w:val="42"/>
        </w:rPr>
        <w:t xml:space="preserve"> </w:t>
      </w:r>
      <w:r w:rsidRPr="006B368D">
        <w:rPr>
          <w:spacing w:val="-13"/>
          <w:sz w:val="42"/>
        </w:rPr>
        <w:t>the</w:t>
      </w:r>
      <w:r w:rsidRPr="006B368D">
        <w:rPr>
          <w:spacing w:val="-39"/>
          <w:sz w:val="42"/>
        </w:rPr>
        <w:t xml:space="preserve"> </w:t>
      </w:r>
      <w:r w:rsidRPr="006B368D">
        <w:rPr>
          <w:spacing w:val="-16"/>
          <w:sz w:val="42"/>
        </w:rPr>
        <w:t>fight</w:t>
      </w:r>
      <w:r w:rsidRPr="006B368D">
        <w:rPr>
          <w:spacing w:val="-39"/>
          <w:sz w:val="42"/>
        </w:rPr>
        <w:t xml:space="preserve"> </w:t>
      </w:r>
      <w:r w:rsidRPr="006B368D">
        <w:rPr>
          <w:spacing w:val="-17"/>
          <w:sz w:val="42"/>
        </w:rPr>
        <w:t>against</w:t>
      </w:r>
      <w:r w:rsidRPr="006B368D">
        <w:rPr>
          <w:spacing w:val="-40"/>
          <w:sz w:val="42"/>
        </w:rPr>
        <w:t xml:space="preserve"> </w:t>
      </w:r>
      <w:r w:rsidRPr="006B368D">
        <w:rPr>
          <w:spacing w:val="-13"/>
          <w:sz w:val="42"/>
        </w:rPr>
        <w:t>the</w:t>
      </w:r>
      <w:r w:rsidRPr="006B368D">
        <w:rPr>
          <w:spacing w:val="-114"/>
          <w:sz w:val="42"/>
        </w:rPr>
        <w:t xml:space="preserve"> </w:t>
      </w:r>
      <w:r w:rsidRPr="006B368D">
        <w:rPr>
          <w:sz w:val="42"/>
        </w:rPr>
        <w:t>opiate</w:t>
      </w:r>
      <w:r w:rsidRPr="006B368D">
        <w:rPr>
          <w:spacing w:val="-46"/>
          <w:sz w:val="42"/>
        </w:rPr>
        <w:t xml:space="preserve"> </w:t>
      </w:r>
      <w:r w:rsidRPr="006B368D">
        <w:rPr>
          <w:sz w:val="42"/>
        </w:rPr>
        <w:t>crisis</w:t>
      </w:r>
    </w:p>
    <w:p w14:paraId="07567302" w14:textId="77777777" w:rsidR="0068593A" w:rsidRPr="006B368D" w:rsidRDefault="00422AE8">
      <w:pPr>
        <w:pStyle w:val="ListParagraph"/>
        <w:numPr>
          <w:ilvl w:val="0"/>
          <w:numId w:val="1"/>
        </w:numPr>
        <w:tabs>
          <w:tab w:val="left" w:pos="787"/>
        </w:tabs>
        <w:spacing w:before="95" w:line="249" w:lineRule="auto"/>
        <w:ind w:right="171"/>
        <w:rPr>
          <w:color w:val="000000" w:themeColor="text1"/>
          <w:sz w:val="23"/>
        </w:rPr>
      </w:pPr>
      <w:r w:rsidRPr="006B368D">
        <w:rPr>
          <w:color w:val="000000" w:themeColor="text1"/>
          <w:sz w:val="23"/>
        </w:rPr>
        <w:t xml:space="preserve">Increasing access to naloxone – from March 2020 to April 2021 </w:t>
      </w:r>
      <w:r w:rsidRPr="006B368D">
        <w:rPr>
          <w:b/>
          <w:color w:val="000000" w:themeColor="text1"/>
          <w:sz w:val="23"/>
        </w:rPr>
        <w:t xml:space="preserve">over 110 thousand naloxone kits </w:t>
      </w:r>
      <w:r w:rsidRPr="006B368D">
        <w:rPr>
          <w:color w:val="000000" w:themeColor="text1"/>
          <w:sz w:val="23"/>
        </w:rPr>
        <w:t>have been distributed to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Opioid Treatment Providers (OTP), Syringe Service Programs, community health centers, hospital emergency departments, and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county Houses of</w:t>
      </w:r>
      <w:r w:rsidRPr="006B368D">
        <w:rPr>
          <w:color w:val="000000" w:themeColor="text1"/>
          <w:spacing w:val="4"/>
          <w:sz w:val="23"/>
        </w:rPr>
        <w:t xml:space="preserve"> </w:t>
      </w:r>
      <w:r w:rsidRPr="006B368D">
        <w:rPr>
          <w:color w:val="000000" w:themeColor="text1"/>
          <w:sz w:val="23"/>
        </w:rPr>
        <w:t>Correction.</w:t>
      </w:r>
    </w:p>
    <w:p w14:paraId="1A86C9AD" w14:textId="77777777" w:rsidR="0068593A" w:rsidRPr="006B368D" w:rsidRDefault="0068593A">
      <w:pPr>
        <w:pStyle w:val="BodyText"/>
        <w:spacing w:before="2"/>
        <w:rPr>
          <w:color w:val="000000" w:themeColor="text1"/>
          <w:sz w:val="24"/>
        </w:rPr>
      </w:pPr>
    </w:p>
    <w:p w14:paraId="3FF3C34C" w14:textId="77777777" w:rsidR="0068593A" w:rsidRPr="006B368D" w:rsidRDefault="00422AE8">
      <w:pPr>
        <w:pStyle w:val="ListParagraph"/>
        <w:numPr>
          <w:ilvl w:val="0"/>
          <w:numId w:val="1"/>
        </w:numPr>
        <w:tabs>
          <w:tab w:val="left" w:pos="787"/>
        </w:tabs>
        <w:spacing w:line="249" w:lineRule="auto"/>
        <w:ind w:right="173"/>
        <w:rPr>
          <w:color w:val="000000" w:themeColor="text1"/>
          <w:sz w:val="23"/>
        </w:rPr>
      </w:pPr>
      <w:r w:rsidRPr="006B368D">
        <w:rPr>
          <w:color w:val="000000" w:themeColor="text1"/>
          <w:sz w:val="23"/>
        </w:rPr>
        <w:t xml:space="preserve">Implementing a </w:t>
      </w:r>
      <w:r w:rsidRPr="006B368D">
        <w:rPr>
          <w:b/>
          <w:color w:val="000000" w:themeColor="text1"/>
          <w:sz w:val="23"/>
        </w:rPr>
        <w:t xml:space="preserve">new standing order for naloxone </w:t>
      </w:r>
      <w:r w:rsidRPr="006B368D">
        <w:rPr>
          <w:color w:val="000000" w:themeColor="text1"/>
          <w:sz w:val="23"/>
        </w:rPr>
        <w:t xml:space="preserve">allowing providers/organizations such as </w:t>
      </w:r>
      <w:r w:rsidRPr="006B368D">
        <w:rPr>
          <w:b/>
          <w:color w:val="000000" w:themeColor="text1"/>
          <w:sz w:val="23"/>
        </w:rPr>
        <w:t>first responders</w:t>
      </w:r>
      <w:r w:rsidRPr="006B368D">
        <w:rPr>
          <w:b/>
          <w:color w:val="000000" w:themeColor="text1"/>
          <w:sz w:val="23"/>
        </w:rPr>
        <w:t>, co-response/jail</w:t>
      </w:r>
      <w:r w:rsidRPr="006B368D">
        <w:rPr>
          <w:b/>
          <w:color w:val="000000" w:themeColor="text1"/>
          <w:spacing w:val="1"/>
          <w:sz w:val="23"/>
        </w:rPr>
        <w:t xml:space="preserve"> </w:t>
      </w:r>
      <w:r w:rsidRPr="006B368D">
        <w:rPr>
          <w:b/>
          <w:color w:val="000000" w:themeColor="text1"/>
          <w:sz w:val="23"/>
        </w:rPr>
        <w:t xml:space="preserve">diversion teams, criminal justice personnel, and health and human services workers </w:t>
      </w:r>
      <w:r w:rsidRPr="006B368D">
        <w:rPr>
          <w:color w:val="000000" w:themeColor="text1"/>
          <w:sz w:val="23"/>
        </w:rPr>
        <w:t>(such as those in homeless shelters,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drop-in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centers,</w:t>
      </w:r>
      <w:r w:rsidRPr="006B368D">
        <w:rPr>
          <w:color w:val="000000" w:themeColor="text1"/>
          <w:spacing w:val="4"/>
          <w:sz w:val="23"/>
        </w:rPr>
        <w:t xml:space="preserve"> </w:t>
      </w:r>
      <w:r w:rsidRPr="006B368D">
        <w:rPr>
          <w:color w:val="000000" w:themeColor="text1"/>
          <w:sz w:val="23"/>
        </w:rPr>
        <w:t>and</w:t>
      </w:r>
      <w:r w:rsidRPr="006B368D">
        <w:rPr>
          <w:color w:val="000000" w:themeColor="text1"/>
          <w:spacing w:val="-1"/>
          <w:sz w:val="23"/>
        </w:rPr>
        <w:t xml:space="preserve"> </w:t>
      </w:r>
      <w:r w:rsidRPr="006B368D">
        <w:rPr>
          <w:color w:val="000000" w:themeColor="text1"/>
          <w:sz w:val="23"/>
        </w:rPr>
        <w:t>soup</w:t>
      </w:r>
      <w:r w:rsidRPr="006B368D">
        <w:rPr>
          <w:color w:val="000000" w:themeColor="text1"/>
          <w:spacing w:val="2"/>
          <w:sz w:val="23"/>
        </w:rPr>
        <w:t xml:space="preserve"> </w:t>
      </w:r>
      <w:r w:rsidRPr="006B368D">
        <w:rPr>
          <w:color w:val="000000" w:themeColor="text1"/>
          <w:sz w:val="23"/>
        </w:rPr>
        <w:t>kitchens) to give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naloxone</w:t>
      </w:r>
      <w:r w:rsidRPr="006B368D">
        <w:rPr>
          <w:color w:val="000000" w:themeColor="text1"/>
          <w:spacing w:val="4"/>
          <w:sz w:val="23"/>
        </w:rPr>
        <w:t xml:space="preserve"> </w:t>
      </w:r>
      <w:r w:rsidRPr="006B368D">
        <w:rPr>
          <w:color w:val="000000" w:themeColor="text1"/>
          <w:sz w:val="23"/>
        </w:rPr>
        <w:t>to</w:t>
      </w:r>
      <w:r w:rsidRPr="006B368D">
        <w:rPr>
          <w:color w:val="000000" w:themeColor="text1"/>
          <w:spacing w:val="-1"/>
          <w:sz w:val="23"/>
        </w:rPr>
        <w:t xml:space="preserve"> </w:t>
      </w:r>
      <w:r w:rsidRPr="006B368D">
        <w:rPr>
          <w:color w:val="000000" w:themeColor="text1"/>
          <w:sz w:val="23"/>
        </w:rPr>
        <w:t>individuals</w:t>
      </w:r>
      <w:r w:rsidRPr="006B368D">
        <w:rPr>
          <w:color w:val="000000" w:themeColor="text1"/>
          <w:spacing w:val="3"/>
          <w:sz w:val="23"/>
        </w:rPr>
        <w:t xml:space="preserve"> </w:t>
      </w:r>
      <w:r w:rsidRPr="006B368D">
        <w:rPr>
          <w:color w:val="000000" w:themeColor="text1"/>
          <w:sz w:val="23"/>
        </w:rPr>
        <w:t>at risk and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their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friends/family.</w:t>
      </w:r>
    </w:p>
    <w:p w14:paraId="0597FF19" w14:textId="77777777" w:rsidR="0068593A" w:rsidRPr="006B368D" w:rsidRDefault="0068593A">
      <w:pPr>
        <w:pStyle w:val="BodyText"/>
        <w:spacing w:before="4"/>
        <w:rPr>
          <w:color w:val="000000" w:themeColor="text1"/>
          <w:sz w:val="24"/>
        </w:rPr>
      </w:pPr>
    </w:p>
    <w:p w14:paraId="3322164F" w14:textId="77777777" w:rsidR="0068593A" w:rsidRPr="006B368D" w:rsidRDefault="00422AE8">
      <w:pPr>
        <w:pStyle w:val="ListParagraph"/>
        <w:numPr>
          <w:ilvl w:val="0"/>
          <w:numId w:val="1"/>
        </w:numPr>
        <w:tabs>
          <w:tab w:val="left" w:pos="787"/>
        </w:tabs>
        <w:spacing w:line="249" w:lineRule="auto"/>
        <w:ind w:right="168"/>
        <w:rPr>
          <w:color w:val="000000" w:themeColor="text1"/>
          <w:sz w:val="23"/>
        </w:rPr>
      </w:pPr>
      <w:r w:rsidRPr="006B368D">
        <w:rPr>
          <w:color w:val="000000" w:themeColor="text1"/>
          <w:sz w:val="23"/>
        </w:rPr>
        <w:t xml:space="preserve">Obtaining a </w:t>
      </w:r>
      <w:r w:rsidRPr="006B368D">
        <w:rPr>
          <w:b/>
          <w:color w:val="000000" w:themeColor="text1"/>
          <w:sz w:val="23"/>
        </w:rPr>
        <w:t>bl</w:t>
      </w:r>
      <w:r w:rsidRPr="006B368D">
        <w:rPr>
          <w:b/>
          <w:color w:val="000000" w:themeColor="text1"/>
          <w:sz w:val="23"/>
        </w:rPr>
        <w:t xml:space="preserve">anket exception </w:t>
      </w:r>
      <w:r w:rsidRPr="006B368D">
        <w:rPr>
          <w:color w:val="000000" w:themeColor="text1"/>
          <w:sz w:val="23"/>
        </w:rPr>
        <w:t>from SAMHSA on behalf of Massachusetts Opioid Treatment Programs (OTP) for take home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 xml:space="preserve">doses of MOUD. As of December 2020, </w:t>
      </w:r>
      <w:r w:rsidRPr="006B368D">
        <w:rPr>
          <w:b/>
          <w:color w:val="000000" w:themeColor="text1"/>
          <w:sz w:val="23"/>
        </w:rPr>
        <w:t>48.5% of OTP patients are receiving take home doses</w:t>
      </w:r>
      <w:r w:rsidRPr="006B368D">
        <w:rPr>
          <w:color w:val="000000" w:themeColor="text1"/>
          <w:sz w:val="23"/>
        </w:rPr>
        <w:t>, compared to the pre-COVID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average</w:t>
      </w:r>
      <w:r w:rsidRPr="006B368D">
        <w:rPr>
          <w:color w:val="000000" w:themeColor="text1"/>
          <w:spacing w:val="4"/>
          <w:sz w:val="23"/>
        </w:rPr>
        <w:t xml:space="preserve"> </w:t>
      </w:r>
      <w:r w:rsidRPr="006B368D">
        <w:rPr>
          <w:color w:val="000000" w:themeColor="text1"/>
          <w:sz w:val="23"/>
        </w:rPr>
        <w:t>of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15.6%</w:t>
      </w:r>
      <w:r w:rsidRPr="006B368D">
        <w:rPr>
          <w:color w:val="000000" w:themeColor="text1"/>
          <w:spacing w:val="2"/>
          <w:sz w:val="23"/>
        </w:rPr>
        <w:t xml:space="preserve"> </w:t>
      </w:r>
      <w:r w:rsidRPr="006B368D">
        <w:rPr>
          <w:color w:val="000000" w:themeColor="text1"/>
          <w:sz w:val="23"/>
        </w:rPr>
        <w:t>in December</w:t>
      </w:r>
      <w:r w:rsidRPr="006B368D">
        <w:rPr>
          <w:color w:val="000000" w:themeColor="text1"/>
          <w:spacing w:val="-1"/>
          <w:sz w:val="23"/>
        </w:rPr>
        <w:t xml:space="preserve"> </w:t>
      </w:r>
      <w:r w:rsidRPr="006B368D">
        <w:rPr>
          <w:color w:val="000000" w:themeColor="text1"/>
          <w:sz w:val="23"/>
        </w:rPr>
        <w:t>2019.</w:t>
      </w:r>
    </w:p>
    <w:p w14:paraId="3DBE9F54" w14:textId="77777777" w:rsidR="0068593A" w:rsidRPr="006B368D" w:rsidRDefault="0068593A">
      <w:pPr>
        <w:pStyle w:val="BodyText"/>
        <w:spacing w:before="3"/>
        <w:rPr>
          <w:color w:val="000000" w:themeColor="text1"/>
          <w:sz w:val="24"/>
        </w:rPr>
      </w:pPr>
    </w:p>
    <w:p w14:paraId="54F3300F" w14:textId="77777777" w:rsidR="0068593A" w:rsidRPr="006B368D" w:rsidRDefault="00422AE8">
      <w:pPr>
        <w:pStyle w:val="ListParagraph"/>
        <w:numPr>
          <w:ilvl w:val="0"/>
          <w:numId w:val="1"/>
        </w:numPr>
        <w:tabs>
          <w:tab w:val="left" w:pos="787"/>
        </w:tabs>
        <w:spacing w:line="252" w:lineRule="auto"/>
        <w:ind w:right="170"/>
        <w:rPr>
          <w:color w:val="000000" w:themeColor="text1"/>
          <w:sz w:val="23"/>
        </w:rPr>
      </w:pPr>
      <w:r w:rsidRPr="006B368D">
        <w:rPr>
          <w:color w:val="000000" w:themeColor="text1"/>
          <w:sz w:val="23"/>
        </w:rPr>
        <w:t xml:space="preserve">Implementing the broad adoption of a DEA waiver allowing prescriptions for </w:t>
      </w:r>
      <w:r w:rsidRPr="006B368D">
        <w:rPr>
          <w:b/>
          <w:color w:val="000000" w:themeColor="text1"/>
          <w:sz w:val="23"/>
        </w:rPr>
        <w:t>buprenorphine and naltrexone to patients for</w:t>
      </w:r>
      <w:r w:rsidRPr="006B368D">
        <w:rPr>
          <w:b/>
          <w:color w:val="000000" w:themeColor="text1"/>
          <w:spacing w:val="1"/>
          <w:sz w:val="23"/>
        </w:rPr>
        <w:t xml:space="preserve"> </w:t>
      </w:r>
      <w:r w:rsidRPr="006B368D">
        <w:rPr>
          <w:b/>
          <w:color w:val="000000" w:themeColor="text1"/>
          <w:sz w:val="23"/>
        </w:rPr>
        <w:t>whom</w:t>
      </w:r>
      <w:r w:rsidRPr="006B368D">
        <w:rPr>
          <w:b/>
          <w:color w:val="000000" w:themeColor="text1"/>
          <w:spacing w:val="-6"/>
          <w:sz w:val="23"/>
        </w:rPr>
        <w:t xml:space="preserve"> </w:t>
      </w:r>
      <w:r w:rsidRPr="006B368D">
        <w:rPr>
          <w:b/>
          <w:color w:val="000000" w:themeColor="text1"/>
          <w:sz w:val="23"/>
        </w:rPr>
        <w:t>providers</w:t>
      </w:r>
      <w:r w:rsidRPr="006B368D">
        <w:rPr>
          <w:b/>
          <w:color w:val="000000" w:themeColor="text1"/>
          <w:spacing w:val="2"/>
          <w:sz w:val="23"/>
        </w:rPr>
        <w:t xml:space="preserve"> </w:t>
      </w:r>
      <w:r w:rsidRPr="006B368D">
        <w:rPr>
          <w:b/>
          <w:color w:val="000000" w:themeColor="text1"/>
          <w:sz w:val="23"/>
        </w:rPr>
        <w:t>have</w:t>
      </w:r>
      <w:r w:rsidRPr="006B368D">
        <w:rPr>
          <w:b/>
          <w:color w:val="000000" w:themeColor="text1"/>
          <w:spacing w:val="-2"/>
          <w:sz w:val="23"/>
        </w:rPr>
        <w:t xml:space="preserve"> </w:t>
      </w:r>
      <w:r w:rsidRPr="006B368D">
        <w:rPr>
          <w:b/>
          <w:color w:val="000000" w:themeColor="text1"/>
          <w:sz w:val="23"/>
        </w:rPr>
        <w:t>conducted</w:t>
      </w:r>
      <w:r w:rsidRPr="006B368D">
        <w:rPr>
          <w:b/>
          <w:color w:val="000000" w:themeColor="text1"/>
          <w:spacing w:val="-3"/>
          <w:sz w:val="23"/>
        </w:rPr>
        <w:t xml:space="preserve"> </w:t>
      </w:r>
      <w:r w:rsidRPr="006B368D">
        <w:rPr>
          <w:b/>
          <w:color w:val="000000" w:themeColor="text1"/>
          <w:sz w:val="23"/>
        </w:rPr>
        <w:t>telehealth</w:t>
      </w:r>
      <w:r w:rsidRPr="006B368D">
        <w:rPr>
          <w:b/>
          <w:color w:val="000000" w:themeColor="text1"/>
          <w:spacing w:val="1"/>
          <w:sz w:val="23"/>
        </w:rPr>
        <w:t xml:space="preserve"> </w:t>
      </w:r>
      <w:r w:rsidRPr="006B368D">
        <w:rPr>
          <w:b/>
          <w:color w:val="000000" w:themeColor="text1"/>
          <w:sz w:val="23"/>
        </w:rPr>
        <w:t>sessions</w:t>
      </w:r>
      <w:r w:rsidRPr="006B368D">
        <w:rPr>
          <w:color w:val="000000" w:themeColor="text1"/>
          <w:sz w:val="23"/>
        </w:rPr>
        <w:t>,</w:t>
      </w:r>
      <w:r w:rsidRPr="006B368D">
        <w:rPr>
          <w:color w:val="000000" w:themeColor="text1"/>
          <w:spacing w:val="-3"/>
          <w:sz w:val="23"/>
        </w:rPr>
        <w:t xml:space="preserve"> </w:t>
      </w:r>
      <w:r w:rsidRPr="006B368D">
        <w:rPr>
          <w:color w:val="000000" w:themeColor="text1"/>
          <w:sz w:val="23"/>
        </w:rPr>
        <w:t>as</w:t>
      </w:r>
      <w:r w:rsidRPr="006B368D">
        <w:rPr>
          <w:color w:val="000000" w:themeColor="text1"/>
          <w:spacing w:val="2"/>
          <w:sz w:val="23"/>
        </w:rPr>
        <w:t xml:space="preserve"> </w:t>
      </w:r>
      <w:r w:rsidRPr="006B368D">
        <w:rPr>
          <w:color w:val="000000" w:themeColor="text1"/>
          <w:sz w:val="23"/>
        </w:rPr>
        <w:t>well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as</w:t>
      </w:r>
      <w:r w:rsidRPr="006B368D">
        <w:rPr>
          <w:color w:val="000000" w:themeColor="text1"/>
          <w:spacing w:val="-2"/>
          <w:sz w:val="23"/>
        </w:rPr>
        <w:t xml:space="preserve"> </w:t>
      </w:r>
      <w:r w:rsidRPr="006B368D">
        <w:rPr>
          <w:color w:val="000000" w:themeColor="text1"/>
          <w:sz w:val="23"/>
        </w:rPr>
        <w:t>induct</w:t>
      </w:r>
      <w:r w:rsidRPr="006B368D">
        <w:rPr>
          <w:color w:val="000000" w:themeColor="text1"/>
          <w:spacing w:val="3"/>
          <w:sz w:val="23"/>
        </w:rPr>
        <w:t xml:space="preserve"> </w:t>
      </w:r>
      <w:r w:rsidRPr="006B368D">
        <w:rPr>
          <w:color w:val="000000" w:themeColor="text1"/>
          <w:sz w:val="23"/>
        </w:rPr>
        <w:t>patients on</w:t>
      </w:r>
      <w:r w:rsidRPr="006B368D">
        <w:rPr>
          <w:color w:val="000000" w:themeColor="text1"/>
          <w:spacing w:val="-2"/>
          <w:sz w:val="23"/>
        </w:rPr>
        <w:t xml:space="preserve"> </w:t>
      </w:r>
      <w:r w:rsidRPr="006B368D">
        <w:rPr>
          <w:color w:val="000000" w:themeColor="text1"/>
          <w:sz w:val="23"/>
        </w:rPr>
        <w:t>buprenorphine</w:t>
      </w:r>
      <w:r w:rsidRPr="006B368D">
        <w:rPr>
          <w:color w:val="000000" w:themeColor="text1"/>
          <w:spacing w:val="4"/>
          <w:sz w:val="23"/>
        </w:rPr>
        <w:t xml:space="preserve"> </w:t>
      </w:r>
      <w:r w:rsidRPr="006B368D">
        <w:rPr>
          <w:color w:val="000000" w:themeColor="text1"/>
          <w:sz w:val="23"/>
        </w:rPr>
        <w:t>and naltrexone.</w:t>
      </w:r>
    </w:p>
    <w:p w14:paraId="1087816D" w14:textId="77777777" w:rsidR="0068593A" w:rsidRPr="006B368D" w:rsidRDefault="0068593A">
      <w:pPr>
        <w:pStyle w:val="BodyText"/>
        <w:spacing w:before="8"/>
        <w:rPr>
          <w:color w:val="000000" w:themeColor="text1"/>
        </w:rPr>
      </w:pPr>
    </w:p>
    <w:p w14:paraId="397CDB22" w14:textId="77777777" w:rsidR="0068593A" w:rsidRPr="006B368D" w:rsidRDefault="00422AE8">
      <w:pPr>
        <w:pStyle w:val="ListParagraph"/>
        <w:numPr>
          <w:ilvl w:val="0"/>
          <w:numId w:val="1"/>
        </w:numPr>
        <w:tabs>
          <w:tab w:val="left" w:pos="787"/>
        </w:tabs>
        <w:spacing w:line="249" w:lineRule="auto"/>
        <w:ind w:right="171"/>
        <w:rPr>
          <w:color w:val="000000" w:themeColor="text1"/>
          <w:sz w:val="23"/>
        </w:rPr>
      </w:pPr>
      <w:r w:rsidRPr="006B368D">
        <w:rPr>
          <w:color w:val="000000" w:themeColor="text1"/>
          <w:sz w:val="23"/>
        </w:rPr>
        <w:t xml:space="preserve">Reimbursing contracted Office Based Opioid Treatment (OBOT) providers for </w:t>
      </w:r>
      <w:r w:rsidRPr="006B368D">
        <w:rPr>
          <w:b/>
          <w:color w:val="000000" w:themeColor="text1"/>
          <w:sz w:val="23"/>
        </w:rPr>
        <w:t xml:space="preserve">cell phones and data plans </w:t>
      </w:r>
      <w:r w:rsidRPr="006B368D">
        <w:rPr>
          <w:color w:val="000000" w:themeColor="text1"/>
          <w:sz w:val="23"/>
        </w:rPr>
        <w:t>to maintain patients’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ability to keep in</w:t>
      </w:r>
      <w:r w:rsidRPr="006B368D">
        <w:rPr>
          <w:color w:val="000000" w:themeColor="text1"/>
          <w:spacing w:val="2"/>
          <w:sz w:val="23"/>
        </w:rPr>
        <w:t xml:space="preserve"> </w:t>
      </w:r>
      <w:r w:rsidRPr="006B368D">
        <w:rPr>
          <w:color w:val="000000" w:themeColor="text1"/>
          <w:sz w:val="23"/>
        </w:rPr>
        <w:t>contact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with</w:t>
      </w:r>
      <w:r w:rsidRPr="006B368D">
        <w:rPr>
          <w:color w:val="000000" w:themeColor="text1"/>
          <w:spacing w:val="5"/>
          <w:sz w:val="23"/>
        </w:rPr>
        <w:t xml:space="preserve"> </w:t>
      </w:r>
      <w:r w:rsidRPr="006B368D">
        <w:rPr>
          <w:color w:val="000000" w:themeColor="text1"/>
          <w:sz w:val="23"/>
        </w:rPr>
        <w:t>their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providers</w:t>
      </w:r>
      <w:r w:rsidRPr="006B368D">
        <w:rPr>
          <w:color w:val="000000" w:themeColor="text1"/>
          <w:spacing w:val="5"/>
          <w:sz w:val="23"/>
        </w:rPr>
        <w:t xml:space="preserve"> </w:t>
      </w:r>
      <w:r w:rsidRPr="006B368D">
        <w:rPr>
          <w:color w:val="000000" w:themeColor="text1"/>
          <w:sz w:val="23"/>
        </w:rPr>
        <w:t>for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telehealth.</w:t>
      </w:r>
    </w:p>
    <w:p w14:paraId="05EF8B76" w14:textId="77777777" w:rsidR="0068593A" w:rsidRPr="006B368D" w:rsidRDefault="0068593A">
      <w:pPr>
        <w:pStyle w:val="BodyText"/>
        <w:spacing w:before="2"/>
        <w:rPr>
          <w:color w:val="000000" w:themeColor="text1"/>
          <w:sz w:val="24"/>
        </w:rPr>
      </w:pPr>
    </w:p>
    <w:p w14:paraId="51C5D4C1" w14:textId="77777777" w:rsidR="0068593A" w:rsidRPr="006B368D" w:rsidRDefault="00422AE8">
      <w:pPr>
        <w:pStyle w:val="ListParagraph"/>
        <w:numPr>
          <w:ilvl w:val="0"/>
          <w:numId w:val="1"/>
        </w:numPr>
        <w:tabs>
          <w:tab w:val="left" w:pos="787"/>
        </w:tabs>
        <w:spacing w:line="249" w:lineRule="auto"/>
        <w:ind w:right="173"/>
        <w:rPr>
          <w:color w:val="000000" w:themeColor="text1"/>
          <w:sz w:val="23"/>
        </w:rPr>
      </w:pPr>
      <w:r w:rsidRPr="006B368D">
        <w:rPr>
          <w:color w:val="000000" w:themeColor="text1"/>
          <w:sz w:val="23"/>
        </w:rPr>
        <w:t xml:space="preserve">Establishing </w:t>
      </w:r>
      <w:r w:rsidRPr="006B368D">
        <w:rPr>
          <w:b/>
          <w:color w:val="000000" w:themeColor="text1"/>
          <w:sz w:val="23"/>
        </w:rPr>
        <w:t xml:space="preserve">COVID+ ATS and CSS units </w:t>
      </w:r>
      <w:r w:rsidRPr="006B368D">
        <w:rPr>
          <w:color w:val="000000" w:themeColor="text1"/>
          <w:sz w:val="23"/>
        </w:rPr>
        <w:t>to facilitate positive patient transfers and maintain capacity within the rest of the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treatment system.</w:t>
      </w:r>
    </w:p>
    <w:p w14:paraId="2D7FD45E" w14:textId="77777777" w:rsidR="0068593A" w:rsidRPr="006B368D" w:rsidRDefault="0068593A">
      <w:pPr>
        <w:pStyle w:val="BodyText"/>
        <w:spacing w:before="3"/>
        <w:rPr>
          <w:color w:val="000000" w:themeColor="text1"/>
          <w:sz w:val="24"/>
        </w:rPr>
      </w:pPr>
    </w:p>
    <w:p w14:paraId="1C02F557" w14:textId="77777777" w:rsidR="0068593A" w:rsidRPr="006B368D" w:rsidRDefault="00422AE8">
      <w:pPr>
        <w:pStyle w:val="ListParagraph"/>
        <w:numPr>
          <w:ilvl w:val="0"/>
          <w:numId w:val="1"/>
        </w:numPr>
        <w:tabs>
          <w:tab w:val="left" w:pos="787"/>
        </w:tabs>
        <w:spacing w:line="249" w:lineRule="auto"/>
        <w:ind w:right="172"/>
        <w:rPr>
          <w:color w:val="000000" w:themeColor="text1"/>
          <w:sz w:val="23"/>
        </w:rPr>
      </w:pPr>
      <w:r w:rsidRPr="006B368D">
        <w:rPr>
          <w:color w:val="000000" w:themeColor="text1"/>
          <w:sz w:val="23"/>
        </w:rPr>
        <w:t xml:space="preserve">Leveraging the second round of </w:t>
      </w:r>
      <w:r w:rsidRPr="006B368D">
        <w:rPr>
          <w:b/>
          <w:color w:val="000000" w:themeColor="text1"/>
          <w:sz w:val="23"/>
        </w:rPr>
        <w:t xml:space="preserve">State Opioid Response (SOR) funding </w:t>
      </w:r>
      <w:r w:rsidRPr="006B368D">
        <w:rPr>
          <w:color w:val="000000" w:themeColor="text1"/>
          <w:sz w:val="23"/>
        </w:rPr>
        <w:t>from SAMHSA to increase access in Massachusetts to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all</w:t>
      </w:r>
      <w:r w:rsidRPr="006B368D">
        <w:rPr>
          <w:color w:val="000000" w:themeColor="text1"/>
          <w:spacing w:val="-1"/>
          <w:sz w:val="23"/>
        </w:rPr>
        <w:t xml:space="preserve"> </w:t>
      </w:r>
      <w:r w:rsidRPr="006B368D">
        <w:rPr>
          <w:color w:val="000000" w:themeColor="text1"/>
          <w:sz w:val="23"/>
        </w:rPr>
        <w:t>FDA-approved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forms</w:t>
      </w:r>
      <w:r w:rsidRPr="006B368D">
        <w:rPr>
          <w:color w:val="000000" w:themeColor="text1"/>
          <w:spacing w:val="-4"/>
          <w:sz w:val="23"/>
        </w:rPr>
        <w:t xml:space="preserve"> </w:t>
      </w:r>
      <w:r w:rsidRPr="006B368D">
        <w:rPr>
          <w:color w:val="000000" w:themeColor="text1"/>
          <w:sz w:val="23"/>
        </w:rPr>
        <w:t>of MOUD,</w:t>
      </w:r>
      <w:r w:rsidRPr="006B368D">
        <w:rPr>
          <w:color w:val="000000" w:themeColor="text1"/>
          <w:spacing w:val="4"/>
          <w:sz w:val="23"/>
        </w:rPr>
        <w:t xml:space="preserve"> </w:t>
      </w:r>
      <w:r w:rsidRPr="006B368D">
        <w:rPr>
          <w:color w:val="000000" w:themeColor="text1"/>
          <w:sz w:val="23"/>
        </w:rPr>
        <w:t>r</w:t>
      </w:r>
      <w:r w:rsidRPr="006B368D">
        <w:rPr>
          <w:color w:val="000000" w:themeColor="text1"/>
          <w:sz w:val="23"/>
        </w:rPr>
        <w:t>educe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unmet</w:t>
      </w:r>
      <w:r w:rsidRPr="006B368D">
        <w:rPr>
          <w:color w:val="000000" w:themeColor="text1"/>
          <w:spacing w:val="-4"/>
          <w:sz w:val="23"/>
        </w:rPr>
        <w:t xml:space="preserve"> </w:t>
      </w:r>
      <w:r w:rsidRPr="006B368D">
        <w:rPr>
          <w:color w:val="000000" w:themeColor="text1"/>
          <w:sz w:val="23"/>
        </w:rPr>
        <w:t>treatment</w:t>
      </w:r>
      <w:r w:rsidRPr="006B368D">
        <w:rPr>
          <w:color w:val="000000" w:themeColor="text1"/>
          <w:spacing w:val="2"/>
          <w:sz w:val="23"/>
        </w:rPr>
        <w:t xml:space="preserve"> </w:t>
      </w:r>
      <w:r w:rsidRPr="006B368D">
        <w:rPr>
          <w:color w:val="000000" w:themeColor="text1"/>
          <w:sz w:val="23"/>
        </w:rPr>
        <w:t>needs,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and</w:t>
      </w:r>
      <w:r w:rsidRPr="006B368D">
        <w:rPr>
          <w:color w:val="000000" w:themeColor="text1"/>
          <w:spacing w:val="2"/>
          <w:sz w:val="23"/>
        </w:rPr>
        <w:t xml:space="preserve"> </w:t>
      </w:r>
      <w:r w:rsidRPr="006B368D">
        <w:rPr>
          <w:color w:val="000000" w:themeColor="text1"/>
          <w:sz w:val="23"/>
        </w:rPr>
        <w:t>reduce</w:t>
      </w:r>
      <w:r w:rsidRPr="006B368D">
        <w:rPr>
          <w:color w:val="000000" w:themeColor="text1"/>
          <w:spacing w:val="-1"/>
          <w:sz w:val="23"/>
        </w:rPr>
        <w:t xml:space="preserve"> </w:t>
      </w:r>
      <w:r w:rsidRPr="006B368D">
        <w:rPr>
          <w:color w:val="000000" w:themeColor="text1"/>
          <w:sz w:val="23"/>
        </w:rPr>
        <w:t>opioid/stimulant misuse</w:t>
      </w:r>
      <w:r w:rsidRPr="006B368D">
        <w:rPr>
          <w:color w:val="000000" w:themeColor="text1"/>
          <w:spacing w:val="-6"/>
          <w:sz w:val="23"/>
        </w:rPr>
        <w:t xml:space="preserve"> </w:t>
      </w:r>
      <w:r w:rsidRPr="006B368D">
        <w:rPr>
          <w:color w:val="000000" w:themeColor="text1"/>
          <w:sz w:val="23"/>
        </w:rPr>
        <w:t>and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overdose.</w:t>
      </w:r>
    </w:p>
    <w:p w14:paraId="388AC041" w14:textId="77777777" w:rsidR="0068593A" w:rsidRPr="006B368D" w:rsidRDefault="0068593A">
      <w:pPr>
        <w:pStyle w:val="BodyText"/>
        <w:spacing w:before="1"/>
        <w:rPr>
          <w:color w:val="000000" w:themeColor="text1"/>
          <w:sz w:val="24"/>
        </w:rPr>
      </w:pPr>
    </w:p>
    <w:p w14:paraId="3DFE598D" w14:textId="77777777" w:rsidR="0068593A" w:rsidRPr="006B368D" w:rsidRDefault="00422AE8">
      <w:pPr>
        <w:pStyle w:val="ListParagraph"/>
        <w:numPr>
          <w:ilvl w:val="0"/>
          <w:numId w:val="1"/>
        </w:numPr>
        <w:tabs>
          <w:tab w:val="left" w:pos="787"/>
        </w:tabs>
        <w:spacing w:before="1" w:line="249" w:lineRule="auto"/>
        <w:ind w:right="169"/>
        <w:rPr>
          <w:color w:val="000000" w:themeColor="text1"/>
          <w:sz w:val="23"/>
        </w:rPr>
      </w:pPr>
      <w:r w:rsidRPr="006B368D">
        <w:rPr>
          <w:color w:val="000000" w:themeColor="text1"/>
          <w:sz w:val="23"/>
        </w:rPr>
        <w:t xml:space="preserve">Working with programs to </w:t>
      </w:r>
      <w:r w:rsidRPr="006B368D">
        <w:rPr>
          <w:b/>
          <w:color w:val="000000" w:themeColor="text1"/>
          <w:sz w:val="23"/>
        </w:rPr>
        <w:t>prevent and mitigate the spread of COVID-19</w:t>
      </w:r>
      <w:r w:rsidRPr="006B368D">
        <w:rPr>
          <w:color w:val="000000" w:themeColor="text1"/>
          <w:sz w:val="23"/>
        </w:rPr>
        <w:t>, including distributing guidance on surveillance testing,</w:t>
      </w:r>
      <w:r w:rsidRPr="006B368D">
        <w:rPr>
          <w:color w:val="000000" w:themeColor="text1"/>
          <w:spacing w:val="-61"/>
          <w:sz w:val="23"/>
        </w:rPr>
        <w:t xml:space="preserve"> </w:t>
      </w:r>
      <w:r w:rsidRPr="006B368D">
        <w:rPr>
          <w:color w:val="000000" w:themeColor="text1"/>
          <w:sz w:val="23"/>
        </w:rPr>
        <w:t>screening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and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isolation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of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patients/staff,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and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increased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flexibility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in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bed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allocation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between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different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service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settings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to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accommodate</w:t>
      </w:r>
      <w:r w:rsidRPr="006B368D">
        <w:rPr>
          <w:color w:val="000000" w:themeColor="text1"/>
          <w:spacing w:val="-5"/>
          <w:sz w:val="23"/>
        </w:rPr>
        <w:t xml:space="preserve"> </w:t>
      </w:r>
      <w:r w:rsidRPr="006B368D">
        <w:rPr>
          <w:color w:val="000000" w:themeColor="text1"/>
          <w:sz w:val="23"/>
        </w:rPr>
        <w:t>changing</w:t>
      </w:r>
      <w:r w:rsidRPr="006B368D">
        <w:rPr>
          <w:color w:val="000000" w:themeColor="text1"/>
          <w:spacing w:val="2"/>
          <w:sz w:val="23"/>
        </w:rPr>
        <w:t xml:space="preserve"> </w:t>
      </w:r>
      <w:r w:rsidRPr="006B368D">
        <w:rPr>
          <w:color w:val="000000" w:themeColor="text1"/>
          <w:sz w:val="23"/>
        </w:rPr>
        <w:t>patient</w:t>
      </w:r>
      <w:r w:rsidRPr="006B368D">
        <w:rPr>
          <w:color w:val="000000" w:themeColor="text1"/>
          <w:spacing w:val="2"/>
          <w:sz w:val="23"/>
        </w:rPr>
        <w:t xml:space="preserve"> </w:t>
      </w:r>
      <w:r w:rsidRPr="006B368D">
        <w:rPr>
          <w:color w:val="000000" w:themeColor="text1"/>
          <w:sz w:val="23"/>
        </w:rPr>
        <w:t>needs</w:t>
      </w:r>
      <w:r w:rsidRPr="006B368D">
        <w:rPr>
          <w:color w:val="000000" w:themeColor="text1"/>
          <w:spacing w:val="3"/>
          <w:sz w:val="23"/>
        </w:rPr>
        <w:t xml:space="preserve"> </w:t>
      </w:r>
      <w:r w:rsidRPr="006B368D">
        <w:rPr>
          <w:color w:val="000000" w:themeColor="text1"/>
          <w:sz w:val="23"/>
        </w:rPr>
        <w:t>at</w:t>
      </w:r>
      <w:r w:rsidRPr="006B368D">
        <w:rPr>
          <w:color w:val="000000" w:themeColor="text1"/>
          <w:spacing w:val="1"/>
          <w:sz w:val="23"/>
        </w:rPr>
        <w:t xml:space="preserve"> </w:t>
      </w:r>
      <w:r w:rsidRPr="006B368D">
        <w:rPr>
          <w:color w:val="000000" w:themeColor="text1"/>
          <w:sz w:val="23"/>
        </w:rPr>
        <w:t>individual</w:t>
      </w:r>
      <w:r w:rsidRPr="006B368D">
        <w:rPr>
          <w:color w:val="000000" w:themeColor="text1"/>
          <w:spacing w:val="2"/>
          <w:sz w:val="23"/>
        </w:rPr>
        <w:t xml:space="preserve"> </w:t>
      </w:r>
      <w:r w:rsidRPr="006B368D">
        <w:rPr>
          <w:color w:val="000000" w:themeColor="text1"/>
          <w:sz w:val="23"/>
        </w:rPr>
        <w:t>programs.</w:t>
      </w:r>
    </w:p>
    <w:sectPr w:rsidR="0068593A" w:rsidRPr="006B368D">
      <w:headerReference w:type="default" r:id="rId15"/>
      <w:pgSz w:w="14400" w:h="10800" w:orient="landscape"/>
      <w:pgMar w:top="0" w:right="200" w:bottom="280" w:left="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31EBC" w14:textId="77777777" w:rsidR="00422AE8" w:rsidRDefault="00422AE8">
      <w:r>
        <w:separator/>
      </w:r>
    </w:p>
  </w:endnote>
  <w:endnote w:type="continuationSeparator" w:id="0">
    <w:p w14:paraId="786BA321" w14:textId="77777777" w:rsidR="00422AE8" w:rsidRDefault="0042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AC7D6" w14:textId="77777777" w:rsidR="00422AE8" w:rsidRDefault="00422AE8">
      <w:r>
        <w:separator/>
      </w:r>
    </w:p>
  </w:footnote>
  <w:footnote w:type="continuationSeparator" w:id="0">
    <w:p w14:paraId="1BCF8280" w14:textId="77777777" w:rsidR="00422AE8" w:rsidRDefault="0042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D1455" w14:textId="77777777" w:rsidR="0068593A" w:rsidRDefault="00422AE8">
    <w:pPr>
      <w:pStyle w:val="BodyText"/>
      <w:spacing w:line="14" w:lineRule="auto"/>
      <w:rPr>
        <w:sz w:val="20"/>
      </w:rPr>
    </w:pPr>
    <w:r>
      <w:pict w14:anchorId="7C2965DE">
        <v:group id="docshapegroup95" o:spid="_x0000_s2049" alt="&quot;&quot;" style="position:absolute;margin-left:0;margin-top:0;width:10in;height:72.5pt;z-index:-251658240;mso-position-horizontal-relative:page;mso-position-vertical-relative:page" coordsize="14400,1450">
          <v:rect id="docshape96" o:spid="_x0000_s2050" alt="&quot;&quot;" style="position:absolute;top:-1;width:14400;height:856" fillcolor="#92a199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97" o:spid="_x0000_s2051" type="#_x0000_t75" alt="&quot;&quot;" style="position:absolute;left:12803;top:14;width:1436;height:1436">
            <v:imagedata r:id="rId1" o:title="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F8F1A" w14:textId="77777777" w:rsidR="0068593A" w:rsidRDefault="0068593A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BA64C" w14:textId="77777777" w:rsidR="0068593A" w:rsidRDefault="0068593A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46A4E" w14:textId="77777777" w:rsidR="0068593A" w:rsidRDefault="0068593A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C472F"/>
    <w:multiLevelType w:val="hybridMultilevel"/>
    <w:tmpl w:val="36B88546"/>
    <w:lvl w:ilvl="0" w:tplc="321E072A">
      <w:numFmt w:val="bullet"/>
      <w:lvlText w:val="•"/>
      <w:lvlJc w:val="left"/>
      <w:pPr>
        <w:ind w:left="786" w:hanging="452"/>
      </w:pPr>
      <w:rPr>
        <w:rFonts w:ascii="Arial" w:eastAsia="Arial" w:hAnsi="Arial" w:cs="Arial" w:hint="default"/>
        <w:b w:val="0"/>
        <w:bCs w:val="0"/>
        <w:i w:val="0"/>
        <w:iCs w:val="0"/>
        <w:color w:val="D2523B"/>
        <w:w w:val="100"/>
        <w:sz w:val="23"/>
        <w:szCs w:val="23"/>
        <w:lang w:val="en-US" w:eastAsia="en-US" w:bidi="ar-SA"/>
      </w:rPr>
    </w:lvl>
    <w:lvl w:ilvl="1" w:tplc="2B2C9968">
      <w:numFmt w:val="bullet"/>
      <w:lvlText w:val="•"/>
      <w:lvlJc w:val="left"/>
      <w:pPr>
        <w:ind w:left="2118" w:hanging="452"/>
      </w:pPr>
      <w:rPr>
        <w:rFonts w:hint="default"/>
        <w:lang w:val="en-US" w:eastAsia="en-US" w:bidi="ar-SA"/>
      </w:rPr>
    </w:lvl>
    <w:lvl w:ilvl="2" w:tplc="A718D6CA">
      <w:numFmt w:val="bullet"/>
      <w:lvlText w:val="•"/>
      <w:lvlJc w:val="left"/>
      <w:pPr>
        <w:ind w:left="3456" w:hanging="452"/>
      </w:pPr>
      <w:rPr>
        <w:rFonts w:hint="default"/>
        <w:lang w:val="en-US" w:eastAsia="en-US" w:bidi="ar-SA"/>
      </w:rPr>
    </w:lvl>
    <w:lvl w:ilvl="3" w:tplc="A314D73C">
      <w:numFmt w:val="bullet"/>
      <w:lvlText w:val="•"/>
      <w:lvlJc w:val="left"/>
      <w:pPr>
        <w:ind w:left="4794" w:hanging="452"/>
      </w:pPr>
      <w:rPr>
        <w:rFonts w:hint="default"/>
        <w:lang w:val="en-US" w:eastAsia="en-US" w:bidi="ar-SA"/>
      </w:rPr>
    </w:lvl>
    <w:lvl w:ilvl="4" w:tplc="D792B098">
      <w:numFmt w:val="bullet"/>
      <w:lvlText w:val="•"/>
      <w:lvlJc w:val="left"/>
      <w:pPr>
        <w:ind w:left="6132" w:hanging="452"/>
      </w:pPr>
      <w:rPr>
        <w:rFonts w:hint="default"/>
        <w:lang w:val="en-US" w:eastAsia="en-US" w:bidi="ar-SA"/>
      </w:rPr>
    </w:lvl>
    <w:lvl w:ilvl="5" w:tplc="2D2091C6">
      <w:numFmt w:val="bullet"/>
      <w:lvlText w:val="•"/>
      <w:lvlJc w:val="left"/>
      <w:pPr>
        <w:ind w:left="7470" w:hanging="452"/>
      </w:pPr>
      <w:rPr>
        <w:rFonts w:hint="default"/>
        <w:lang w:val="en-US" w:eastAsia="en-US" w:bidi="ar-SA"/>
      </w:rPr>
    </w:lvl>
    <w:lvl w:ilvl="6" w:tplc="E8D61E1E">
      <w:numFmt w:val="bullet"/>
      <w:lvlText w:val="•"/>
      <w:lvlJc w:val="left"/>
      <w:pPr>
        <w:ind w:left="8808" w:hanging="452"/>
      </w:pPr>
      <w:rPr>
        <w:rFonts w:hint="default"/>
        <w:lang w:val="en-US" w:eastAsia="en-US" w:bidi="ar-SA"/>
      </w:rPr>
    </w:lvl>
    <w:lvl w:ilvl="7" w:tplc="DBE8F6DA">
      <w:numFmt w:val="bullet"/>
      <w:lvlText w:val="•"/>
      <w:lvlJc w:val="left"/>
      <w:pPr>
        <w:ind w:left="10146" w:hanging="452"/>
      </w:pPr>
      <w:rPr>
        <w:rFonts w:hint="default"/>
        <w:lang w:val="en-US" w:eastAsia="en-US" w:bidi="ar-SA"/>
      </w:rPr>
    </w:lvl>
    <w:lvl w:ilvl="8" w:tplc="923C9BF8">
      <w:numFmt w:val="bullet"/>
      <w:lvlText w:val="•"/>
      <w:lvlJc w:val="left"/>
      <w:pPr>
        <w:ind w:left="11484" w:hanging="452"/>
      </w:pPr>
      <w:rPr>
        <w:rFonts w:hint="default"/>
        <w:lang w:val="en-US" w:eastAsia="en-US" w:bidi="ar-SA"/>
      </w:rPr>
    </w:lvl>
  </w:abstractNum>
  <w:abstractNum w:abstractNumId="1" w15:restartNumberingAfterBreak="0">
    <w:nsid w:val="0AA454B9"/>
    <w:multiLevelType w:val="hybridMultilevel"/>
    <w:tmpl w:val="FB24310E"/>
    <w:lvl w:ilvl="0" w:tplc="3FF63BAA">
      <w:numFmt w:val="bullet"/>
      <w:lvlText w:val="•"/>
      <w:lvlJc w:val="left"/>
      <w:pPr>
        <w:ind w:left="555" w:hanging="452"/>
      </w:pPr>
      <w:rPr>
        <w:rFonts w:ascii="Arial" w:eastAsia="Arial" w:hAnsi="Arial" w:cs="Arial" w:hint="default"/>
        <w:b w:val="0"/>
        <w:bCs w:val="0"/>
        <w:i w:val="0"/>
        <w:iCs w:val="0"/>
        <w:color w:val="D2523B"/>
        <w:w w:val="100"/>
        <w:sz w:val="36"/>
        <w:szCs w:val="36"/>
        <w:lang w:val="en-US" w:eastAsia="en-US" w:bidi="ar-SA"/>
      </w:rPr>
    </w:lvl>
    <w:lvl w:ilvl="1" w:tplc="7CBA93A4">
      <w:numFmt w:val="bullet"/>
      <w:lvlText w:val="o"/>
      <w:lvlJc w:val="left"/>
      <w:pPr>
        <w:ind w:left="1275" w:hanging="45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D2523B"/>
        <w:w w:val="100"/>
        <w:sz w:val="36"/>
        <w:szCs w:val="36"/>
        <w:lang w:val="en-US" w:eastAsia="en-US" w:bidi="ar-SA"/>
      </w:rPr>
    </w:lvl>
    <w:lvl w:ilvl="2" w:tplc="A1165682">
      <w:numFmt w:val="bullet"/>
      <w:lvlText w:val="•"/>
      <w:lvlJc w:val="left"/>
      <w:pPr>
        <w:ind w:left="2711" w:hanging="452"/>
      </w:pPr>
      <w:rPr>
        <w:rFonts w:hint="default"/>
        <w:lang w:val="en-US" w:eastAsia="en-US" w:bidi="ar-SA"/>
      </w:rPr>
    </w:lvl>
    <w:lvl w:ilvl="3" w:tplc="3E06B9C0">
      <w:numFmt w:val="bullet"/>
      <w:lvlText w:val="•"/>
      <w:lvlJc w:val="left"/>
      <w:pPr>
        <w:ind w:left="4142" w:hanging="452"/>
      </w:pPr>
      <w:rPr>
        <w:rFonts w:hint="default"/>
        <w:lang w:val="en-US" w:eastAsia="en-US" w:bidi="ar-SA"/>
      </w:rPr>
    </w:lvl>
    <w:lvl w:ilvl="4" w:tplc="74AC4C7C">
      <w:numFmt w:val="bullet"/>
      <w:lvlText w:val="•"/>
      <w:lvlJc w:val="left"/>
      <w:pPr>
        <w:ind w:left="5573" w:hanging="452"/>
      </w:pPr>
      <w:rPr>
        <w:rFonts w:hint="default"/>
        <w:lang w:val="en-US" w:eastAsia="en-US" w:bidi="ar-SA"/>
      </w:rPr>
    </w:lvl>
    <w:lvl w:ilvl="5" w:tplc="A17219BC">
      <w:numFmt w:val="bullet"/>
      <w:lvlText w:val="•"/>
      <w:lvlJc w:val="left"/>
      <w:pPr>
        <w:ind w:left="7004" w:hanging="452"/>
      </w:pPr>
      <w:rPr>
        <w:rFonts w:hint="default"/>
        <w:lang w:val="en-US" w:eastAsia="en-US" w:bidi="ar-SA"/>
      </w:rPr>
    </w:lvl>
    <w:lvl w:ilvl="6" w:tplc="A9EE8AE4">
      <w:numFmt w:val="bullet"/>
      <w:lvlText w:val="•"/>
      <w:lvlJc w:val="left"/>
      <w:pPr>
        <w:ind w:left="8435" w:hanging="452"/>
      </w:pPr>
      <w:rPr>
        <w:rFonts w:hint="default"/>
        <w:lang w:val="en-US" w:eastAsia="en-US" w:bidi="ar-SA"/>
      </w:rPr>
    </w:lvl>
    <w:lvl w:ilvl="7" w:tplc="E7D8F182">
      <w:numFmt w:val="bullet"/>
      <w:lvlText w:val="•"/>
      <w:lvlJc w:val="left"/>
      <w:pPr>
        <w:ind w:left="9866" w:hanging="452"/>
      </w:pPr>
      <w:rPr>
        <w:rFonts w:hint="default"/>
        <w:lang w:val="en-US" w:eastAsia="en-US" w:bidi="ar-SA"/>
      </w:rPr>
    </w:lvl>
    <w:lvl w:ilvl="8" w:tplc="941C83EA">
      <w:numFmt w:val="bullet"/>
      <w:lvlText w:val="•"/>
      <w:lvlJc w:val="left"/>
      <w:pPr>
        <w:ind w:left="11297" w:hanging="45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593A"/>
    <w:rsid w:val="00422AE8"/>
    <w:rsid w:val="0068593A"/>
    <w:rsid w:val="006B368D"/>
    <w:rsid w:val="006C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18748D3"/>
  <w15:docId w15:val="{E4FF9F9E-3FCB-3844-8811-AB55071F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68D"/>
    <w:pPr>
      <w:spacing w:before="84" w:line="249" w:lineRule="auto"/>
      <w:ind w:right="353"/>
      <w:outlineLvl w:val="0"/>
    </w:pPr>
    <w:rPr>
      <w:b/>
      <w:color w:val="000000" w:themeColor="text1"/>
      <w:spacing w:val="-1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368D"/>
    <w:pPr>
      <w:spacing w:before="84" w:line="249" w:lineRule="auto"/>
      <w:ind w:left="609" w:right="353" w:firstLine="6"/>
      <w:jc w:val="center"/>
      <w:outlineLvl w:val="1"/>
    </w:pPr>
    <w:rPr>
      <w:b/>
      <w:color w:val="000000" w:themeColor="text1"/>
      <w:spacing w:val="-18"/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786" w:right="117" w:hanging="4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6B368D"/>
    <w:rPr>
      <w:rFonts w:ascii="Arial" w:eastAsia="Arial" w:hAnsi="Arial" w:cs="Arial"/>
      <w:b/>
      <w:color w:val="000000" w:themeColor="text1"/>
      <w:spacing w:val="-1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368D"/>
    <w:rPr>
      <w:rFonts w:ascii="Arial" w:eastAsia="Arial" w:hAnsi="Arial" w:cs="Arial"/>
      <w:b/>
      <w:color w:val="000000" w:themeColor="text1"/>
      <w:spacing w:val="-18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Zoback, Scott (DPH)</dc:creator>
  <cp:lastModifiedBy>Lam, Vivian</cp:lastModifiedBy>
  <cp:revision>2</cp:revision>
  <dcterms:created xsi:type="dcterms:W3CDTF">2021-06-04T12:32:00Z</dcterms:created>
  <dcterms:modified xsi:type="dcterms:W3CDTF">2021-06-04T14:18:00Z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2021-06-04T00:00:00Z</vt:filetime>
  </property>
</Properties>
</file>