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A8C92" w14:textId="2D7ADDAB"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7BDA991E">
                <wp:simplePos x="0" y="0"/>
                <wp:positionH relativeFrom="margin">
                  <wp:posOffset>-50800</wp:posOffset>
                </wp:positionH>
                <wp:positionV relativeFrom="page">
                  <wp:posOffset>285750</wp:posOffset>
                </wp:positionV>
                <wp:extent cx="4927600"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39085D74"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110F6D">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110F6D">
                              <w:rPr>
                                <w:rFonts w:ascii="Times New Roman" w:hAnsi="Times New Roman" w:cs="Times New Roman"/>
                                <w:b/>
                                <w:bCs/>
                                <w:color w:val="FFFFFF" w:themeColor="background1"/>
                                <w:sz w:val="32"/>
                                <w:szCs w:val="32"/>
                                <w:u w:val="single"/>
                              </w:rPr>
                              <w:t>Vigilant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1068C" id="_x0000_t202" coordsize="21600,21600" o:spt="202" path="m,l,21600r21600,l21600,xe">
                <v:stroke joinstyle="miter"/>
                <v:path gradientshapeok="t" o:connecttype="rect"/>
              </v:shapetype>
              <v:shape id="Text Box 2" o:spid="_x0000_s1026" type="#_x0000_t202" style="position:absolute;margin-left:-4pt;margin-top:22.5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LopacH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58EB8711"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 xml:space="preserve">Reopen Approach for </w:t>
                      </w:r>
                      <w:r w:rsidR="00B87647">
                        <w:rPr>
                          <w:rFonts w:ascii="Times New Roman" w:hAnsi="Times New Roman" w:cs="Times New Roman"/>
                          <w:b/>
                          <w:bCs/>
                          <w:color w:val="FFFFFF" w:themeColor="background1"/>
                          <w:sz w:val="32"/>
                          <w:szCs w:val="32"/>
                        </w:rPr>
                        <w:t>Health Care Providers (Providers that are Not Acute Care Hospitals)</w:t>
                      </w:r>
                    </w:p>
                    <w:p w14:paraId="6D7F9F5D" w14:textId="39085D74"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110F6D">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110F6D">
                        <w:rPr>
                          <w:rFonts w:ascii="Times New Roman" w:hAnsi="Times New Roman" w:cs="Times New Roman"/>
                          <w:b/>
                          <w:bCs/>
                          <w:color w:val="FFFFFF" w:themeColor="background1"/>
                          <w:sz w:val="32"/>
                          <w:szCs w:val="32"/>
                          <w:u w:val="single"/>
                        </w:rPr>
                        <w:t>Vigilant</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3A9BDD"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456051E2" w:rsidR="00CC3C2C" w:rsidRPr="00E50428" w:rsidRDefault="007A77F1" w:rsidP="00AE2C8A">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2D80952D">
                <wp:simplePos x="0" y="0"/>
                <wp:positionH relativeFrom="margin">
                  <wp:align>right</wp:align>
                </wp:positionH>
                <wp:positionV relativeFrom="paragraph">
                  <wp:posOffset>315675</wp:posOffset>
                </wp:positionV>
                <wp:extent cx="5931535" cy="12026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203158"/>
                        </a:xfrm>
                        <a:prstGeom prst="rect">
                          <a:avLst/>
                        </a:prstGeom>
                        <a:noFill/>
                        <a:ln w="9525">
                          <a:solidFill>
                            <a:srgbClr val="000000"/>
                          </a:solidFill>
                          <a:miter lim="800000"/>
                          <a:headEnd/>
                          <a:tailEnd/>
                        </a:ln>
                      </wps:spPr>
                      <wps:txbx>
                        <w:txbxContent>
                          <w:p w14:paraId="4405568E" w14:textId="594A6816" w:rsidR="001D5513" w:rsidRPr="00A140E3" w:rsidRDefault="007A77F1" w:rsidP="001D5513">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001D5513">
                              <w:rPr>
                                <w:rFonts w:ascii="Times New Roman" w:hAnsi="Times New Roman" w:cs="Times New Roman"/>
                                <w:b/>
                                <w:bCs/>
                                <w:color w:val="0D2E82" w:themeColor="text2"/>
                                <w:sz w:val="24"/>
                                <w:szCs w:val="24"/>
                              </w:rPr>
                              <w:t>T</w:t>
                            </w:r>
                            <w:r w:rsidR="009340C5" w:rsidRPr="00C852D3">
                              <w:rPr>
                                <w:rFonts w:ascii="Times New Roman" w:hAnsi="Times New Roman" w:cs="Times New Roman"/>
                                <w:b/>
                                <w:bCs/>
                                <w:color w:val="0D2E82" w:themeColor="text2"/>
                                <w:sz w:val="24"/>
                                <w:szCs w:val="24"/>
                              </w:rPr>
                              <w:t xml:space="preserve">his </w:t>
                            </w:r>
                            <w:r w:rsidR="009340C5" w:rsidRPr="00C852D3">
                              <w:rPr>
                                <w:rFonts w:ascii="Times New Roman" w:hAnsi="Times New Roman" w:cs="Times New Roman"/>
                                <w:b/>
                                <w:bCs/>
                                <w:color w:val="0D2E82" w:themeColor="text2"/>
                                <w:sz w:val="24"/>
                                <w:szCs w:val="24"/>
                                <w:u w:val="single"/>
                              </w:rPr>
                              <w:t>Phase 3: Vigilant</w:t>
                            </w:r>
                            <w:r w:rsidR="009340C5" w:rsidRPr="00C852D3">
                              <w:rPr>
                                <w:rFonts w:ascii="Times New Roman" w:hAnsi="Times New Roman" w:cs="Times New Roman"/>
                                <w:b/>
                                <w:bCs/>
                                <w:color w:val="0D2E82" w:themeColor="text2"/>
                                <w:sz w:val="24"/>
                                <w:szCs w:val="24"/>
                              </w:rPr>
                              <w:t xml:space="preserve"> guidance updates </w:t>
                            </w:r>
                            <w:r w:rsidR="00D156B0">
                              <w:rPr>
                                <w:rFonts w:ascii="Times New Roman" w:hAnsi="Times New Roman" w:cs="Times New Roman"/>
                                <w:b/>
                                <w:bCs/>
                                <w:color w:val="0D2E82" w:themeColor="text2"/>
                                <w:sz w:val="24"/>
                                <w:szCs w:val="24"/>
                              </w:rPr>
                              <w:t>guidance for day programs and group treatment,</w:t>
                            </w:r>
                            <w:r w:rsidR="009340C5" w:rsidRPr="00C852D3">
                              <w:rPr>
                                <w:rFonts w:ascii="Times New Roman" w:hAnsi="Times New Roman" w:cs="Times New Roman"/>
                                <w:b/>
                                <w:bCs/>
                                <w:color w:val="0D2E82" w:themeColor="text2"/>
                                <w:sz w:val="24"/>
                                <w:szCs w:val="24"/>
                              </w:rPr>
                              <w:t xml:space="preserve"> and incorporates public health and safety standards </w:t>
                            </w:r>
                            <w:r w:rsidR="009340C5">
                              <w:rPr>
                                <w:rFonts w:ascii="Times New Roman" w:hAnsi="Times New Roman" w:cs="Times New Roman"/>
                                <w:b/>
                                <w:bCs/>
                                <w:color w:val="0D2E82" w:themeColor="text2"/>
                                <w:sz w:val="24"/>
                                <w:szCs w:val="24"/>
                              </w:rPr>
                              <w:t xml:space="preserve">previously </w:t>
                            </w:r>
                            <w:r w:rsidR="009340C5" w:rsidRPr="00C852D3">
                              <w:rPr>
                                <w:rFonts w:ascii="Times New Roman" w:hAnsi="Times New Roman" w:cs="Times New Roman"/>
                                <w:b/>
                                <w:bCs/>
                                <w:color w:val="0D2E82" w:themeColor="text2"/>
                                <w:sz w:val="24"/>
                                <w:szCs w:val="24"/>
                              </w:rPr>
                              <w:t xml:space="preserve">required for </w:t>
                            </w:r>
                            <w:r w:rsidR="009340C5" w:rsidRPr="00C852D3">
                              <w:rPr>
                                <w:rFonts w:ascii="Times New Roman" w:hAnsi="Times New Roman" w:cs="Times New Roman"/>
                                <w:b/>
                                <w:bCs/>
                                <w:color w:val="0D2E82" w:themeColor="text2"/>
                                <w:sz w:val="24"/>
                                <w:szCs w:val="24"/>
                                <w:u w:val="single"/>
                              </w:rPr>
                              <w:t>Phase 1: Start</w:t>
                            </w:r>
                            <w:r w:rsidR="009340C5" w:rsidRPr="00C852D3">
                              <w:rPr>
                                <w:rFonts w:ascii="Times New Roman" w:hAnsi="Times New Roman" w:cs="Times New Roman"/>
                                <w:b/>
                                <w:bCs/>
                                <w:color w:val="0D2E82" w:themeColor="text2"/>
                                <w:sz w:val="24"/>
                                <w:szCs w:val="24"/>
                              </w:rPr>
                              <w:t xml:space="preserve"> and </w:t>
                            </w:r>
                            <w:r w:rsidR="009340C5" w:rsidRPr="00C852D3">
                              <w:rPr>
                                <w:rFonts w:ascii="Times New Roman" w:hAnsi="Times New Roman" w:cs="Times New Roman"/>
                                <w:b/>
                                <w:bCs/>
                                <w:color w:val="0D2E82" w:themeColor="text2"/>
                                <w:sz w:val="24"/>
                                <w:szCs w:val="24"/>
                                <w:u w:val="single"/>
                              </w:rPr>
                              <w:t>Phase 2: Cautious</w:t>
                            </w:r>
                            <w:r w:rsidR="009340C5" w:rsidRPr="00C852D3">
                              <w:rPr>
                                <w:rFonts w:ascii="Times New Roman" w:hAnsi="Times New Roman" w:cs="Times New Roman"/>
                                <w:b/>
                                <w:bCs/>
                                <w:color w:val="0D2E82" w:themeColor="text2"/>
                                <w:sz w:val="24"/>
                                <w:szCs w:val="24"/>
                              </w:rPr>
                              <w:t>.</w:t>
                            </w:r>
                            <w:r w:rsidR="001D5513">
                              <w:rPr>
                                <w:rFonts w:ascii="Times New Roman" w:hAnsi="Times New Roman" w:cs="Times New Roman"/>
                                <w:b/>
                                <w:bCs/>
                                <w:color w:val="0D2E82" w:themeColor="text2"/>
                                <w:sz w:val="24"/>
                                <w:szCs w:val="24"/>
                              </w:rPr>
                              <w:t xml:space="preserve">  </w:t>
                            </w:r>
                            <w:bookmarkStart w:id="0" w:name="_GoBack"/>
                            <w:bookmarkEnd w:id="0"/>
                            <w:r w:rsidR="001D5513" w:rsidRPr="00841C92">
                              <w:rPr>
                                <w:rFonts w:ascii="Times New Roman" w:hAnsi="Times New Roman" w:cs="Times New Roman"/>
                                <w:b/>
                                <w:bCs/>
                                <w:color w:val="0D2E82" w:themeColor="text2"/>
                                <w:sz w:val="24"/>
                                <w:szCs w:val="24"/>
                              </w:rPr>
                              <w:t xml:space="preserve">Effective November </w:t>
                            </w:r>
                            <w:r w:rsidR="00841C92" w:rsidRPr="00841C92">
                              <w:rPr>
                                <w:rFonts w:ascii="Times New Roman" w:hAnsi="Times New Roman" w:cs="Times New Roman"/>
                                <w:b/>
                                <w:bCs/>
                                <w:color w:val="0D2E82" w:themeColor="text2"/>
                                <w:sz w:val="24"/>
                                <w:szCs w:val="24"/>
                              </w:rPr>
                              <w:t>3</w:t>
                            </w:r>
                            <w:r w:rsidR="001D5513" w:rsidRPr="00841C92">
                              <w:rPr>
                                <w:rFonts w:ascii="Times New Roman" w:hAnsi="Times New Roman" w:cs="Times New Roman"/>
                                <w:b/>
                                <w:bCs/>
                                <w:color w:val="0D2E82" w:themeColor="text2"/>
                                <w:sz w:val="24"/>
                                <w:szCs w:val="24"/>
                              </w:rPr>
                              <w:t>, 2020, this</w:t>
                            </w:r>
                            <w:r w:rsidR="001D5513">
                              <w:rPr>
                                <w:rFonts w:ascii="Times New Roman" w:hAnsi="Times New Roman" w:cs="Times New Roman"/>
                                <w:b/>
                                <w:bCs/>
                                <w:color w:val="0D2E82" w:themeColor="text2"/>
                                <w:sz w:val="24"/>
                                <w:szCs w:val="24"/>
                              </w:rPr>
                              <w:t xml:space="preserve"> Phase 3:  Vigilant guidance contains updates to the statewide bed capacity thresholds.  Health Care Providers do not need to </w:t>
                            </w:r>
                            <w:proofErr w:type="spellStart"/>
                            <w:r w:rsidR="001D5513">
                              <w:rPr>
                                <w:rFonts w:ascii="Times New Roman" w:hAnsi="Times New Roman" w:cs="Times New Roman"/>
                                <w:b/>
                                <w:bCs/>
                                <w:color w:val="0D2E82" w:themeColor="text2"/>
                                <w:sz w:val="24"/>
                                <w:szCs w:val="24"/>
                              </w:rPr>
                              <w:t>reattest</w:t>
                            </w:r>
                            <w:proofErr w:type="spellEnd"/>
                            <w:r w:rsidR="001D5513">
                              <w:rPr>
                                <w:rFonts w:ascii="Times New Roman" w:hAnsi="Times New Roman" w:cs="Times New Roman"/>
                                <w:b/>
                                <w:bCs/>
                                <w:color w:val="0D2E82" w:themeColor="text2"/>
                                <w:sz w:val="24"/>
                                <w:szCs w:val="24"/>
                              </w:rPr>
                              <w:t xml:space="preserve"> to these standards and may instead maintain the previously signed attestation. </w:t>
                            </w:r>
                          </w:p>
                          <w:p w14:paraId="33D9AD9E" w14:textId="5E06C01F" w:rsidR="00F85305" w:rsidRPr="002D48A2" w:rsidRDefault="00F85305" w:rsidP="007A77F1">
                            <w:pPr>
                              <w:rPr>
                                <w:rFonts w:ascii="Times New Roman" w:hAnsi="Times New Roman" w:cs="Times New Roman"/>
                                <w:b/>
                                <w:bCs/>
                                <w:color w:val="0D2E82"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5.85pt;margin-top:24.85pt;width:467.05pt;height:94.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" filled="f">
                <v:textbox>
                  <w:txbxContent>
                    <w:p w14:paraId="4405568E" w14:textId="594A6816" w:rsidR="001D5513" w:rsidRPr="00A140E3" w:rsidRDefault="007A77F1" w:rsidP="001D5513">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r w:rsidR="001D5513">
                        <w:rPr>
                          <w:rFonts w:ascii="Times New Roman" w:hAnsi="Times New Roman" w:cs="Times New Roman"/>
                          <w:b/>
                          <w:bCs/>
                          <w:color w:val="0D2E82" w:themeColor="text2"/>
                          <w:sz w:val="24"/>
                          <w:szCs w:val="24"/>
                        </w:rPr>
                        <w:t>T</w:t>
                      </w:r>
                      <w:r w:rsidR="009340C5" w:rsidRPr="00C852D3">
                        <w:rPr>
                          <w:rFonts w:ascii="Times New Roman" w:hAnsi="Times New Roman" w:cs="Times New Roman"/>
                          <w:b/>
                          <w:bCs/>
                          <w:color w:val="0D2E82" w:themeColor="text2"/>
                          <w:sz w:val="24"/>
                          <w:szCs w:val="24"/>
                        </w:rPr>
                        <w:t xml:space="preserve">his </w:t>
                      </w:r>
                      <w:r w:rsidR="009340C5" w:rsidRPr="00C852D3">
                        <w:rPr>
                          <w:rFonts w:ascii="Times New Roman" w:hAnsi="Times New Roman" w:cs="Times New Roman"/>
                          <w:b/>
                          <w:bCs/>
                          <w:color w:val="0D2E82" w:themeColor="text2"/>
                          <w:sz w:val="24"/>
                          <w:szCs w:val="24"/>
                          <w:u w:val="single"/>
                        </w:rPr>
                        <w:t>Phase 3: Vigilant</w:t>
                      </w:r>
                      <w:r w:rsidR="009340C5" w:rsidRPr="00C852D3">
                        <w:rPr>
                          <w:rFonts w:ascii="Times New Roman" w:hAnsi="Times New Roman" w:cs="Times New Roman"/>
                          <w:b/>
                          <w:bCs/>
                          <w:color w:val="0D2E82" w:themeColor="text2"/>
                          <w:sz w:val="24"/>
                          <w:szCs w:val="24"/>
                        </w:rPr>
                        <w:t xml:space="preserve"> guidance updates </w:t>
                      </w:r>
                      <w:r w:rsidR="00D156B0">
                        <w:rPr>
                          <w:rFonts w:ascii="Times New Roman" w:hAnsi="Times New Roman" w:cs="Times New Roman"/>
                          <w:b/>
                          <w:bCs/>
                          <w:color w:val="0D2E82" w:themeColor="text2"/>
                          <w:sz w:val="24"/>
                          <w:szCs w:val="24"/>
                        </w:rPr>
                        <w:t>guidance for day programs and group treatment,</w:t>
                      </w:r>
                      <w:r w:rsidR="009340C5" w:rsidRPr="00C852D3">
                        <w:rPr>
                          <w:rFonts w:ascii="Times New Roman" w:hAnsi="Times New Roman" w:cs="Times New Roman"/>
                          <w:b/>
                          <w:bCs/>
                          <w:color w:val="0D2E82" w:themeColor="text2"/>
                          <w:sz w:val="24"/>
                          <w:szCs w:val="24"/>
                        </w:rPr>
                        <w:t xml:space="preserve"> and incorporates public health and safety standards </w:t>
                      </w:r>
                      <w:r w:rsidR="009340C5">
                        <w:rPr>
                          <w:rFonts w:ascii="Times New Roman" w:hAnsi="Times New Roman" w:cs="Times New Roman"/>
                          <w:b/>
                          <w:bCs/>
                          <w:color w:val="0D2E82" w:themeColor="text2"/>
                          <w:sz w:val="24"/>
                          <w:szCs w:val="24"/>
                        </w:rPr>
                        <w:t xml:space="preserve">previously </w:t>
                      </w:r>
                      <w:r w:rsidR="009340C5" w:rsidRPr="00C852D3">
                        <w:rPr>
                          <w:rFonts w:ascii="Times New Roman" w:hAnsi="Times New Roman" w:cs="Times New Roman"/>
                          <w:b/>
                          <w:bCs/>
                          <w:color w:val="0D2E82" w:themeColor="text2"/>
                          <w:sz w:val="24"/>
                          <w:szCs w:val="24"/>
                        </w:rPr>
                        <w:t xml:space="preserve">required for </w:t>
                      </w:r>
                      <w:r w:rsidR="009340C5" w:rsidRPr="00C852D3">
                        <w:rPr>
                          <w:rFonts w:ascii="Times New Roman" w:hAnsi="Times New Roman" w:cs="Times New Roman"/>
                          <w:b/>
                          <w:bCs/>
                          <w:color w:val="0D2E82" w:themeColor="text2"/>
                          <w:sz w:val="24"/>
                          <w:szCs w:val="24"/>
                          <w:u w:val="single"/>
                        </w:rPr>
                        <w:t>Phase 1: Start</w:t>
                      </w:r>
                      <w:r w:rsidR="009340C5" w:rsidRPr="00C852D3">
                        <w:rPr>
                          <w:rFonts w:ascii="Times New Roman" w:hAnsi="Times New Roman" w:cs="Times New Roman"/>
                          <w:b/>
                          <w:bCs/>
                          <w:color w:val="0D2E82" w:themeColor="text2"/>
                          <w:sz w:val="24"/>
                          <w:szCs w:val="24"/>
                        </w:rPr>
                        <w:t xml:space="preserve"> and </w:t>
                      </w:r>
                      <w:r w:rsidR="009340C5" w:rsidRPr="00C852D3">
                        <w:rPr>
                          <w:rFonts w:ascii="Times New Roman" w:hAnsi="Times New Roman" w:cs="Times New Roman"/>
                          <w:b/>
                          <w:bCs/>
                          <w:color w:val="0D2E82" w:themeColor="text2"/>
                          <w:sz w:val="24"/>
                          <w:szCs w:val="24"/>
                          <w:u w:val="single"/>
                        </w:rPr>
                        <w:t>Phase 2: Cautious</w:t>
                      </w:r>
                      <w:r w:rsidR="009340C5" w:rsidRPr="00C852D3">
                        <w:rPr>
                          <w:rFonts w:ascii="Times New Roman" w:hAnsi="Times New Roman" w:cs="Times New Roman"/>
                          <w:b/>
                          <w:bCs/>
                          <w:color w:val="0D2E82" w:themeColor="text2"/>
                          <w:sz w:val="24"/>
                          <w:szCs w:val="24"/>
                        </w:rPr>
                        <w:t>.</w:t>
                      </w:r>
                      <w:r w:rsidR="001D5513">
                        <w:rPr>
                          <w:rFonts w:ascii="Times New Roman" w:hAnsi="Times New Roman" w:cs="Times New Roman"/>
                          <w:b/>
                          <w:bCs/>
                          <w:color w:val="0D2E82" w:themeColor="text2"/>
                          <w:sz w:val="24"/>
                          <w:szCs w:val="24"/>
                        </w:rPr>
                        <w:t xml:space="preserve">  </w:t>
                      </w:r>
                      <w:bookmarkStart w:id="1" w:name="_GoBack"/>
                      <w:bookmarkEnd w:id="1"/>
                      <w:r w:rsidR="001D5513" w:rsidRPr="00841C92">
                        <w:rPr>
                          <w:rFonts w:ascii="Times New Roman" w:hAnsi="Times New Roman" w:cs="Times New Roman"/>
                          <w:b/>
                          <w:bCs/>
                          <w:color w:val="0D2E82" w:themeColor="text2"/>
                          <w:sz w:val="24"/>
                          <w:szCs w:val="24"/>
                        </w:rPr>
                        <w:t xml:space="preserve">Effective November </w:t>
                      </w:r>
                      <w:r w:rsidR="00841C92" w:rsidRPr="00841C92">
                        <w:rPr>
                          <w:rFonts w:ascii="Times New Roman" w:hAnsi="Times New Roman" w:cs="Times New Roman"/>
                          <w:b/>
                          <w:bCs/>
                          <w:color w:val="0D2E82" w:themeColor="text2"/>
                          <w:sz w:val="24"/>
                          <w:szCs w:val="24"/>
                        </w:rPr>
                        <w:t>3</w:t>
                      </w:r>
                      <w:r w:rsidR="001D5513" w:rsidRPr="00841C92">
                        <w:rPr>
                          <w:rFonts w:ascii="Times New Roman" w:hAnsi="Times New Roman" w:cs="Times New Roman"/>
                          <w:b/>
                          <w:bCs/>
                          <w:color w:val="0D2E82" w:themeColor="text2"/>
                          <w:sz w:val="24"/>
                          <w:szCs w:val="24"/>
                        </w:rPr>
                        <w:t>, 2020, this</w:t>
                      </w:r>
                      <w:r w:rsidR="001D5513">
                        <w:rPr>
                          <w:rFonts w:ascii="Times New Roman" w:hAnsi="Times New Roman" w:cs="Times New Roman"/>
                          <w:b/>
                          <w:bCs/>
                          <w:color w:val="0D2E82" w:themeColor="text2"/>
                          <w:sz w:val="24"/>
                          <w:szCs w:val="24"/>
                        </w:rPr>
                        <w:t xml:space="preserve"> Phase 3:  Vigilant guidance contains updates to the statewide bed capacity thresholds.  Health Care Providers do not need to </w:t>
                      </w:r>
                      <w:proofErr w:type="spellStart"/>
                      <w:r w:rsidR="001D5513">
                        <w:rPr>
                          <w:rFonts w:ascii="Times New Roman" w:hAnsi="Times New Roman" w:cs="Times New Roman"/>
                          <w:b/>
                          <w:bCs/>
                          <w:color w:val="0D2E82" w:themeColor="text2"/>
                          <w:sz w:val="24"/>
                          <w:szCs w:val="24"/>
                        </w:rPr>
                        <w:t>reattest</w:t>
                      </w:r>
                      <w:proofErr w:type="spellEnd"/>
                      <w:r w:rsidR="001D5513">
                        <w:rPr>
                          <w:rFonts w:ascii="Times New Roman" w:hAnsi="Times New Roman" w:cs="Times New Roman"/>
                          <w:b/>
                          <w:bCs/>
                          <w:color w:val="0D2E82" w:themeColor="text2"/>
                          <w:sz w:val="24"/>
                          <w:szCs w:val="24"/>
                        </w:rPr>
                        <w:t xml:space="preserve"> to these standards and may instead maintain the previously signed attestation. </w:t>
                      </w:r>
                    </w:p>
                    <w:p w14:paraId="33D9AD9E" w14:textId="5E06C01F" w:rsidR="00F85305" w:rsidRPr="002D48A2" w:rsidRDefault="00F85305" w:rsidP="007A77F1">
                      <w:pPr>
                        <w:rPr>
                          <w:rFonts w:ascii="Times New Roman" w:hAnsi="Times New Roman" w:cs="Times New Roman"/>
                          <w:b/>
                          <w:bCs/>
                          <w:color w:val="0D2E82" w:themeColor="text2"/>
                          <w:sz w:val="24"/>
                          <w:szCs w:val="24"/>
                        </w:rPr>
                      </w:pPr>
                    </w:p>
                  </w:txbxContent>
                </v:textbox>
                <w10:wrap type="square" anchorx="margin"/>
              </v:shape>
            </w:pict>
          </mc:Fallback>
        </mc:AlternateContent>
      </w:r>
      <w:r w:rsidR="00D04437">
        <w:rPr>
          <w:rFonts w:ascii="Times New Roman" w:hAnsi="Times New Roman" w:cs="Times New Roman"/>
          <w:b/>
          <w:bCs/>
          <w:sz w:val="32"/>
          <w:szCs w:val="32"/>
        </w:rPr>
        <w:t xml:space="preserve"> </w:t>
      </w:r>
    </w:p>
    <w:p w14:paraId="3D10409C" w14:textId="77777777" w:rsidR="00E65219" w:rsidRDefault="00E65219" w:rsidP="007A77F1">
      <w:pPr>
        <w:rPr>
          <w:rFonts w:ascii="Times New Roman" w:eastAsia="Calibri" w:hAnsi="Times New Roman" w:cs="Times New Roman"/>
          <w:b/>
          <w:bCs/>
          <w:sz w:val="24"/>
          <w:szCs w:val="24"/>
        </w:rPr>
      </w:pPr>
    </w:p>
    <w:p w14:paraId="6C15B3B3" w14:textId="7AC6F0C9"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11F72022" w14:textId="6E12E77E" w:rsidR="0021006E" w:rsidRPr="007A77F1" w:rsidRDefault="0021006E" w:rsidP="0021006E">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Massachusetts continues to monitor trends to guide its reopening strategy, recent data </w:t>
      </w:r>
      <w:r w:rsidRPr="00971421">
        <w:rPr>
          <w:rFonts w:ascii="Times New Roman" w:eastAsia="Calibri" w:hAnsi="Times New Roman" w:cs="Times New Roman"/>
          <w:sz w:val="24"/>
          <w:szCs w:val="24"/>
        </w:rPr>
        <w:t xml:space="preserve">show that the impact </w:t>
      </w:r>
      <w:r>
        <w:rPr>
          <w:rFonts w:ascii="Times New Roman" w:eastAsia="Calibri" w:hAnsi="Times New Roman" w:cs="Times New Roman"/>
          <w:sz w:val="24"/>
          <w:szCs w:val="24"/>
        </w:rPr>
        <w:t xml:space="preserve">of COVID-19 </w:t>
      </w:r>
      <w:r w:rsidRPr="00971421">
        <w:rPr>
          <w:rFonts w:ascii="Times New Roman" w:eastAsia="Calibri" w:hAnsi="Times New Roman" w:cs="Times New Roman"/>
          <w:sz w:val="24"/>
          <w:szCs w:val="24"/>
        </w:rPr>
        <w:t>on the state’s health care system is</w:t>
      </w:r>
      <w:r>
        <w:rPr>
          <w:rFonts w:ascii="Times New Roman" w:eastAsia="Calibri" w:hAnsi="Times New Roman" w:cs="Times New Roman"/>
          <w:sz w:val="24"/>
          <w:szCs w:val="24"/>
        </w:rPr>
        <w:t xml:space="preserve"> stabilizing</w:t>
      </w:r>
      <w:r w:rsidRPr="00971421">
        <w:rPr>
          <w:rFonts w:ascii="Times New Roman" w:eastAsia="Calibri" w:hAnsi="Times New Roman" w:cs="Times New Roman"/>
          <w:sz w:val="24"/>
          <w:szCs w:val="24"/>
        </w:rPr>
        <w:t>.</w:t>
      </w:r>
      <w:r>
        <w:rPr>
          <w:rFonts w:ascii="Times New Roman" w:eastAsia="Calibri" w:hAnsi="Times New Roman" w:cs="Times New Roman"/>
          <w:sz w:val="24"/>
          <w:szCs w:val="24"/>
        </w:rPr>
        <w:t xml:space="preserve"> Consistent with the Commonwealth’s broader phased reopening approach</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A77F1">
        <w:rPr>
          <w:rFonts w:ascii="Times New Roman" w:eastAsia="Calibri" w:hAnsi="Times New Roman" w:cs="Times New Roman"/>
          <w:sz w:val="24"/>
          <w:szCs w:val="24"/>
        </w:rPr>
        <w:t>he Department of Public Health (DPH) issued guidance</w:t>
      </w:r>
      <w:r>
        <w:rPr>
          <w:rFonts w:ascii="Times New Roman" w:eastAsia="Calibri" w:hAnsi="Times New Roman" w:cs="Times New Roman"/>
          <w:sz w:val="24"/>
          <w:szCs w:val="24"/>
        </w:rPr>
        <w:t xml:space="preserve"> for health care providers (that are not acute care hospitals) for</w:t>
      </w:r>
      <w:r w:rsidRPr="007A77F1">
        <w:rPr>
          <w:rFonts w:ascii="Times New Roman" w:eastAsia="Calibri" w:hAnsi="Times New Roman" w:cs="Times New Roman"/>
          <w:sz w:val="24"/>
          <w:szCs w:val="24"/>
        </w:rPr>
        <w:t xml:space="preserve"> </w:t>
      </w:r>
      <w:hyperlink r:id="rId10" w:history="1">
        <w:r w:rsidRPr="0021006E">
          <w:rPr>
            <w:rStyle w:val="Hyperlink"/>
            <w:rFonts w:ascii="Times New Roman" w:eastAsia="Calibri" w:hAnsi="Times New Roman" w:cs="Times New Roman"/>
            <w:sz w:val="24"/>
            <w:szCs w:val="24"/>
          </w:rPr>
          <w:t>Phase 1: Start</w:t>
        </w:r>
      </w:hyperlink>
      <w:r w:rsidRPr="00C42D28">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(“Phase 1 Guidance”)</w:t>
      </w:r>
      <w:r>
        <w:rPr>
          <w:rFonts w:ascii="Times New Roman" w:eastAsia="Calibri" w:hAnsi="Times New Roman" w:cs="Times New Roman"/>
          <w:sz w:val="24"/>
          <w:szCs w:val="24"/>
        </w:rPr>
        <w:t xml:space="preserve"> on </w:t>
      </w:r>
      <w:r w:rsidRPr="007A77F1">
        <w:rPr>
          <w:rFonts w:ascii="Times New Roman" w:eastAsia="Calibri" w:hAnsi="Times New Roman" w:cs="Times New Roman"/>
          <w:sz w:val="24"/>
          <w:szCs w:val="24"/>
        </w:rPr>
        <w:t xml:space="preserve">May 18 (updated on May 25) </w:t>
      </w:r>
      <w:r>
        <w:rPr>
          <w:rFonts w:ascii="Times New Roman" w:eastAsia="Calibri" w:hAnsi="Times New Roman" w:cs="Times New Roman"/>
          <w:sz w:val="24"/>
          <w:szCs w:val="24"/>
        </w:rPr>
        <w:t xml:space="preserve">and for </w:t>
      </w:r>
      <w:hyperlink r:id="rId11" w:history="1">
        <w:r w:rsidRPr="0021006E">
          <w:rPr>
            <w:rStyle w:val="Hyperlink"/>
            <w:rFonts w:ascii="Times New Roman" w:eastAsia="Calibri" w:hAnsi="Times New Roman" w:cs="Times New Roman"/>
            <w:sz w:val="24"/>
            <w:szCs w:val="24"/>
          </w:rPr>
          <w:t>Phase 2: Cautious</w:t>
        </w:r>
      </w:hyperlink>
      <w:r>
        <w:rPr>
          <w:rFonts w:ascii="Times New Roman" w:eastAsia="Calibri" w:hAnsi="Times New Roman" w:cs="Times New Roman"/>
          <w:sz w:val="24"/>
          <w:szCs w:val="24"/>
        </w:rPr>
        <w:t xml:space="preserve"> (“</w:t>
      </w:r>
      <w:r w:rsidRPr="00C42D28">
        <w:rPr>
          <w:rFonts w:ascii="Times New Roman" w:eastAsia="Calibri" w:hAnsi="Times New Roman" w:cs="Times New Roman"/>
          <w:sz w:val="24"/>
          <w:szCs w:val="24"/>
        </w:rPr>
        <w:t>Phase 2 Guidance</w:t>
      </w:r>
      <w:r>
        <w:rPr>
          <w:rFonts w:ascii="Times New Roman" w:eastAsia="Calibri" w:hAnsi="Times New Roman" w:cs="Times New Roman"/>
          <w:sz w:val="24"/>
          <w:szCs w:val="24"/>
        </w:rPr>
        <w:t xml:space="preserve">”) on </w:t>
      </w:r>
      <w:r w:rsidRPr="00C42D28">
        <w:rPr>
          <w:rFonts w:ascii="Times New Roman" w:eastAsia="Calibri" w:hAnsi="Times New Roman" w:cs="Times New Roman"/>
          <w:sz w:val="24"/>
          <w:szCs w:val="24"/>
        </w:rPr>
        <w:t>June 8</w:t>
      </w:r>
      <w:r>
        <w:rPr>
          <w:rFonts w:ascii="Times New Roman" w:eastAsia="Calibri" w:hAnsi="Times New Roman" w:cs="Times New Roman"/>
          <w:sz w:val="24"/>
          <w:szCs w:val="24"/>
        </w:rPr>
        <w:t xml:space="preserve"> (updated on June 24) describing the requirements and limitations for each phase.</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264C443F"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Phase 1 </w:t>
      </w:r>
      <w:r w:rsidR="00110F6D">
        <w:rPr>
          <w:rFonts w:ascii="Times New Roman" w:eastAsia="Calibri" w:hAnsi="Times New Roman" w:cs="Times New Roman"/>
          <w:sz w:val="24"/>
          <w:szCs w:val="24"/>
        </w:rPr>
        <w:t xml:space="preserve">and Phase 2 </w:t>
      </w:r>
      <w:r>
        <w:rPr>
          <w:rFonts w:ascii="Times New Roman" w:eastAsia="Calibri" w:hAnsi="Times New Roman" w:cs="Times New Roman"/>
          <w:sz w:val="24"/>
          <w:szCs w:val="24"/>
        </w:rPr>
        <w:t xml:space="preserve">Guidance, </w:t>
      </w:r>
      <w:r w:rsidR="007A77F1" w:rsidRPr="007A77F1">
        <w:rPr>
          <w:rFonts w:ascii="Times New Roman" w:eastAsia="Calibri" w:hAnsi="Times New Roman" w:cs="Times New Roman"/>
          <w:sz w:val="24"/>
          <w:szCs w:val="24"/>
        </w:rPr>
        <w:t xml:space="preserve">DPH issues this further guidance for how </w:t>
      </w:r>
      <w:r w:rsidR="00B87647">
        <w:rPr>
          <w:rFonts w:ascii="Times New Roman" w:eastAsia="Calibri" w:hAnsi="Times New Roman" w:cs="Times New Roman"/>
          <w:sz w:val="24"/>
          <w:szCs w:val="24"/>
        </w:rPr>
        <w:t xml:space="preserve">health care providers that are not </w:t>
      </w:r>
      <w:r w:rsidR="007A77F1" w:rsidRPr="007A77F1">
        <w:rPr>
          <w:rFonts w:ascii="Times New Roman" w:eastAsia="Calibri" w:hAnsi="Times New Roman" w:cs="Times New Roman"/>
          <w:sz w:val="24"/>
          <w:szCs w:val="24"/>
        </w:rPr>
        <w:t>acute care hospitals</w:t>
      </w:r>
      <w:r w:rsidR="007A77F1" w:rsidRPr="007A77F1">
        <w:rPr>
          <w:rFonts w:ascii="Times New Roman" w:eastAsia="Calibri" w:hAnsi="Times New Roman" w:cs="Times New Roman"/>
          <w:sz w:val="24"/>
          <w:szCs w:val="24"/>
          <w:vertAlign w:val="superscript"/>
        </w:rPr>
        <w:footnoteReference w:id="2"/>
      </w:r>
      <w:r w:rsidR="007A77F1" w:rsidRPr="007A77F1">
        <w:rPr>
          <w:rFonts w:ascii="Times New Roman" w:eastAsia="Calibri" w:hAnsi="Times New Roman" w:cs="Times New Roman"/>
          <w:sz w:val="24"/>
          <w:szCs w:val="24"/>
        </w:rPr>
        <w:t xml:space="preserve"> can </w:t>
      </w:r>
      <w:r w:rsidR="00D452B3">
        <w:rPr>
          <w:rFonts w:ascii="Times New Roman" w:eastAsia="Calibri" w:hAnsi="Times New Roman" w:cs="Times New Roman"/>
          <w:sz w:val="24"/>
          <w:szCs w:val="24"/>
        </w:rPr>
        <w:t xml:space="preserve">continue incremental </w:t>
      </w:r>
      <w:r>
        <w:rPr>
          <w:rFonts w:ascii="Times New Roman" w:eastAsia="Calibri" w:hAnsi="Times New Roman" w:cs="Times New Roman"/>
          <w:sz w:val="24"/>
          <w:szCs w:val="24"/>
        </w:rPr>
        <w:t>resum</w:t>
      </w:r>
      <w:r w:rsidR="00D452B3">
        <w:rPr>
          <w:rFonts w:ascii="Times New Roman" w:eastAsia="Calibri" w:hAnsi="Times New Roman" w:cs="Times New Roman"/>
          <w:sz w:val="24"/>
          <w:szCs w:val="24"/>
        </w:rPr>
        <w:t>ption of</w:t>
      </w:r>
      <w:r w:rsidR="007A77F1" w:rsidRPr="007A77F1">
        <w:rPr>
          <w:rFonts w:ascii="Times New Roman" w:eastAsia="Calibri" w:hAnsi="Times New Roman" w:cs="Times New Roman"/>
          <w:sz w:val="24"/>
          <w:szCs w:val="24"/>
        </w:rPr>
        <w:t xml:space="preserve"> in-person services and procedures in </w:t>
      </w:r>
      <w:r w:rsidR="007A77F1" w:rsidRPr="007A77F1">
        <w:rPr>
          <w:rFonts w:ascii="Times New Roman" w:eastAsia="Calibri" w:hAnsi="Times New Roman" w:cs="Times New Roman"/>
          <w:sz w:val="24"/>
          <w:szCs w:val="24"/>
          <w:u w:val="single"/>
        </w:rPr>
        <w:t xml:space="preserve">Phase </w:t>
      </w:r>
      <w:r w:rsidR="00110F6D">
        <w:rPr>
          <w:rFonts w:ascii="Times New Roman" w:eastAsia="Calibri" w:hAnsi="Times New Roman" w:cs="Times New Roman"/>
          <w:sz w:val="24"/>
          <w:szCs w:val="24"/>
          <w:u w:val="single"/>
        </w:rPr>
        <w:t>3</w:t>
      </w:r>
      <w:r w:rsidR="007A77F1" w:rsidRPr="007A77F1">
        <w:rPr>
          <w:rFonts w:ascii="Times New Roman" w:eastAsia="Calibri" w:hAnsi="Times New Roman" w:cs="Times New Roman"/>
          <w:sz w:val="24"/>
          <w:szCs w:val="24"/>
          <w:u w:val="single"/>
        </w:rPr>
        <w:t xml:space="preserve">: </w:t>
      </w:r>
      <w:r w:rsidR="00110F6D">
        <w:rPr>
          <w:rFonts w:ascii="Times New Roman" w:eastAsia="Calibri" w:hAnsi="Times New Roman" w:cs="Times New Roman"/>
          <w:sz w:val="24"/>
          <w:szCs w:val="24"/>
          <w:u w:val="single"/>
        </w:rPr>
        <w:t>Vigilant</w:t>
      </w:r>
      <w:r w:rsidR="007A77F1" w:rsidRPr="007A77F1">
        <w:rPr>
          <w:rFonts w:ascii="Times New Roman" w:eastAsia="Calibri" w:hAnsi="Times New Roman" w:cs="Times New Roman"/>
          <w:sz w:val="24"/>
          <w:szCs w:val="24"/>
        </w:rPr>
        <w:t xml:space="preserve"> without jeopardizing health system capacity or the public health standards that are essential to protecting health care workers, patients, families, and the general public. This guidance does not apply to emergency care, which has been ongoing and will continue without limitation. DPH recognizes the importance of ensuring that this guidance </w:t>
      </w:r>
      <w:proofErr w:type="gramStart"/>
      <w:r w:rsidR="007A77F1" w:rsidRPr="007A77F1">
        <w:rPr>
          <w:rFonts w:ascii="Times New Roman" w:eastAsia="Calibri" w:hAnsi="Times New Roman" w:cs="Times New Roman"/>
          <w:sz w:val="24"/>
          <w:szCs w:val="24"/>
        </w:rPr>
        <w:t>promote</w:t>
      </w:r>
      <w:proofErr w:type="gramEnd"/>
      <w:r w:rsidR="007A77F1" w:rsidRPr="007A77F1">
        <w:rPr>
          <w:rFonts w:ascii="Times New Roman" w:eastAsia="Calibri" w:hAnsi="Times New Roman" w:cs="Times New Roman"/>
          <w:sz w:val="24"/>
          <w:szCs w:val="24"/>
        </w:rPr>
        <w:t xml:space="preserv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68172C9A" w14:textId="22C28315" w:rsidR="0021006E" w:rsidRPr="007A77F1" w:rsidRDefault="0021006E" w:rsidP="0021006E">
      <w:pPr>
        <w:rPr>
          <w:rFonts w:ascii="Times New Roman" w:eastAsia="Calibri" w:hAnsi="Times New Roman" w:cs="Times New Roman"/>
          <w:sz w:val="24"/>
          <w:szCs w:val="24"/>
        </w:rPr>
      </w:pPr>
      <w:r w:rsidRPr="007A77F1">
        <w:rPr>
          <w:rFonts w:ascii="Times New Roman" w:eastAsia="Calibri" w:hAnsi="Times New Roman" w:cs="Times New Roman"/>
          <w:sz w:val="24"/>
          <w:szCs w:val="24"/>
        </w:rPr>
        <w:t>The implementation of this guidance is contingent on Massachusetts meeting a range of relevant capacity and public health metrics. Ongoing performance on these measures will inform decisions</w:t>
      </w:r>
      <w:r w:rsidR="00D452B3">
        <w:rPr>
          <w:rFonts w:ascii="Times New Roman" w:eastAsia="Calibri" w:hAnsi="Times New Roman" w:cs="Times New Roman"/>
          <w:sz w:val="24"/>
          <w:szCs w:val="24"/>
        </w:rPr>
        <w:t xml:space="preserve"> about the reopening process moving forward</w:t>
      </w:r>
      <w:r w:rsidRPr="007A77F1">
        <w:rPr>
          <w:rFonts w:ascii="Times New Roman" w:eastAsia="Calibri" w:hAnsi="Times New Roman" w:cs="Times New Roman"/>
          <w:sz w:val="24"/>
          <w:szCs w:val="24"/>
        </w:rPr>
        <w:t xml:space="preserve">. </w:t>
      </w:r>
    </w:p>
    <w:p w14:paraId="7B32A4B1" w14:textId="77777777" w:rsidR="00E65219" w:rsidRDefault="00E65219" w:rsidP="007A77F1">
      <w:pPr>
        <w:rPr>
          <w:rFonts w:ascii="Times New Roman" w:eastAsia="Calibri" w:hAnsi="Times New Roman" w:cs="Times New Roman"/>
          <w:b/>
          <w:sz w:val="24"/>
          <w:szCs w:val="24"/>
        </w:rPr>
      </w:pPr>
    </w:p>
    <w:p w14:paraId="63208DD0" w14:textId="4699C831"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w:t>
      </w:r>
      <w:r w:rsidR="00ED1879">
        <w:rPr>
          <w:rFonts w:ascii="Times New Roman" w:eastAsia="Calibri" w:hAnsi="Times New Roman" w:cs="Times New Roman"/>
          <w:b/>
          <w:sz w:val="24"/>
          <w:szCs w:val="24"/>
          <w:u w:val="single"/>
        </w:rPr>
        <w:t>3</w:t>
      </w:r>
      <w:r w:rsidRPr="007A77F1">
        <w:rPr>
          <w:rFonts w:ascii="Times New Roman" w:eastAsia="Calibri" w:hAnsi="Times New Roman" w:cs="Times New Roman"/>
          <w:b/>
          <w:sz w:val="24"/>
          <w:szCs w:val="24"/>
          <w:u w:val="single"/>
        </w:rPr>
        <w:t xml:space="preserve">: </w:t>
      </w:r>
      <w:r w:rsidR="00180A86">
        <w:rPr>
          <w:rFonts w:ascii="Times New Roman" w:eastAsia="Calibri" w:hAnsi="Times New Roman" w:cs="Times New Roman"/>
          <w:b/>
          <w:sz w:val="24"/>
          <w:szCs w:val="24"/>
          <w:u w:val="single"/>
        </w:rPr>
        <w:t>Vigilant</w:t>
      </w:r>
      <w:r w:rsidRPr="007A77F1">
        <w:rPr>
          <w:rFonts w:ascii="Times New Roman" w:eastAsia="Calibri" w:hAnsi="Times New Roman" w:cs="Times New Roman"/>
          <w:b/>
          <w:sz w:val="24"/>
          <w:szCs w:val="24"/>
          <w:u w:val="single"/>
        </w:rPr>
        <w:t xml:space="preserve"> </w:t>
      </w:r>
    </w:p>
    <w:p w14:paraId="72ED40CC" w14:textId="77777777" w:rsidR="007A77F1" w:rsidRPr="007A77F1" w:rsidRDefault="007A77F1" w:rsidP="007A77F1">
      <w:pPr>
        <w:rPr>
          <w:rFonts w:ascii="Times New Roman" w:eastAsia="Calibri" w:hAnsi="Times New Roman" w:cs="Times New Roman"/>
          <w:b/>
          <w:sz w:val="24"/>
          <w:szCs w:val="24"/>
        </w:rPr>
      </w:pPr>
    </w:p>
    <w:p w14:paraId="62A71F9D" w14:textId="46CD3382" w:rsidR="008B51F6" w:rsidRDefault="008B51F6" w:rsidP="008B51F6">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Beginning </w:t>
      </w:r>
      <w:r>
        <w:rPr>
          <w:rFonts w:ascii="Times New Roman" w:eastAsia="Calibri" w:hAnsi="Times New Roman" w:cs="Times New Roman"/>
          <w:sz w:val="24"/>
          <w:szCs w:val="24"/>
        </w:rPr>
        <w:t>July 6, 2020</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 xml:space="preserve">into Phase </w:t>
      </w:r>
      <w:r>
        <w:rPr>
          <w:rFonts w:ascii="Times New Roman" w:eastAsia="Calibri" w:hAnsi="Times New Roman" w:cs="Times New Roman"/>
          <w:sz w:val="24"/>
          <w:szCs w:val="24"/>
        </w:rPr>
        <w:t>3</w:t>
      </w:r>
      <w:r w:rsidRPr="00E65219">
        <w:rPr>
          <w:rFonts w:ascii="Times New Roman" w:eastAsia="Calibri" w:hAnsi="Times New Roman" w:cs="Times New Roman"/>
          <w:sz w:val="24"/>
          <w:szCs w:val="24"/>
        </w:rPr>
        <w:t xml:space="preserve"> if the</w:t>
      </w:r>
      <w:r w:rsidRPr="003C1FCF">
        <w:rPr>
          <w:rFonts w:ascii="Times New Roman" w:eastAsia="Calibri" w:hAnsi="Times New Roman" w:cs="Times New Roman"/>
          <w:sz w:val="24"/>
          <w:szCs w:val="24"/>
        </w:rPr>
        <w:t xml:space="preserve"> following </w:t>
      </w:r>
      <w:r>
        <w:rPr>
          <w:rFonts w:ascii="Times New Roman" w:eastAsia="Calibri" w:hAnsi="Times New Roman" w:cs="Times New Roman"/>
          <w:sz w:val="24"/>
          <w:szCs w:val="24"/>
        </w:rPr>
        <w:t xml:space="preserve">statewide hospital bed </w:t>
      </w:r>
      <w:r w:rsidRPr="003C1FCF">
        <w:rPr>
          <w:rFonts w:ascii="Times New Roman" w:eastAsia="Calibri" w:hAnsi="Times New Roman" w:cs="Times New Roman"/>
          <w:sz w:val="24"/>
          <w:szCs w:val="24"/>
        </w:rPr>
        <w:t>capacity criteria</w:t>
      </w:r>
      <w:r>
        <w:rPr>
          <w:rFonts w:ascii="Times New Roman" w:eastAsia="Calibri" w:hAnsi="Times New Roman" w:cs="Times New Roman"/>
          <w:sz w:val="24"/>
          <w:szCs w:val="24"/>
        </w:rPr>
        <w:t xml:space="preserve"> </w:t>
      </w:r>
      <w:r w:rsidRPr="003C1FCF">
        <w:rPr>
          <w:rFonts w:ascii="Times New Roman" w:eastAsia="Calibri" w:hAnsi="Times New Roman" w:cs="Times New Roman"/>
          <w:sz w:val="24"/>
          <w:szCs w:val="24"/>
        </w:rPr>
        <w:t>continue to be met</w:t>
      </w:r>
      <w:r>
        <w:rPr>
          <w:rFonts w:ascii="Times New Roman" w:eastAsia="Calibri" w:hAnsi="Times New Roman" w:cs="Times New Roman"/>
          <w:sz w:val="24"/>
          <w:szCs w:val="24"/>
        </w:rPr>
        <w:t xml:space="preserve">, as described below. These </w:t>
      </w:r>
      <w:r>
        <w:rPr>
          <w:rFonts w:ascii="Times New Roman" w:eastAsia="Calibri" w:hAnsi="Times New Roman" w:cs="Times New Roman"/>
          <w:sz w:val="24"/>
          <w:szCs w:val="24"/>
        </w:rPr>
        <w:lastRenderedPageBreak/>
        <w:t>criteria may be modified during Phase 3 based upon relevant capacity and public health measures.</w:t>
      </w:r>
    </w:p>
    <w:p w14:paraId="4074C1B2" w14:textId="77777777" w:rsidR="008B51F6" w:rsidRDefault="008B51F6" w:rsidP="008B51F6">
      <w:pPr>
        <w:rPr>
          <w:rFonts w:ascii="Times New Roman" w:eastAsia="Calibri" w:hAnsi="Times New Roman" w:cs="Times New Roman"/>
          <w:sz w:val="24"/>
          <w:szCs w:val="24"/>
        </w:rPr>
      </w:pPr>
    </w:p>
    <w:p w14:paraId="5A37A693" w14:textId="0C0332E6" w:rsidR="008B51F6" w:rsidRDefault="008B51F6" w:rsidP="008B51F6">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Intensive Care Unit (ICU) Bed Capacity: </w:t>
      </w:r>
      <w:r>
        <w:rPr>
          <w:rFonts w:ascii="Times New Roman" w:hAnsi="Times New Roman" w:cs="Times New Roman"/>
          <w:sz w:val="24"/>
          <w:szCs w:val="24"/>
        </w:rPr>
        <w:t xml:space="preserve">The 7-day average of the number of available, staffed adult ICU beds statewide must be at least </w:t>
      </w:r>
      <w:r w:rsidR="001D5513">
        <w:rPr>
          <w:rFonts w:ascii="Times New Roman" w:hAnsi="Times New Roman" w:cs="Times New Roman"/>
          <w:sz w:val="24"/>
          <w:szCs w:val="24"/>
        </w:rPr>
        <w:t>25</w:t>
      </w:r>
      <w:r>
        <w:rPr>
          <w:rFonts w:ascii="Times New Roman" w:hAnsi="Times New Roman" w:cs="Times New Roman"/>
          <w:sz w:val="24"/>
          <w:szCs w:val="24"/>
        </w:rPr>
        <w:t>% of total staffed adult ICU beds (including staffed surge ICU beds).</w:t>
      </w:r>
    </w:p>
    <w:p w14:paraId="23FE383C" w14:textId="77777777" w:rsidR="008B51F6" w:rsidRDefault="008B51F6" w:rsidP="008B51F6">
      <w:pPr>
        <w:pStyle w:val="ListParagraph"/>
        <w:rPr>
          <w:rFonts w:ascii="Times New Roman" w:hAnsi="Times New Roman" w:cs="Times New Roman"/>
          <w:sz w:val="24"/>
          <w:szCs w:val="24"/>
        </w:rPr>
      </w:pPr>
    </w:p>
    <w:p w14:paraId="6AC01FAD" w14:textId="71C450C2" w:rsidR="008B51F6" w:rsidRDefault="008B51F6" w:rsidP="008B51F6">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w:t>
      </w:r>
      <w:r w:rsidR="001D5513">
        <w:rPr>
          <w:rFonts w:ascii="Times New Roman" w:hAnsi="Times New Roman" w:cs="Times New Roman"/>
          <w:sz w:val="24"/>
          <w:szCs w:val="24"/>
        </w:rPr>
        <w:t>25</w:t>
      </w:r>
      <w:r>
        <w:rPr>
          <w:rFonts w:ascii="Times New Roman" w:hAnsi="Times New Roman" w:cs="Times New Roman"/>
          <w:sz w:val="24"/>
          <w:szCs w:val="24"/>
        </w:rPr>
        <w:t xml:space="preserve">% of total staffed adult inpatient beds (including staffed surge beds). </w:t>
      </w:r>
    </w:p>
    <w:p w14:paraId="6CEC12A9" w14:textId="77777777" w:rsidR="00B320D5" w:rsidRPr="00B320D5" w:rsidRDefault="00B320D5" w:rsidP="00B320D5">
      <w:pPr>
        <w:pStyle w:val="ListParagraph"/>
        <w:rPr>
          <w:rFonts w:ascii="Times New Roman" w:hAnsi="Times New Roman" w:cs="Times New Roman"/>
          <w:sz w:val="24"/>
          <w:szCs w:val="24"/>
        </w:rPr>
      </w:pPr>
    </w:p>
    <w:p w14:paraId="79C47FB3" w14:textId="2D75D29F"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w:t>
      </w:r>
      <w:r w:rsidR="00955AD5">
        <w:rPr>
          <w:rFonts w:ascii="Times New Roman" w:eastAsia="Calibri" w:hAnsi="Times New Roman" w:cs="Times New Roman"/>
          <w:sz w:val="24"/>
          <w:szCs w:val="24"/>
        </w:rPr>
        <w:t>health care providers</w:t>
      </w:r>
      <w:r w:rsidR="00CF6CB7" w:rsidRPr="007A77F1">
        <w:rPr>
          <w:rFonts w:ascii="Times New Roman" w:eastAsia="Calibri" w:hAnsi="Times New Roman" w:cs="Times New Roman"/>
          <w:sz w:val="24"/>
          <w:szCs w:val="24"/>
        </w:rPr>
        <w:t xml:space="preserve">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 xml:space="preserve">described in </w:t>
      </w:r>
      <w:r w:rsidR="007A77F1" w:rsidRPr="00DA7843">
        <w:rPr>
          <w:rFonts w:ascii="Times New Roman" w:eastAsia="Calibri" w:hAnsi="Times New Roman" w:cs="Times New Roman"/>
          <w:sz w:val="24"/>
          <w:szCs w:val="24"/>
        </w:rPr>
        <w:t>Section IV of the Phase 1</w:t>
      </w:r>
      <w:r w:rsidR="007A77F1" w:rsidRPr="003C1FCF">
        <w:rPr>
          <w:rFonts w:ascii="Times New Roman" w:eastAsia="Calibri" w:hAnsi="Times New Roman" w:cs="Times New Roman"/>
          <w:sz w:val="24"/>
          <w:szCs w:val="24"/>
        </w:rPr>
        <w:t xml:space="preserve">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w:t>
      </w:r>
      <w:r w:rsidR="0093547F">
        <w:rPr>
          <w:rFonts w:ascii="Times New Roman" w:hAnsi="Times New Roman" w:cs="Times New Roman"/>
          <w:sz w:val="24"/>
          <w:szCs w:val="24"/>
        </w:rPr>
        <w:t xml:space="preserve">and the </w:t>
      </w:r>
      <w:r w:rsidR="005C1530">
        <w:rPr>
          <w:rFonts w:ascii="Times New Roman" w:hAnsi="Times New Roman" w:cs="Times New Roman"/>
          <w:sz w:val="24"/>
          <w:szCs w:val="24"/>
        </w:rPr>
        <w:t xml:space="preserve">additional standards in Section III. </w:t>
      </w:r>
      <w:proofErr w:type="gramStart"/>
      <w:r w:rsidR="00B13F33">
        <w:rPr>
          <w:rFonts w:ascii="Times New Roman" w:hAnsi="Times New Roman" w:cs="Times New Roman"/>
          <w:sz w:val="24"/>
          <w:szCs w:val="24"/>
        </w:rPr>
        <w:t>B</w:t>
      </w:r>
      <w:r w:rsidR="0093547F">
        <w:rPr>
          <w:rFonts w:ascii="Times New Roman" w:hAnsi="Times New Roman" w:cs="Times New Roman"/>
          <w:sz w:val="24"/>
          <w:szCs w:val="24"/>
        </w:rPr>
        <w:t xml:space="preserve"> of the Phase 2 Guidance</w:t>
      </w:r>
      <w:r w:rsidR="007A77F1" w:rsidRPr="007A77F1">
        <w:rPr>
          <w:rFonts w:ascii="Times New Roman" w:eastAsia="Calibri" w:hAnsi="Times New Roman" w:cs="Times New Roman"/>
          <w:sz w:val="24"/>
          <w:szCs w:val="24"/>
        </w:rPr>
        <w:t>.</w:t>
      </w:r>
      <w:proofErr w:type="gramEnd"/>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2BF90D19" w14:textId="77777777" w:rsidR="0021006E" w:rsidRDefault="0021006E" w:rsidP="0021006E">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both the statewide and individual hospital or hospital-system level </w:t>
      </w:r>
      <w:r>
        <w:rPr>
          <w:rFonts w:ascii="Times New Roman" w:eastAsia="Calibri" w:hAnsi="Times New Roman" w:cs="Times New Roman"/>
          <w:sz w:val="24"/>
          <w:szCs w:val="24"/>
        </w:rPr>
        <w:t xml:space="preserve">as well a range of public health metrics, including COVID-19 prevalence, testing and positive test rates, </w:t>
      </w:r>
      <w:r w:rsidRPr="007A77F1">
        <w:rPr>
          <w:rFonts w:ascii="Times New Roman" w:eastAsia="Calibri" w:hAnsi="Times New Roman" w:cs="Times New Roman"/>
          <w:sz w:val="24"/>
          <w:szCs w:val="24"/>
        </w:rPr>
        <w:t xml:space="preserve">and may suspend or limit provision of </w:t>
      </w:r>
      <w:r>
        <w:rPr>
          <w:rFonts w:ascii="Times New Roman" w:eastAsia="Calibri" w:hAnsi="Times New Roman" w:cs="Times New Roman"/>
          <w:sz w:val="24"/>
          <w:szCs w:val="24"/>
        </w:rPr>
        <w:t xml:space="preserve">non-essential </w:t>
      </w:r>
      <w:r w:rsidRPr="007A77F1">
        <w:rPr>
          <w:rFonts w:ascii="Times New Roman" w:eastAsia="Calibri" w:hAnsi="Times New Roman" w:cs="Times New Roman"/>
          <w:sz w:val="24"/>
          <w:szCs w:val="24"/>
        </w:rPr>
        <w:t>procedures and services based on its determination that</w:t>
      </w:r>
      <w:r>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the hospital’s, hospital </w:t>
      </w:r>
      <w:proofErr w:type="spellStart"/>
      <w:r w:rsidRPr="007A77F1">
        <w:rPr>
          <w:rFonts w:ascii="Times New Roman" w:eastAsia="Calibri" w:hAnsi="Times New Roman" w:cs="Times New Roman"/>
          <w:sz w:val="24"/>
          <w:szCs w:val="24"/>
        </w:rPr>
        <w:t>system’s</w:t>
      </w:r>
      <w:proofErr w:type="spellEnd"/>
      <w:r w:rsidRPr="007A77F1">
        <w:rPr>
          <w:rFonts w:ascii="Times New Roman" w:eastAsia="Calibri" w:hAnsi="Times New Roman" w:cs="Times New Roman"/>
          <w:sz w:val="24"/>
          <w:szCs w:val="24"/>
        </w:rPr>
        <w:t>, or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004DC321"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691F28">
        <w:rPr>
          <w:rFonts w:ascii="Times New Roman" w:eastAsia="Calibri" w:hAnsi="Times New Roman" w:cs="Times New Roman"/>
          <w:b/>
          <w:sz w:val="24"/>
          <w:szCs w:val="24"/>
          <w:u w:val="single"/>
        </w:rPr>
        <w:t xml:space="preserve">Phase </w:t>
      </w:r>
      <w:r w:rsidR="0093547F">
        <w:rPr>
          <w:rFonts w:ascii="Times New Roman" w:eastAsia="Calibri" w:hAnsi="Times New Roman" w:cs="Times New Roman"/>
          <w:b/>
          <w:sz w:val="24"/>
          <w:szCs w:val="24"/>
          <w:u w:val="single"/>
        </w:rPr>
        <w:t>3</w:t>
      </w:r>
      <w:r w:rsidR="00E13BD6" w:rsidRPr="00691F28">
        <w:rPr>
          <w:rFonts w:ascii="Times New Roman" w:eastAsia="Calibri" w:hAnsi="Times New Roman" w:cs="Times New Roman"/>
          <w:b/>
          <w:sz w:val="24"/>
          <w:szCs w:val="24"/>
          <w:u w:val="single"/>
        </w:rPr>
        <w:t xml:space="preserve">: </w:t>
      </w:r>
      <w:r w:rsidR="0093547F">
        <w:rPr>
          <w:rFonts w:ascii="Times New Roman" w:eastAsia="Calibri" w:hAnsi="Times New Roman" w:cs="Times New Roman"/>
          <w:b/>
          <w:sz w:val="24"/>
          <w:szCs w:val="24"/>
          <w:u w:val="single"/>
        </w:rPr>
        <w:t>Vigilant</w:t>
      </w:r>
    </w:p>
    <w:p w14:paraId="1722146E" w14:textId="77777777" w:rsidR="008A746A" w:rsidRDefault="008A746A" w:rsidP="008A746A">
      <w:pPr>
        <w:rPr>
          <w:rFonts w:ascii="Times New Roman" w:eastAsia="Calibri" w:hAnsi="Times New Roman" w:cs="Times New Roman"/>
          <w:sz w:val="24"/>
          <w:szCs w:val="24"/>
        </w:rPr>
      </w:pPr>
    </w:p>
    <w:p w14:paraId="2A4A5A86" w14:textId="6B9A5CD3" w:rsidR="008A746A" w:rsidRPr="007A77F1" w:rsidRDefault="008A746A" w:rsidP="008A746A">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If the statewide capacity criteria and public health and safety standards have been met in </w:t>
      </w:r>
      <w:r w:rsidRPr="003C1FCF">
        <w:rPr>
          <w:rFonts w:ascii="Times New Roman" w:eastAsia="Calibri" w:hAnsi="Times New Roman" w:cs="Times New Roman"/>
          <w:sz w:val="24"/>
          <w:szCs w:val="24"/>
        </w:rPr>
        <w:t>accordance with the Phase 1 Guidance</w:t>
      </w:r>
      <w:r>
        <w:rPr>
          <w:rFonts w:ascii="Times New Roman" w:eastAsia="Calibri" w:hAnsi="Times New Roman" w:cs="Times New Roman"/>
          <w:sz w:val="24"/>
          <w:szCs w:val="24"/>
        </w:rPr>
        <w:t xml:space="preserve"> and Phase 2 Guidance</w:t>
      </w:r>
      <w:r w:rsidRPr="003C1FCF">
        <w:rPr>
          <w:rFonts w:ascii="Times New Roman" w:eastAsia="Calibri" w:hAnsi="Times New Roman" w:cs="Times New Roman"/>
          <w:sz w:val="24"/>
          <w:szCs w:val="24"/>
        </w:rPr>
        <w:t xml:space="preserve">, </w:t>
      </w:r>
      <w:r>
        <w:rPr>
          <w:rFonts w:ascii="Times New Roman" w:eastAsia="Calibri" w:hAnsi="Times New Roman" w:cs="Times New Roman"/>
          <w:sz w:val="24"/>
          <w:szCs w:val="24"/>
        </w:rPr>
        <w:t>health care providers</w:t>
      </w:r>
      <w:r w:rsidRPr="007A77F1">
        <w:rPr>
          <w:rFonts w:ascii="Times New Roman" w:eastAsia="Calibri" w:hAnsi="Times New Roman" w:cs="Times New Roman"/>
          <w:sz w:val="24"/>
          <w:szCs w:val="24"/>
        </w:rPr>
        <w:t xml:space="preserve"> may incrementally </w:t>
      </w:r>
      <w:r>
        <w:rPr>
          <w:rFonts w:ascii="Times New Roman" w:eastAsia="Calibri" w:hAnsi="Times New Roman" w:cs="Times New Roman"/>
          <w:sz w:val="24"/>
          <w:szCs w:val="24"/>
        </w:rPr>
        <w:t>resume</w:t>
      </w:r>
      <w:r w:rsidRPr="007A77F1">
        <w:rPr>
          <w:rFonts w:ascii="Times New Roman" w:eastAsia="Calibri" w:hAnsi="Times New Roman" w:cs="Times New Roman"/>
          <w:sz w:val="24"/>
          <w:szCs w:val="24"/>
        </w:rPr>
        <w:t xml:space="preserve"> in-person delivery </w:t>
      </w:r>
      <w:r>
        <w:rPr>
          <w:rFonts w:ascii="Times New Roman" w:eastAsia="Calibri" w:hAnsi="Times New Roman" w:cs="Times New Roman"/>
          <w:sz w:val="24"/>
          <w:szCs w:val="24"/>
        </w:rPr>
        <w:t>of day programs and may provide in-person group treatment services</w:t>
      </w:r>
      <w:r w:rsidRPr="007A77F1">
        <w:rPr>
          <w:rFonts w:ascii="Times New Roman" w:eastAsia="Calibri" w:hAnsi="Times New Roman" w:cs="Times New Roman"/>
          <w:sz w:val="24"/>
          <w:szCs w:val="24"/>
        </w:rPr>
        <w:t xml:space="preserve">, subject to the </w:t>
      </w:r>
      <w:r>
        <w:rPr>
          <w:rFonts w:ascii="Times New Roman" w:eastAsia="Calibri" w:hAnsi="Times New Roman" w:cs="Times New Roman"/>
          <w:sz w:val="24"/>
          <w:szCs w:val="24"/>
        </w:rPr>
        <w:t xml:space="preserve">following updated </w:t>
      </w:r>
      <w:r w:rsidRPr="007A77F1">
        <w:rPr>
          <w:rFonts w:ascii="Times New Roman" w:eastAsia="Calibri" w:hAnsi="Times New Roman" w:cs="Times New Roman"/>
          <w:sz w:val="24"/>
          <w:szCs w:val="24"/>
        </w:rPr>
        <w:t>requirements and limitations</w:t>
      </w:r>
      <w:r>
        <w:rPr>
          <w:rFonts w:ascii="Times New Roman" w:eastAsia="Calibri" w:hAnsi="Times New Roman" w:cs="Times New Roman"/>
          <w:sz w:val="24"/>
          <w:szCs w:val="24"/>
        </w:rPr>
        <w:t xml:space="preserve"> for Phase 3: </w:t>
      </w:r>
    </w:p>
    <w:p w14:paraId="017F8DB7" w14:textId="77777777" w:rsidR="008A746A" w:rsidRPr="0008142F" w:rsidRDefault="008A746A" w:rsidP="008A746A">
      <w:pPr>
        <w:pStyle w:val="ListParagraph"/>
        <w:rPr>
          <w:rFonts w:ascii="Times New Roman" w:eastAsia="Calibri" w:hAnsi="Times New Roman" w:cs="Times New Roman"/>
          <w:sz w:val="24"/>
          <w:szCs w:val="24"/>
        </w:rPr>
      </w:pPr>
    </w:p>
    <w:p w14:paraId="156C6074" w14:textId="77777777" w:rsidR="008A746A" w:rsidRPr="003D7BB4" w:rsidRDefault="008A746A" w:rsidP="008A746A">
      <w:pPr>
        <w:pStyle w:val="ListParagraph"/>
        <w:numPr>
          <w:ilvl w:val="0"/>
          <w:numId w:val="46"/>
        </w:numPr>
        <w:rPr>
          <w:rFonts w:ascii="Times New Roman" w:eastAsia="Calibri" w:hAnsi="Times New Roman" w:cs="Times New Roman"/>
          <w:sz w:val="24"/>
          <w:szCs w:val="24"/>
        </w:rPr>
      </w:pPr>
      <w:r w:rsidRPr="0008142F">
        <w:rPr>
          <w:rFonts w:ascii="Times New Roman" w:eastAsia="Calibri" w:hAnsi="Times New Roman" w:cs="Times New Roman"/>
          <w:sz w:val="24"/>
          <w:szCs w:val="24"/>
        </w:rPr>
        <w:t>Day Programs</w:t>
      </w:r>
    </w:p>
    <w:p w14:paraId="79BCF3BE" w14:textId="45484113" w:rsidR="008A746A" w:rsidRPr="00792CA5" w:rsidRDefault="008A746A" w:rsidP="008A746A">
      <w:pPr>
        <w:rPr>
          <w:rFonts w:ascii="Times New Roman" w:eastAsia="Calibri" w:hAnsi="Times New Roman" w:cs="Times New Roman"/>
          <w:sz w:val="24"/>
          <w:szCs w:val="24"/>
        </w:rPr>
      </w:pPr>
      <w:r>
        <w:rPr>
          <w:rFonts w:ascii="Times New Roman" w:eastAsia="Calibri" w:hAnsi="Times New Roman" w:cs="Times New Roman"/>
          <w:sz w:val="24"/>
          <w:szCs w:val="24"/>
        </w:rPr>
        <w:t>Health care providers</w:t>
      </w:r>
      <w:r w:rsidRPr="00792CA5">
        <w:rPr>
          <w:rFonts w:ascii="Times New Roman" w:eastAsia="Calibri" w:hAnsi="Times New Roman" w:cs="Times New Roman"/>
          <w:sz w:val="24"/>
          <w:szCs w:val="24"/>
        </w:rPr>
        <w:t xml:space="preserve"> may </w:t>
      </w:r>
      <w:r>
        <w:rPr>
          <w:rFonts w:ascii="Times New Roman" w:eastAsia="Calibri" w:hAnsi="Times New Roman" w:cs="Times New Roman"/>
          <w:sz w:val="24"/>
          <w:szCs w:val="24"/>
        </w:rPr>
        <w:t xml:space="preserve">resume day </w:t>
      </w:r>
      <w:r w:rsidRPr="009340C5">
        <w:rPr>
          <w:rFonts w:ascii="Times New Roman" w:eastAsia="Calibri" w:hAnsi="Times New Roman" w:cs="Times New Roman"/>
          <w:sz w:val="24"/>
          <w:szCs w:val="24"/>
        </w:rPr>
        <w:t xml:space="preserve">programs upon issuance of </w:t>
      </w:r>
      <w:hyperlink r:id="rId12" w:history="1">
        <w:r w:rsidRPr="00E6752E">
          <w:rPr>
            <w:rStyle w:val="Hyperlink"/>
            <w:rFonts w:ascii="Times New Roman" w:eastAsia="Calibri" w:hAnsi="Times New Roman" w:cs="Times New Roman"/>
            <w:sz w:val="24"/>
            <w:szCs w:val="24"/>
          </w:rPr>
          <w:t>the Massachusetts Day Program Reopen Approach</w:t>
        </w:r>
      </w:hyperlink>
      <w:r w:rsidRPr="009340C5">
        <w:rPr>
          <w:rFonts w:ascii="Times New Roman" w:eastAsia="Calibri" w:hAnsi="Times New Roman" w:cs="Times New Roman"/>
          <w:sz w:val="24"/>
          <w:szCs w:val="24"/>
        </w:rPr>
        <w:t xml:space="preserve"> guidance from the Executive Office of Health and Human Services (EOHHS) and subject to all requirements and limitations described therein.</w:t>
      </w:r>
    </w:p>
    <w:p w14:paraId="2548DE08" w14:textId="77777777" w:rsidR="007A77F1" w:rsidRPr="007A77F1" w:rsidRDefault="007A77F1" w:rsidP="007A77F1">
      <w:pPr>
        <w:rPr>
          <w:rFonts w:ascii="Times New Roman" w:eastAsia="Calibri" w:hAnsi="Times New Roman" w:cs="Times New Roman"/>
          <w:b/>
          <w:sz w:val="24"/>
          <w:szCs w:val="24"/>
        </w:rPr>
      </w:pPr>
    </w:p>
    <w:p w14:paraId="398D97AB" w14:textId="77777777" w:rsidR="0093547F" w:rsidRPr="000C5168" w:rsidRDefault="0093547F" w:rsidP="0093547F">
      <w:pPr>
        <w:pStyle w:val="ListParagraph"/>
        <w:numPr>
          <w:ilvl w:val="0"/>
          <w:numId w:val="46"/>
        </w:num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Group </w:t>
      </w:r>
      <w:r>
        <w:rPr>
          <w:rFonts w:ascii="Times New Roman" w:eastAsia="Calibri" w:hAnsi="Times New Roman" w:cs="Times New Roman"/>
          <w:sz w:val="24"/>
          <w:szCs w:val="24"/>
        </w:rPr>
        <w:t>T</w:t>
      </w:r>
      <w:r w:rsidRPr="000C5168">
        <w:rPr>
          <w:rFonts w:ascii="Times New Roman" w:eastAsia="Calibri" w:hAnsi="Times New Roman" w:cs="Times New Roman"/>
          <w:sz w:val="24"/>
          <w:szCs w:val="24"/>
        </w:rPr>
        <w:t>reatment</w:t>
      </w:r>
    </w:p>
    <w:p w14:paraId="5D6C5489" w14:textId="37740465" w:rsidR="00E27FE3" w:rsidRPr="00AB65F8" w:rsidRDefault="00E27FE3" w:rsidP="00AB65F8">
      <w:pPr>
        <w:rPr>
          <w:rFonts w:ascii="Times New Roman" w:eastAsia="Calibri" w:hAnsi="Times New Roman" w:cs="Times New Roman"/>
          <w:sz w:val="24"/>
          <w:szCs w:val="24"/>
        </w:rPr>
      </w:pPr>
      <w:r w:rsidRPr="00AB65F8">
        <w:rPr>
          <w:rFonts w:ascii="Times New Roman" w:eastAsia="Calibri" w:hAnsi="Times New Roman" w:cs="Times New Roman"/>
          <w:sz w:val="24"/>
          <w:szCs w:val="24"/>
        </w:rPr>
        <w:t>Health care providers may provide in-person group treatment</w:t>
      </w:r>
      <w:r w:rsidR="0093547F" w:rsidRPr="00AB65F8">
        <w:rPr>
          <w:rFonts w:ascii="Times New Roman" w:eastAsia="Calibri" w:hAnsi="Times New Roman" w:cs="Times New Roman"/>
          <w:sz w:val="24"/>
          <w:szCs w:val="24"/>
        </w:rPr>
        <w:t xml:space="preserve">, including for </w:t>
      </w:r>
      <w:r w:rsidR="00A91C0A">
        <w:rPr>
          <w:rFonts w:ascii="Times New Roman" w:eastAsia="Calibri" w:hAnsi="Times New Roman" w:cs="Times New Roman"/>
          <w:sz w:val="24"/>
          <w:szCs w:val="24"/>
        </w:rPr>
        <w:t>clinical</w:t>
      </w:r>
      <w:r w:rsidR="0093547F" w:rsidRPr="00AB65F8">
        <w:rPr>
          <w:rFonts w:ascii="Times New Roman" w:eastAsia="Calibri" w:hAnsi="Times New Roman" w:cs="Times New Roman"/>
          <w:sz w:val="24"/>
          <w:szCs w:val="24"/>
        </w:rPr>
        <w:t xml:space="preserve"> and </w:t>
      </w:r>
      <w:r w:rsidRPr="00AB65F8">
        <w:rPr>
          <w:rFonts w:ascii="Times New Roman" w:eastAsia="Calibri" w:hAnsi="Times New Roman" w:cs="Times New Roman"/>
          <w:sz w:val="24"/>
          <w:szCs w:val="24"/>
        </w:rPr>
        <w:t xml:space="preserve">behavioral health </w:t>
      </w:r>
      <w:r w:rsidR="0093547F" w:rsidRPr="00AB65F8">
        <w:rPr>
          <w:rFonts w:ascii="Times New Roman" w:eastAsia="Calibri" w:hAnsi="Times New Roman" w:cs="Times New Roman"/>
          <w:sz w:val="24"/>
          <w:szCs w:val="24"/>
        </w:rPr>
        <w:t xml:space="preserve">treatment, </w:t>
      </w:r>
      <w:r w:rsidRPr="00AB65F8">
        <w:rPr>
          <w:rFonts w:ascii="Times New Roman" w:eastAsia="Calibri" w:hAnsi="Times New Roman" w:cs="Times New Roman"/>
          <w:sz w:val="24"/>
          <w:szCs w:val="24"/>
        </w:rPr>
        <w:t>within the following parameters:</w:t>
      </w:r>
    </w:p>
    <w:p w14:paraId="1FF3E563" w14:textId="77777777" w:rsidR="00E27FE3" w:rsidRPr="00C27A19" w:rsidRDefault="00E27FE3" w:rsidP="00E27FE3">
      <w:pPr>
        <w:pStyle w:val="ListParagraph"/>
        <w:rPr>
          <w:rFonts w:ascii="Times New Roman" w:eastAsia="Calibri" w:hAnsi="Times New Roman" w:cs="Times New Roman"/>
          <w:sz w:val="24"/>
          <w:szCs w:val="24"/>
        </w:rPr>
      </w:pPr>
    </w:p>
    <w:p w14:paraId="6AB3C3BB" w14:textId="6E36D253" w:rsidR="00E27FE3" w:rsidRDefault="00E27FE3" w:rsidP="0089732D">
      <w:pPr>
        <w:pStyle w:val="ListParagraph"/>
        <w:numPr>
          <w:ilvl w:val="0"/>
          <w:numId w:val="41"/>
        </w:num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Telehealth</w:t>
      </w:r>
      <w:proofErr w:type="spellEnd"/>
      <w:r>
        <w:rPr>
          <w:rFonts w:ascii="Times New Roman" w:eastAsia="Calibri" w:hAnsi="Times New Roman" w:cs="Times New Roman"/>
          <w:sz w:val="24"/>
          <w:szCs w:val="24"/>
        </w:rPr>
        <w:t xml:space="preserve"> and/or in-person one-on-one treatment should be prioritized in lieu of group </w:t>
      </w:r>
      <w:r w:rsidR="00A93967">
        <w:rPr>
          <w:rFonts w:ascii="Times New Roman" w:eastAsia="Calibri" w:hAnsi="Times New Roman" w:cs="Times New Roman"/>
          <w:sz w:val="24"/>
          <w:szCs w:val="24"/>
        </w:rPr>
        <w:t xml:space="preserve">treatment </w:t>
      </w:r>
      <w:r>
        <w:rPr>
          <w:rFonts w:ascii="Times New Roman" w:eastAsia="Calibri" w:hAnsi="Times New Roman" w:cs="Times New Roman"/>
          <w:sz w:val="24"/>
          <w:szCs w:val="24"/>
        </w:rPr>
        <w:t xml:space="preserve">when clinically appropriate </w:t>
      </w:r>
    </w:p>
    <w:p w14:paraId="0D68C2B1" w14:textId="08FEBAD4" w:rsidR="00E27FE3"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4F89DD49" w14:textId="543C7121" w:rsidR="0089732D" w:rsidRPr="004335AB" w:rsidRDefault="0089732D" w:rsidP="0089732D">
      <w:pPr>
        <w:pStyle w:val="ListParagraph"/>
        <w:numPr>
          <w:ilvl w:val="0"/>
          <w:numId w:val="41"/>
        </w:numPr>
        <w:rPr>
          <w:rFonts w:ascii="Times New Roman" w:eastAsia="Calibri" w:hAnsi="Times New Roman" w:cs="Times New Roman"/>
          <w:sz w:val="24"/>
          <w:szCs w:val="24"/>
        </w:rPr>
      </w:pPr>
      <w:r w:rsidRPr="00432B41">
        <w:rPr>
          <w:rFonts w:ascii="Times New Roman" w:eastAsia="Calibri" w:hAnsi="Times New Roman" w:cs="Times New Roman"/>
          <w:sz w:val="24"/>
          <w:szCs w:val="24"/>
        </w:rPr>
        <w:t xml:space="preserve">In order to maintain social distancing, </w:t>
      </w:r>
      <w:r>
        <w:rPr>
          <w:rFonts w:ascii="Times New Roman" w:eastAsia="Calibri" w:hAnsi="Times New Roman" w:cs="Times New Roman"/>
          <w:sz w:val="24"/>
          <w:szCs w:val="24"/>
        </w:rPr>
        <w:t xml:space="preserve">group treatment </w:t>
      </w:r>
      <w:r w:rsidRPr="00432B41">
        <w:rPr>
          <w:rFonts w:ascii="Times New Roman" w:eastAsia="Calibri" w:hAnsi="Times New Roman" w:cs="Times New Roman"/>
          <w:sz w:val="24"/>
          <w:szCs w:val="24"/>
        </w:rPr>
        <w:t xml:space="preserve">programs must be able to maintain 6 feet of distance between all individuals (including participants and staff), which is </w:t>
      </w:r>
      <w:r w:rsidR="00A91C0A">
        <w:rPr>
          <w:rFonts w:ascii="Times New Roman" w:eastAsia="Calibri" w:hAnsi="Times New Roman" w:cs="Times New Roman"/>
          <w:sz w:val="24"/>
          <w:szCs w:val="24"/>
        </w:rPr>
        <w:t xml:space="preserve">equivalent to an occupant load of </w:t>
      </w:r>
      <w:r w:rsidR="00CA7A57">
        <w:rPr>
          <w:rFonts w:ascii="Times New Roman" w:eastAsia="Calibri" w:hAnsi="Times New Roman" w:cs="Times New Roman"/>
          <w:sz w:val="24"/>
          <w:szCs w:val="24"/>
        </w:rPr>
        <w:t>at least</w:t>
      </w:r>
      <w:r w:rsidR="00CA7A57" w:rsidRPr="00432B41">
        <w:rPr>
          <w:rFonts w:ascii="Times New Roman" w:eastAsia="Calibri" w:hAnsi="Times New Roman" w:cs="Times New Roman"/>
          <w:sz w:val="24"/>
          <w:szCs w:val="24"/>
        </w:rPr>
        <w:t xml:space="preserve"> </w:t>
      </w:r>
      <w:r w:rsidRPr="00432B41">
        <w:rPr>
          <w:rFonts w:ascii="Times New Roman" w:eastAsia="Calibri" w:hAnsi="Times New Roman" w:cs="Times New Roman"/>
          <w:sz w:val="24"/>
          <w:szCs w:val="24"/>
        </w:rPr>
        <w:t xml:space="preserve">113 square feet per person. Programs should </w:t>
      </w:r>
      <w:r w:rsidRPr="00432B41">
        <w:rPr>
          <w:rFonts w:ascii="Times New Roman" w:eastAsia="Calibri" w:hAnsi="Times New Roman" w:cs="Times New Roman"/>
          <w:sz w:val="24"/>
          <w:szCs w:val="24"/>
        </w:rPr>
        <w:lastRenderedPageBreak/>
        <w:t>assess their usable physical space when determining ability and capacity to serve participants</w:t>
      </w:r>
    </w:p>
    <w:p w14:paraId="0AD18392" w14:textId="77777777" w:rsidR="002429CF"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 food or drink may be served</w:t>
      </w:r>
    </w:p>
    <w:p w14:paraId="5BB66F49" w14:textId="3F3ABD04" w:rsidR="00AA5998" w:rsidRDefault="00AA5998" w:rsidP="0089732D">
      <w:pPr>
        <w:pStyle w:val="ListParagraph"/>
        <w:numPr>
          <w:ilvl w:val="0"/>
          <w:numId w:val="41"/>
        </w:numPr>
        <w:rPr>
          <w:rFonts w:ascii="Times New Roman" w:eastAsia="Calibri" w:hAnsi="Times New Roman" w:cs="Times New Roman"/>
          <w:sz w:val="24"/>
          <w:szCs w:val="24"/>
        </w:rPr>
      </w:pPr>
      <w:bookmarkStart w:id="2" w:name="_Hlk42247592"/>
      <w:r>
        <w:rPr>
          <w:rFonts w:ascii="Times New Roman" w:eastAsia="Calibri" w:hAnsi="Times New Roman" w:cs="Times New Roman"/>
          <w:sz w:val="24"/>
          <w:szCs w:val="24"/>
        </w:rPr>
        <w:t xml:space="preserve">No </w:t>
      </w:r>
      <w:r w:rsidR="008D4806">
        <w:rPr>
          <w:rFonts w:ascii="Times New Roman" w:eastAsia="Calibri" w:hAnsi="Times New Roman" w:cs="Times New Roman"/>
          <w:sz w:val="24"/>
          <w:szCs w:val="24"/>
        </w:rPr>
        <w:t>physical contact</w:t>
      </w:r>
      <w:r>
        <w:rPr>
          <w:rFonts w:ascii="Times New Roman" w:eastAsia="Calibri" w:hAnsi="Times New Roman" w:cs="Times New Roman"/>
          <w:sz w:val="24"/>
          <w:szCs w:val="24"/>
        </w:rPr>
        <w:t xml:space="preserve"> or sharing of materials during a session</w:t>
      </w:r>
    </w:p>
    <w:bookmarkEnd w:id="2"/>
    <w:p w14:paraId="619B4DB5" w14:textId="470B422D" w:rsidR="00E27FE3" w:rsidRDefault="000F47D7"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002429CF">
        <w:rPr>
          <w:rFonts w:ascii="Times New Roman" w:eastAsia="Calibri" w:hAnsi="Times New Roman" w:cs="Times New Roman"/>
          <w:sz w:val="24"/>
          <w:szCs w:val="24"/>
        </w:rPr>
        <w:t xml:space="preserve">roup treatment sessions should be limited to the minimum amount of time that the provider determines is clinically effective </w:t>
      </w:r>
    </w:p>
    <w:p w14:paraId="6C4C5374" w14:textId="0BF47D30" w:rsidR="001777DC" w:rsidRPr="002429CF" w:rsidRDefault="00E27FE3" w:rsidP="0089732D">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24132915" w14:textId="77777777" w:rsidR="00E27FE3" w:rsidRPr="00B320D5" w:rsidRDefault="00E27FE3" w:rsidP="008F676F">
      <w:pPr>
        <w:pStyle w:val="ListParagraph"/>
        <w:rPr>
          <w:rFonts w:ascii="Times New Roman" w:eastAsia="Calibri" w:hAnsi="Times New Roman" w:cs="Times New Roman"/>
          <w:sz w:val="24"/>
          <w:szCs w:val="24"/>
        </w:rPr>
      </w:pP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1F67A78F" w14:textId="0A32F6E1"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3CCAC382" w14:textId="5707FB18" w:rsidR="00A91C0A" w:rsidRDefault="00A91C0A" w:rsidP="00A91C0A">
      <w:pPr>
        <w:rPr>
          <w:rFonts w:ascii="Times New Roman" w:eastAsia="Calibri" w:hAnsi="Times New Roman" w:cs="Times New Roman"/>
          <w:sz w:val="24"/>
          <w:szCs w:val="24"/>
        </w:rPr>
      </w:pPr>
      <w:r>
        <w:rPr>
          <w:rFonts w:ascii="Times New Roman" w:eastAsia="Calibri" w:hAnsi="Times New Roman" w:cs="Times New Roman"/>
          <w:sz w:val="24"/>
          <w:szCs w:val="24"/>
        </w:rPr>
        <w:t xml:space="preserve">Before delivering </w:t>
      </w:r>
      <w:r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health care providers system</w:t>
      </w:r>
      <w:r w:rsidRPr="007A77F1">
        <w:rPr>
          <w:rFonts w:ascii="Times New Roman" w:eastAsia="Calibri" w:hAnsi="Times New Roman" w:cs="Times New Roman"/>
          <w:sz w:val="24"/>
          <w:szCs w:val="24"/>
        </w:rPr>
        <w:t xml:space="preserve"> must first attest</w:t>
      </w:r>
      <w:r w:rsidRPr="003C1FCF">
        <w:rPr>
          <w:rFonts w:ascii="Times New Roman" w:eastAsia="Calibri" w:hAnsi="Times New Roman" w:cs="Times New Roman"/>
          <w:sz w:val="24"/>
          <w:szCs w:val="24"/>
        </w:rPr>
        <w:t xml:space="preserve">, on a </w:t>
      </w:r>
      <w:hyperlink r:id="rId13" w:history="1">
        <w:r w:rsidRPr="000C17D8">
          <w:rPr>
            <w:rStyle w:val="Hyperlink"/>
            <w:rFonts w:ascii="Times New Roman" w:eastAsia="Calibri" w:hAnsi="Times New Roman" w:cs="Times New Roman"/>
            <w:sz w:val="24"/>
            <w:szCs w:val="24"/>
          </w:rPr>
          <w:t>form prescribed by DPH</w:t>
        </w:r>
      </w:hyperlink>
      <w:r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Pr="007A77F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Phase 3 criteria and standards, as may be modified in further guidance based upon relevant capacity and public health measures. </w:t>
      </w:r>
    </w:p>
    <w:p w14:paraId="4048D85F" w14:textId="77777777" w:rsidR="00B13F33" w:rsidRDefault="00B13F33" w:rsidP="00B13F33">
      <w:pPr>
        <w:rPr>
          <w:rFonts w:ascii="Times New Roman" w:eastAsia="Calibri" w:hAnsi="Times New Roman" w:cs="Times New Roman"/>
          <w:sz w:val="24"/>
          <w:szCs w:val="24"/>
        </w:rPr>
      </w:pPr>
    </w:p>
    <w:p w14:paraId="4A37DF12" w14:textId="377E81BF" w:rsidR="00CA7A57" w:rsidRDefault="00216332" w:rsidP="00CA7A57">
      <w:pPr>
        <w:rPr>
          <w:rFonts w:ascii="Times New Roman" w:hAnsi="Times New Roman" w:cs="Times New Roman"/>
          <w:sz w:val="24"/>
          <w:szCs w:val="24"/>
        </w:rPr>
      </w:pPr>
      <w:r>
        <w:rPr>
          <w:rFonts w:ascii="Times New Roman" w:hAnsi="Times New Roman" w:cs="Times New Roman"/>
          <w:sz w:val="24"/>
          <w:szCs w:val="24"/>
        </w:rPr>
        <w:t xml:space="preserve">The attestation must be signed by the chief executive officer of </w:t>
      </w:r>
      <w:r w:rsidR="00CB11FD">
        <w:rPr>
          <w:rFonts w:ascii="Times New Roman" w:hAnsi="Times New Roman" w:cs="Times New Roman"/>
          <w:sz w:val="24"/>
          <w:szCs w:val="24"/>
        </w:rPr>
        <w:t>a community health center</w:t>
      </w:r>
      <w:r w:rsidR="00CB11FD">
        <w:rPr>
          <w:rStyle w:val="FootnoteReference"/>
          <w:rFonts w:ascii="Times New Roman" w:hAnsi="Times New Roman" w:cs="Times New Roman"/>
          <w:sz w:val="24"/>
          <w:szCs w:val="24"/>
        </w:rPr>
        <w:footnoteReference w:id="3"/>
      </w:r>
      <w:r w:rsidR="00CB11FD">
        <w:rPr>
          <w:rFonts w:ascii="Times New Roman" w:hAnsi="Times New Roman" w:cs="Times New Roman"/>
          <w:sz w:val="24"/>
          <w:szCs w:val="24"/>
        </w:rPr>
        <w:t xml:space="preserve"> (CHC) </w:t>
      </w:r>
      <w:r>
        <w:rPr>
          <w:rFonts w:ascii="Times New Roman" w:hAnsi="Times New Roman" w:cs="Times New Roman"/>
          <w:sz w:val="24"/>
          <w:szCs w:val="24"/>
        </w:rPr>
        <w:t>and for other health care providers by the compliance leader responsible for internal compliance with these criteria. CHCs and other health care providers must maintain the signed attestation and make it available upon request of DPH at any time.</w:t>
      </w:r>
      <w:bookmarkStart w:id="3" w:name="_Hlk40885759"/>
      <w:r w:rsidRPr="00697306">
        <w:rPr>
          <w:rFonts w:ascii="Times New Roman" w:hAnsi="Times New Roman" w:cs="Times New Roman"/>
          <w:sz w:val="24"/>
        </w:rPr>
        <w:t xml:space="preserve"> </w:t>
      </w:r>
      <w:r>
        <w:rPr>
          <w:rFonts w:ascii="Times New Roman" w:hAnsi="Times New Roman" w:cs="Times New Roman"/>
          <w:sz w:val="24"/>
        </w:rPr>
        <w:t xml:space="preserve">Health care providers with multiple locations </w:t>
      </w:r>
      <w:r w:rsidRPr="009B3BC2">
        <w:rPr>
          <w:rFonts w:ascii="Times New Roman" w:hAnsi="Times New Roman" w:cs="Times New Roman"/>
          <w:sz w:val="24"/>
          <w:szCs w:val="24"/>
        </w:rPr>
        <w:t xml:space="preserve">may sign and maintain </w:t>
      </w:r>
      <w:r>
        <w:rPr>
          <w:rFonts w:ascii="Times New Roman" w:hAnsi="Times New Roman" w:cs="Times New Roman"/>
          <w:sz w:val="24"/>
          <w:szCs w:val="24"/>
        </w:rPr>
        <w:t>one</w:t>
      </w:r>
      <w:r w:rsidRPr="009B3BC2">
        <w:rPr>
          <w:rFonts w:ascii="Times New Roman" w:hAnsi="Times New Roman" w:cs="Times New Roman"/>
          <w:sz w:val="24"/>
          <w:szCs w:val="24"/>
        </w:rPr>
        <w:t xml:space="preserve"> attestation on behalf of providers at all locations</w:t>
      </w:r>
      <w:r>
        <w:rPr>
          <w:rFonts w:ascii="Times New Roman" w:hAnsi="Times New Roman" w:cs="Times New Roman"/>
          <w:sz w:val="24"/>
          <w:szCs w:val="24"/>
        </w:rPr>
        <w:t>, as long as the designated compliance leader has</w:t>
      </w:r>
      <w:r w:rsidRPr="009B3BC2">
        <w:rPr>
          <w:rFonts w:ascii="Times New Roman" w:hAnsi="Times New Roman" w:cs="Times New Roman"/>
          <w:sz w:val="24"/>
          <w:szCs w:val="24"/>
        </w:rPr>
        <w:t xml:space="preserve"> clinical and operational control over </w:t>
      </w:r>
      <w:r>
        <w:rPr>
          <w:rFonts w:ascii="Times New Roman" w:hAnsi="Times New Roman" w:cs="Times New Roman"/>
          <w:sz w:val="24"/>
          <w:szCs w:val="24"/>
        </w:rPr>
        <w:t>the other locations</w:t>
      </w:r>
      <w:r w:rsidRPr="009B3BC2">
        <w:rPr>
          <w:rFonts w:ascii="Times New Roman" w:hAnsi="Times New Roman" w:cs="Times New Roman"/>
          <w:sz w:val="24"/>
          <w:szCs w:val="24"/>
        </w:rPr>
        <w:t>.</w:t>
      </w:r>
      <w:r>
        <w:t> </w:t>
      </w:r>
      <w:bookmarkEnd w:id="3"/>
      <w:r w:rsidR="008D7CE8">
        <w:rPr>
          <w:rFonts w:ascii="Times New Roman" w:hAnsi="Times New Roman" w:cs="Times New Roman"/>
          <w:sz w:val="24"/>
          <w:szCs w:val="24"/>
        </w:rPr>
        <w:t>H</w:t>
      </w:r>
      <w:r w:rsidR="008D7CE8">
        <w:rPr>
          <w:rFonts w:ascii="Times New Roman" w:eastAsia="Calibri" w:hAnsi="Times New Roman" w:cs="Times New Roman"/>
          <w:sz w:val="24"/>
          <w:szCs w:val="24"/>
        </w:rPr>
        <w:t xml:space="preserve">ealth care providers </w:t>
      </w:r>
      <w:r w:rsidR="006722CD">
        <w:rPr>
          <w:rFonts w:ascii="Times New Roman" w:eastAsia="Calibri" w:hAnsi="Times New Roman" w:cs="Times New Roman"/>
          <w:sz w:val="24"/>
          <w:szCs w:val="24"/>
        </w:rPr>
        <w:t>must</w:t>
      </w:r>
      <w:r w:rsidR="008D7CE8">
        <w:rPr>
          <w:rFonts w:ascii="Times New Roman" w:eastAsia="Calibri" w:hAnsi="Times New Roman" w:cs="Times New Roman"/>
          <w:sz w:val="24"/>
          <w:szCs w:val="24"/>
        </w:rPr>
        <w:t xml:space="preserve"> prominently post a </w:t>
      </w:r>
      <w:r w:rsidR="008D7CE8">
        <w:rPr>
          <w:rFonts w:ascii="Times New Roman" w:hAnsi="Times New Roman" w:cs="Times New Roman"/>
          <w:sz w:val="24"/>
          <w:szCs w:val="24"/>
        </w:rPr>
        <w:t xml:space="preserve">copy of the signed attestation form at each of its facilities, clinics, and office locations. </w:t>
      </w:r>
      <w:bookmarkStart w:id="4" w:name="_Hlk43994289"/>
      <w:r w:rsidR="00CA7A57">
        <w:rPr>
          <w:rFonts w:ascii="Times New Roman" w:hAnsi="Times New Roman" w:cs="Times New Roman"/>
          <w:sz w:val="24"/>
          <w:szCs w:val="24"/>
        </w:rPr>
        <w:t xml:space="preserve">The </w:t>
      </w:r>
      <w:r w:rsidR="00CA7A57" w:rsidRPr="009A1CDF">
        <w:rPr>
          <w:rFonts w:ascii="Times New Roman" w:hAnsi="Times New Roman" w:cs="Times New Roman"/>
          <w:sz w:val="24"/>
          <w:szCs w:val="24"/>
        </w:rPr>
        <w:t xml:space="preserve">Phase 3 attestation form </w:t>
      </w:r>
      <w:r w:rsidR="00CA7A57">
        <w:rPr>
          <w:rFonts w:ascii="Times New Roman" w:hAnsi="Times New Roman" w:cs="Times New Roman"/>
          <w:sz w:val="24"/>
          <w:szCs w:val="24"/>
        </w:rPr>
        <w:t xml:space="preserve">should not be submitted </w:t>
      </w:r>
      <w:r w:rsidR="00CA7A57" w:rsidRPr="009A1CDF">
        <w:rPr>
          <w:rFonts w:ascii="Times New Roman" w:hAnsi="Times New Roman" w:cs="Times New Roman"/>
          <w:sz w:val="24"/>
          <w:szCs w:val="24"/>
        </w:rPr>
        <w:t>to DPH</w:t>
      </w:r>
      <w:r w:rsidR="00CA7A57">
        <w:rPr>
          <w:rFonts w:ascii="Times New Roman" w:hAnsi="Times New Roman" w:cs="Times New Roman"/>
          <w:sz w:val="24"/>
          <w:szCs w:val="24"/>
        </w:rPr>
        <w:t xml:space="preserve">, but instead maintained as indicated above. </w:t>
      </w:r>
    </w:p>
    <w:bookmarkEnd w:id="4"/>
    <w:p w14:paraId="7E644A55" w14:textId="77777777" w:rsidR="00302448" w:rsidRPr="003B3FDB" w:rsidRDefault="00302448" w:rsidP="00A75F40">
      <w:pPr>
        <w:rPr>
          <w:rFonts w:ascii="Times New Roman" w:eastAsia="Calibri" w:hAnsi="Times New Roman" w:cs="Times New Roman"/>
          <w:sz w:val="24"/>
          <w:szCs w:val="24"/>
        </w:rPr>
      </w:pPr>
    </w:p>
    <w:p w14:paraId="05D3213F" w14:textId="6BB0F2EC" w:rsidR="007A77F1" w:rsidRPr="007A77F1" w:rsidRDefault="007A77F1" w:rsidP="00A75F40">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Written Policies and Protocols</w:t>
      </w:r>
    </w:p>
    <w:p w14:paraId="0FAF2736" w14:textId="4449946C" w:rsidR="007A77F1" w:rsidRPr="007A77F1" w:rsidRDefault="00216332" w:rsidP="00A75F40">
      <w:pPr>
        <w:rPr>
          <w:rFonts w:ascii="Times New Roman" w:eastAsia="Calibri" w:hAnsi="Times New Roman" w:cs="Times New Roman"/>
          <w:sz w:val="24"/>
        </w:rPr>
      </w:pPr>
      <w:r>
        <w:rPr>
          <w:rFonts w:ascii="Times New Roman" w:eastAsia="Calibri" w:hAnsi="Times New Roman" w:cs="Times New Roman"/>
          <w:sz w:val="24"/>
          <w:szCs w:val="24"/>
        </w:rPr>
        <w:t>Health care providers</w:t>
      </w:r>
      <w:r w:rsidR="007A77F1" w:rsidRPr="007A77F1">
        <w:rPr>
          <w:rFonts w:ascii="Times New Roman" w:eastAsia="Calibri" w:hAnsi="Times New Roman" w:cs="Times New Roman"/>
          <w:sz w:val="24"/>
          <w:szCs w:val="24"/>
        </w:rPr>
        <w:t xml:space="preserve"> must update and maintain written policies and protocols that meet or exceed the standards outlined in this guidance. Such policies, protocols, and documentation must be regularly updated and made available to DPH upon request at any time.</w:t>
      </w:r>
      <w:r w:rsidR="007A77F1" w:rsidRPr="007A77F1">
        <w:rPr>
          <w:rFonts w:ascii="Calibri" w:eastAsia="Calibri" w:hAnsi="Calibri" w:cs="Times New Roman"/>
        </w:rPr>
        <w:t xml:space="preserve"> </w:t>
      </w:r>
    </w:p>
    <w:p w14:paraId="4D7FF45E" w14:textId="77777777" w:rsidR="007A77F1" w:rsidRPr="007A77F1" w:rsidRDefault="007A77F1" w:rsidP="007A77F1">
      <w:pPr>
        <w:rPr>
          <w:rFonts w:ascii="Calibri" w:eastAsia="Calibri" w:hAnsi="Calibri" w:cs="Times New Roman"/>
        </w:rPr>
      </w:pPr>
    </w:p>
    <w:p w14:paraId="40CEAB5E" w14:textId="77777777" w:rsidR="007A77F1" w:rsidRPr="007A77F1" w:rsidRDefault="007A77F1" w:rsidP="007A77F1">
      <w:pPr>
        <w:rPr>
          <w:rFonts w:ascii="Times New Roman" w:eastAsia="Calibri" w:hAnsi="Times New Roman" w:cs="Times New Roman"/>
          <w:i/>
          <w:sz w:val="24"/>
        </w:rPr>
      </w:pPr>
      <w:r w:rsidRPr="007A77F1">
        <w:rPr>
          <w:rFonts w:ascii="Times New Roman" w:eastAsia="Calibri" w:hAnsi="Times New Roman" w:cs="Times New Roman"/>
          <w:i/>
          <w:sz w:val="24"/>
          <w:szCs w:val="24"/>
        </w:rPr>
        <w:t>Compliance</w:t>
      </w:r>
    </w:p>
    <w:p w14:paraId="7701B9E3" w14:textId="2E9720AC" w:rsidR="008151CF" w:rsidRPr="007A77F1" w:rsidRDefault="007A77F1" w:rsidP="007A77F1">
      <w:pPr>
        <w:rPr>
          <w:rFonts w:ascii="Times New Roman" w:hAnsi="Times New Roman" w:cs="Times New Roman"/>
          <w:sz w:val="18"/>
          <w:szCs w:val="18"/>
        </w:rPr>
      </w:pPr>
      <w:r w:rsidRPr="007A77F1">
        <w:rPr>
          <w:rFonts w:ascii="Times New Roman" w:eastAsia="Calibri" w:hAnsi="Times New Roman" w:cs="Times New Roman"/>
          <w:sz w:val="24"/>
          <w:szCs w:val="24"/>
        </w:rPr>
        <w:t xml:space="preserve">DPH will monitor and assess compliance and may require remedial action or suspension of </w:t>
      </w:r>
      <w:r w:rsidRPr="007A77F1">
        <w:rPr>
          <w:rFonts w:ascii="Times New Roman" w:eastAsia="Calibri" w:hAnsi="Times New Roman" w:cs="Times New Roman"/>
          <w:sz w:val="24"/>
          <w:szCs w:val="24"/>
          <w:u w:val="single"/>
        </w:rPr>
        <w:t xml:space="preserve">Phase </w:t>
      </w:r>
      <w:r w:rsidR="0093547F">
        <w:rPr>
          <w:rFonts w:ascii="Times New Roman" w:eastAsia="Calibri" w:hAnsi="Times New Roman" w:cs="Times New Roman"/>
          <w:sz w:val="24"/>
          <w:szCs w:val="24"/>
          <w:u w:val="single"/>
        </w:rPr>
        <w:t>3</w:t>
      </w:r>
      <w:r w:rsidRPr="007A77F1">
        <w:rPr>
          <w:rFonts w:ascii="Times New Roman" w:eastAsia="Calibri" w:hAnsi="Times New Roman" w:cs="Times New Roman"/>
          <w:sz w:val="24"/>
          <w:szCs w:val="24"/>
          <w:u w:val="single"/>
        </w:rPr>
        <w:t xml:space="preserve">: </w:t>
      </w:r>
      <w:r w:rsidR="0093547F">
        <w:rPr>
          <w:rFonts w:ascii="Times New Roman" w:eastAsia="Calibri" w:hAnsi="Times New Roman" w:cs="Times New Roman"/>
          <w:sz w:val="24"/>
          <w:szCs w:val="24"/>
          <w:u w:val="single"/>
        </w:rPr>
        <w:t xml:space="preserve">Vigilant </w:t>
      </w:r>
      <w:r w:rsidRPr="007A77F1">
        <w:rPr>
          <w:rFonts w:ascii="Times New Roman" w:eastAsia="Calibri" w:hAnsi="Times New Roman" w:cs="Times New Roman"/>
          <w:sz w:val="24"/>
          <w:szCs w:val="24"/>
        </w:rPr>
        <w:t>procedures and services as warranted.</w:t>
      </w:r>
    </w:p>
    <w:sectPr w:rsidR="008151CF" w:rsidRPr="007A77F1" w:rsidSect="00971EA8">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1076EC" w15:done="0"/>
  <w15:commentEx w15:paraId="49BB1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BBC2" w16cex:dateUtc="2020-06-29T23:13:00Z"/>
  <w16cex:commentExtensible w16cex:durableId="22A4BC3D" w16cex:dateUtc="2020-06-2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1076EC" w16cid:durableId="22A4BBC2"/>
  <w16cid:commentId w16cid:paraId="49BB1C2E" w16cid:durableId="22A4B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11A60" w14:textId="77777777" w:rsidR="00EF758D" w:rsidRDefault="00EF758D" w:rsidP="00B740B8">
      <w:r>
        <w:separator/>
      </w:r>
    </w:p>
  </w:endnote>
  <w:endnote w:type="continuationSeparator" w:id="0">
    <w:p w14:paraId="0BA94BB1" w14:textId="77777777" w:rsidR="00EF758D" w:rsidRDefault="00EF758D" w:rsidP="00B740B8">
      <w:r>
        <w:continuationSeparator/>
      </w:r>
    </w:p>
  </w:endnote>
  <w:endnote w:type="continuationNotice" w:id="1">
    <w:p w14:paraId="67449845" w14:textId="77777777" w:rsidR="00EF758D" w:rsidRDefault="00EF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841C92">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841C92">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0A6E7" w14:textId="77777777" w:rsidR="00EF758D" w:rsidRDefault="00EF758D" w:rsidP="00B740B8">
      <w:r>
        <w:separator/>
      </w:r>
    </w:p>
  </w:footnote>
  <w:footnote w:type="continuationSeparator" w:id="0">
    <w:p w14:paraId="1D3D3E17" w14:textId="77777777" w:rsidR="00EF758D" w:rsidRDefault="00EF758D" w:rsidP="00B740B8">
      <w:r>
        <w:continuationSeparator/>
      </w:r>
    </w:p>
  </w:footnote>
  <w:footnote w:type="continuationNotice" w:id="1">
    <w:p w14:paraId="46B0F607" w14:textId="77777777" w:rsidR="00EF758D" w:rsidRDefault="00EF758D"/>
  </w:footnote>
  <w:footnote w:id="2">
    <w:p w14:paraId="4B3F0FCC" w14:textId="77777777" w:rsidR="007A77F1" w:rsidRPr="00812AF7" w:rsidRDefault="007A77F1" w:rsidP="007A77F1">
      <w:pPr>
        <w:rPr>
          <w:rFonts w:ascii="Times New Roman" w:eastAsia="Times New Roman" w:hAnsi="Times New Roman" w:cs="Times New Roman"/>
          <w:sz w:val="20"/>
          <w:szCs w:val="20"/>
        </w:rPr>
      </w:pPr>
      <w:r w:rsidRPr="00302448">
        <w:rPr>
          <w:rStyle w:val="FootnoteReference"/>
          <w:rFonts w:ascii="Times New Roman" w:hAnsi="Times New Roman"/>
          <w:sz w:val="20"/>
          <w:szCs w:val="20"/>
        </w:rPr>
        <w:footnoteRef/>
      </w:r>
      <w:r w:rsidRPr="00302448">
        <w:rPr>
          <w:rFonts w:ascii="Times New Roman" w:hAnsi="Times New Roman"/>
          <w:sz w:val="20"/>
          <w:szCs w:val="20"/>
        </w:rPr>
        <w:t xml:space="preserve"> As used in this document, “hospital” means an acute care hospital, unless otherwise specified. For the purposes of this guidance, acute care hospitals shall not include </w:t>
      </w:r>
      <w:r w:rsidRPr="00302448">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302448">
        <w:rPr>
          <w:rFonts w:ascii="Times New Roman" w:hAnsi="Times New Roman"/>
          <w:color w:val="000000"/>
          <w:sz w:val="20"/>
          <w:szCs w:val="20"/>
          <w:shd w:val="clear" w:color="auto" w:fill="FFFFFF"/>
        </w:rPr>
        <w:t>or freestanding pediatric hospitals, as defined in 105 CMR 130</w:t>
      </w:r>
      <w:r w:rsidRPr="00302448">
        <w:rPr>
          <w:rFonts w:ascii="Times New Roman" w:eastAsia="Times New Roman" w:hAnsi="Times New Roman" w:cs="Times New Roman"/>
          <w:color w:val="212121"/>
          <w:sz w:val="20"/>
          <w:szCs w:val="20"/>
          <w:shd w:val="clear" w:color="auto" w:fill="FFFFFF"/>
        </w:rPr>
        <w:t>.</w:t>
      </w:r>
    </w:p>
  </w:footnote>
  <w:footnote w:id="3">
    <w:p w14:paraId="53DD904A" w14:textId="487DAF9B" w:rsidR="00CB11FD" w:rsidRPr="008D7CE8" w:rsidRDefault="00CB11FD">
      <w:pPr>
        <w:pStyle w:val="FootnoteText"/>
        <w:rPr>
          <w:sz w:val="18"/>
          <w:szCs w:val="18"/>
        </w:rPr>
      </w:pPr>
      <w:r w:rsidRPr="008D7CE8">
        <w:rPr>
          <w:rStyle w:val="FootnoteReference"/>
          <w:sz w:val="18"/>
          <w:szCs w:val="18"/>
        </w:rPr>
        <w:footnoteRef/>
      </w:r>
      <w:r w:rsidRPr="008D7CE8">
        <w:rPr>
          <w:sz w:val="18"/>
          <w:szCs w:val="18"/>
        </w:rPr>
        <w:t xml:space="preserve"> For purposes of this guidance, the term “community health center” shall include Federally Qualified Health Centers and hospital-licensed community health centers.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2B3B0"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31A4B5CC"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 xml:space="preserve">Reopen Approach for </w:t>
                    </w:r>
                    <w:r w:rsidR="00205760">
                      <w:rPr>
                        <w:rFonts w:ascii="Times New Roman" w:hAnsi="Times New Roman" w:cs="Times New Roman"/>
                        <w:color w:val="FFFFFF" w:themeColor="background1"/>
                        <w:sz w:val="24"/>
                        <w:szCs w:val="24"/>
                      </w:rPr>
                      <w:t>Health Care Providers (Not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C5EE2"/>
    <w:multiLevelType w:val="hybridMultilevel"/>
    <w:tmpl w:val="7FA41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8">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9">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2">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9">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3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2">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9">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3">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5">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8"/>
  </w:num>
  <w:num w:numId="2">
    <w:abstractNumId w:val="35"/>
  </w:num>
  <w:num w:numId="3">
    <w:abstractNumId w:val="44"/>
  </w:num>
  <w:num w:numId="4">
    <w:abstractNumId w:val="31"/>
  </w:num>
  <w:num w:numId="5">
    <w:abstractNumId w:val="34"/>
  </w:num>
  <w:num w:numId="6">
    <w:abstractNumId w:val="6"/>
  </w:num>
  <w:num w:numId="7">
    <w:abstractNumId w:val="20"/>
  </w:num>
  <w:num w:numId="8">
    <w:abstractNumId w:val="11"/>
  </w:num>
  <w:num w:numId="9">
    <w:abstractNumId w:val="8"/>
  </w:num>
  <w:num w:numId="10">
    <w:abstractNumId w:val="29"/>
  </w:num>
  <w:num w:numId="11">
    <w:abstractNumId w:val="10"/>
  </w:num>
  <w:num w:numId="12">
    <w:abstractNumId w:val="16"/>
  </w:num>
  <w:num w:numId="13">
    <w:abstractNumId w:val="40"/>
  </w:num>
  <w:num w:numId="14">
    <w:abstractNumId w:val="4"/>
  </w:num>
  <w:num w:numId="15">
    <w:abstractNumId w:val="13"/>
  </w:num>
  <w:num w:numId="16">
    <w:abstractNumId w:val="5"/>
  </w:num>
  <w:num w:numId="17">
    <w:abstractNumId w:val="17"/>
  </w:num>
  <w:num w:numId="18">
    <w:abstractNumId w:val="23"/>
  </w:num>
  <w:num w:numId="19">
    <w:abstractNumId w:val="14"/>
  </w:num>
  <w:num w:numId="20">
    <w:abstractNumId w:val="32"/>
  </w:num>
  <w:num w:numId="21">
    <w:abstractNumId w:val="27"/>
  </w:num>
  <w:num w:numId="22">
    <w:abstractNumId w:val="19"/>
  </w:num>
  <w:num w:numId="23">
    <w:abstractNumId w:val="42"/>
  </w:num>
  <w:num w:numId="24">
    <w:abstractNumId w:val="3"/>
  </w:num>
  <w:num w:numId="25">
    <w:abstractNumId w:val="26"/>
  </w:num>
  <w:num w:numId="26">
    <w:abstractNumId w:val="12"/>
  </w:num>
  <w:num w:numId="27">
    <w:abstractNumId w:val="25"/>
  </w:num>
  <w:num w:numId="28">
    <w:abstractNumId w:val="30"/>
  </w:num>
  <w:num w:numId="29">
    <w:abstractNumId w:val="2"/>
  </w:num>
  <w:num w:numId="30">
    <w:abstractNumId w:val="33"/>
  </w:num>
  <w:num w:numId="31">
    <w:abstractNumId w:val="38"/>
  </w:num>
  <w:num w:numId="32">
    <w:abstractNumId w:val="24"/>
  </w:num>
  <w:num w:numId="33">
    <w:abstractNumId w:val="37"/>
  </w:num>
  <w:num w:numId="34">
    <w:abstractNumId w:val="0"/>
  </w:num>
  <w:num w:numId="35">
    <w:abstractNumId w:val="41"/>
  </w:num>
  <w:num w:numId="36">
    <w:abstractNumId w:val="21"/>
  </w:num>
  <w:num w:numId="37">
    <w:abstractNumId w:val="43"/>
  </w:num>
  <w:num w:numId="38">
    <w:abstractNumId w:val="7"/>
  </w:num>
  <w:num w:numId="39">
    <w:abstractNumId w:val="36"/>
  </w:num>
  <w:num w:numId="40">
    <w:abstractNumId w:val="1"/>
  </w:num>
  <w:num w:numId="41">
    <w:abstractNumId w:val="22"/>
  </w:num>
  <w:num w:numId="42">
    <w:abstractNumId w:val="39"/>
  </w:num>
  <w:num w:numId="43">
    <w:abstractNumId w:val="9"/>
  </w:num>
  <w:num w:numId="44">
    <w:abstractNumId w:val="28"/>
  </w:num>
  <w:num w:numId="45">
    <w:abstractNumId w:val="45"/>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tz, David (HPC)">
    <w15:presenceInfo w15:providerId="AD" w15:userId="S::david.seltz@mass.gov::7613251f-e3f9-4eb8-93c0-e2d3774e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2C"/>
    <w:rsid w:val="00006F96"/>
    <w:rsid w:val="00006FB4"/>
    <w:rsid w:val="00006FD0"/>
    <w:rsid w:val="00017754"/>
    <w:rsid w:val="00020B24"/>
    <w:rsid w:val="0002462B"/>
    <w:rsid w:val="00025398"/>
    <w:rsid w:val="00025804"/>
    <w:rsid w:val="00027DFC"/>
    <w:rsid w:val="000310AA"/>
    <w:rsid w:val="0003215B"/>
    <w:rsid w:val="000328DA"/>
    <w:rsid w:val="00034698"/>
    <w:rsid w:val="0004502D"/>
    <w:rsid w:val="000450C0"/>
    <w:rsid w:val="00047DBD"/>
    <w:rsid w:val="00057EE6"/>
    <w:rsid w:val="00065039"/>
    <w:rsid w:val="000711DC"/>
    <w:rsid w:val="000718A7"/>
    <w:rsid w:val="00073159"/>
    <w:rsid w:val="000747DE"/>
    <w:rsid w:val="000766C0"/>
    <w:rsid w:val="00076D2E"/>
    <w:rsid w:val="0008142F"/>
    <w:rsid w:val="00090C4C"/>
    <w:rsid w:val="000956B7"/>
    <w:rsid w:val="000B272A"/>
    <w:rsid w:val="000B4396"/>
    <w:rsid w:val="000B7A0F"/>
    <w:rsid w:val="000C0666"/>
    <w:rsid w:val="000C17D8"/>
    <w:rsid w:val="000C2E4C"/>
    <w:rsid w:val="000C2F9C"/>
    <w:rsid w:val="000C72C4"/>
    <w:rsid w:val="000D29F5"/>
    <w:rsid w:val="000D37E5"/>
    <w:rsid w:val="000D41AE"/>
    <w:rsid w:val="000D697E"/>
    <w:rsid w:val="000D7BB8"/>
    <w:rsid w:val="000D7DE1"/>
    <w:rsid w:val="000E094D"/>
    <w:rsid w:val="000E15F1"/>
    <w:rsid w:val="000E1E0D"/>
    <w:rsid w:val="000E3319"/>
    <w:rsid w:val="000E53BC"/>
    <w:rsid w:val="000E6BEE"/>
    <w:rsid w:val="000E6CEA"/>
    <w:rsid w:val="000F0F13"/>
    <w:rsid w:val="000F1307"/>
    <w:rsid w:val="000F33BC"/>
    <w:rsid w:val="000F47D7"/>
    <w:rsid w:val="000F6CA4"/>
    <w:rsid w:val="001002C4"/>
    <w:rsid w:val="00100C49"/>
    <w:rsid w:val="00102744"/>
    <w:rsid w:val="001028BB"/>
    <w:rsid w:val="0010338D"/>
    <w:rsid w:val="00103D0B"/>
    <w:rsid w:val="00110F6D"/>
    <w:rsid w:val="001125A2"/>
    <w:rsid w:val="0012393C"/>
    <w:rsid w:val="001240CC"/>
    <w:rsid w:val="00133F72"/>
    <w:rsid w:val="001368E4"/>
    <w:rsid w:val="001375B5"/>
    <w:rsid w:val="001413B1"/>
    <w:rsid w:val="00141656"/>
    <w:rsid w:val="00142E04"/>
    <w:rsid w:val="0015062D"/>
    <w:rsid w:val="00155E15"/>
    <w:rsid w:val="001607C8"/>
    <w:rsid w:val="001614A6"/>
    <w:rsid w:val="00163F04"/>
    <w:rsid w:val="0017310F"/>
    <w:rsid w:val="001777DC"/>
    <w:rsid w:val="0018027E"/>
    <w:rsid w:val="00180A86"/>
    <w:rsid w:val="00183D5D"/>
    <w:rsid w:val="0018431D"/>
    <w:rsid w:val="00185296"/>
    <w:rsid w:val="00187292"/>
    <w:rsid w:val="00191C91"/>
    <w:rsid w:val="00192D39"/>
    <w:rsid w:val="0019415F"/>
    <w:rsid w:val="0019459F"/>
    <w:rsid w:val="0019663B"/>
    <w:rsid w:val="00196934"/>
    <w:rsid w:val="001A3859"/>
    <w:rsid w:val="001A5F33"/>
    <w:rsid w:val="001C40ED"/>
    <w:rsid w:val="001C5C13"/>
    <w:rsid w:val="001C5F5A"/>
    <w:rsid w:val="001D3773"/>
    <w:rsid w:val="001D5513"/>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5760"/>
    <w:rsid w:val="00206999"/>
    <w:rsid w:val="00206C10"/>
    <w:rsid w:val="0021006E"/>
    <w:rsid w:val="002117BE"/>
    <w:rsid w:val="00212F21"/>
    <w:rsid w:val="002144B0"/>
    <w:rsid w:val="00215566"/>
    <w:rsid w:val="002155E8"/>
    <w:rsid w:val="00216332"/>
    <w:rsid w:val="00216661"/>
    <w:rsid w:val="00221E74"/>
    <w:rsid w:val="00223400"/>
    <w:rsid w:val="0022357E"/>
    <w:rsid w:val="00230E7D"/>
    <w:rsid w:val="00232A8E"/>
    <w:rsid w:val="002335CE"/>
    <w:rsid w:val="0023414B"/>
    <w:rsid w:val="002429CF"/>
    <w:rsid w:val="00247036"/>
    <w:rsid w:val="00247B3C"/>
    <w:rsid w:val="00252CC3"/>
    <w:rsid w:val="00255EE5"/>
    <w:rsid w:val="00260262"/>
    <w:rsid w:val="00270F5F"/>
    <w:rsid w:val="00272297"/>
    <w:rsid w:val="0027298D"/>
    <w:rsid w:val="00275C90"/>
    <w:rsid w:val="00284506"/>
    <w:rsid w:val="00285CF9"/>
    <w:rsid w:val="00291061"/>
    <w:rsid w:val="002958DD"/>
    <w:rsid w:val="002A0DD4"/>
    <w:rsid w:val="002A592F"/>
    <w:rsid w:val="002B083F"/>
    <w:rsid w:val="002C2A09"/>
    <w:rsid w:val="002C2A99"/>
    <w:rsid w:val="002C4BEC"/>
    <w:rsid w:val="002D48A2"/>
    <w:rsid w:val="002D5388"/>
    <w:rsid w:val="002D5624"/>
    <w:rsid w:val="002D7809"/>
    <w:rsid w:val="002E6D6E"/>
    <w:rsid w:val="002E76E6"/>
    <w:rsid w:val="002F0BEE"/>
    <w:rsid w:val="002F260B"/>
    <w:rsid w:val="002F39FE"/>
    <w:rsid w:val="002F3D55"/>
    <w:rsid w:val="00302448"/>
    <w:rsid w:val="00305C5A"/>
    <w:rsid w:val="00306551"/>
    <w:rsid w:val="003108BF"/>
    <w:rsid w:val="00313553"/>
    <w:rsid w:val="003140B6"/>
    <w:rsid w:val="00317B9C"/>
    <w:rsid w:val="0032114A"/>
    <w:rsid w:val="0032228D"/>
    <w:rsid w:val="00323142"/>
    <w:rsid w:val="00324A1C"/>
    <w:rsid w:val="00324FF4"/>
    <w:rsid w:val="00325E45"/>
    <w:rsid w:val="00327446"/>
    <w:rsid w:val="00327563"/>
    <w:rsid w:val="00327D16"/>
    <w:rsid w:val="003557B9"/>
    <w:rsid w:val="0035783D"/>
    <w:rsid w:val="003654D4"/>
    <w:rsid w:val="00366323"/>
    <w:rsid w:val="003666A3"/>
    <w:rsid w:val="00367F3D"/>
    <w:rsid w:val="003744B5"/>
    <w:rsid w:val="00376005"/>
    <w:rsid w:val="00377BD5"/>
    <w:rsid w:val="00384D30"/>
    <w:rsid w:val="00390015"/>
    <w:rsid w:val="0039098E"/>
    <w:rsid w:val="003A055F"/>
    <w:rsid w:val="003A0E61"/>
    <w:rsid w:val="003A5944"/>
    <w:rsid w:val="003B3FDB"/>
    <w:rsid w:val="003C1FCF"/>
    <w:rsid w:val="003C4B49"/>
    <w:rsid w:val="003C5D44"/>
    <w:rsid w:val="003D143F"/>
    <w:rsid w:val="003D26E8"/>
    <w:rsid w:val="003D7BB4"/>
    <w:rsid w:val="003E2458"/>
    <w:rsid w:val="003E43E3"/>
    <w:rsid w:val="003E54DF"/>
    <w:rsid w:val="003E6920"/>
    <w:rsid w:val="003E7A11"/>
    <w:rsid w:val="003F1A3B"/>
    <w:rsid w:val="003F4901"/>
    <w:rsid w:val="00403352"/>
    <w:rsid w:val="00406BDE"/>
    <w:rsid w:val="00412F4F"/>
    <w:rsid w:val="00417005"/>
    <w:rsid w:val="0041789B"/>
    <w:rsid w:val="00423ED4"/>
    <w:rsid w:val="00426C10"/>
    <w:rsid w:val="00433D0E"/>
    <w:rsid w:val="00433FB7"/>
    <w:rsid w:val="004361DD"/>
    <w:rsid w:val="00440AC4"/>
    <w:rsid w:val="00440BCE"/>
    <w:rsid w:val="00443DDD"/>
    <w:rsid w:val="00444AF4"/>
    <w:rsid w:val="0044643D"/>
    <w:rsid w:val="00446DC0"/>
    <w:rsid w:val="0045630D"/>
    <w:rsid w:val="00457D2A"/>
    <w:rsid w:val="00461034"/>
    <w:rsid w:val="00463226"/>
    <w:rsid w:val="00464271"/>
    <w:rsid w:val="004725DA"/>
    <w:rsid w:val="00474EAE"/>
    <w:rsid w:val="00476E29"/>
    <w:rsid w:val="00486E60"/>
    <w:rsid w:val="004958E1"/>
    <w:rsid w:val="004B3C4C"/>
    <w:rsid w:val="004B4056"/>
    <w:rsid w:val="004C4E13"/>
    <w:rsid w:val="004D2230"/>
    <w:rsid w:val="004D75DC"/>
    <w:rsid w:val="004E6A3B"/>
    <w:rsid w:val="004E7951"/>
    <w:rsid w:val="004F0509"/>
    <w:rsid w:val="004F1B92"/>
    <w:rsid w:val="004F27E2"/>
    <w:rsid w:val="00501A73"/>
    <w:rsid w:val="005063ED"/>
    <w:rsid w:val="00507CCD"/>
    <w:rsid w:val="005118A8"/>
    <w:rsid w:val="00515138"/>
    <w:rsid w:val="00526B79"/>
    <w:rsid w:val="00530508"/>
    <w:rsid w:val="00530E57"/>
    <w:rsid w:val="005353D7"/>
    <w:rsid w:val="00540ACD"/>
    <w:rsid w:val="00542330"/>
    <w:rsid w:val="00543DDB"/>
    <w:rsid w:val="00546305"/>
    <w:rsid w:val="00551C85"/>
    <w:rsid w:val="00557D15"/>
    <w:rsid w:val="0056266E"/>
    <w:rsid w:val="00567124"/>
    <w:rsid w:val="005705B0"/>
    <w:rsid w:val="00570984"/>
    <w:rsid w:val="00571CDA"/>
    <w:rsid w:val="00571FAE"/>
    <w:rsid w:val="005759BE"/>
    <w:rsid w:val="00580B33"/>
    <w:rsid w:val="00583F44"/>
    <w:rsid w:val="0059371B"/>
    <w:rsid w:val="005A6293"/>
    <w:rsid w:val="005A700B"/>
    <w:rsid w:val="005B1D5A"/>
    <w:rsid w:val="005C015A"/>
    <w:rsid w:val="005C1530"/>
    <w:rsid w:val="005C1EA9"/>
    <w:rsid w:val="005C23E9"/>
    <w:rsid w:val="005C6ED1"/>
    <w:rsid w:val="005D1110"/>
    <w:rsid w:val="005D5491"/>
    <w:rsid w:val="005E26D5"/>
    <w:rsid w:val="005E2994"/>
    <w:rsid w:val="005E2AD2"/>
    <w:rsid w:val="005E5302"/>
    <w:rsid w:val="005E5F42"/>
    <w:rsid w:val="005E7DCB"/>
    <w:rsid w:val="005F0989"/>
    <w:rsid w:val="005F26E8"/>
    <w:rsid w:val="00600F97"/>
    <w:rsid w:val="00602FB4"/>
    <w:rsid w:val="00617151"/>
    <w:rsid w:val="00621C6B"/>
    <w:rsid w:val="006240E5"/>
    <w:rsid w:val="006341EC"/>
    <w:rsid w:val="00651A7B"/>
    <w:rsid w:val="00654F2C"/>
    <w:rsid w:val="006610C7"/>
    <w:rsid w:val="00665F8F"/>
    <w:rsid w:val="00670520"/>
    <w:rsid w:val="006722CD"/>
    <w:rsid w:val="00680F74"/>
    <w:rsid w:val="00686D9D"/>
    <w:rsid w:val="006878A7"/>
    <w:rsid w:val="00691F28"/>
    <w:rsid w:val="00693FC7"/>
    <w:rsid w:val="0069499D"/>
    <w:rsid w:val="006A62FA"/>
    <w:rsid w:val="006B1474"/>
    <w:rsid w:val="006B43AB"/>
    <w:rsid w:val="006B5879"/>
    <w:rsid w:val="006C10A0"/>
    <w:rsid w:val="006C3228"/>
    <w:rsid w:val="006C48AA"/>
    <w:rsid w:val="006D5348"/>
    <w:rsid w:val="006D6544"/>
    <w:rsid w:val="006E2AC8"/>
    <w:rsid w:val="006E5B54"/>
    <w:rsid w:val="006E5B65"/>
    <w:rsid w:val="006E6B07"/>
    <w:rsid w:val="006F3DAC"/>
    <w:rsid w:val="006F5E88"/>
    <w:rsid w:val="00721276"/>
    <w:rsid w:val="00721759"/>
    <w:rsid w:val="007253A2"/>
    <w:rsid w:val="007253BC"/>
    <w:rsid w:val="00726502"/>
    <w:rsid w:val="007273EF"/>
    <w:rsid w:val="007276E3"/>
    <w:rsid w:val="007308B7"/>
    <w:rsid w:val="007310D4"/>
    <w:rsid w:val="007364EC"/>
    <w:rsid w:val="00761620"/>
    <w:rsid w:val="0076674D"/>
    <w:rsid w:val="00771735"/>
    <w:rsid w:val="00772B23"/>
    <w:rsid w:val="007747FB"/>
    <w:rsid w:val="007758E2"/>
    <w:rsid w:val="00786232"/>
    <w:rsid w:val="007868BA"/>
    <w:rsid w:val="00791549"/>
    <w:rsid w:val="007936EC"/>
    <w:rsid w:val="00796957"/>
    <w:rsid w:val="00797613"/>
    <w:rsid w:val="00797AD3"/>
    <w:rsid w:val="007A1364"/>
    <w:rsid w:val="007A3950"/>
    <w:rsid w:val="007A77F1"/>
    <w:rsid w:val="007B1950"/>
    <w:rsid w:val="007B37A1"/>
    <w:rsid w:val="007B681C"/>
    <w:rsid w:val="007B706B"/>
    <w:rsid w:val="007C48AC"/>
    <w:rsid w:val="007C4ECF"/>
    <w:rsid w:val="007C6393"/>
    <w:rsid w:val="007D3110"/>
    <w:rsid w:val="007D4937"/>
    <w:rsid w:val="007D57D8"/>
    <w:rsid w:val="007E1127"/>
    <w:rsid w:val="007E1FFE"/>
    <w:rsid w:val="007E2C00"/>
    <w:rsid w:val="007F2395"/>
    <w:rsid w:val="007F334D"/>
    <w:rsid w:val="007F588F"/>
    <w:rsid w:val="00801336"/>
    <w:rsid w:val="008017C0"/>
    <w:rsid w:val="0080200B"/>
    <w:rsid w:val="00802FB9"/>
    <w:rsid w:val="008102D9"/>
    <w:rsid w:val="00812AF7"/>
    <w:rsid w:val="00812E44"/>
    <w:rsid w:val="008151CF"/>
    <w:rsid w:val="00817FBC"/>
    <w:rsid w:val="00821B99"/>
    <w:rsid w:val="008270DC"/>
    <w:rsid w:val="00827ADA"/>
    <w:rsid w:val="00827D88"/>
    <w:rsid w:val="0083271C"/>
    <w:rsid w:val="00834871"/>
    <w:rsid w:val="0083714C"/>
    <w:rsid w:val="00841C92"/>
    <w:rsid w:val="008426E4"/>
    <w:rsid w:val="00850678"/>
    <w:rsid w:val="00851B0E"/>
    <w:rsid w:val="0085226F"/>
    <w:rsid w:val="00853E61"/>
    <w:rsid w:val="00854333"/>
    <w:rsid w:val="00855ACA"/>
    <w:rsid w:val="0085796D"/>
    <w:rsid w:val="00860F3E"/>
    <w:rsid w:val="008629C3"/>
    <w:rsid w:val="0086402E"/>
    <w:rsid w:val="00866558"/>
    <w:rsid w:val="008737F9"/>
    <w:rsid w:val="00874366"/>
    <w:rsid w:val="0088371C"/>
    <w:rsid w:val="00886EB2"/>
    <w:rsid w:val="00887DF0"/>
    <w:rsid w:val="0089732D"/>
    <w:rsid w:val="008A250D"/>
    <w:rsid w:val="008A29CD"/>
    <w:rsid w:val="008A4708"/>
    <w:rsid w:val="008A48A6"/>
    <w:rsid w:val="008A6DBC"/>
    <w:rsid w:val="008A746A"/>
    <w:rsid w:val="008A7D98"/>
    <w:rsid w:val="008B3A7A"/>
    <w:rsid w:val="008B4A14"/>
    <w:rsid w:val="008B51F6"/>
    <w:rsid w:val="008C1D06"/>
    <w:rsid w:val="008C6441"/>
    <w:rsid w:val="008D4806"/>
    <w:rsid w:val="008D7CE8"/>
    <w:rsid w:val="008E3F9C"/>
    <w:rsid w:val="008E47FB"/>
    <w:rsid w:val="008F17AC"/>
    <w:rsid w:val="008F451C"/>
    <w:rsid w:val="008F4B6D"/>
    <w:rsid w:val="008F4B8C"/>
    <w:rsid w:val="008F5599"/>
    <w:rsid w:val="008F676F"/>
    <w:rsid w:val="009002C4"/>
    <w:rsid w:val="00903EF5"/>
    <w:rsid w:val="00906755"/>
    <w:rsid w:val="009104A8"/>
    <w:rsid w:val="00914066"/>
    <w:rsid w:val="00916263"/>
    <w:rsid w:val="0092108B"/>
    <w:rsid w:val="00931F99"/>
    <w:rsid w:val="00932E81"/>
    <w:rsid w:val="009340C5"/>
    <w:rsid w:val="0093547F"/>
    <w:rsid w:val="00935A49"/>
    <w:rsid w:val="009363EA"/>
    <w:rsid w:val="009367DA"/>
    <w:rsid w:val="00937851"/>
    <w:rsid w:val="009405F2"/>
    <w:rsid w:val="00943CC4"/>
    <w:rsid w:val="00945F72"/>
    <w:rsid w:val="009461C1"/>
    <w:rsid w:val="00951C06"/>
    <w:rsid w:val="00955AD5"/>
    <w:rsid w:val="009575C5"/>
    <w:rsid w:val="009675E1"/>
    <w:rsid w:val="00967E12"/>
    <w:rsid w:val="00967E21"/>
    <w:rsid w:val="0097049E"/>
    <w:rsid w:val="00971421"/>
    <w:rsid w:val="00971EA8"/>
    <w:rsid w:val="00973D30"/>
    <w:rsid w:val="00974919"/>
    <w:rsid w:val="009830D6"/>
    <w:rsid w:val="00984322"/>
    <w:rsid w:val="00984ED1"/>
    <w:rsid w:val="00987CA5"/>
    <w:rsid w:val="0099281C"/>
    <w:rsid w:val="00995AC0"/>
    <w:rsid w:val="009A04B8"/>
    <w:rsid w:val="009B34BD"/>
    <w:rsid w:val="009C0E56"/>
    <w:rsid w:val="009C43A6"/>
    <w:rsid w:val="009C5D6D"/>
    <w:rsid w:val="009D40EA"/>
    <w:rsid w:val="009E25EA"/>
    <w:rsid w:val="009E763C"/>
    <w:rsid w:val="009F3CA2"/>
    <w:rsid w:val="009F5D87"/>
    <w:rsid w:val="009F6D98"/>
    <w:rsid w:val="00A01FE1"/>
    <w:rsid w:val="00A122E1"/>
    <w:rsid w:val="00A147D7"/>
    <w:rsid w:val="00A1774B"/>
    <w:rsid w:val="00A17B4A"/>
    <w:rsid w:val="00A26731"/>
    <w:rsid w:val="00A355EC"/>
    <w:rsid w:val="00A35A64"/>
    <w:rsid w:val="00A379D8"/>
    <w:rsid w:val="00A40319"/>
    <w:rsid w:val="00A41857"/>
    <w:rsid w:val="00A4569E"/>
    <w:rsid w:val="00A4786D"/>
    <w:rsid w:val="00A509BB"/>
    <w:rsid w:val="00A51A64"/>
    <w:rsid w:val="00A57C78"/>
    <w:rsid w:val="00A64369"/>
    <w:rsid w:val="00A70AF8"/>
    <w:rsid w:val="00A71F4A"/>
    <w:rsid w:val="00A72E65"/>
    <w:rsid w:val="00A75F40"/>
    <w:rsid w:val="00A764F2"/>
    <w:rsid w:val="00A769A9"/>
    <w:rsid w:val="00A76E5F"/>
    <w:rsid w:val="00A8012E"/>
    <w:rsid w:val="00A801FE"/>
    <w:rsid w:val="00A809CE"/>
    <w:rsid w:val="00A91C0A"/>
    <w:rsid w:val="00A93967"/>
    <w:rsid w:val="00A96EDA"/>
    <w:rsid w:val="00AA08BF"/>
    <w:rsid w:val="00AA131A"/>
    <w:rsid w:val="00AA3036"/>
    <w:rsid w:val="00AA5941"/>
    <w:rsid w:val="00AA5998"/>
    <w:rsid w:val="00AA7FA7"/>
    <w:rsid w:val="00AB65F8"/>
    <w:rsid w:val="00AC6017"/>
    <w:rsid w:val="00AD4EEF"/>
    <w:rsid w:val="00AD573D"/>
    <w:rsid w:val="00AE2C8A"/>
    <w:rsid w:val="00AE3A6C"/>
    <w:rsid w:val="00AE5C29"/>
    <w:rsid w:val="00AE66FE"/>
    <w:rsid w:val="00AE682C"/>
    <w:rsid w:val="00AF13EB"/>
    <w:rsid w:val="00AF5606"/>
    <w:rsid w:val="00B04F9B"/>
    <w:rsid w:val="00B1165F"/>
    <w:rsid w:val="00B13F33"/>
    <w:rsid w:val="00B16FB2"/>
    <w:rsid w:val="00B30178"/>
    <w:rsid w:val="00B320D5"/>
    <w:rsid w:val="00B3572C"/>
    <w:rsid w:val="00B46B2A"/>
    <w:rsid w:val="00B51BD5"/>
    <w:rsid w:val="00B67303"/>
    <w:rsid w:val="00B67C20"/>
    <w:rsid w:val="00B73847"/>
    <w:rsid w:val="00B740B8"/>
    <w:rsid w:val="00B7416B"/>
    <w:rsid w:val="00B80FA2"/>
    <w:rsid w:val="00B86E12"/>
    <w:rsid w:val="00B87647"/>
    <w:rsid w:val="00B92EE7"/>
    <w:rsid w:val="00B93DC7"/>
    <w:rsid w:val="00B94CA9"/>
    <w:rsid w:val="00BA1CA9"/>
    <w:rsid w:val="00BA3530"/>
    <w:rsid w:val="00BC3642"/>
    <w:rsid w:val="00BC4C56"/>
    <w:rsid w:val="00BC6383"/>
    <w:rsid w:val="00BD1CAA"/>
    <w:rsid w:val="00BE0AC8"/>
    <w:rsid w:val="00BE0D60"/>
    <w:rsid w:val="00BE0EFC"/>
    <w:rsid w:val="00BE41D9"/>
    <w:rsid w:val="00BF10A9"/>
    <w:rsid w:val="00BF31D0"/>
    <w:rsid w:val="00BF47B0"/>
    <w:rsid w:val="00BF6C27"/>
    <w:rsid w:val="00C01B9B"/>
    <w:rsid w:val="00C020D2"/>
    <w:rsid w:val="00C12965"/>
    <w:rsid w:val="00C15B41"/>
    <w:rsid w:val="00C1726E"/>
    <w:rsid w:val="00C17715"/>
    <w:rsid w:val="00C17768"/>
    <w:rsid w:val="00C211A6"/>
    <w:rsid w:val="00C25EDE"/>
    <w:rsid w:val="00C269CD"/>
    <w:rsid w:val="00C26B05"/>
    <w:rsid w:val="00C30F8B"/>
    <w:rsid w:val="00C3678E"/>
    <w:rsid w:val="00C5537A"/>
    <w:rsid w:val="00C555DB"/>
    <w:rsid w:val="00C55F46"/>
    <w:rsid w:val="00C602CA"/>
    <w:rsid w:val="00C610BA"/>
    <w:rsid w:val="00C6386B"/>
    <w:rsid w:val="00C6786E"/>
    <w:rsid w:val="00C718C3"/>
    <w:rsid w:val="00C727DD"/>
    <w:rsid w:val="00C72B66"/>
    <w:rsid w:val="00C730C8"/>
    <w:rsid w:val="00C74246"/>
    <w:rsid w:val="00C7563C"/>
    <w:rsid w:val="00C768A4"/>
    <w:rsid w:val="00C77A8F"/>
    <w:rsid w:val="00C84A4E"/>
    <w:rsid w:val="00C95D60"/>
    <w:rsid w:val="00CA09CB"/>
    <w:rsid w:val="00CA2BA7"/>
    <w:rsid w:val="00CA582D"/>
    <w:rsid w:val="00CA66B3"/>
    <w:rsid w:val="00CA66C1"/>
    <w:rsid w:val="00CA7A57"/>
    <w:rsid w:val="00CB098A"/>
    <w:rsid w:val="00CB11FD"/>
    <w:rsid w:val="00CB2FD0"/>
    <w:rsid w:val="00CB4A43"/>
    <w:rsid w:val="00CB53E9"/>
    <w:rsid w:val="00CC04CA"/>
    <w:rsid w:val="00CC12A6"/>
    <w:rsid w:val="00CC1414"/>
    <w:rsid w:val="00CC297C"/>
    <w:rsid w:val="00CC3C2C"/>
    <w:rsid w:val="00CC45A7"/>
    <w:rsid w:val="00CC4DB9"/>
    <w:rsid w:val="00CC5D64"/>
    <w:rsid w:val="00CD1048"/>
    <w:rsid w:val="00CD24FB"/>
    <w:rsid w:val="00CD3BF6"/>
    <w:rsid w:val="00CE0D41"/>
    <w:rsid w:val="00CE44DC"/>
    <w:rsid w:val="00CE477B"/>
    <w:rsid w:val="00CE7FC5"/>
    <w:rsid w:val="00CF03CF"/>
    <w:rsid w:val="00CF33BA"/>
    <w:rsid w:val="00CF554F"/>
    <w:rsid w:val="00CF6CB7"/>
    <w:rsid w:val="00D00CC0"/>
    <w:rsid w:val="00D01DF5"/>
    <w:rsid w:val="00D01F5A"/>
    <w:rsid w:val="00D027EC"/>
    <w:rsid w:val="00D02A49"/>
    <w:rsid w:val="00D0375F"/>
    <w:rsid w:val="00D04437"/>
    <w:rsid w:val="00D065AB"/>
    <w:rsid w:val="00D070AE"/>
    <w:rsid w:val="00D15548"/>
    <w:rsid w:val="00D156B0"/>
    <w:rsid w:val="00D15783"/>
    <w:rsid w:val="00D164FA"/>
    <w:rsid w:val="00D27DB2"/>
    <w:rsid w:val="00D42A26"/>
    <w:rsid w:val="00D452B3"/>
    <w:rsid w:val="00D45B5E"/>
    <w:rsid w:val="00D518B7"/>
    <w:rsid w:val="00D552EC"/>
    <w:rsid w:val="00D608F5"/>
    <w:rsid w:val="00D60CD6"/>
    <w:rsid w:val="00D70142"/>
    <w:rsid w:val="00D725A3"/>
    <w:rsid w:val="00D72944"/>
    <w:rsid w:val="00D74A2E"/>
    <w:rsid w:val="00D80D5F"/>
    <w:rsid w:val="00D82706"/>
    <w:rsid w:val="00D90E6F"/>
    <w:rsid w:val="00DA7843"/>
    <w:rsid w:val="00DB08A5"/>
    <w:rsid w:val="00DB4806"/>
    <w:rsid w:val="00DB52A6"/>
    <w:rsid w:val="00DC23EF"/>
    <w:rsid w:val="00DC53E3"/>
    <w:rsid w:val="00DC76B5"/>
    <w:rsid w:val="00DD2617"/>
    <w:rsid w:val="00DD3B84"/>
    <w:rsid w:val="00DD4EC8"/>
    <w:rsid w:val="00DE0601"/>
    <w:rsid w:val="00DE420D"/>
    <w:rsid w:val="00DF54A5"/>
    <w:rsid w:val="00DF791F"/>
    <w:rsid w:val="00E00BDB"/>
    <w:rsid w:val="00E0257B"/>
    <w:rsid w:val="00E0435C"/>
    <w:rsid w:val="00E05C0D"/>
    <w:rsid w:val="00E10DE2"/>
    <w:rsid w:val="00E11B92"/>
    <w:rsid w:val="00E13BD6"/>
    <w:rsid w:val="00E27C5F"/>
    <w:rsid w:val="00E27FE3"/>
    <w:rsid w:val="00E30419"/>
    <w:rsid w:val="00E33A3E"/>
    <w:rsid w:val="00E36328"/>
    <w:rsid w:val="00E4193E"/>
    <w:rsid w:val="00E41E6C"/>
    <w:rsid w:val="00E50428"/>
    <w:rsid w:val="00E57E47"/>
    <w:rsid w:val="00E604D2"/>
    <w:rsid w:val="00E63FB1"/>
    <w:rsid w:val="00E65219"/>
    <w:rsid w:val="00E6752E"/>
    <w:rsid w:val="00E736FF"/>
    <w:rsid w:val="00E76578"/>
    <w:rsid w:val="00E855AC"/>
    <w:rsid w:val="00E92DFC"/>
    <w:rsid w:val="00E93B0D"/>
    <w:rsid w:val="00E94544"/>
    <w:rsid w:val="00EA1A65"/>
    <w:rsid w:val="00EA45A2"/>
    <w:rsid w:val="00EA5F62"/>
    <w:rsid w:val="00EB0315"/>
    <w:rsid w:val="00EB1EF4"/>
    <w:rsid w:val="00EC66C6"/>
    <w:rsid w:val="00EC7F3C"/>
    <w:rsid w:val="00ED1879"/>
    <w:rsid w:val="00ED1D3A"/>
    <w:rsid w:val="00ED3C83"/>
    <w:rsid w:val="00ED788D"/>
    <w:rsid w:val="00EE3194"/>
    <w:rsid w:val="00EF6C3D"/>
    <w:rsid w:val="00EF758D"/>
    <w:rsid w:val="00F00EE5"/>
    <w:rsid w:val="00F13D88"/>
    <w:rsid w:val="00F147A1"/>
    <w:rsid w:val="00F1481E"/>
    <w:rsid w:val="00F166D6"/>
    <w:rsid w:val="00F16E56"/>
    <w:rsid w:val="00F21436"/>
    <w:rsid w:val="00F2641B"/>
    <w:rsid w:val="00F338D5"/>
    <w:rsid w:val="00F35122"/>
    <w:rsid w:val="00F35F44"/>
    <w:rsid w:val="00F37787"/>
    <w:rsid w:val="00F40227"/>
    <w:rsid w:val="00F40DF5"/>
    <w:rsid w:val="00F45438"/>
    <w:rsid w:val="00F473C6"/>
    <w:rsid w:val="00F520D2"/>
    <w:rsid w:val="00F53EF6"/>
    <w:rsid w:val="00F546AC"/>
    <w:rsid w:val="00F65793"/>
    <w:rsid w:val="00F677E5"/>
    <w:rsid w:val="00F705B2"/>
    <w:rsid w:val="00F73C48"/>
    <w:rsid w:val="00F73DBD"/>
    <w:rsid w:val="00F84E34"/>
    <w:rsid w:val="00F85305"/>
    <w:rsid w:val="00F901C3"/>
    <w:rsid w:val="00F92446"/>
    <w:rsid w:val="00FA32F4"/>
    <w:rsid w:val="00FA3B04"/>
    <w:rsid w:val="00FB088A"/>
    <w:rsid w:val="00FB552F"/>
    <w:rsid w:val="00FC40CA"/>
    <w:rsid w:val="00FC4187"/>
    <w:rsid w:val="00FC46A2"/>
    <w:rsid w:val="00FC4C58"/>
    <w:rsid w:val="00FC6F65"/>
    <w:rsid w:val="00FC70F5"/>
    <w:rsid w:val="00FC7D86"/>
    <w:rsid w:val="00FD3F52"/>
    <w:rsid w:val="00FD4008"/>
    <w:rsid w:val="00FD5002"/>
    <w:rsid w:val="00FE73EA"/>
    <w:rsid w:val="00FF0D1D"/>
    <w:rsid w:val="00FF197A"/>
    <w:rsid w:val="00FF3060"/>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character" w:customStyle="1" w:styleId="UnresolvedMention4">
    <w:name w:val="Unresolved Mention4"/>
    <w:basedOn w:val="DefaultParagraphFont"/>
    <w:uiPriority w:val="99"/>
    <w:semiHidden/>
    <w:unhideWhenUsed/>
    <w:rsid w:val="00D60CD6"/>
    <w:rPr>
      <w:color w:val="605E5C"/>
      <w:shd w:val="clear" w:color="auto" w:fill="E1DFDD"/>
    </w:rPr>
  </w:style>
  <w:style w:type="character" w:customStyle="1" w:styleId="UnresolvedMention5">
    <w:name w:val="Unresolved Mention5"/>
    <w:basedOn w:val="DefaultParagraphFont"/>
    <w:uiPriority w:val="99"/>
    <w:semiHidden/>
    <w:unhideWhenUsed/>
    <w:rsid w:val="002100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character" w:customStyle="1" w:styleId="UnresolvedMention4">
    <w:name w:val="Unresolved Mention4"/>
    <w:basedOn w:val="DefaultParagraphFont"/>
    <w:uiPriority w:val="99"/>
    <w:semiHidden/>
    <w:unhideWhenUsed/>
    <w:rsid w:val="00D60CD6"/>
    <w:rPr>
      <w:color w:val="605E5C"/>
      <w:shd w:val="clear" w:color="auto" w:fill="E1DFDD"/>
    </w:rPr>
  </w:style>
  <w:style w:type="character" w:customStyle="1" w:styleId="UnresolvedMention5">
    <w:name w:val="Unresolved Mention5"/>
    <w:basedOn w:val="DefaultParagraphFont"/>
    <w:uiPriority w:val="99"/>
    <w:semiHidden/>
    <w:unhideWhenUsed/>
    <w:rsid w:val="0021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281959326">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phase-3-reopening-attestation-form-non-acute-care-hospitalproviders" TargetMode="Externa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mass.gov/doc/phase-3-eohhs-day-programming-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dph-phase-2-reopening-non-acute-care-hospitalhealth-care-provider-guidance/downloa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ass.gov/doc/dph-phase-1-reopening-non-acute-care-hospital-health-care-provider-guidance/download"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84B6-1CCD-4089-9131-261F9A99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McNamara, Torey (DPH)</cp:lastModifiedBy>
  <cp:revision>2</cp:revision>
  <dcterms:created xsi:type="dcterms:W3CDTF">2020-11-03T16:46:00Z</dcterms:created>
  <dcterms:modified xsi:type="dcterms:W3CDTF">2020-11-03T16:46:00Z</dcterms:modified>
</cp:coreProperties>
</file>