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drawing>
          <wp:anchor distT="0" distB="0" distL="0" distR="0" allowOverlap="1" layoutInCell="1" locked="0" behindDoc="0" simplePos="0" relativeHeight="15728640">
            <wp:simplePos x="0" y="0"/>
            <wp:positionH relativeFrom="page">
              <wp:posOffset>612799</wp:posOffset>
            </wp:positionH>
            <wp:positionV relativeFrom="paragraph">
              <wp:posOffset>-3311</wp:posOffset>
            </wp:positionV>
            <wp:extent cx="897388" cy="106335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897388" cy="1063359"/>
                    </a:xfrm>
                    <a:prstGeom prst="rect">
                      <a:avLst/>
                    </a:prstGeom>
                  </pic:spPr>
                </pic:pic>
              </a:graphicData>
            </a:graphic>
          </wp:anchor>
        </w:drawing>
      </w:r>
      <w:r>
        <w:rPr/>
        <w:t>The</w:t>
      </w:r>
      <w:r>
        <w:rPr>
          <w:spacing w:val="-16"/>
        </w:rPr>
        <w:t> </w:t>
      </w:r>
      <w:r>
        <w:rPr/>
        <w:t>Commonwealth</w:t>
      </w:r>
      <w:r>
        <w:rPr>
          <w:spacing w:val="-15"/>
        </w:rPr>
        <w:t> </w:t>
      </w:r>
      <w:r>
        <w:rPr/>
        <w:t>of</w:t>
      </w:r>
      <w:r>
        <w:rPr>
          <w:spacing w:val="-15"/>
        </w:rPr>
        <w:t> </w:t>
      </w:r>
      <w:r>
        <w:rPr>
          <w:spacing w:val="-2"/>
        </w:rPr>
        <w:t>Massachusetts</w:t>
      </w:r>
    </w:p>
    <w:p>
      <w:pPr>
        <w:spacing w:before="0"/>
        <w:ind w:left="3993" w:right="1055" w:hanging="1199"/>
        <w:jc w:val="left"/>
        <w:rPr>
          <w:sz w:val="28"/>
        </w:rPr>
      </w:pPr>
      <w:r>
        <w:rPr>
          <w:sz w:val="28"/>
        </w:rPr>
        <w:t>Executive</w:t>
      </w:r>
      <w:r>
        <w:rPr>
          <w:spacing w:val="-7"/>
          <w:sz w:val="28"/>
        </w:rPr>
        <w:t> </w:t>
      </w:r>
      <w:r>
        <w:rPr>
          <w:sz w:val="28"/>
        </w:rPr>
        <w:t>Office</w:t>
      </w:r>
      <w:r>
        <w:rPr>
          <w:spacing w:val="-7"/>
          <w:sz w:val="28"/>
        </w:rPr>
        <w:t> </w:t>
      </w:r>
      <w:r>
        <w:rPr>
          <w:sz w:val="28"/>
        </w:rPr>
        <w:t>of</w:t>
      </w:r>
      <w:r>
        <w:rPr>
          <w:spacing w:val="-8"/>
          <w:sz w:val="28"/>
        </w:rPr>
        <w:t> </w:t>
      </w:r>
      <w:r>
        <w:rPr>
          <w:sz w:val="28"/>
        </w:rPr>
        <w:t>Health</w:t>
      </w:r>
      <w:r>
        <w:rPr>
          <w:spacing w:val="-4"/>
          <w:sz w:val="28"/>
        </w:rPr>
        <w:t> </w:t>
      </w:r>
      <w:r>
        <w:rPr>
          <w:sz w:val="28"/>
        </w:rPr>
        <w:t>and</w:t>
      </w:r>
      <w:r>
        <w:rPr>
          <w:spacing w:val="-7"/>
          <w:sz w:val="28"/>
        </w:rPr>
        <w:t> </w:t>
      </w:r>
      <w:r>
        <w:rPr>
          <w:sz w:val="28"/>
        </w:rPr>
        <w:t>Human</w:t>
      </w:r>
      <w:r>
        <w:rPr>
          <w:spacing w:val="-9"/>
          <w:sz w:val="28"/>
        </w:rPr>
        <w:t> </w:t>
      </w:r>
      <w:r>
        <w:rPr>
          <w:sz w:val="28"/>
        </w:rPr>
        <w:t>Services Department of Public Health</w:t>
      </w:r>
    </w:p>
    <w:p>
      <w:pPr>
        <w:spacing w:before="2"/>
        <w:ind w:left="2142" w:right="1055" w:firstLine="1025"/>
        <w:jc w:val="left"/>
        <w:rPr>
          <w:sz w:val="28"/>
        </w:rPr>
      </w:pPr>
      <w:r>
        <w:rPr>
          <w:sz w:val="28"/>
        </w:rPr>
        <w:t>Bureau of Health Care Safety and Quality</w:t>
      </w:r>
      <w:r>
        <w:rPr>
          <w:spacing w:val="40"/>
          <w:sz w:val="28"/>
        </w:rPr>
        <w:t> </w:t>
      </w:r>
      <w:r>
        <w:rPr>
          <w:sz w:val="28"/>
        </w:rPr>
        <w:t>Division</w:t>
      </w:r>
      <w:r>
        <w:rPr>
          <w:spacing w:val="-5"/>
          <w:sz w:val="28"/>
        </w:rPr>
        <w:t> </w:t>
      </w:r>
      <w:r>
        <w:rPr>
          <w:sz w:val="28"/>
        </w:rPr>
        <w:t>of</w:t>
      </w:r>
      <w:r>
        <w:rPr>
          <w:spacing w:val="-5"/>
          <w:sz w:val="28"/>
        </w:rPr>
        <w:t> </w:t>
      </w:r>
      <w:r>
        <w:rPr>
          <w:sz w:val="28"/>
        </w:rPr>
        <w:t>Health</w:t>
      </w:r>
      <w:r>
        <w:rPr>
          <w:spacing w:val="-9"/>
          <w:sz w:val="28"/>
        </w:rPr>
        <w:t> </w:t>
      </w:r>
      <w:r>
        <w:rPr>
          <w:sz w:val="28"/>
        </w:rPr>
        <w:t>Care</w:t>
      </w:r>
      <w:r>
        <w:rPr>
          <w:spacing w:val="-7"/>
          <w:sz w:val="28"/>
        </w:rPr>
        <w:t> </w:t>
      </w:r>
      <w:r>
        <w:rPr>
          <w:sz w:val="28"/>
        </w:rPr>
        <w:t>Facility</w:t>
      </w:r>
      <w:r>
        <w:rPr>
          <w:spacing w:val="-5"/>
          <w:sz w:val="28"/>
        </w:rPr>
        <w:t> </w:t>
      </w:r>
      <w:r>
        <w:rPr>
          <w:sz w:val="28"/>
        </w:rPr>
        <w:t>Licensure</w:t>
      </w:r>
      <w:r>
        <w:rPr>
          <w:spacing w:val="-5"/>
          <w:sz w:val="28"/>
        </w:rPr>
        <w:t> </w:t>
      </w:r>
      <w:r>
        <w:rPr>
          <w:sz w:val="28"/>
        </w:rPr>
        <w:t>and</w:t>
      </w:r>
      <w:r>
        <w:rPr>
          <w:spacing w:val="-9"/>
          <w:sz w:val="28"/>
        </w:rPr>
        <w:t> </w:t>
      </w:r>
      <w:r>
        <w:rPr>
          <w:sz w:val="28"/>
        </w:rPr>
        <w:t>Certification</w:t>
      </w:r>
    </w:p>
    <w:p>
      <w:pPr>
        <w:spacing w:line="321" w:lineRule="exact" w:before="0"/>
        <w:ind w:left="3161" w:right="0" w:firstLine="0"/>
        <w:jc w:val="left"/>
        <w:rPr>
          <w:sz w:val="28"/>
        </w:rPr>
      </w:pPr>
      <w:r>
        <w:rPr>
          <w:sz w:val="28"/>
        </w:rPr>
        <w:t>67</w:t>
      </w:r>
      <w:r>
        <w:rPr>
          <w:spacing w:val="-7"/>
          <w:sz w:val="28"/>
        </w:rPr>
        <w:t> </w:t>
      </w:r>
      <w:r>
        <w:rPr>
          <w:sz w:val="28"/>
        </w:rPr>
        <w:t>Forest</w:t>
      </w:r>
      <w:r>
        <w:rPr>
          <w:spacing w:val="-4"/>
          <w:sz w:val="28"/>
        </w:rPr>
        <w:t> </w:t>
      </w:r>
      <w:r>
        <w:rPr>
          <w:sz w:val="28"/>
        </w:rPr>
        <w:t>Street,</w:t>
      </w:r>
      <w:r>
        <w:rPr>
          <w:spacing w:val="-4"/>
          <w:sz w:val="28"/>
        </w:rPr>
        <w:t> </w:t>
      </w:r>
      <w:r>
        <w:rPr>
          <w:sz w:val="28"/>
        </w:rPr>
        <w:t>Marlborough,</w:t>
      </w:r>
      <w:r>
        <w:rPr>
          <w:spacing w:val="-5"/>
          <w:sz w:val="28"/>
        </w:rPr>
        <w:t> </w:t>
      </w:r>
      <w:r>
        <w:rPr>
          <w:sz w:val="28"/>
        </w:rPr>
        <w:t>MA</w:t>
      </w:r>
      <w:r>
        <w:rPr>
          <w:spacing w:val="-6"/>
          <w:sz w:val="28"/>
        </w:rPr>
        <w:t> </w:t>
      </w:r>
      <w:r>
        <w:rPr>
          <w:spacing w:val="-2"/>
          <w:sz w:val="28"/>
        </w:rPr>
        <w:t>01752</w:t>
      </w:r>
    </w:p>
    <w:p>
      <w:pPr>
        <w:pStyle w:val="BodyText"/>
        <w:spacing w:before="128"/>
        <w:rPr>
          <w:sz w:val="20"/>
        </w:rPr>
      </w:pPr>
    </w:p>
    <w:p>
      <w:pPr>
        <w:spacing w:after="0"/>
        <w:rPr>
          <w:sz w:val="20"/>
        </w:rPr>
        <w:sectPr>
          <w:type w:val="continuous"/>
          <w:pgSz w:w="12240" w:h="15840"/>
          <w:pgMar w:top="560" w:bottom="280" w:left="860" w:right="980"/>
        </w:sectPr>
      </w:pPr>
    </w:p>
    <w:p>
      <w:pPr>
        <w:spacing w:before="101"/>
        <w:ind w:left="3" w:right="925" w:firstLine="0"/>
        <w:jc w:val="center"/>
        <w:rPr>
          <w:rFonts w:ascii="Arial Rounded MT Bold"/>
          <w:sz w:val="16"/>
        </w:rPr>
      </w:pPr>
      <w:r>
        <w:rPr>
          <w:rFonts w:ascii="Arial Rounded MT Bold"/>
          <w:sz w:val="16"/>
        </w:rPr>
        <w:t>MAURA</w:t>
      </w:r>
      <w:r>
        <w:rPr>
          <w:rFonts w:ascii="Arial Rounded MT Bold"/>
          <w:spacing w:val="-5"/>
          <w:sz w:val="16"/>
        </w:rPr>
        <w:t> </w:t>
      </w:r>
      <w:r>
        <w:rPr>
          <w:rFonts w:ascii="Arial Rounded MT Bold"/>
          <w:sz w:val="16"/>
        </w:rPr>
        <w:t>T.</w:t>
      </w:r>
      <w:r>
        <w:rPr>
          <w:rFonts w:ascii="Arial Rounded MT Bold"/>
          <w:spacing w:val="-1"/>
          <w:sz w:val="16"/>
        </w:rPr>
        <w:t> </w:t>
      </w:r>
      <w:r>
        <w:rPr>
          <w:rFonts w:ascii="Arial Rounded MT Bold"/>
          <w:spacing w:val="-2"/>
          <w:sz w:val="16"/>
        </w:rPr>
        <w:t>HEALEY</w:t>
      </w:r>
    </w:p>
    <w:p>
      <w:pPr>
        <w:spacing w:before="4"/>
        <w:ind w:left="0" w:right="925" w:firstLine="0"/>
        <w:jc w:val="center"/>
        <w:rPr>
          <w:rFonts w:ascii="Arial Rounded MT Bold"/>
          <w:sz w:val="14"/>
        </w:rPr>
      </w:pPr>
      <w:r>
        <w:rPr>
          <w:rFonts w:ascii="Arial Rounded MT Bold"/>
          <w:spacing w:val="-2"/>
          <w:sz w:val="14"/>
        </w:rPr>
        <w:t>Governor</w:t>
      </w:r>
    </w:p>
    <w:p>
      <w:pPr>
        <w:spacing w:before="117"/>
        <w:ind w:left="0" w:right="924" w:firstLine="0"/>
        <w:jc w:val="center"/>
        <w:rPr>
          <w:rFonts w:ascii="Arial Rounded MT Bold"/>
          <w:sz w:val="16"/>
        </w:rPr>
      </w:pPr>
      <w:r>
        <w:rPr>
          <w:rFonts w:ascii="Arial Rounded MT Bold"/>
          <w:sz w:val="16"/>
        </w:rPr>
        <w:t>KIMBERLEY</w:t>
      </w:r>
      <w:r>
        <w:rPr>
          <w:rFonts w:ascii="Arial Rounded MT Bold"/>
          <w:spacing w:val="-7"/>
          <w:sz w:val="16"/>
        </w:rPr>
        <w:t> </w:t>
      </w:r>
      <w:r>
        <w:rPr>
          <w:rFonts w:ascii="Arial Rounded MT Bold"/>
          <w:spacing w:val="-2"/>
          <w:sz w:val="16"/>
        </w:rPr>
        <w:t>DRISCOLL</w:t>
      </w:r>
    </w:p>
    <w:p>
      <w:pPr>
        <w:spacing w:before="2"/>
        <w:ind w:left="2" w:right="925" w:firstLine="0"/>
        <w:jc w:val="center"/>
        <w:rPr>
          <w:rFonts w:ascii="Arial Rounded MT Bold"/>
          <w:sz w:val="14"/>
        </w:rPr>
      </w:pPr>
      <w:r>
        <w:rPr>
          <w:rFonts w:ascii="Arial Rounded MT Bold"/>
          <w:sz w:val="14"/>
        </w:rPr>
        <w:t>Lieutenant</w:t>
      </w:r>
      <w:r>
        <w:rPr>
          <w:rFonts w:ascii="Arial Rounded MT Bold"/>
          <w:spacing w:val="-5"/>
          <w:sz w:val="14"/>
        </w:rPr>
        <w:t> </w:t>
      </w:r>
      <w:r>
        <w:rPr>
          <w:rFonts w:ascii="Arial Rounded MT Bold"/>
          <w:spacing w:val="-2"/>
          <w:sz w:val="14"/>
        </w:rPr>
        <w:t>Governor</w:t>
      </w:r>
    </w:p>
    <w:p>
      <w:pPr>
        <w:pStyle w:val="BodyText"/>
        <w:rPr>
          <w:rFonts w:ascii="Arial Rounded MT Bold"/>
          <w:sz w:val="14"/>
        </w:rPr>
      </w:pPr>
    </w:p>
    <w:p>
      <w:pPr>
        <w:pStyle w:val="BodyText"/>
        <w:rPr>
          <w:rFonts w:ascii="Arial Rounded MT Bold"/>
          <w:sz w:val="14"/>
        </w:rPr>
      </w:pPr>
    </w:p>
    <w:p>
      <w:pPr>
        <w:pStyle w:val="BodyText"/>
        <w:rPr>
          <w:rFonts w:ascii="Arial Rounded MT Bold"/>
          <w:sz w:val="14"/>
        </w:rPr>
      </w:pPr>
    </w:p>
    <w:p>
      <w:pPr>
        <w:pStyle w:val="BodyText"/>
        <w:spacing w:before="9"/>
        <w:rPr>
          <w:rFonts w:ascii="Arial Rounded MT Bold"/>
          <w:sz w:val="14"/>
        </w:rPr>
      </w:pPr>
    </w:p>
    <w:p>
      <w:pPr>
        <w:pStyle w:val="BodyText"/>
        <w:ind w:left="220" w:right="132"/>
      </w:pPr>
      <w:r>
        <w:rPr/>
        <w:t>Octavio J. Diaz, MD, MPH President North Region &amp; </w:t>
      </w:r>
      <w:r>
        <w:rPr>
          <w:spacing w:val="-2"/>
        </w:rPr>
        <w:t>System</w:t>
      </w:r>
      <w:r>
        <w:rPr>
          <w:spacing w:val="-17"/>
        </w:rPr>
        <w:t> </w:t>
      </w:r>
      <w:r>
        <w:rPr>
          <w:spacing w:val="-2"/>
        </w:rPr>
        <w:t>Chief</w:t>
      </w:r>
      <w:r>
        <w:rPr>
          <w:spacing w:val="-15"/>
        </w:rPr>
        <w:t> </w:t>
      </w:r>
      <w:r>
        <w:rPr>
          <w:spacing w:val="-2"/>
        </w:rPr>
        <w:t>Medical</w:t>
      </w:r>
      <w:r>
        <w:rPr>
          <w:spacing w:val="-14"/>
        </w:rPr>
        <w:t> </w:t>
      </w:r>
      <w:r>
        <w:rPr>
          <w:spacing w:val="-2"/>
        </w:rPr>
        <w:t>Officer</w:t>
      </w:r>
    </w:p>
    <w:p>
      <w:pPr>
        <w:pStyle w:val="BodyText"/>
        <w:spacing w:line="480" w:lineRule="auto" w:before="1"/>
        <w:ind w:left="220"/>
      </w:pPr>
      <w:r>
        <w:rPr>
          <w:spacing w:val="-2"/>
        </w:rPr>
        <w:t>Steward</w:t>
      </w:r>
      <w:r>
        <w:rPr>
          <w:spacing w:val="-15"/>
        </w:rPr>
        <w:t> </w:t>
      </w:r>
      <w:r>
        <w:rPr>
          <w:spacing w:val="-2"/>
        </w:rPr>
        <w:t>Health</w:t>
      </w:r>
      <w:r>
        <w:rPr>
          <w:spacing w:val="-15"/>
        </w:rPr>
        <w:t> </w:t>
      </w:r>
      <w:r>
        <w:rPr>
          <w:spacing w:val="-2"/>
        </w:rPr>
        <w:t>Care</w:t>
      </w:r>
      <w:r>
        <w:rPr>
          <w:spacing w:val="-14"/>
        </w:rPr>
        <w:t> </w:t>
      </w:r>
      <w:r>
        <w:rPr>
          <w:spacing w:val="-2"/>
        </w:rPr>
        <w:t>System,</w:t>
      </w:r>
      <w:r>
        <w:rPr>
          <w:spacing w:val="-15"/>
        </w:rPr>
        <w:t> </w:t>
      </w:r>
      <w:r>
        <w:rPr>
          <w:spacing w:val="-2"/>
        </w:rPr>
        <w:t>LLC </w:t>
      </w:r>
      <w:r>
        <w:rPr>
          <w:u w:val="single"/>
        </w:rPr>
        <w:t>BY EMAIL ONLY</w:t>
      </w:r>
    </w:p>
    <w:p>
      <w:pPr>
        <w:spacing w:line="240" w:lineRule="auto" w:before="0"/>
        <w:rPr>
          <w:sz w:val="24"/>
        </w:rPr>
      </w:pPr>
      <w:r>
        <w:rPr/>
        <w:br w:type="column"/>
      </w:r>
      <w:r>
        <w:rPr>
          <w:sz w:val="24"/>
        </w:rPr>
      </w:r>
    </w:p>
    <w:p>
      <w:pPr>
        <w:pStyle w:val="BodyText"/>
        <w:spacing w:before="195"/>
      </w:pPr>
    </w:p>
    <w:p>
      <w:pPr>
        <w:pStyle w:val="BodyText"/>
        <w:ind w:left="220"/>
      </w:pPr>
      <w:r>
        <w:rPr/>
        <w:t>October</w:t>
      </w:r>
      <w:r>
        <w:rPr>
          <w:spacing w:val="-3"/>
        </w:rPr>
        <w:t> </w:t>
      </w:r>
      <w:r>
        <w:rPr/>
        <w:t>29,</w:t>
      </w:r>
      <w:r>
        <w:rPr>
          <w:spacing w:val="-4"/>
        </w:rPr>
        <w:t> 2024</w:t>
      </w:r>
    </w:p>
    <w:p>
      <w:pPr>
        <w:spacing w:before="101"/>
        <w:ind w:left="5" w:right="23" w:firstLine="0"/>
        <w:jc w:val="center"/>
        <w:rPr>
          <w:rFonts w:ascii="Arial Rounded MT Bold"/>
          <w:sz w:val="16"/>
        </w:rPr>
      </w:pPr>
      <w:r>
        <w:rPr/>
        <w:br w:type="column"/>
      </w:r>
      <w:r>
        <w:rPr>
          <w:rFonts w:ascii="Arial Rounded MT Bold"/>
          <w:sz w:val="16"/>
        </w:rPr>
        <w:t>KATHLEEN</w:t>
      </w:r>
      <w:r>
        <w:rPr>
          <w:rFonts w:ascii="Arial Rounded MT Bold"/>
          <w:spacing w:val="-4"/>
          <w:sz w:val="16"/>
        </w:rPr>
        <w:t> </w:t>
      </w:r>
      <w:r>
        <w:rPr>
          <w:rFonts w:ascii="Arial Rounded MT Bold"/>
          <w:sz w:val="16"/>
        </w:rPr>
        <w:t>E.</w:t>
      </w:r>
      <w:r>
        <w:rPr>
          <w:rFonts w:ascii="Arial Rounded MT Bold"/>
          <w:spacing w:val="-5"/>
          <w:sz w:val="16"/>
        </w:rPr>
        <w:t> </w:t>
      </w:r>
      <w:r>
        <w:rPr>
          <w:rFonts w:ascii="Arial Rounded MT Bold"/>
          <w:spacing w:val="-2"/>
          <w:sz w:val="16"/>
        </w:rPr>
        <w:t>WALSH</w:t>
      </w:r>
    </w:p>
    <w:p>
      <w:pPr>
        <w:spacing w:before="2"/>
        <w:ind w:left="2" w:right="23" w:firstLine="0"/>
        <w:jc w:val="center"/>
        <w:rPr>
          <w:rFonts w:ascii="Arial Rounded MT Bold"/>
          <w:sz w:val="14"/>
        </w:rPr>
      </w:pPr>
      <w:r>
        <w:rPr>
          <w:rFonts w:ascii="Arial Rounded MT Bold"/>
          <w:spacing w:val="-2"/>
          <w:sz w:val="14"/>
        </w:rPr>
        <w:t>Secretary</w:t>
      </w:r>
    </w:p>
    <w:p>
      <w:pPr>
        <w:pStyle w:val="BodyText"/>
        <w:spacing w:before="22"/>
        <w:rPr>
          <w:rFonts w:ascii="Arial Rounded MT Bold"/>
          <w:sz w:val="14"/>
        </w:rPr>
      </w:pPr>
    </w:p>
    <w:p>
      <w:pPr>
        <w:spacing w:before="0"/>
        <w:ind w:left="2" w:right="24" w:firstLine="0"/>
        <w:jc w:val="center"/>
        <w:rPr>
          <w:rFonts w:ascii="Arial Rounded MT Bold"/>
          <w:sz w:val="16"/>
        </w:rPr>
      </w:pPr>
      <w:r>
        <w:rPr>
          <w:rFonts w:ascii="Arial Rounded MT Bold"/>
          <w:sz w:val="16"/>
        </w:rPr>
        <w:t>ROBERT</w:t>
      </w:r>
      <w:r>
        <w:rPr>
          <w:rFonts w:ascii="Arial Rounded MT Bold"/>
          <w:spacing w:val="-6"/>
          <w:sz w:val="16"/>
        </w:rPr>
        <w:t> </w:t>
      </w:r>
      <w:r>
        <w:rPr>
          <w:rFonts w:ascii="Arial Rounded MT Bold"/>
          <w:sz w:val="16"/>
        </w:rPr>
        <w:t>GOLDSTEIN,</w:t>
      </w:r>
      <w:r>
        <w:rPr>
          <w:rFonts w:ascii="Arial Rounded MT Bold"/>
          <w:spacing w:val="-5"/>
          <w:sz w:val="16"/>
        </w:rPr>
        <w:t> </w:t>
      </w:r>
      <w:r>
        <w:rPr>
          <w:rFonts w:ascii="Arial Rounded MT Bold"/>
          <w:sz w:val="16"/>
        </w:rPr>
        <w:t>MD,</w:t>
      </w:r>
      <w:r>
        <w:rPr>
          <w:rFonts w:ascii="Arial Rounded MT Bold"/>
          <w:spacing w:val="-5"/>
          <w:sz w:val="16"/>
        </w:rPr>
        <w:t> PhD</w:t>
      </w:r>
    </w:p>
    <w:p>
      <w:pPr>
        <w:spacing w:before="1"/>
        <w:ind w:left="0" w:right="24" w:firstLine="0"/>
        <w:jc w:val="center"/>
        <w:rPr>
          <w:rFonts w:ascii="Arial Rounded MT Bold"/>
          <w:sz w:val="14"/>
        </w:rPr>
      </w:pPr>
      <w:r>
        <w:rPr>
          <w:rFonts w:ascii="Arial Rounded MT Bold"/>
          <w:spacing w:val="-2"/>
          <w:sz w:val="14"/>
        </w:rPr>
        <w:t>Commissioner</w:t>
      </w:r>
    </w:p>
    <w:p>
      <w:pPr>
        <w:spacing w:before="161"/>
        <w:ind w:left="0" w:right="23" w:firstLine="0"/>
        <w:jc w:val="center"/>
        <w:rPr>
          <w:b/>
          <w:sz w:val="14"/>
        </w:rPr>
      </w:pPr>
      <w:r>
        <w:rPr>
          <w:b/>
          <w:sz w:val="14"/>
        </w:rPr>
        <w:t>Tel:</w:t>
      </w:r>
      <w:r>
        <w:rPr>
          <w:b/>
          <w:spacing w:val="-10"/>
          <w:sz w:val="14"/>
        </w:rPr>
        <w:t> </w:t>
      </w:r>
      <w:r>
        <w:rPr>
          <w:b/>
          <w:sz w:val="14"/>
        </w:rPr>
        <w:t>617-624-</w:t>
      </w:r>
      <w:r>
        <w:rPr>
          <w:b/>
          <w:spacing w:val="-4"/>
          <w:sz w:val="14"/>
        </w:rPr>
        <w:t>6000</w:t>
      </w:r>
    </w:p>
    <w:p>
      <w:pPr>
        <w:spacing w:before="2"/>
        <w:ind w:left="0" w:right="24" w:firstLine="0"/>
        <w:jc w:val="center"/>
        <w:rPr>
          <w:b/>
          <w:sz w:val="14"/>
        </w:rPr>
      </w:pPr>
      <w:hyperlink r:id="rId6">
        <w:r>
          <w:rPr>
            <w:b/>
            <w:spacing w:val="-2"/>
            <w:sz w:val="14"/>
          </w:rPr>
          <w:t>www.mass.gov/dph</w:t>
        </w:r>
      </w:hyperlink>
    </w:p>
    <w:p>
      <w:pPr>
        <w:spacing w:after="0"/>
        <w:jc w:val="center"/>
        <w:rPr>
          <w:sz w:val="14"/>
        </w:rPr>
        <w:sectPr>
          <w:type w:val="continuous"/>
          <w:pgSz w:w="12240" w:h="15840"/>
          <w:pgMar w:top="560" w:bottom="280" w:left="860" w:right="980"/>
          <w:cols w:num="3" w:equalWidth="0">
            <w:col w:w="3842" w:space="270"/>
            <w:col w:w="2117" w:space="1280"/>
            <w:col w:w="2891"/>
          </w:cols>
        </w:sectPr>
      </w:pPr>
    </w:p>
    <w:p>
      <w:pPr>
        <w:tabs>
          <w:tab w:pos="1660" w:val="left" w:leader="none"/>
          <w:tab w:pos="3100" w:val="left" w:leader="none"/>
        </w:tabs>
        <w:spacing w:before="0"/>
        <w:ind w:left="1660" w:right="5446" w:hanging="720"/>
        <w:jc w:val="left"/>
        <w:rPr>
          <w:sz w:val="24"/>
        </w:rPr>
      </w:pPr>
      <w:r>
        <w:rPr>
          <w:b/>
          <w:spacing w:val="-4"/>
          <w:sz w:val="24"/>
        </w:rPr>
        <w:t>Re:</w:t>
      </w:r>
      <w:r>
        <w:rPr>
          <w:b/>
          <w:sz w:val="24"/>
        </w:rPr>
        <w:tab/>
      </w:r>
      <w:r>
        <w:rPr>
          <w:b/>
          <w:sz w:val="24"/>
          <w:u w:val="single"/>
        </w:rPr>
        <w:t>Review of Closure Plan</w:t>
      </w:r>
      <w:r>
        <w:rPr>
          <w:b/>
          <w:sz w:val="24"/>
          <w:u w:val="none"/>
        </w:rPr>
        <w:t> </w:t>
      </w:r>
      <w:r>
        <w:rPr>
          <w:b/>
          <w:spacing w:val="-2"/>
          <w:sz w:val="24"/>
          <w:u w:val="none"/>
        </w:rPr>
        <w:t>Facility:</w:t>
      </w:r>
      <w:r>
        <w:rPr>
          <w:b/>
          <w:sz w:val="24"/>
          <w:u w:val="none"/>
        </w:rPr>
        <w:tab/>
      </w:r>
      <w:r>
        <w:rPr>
          <w:spacing w:val="-4"/>
          <w:sz w:val="24"/>
          <w:u w:val="none"/>
        </w:rPr>
        <w:t>Norwood</w:t>
      </w:r>
      <w:r>
        <w:rPr>
          <w:spacing w:val="-13"/>
          <w:sz w:val="24"/>
          <w:u w:val="none"/>
        </w:rPr>
        <w:t> </w:t>
      </w:r>
      <w:r>
        <w:rPr>
          <w:spacing w:val="-4"/>
          <w:sz w:val="24"/>
          <w:u w:val="none"/>
        </w:rPr>
        <w:t>Hospital </w:t>
      </w:r>
      <w:r>
        <w:rPr>
          <w:b/>
          <w:sz w:val="24"/>
          <w:u w:val="none"/>
        </w:rPr>
        <w:t>Ref. #:</w:t>
        <w:tab/>
      </w:r>
      <w:r>
        <w:rPr>
          <w:spacing w:val="-2"/>
          <w:sz w:val="24"/>
          <w:u w:val="none"/>
        </w:rPr>
        <w:t>2114-767</w:t>
      </w:r>
    </w:p>
    <w:p>
      <w:pPr>
        <w:pStyle w:val="BodyText"/>
      </w:pPr>
    </w:p>
    <w:p>
      <w:pPr>
        <w:pStyle w:val="BodyText"/>
      </w:pPr>
    </w:p>
    <w:p>
      <w:pPr>
        <w:pStyle w:val="BodyText"/>
        <w:ind w:left="220"/>
      </w:pPr>
      <w:r>
        <w:rPr/>
        <w:t>Dear</w:t>
      </w:r>
      <w:r>
        <w:rPr>
          <w:spacing w:val="-6"/>
        </w:rPr>
        <w:t> </w:t>
      </w:r>
      <w:r>
        <w:rPr/>
        <w:t>Dr.</w:t>
      </w:r>
      <w:r>
        <w:rPr>
          <w:spacing w:val="-6"/>
        </w:rPr>
        <w:t> </w:t>
      </w:r>
      <w:r>
        <w:rPr>
          <w:spacing w:val="-2"/>
        </w:rPr>
        <w:t>Diaz:</w:t>
      </w:r>
    </w:p>
    <w:p>
      <w:pPr>
        <w:pStyle w:val="BodyText"/>
      </w:pPr>
    </w:p>
    <w:p>
      <w:pPr>
        <w:pStyle w:val="BodyText"/>
        <w:ind w:left="220"/>
      </w:pPr>
      <w:r>
        <w:rPr/>
        <w:t>On October 7, 2024, an Emergency Motion to authorize the closure of Steward Norwood Hospital (“the Hospital”) and the satellite facilities related to the Hospital, was allowed in connection</w:t>
      </w:r>
      <w:r>
        <w:rPr>
          <w:spacing w:val="-4"/>
        </w:rPr>
        <w:t> </w:t>
      </w:r>
      <w:r>
        <w:rPr/>
        <w:t>with</w:t>
      </w:r>
      <w:r>
        <w:rPr>
          <w:spacing w:val="-4"/>
        </w:rPr>
        <w:t> </w:t>
      </w:r>
      <w:r>
        <w:rPr/>
        <w:t>the</w:t>
      </w:r>
      <w:r>
        <w:rPr>
          <w:spacing w:val="-4"/>
        </w:rPr>
        <w:t> </w:t>
      </w:r>
      <w:r>
        <w:rPr/>
        <w:t>bankruptcy</w:t>
      </w:r>
      <w:r>
        <w:rPr>
          <w:spacing w:val="-4"/>
        </w:rPr>
        <w:t> </w:t>
      </w:r>
      <w:r>
        <w:rPr/>
        <w:t>filing</w:t>
      </w:r>
      <w:r>
        <w:rPr>
          <w:spacing w:val="-4"/>
        </w:rPr>
        <w:t> </w:t>
      </w:r>
      <w:r>
        <w:rPr/>
        <w:t>of</w:t>
      </w:r>
      <w:r>
        <w:rPr>
          <w:spacing w:val="-6"/>
        </w:rPr>
        <w:t> </w:t>
      </w:r>
      <w:r>
        <w:rPr/>
        <w:t>the</w:t>
      </w:r>
      <w:r>
        <w:rPr>
          <w:spacing w:val="-4"/>
        </w:rPr>
        <w:t> </w:t>
      </w:r>
      <w:r>
        <w:rPr/>
        <w:t>Steward Health</w:t>
      </w:r>
      <w:r>
        <w:rPr>
          <w:spacing w:val="-4"/>
        </w:rPr>
        <w:t> </w:t>
      </w:r>
      <w:r>
        <w:rPr/>
        <w:t>Care</w:t>
      </w:r>
      <w:r>
        <w:rPr>
          <w:spacing w:val="-5"/>
        </w:rPr>
        <w:t> </w:t>
      </w:r>
      <w:r>
        <w:rPr/>
        <w:t>System</w:t>
      </w:r>
      <w:r>
        <w:rPr>
          <w:spacing w:val="-3"/>
        </w:rPr>
        <w:t> </w:t>
      </w:r>
      <w:r>
        <w:rPr/>
        <w:t>in</w:t>
      </w:r>
      <w:r>
        <w:rPr>
          <w:spacing w:val="-4"/>
        </w:rPr>
        <w:t> </w:t>
      </w:r>
      <w:r>
        <w:rPr/>
        <w:t>Massachusetts.</w:t>
      </w:r>
    </w:p>
    <w:p>
      <w:pPr>
        <w:pStyle w:val="BodyText"/>
      </w:pPr>
    </w:p>
    <w:p>
      <w:pPr>
        <w:pStyle w:val="BodyText"/>
        <w:ind w:left="220" w:right="174"/>
      </w:pPr>
      <w:r>
        <w:rPr/>
        <w:t>Pursuant to the order, on October 11, 2024, the Department of Public Health (the "Department") received the Hospital’s notice of intent to close. Additionally, on October 21, 2024,</w:t>
      </w:r>
      <w:r>
        <w:rPr>
          <w:spacing w:val="-3"/>
        </w:rPr>
        <w:t> </w:t>
      </w:r>
      <w:r>
        <w:rPr/>
        <w:t>the</w:t>
      </w:r>
      <w:r>
        <w:rPr>
          <w:spacing w:val="-3"/>
        </w:rPr>
        <w:t> </w:t>
      </w:r>
      <w:r>
        <w:rPr/>
        <w:t>Department</w:t>
      </w:r>
      <w:r>
        <w:rPr>
          <w:spacing w:val="-5"/>
        </w:rPr>
        <w:t> </w:t>
      </w:r>
      <w:r>
        <w:rPr/>
        <w:t>received</w:t>
      </w:r>
      <w:r>
        <w:rPr>
          <w:spacing w:val="-2"/>
        </w:rPr>
        <w:t> </w:t>
      </w:r>
      <w:r>
        <w:rPr/>
        <w:t>from</w:t>
      </w:r>
      <w:r>
        <w:rPr>
          <w:spacing w:val="-4"/>
        </w:rPr>
        <w:t> </w:t>
      </w:r>
      <w:r>
        <w:rPr/>
        <w:t>the</w:t>
      </w:r>
      <w:r>
        <w:rPr>
          <w:spacing w:val="-5"/>
        </w:rPr>
        <w:t> </w:t>
      </w:r>
      <w:r>
        <w:rPr/>
        <w:t>Hospital</w:t>
      </w:r>
      <w:r>
        <w:rPr>
          <w:spacing w:val="-3"/>
        </w:rPr>
        <w:t> </w:t>
      </w:r>
      <w:r>
        <w:rPr/>
        <w:t>a</w:t>
      </w:r>
      <w:r>
        <w:rPr>
          <w:spacing w:val="-3"/>
        </w:rPr>
        <w:t> </w:t>
      </w:r>
      <w:r>
        <w:rPr/>
        <w:t>Closure</w:t>
      </w:r>
      <w:r>
        <w:rPr>
          <w:spacing w:val="-3"/>
        </w:rPr>
        <w:t> </w:t>
      </w:r>
      <w:r>
        <w:rPr/>
        <w:t>Plan</w:t>
      </w:r>
      <w:r>
        <w:rPr>
          <w:spacing w:val="-3"/>
        </w:rPr>
        <w:t> </w:t>
      </w:r>
      <w:r>
        <w:rPr/>
        <w:t>(the</w:t>
      </w:r>
      <w:r>
        <w:rPr>
          <w:spacing w:val="-3"/>
        </w:rPr>
        <w:t> </w:t>
      </w:r>
      <w:r>
        <w:rPr/>
        <w:t>“Plan”)</w:t>
      </w:r>
      <w:r>
        <w:rPr>
          <w:spacing w:val="-5"/>
        </w:rPr>
        <w:t> </w:t>
      </w:r>
      <w:r>
        <w:rPr/>
        <w:t>for</w:t>
      </w:r>
      <w:r>
        <w:rPr>
          <w:spacing w:val="-3"/>
        </w:rPr>
        <w:t> </w:t>
      </w:r>
      <w:r>
        <w:rPr/>
        <w:t>the</w:t>
      </w:r>
      <w:r>
        <w:rPr>
          <w:spacing w:val="-3"/>
        </w:rPr>
        <w:t> </w:t>
      </w:r>
      <w:r>
        <w:rPr/>
        <w:t>Hospital intended to address the requirements of 105 CMR 130.122(F)</w:t>
      </w:r>
    </w:p>
    <w:p>
      <w:pPr>
        <w:pStyle w:val="BodyText"/>
      </w:pPr>
    </w:p>
    <w:p>
      <w:pPr>
        <w:pStyle w:val="BodyText"/>
        <w:spacing w:before="1"/>
        <w:ind w:left="220" w:right="174"/>
      </w:pPr>
      <w:r>
        <w:rPr/>
        <w:t>On October</w:t>
      </w:r>
      <w:r>
        <w:rPr>
          <w:spacing w:val="-5"/>
        </w:rPr>
        <w:t> </w:t>
      </w:r>
      <w:r>
        <w:rPr/>
        <w:t>21,</w:t>
      </w:r>
      <w:r>
        <w:rPr>
          <w:spacing w:val="-4"/>
        </w:rPr>
        <w:t> </w:t>
      </w:r>
      <w:r>
        <w:rPr/>
        <w:t>2024,</w:t>
      </w:r>
      <w:r>
        <w:rPr>
          <w:spacing w:val="-3"/>
        </w:rPr>
        <w:t> </w:t>
      </w:r>
      <w:r>
        <w:rPr/>
        <w:t>and</w:t>
      </w:r>
      <w:r>
        <w:rPr>
          <w:spacing w:val="-3"/>
        </w:rPr>
        <w:t> </w:t>
      </w:r>
      <w:r>
        <w:rPr/>
        <w:t>October</w:t>
      </w:r>
      <w:r>
        <w:rPr>
          <w:spacing w:val="-2"/>
        </w:rPr>
        <w:t> </w:t>
      </w:r>
      <w:r>
        <w:rPr/>
        <w:t>22,</w:t>
      </w:r>
      <w:r>
        <w:rPr>
          <w:spacing w:val="-2"/>
        </w:rPr>
        <w:t> </w:t>
      </w:r>
      <w:r>
        <w:rPr/>
        <w:t>2024,</w:t>
      </w:r>
      <w:r>
        <w:rPr>
          <w:spacing w:val="-4"/>
        </w:rPr>
        <w:t> </w:t>
      </w:r>
      <w:r>
        <w:rPr/>
        <w:t>the</w:t>
      </w:r>
      <w:r>
        <w:rPr>
          <w:spacing w:val="-2"/>
        </w:rPr>
        <w:t> </w:t>
      </w:r>
      <w:r>
        <w:rPr/>
        <w:t>Department</w:t>
      </w:r>
      <w:r>
        <w:rPr>
          <w:spacing w:val="-2"/>
        </w:rPr>
        <w:t> </w:t>
      </w:r>
      <w:r>
        <w:rPr/>
        <w:t>held</w:t>
      </w:r>
      <w:r>
        <w:rPr>
          <w:spacing w:val="-2"/>
        </w:rPr>
        <w:t> </w:t>
      </w:r>
      <w:r>
        <w:rPr/>
        <w:t>hearings</w:t>
      </w:r>
      <w:r>
        <w:rPr>
          <w:spacing w:val="-2"/>
        </w:rPr>
        <w:t> </w:t>
      </w:r>
      <w:r>
        <w:rPr/>
        <w:t>in</w:t>
      </w:r>
      <w:r>
        <w:rPr>
          <w:spacing w:val="-4"/>
        </w:rPr>
        <w:t> </w:t>
      </w:r>
      <w:r>
        <w:rPr/>
        <w:t>response</w:t>
      </w:r>
      <w:r>
        <w:rPr>
          <w:spacing w:val="-4"/>
        </w:rPr>
        <w:t> </w:t>
      </w:r>
      <w:r>
        <w:rPr/>
        <w:t>to</w:t>
      </w:r>
      <w:r>
        <w:rPr>
          <w:spacing w:val="-3"/>
        </w:rPr>
        <w:t> </w:t>
      </w:r>
      <w:r>
        <w:rPr/>
        <w:t>the notification received from you regarding the closure of the Hospital and satellite facilities related to the Hospital.</w:t>
      </w:r>
    </w:p>
    <w:p>
      <w:pPr>
        <w:pStyle w:val="BodyText"/>
      </w:pPr>
    </w:p>
    <w:p>
      <w:pPr>
        <w:pStyle w:val="BodyText"/>
        <w:ind w:left="220" w:right="174"/>
      </w:pPr>
      <w:r>
        <w:rPr/>
        <w:t>105 CMR 130.020 includes within the definition of essential health service a “campus, or any of</w:t>
      </w:r>
      <w:r>
        <w:rPr>
          <w:spacing w:val="-2"/>
        </w:rPr>
        <w:t> </w:t>
      </w:r>
      <w:r>
        <w:rPr/>
        <w:t>the</w:t>
      </w:r>
      <w:r>
        <w:rPr>
          <w:spacing w:val="-2"/>
        </w:rPr>
        <w:t> </w:t>
      </w:r>
      <w:r>
        <w:rPr/>
        <w:t>services</w:t>
      </w:r>
      <w:r>
        <w:rPr>
          <w:spacing w:val="-3"/>
        </w:rPr>
        <w:t> </w:t>
      </w:r>
      <w:r>
        <w:rPr/>
        <w:t>enumerated</w:t>
      </w:r>
      <w:r>
        <w:rPr>
          <w:spacing w:val="-4"/>
        </w:rPr>
        <w:t> </w:t>
      </w:r>
      <w:r>
        <w:rPr/>
        <w:t>in</w:t>
      </w:r>
      <w:r>
        <w:rPr>
          <w:spacing w:val="-2"/>
        </w:rPr>
        <w:t> </w:t>
      </w:r>
      <w:r>
        <w:rPr/>
        <w:t>the</w:t>
      </w:r>
      <w:r>
        <w:rPr>
          <w:spacing w:val="-4"/>
        </w:rPr>
        <w:t> </w:t>
      </w:r>
      <w:r>
        <w:rPr/>
        <w:t>definition</w:t>
      </w:r>
      <w:r>
        <w:rPr>
          <w:spacing w:val="-2"/>
        </w:rPr>
        <w:t> </w:t>
      </w:r>
      <w:r>
        <w:rPr/>
        <w:t>of</w:t>
      </w:r>
      <w:r>
        <w:rPr>
          <w:spacing w:val="-4"/>
        </w:rPr>
        <w:t> </w:t>
      </w:r>
      <w:r>
        <w:rPr/>
        <w:t>service</w:t>
      </w:r>
      <w:r>
        <w:rPr>
          <w:spacing w:val="-2"/>
        </w:rPr>
        <w:t> </w:t>
      </w:r>
      <w:r>
        <w:rPr/>
        <w:t>in</w:t>
      </w:r>
      <w:r>
        <w:rPr>
          <w:spacing w:val="-2"/>
        </w:rPr>
        <w:t> </w:t>
      </w:r>
      <w:r>
        <w:rPr/>
        <w:t>105</w:t>
      </w:r>
      <w:r>
        <w:rPr>
          <w:spacing w:val="-2"/>
        </w:rPr>
        <w:t> </w:t>
      </w:r>
      <w:r>
        <w:rPr/>
        <w:t>CMR</w:t>
      </w:r>
      <w:r>
        <w:rPr>
          <w:spacing w:val="-2"/>
        </w:rPr>
        <w:t> </w:t>
      </w:r>
      <w:r>
        <w:rPr/>
        <w:t>130.020</w:t>
      </w:r>
      <w:r>
        <w:rPr>
          <w:spacing w:val="-4"/>
        </w:rPr>
        <w:t> </w:t>
      </w:r>
      <w:r>
        <w:rPr/>
        <w:t>that</w:t>
      </w:r>
      <w:r>
        <w:rPr>
          <w:spacing w:val="-2"/>
        </w:rPr>
        <w:t> </w:t>
      </w:r>
      <w:r>
        <w:rPr/>
        <w:t>is</w:t>
      </w:r>
      <w:r>
        <w:rPr>
          <w:spacing w:val="-2"/>
        </w:rPr>
        <w:t> </w:t>
      </w:r>
      <w:r>
        <w:rPr/>
        <w:t>not</w:t>
      </w:r>
      <w:r>
        <w:rPr>
          <w:spacing w:val="-2"/>
        </w:rPr>
        <w:t> </w:t>
      </w:r>
      <w:r>
        <w:rPr/>
        <w:t>included in the Excluded Services list.” As a result of its review, including testimony presented at the hearings, and pursuant to M.G.L. c. 111, section 51G and 105 CMR 130.122(E), the Department has made a finding that the Hospital is in fact an essential service necessary for preserving access and health status within the Hospital’s service area. This determination does</w:t>
      </w:r>
      <w:r>
        <w:rPr>
          <w:spacing w:val="-2"/>
        </w:rPr>
        <w:t> </w:t>
      </w:r>
      <w:r>
        <w:rPr/>
        <w:t>not</w:t>
      </w:r>
      <w:r>
        <w:rPr>
          <w:spacing w:val="-2"/>
        </w:rPr>
        <w:t> </w:t>
      </w:r>
      <w:r>
        <w:rPr/>
        <w:t>give</w:t>
      </w:r>
      <w:r>
        <w:rPr>
          <w:spacing w:val="-2"/>
        </w:rPr>
        <w:t> </w:t>
      </w:r>
      <w:r>
        <w:rPr/>
        <w:t>the Department the</w:t>
      </w:r>
      <w:r>
        <w:rPr>
          <w:spacing w:val="-2"/>
        </w:rPr>
        <w:t> </w:t>
      </w:r>
      <w:r>
        <w:rPr/>
        <w:t>power to</w:t>
      </w:r>
      <w:r>
        <w:rPr>
          <w:spacing w:val="-2"/>
        </w:rPr>
        <w:t> </w:t>
      </w:r>
      <w:r>
        <w:rPr/>
        <w:t>mandate that</w:t>
      </w:r>
      <w:r>
        <w:rPr>
          <w:spacing w:val="-2"/>
        </w:rPr>
        <w:t> </w:t>
      </w:r>
      <w:r>
        <w:rPr/>
        <w:t>the</w:t>
      </w:r>
      <w:r>
        <w:rPr>
          <w:spacing w:val="-2"/>
        </w:rPr>
        <w:t> </w:t>
      </w:r>
      <w:r>
        <w:rPr/>
        <w:t>Hospital remain open, but rather,</w:t>
      </w:r>
    </w:p>
    <w:p>
      <w:pPr>
        <w:spacing w:after="0"/>
        <w:sectPr>
          <w:type w:val="continuous"/>
          <w:pgSz w:w="12240" w:h="15840"/>
          <w:pgMar w:top="560" w:bottom="280" w:left="860" w:right="980"/>
        </w:sectPr>
      </w:pPr>
    </w:p>
    <w:p>
      <w:pPr>
        <w:pStyle w:val="BodyText"/>
        <w:spacing w:before="168"/>
      </w:pPr>
    </w:p>
    <w:p>
      <w:pPr>
        <w:pStyle w:val="BodyText"/>
        <w:ind w:left="220"/>
      </w:pPr>
      <w:r>
        <w:rPr/>
        <w:t>mandates</w:t>
      </w:r>
      <w:r>
        <w:rPr>
          <w:spacing w:val="-3"/>
        </w:rPr>
        <w:t> </w:t>
      </w:r>
      <w:r>
        <w:rPr/>
        <w:t>the</w:t>
      </w:r>
      <w:r>
        <w:rPr>
          <w:spacing w:val="-3"/>
        </w:rPr>
        <w:t> </w:t>
      </w:r>
      <w:r>
        <w:rPr/>
        <w:t>Hospital</w:t>
      </w:r>
      <w:r>
        <w:rPr>
          <w:spacing w:val="-6"/>
        </w:rPr>
        <w:t> </w:t>
      </w:r>
      <w:r>
        <w:rPr/>
        <w:t>to submit</w:t>
      </w:r>
      <w:r>
        <w:rPr>
          <w:spacing w:val="-5"/>
        </w:rPr>
        <w:t> </w:t>
      </w:r>
      <w:r>
        <w:rPr/>
        <w:t>a</w:t>
      </w:r>
      <w:r>
        <w:rPr>
          <w:spacing w:val="-3"/>
        </w:rPr>
        <w:t> </w:t>
      </w:r>
      <w:r>
        <w:rPr/>
        <w:t>plan</w:t>
      </w:r>
      <w:r>
        <w:rPr>
          <w:spacing w:val="-3"/>
        </w:rPr>
        <w:t> </w:t>
      </w:r>
      <w:r>
        <w:rPr/>
        <w:t>for</w:t>
      </w:r>
      <w:r>
        <w:rPr>
          <w:spacing w:val="-3"/>
        </w:rPr>
        <w:t> </w:t>
      </w:r>
      <w:r>
        <w:rPr/>
        <w:t>assuring</w:t>
      </w:r>
      <w:r>
        <w:rPr>
          <w:spacing w:val="-3"/>
        </w:rPr>
        <w:t> </w:t>
      </w:r>
      <w:r>
        <w:rPr/>
        <w:t>access</w:t>
      </w:r>
      <w:r>
        <w:rPr>
          <w:spacing w:val="-3"/>
        </w:rPr>
        <w:t> </w:t>
      </w:r>
      <w:r>
        <w:rPr/>
        <w:t>to</w:t>
      </w:r>
      <w:r>
        <w:rPr>
          <w:spacing w:val="-5"/>
        </w:rPr>
        <w:t> </w:t>
      </w:r>
      <w:r>
        <w:rPr/>
        <w:t>such</w:t>
      </w:r>
      <w:r>
        <w:rPr>
          <w:spacing w:val="-7"/>
        </w:rPr>
        <w:t> </w:t>
      </w:r>
      <w:r>
        <w:rPr/>
        <w:t>necessary</w:t>
      </w:r>
      <w:r>
        <w:rPr>
          <w:spacing w:val="-3"/>
        </w:rPr>
        <w:t> </w:t>
      </w:r>
      <w:r>
        <w:rPr/>
        <w:t>service(s) following the closure, </w:t>
      </w:r>
      <w:r>
        <w:rPr>
          <w:i/>
        </w:rPr>
        <w:t>see </w:t>
      </w:r>
      <w:r>
        <w:rPr/>
        <w:t>105 CMR 130.020(F).</w:t>
      </w:r>
    </w:p>
    <w:p>
      <w:pPr>
        <w:pStyle w:val="BodyText"/>
      </w:pPr>
    </w:p>
    <w:p>
      <w:pPr>
        <w:pStyle w:val="BodyText"/>
        <w:ind w:left="220"/>
      </w:pPr>
      <w:r>
        <w:rPr/>
        <w:t>The Department has completed its review of the submitted closure plan.</w:t>
      </w:r>
      <w:r>
        <w:rPr>
          <w:spacing w:val="40"/>
        </w:rPr>
        <w:t> </w:t>
      </w:r>
      <w:r>
        <w:rPr/>
        <w:t>As a result of this review</w:t>
      </w:r>
      <w:r>
        <w:rPr>
          <w:spacing w:val="-2"/>
        </w:rPr>
        <w:t> </w:t>
      </w:r>
      <w:r>
        <w:rPr/>
        <w:t>and</w:t>
      </w:r>
      <w:r>
        <w:rPr>
          <w:spacing w:val="-3"/>
        </w:rPr>
        <w:t> </w:t>
      </w:r>
      <w:r>
        <w:rPr/>
        <w:t>in</w:t>
      </w:r>
      <w:r>
        <w:rPr>
          <w:spacing w:val="-2"/>
        </w:rPr>
        <w:t> </w:t>
      </w:r>
      <w:r>
        <w:rPr/>
        <w:t>light</w:t>
      </w:r>
      <w:r>
        <w:rPr>
          <w:spacing w:val="-4"/>
        </w:rPr>
        <w:t> </w:t>
      </w:r>
      <w:r>
        <w:rPr/>
        <w:t>of</w:t>
      </w:r>
      <w:r>
        <w:rPr>
          <w:spacing w:val="-4"/>
        </w:rPr>
        <w:t> </w:t>
      </w:r>
      <w:r>
        <w:rPr/>
        <w:t>the</w:t>
      </w:r>
      <w:r>
        <w:rPr>
          <w:spacing w:val="-2"/>
        </w:rPr>
        <w:t> </w:t>
      </w:r>
      <w:r>
        <w:rPr/>
        <w:t>testimony given</w:t>
      </w:r>
      <w:r>
        <w:rPr>
          <w:spacing w:val="-2"/>
        </w:rPr>
        <w:t> </w:t>
      </w:r>
      <w:r>
        <w:rPr/>
        <w:t>at</w:t>
      </w:r>
      <w:r>
        <w:rPr>
          <w:spacing w:val="-2"/>
        </w:rPr>
        <w:t> </w:t>
      </w:r>
      <w:r>
        <w:rPr/>
        <w:t>the</w:t>
      </w:r>
      <w:r>
        <w:rPr>
          <w:spacing w:val="-2"/>
        </w:rPr>
        <w:t> </w:t>
      </w:r>
      <w:r>
        <w:rPr/>
        <w:t>public</w:t>
      </w:r>
      <w:r>
        <w:rPr>
          <w:spacing w:val="-2"/>
        </w:rPr>
        <w:t> </w:t>
      </w:r>
      <w:r>
        <w:rPr/>
        <w:t>hearings,</w:t>
      </w:r>
      <w:r>
        <w:rPr>
          <w:spacing w:val="-4"/>
        </w:rPr>
        <w:t> </w:t>
      </w:r>
      <w:r>
        <w:rPr/>
        <w:t>the</w:t>
      </w:r>
      <w:r>
        <w:rPr>
          <w:spacing w:val="-6"/>
        </w:rPr>
        <w:t> </w:t>
      </w:r>
      <w:r>
        <w:rPr/>
        <w:t>Department</w:t>
      </w:r>
      <w:r>
        <w:rPr>
          <w:spacing w:val="-4"/>
        </w:rPr>
        <w:t> </w:t>
      </w:r>
      <w:r>
        <w:rPr/>
        <w:t>has</w:t>
      </w:r>
      <w:r>
        <w:rPr>
          <w:spacing w:val="-5"/>
        </w:rPr>
        <w:t> </w:t>
      </w:r>
      <w:r>
        <w:rPr/>
        <w:t>prepared the following comments:</w:t>
      </w:r>
    </w:p>
    <w:p>
      <w:pPr>
        <w:pStyle w:val="BodyText"/>
      </w:pPr>
    </w:p>
    <w:p>
      <w:pPr>
        <w:pStyle w:val="ListParagraph"/>
        <w:numPr>
          <w:ilvl w:val="0"/>
          <w:numId w:val="1"/>
        </w:numPr>
        <w:tabs>
          <w:tab w:pos="1298" w:val="left" w:leader="none"/>
          <w:tab w:pos="1300" w:val="left" w:leader="none"/>
        </w:tabs>
        <w:spacing w:line="240" w:lineRule="auto" w:before="0" w:after="0"/>
        <w:ind w:left="1300" w:right="120" w:hanging="360"/>
        <w:jc w:val="left"/>
        <w:rPr>
          <w:sz w:val="24"/>
        </w:rPr>
      </w:pPr>
      <w:r>
        <w:rPr>
          <w:b/>
          <w:sz w:val="24"/>
        </w:rPr>
        <w:t>Information</w:t>
      </w:r>
      <w:r>
        <w:rPr>
          <w:b/>
          <w:spacing w:val="-4"/>
          <w:sz w:val="24"/>
        </w:rPr>
        <w:t> </w:t>
      </w:r>
      <w:r>
        <w:rPr>
          <w:b/>
          <w:sz w:val="24"/>
        </w:rPr>
        <w:t>on</w:t>
      </w:r>
      <w:r>
        <w:rPr>
          <w:b/>
          <w:spacing w:val="-4"/>
          <w:sz w:val="24"/>
        </w:rPr>
        <w:t> </w:t>
      </w:r>
      <w:r>
        <w:rPr>
          <w:b/>
          <w:sz w:val="24"/>
        </w:rPr>
        <w:t>the</w:t>
      </w:r>
      <w:r>
        <w:rPr>
          <w:b/>
          <w:spacing w:val="-4"/>
          <w:sz w:val="24"/>
        </w:rPr>
        <w:t> </w:t>
      </w:r>
      <w:r>
        <w:rPr>
          <w:b/>
          <w:sz w:val="24"/>
        </w:rPr>
        <w:t>Location</w:t>
      </w:r>
      <w:r>
        <w:rPr>
          <w:b/>
          <w:spacing w:val="-4"/>
          <w:sz w:val="24"/>
        </w:rPr>
        <w:t> </w:t>
      </w:r>
      <w:r>
        <w:rPr>
          <w:b/>
          <w:sz w:val="24"/>
        </w:rPr>
        <w:t>and</w:t>
      </w:r>
      <w:r>
        <w:rPr>
          <w:b/>
          <w:spacing w:val="-4"/>
          <w:sz w:val="24"/>
        </w:rPr>
        <w:t> </w:t>
      </w:r>
      <w:r>
        <w:rPr>
          <w:b/>
          <w:sz w:val="24"/>
        </w:rPr>
        <w:t>Service</w:t>
      </w:r>
      <w:r>
        <w:rPr>
          <w:b/>
          <w:spacing w:val="-6"/>
          <w:sz w:val="24"/>
        </w:rPr>
        <w:t> </w:t>
      </w:r>
      <w:r>
        <w:rPr>
          <w:b/>
          <w:sz w:val="24"/>
        </w:rPr>
        <w:t>Capacity of</w:t>
      </w:r>
      <w:r>
        <w:rPr>
          <w:b/>
          <w:spacing w:val="-5"/>
          <w:sz w:val="24"/>
        </w:rPr>
        <w:t> </w:t>
      </w:r>
      <w:r>
        <w:rPr>
          <w:b/>
          <w:sz w:val="24"/>
        </w:rPr>
        <w:t>Alternative</w:t>
      </w:r>
      <w:r>
        <w:rPr>
          <w:b/>
          <w:spacing w:val="-5"/>
          <w:sz w:val="24"/>
        </w:rPr>
        <w:t> </w:t>
      </w:r>
      <w:r>
        <w:rPr>
          <w:b/>
          <w:sz w:val="24"/>
        </w:rPr>
        <w:t>Delivery</w:t>
      </w:r>
      <w:r>
        <w:rPr>
          <w:b/>
          <w:spacing w:val="-5"/>
          <w:sz w:val="24"/>
        </w:rPr>
        <w:t> </w:t>
      </w:r>
      <w:r>
        <w:rPr>
          <w:b/>
          <w:sz w:val="24"/>
        </w:rPr>
        <w:t>Sites: </w:t>
      </w:r>
      <w:r>
        <w:rPr>
          <w:sz w:val="24"/>
        </w:rPr>
        <w:t>While the Hospital’s October 21, 2024 Plan included limited information on the location of alternate locations for certain specific services, you failed to identify the service capacity of alternative delivery sites for the full complement of the Hospital’s services and its satellites post closure.</w:t>
      </w:r>
      <w:r>
        <w:rPr>
          <w:spacing w:val="40"/>
          <w:sz w:val="24"/>
        </w:rPr>
        <w:t> </w:t>
      </w:r>
      <w:r>
        <w:rPr>
          <w:sz w:val="24"/>
        </w:rPr>
        <w:t>The Department requests a comprehensive assessment of the location and service capacity of alternative delivery sites for each of the Hospital’s and satellites’ licensed services, including communication to date regarding capacity at the alternative delivery sites to provide services to patients</w:t>
      </w:r>
      <w:r>
        <w:rPr>
          <w:spacing w:val="40"/>
          <w:sz w:val="24"/>
        </w:rPr>
        <w:t> </w:t>
      </w:r>
      <w:r>
        <w:rPr>
          <w:sz w:val="24"/>
        </w:rPr>
        <w:t>who will be displaced by the Hospital’s and satellites’ permanent closure. The Department also expects the assessment to include how the Hospital intends on maintaining communication with the alternate sites to ensure capacity and plans for communicating information to patients and the community.</w:t>
      </w:r>
    </w:p>
    <w:p>
      <w:pPr>
        <w:pStyle w:val="BodyText"/>
        <w:spacing w:before="1"/>
      </w:pPr>
    </w:p>
    <w:p>
      <w:pPr>
        <w:pStyle w:val="ListParagraph"/>
        <w:numPr>
          <w:ilvl w:val="0"/>
          <w:numId w:val="1"/>
        </w:numPr>
        <w:tabs>
          <w:tab w:pos="1298" w:val="left" w:leader="none"/>
          <w:tab w:pos="1300" w:val="left" w:leader="none"/>
        </w:tabs>
        <w:spacing w:line="240" w:lineRule="auto" w:before="0" w:after="0"/>
        <w:ind w:left="1300" w:right="222" w:hanging="360"/>
        <w:jc w:val="left"/>
        <w:rPr>
          <w:sz w:val="24"/>
        </w:rPr>
      </w:pPr>
      <w:r>
        <w:rPr>
          <w:b/>
          <w:sz w:val="24"/>
        </w:rPr>
        <w:t>Emergency Department Capacity</w:t>
      </w:r>
      <w:r>
        <w:rPr>
          <w:sz w:val="24"/>
        </w:rPr>
        <w:t>: During the hearing on October 21, 2024, members of the public expressed concern regarding the continued effect the permanent closure will have on emergency department capacity at alternative hospitals. The Department requests a comprehensive assessment of the ED capacity</w:t>
      </w:r>
      <w:r>
        <w:rPr>
          <w:spacing w:val="-5"/>
          <w:sz w:val="24"/>
        </w:rPr>
        <w:t> </w:t>
      </w:r>
      <w:r>
        <w:rPr>
          <w:sz w:val="24"/>
        </w:rPr>
        <w:t>of</w:t>
      </w:r>
      <w:r>
        <w:rPr>
          <w:spacing w:val="-5"/>
          <w:sz w:val="24"/>
        </w:rPr>
        <w:t> </w:t>
      </w:r>
      <w:r>
        <w:rPr>
          <w:sz w:val="24"/>
        </w:rPr>
        <w:t>alternative</w:t>
      </w:r>
      <w:r>
        <w:rPr>
          <w:spacing w:val="-5"/>
          <w:sz w:val="24"/>
        </w:rPr>
        <w:t> </w:t>
      </w:r>
      <w:r>
        <w:rPr>
          <w:sz w:val="24"/>
        </w:rPr>
        <w:t>sites</w:t>
      </w:r>
      <w:r>
        <w:rPr>
          <w:spacing w:val="-1"/>
          <w:sz w:val="24"/>
        </w:rPr>
        <w:t> </w:t>
      </w:r>
      <w:r>
        <w:rPr>
          <w:sz w:val="24"/>
        </w:rPr>
        <w:t>and</w:t>
      </w:r>
      <w:r>
        <w:rPr>
          <w:spacing w:val="-3"/>
          <w:sz w:val="24"/>
        </w:rPr>
        <w:t> </w:t>
      </w:r>
      <w:r>
        <w:rPr>
          <w:sz w:val="24"/>
        </w:rPr>
        <w:t>the</w:t>
      </w:r>
      <w:r>
        <w:rPr>
          <w:spacing w:val="-2"/>
          <w:sz w:val="24"/>
        </w:rPr>
        <w:t> </w:t>
      </w:r>
      <w:r>
        <w:rPr>
          <w:sz w:val="24"/>
        </w:rPr>
        <w:t>subsequent</w:t>
      </w:r>
      <w:r>
        <w:rPr>
          <w:spacing w:val="-2"/>
          <w:sz w:val="24"/>
        </w:rPr>
        <w:t> </w:t>
      </w:r>
      <w:r>
        <w:rPr>
          <w:sz w:val="24"/>
        </w:rPr>
        <w:t>impact</w:t>
      </w:r>
      <w:r>
        <w:rPr>
          <w:spacing w:val="-3"/>
          <w:sz w:val="24"/>
        </w:rPr>
        <w:t> </w:t>
      </w:r>
      <w:r>
        <w:rPr>
          <w:sz w:val="24"/>
        </w:rPr>
        <w:t>on</w:t>
      </w:r>
      <w:r>
        <w:rPr>
          <w:spacing w:val="-3"/>
          <w:sz w:val="24"/>
        </w:rPr>
        <w:t> </w:t>
      </w:r>
      <w:r>
        <w:rPr>
          <w:sz w:val="24"/>
        </w:rPr>
        <w:t>ED</w:t>
      </w:r>
      <w:r>
        <w:rPr>
          <w:spacing w:val="-3"/>
          <w:sz w:val="24"/>
        </w:rPr>
        <w:t> </w:t>
      </w:r>
      <w:r>
        <w:rPr>
          <w:sz w:val="24"/>
        </w:rPr>
        <w:t>boarding</w:t>
      </w:r>
      <w:r>
        <w:rPr>
          <w:spacing w:val="-2"/>
          <w:sz w:val="24"/>
        </w:rPr>
        <w:t> </w:t>
      </w:r>
      <w:r>
        <w:rPr>
          <w:sz w:val="24"/>
        </w:rPr>
        <w:t>expected</w:t>
      </w:r>
      <w:r>
        <w:rPr>
          <w:spacing w:val="-5"/>
          <w:sz w:val="24"/>
        </w:rPr>
        <w:t> </w:t>
      </w:r>
      <w:r>
        <w:rPr>
          <w:sz w:val="24"/>
        </w:rPr>
        <w:t>at the alternate hospitals.</w:t>
      </w:r>
    </w:p>
    <w:p>
      <w:pPr>
        <w:pStyle w:val="BodyText"/>
        <w:spacing w:before="1"/>
      </w:pPr>
    </w:p>
    <w:p>
      <w:pPr>
        <w:pStyle w:val="ListParagraph"/>
        <w:numPr>
          <w:ilvl w:val="0"/>
          <w:numId w:val="1"/>
        </w:numPr>
        <w:tabs>
          <w:tab w:pos="1298" w:val="left" w:leader="none"/>
          <w:tab w:pos="1300" w:val="left" w:leader="none"/>
        </w:tabs>
        <w:spacing w:line="259" w:lineRule="auto" w:before="0" w:after="0"/>
        <w:ind w:left="1300" w:right="103" w:hanging="360"/>
        <w:jc w:val="left"/>
        <w:rPr>
          <w:sz w:val="22"/>
        </w:rPr>
      </w:pPr>
      <w:r>
        <w:rPr>
          <w:b/>
          <w:sz w:val="24"/>
        </w:rPr>
        <w:t>An Assessment of Transportation Needs Post Closure and a Plan for Meeting Those Needs: </w:t>
      </w:r>
      <w:r>
        <w:rPr>
          <w:sz w:val="24"/>
        </w:rPr>
        <w:t>In the Plan submitted to the Department on October 21, 2024, you listed public transportation resources available to residents of the community. The Department requires information on how the Hospital assessed the transportation needs</w:t>
      </w:r>
      <w:r>
        <w:rPr>
          <w:spacing w:val="-2"/>
          <w:sz w:val="24"/>
        </w:rPr>
        <w:t> </w:t>
      </w:r>
      <w:r>
        <w:rPr>
          <w:sz w:val="24"/>
        </w:rPr>
        <w:t>of</w:t>
      </w:r>
      <w:r>
        <w:rPr>
          <w:spacing w:val="-4"/>
          <w:sz w:val="24"/>
        </w:rPr>
        <w:t> </w:t>
      </w:r>
      <w:r>
        <w:rPr>
          <w:sz w:val="24"/>
        </w:rPr>
        <w:t>its</w:t>
      </w:r>
      <w:r>
        <w:rPr>
          <w:spacing w:val="-2"/>
          <w:sz w:val="24"/>
        </w:rPr>
        <w:t> </w:t>
      </w:r>
      <w:r>
        <w:rPr>
          <w:sz w:val="24"/>
        </w:rPr>
        <w:t>patients</w:t>
      </w:r>
      <w:r>
        <w:rPr>
          <w:spacing w:val="-4"/>
          <w:sz w:val="24"/>
        </w:rPr>
        <w:t> </w:t>
      </w:r>
      <w:r>
        <w:rPr>
          <w:sz w:val="24"/>
        </w:rPr>
        <w:t>and</w:t>
      </w:r>
      <w:r>
        <w:rPr>
          <w:spacing w:val="-2"/>
          <w:sz w:val="24"/>
        </w:rPr>
        <w:t> </w:t>
      </w:r>
      <w:r>
        <w:rPr>
          <w:sz w:val="24"/>
        </w:rPr>
        <w:t>the</w:t>
      </w:r>
      <w:r>
        <w:rPr>
          <w:spacing w:val="-2"/>
          <w:sz w:val="24"/>
        </w:rPr>
        <w:t> </w:t>
      </w:r>
      <w:r>
        <w:rPr>
          <w:sz w:val="24"/>
        </w:rPr>
        <w:t>community,</w:t>
      </w:r>
      <w:r>
        <w:rPr>
          <w:spacing w:val="-2"/>
          <w:sz w:val="24"/>
        </w:rPr>
        <w:t> </w:t>
      </w:r>
      <w:r>
        <w:rPr>
          <w:sz w:val="24"/>
        </w:rPr>
        <w:t>the</w:t>
      </w:r>
      <w:r>
        <w:rPr>
          <w:spacing w:val="-4"/>
          <w:sz w:val="24"/>
        </w:rPr>
        <w:t> </w:t>
      </w:r>
      <w:r>
        <w:rPr>
          <w:sz w:val="24"/>
        </w:rPr>
        <w:t>results</w:t>
      </w:r>
      <w:r>
        <w:rPr>
          <w:spacing w:val="-2"/>
          <w:sz w:val="24"/>
        </w:rPr>
        <w:t> </w:t>
      </w:r>
      <w:r>
        <w:rPr>
          <w:sz w:val="24"/>
        </w:rPr>
        <w:t>of</w:t>
      </w:r>
      <w:r>
        <w:rPr>
          <w:spacing w:val="-4"/>
          <w:sz w:val="24"/>
        </w:rPr>
        <w:t> </w:t>
      </w:r>
      <w:r>
        <w:rPr>
          <w:sz w:val="24"/>
        </w:rPr>
        <w:t>that</w:t>
      </w:r>
      <w:r>
        <w:rPr>
          <w:spacing w:val="-2"/>
          <w:sz w:val="24"/>
        </w:rPr>
        <w:t> </w:t>
      </w:r>
      <w:r>
        <w:rPr>
          <w:sz w:val="24"/>
        </w:rPr>
        <w:t>assessment,</w:t>
      </w:r>
      <w:r>
        <w:rPr>
          <w:spacing w:val="-4"/>
          <w:sz w:val="24"/>
        </w:rPr>
        <w:t> </w:t>
      </w:r>
      <w:r>
        <w:rPr>
          <w:sz w:val="24"/>
        </w:rPr>
        <w:t>and</w:t>
      </w:r>
      <w:r>
        <w:rPr>
          <w:spacing w:val="-2"/>
          <w:sz w:val="24"/>
        </w:rPr>
        <w:t> </w:t>
      </w:r>
      <w:r>
        <w:rPr>
          <w:sz w:val="24"/>
        </w:rPr>
        <w:t>how</w:t>
      </w:r>
      <w:r>
        <w:rPr>
          <w:spacing w:val="-2"/>
          <w:sz w:val="24"/>
        </w:rPr>
        <w:t> </w:t>
      </w:r>
      <w:r>
        <w:rPr>
          <w:sz w:val="24"/>
        </w:rPr>
        <w:t>the Hospital intends to meet those assessed needs. Additionally, at the hearing on October 21, 2024, members of the public raised concerns over the lack of any direct public transit from Norwood Hospital’s service area to communities with alternate delivery sites, such as Needham, MA. The Department expects the Hospital to provide a detailed assessment of the travel needs of its current patients and the community post closure and the solutions to meet those needs.</w:t>
      </w:r>
    </w:p>
    <w:p>
      <w:pPr>
        <w:pStyle w:val="ListParagraph"/>
        <w:numPr>
          <w:ilvl w:val="0"/>
          <w:numId w:val="1"/>
        </w:numPr>
        <w:tabs>
          <w:tab w:pos="1298" w:val="left" w:leader="none"/>
          <w:tab w:pos="1300" w:val="left" w:leader="none"/>
        </w:tabs>
        <w:spacing w:line="240" w:lineRule="auto" w:before="269" w:after="0"/>
        <w:ind w:left="1300" w:right="266" w:hanging="360"/>
        <w:jc w:val="left"/>
        <w:rPr>
          <w:sz w:val="24"/>
        </w:rPr>
      </w:pPr>
      <w:r>
        <w:rPr>
          <w:b/>
          <w:sz w:val="24"/>
        </w:rPr>
        <w:t>Ambulance Times: </w:t>
      </w:r>
      <w:r>
        <w:rPr>
          <w:sz w:val="24"/>
        </w:rPr>
        <w:t>During the hearings on October 21</w:t>
      </w:r>
      <w:r>
        <w:rPr>
          <w:position w:val="8"/>
          <w:sz w:val="16"/>
        </w:rPr>
        <w:t>st</w:t>
      </w:r>
      <w:r>
        <w:rPr>
          <w:spacing w:val="35"/>
          <w:position w:val="8"/>
          <w:sz w:val="16"/>
        </w:rPr>
        <w:t> </w:t>
      </w:r>
      <w:r>
        <w:rPr>
          <w:sz w:val="24"/>
        </w:rPr>
        <w:t>and 22</w:t>
      </w:r>
      <w:r>
        <w:rPr>
          <w:position w:val="8"/>
          <w:sz w:val="16"/>
        </w:rPr>
        <w:t>nd</w:t>
      </w:r>
      <w:r>
        <w:rPr>
          <w:sz w:val="24"/>
        </w:rPr>
        <w:t>, 2024, commentors expressed concerns regarding the effect the Hospital’s permanent closure</w:t>
      </w:r>
      <w:r>
        <w:rPr>
          <w:spacing w:val="-3"/>
          <w:sz w:val="24"/>
        </w:rPr>
        <w:t> </w:t>
      </w:r>
      <w:r>
        <w:rPr>
          <w:sz w:val="24"/>
        </w:rPr>
        <w:t>will</w:t>
      </w:r>
      <w:r>
        <w:rPr>
          <w:spacing w:val="-3"/>
          <w:sz w:val="24"/>
        </w:rPr>
        <w:t> </w:t>
      </w:r>
      <w:r>
        <w:rPr>
          <w:sz w:val="24"/>
        </w:rPr>
        <w:t>have</w:t>
      </w:r>
      <w:r>
        <w:rPr>
          <w:spacing w:val="-5"/>
          <w:sz w:val="24"/>
        </w:rPr>
        <w:t> </w:t>
      </w:r>
      <w:r>
        <w:rPr>
          <w:sz w:val="24"/>
        </w:rPr>
        <w:t>on</w:t>
      </w:r>
      <w:r>
        <w:rPr>
          <w:spacing w:val="-5"/>
          <w:sz w:val="24"/>
        </w:rPr>
        <w:t> </w:t>
      </w:r>
      <w:r>
        <w:rPr>
          <w:sz w:val="24"/>
        </w:rPr>
        <w:t>ambulance</w:t>
      </w:r>
      <w:r>
        <w:rPr>
          <w:spacing w:val="-5"/>
          <w:sz w:val="24"/>
        </w:rPr>
        <w:t> </w:t>
      </w:r>
      <w:r>
        <w:rPr>
          <w:sz w:val="24"/>
        </w:rPr>
        <w:t>run</w:t>
      </w:r>
      <w:r>
        <w:rPr>
          <w:spacing w:val="-3"/>
          <w:sz w:val="24"/>
        </w:rPr>
        <w:t> </w:t>
      </w:r>
      <w:r>
        <w:rPr>
          <w:sz w:val="24"/>
        </w:rPr>
        <w:t>times. The</w:t>
      </w:r>
      <w:r>
        <w:rPr>
          <w:spacing w:val="-3"/>
          <w:sz w:val="24"/>
        </w:rPr>
        <w:t> </w:t>
      </w:r>
      <w:r>
        <w:rPr>
          <w:sz w:val="24"/>
        </w:rPr>
        <w:t>Department</w:t>
      </w:r>
      <w:r>
        <w:rPr>
          <w:spacing w:val="-5"/>
          <w:sz w:val="24"/>
        </w:rPr>
        <w:t> </w:t>
      </w:r>
      <w:r>
        <w:rPr>
          <w:sz w:val="24"/>
        </w:rPr>
        <w:t>requests</w:t>
      </w:r>
      <w:r>
        <w:rPr>
          <w:spacing w:val="-3"/>
          <w:sz w:val="24"/>
        </w:rPr>
        <w:t> </w:t>
      </w:r>
      <w:r>
        <w:rPr>
          <w:sz w:val="24"/>
        </w:rPr>
        <w:t>information</w:t>
      </w:r>
      <w:r>
        <w:rPr>
          <w:spacing w:val="-5"/>
          <w:sz w:val="24"/>
        </w:rPr>
        <w:t> </w:t>
      </w:r>
      <w:r>
        <w:rPr>
          <w:sz w:val="24"/>
        </w:rPr>
        <w:t>on the effect the closure will have on ambulance run times to and from alternative delivery sites along with information on what these estimates are based on and whether they take into consideration the time it takes for an ambulance to return to its primary service area.</w:t>
      </w:r>
    </w:p>
    <w:p>
      <w:pPr>
        <w:spacing w:after="0" w:line="240" w:lineRule="auto"/>
        <w:jc w:val="left"/>
        <w:rPr>
          <w:sz w:val="24"/>
        </w:rPr>
        <w:sectPr>
          <w:headerReference w:type="default" r:id="rId7"/>
          <w:pgSz w:w="12240" w:h="15840"/>
          <w:pgMar w:header="728" w:footer="0" w:top="980" w:bottom="280" w:left="860" w:right="980"/>
          <w:pgNumType w:start="2"/>
        </w:sectPr>
      </w:pPr>
    </w:p>
    <w:p>
      <w:pPr>
        <w:pStyle w:val="BodyText"/>
      </w:pPr>
    </w:p>
    <w:p>
      <w:pPr>
        <w:pStyle w:val="BodyText"/>
        <w:spacing w:before="168"/>
      </w:pPr>
    </w:p>
    <w:p>
      <w:pPr>
        <w:pStyle w:val="ListParagraph"/>
        <w:numPr>
          <w:ilvl w:val="0"/>
          <w:numId w:val="1"/>
        </w:numPr>
        <w:tabs>
          <w:tab w:pos="1298" w:val="left" w:leader="none"/>
          <w:tab w:pos="1300" w:val="left" w:leader="none"/>
        </w:tabs>
        <w:spacing w:line="240" w:lineRule="auto" w:before="0" w:after="0"/>
        <w:ind w:left="1300" w:right="126" w:hanging="360"/>
        <w:jc w:val="left"/>
        <w:rPr>
          <w:sz w:val="24"/>
        </w:rPr>
      </w:pPr>
      <w:r>
        <w:rPr>
          <w:b/>
          <w:sz w:val="24"/>
        </w:rPr>
        <w:t>A Protocol that Details Mechanisms to Maintain Continuity of Care for Current Patients:</w:t>
      </w:r>
      <w:r>
        <w:rPr>
          <w:b/>
          <w:spacing w:val="80"/>
          <w:sz w:val="24"/>
        </w:rPr>
        <w:t> </w:t>
      </w:r>
      <w:r>
        <w:rPr>
          <w:sz w:val="24"/>
        </w:rPr>
        <w:t>In the Plan received October 21, 2024, you identified alternative care</w:t>
      </w:r>
      <w:r>
        <w:rPr>
          <w:sz w:val="24"/>
        </w:rPr>
        <w:t> sites within the community, the services they provided, and travel times to these sites, and indicated that letters will be sent to patients alerting them of the closure, that these letters will include information on how to contact an alternate site, reschedule any appointments necessary, and that a patient assistance line number will be included in case of questions.</w:t>
      </w:r>
      <w:r>
        <w:rPr>
          <w:spacing w:val="40"/>
          <w:sz w:val="24"/>
        </w:rPr>
        <w:t> </w:t>
      </w:r>
      <w:r>
        <w:rPr>
          <w:sz w:val="24"/>
        </w:rPr>
        <w:t>Based on this and testimony received at the hearings held on October 21, 2024 and October 22, 2024, the Department is concerned that the applicant has not secured and patients are not receiving the necessary support to arrange ongoing services elsewhere and the plan lacks detail as to what, how,</w:t>
      </w:r>
      <w:r>
        <w:rPr>
          <w:spacing w:val="-1"/>
          <w:sz w:val="24"/>
        </w:rPr>
        <w:t> </w:t>
      </w:r>
      <w:r>
        <w:rPr>
          <w:sz w:val="24"/>
        </w:rPr>
        <w:t>and when current patients will receive information about options for care</w:t>
      </w:r>
      <w:r>
        <w:rPr>
          <w:spacing w:val="-3"/>
          <w:sz w:val="24"/>
        </w:rPr>
        <w:t> </w:t>
      </w:r>
      <w:r>
        <w:rPr>
          <w:sz w:val="24"/>
        </w:rPr>
        <w:t>available</w:t>
      </w:r>
      <w:r>
        <w:rPr>
          <w:spacing w:val="-3"/>
          <w:sz w:val="24"/>
        </w:rPr>
        <w:t> </w:t>
      </w:r>
      <w:r>
        <w:rPr>
          <w:sz w:val="24"/>
        </w:rPr>
        <w:t>to</w:t>
      </w:r>
      <w:r>
        <w:rPr>
          <w:spacing w:val="-3"/>
          <w:sz w:val="24"/>
        </w:rPr>
        <w:t> </w:t>
      </w:r>
      <w:r>
        <w:rPr>
          <w:sz w:val="24"/>
        </w:rPr>
        <w:t>them,</w:t>
      </w:r>
      <w:r>
        <w:rPr>
          <w:spacing w:val="-5"/>
          <w:sz w:val="24"/>
        </w:rPr>
        <w:t> </w:t>
      </w:r>
      <w:r>
        <w:rPr>
          <w:sz w:val="24"/>
        </w:rPr>
        <w:t>what</w:t>
      </w:r>
      <w:r>
        <w:rPr>
          <w:spacing w:val="-3"/>
          <w:sz w:val="24"/>
        </w:rPr>
        <w:t> </w:t>
      </w:r>
      <w:r>
        <w:rPr>
          <w:sz w:val="24"/>
        </w:rPr>
        <w:t>resources</w:t>
      </w:r>
      <w:r>
        <w:rPr>
          <w:spacing w:val="-5"/>
          <w:sz w:val="24"/>
        </w:rPr>
        <w:t> </w:t>
      </w:r>
      <w:r>
        <w:rPr>
          <w:sz w:val="24"/>
        </w:rPr>
        <w:t>are</w:t>
      </w:r>
      <w:r>
        <w:rPr>
          <w:spacing w:val="-3"/>
          <w:sz w:val="24"/>
        </w:rPr>
        <w:t> </w:t>
      </w:r>
      <w:r>
        <w:rPr>
          <w:sz w:val="24"/>
        </w:rPr>
        <w:t>and</w:t>
      </w:r>
      <w:r>
        <w:rPr>
          <w:spacing w:val="-3"/>
          <w:sz w:val="24"/>
        </w:rPr>
        <w:t> </w:t>
      </w:r>
      <w:r>
        <w:rPr>
          <w:sz w:val="24"/>
        </w:rPr>
        <w:t>will</w:t>
      </w:r>
      <w:r>
        <w:rPr>
          <w:spacing w:val="-3"/>
          <w:sz w:val="24"/>
        </w:rPr>
        <w:t> </w:t>
      </w:r>
      <w:r>
        <w:rPr>
          <w:sz w:val="24"/>
        </w:rPr>
        <w:t>be</w:t>
      </w:r>
      <w:r>
        <w:rPr>
          <w:spacing w:val="-3"/>
          <w:sz w:val="24"/>
        </w:rPr>
        <w:t> </w:t>
      </w:r>
      <w:r>
        <w:rPr>
          <w:sz w:val="24"/>
        </w:rPr>
        <w:t>available</w:t>
      </w:r>
      <w:r>
        <w:rPr>
          <w:spacing w:val="-5"/>
          <w:sz w:val="24"/>
        </w:rPr>
        <w:t> </w:t>
      </w:r>
      <w:r>
        <w:rPr>
          <w:sz w:val="24"/>
        </w:rPr>
        <w:t>to</w:t>
      </w:r>
      <w:r>
        <w:rPr>
          <w:spacing w:val="-4"/>
          <w:sz w:val="24"/>
        </w:rPr>
        <w:t> </w:t>
      </w:r>
      <w:r>
        <w:rPr>
          <w:sz w:val="24"/>
        </w:rPr>
        <w:t>patients</w:t>
      </w:r>
      <w:r>
        <w:rPr>
          <w:spacing w:val="-5"/>
          <w:sz w:val="24"/>
        </w:rPr>
        <w:t> </w:t>
      </w:r>
      <w:r>
        <w:rPr>
          <w:sz w:val="24"/>
        </w:rPr>
        <w:t>to</w:t>
      </w:r>
      <w:r>
        <w:rPr>
          <w:spacing w:val="-5"/>
          <w:sz w:val="24"/>
        </w:rPr>
        <w:t> </w:t>
      </w:r>
      <w:r>
        <w:rPr>
          <w:sz w:val="24"/>
        </w:rPr>
        <w:t>ensure they</w:t>
      </w:r>
      <w:r>
        <w:rPr>
          <w:spacing w:val="-4"/>
          <w:sz w:val="24"/>
        </w:rPr>
        <w:t> </w:t>
      </w:r>
      <w:r>
        <w:rPr>
          <w:sz w:val="24"/>
        </w:rPr>
        <w:t>are</w:t>
      </w:r>
      <w:r>
        <w:rPr>
          <w:spacing w:val="-2"/>
          <w:sz w:val="24"/>
        </w:rPr>
        <w:t> </w:t>
      </w:r>
      <w:r>
        <w:rPr>
          <w:sz w:val="24"/>
        </w:rPr>
        <w:t>able</w:t>
      </w:r>
      <w:r>
        <w:rPr>
          <w:spacing w:val="-2"/>
          <w:sz w:val="24"/>
        </w:rPr>
        <w:t> </w:t>
      </w:r>
      <w:r>
        <w:rPr>
          <w:sz w:val="24"/>
        </w:rPr>
        <w:t>to</w:t>
      </w:r>
      <w:r>
        <w:rPr>
          <w:spacing w:val="-2"/>
          <w:sz w:val="24"/>
        </w:rPr>
        <w:t> </w:t>
      </w:r>
      <w:r>
        <w:rPr>
          <w:sz w:val="24"/>
        </w:rPr>
        <w:t>navigate</w:t>
      </w:r>
      <w:r>
        <w:rPr>
          <w:spacing w:val="-1"/>
          <w:sz w:val="24"/>
        </w:rPr>
        <w:t> </w:t>
      </w:r>
      <w:r>
        <w:rPr>
          <w:sz w:val="24"/>
        </w:rPr>
        <w:t>the</w:t>
      </w:r>
      <w:r>
        <w:rPr>
          <w:spacing w:val="-2"/>
          <w:sz w:val="24"/>
        </w:rPr>
        <w:t> </w:t>
      </w:r>
      <w:r>
        <w:rPr>
          <w:sz w:val="24"/>
        </w:rPr>
        <w:t>change,</w:t>
      </w:r>
      <w:r>
        <w:rPr>
          <w:spacing w:val="-4"/>
          <w:sz w:val="24"/>
        </w:rPr>
        <w:t> </w:t>
      </w:r>
      <w:r>
        <w:rPr>
          <w:sz w:val="24"/>
        </w:rPr>
        <w:t>and</w:t>
      </w:r>
      <w:r>
        <w:rPr>
          <w:spacing w:val="-4"/>
          <w:sz w:val="24"/>
        </w:rPr>
        <w:t> </w:t>
      </w:r>
      <w:r>
        <w:rPr>
          <w:sz w:val="24"/>
        </w:rPr>
        <w:t>answer</w:t>
      </w:r>
      <w:r>
        <w:rPr>
          <w:spacing w:val="-2"/>
          <w:sz w:val="24"/>
        </w:rPr>
        <w:t> </w:t>
      </w:r>
      <w:r>
        <w:rPr>
          <w:sz w:val="24"/>
        </w:rPr>
        <w:t>any</w:t>
      </w:r>
      <w:r>
        <w:rPr>
          <w:spacing w:val="-2"/>
          <w:sz w:val="24"/>
        </w:rPr>
        <w:t> </w:t>
      </w:r>
      <w:r>
        <w:rPr>
          <w:sz w:val="24"/>
        </w:rPr>
        <w:t>care</w:t>
      </w:r>
      <w:r>
        <w:rPr>
          <w:spacing w:val="-5"/>
          <w:sz w:val="24"/>
        </w:rPr>
        <w:t> </w:t>
      </w:r>
      <w:r>
        <w:rPr>
          <w:sz w:val="24"/>
        </w:rPr>
        <w:t>continuity</w:t>
      </w:r>
      <w:r>
        <w:rPr>
          <w:spacing w:val="-5"/>
          <w:sz w:val="24"/>
        </w:rPr>
        <w:t> </w:t>
      </w:r>
      <w:r>
        <w:rPr>
          <w:sz w:val="24"/>
        </w:rPr>
        <w:t>questions.</w:t>
      </w:r>
      <w:r>
        <w:rPr>
          <w:spacing w:val="-4"/>
          <w:sz w:val="24"/>
        </w:rPr>
        <w:t> </w:t>
      </w:r>
      <w:r>
        <w:rPr>
          <w:sz w:val="24"/>
        </w:rPr>
        <w:t>The Department requires that the Hospital provide additional details on how it intends to meet these continuity of care needs for current patients of the Hospital’s satellites both immediately prior to the satellites closing and once they have permanently closed. Specifically, the Department requests information on how continuity of care will be maintained for each service line and what resources will be available to patients who need assistance immediately and once the satellites have closed.</w:t>
      </w:r>
    </w:p>
    <w:p>
      <w:pPr>
        <w:pStyle w:val="ListParagraph"/>
        <w:numPr>
          <w:ilvl w:val="0"/>
          <w:numId w:val="1"/>
        </w:numPr>
        <w:tabs>
          <w:tab w:pos="1298" w:val="left" w:leader="none"/>
          <w:tab w:pos="1300" w:val="left" w:leader="none"/>
        </w:tabs>
        <w:spacing w:line="240" w:lineRule="auto" w:before="253" w:after="0"/>
        <w:ind w:left="1300" w:right="150" w:hanging="360"/>
        <w:jc w:val="left"/>
        <w:rPr>
          <w:sz w:val="24"/>
        </w:rPr>
      </w:pPr>
      <w:r>
        <w:rPr>
          <w:b/>
          <w:sz w:val="24"/>
        </w:rPr>
        <w:t>A Protocol that Describes how patients in the Hospital’s Service Area will Obtain</w:t>
      </w:r>
      <w:r>
        <w:rPr>
          <w:b/>
          <w:spacing w:val="-1"/>
          <w:sz w:val="24"/>
        </w:rPr>
        <w:t> </w:t>
      </w:r>
      <w:r>
        <w:rPr>
          <w:b/>
          <w:sz w:val="24"/>
        </w:rPr>
        <w:t>the</w:t>
      </w:r>
      <w:r>
        <w:rPr>
          <w:b/>
          <w:spacing w:val="-1"/>
          <w:sz w:val="24"/>
        </w:rPr>
        <w:t> </w:t>
      </w:r>
      <w:r>
        <w:rPr>
          <w:b/>
          <w:sz w:val="24"/>
        </w:rPr>
        <w:t>Services</w:t>
      </w:r>
      <w:r>
        <w:rPr>
          <w:b/>
          <w:spacing w:val="-2"/>
          <w:sz w:val="24"/>
        </w:rPr>
        <w:t> </w:t>
      </w:r>
      <w:r>
        <w:rPr>
          <w:b/>
          <w:sz w:val="24"/>
        </w:rPr>
        <w:t>at</w:t>
      </w:r>
      <w:r>
        <w:rPr>
          <w:b/>
          <w:spacing w:val="-1"/>
          <w:sz w:val="24"/>
        </w:rPr>
        <w:t> </w:t>
      </w:r>
      <w:r>
        <w:rPr>
          <w:b/>
          <w:sz w:val="24"/>
        </w:rPr>
        <w:t>Alternative</w:t>
      </w:r>
      <w:r>
        <w:rPr>
          <w:b/>
          <w:spacing w:val="-1"/>
          <w:sz w:val="24"/>
        </w:rPr>
        <w:t> </w:t>
      </w:r>
      <w:r>
        <w:rPr>
          <w:b/>
          <w:sz w:val="24"/>
        </w:rPr>
        <w:t>Delivery</w:t>
      </w:r>
      <w:r>
        <w:rPr>
          <w:b/>
          <w:spacing w:val="-2"/>
          <w:sz w:val="24"/>
        </w:rPr>
        <w:t> </w:t>
      </w:r>
      <w:r>
        <w:rPr>
          <w:b/>
          <w:sz w:val="24"/>
        </w:rPr>
        <w:t>Sites:</w:t>
      </w:r>
      <w:r>
        <w:rPr>
          <w:b/>
          <w:spacing w:val="40"/>
          <w:sz w:val="24"/>
        </w:rPr>
        <w:t> </w:t>
      </w:r>
      <w:r>
        <w:rPr>
          <w:sz w:val="24"/>
        </w:rPr>
        <w:t>Based</w:t>
      </w:r>
      <w:r>
        <w:rPr>
          <w:spacing w:val="-1"/>
          <w:sz w:val="24"/>
        </w:rPr>
        <w:t> </w:t>
      </w:r>
      <w:r>
        <w:rPr>
          <w:sz w:val="24"/>
        </w:rPr>
        <w:t>on</w:t>
      </w:r>
      <w:r>
        <w:rPr>
          <w:spacing w:val="-1"/>
          <w:sz w:val="24"/>
        </w:rPr>
        <w:t> </w:t>
      </w:r>
      <w:r>
        <w:rPr>
          <w:sz w:val="24"/>
        </w:rPr>
        <w:t>testimony</w:t>
      </w:r>
      <w:r>
        <w:rPr>
          <w:spacing w:val="-4"/>
          <w:sz w:val="24"/>
        </w:rPr>
        <w:t> </w:t>
      </w:r>
      <w:r>
        <w:rPr>
          <w:sz w:val="24"/>
        </w:rPr>
        <w:t>presented at the hearings on October 21, 2024 and October 22, 2024, community leaders, patients,</w:t>
      </w:r>
      <w:r>
        <w:rPr>
          <w:spacing w:val="-5"/>
          <w:sz w:val="24"/>
        </w:rPr>
        <w:t> </w:t>
      </w:r>
      <w:r>
        <w:rPr>
          <w:sz w:val="24"/>
        </w:rPr>
        <w:t>and</w:t>
      </w:r>
      <w:r>
        <w:rPr>
          <w:spacing w:val="-5"/>
          <w:sz w:val="24"/>
        </w:rPr>
        <w:t> </w:t>
      </w:r>
      <w:r>
        <w:rPr>
          <w:sz w:val="24"/>
        </w:rPr>
        <w:t>staff</w:t>
      </w:r>
      <w:r>
        <w:rPr>
          <w:spacing w:val="-3"/>
          <w:sz w:val="24"/>
        </w:rPr>
        <w:t> </w:t>
      </w:r>
      <w:r>
        <w:rPr>
          <w:sz w:val="24"/>
        </w:rPr>
        <w:t>are</w:t>
      </w:r>
      <w:r>
        <w:rPr>
          <w:spacing w:val="-5"/>
          <w:sz w:val="24"/>
        </w:rPr>
        <w:t> </w:t>
      </w:r>
      <w:r>
        <w:rPr>
          <w:sz w:val="24"/>
        </w:rPr>
        <w:t>concerned</w:t>
      </w:r>
      <w:r>
        <w:rPr>
          <w:spacing w:val="-5"/>
          <w:sz w:val="24"/>
        </w:rPr>
        <w:t> </w:t>
      </w:r>
      <w:r>
        <w:rPr>
          <w:sz w:val="24"/>
        </w:rPr>
        <w:t>about</w:t>
      </w:r>
      <w:r>
        <w:rPr>
          <w:spacing w:val="-5"/>
          <w:sz w:val="24"/>
        </w:rPr>
        <w:t> </w:t>
      </w:r>
      <w:r>
        <w:rPr>
          <w:sz w:val="24"/>
        </w:rPr>
        <w:t>how</w:t>
      </w:r>
      <w:r>
        <w:rPr>
          <w:spacing w:val="-3"/>
          <w:sz w:val="24"/>
        </w:rPr>
        <w:t> </w:t>
      </w:r>
      <w:r>
        <w:rPr>
          <w:sz w:val="24"/>
        </w:rPr>
        <w:t>they</w:t>
      </w:r>
      <w:r>
        <w:rPr>
          <w:spacing w:val="-3"/>
          <w:sz w:val="24"/>
        </w:rPr>
        <w:t> </w:t>
      </w:r>
      <w:r>
        <w:rPr>
          <w:sz w:val="24"/>
        </w:rPr>
        <w:t>will</w:t>
      </w:r>
      <w:r>
        <w:rPr>
          <w:spacing w:val="-3"/>
          <w:sz w:val="24"/>
        </w:rPr>
        <w:t> </w:t>
      </w:r>
      <w:r>
        <w:rPr>
          <w:sz w:val="24"/>
        </w:rPr>
        <w:t>obtain</w:t>
      </w:r>
      <w:r>
        <w:rPr>
          <w:spacing w:val="-3"/>
          <w:sz w:val="24"/>
        </w:rPr>
        <w:t> </w:t>
      </w:r>
      <w:r>
        <w:rPr>
          <w:sz w:val="24"/>
        </w:rPr>
        <w:t>services</w:t>
      </w:r>
      <w:r>
        <w:rPr>
          <w:spacing w:val="-6"/>
          <w:sz w:val="24"/>
        </w:rPr>
        <w:t> </w:t>
      </w:r>
      <w:r>
        <w:rPr>
          <w:sz w:val="24"/>
        </w:rPr>
        <w:t>that</w:t>
      </w:r>
      <w:r>
        <w:rPr>
          <w:spacing w:val="-5"/>
          <w:sz w:val="24"/>
        </w:rPr>
        <w:t> </w:t>
      </w:r>
      <w:r>
        <w:rPr>
          <w:sz w:val="24"/>
        </w:rPr>
        <w:t>are</w:t>
      </w:r>
      <w:r>
        <w:rPr>
          <w:spacing w:val="-3"/>
          <w:sz w:val="24"/>
        </w:rPr>
        <w:t> </w:t>
      </w:r>
      <w:r>
        <w:rPr>
          <w:sz w:val="24"/>
        </w:rPr>
        <w:t>closing immediately, and post closure. In your response received October 21, 2024, you indicated that patients will be referred to their Primary Care or Specialty provider to assist with rescheduling needed for services at alternative sites. The Department is concerned that patients are not receiving the necessary support to arrange ongoing services elsewhere. The Department requests</w:t>
      </w:r>
      <w:r>
        <w:rPr>
          <w:spacing w:val="-2"/>
          <w:sz w:val="24"/>
        </w:rPr>
        <w:t> </w:t>
      </w:r>
      <w:r>
        <w:rPr>
          <w:sz w:val="24"/>
        </w:rPr>
        <w:t>information</w:t>
      </w:r>
      <w:r>
        <w:rPr>
          <w:spacing w:val="-2"/>
          <w:sz w:val="24"/>
        </w:rPr>
        <w:t> </w:t>
      </w:r>
      <w:r>
        <w:rPr>
          <w:sz w:val="24"/>
        </w:rPr>
        <w:t>on</w:t>
      </w:r>
      <w:r>
        <w:rPr>
          <w:spacing w:val="-2"/>
          <w:sz w:val="24"/>
        </w:rPr>
        <w:t> </w:t>
      </w:r>
      <w:r>
        <w:rPr>
          <w:sz w:val="24"/>
        </w:rPr>
        <w:t>steps the Hospital has proactively taken to assist patients in obtaining services at alternative delivery sites, including how the hospital will immediately communicate support to their patients and</w:t>
      </w:r>
      <w:r>
        <w:rPr>
          <w:spacing w:val="-1"/>
          <w:sz w:val="24"/>
        </w:rPr>
        <w:t> </w:t>
      </w:r>
      <w:r>
        <w:rPr>
          <w:sz w:val="24"/>
        </w:rPr>
        <w:t>the</w:t>
      </w:r>
      <w:r>
        <w:rPr>
          <w:spacing w:val="-1"/>
          <w:sz w:val="24"/>
        </w:rPr>
        <w:t> </w:t>
      </w:r>
      <w:r>
        <w:rPr>
          <w:sz w:val="24"/>
        </w:rPr>
        <w:t>community, including but</w:t>
      </w:r>
      <w:r>
        <w:rPr>
          <w:spacing w:val="-1"/>
          <w:sz w:val="24"/>
        </w:rPr>
        <w:t> </w:t>
      </w:r>
      <w:r>
        <w:rPr>
          <w:sz w:val="24"/>
        </w:rPr>
        <w:t>not</w:t>
      </w:r>
      <w:r>
        <w:rPr>
          <w:spacing w:val="-1"/>
          <w:sz w:val="24"/>
        </w:rPr>
        <w:t> </w:t>
      </w:r>
      <w:r>
        <w:rPr>
          <w:sz w:val="24"/>
        </w:rPr>
        <w:t>limited to how</w:t>
      </w:r>
      <w:r>
        <w:rPr>
          <w:spacing w:val="-2"/>
          <w:sz w:val="24"/>
        </w:rPr>
        <w:t> </w:t>
      </w:r>
      <w:r>
        <w:rPr>
          <w:sz w:val="24"/>
        </w:rPr>
        <w:t>to access the</w:t>
      </w:r>
      <w:r>
        <w:rPr>
          <w:spacing w:val="-1"/>
          <w:sz w:val="24"/>
        </w:rPr>
        <w:t> </w:t>
      </w:r>
      <w:r>
        <w:rPr>
          <w:sz w:val="24"/>
        </w:rPr>
        <w:t>patient</w:t>
      </w:r>
      <w:r>
        <w:rPr>
          <w:spacing w:val="-1"/>
          <w:sz w:val="24"/>
        </w:rPr>
        <w:t> </w:t>
      </w:r>
      <w:r>
        <w:rPr>
          <w:sz w:val="24"/>
        </w:rPr>
        <w:t>assistance </w:t>
      </w:r>
      <w:r>
        <w:rPr>
          <w:spacing w:val="-2"/>
          <w:sz w:val="24"/>
        </w:rPr>
        <w:t>line.</w:t>
      </w:r>
    </w:p>
    <w:p>
      <w:pPr>
        <w:pStyle w:val="BodyText"/>
        <w:spacing w:before="1"/>
      </w:pPr>
    </w:p>
    <w:p>
      <w:pPr>
        <w:pStyle w:val="ListParagraph"/>
        <w:numPr>
          <w:ilvl w:val="0"/>
          <w:numId w:val="1"/>
        </w:numPr>
        <w:tabs>
          <w:tab w:pos="1298" w:val="left" w:leader="none"/>
          <w:tab w:pos="1300" w:val="left" w:leader="none"/>
        </w:tabs>
        <w:spacing w:line="240" w:lineRule="auto" w:before="0" w:after="0"/>
        <w:ind w:left="1300" w:right="102" w:hanging="360"/>
        <w:jc w:val="left"/>
        <w:rPr>
          <w:sz w:val="24"/>
        </w:rPr>
      </w:pPr>
      <w:r>
        <w:rPr>
          <w:b/>
          <w:sz w:val="24"/>
        </w:rPr>
        <w:t>Public Outreach: </w:t>
      </w:r>
      <w:r>
        <w:rPr>
          <w:sz w:val="24"/>
        </w:rPr>
        <w:t>At the hearings on October 21, 2024 and October 22, 2024, members</w:t>
      </w:r>
      <w:r>
        <w:rPr>
          <w:spacing w:val="-3"/>
          <w:sz w:val="24"/>
        </w:rPr>
        <w:t> </w:t>
      </w:r>
      <w:r>
        <w:rPr>
          <w:sz w:val="24"/>
        </w:rPr>
        <w:t>of</w:t>
      </w:r>
      <w:r>
        <w:rPr>
          <w:spacing w:val="-3"/>
          <w:sz w:val="24"/>
        </w:rPr>
        <w:t> </w:t>
      </w:r>
      <w:r>
        <w:rPr>
          <w:sz w:val="24"/>
        </w:rPr>
        <w:t>the</w:t>
      </w:r>
      <w:r>
        <w:rPr>
          <w:spacing w:val="-5"/>
          <w:sz w:val="24"/>
        </w:rPr>
        <w:t> </w:t>
      </w:r>
      <w:r>
        <w:rPr>
          <w:sz w:val="24"/>
        </w:rPr>
        <w:t>public raised</w:t>
      </w:r>
      <w:r>
        <w:rPr>
          <w:spacing w:val="-2"/>
          <w:sz w:val="24"/>
        </w:rPr>
        <w:t> </w:t>
      </w:r>
      <w:r>
        <w:rPr>
          <w:sz w:val="24"/>
        </w:rPr>
        <w:t>concerns</w:t>
      </w:r>
      <w:r>
        <w:rPr>
          <w:spacing w:val="-3"/>
          <w:sz w:val="24"/>
        </w:rPr>
        <w:t> </w:t>
      </w:r>
      <w:r>
        <w:rPr>
          <w:sz w:val="24"/>
        </w:rPr>
        <w:t>regarding</w:t>
      </w:r>
      <w:r>
        <w:rPr>
          <w:spacing w:val="-1"/>
          <w:sz w:val="24"/>
        </w:rPr>
        <w:t> </w:t>
      </w:r>
      <w:r>
        <w:rPr>
          <w:sz w:val="24"/>
        </w:rPr>
        <w:t>an</w:t>
      </w:r>
      <w:r>
        <w:rPr>
          <w:spacing w:val="-3"/>
          <w:sz w:val="24"/>
        </w:rPr>
        <w:t> </w:t>
      </w:r>
      <w:r>
        <w:rPr>
          <w:sz w:val="24"/>
        </w:rPr>
        <w:t>overall</w:t>
      </w:r>
      <w:r>
        <w:rPr>
          <w:spacing w:val="-4"/>
          <w:sz w:val="24"/>
        </w:rPr>
        <w:t> </w:t>
      </w:r>
      <w:r>
        <w:rPr>
          <w:sz w:val="24"/>
        </w:rPr>
        <w:t>lack</w:t>
      </w:r>
      <w:r>
        <w:rPr>
          <w:spacing w:val="-3"/>
          <w:sz w:val="24"/>
        </w:rPr>
        <w:t> </w:t>
      </w:r>
      <w:r>
        <w:rPr>
          <w:sz w:val="24"/>
        </w:rPr>
        <w:t>of</w:t>
      </w:r>
      <w:r>
        <w:rPr>
          <w:spacing w:val="-5"/>
          <w:sz w:val="24"/>
        </w:rPr>
        <w:t> </w:t>
      </w:r>
      <w:r>
        <w:rPr>
          <w:sz w:val="24"/>
        </w:rPr>
        <w:t>transparency</w:t>
      </w:r>
      <w:r>
        <w:rPr>
          <w:spacing w:val="-5"/>
          <w:sz w:val="24"/>
        </w:rPr>
        <w:t> </w:t>
      </w:r>
      <w:r>
        <w:rPr>
          <w:sz w:val="24"/>
        </w:rPr>
        <w:t>and information provided to patients, staff, local officials from affected communities, and elected officials. The Department requests information on what steps have been taken to keep all stakeholders informed of the pending closures and the resources that will be available to them post-closure.</w:t>
      </w:r>
    </w:p>
    <w:p>
      <w:pPr>
        <w:pStyle w:val="BodyText"/>
        <w:spacing w:before="1"/>
      </w:pPr>
    </w:p>
    <w:p>
      <w:pPr>
        <w:pStyle w:val="ListParagraph"/>
        <w:numPr>
          <w:ilvl w:val="0"/>
          <w:numId w:val="1"/>
        </w:numPr>
        <w:tabs>
          <w:tab w:pos="1298" w:val="left" w:leader="none"/>
          <w:tab w:pos="1300" w:val="left" w:leader="none"/>
        </w:tabs>
        <w:spacing w:line="240" w:lineRule="auto" w:before="0" w:after="0"/>
        <w:ind w:left="1300" w:right="220" w:hanging="360"/>
        <w:jc w:val="left"/>
        <w:rPr>
          <w:sz w:val="24"/>
        </w:rPr>
      </w:pPr>
      <w:r>
        <w:rPr>
          <w:b/>
          <w:sz w:val="24"/>
        </w:rPr>
        <w:t>Staff Impacts: </w:t>
      </w:r>
      <w:r>
        <w:rPr>
          <w:sz w:val="24"/>
        </w:rPr>
        <w:t>In the Plan submitted to the Department on October 21, 2024, you indicated</w:t>
      </w:r>
      <w:r>
        <w:rPr>
          <w:spacing w:val="-2"/>
          <w:sz w:val="24"/>
        </w:rPr>
        <w:t> </w:t>
      </w:r>
      <w:r>
        <w:rPr>
          <w:sz w:val="24"/>
        </w:rPr>
        <w:t>steps</w:t>
      </w:r>
      <w:r>
        <w:rPr>
          <w:spacing w:val="-3"/>
          <w:sz w:val="24"/>
        </w:rPr>
        <w:t> </w:t>
      </w:r>
      <w:r>
        <w:rPr>
          <w:sz w:val="24"/>
        </w:rPr>
        <w:t>were</w:t>
      </w:r>
      <w:r>
        <w:rPr>
          <w:spacing w:val="-5"/>
          <w:sz w:val="24"/>
        </w:rPr>
        <w:t> </w:t>
      </w:r>
      <w:r>
        <w:rPr>
          <w:sz w:val="24"/>
        </w:rPr>
        <w:t>taken</w:t>
      </w:r>
      <w:r>
        <w:rPr>
          <w:spacing w:val="-3"/>
          <w:sz w:val="24"/>
        </w:rPr>
        <w:t> </w:t>
      </w:r>
      <w:r>
        <w:rPr>
          <w:sz w:val="24"/>
        </w:rPr>
        <w:t>to</w:t>
      </w:r>
      <w:r>
        <w:rPr>
          <w:spacing w:val="-3"/>
          <w:sz w:val="24"/>
        </w:rPr>
        <w:t> </w:t>
      </w:r>
      <w:r>
        <w:rPr>
          <w:sz w:val="24"/>
        </w:rPr>
        <w:t>notify</w:t>
      </w:r>
      <w:r>
        <w:rPr>
          <w:spacing w:val="-3"/>
          <w:sz w:val="24"/>
        </w:rPr>
        <w:t> </w:t>
      </w:r>
      <w:r>
        <w:rPr>
          <w:sz w:val="24"/>
        </w:rPr>
        <w:t>employees</w:t>
      </w:r>
      <w:r>
        <w:rPr>
          <w:spacing w:val="-3"/>
          <w:sz w:val="24"/>
        </w:rPr>
        <w:t> </w:t>
      </w:r>
      <w:r>
        <w:rPr>
          <w:sz w:val="24"/>
        </w:rPr>
        <w:t>of</w:t>
      </w:r>
      <w:r>
        <w:rPr>
          <w:spacing w:val="-3"/>
          <w:sz w:val="24"/>
        </w:rPr>
        <w:t> </w:t>
      </w:r>
      <w:r>
        <w:rPr>
          <w:sz w:val="24"/>
        </w:rPr>
        <w:t>the</w:t>
      </w:r>
      <w:r>
        <w:rPr>
          <w:spacing w:val="-3"/>
          <w:sz w:val="24"/>
        </w:rPr>
        <w:t> </w:t>
      </w:r>
      <w:r>
        <w:rPr>
          <w:sz w:val="24"/>
        </w:rPr>
        <w:t>closure and</w:t>
      </w:r>
      <w:r>
        <w:rPr>
          <w:spacing w:val="-5"/>
          <w:sz w:val="24"/>
        </w:rPr>
        <w:t> </w:t>
      </w:r>
      <w:r>
        <w:rPr>
          <w:sz w:val="24"/>
        </w:rPr>
        <w:t>assist</w:t>
      </w:r>
      <w:r>
        <w:rPr>
          <w:spacing w:val="-2"/>
          <w:sz w:val="24"/>
        </w:rPr>
        <w:t> </w:t>
      </w:r>
      <w:r>
        <w:rPr>
          <w:sz w:val="24"/>
        </w:rPr>
        <w:t>with</w:t>
      </w:r>
      <w:r>
        <w:rPr>
          <w:spacing w:val="-2"/>
          <w:sz w:val="24"/>
        </w:rPr>
        <w:t> </w:t>
      </w:r>
      <w:r>
        <w:rPr>
          <w:sz w:val="24"/>
        </w:rPr>
        <w:t>career and job support during the closure periods. This includes a virtual town hall for employees on October 18, 2024, and additionally as needed. Based on testimony provided at the hearing on October 21, 2024, employees have had minimal</w:t>
      </w:r>
    </w:p>
    <w:p>
      <w:pPr>
        <w:spacing w:after="0" w:line="240" w:lineRule="auto"/>
        <w:jc w:val="left"/>
        <w:rPr>
          <w:sz w:val="24"/>
        </w:rPr>
        <w:sectPr>
          <w:pgSz w:w="12240" w:h="15840"/>
          <w:pgMar w:header="728" w:footer="0" w:top="980" w:bottom="280" w:left="860" w:right="980"/>
        </w:sectPr>
      </w:pPr>
    </w:p>
    <w:p>
      <w:pPr>
        <w:pStyle w:val="BodyText"/>
        <w:spacing w:before="168"/>
      </w:pPr>
    </w:p>
    <w:p>
      <w:pPr>
        <w:pStyle w:val="BodyText"/>
        <w:tabs>
          <w:tab w:pos="2622" w:val="left" w:leader="none"/>
        </w:tabs>
        <w:ind w:left="1300" w:right="115"/>
      </w:pPr>
      <w:r>
        <w:rPr/>
        <w:t>communication</w:t>
      </w:r>
      <w:r>
        <w:rPr>
          <w:spacing w:val="-5"/>
        </w:rPr>
        <w:t> </w:t>
      </w:r>
      <w:r>
        <w:rPr/>
        <w:t>from</w:t>
      </w:r>
      <w:r>
        <w:rPr>
          <w:spacing w:val="-3"/>
        </w:rPr>
        <w:t> </w:t>
      </w:r>
      <w:r>
        <w:rPr/>
        <w:t>the</w:t>
      </w:r>
      <w:r>
        <w:rPr>
          <w:spacing w:val="-4"/>
        </w:rPr>
        <w:t> </w:t>
      </w:r>
      <w:r>
        <w:rPr/>
        <w:t>Hospital</w:t>
      </w:r>
      <w:r>
        <w:rPr>
          <w:spacing w:val="-1"/>
        </w:rPr>
        <w:t> </w:t>
      </w:r>
      <w:r>
        <w:rPr/>
        <w:t>regarding</w:t>
      </w:r>
      <w:r>
        <w:rPr>
          <w:spacing w:val="-4"/>
        </w:rPr>
        <w:t> </w:t>
      </w:r>
      <w:r>
        <w:rPr/>
        <w:t>the</w:t>
      </w:r>
      <w:r>
        <w:rPr>
          <w:spacing w:val="-4"/>
        </w:rPr>
        <w:t> </w:t>
      </w:r>
      <w:r>
        <w:rPr/>
        <w:t>closure,</w:t>
      </w:r>
      <w:r>
        <w:rPr>
          <w:spacing w:val="-6"/>
        </w:rPr>
        <w:t> </w:t>
      </w:r>
      <w:r>
        <w:rPr/>
        <w:t>including</w:t>
      </w:r>
      <w:r>
        <w:rPr>
          <w:spacing w:val="-3"/>
        </w:rPr>
        <w:t> </w:t>
      </w:r>
      <w:r>
        <w:rPr/>
        <w:t>when</w:t>
      </w:r>
      <w:r>
        <w:rPr>
          <w:spacing w:val="-4"/>
        </w:rPr>
        <w:t> </w:t>
      </w:r>
      <w:r>
        <w:rPr/>
        <w:t>their</w:t>
      </w:r>
      <w:r>
        <w:rPr>
          <w:spacing w:val="-6"/>
        </w:rPr>
        <w:t> </w:t>
      </w:r>
      <w:r>
        <w:rPr/>
        <w:t>benefits will expire.</w:t>
        <w:tab/>
        <w:t>The Department requests information on the protocol of how and when another staff town hall will be held, and what additional, immediate steps will be taken</w:t>
      </w:r>
      <w:r>
        <w:rPr>
          <w:spacing w:val="-4"/>
        </w:rPr>
        <w:t> </w:t>
      </w:r>
      <w:r>
        <w:rPr/>
        <w:t>to</w:t>
      </w:r>
      <w:r>
        <w:rPr>
          <w:spacing w:val="-4"/>
        </w:rPr>
        <w:t> </w:t>
      </w:r>
      <w:r>
        <w:rPr/>
        <w:t>ensure</w:t>
      </w:r>
      <w:r>
        <w:rPr>
          <w:spacing w:val="-2"/>
        </w:rPr>
        <w:t> </w:t>
      </w:r>
      <w:r>
        <w:rPr/>
        <w:t>that</w:t>
      </w:r>
      <w:r>
        <w:rPr>
          <w:spacing w:val="-2"/>
        </w:rPr>
        <w:t> </w:t>
      </w:r>
      <w:r>
        <w:rPr/>
        <w:t>Hospital</w:t>
      </w:r>
      <w:r>
        <w:rPr>
          <w:spacing w:val="-5"/>
        </w:rPr>
        <w:t> </w:t>
      </w:r>
      <w:r>
        <w:rPr/>
        <w:t>employees</w:t>
      </w:r>
      <w:r>
        <w:rPr>
          <w:spacing w:val="-2"/>
        </w:rPr>
        <w:t> </w:t>
      </w:r>
      <w:r>
        <w:rPr/>
        <w:t>have</w:t>
      </w:r>
      <w:r>
        <w:rPr>
          <w:spacing w:val="-2"/>
        </w:rPr>
        <w:t> </w:t>
      </w:r>
      <w:r>
        <w:rPr/>
        <w:t>the</w:t>
      </w:r>
      <w:r>
        <w:rPr>
          <w:spacing w:val="-2"/>
        </w:rPr>
        <w:t> </w:t>
      </w:r>
      <w:r>
        <w:rPr/>
        <w:t>information</w:t>
      </w:r>
      <w:r>
        <w:rPr>
          <w:spacing w:val="-4"/>
        </w:rPr>
        <w:t> </w:t>
      </w:r>
      <w:r>
        <w:rPr/>
        <w:t>and</w:t>
      </w:r>
      <w:r>
        <w:rPr>
          <w:spacing w:val="-4"/>
        </w:rPr>
        <w:t> </w:t>
      </w:r>
      <w:r>
        <w:rPr/>
        <w:t>support</w:t>
      </w:r>
      <w:r>
        <w:rPr>
          <w:spacing w:val="-2"/>
        </w:rPr>
        <w:t> </w:t>
      </w:r>
      <w:r>
        <w:rPr/>
        <w:t>they</w:t>
      </w:r>
      <w:r>
        <w:rPr>
          <w:spacing w:val="-2"/>
        </w:rPr>
        <w:t> </w:t>
      </w:r>
      <w:r>
        <w:rPr/>
        <w:t>need going forward.</w:t>
      </w:r>
    </w:p>
    <w:p>
      <w:pPr>
        <w:pStyle w:val="BodyText"/>
      </w:pPr>
    </w:p>
    <w:p>
      <w:pPr>
        <w:pStyle w:val="ListParagraph"/>
        <w:numPr>
          <w:ilvl w:val="0"/>
          <w:numId w:val="1"/>
        </w:numPr>
        <w:tabs>
          <w:tab w:pos="1298" w:val="left" w:leader="none"/>
          <w:tab w:pos="1300" w:val="left" w:leader="none"/>
        </w:tabs>
        <w:spacing w:line="240" w:lineRule="auto" w:before="0" w:after="0"/>
        <w:ind w:left="1300" w:right="167" w:hanging="360"/>
        <w:jc w:val="left"/>
        <w:rPr>
          <w:sz w:val="24"/>
        </w:rPr>
      </w:pPr>
      <w:r>
        <w:rPr>
          <w:b/>
          <w:sz w:val="24"/>
        </w:rPr>
        <w:t>Communication Plan for Patients</w:t>
      </w:r>
      <w:r>
        <w:rPr>
          <w:sz w:val="24"/>
        </w:rPr>
        <w:t>: In the Plan submitted to the Department on October 21, 2024, you stated letters would be sent to all current patients of the Hospital</w:t>
      </w:r>
      <w:r>
        <w:rPr>
          <w:spacing w:val="-3"/>
          <w:sz w:val="24"/>
        </w:rPr>
        <w:t> </w:t>
      </w:r>
      <w:r>
        <w:rPr>
          <w:sz w:val="24"/>
        </w:rPr>
        <w:t>satellites</w:t>
      </w:r>
      <w:r>
        <w:rPr>
          <w:spacing w:val="-1"/>
          <w:sz w:val="24"/>
        </w:rPr>
        <w:t> </w:t>
      </w:r>
      <w:r>
        <w:rPr>
          <w:sz w:val="24"/>
        </w:rPr>
        <w:t>and</w:t>
      </w:r>
      <w:r>
        <w:rPr>
          <w:spacing w:val="-5"/>
          <w:sz w:val="24"/>
        </w:rPr>
        <w:t> </w:t>
      </w:r>
      <w:r>
        <w:rPr>
          <w:sz w:val="24"/>
        </w:rPr>
        <w:t>that</w:t>
      </w:r>
      <w:r>
        <w:rPr>
          <w:spacing w:val="-5"/>
          <w:sz w:val="24"/>
        </w:rPr>
        <w:t> </w:t>
      </w:r>
      <w:r>
        <w:rPr>
          <w:sz w:val="24"/>
        </w:rPr>
        <w:t>there</w:t>
      </w:r>
      <w:r>
        <w:rPr>
          <w:spacing w:val="-6"/>
          <w:sz w:val="24"/>
        </w:rPr>
        <w:t> </w:t>
      </w:r>
      <w:r>
        <w:rPr>
          <w:sz w:val="24"/>
        </w:rPr>
        <w:t>would</w:t>
      </w:r>
      <w:r>
        <w:rPr>
          <w:spacing w:val="-5"/>
          <w:sz w:val="24"/>
        </w:rPr>
        <w:t> </w:t>
      </w:r>
      <w:r>
        <w:rPr>
          <w:sz w:val="24"/>
        </w:rPr>
        <w:t>be</w:t>
      </w:r>
      <w:r>
        <w:rPr>
          <w:spacing w:val="-5"/>
          <w:sz w:val="24"/>
        </w:rPr>
        <w:t> </w:t>
      </w:r>
      <w:r>
        <w:rPr>
          <w:sz w:val="24"/>
        </w:rPr>
        <w:t>a</w:t>
      </w:r>
      <w:r>
        <w:rPr>
          <w:spacing w:val="-4"/>
          <w:sz w:val="24"/>
        </w:rPr>
        <w:t> </w:t>
      </w:r>
      <w:r>
        <w:rPr>
          <w:sz w:val="24"/>
        </w:rPr>
        <w:t>patient</w:t>
      </w:r>
      <w:r>
        <w:rPr>
          <w:spacing w:val="-5"/>
          <w:sz w:val="24"/>
        </w:rPr>
        <w:t> </w:t>
      </w:r>
      <w:r>
        <w:rPr>
          <w:sz w:val="24"/>
        </w:rPr>
        <w:t>assistance</w:t>
      </w:r>
      <w:r>
        <w:rPr>
          <w:spacing w:val="-3"/>
          <w:sz w:val="24"/>
        </w:rPr>
        <w:t> </w:t>
      </w:r>
      <w:r>
        <w:rPr>
          <w:sz w:val="24"/>
        </w:rPr>
        <w:t>line</w:t>
      </w:r>
      <w:r>
        <w:rPr>
          <w:spacing w:val="-3"/>
          <w:sz w:val="24"/>
        </w:rPr>
        <w:t> </w:t>
      </w:r>
      <w:r>
        <w:rPr>
          <w:sz w:val="24"/>
        </w:rPr>
        <w:t>staffed</w:t>
      </w:r>
      <w:r>
        <w:rPr>
          <w:spacing w:val="-3"/>
          <w:sz w:val="24"/>
        </w:rPr>
        <w:t> </w:t>
      </w:r>
      <w:r>
        <w:rPr>
          <w:sz w:val="24"/>
        </w:rPr>
        <w:t>Monday - Friday 7:00 AM – 7:00 PM. The Department requests additional information on if/when these letters were sent out, copies of the letter template for each patient letter sent, the actual patient assistance line number, and how long the patient assistance line will be available.</w:t>
      </w:r>
    </w:p>
    <w:p>
      <w:pPr>
        <w:pStyle w:val="BodyText"/>
        <w:spacing w:before="1"/>
      </w:pPr>
    </w:p>
    <w:p>
      <w:pPr>
        <w:pStyle w:val="ListParagraph"/>
        <w:numPr>
          <w:ilvl w:val="0"/>
          <w:numId w:val="1"/>
        </w:numPr>
        <w:tabs>
          <w:tab w:pos="1297" w:val="left" w:leader="none"/>
          <w:tab w:pos="1300" w:val="left" w:leader="none"/>
        </w:tabs>
        <w:spacing w:line="240" w:lineRule="auto" w:before="0" w:after="0"/>
        <w:ind w:left="1300" w:right="128" w:hanging="360"/>
        <w:jc w:val="left"/>
        <w:rPr>
          <w:sz w:val="24"/>
        </w:rPr>
      </w:pPr>
      <w:r>
        <w:rPr>
          <w:b/>
          <w:sz w:val="24"/>
        </w:rPr>
        <w:t>Timeline and Communication Post-Closure</w:t>
      </w:r>
      <w:r>
        <w:rPr>
          <w:sz w:val="24"/>
        </w:rPr>
        <w:t>: The Department requests a timeline for the total closure and decommissioning of the partially completed Hospital and its four</w:t>
      </w:r>
      <w:r>
        <w:rPr>
          <w:spacing w:val="-3"/>
          <w:sz w:val="24"/>
        </w:rPr>
        <w:t> </w:t>
      </w:r>
      <w:r>
        <w:rPr>
          <w:sz w:val="24"/>
        </w:rPr>
        <w:t>(4)</w:t>
      </w:r>
      <w:r>
        <w:rPr>
          <w:spacing w:val="-3"/>
          <w:sz w:val="24"/>
        </w:rPr>
        <w:t> </w:t>
      </w:r>
      <w:r>
        <w:rPr>
          <w:sz w:val="24"/>
        </w:rPr>
        <w:t>satellites</w:t>
      </w:r>
      <w:r>
        <w:rPr>
          <w:spacing w:val="-2"/>
          <w:sz w:val="24"/>
        </w:rPr>
        <w:t> </w:t>
      </w:r>
      <w:r>
        <w:rPr>
          <w:sz w:val="24"/>
        </w:rPr>
        <w:t>after</w:t>
      </w:r>
      <w:r>
        <w:rPr>
          <w:spacing w:val="-6"/>
          <w:sz w:val="24"/>
        </w:rPr>
        <w:t> </w:t>
      </w:r>
      <w:r>
        <w:rPr>
          <w:sz w:val="24"/>
        </w:rPr>
        <w:t>November</w:t>
      </w:r>
      <w:r>
        <w:rPr>
          <w:spacing w:val="-3"/>
          <w:sz w:val="24"/>
        </w:rPr>
        <w:t> </w:t>
      </w:r>
      <w:r>
        <w:rPr>
          <w:sz w:val="24"/>
        </w:rPr>
        <w:t>5,</w:t>
      </w:r>
      <w:r>
        <w:rPr>
          <w:spacing w:val="-5"/>
          <w:sz w:val="24"/>
        </w:rPr>
        <w:t> </w:t>
      </w:r>
      <w:r>
        <w:rPr>
          <w:sz w:val="24"/>
        </w:rPr>
        <w:t>2024</w:t>
      </w:r>
      <w:r>
        <w:rPr>
          <w:b/>
          <w:sz w:val="24"/>
        </w:rPr>
        <w:t>.</w:t>
      </w:r>
      <w:r>
        <w:rPr>
          <w:b/>
          <w:spacing w:val="40"/>
          <w:sz w:val="24"/>
        </w:rPr>
        <w:t> </w:t>
      </w:r>
      <w:r>
        <w:rPr>
          <w:sz w:val="24"/>
        </w:rPr>
        <w:t>Additionally,</w:t>
      </w:r>
      <w:r>
        <w:rPr>
          <w:spacing w:val="-2"/>
          <w:sz w:val="24"/>
        </w:rPr>
        <w:t> </w:t>
      </w:r>
      <w:r>
        <w:rPr>
          <w:sz w:val="24"/>
        </w:rPr>
        <w:t>the</w:t>
      </w:r>
      <w:r>
        <w:rPr>
          <w:spacing w:val="-3"/>
          <w:sz w:val="24"/>
        </w:rPr>
        <w:t> </w:t>
      </w:r>
      <w:r>
        <w:rPr>
          <w:sz w:val="24"/>
        </w:rPr>
        <w:t>Department</w:t>
      </w:r>
      <w:r>
        <w:rPr>
          <w:spacing w:val="-3"/>
          <w:sz w:val="24"/>
        </w:rPr>
        <w:t> </w:t>
      </w:r>
      <w:r>
        <w:rPr>
          <w:sz w:val="24"/>
        </w:rPr>
        <w:t>requests</w:t>
      </w:r>
      <w:r>
        <w:rPr>
          <w:spacing w:val="-2"/>
          <w:sz w:val="24"/>
        </w:rPr>
        <w:t> </w:t>
      </w:r>
      <w:r>
        <w:rPr>
          <w:sz w:val="24"/>
        </w:rPr>
        <w:t>the information for a point of contact at the Hospital and Steward Health Care after November 5, 2024.</w:t>
      </w:r>
    </w:p>
    <w:p>
      <w:pPr>
        <w:pStyle w:val="BodyText"/>
      </w:pPr>
    </w:p>
    <w:p>
      <w:pPr>
        <w:pStyle w:val="ListParagraph"/>
        <w:numPr>
          <w:ilvl w:val="0"/>
          <w:numId w:val="1"/>
        </w:numPr>
        <w:tabs>
          <w:tab w:pos="1297" w:val="left" w:leader="none"/>
          <w:tab w:pos="1300" w:val="left" w:leader="none"/>
        </w:tabs>
        <w:spacing w:line="240" w:lineRule="auto" w:before="0" w:after="0"/>
        <w:ind w:left="1300" w:right="280" w:hanging="360"/>
        <w:jc w:val="left"/>
        <w:rPr>
          <w:sz w:val="24"/>
        </w:rPr>
      </w:pPr>
      <w:r>
        <w:rPr>
          <w:b/>
          <w:sz w:val="24"/>
        </w:rPr>
        <w:t>Preservation of Cultural Competencies: </w:t>
      </w:r>
      <w:r>
        <w:rPr>
          <w:sz w:val="24"/>
        </w:rPr>
        <w:t>The Department directs the Hospital to submit a plan for the preservation of cultural competencies in care, including the breadth</w:t>
      </w:r>
      <w:r>
        <w:rPr>
          <w:spacing w:val="-3"/>
          <w:sz w:val="24"/>
        </w:rPr>
        <w:t> </w:t>
      </w:r>
      <w:r>
        <w:rPr>
          <w:sz w:val="24"/>
        </w:rPr>
        <w:t>of</w:t>
      </w:r>
      <w:r>
        <w:rPr>
          <w:spacing w:val="-3"/>
          <w:sz w:val="24"/>
        </w:rPr>
        <w:t> </w:t>
      </w:r>
      <w:r>
        <w:rPr>
          <w:sz w:val="24"/>
        </w:rPr>
        <w:t>translation</w:t>
      </w:r>
      <w:r>
        <w:rPr>
          <w:spacing w:val="-4"/>
          <w:sz w:val="24"/>
        </w:rPr>
        <w:t> </w:t>
      </w:r>
      <w:r>
        <w:rPr>
          <w:sz w:val="24"/>
        </w:rPr>
        <w:t>services</w:t>
      </w:r>
      <w:r>
        <w:rPr>
          <w:spacing w:val="-3"/>
          <w:sz w:val="24"/>
        </w:rPr>
        <w:t> </w:t>
      </w:r>
      <w:r>
        <w:rPr>
          <w:sz w:val="24"/>
        </w:rPr>
        <w:t>currently</w:t>
      </w:r>
      <w:r>
        <w:rPr>
          <w:spacing w:val="-2"/>
          <w:sz w:val="24"/>
        </w:rPr>
        <w:t> </w:t>
      </w:r>
      <w:r>
        <w:rPr>
          <w:sz w:val="24"/>
        </w:rPr>
        <w:t>provided</w:t>
      </w:r>
      <w:r>
        <w:rPr>
          <w:spacing w:val="-5"/>
          <w:sz w:val="24"/>
        </w:rPr>
        <w:t> </w:t>
      </w:r>
      <w:r>
        <w:rPr>
          <w:sz w:val="24"/>
        </w:rPr>
        <w:t>to</w:t>
      </w:r>
      <w:r>
        <w:rPr>
          <w:spacing w:val="-2"/>
          <w:sz w:val="24"/>
        </w:rPr>
        <w:t> </w:t>
      </w:r>
      <w:r>
        <w:rPr>
          <w:sz w:val="24"/>
        </w:rPr>
        <w:t>the</w:t>
      </w:r>
      <w:r>
        <w:rPr>
          <w:spacing w:val="-5"/>
          <w:sz w:val="24"/>
        </w:rPr>
        <w:t> </w:t>
      </w:r>
      <w:r>
        <w:rPr>
          <w:sz w:val="24"/>
        </w:rPr>
        <w:t>patients</w:t>
      </w:r>
      <w:r>
        <w:rPr>
          <w:spacing w:val="-5"/>
          <w:sz w:val="24"/>
        </w:rPr>
        <w:t> </w:t>
      </w:r>
      <w:r>
        <w:rPr>
          <w:sz w:val="24"/>
        </w:rPr>
        <w:t>of</w:t>
      </w:r>
      <w:r>
        <w:rPr>
          <w:spacing w:val="-3"/>
          <w:sz w:val="24"/>
        </w:rPr>
        <w:t> </w:t>
      </w:r>
      <w:r>
        <w:rPr>
          <w:sz w:val="24"/>
        </w:rPr>
        <w:t>the</w:t>
      </w:r>
      <w:r>
        <w:rPr>
          <w:spacing w:val="-3"/>
          <w:sz w:val="24"/>
        </w:rPr>
        <w:t> </w:t>
      </w:r>
      <w:r>
        <w:rPr>
          <w:sz w:val="24"/>
        </w:rPr>
        <w:t>Hospital</w:t>
      </w:r>
      <w:r>
        <w:rPr>
          <w:spacing w:val="-3"/>
          <w:sz w:val="24"/>
        </w:rPr>
        <w:t> </w:t>
      </w:r>
      <w:r>
        <w:rPr>
          <w:sz w:val="24"/>
        </w:rPr>
        <w:t>and its satellites and throughout alternative service delivery sites identified.</w:t>
      </w:r>
    </w:p>
    <w:p>
      <w:pPr>
        <w:pStyle w:val="BodyText"/>
        <w:spacing w:before="1"/>
      </w:pPr>
    </w:p>
    <w:p>
      <w:pPr>
        <w:pStyle w:val="ListParagraph"/>
        <w:numPr>
          <w:ilvl w:val="0"/>
          <w:numId w:val="1"/>
        </w:numPr>
        <w:tabs>
          <w:tab w:pos="1297" w:val="left" w:leader="none"/>
          <w:tab w:pos="1300" w:val="left" w:leader="none"/>
        </w:tabs>
        <w:spacing w:line="240" w:lineRule="auto" w:before="0" w:after="0"/>
        <w:ind w:left="1300" w:right="1230" w:hanging="360"/>
        <w:jc w:val="left"/>
        <w:rPr>
          <w:sz w:val="24"/>
        </w:rPr>
      </w:pPr>
      <w:r>
        <w:rPr>
          <w:b/>
          <w:sz w:val="24"/>
        </w:rPr>
        <w:t>Additional</w:t>
      </w:r>
      <w:r>
        <w:rPr>
          <w:b/>
          <w:spacing w:val="-4"/>
          <w:sz w:val="24"/>
        </w:rPr>
        <w:t> </w:t>
      </w:r>
      <w:r>
        <w:rPr>
          <w:b/>
          <w:sz w:val="24"/>
        </w:rPr>
        <w:t>Information:</w:t>
      </w:r>
      <w:r>
        <w:rPr>
          <w:b/>
          <w:spacing w:val="40"/>
          <w:sz w:val="24"/>
        </w:rPr>
        <w:t> </w:t>
      </w:r>
      <w:r>
        <w:rPr>
          <w:sz w:val="24"/>
        </w:rPr>
        <w:t>The</w:t>
      </w:r>
      <w:r>
        <w:rPr>
          <w:spacing w:val="-4"/>
          <w:sz w:val="24"/>
        </w:rPr>
        <w:t> </w:t>
      </w:r>
      <w:r>
        <w:rPr>
          <w:sz w:val="24"/>
        </w:rPr>
        <w:t>Department</w:t>
      </w:r>
      <w:r>
        <w:rPr>
          <w:spacing w:val="-6"/>
          <w:sz w:val="24"/>
        </w:rPr>
        <w:t> </w:t>
      </w:r>
      <w:r>
        <w:rPr>
          <w:sz w:val="24"/>
        </w:rPr>
        <w:t>requests</w:t>
      </w:r>
      <w:r>
        <w:rPr>
          <w:spacing w:val="-6"/>
          <w:sz w:val="24"/>
        </w:rPr>
        <w:t> </w:t>
      </w:r>
      <w:r>
        <w:rPr>
          <w:sz w:val="24"/>
        </w:rPr>
        <w:t>the</w:t>
      </w:r>
      <w:r>
        <w:rPr>
          <w:spacing w:val="-4"/>
          <w:sz w:val="24"/>
        </w:rPr>
        <w:t> </w:t>
      </w:r>
      <w:r>
        <w:rPr>
          <w:sz w:val="24"/>
        </w:rPr>
        <w:t>name</w:t>
      </w:r>
      <w:r>
        <w:rPr>
          <w:spacing w:val="-4"/>
          <w:sz w:val="24"/>
        </w:rPr>
        <w:t> </w:t>
      </w:r>
      <w:r>
        <w:rPr>
          <w:sz w:val="24"/>
        </w:rPr>
        <w:t>and</w:t>
      </w:r>
      <w:r>
        <w:rPr>
          <w:spacing w:val="-4"/>
          <w:sz w:val="24"/>
        </w:rPr>
        <w:t> </w:t>
      </w:r>
      <w:r>
        <w:rPr>
          <w:sz w:val="24"/>
        </w:rPr>
        <w:t>contact information for the following:</w:t>
      </w:r>
    </w:p>
    <w:p>
      <w:pPr>
        <w:pStyle w:val="BodyText"/>
      </w:pPr>
    </w:p>
    <w:p>
      <w:pPr>
        <w:pStyle w:val="ListParagraph"/>
        <w:numPr>
          <w:ilvl w:val="1"/>
          <w:numId w:val="1"/>
        </w:numPr>
        <w:tabs>
          <w:tab w:pos="2739" w:val="left" w:leader="none"/>
        </w:tabs>
        <w:spacing w:line="240" w:lineRule="auto" w:before="0" w:after="0"/>
        <w:ind w:left="2739" w:right="0" w:hanging="313"/>
        <w:jc w:val="left"/>
        <w:rPr>
          <w:sz w:val="24"/>
        </w:rPr>
      </w:pPr>
      <w:r>
        <w:rPr>
          <w:sz w:val="24"/>
        </w:rPr>
        <w:t>Medical</w:t>
      </w:r>
      <w:r>
        <w:rPr>
          <w:spacing w:val="-3"/>
          <w:sz w:val="24"/>
        </w:rPr>
        <w:t> </w:t>
      </w:r>
      <w:r>
        <w:rPr>
          <w:sz w:val="24"/>
        </w:rPr>
        <w:t>records</w:t>
      </w:r>
      <w:r>
        <w:rPr>
          <w:spacing w:val="-3"/>
          <w:sz w:val="24"/>
        </w:rPr>
        <w:t> </w:t>
      </w:r>
      <w:r>
        <w:rPr>
          <w:spacing w:val="-2"/>
          <w:sz w:val="24"/>
        </w:rPr>
        <w:t>vendor</w:t>
      </w:r>
    </w:p>
    <w:p>
      <w:pPr>
        <w:pStyle w:val="ListParagraph"/>
        <w:numPr>
          <w:ilvl w:val="1"/>
          <w:numId w:val="1"/>
        </w:numPr>
        <w:tabs>
          <w:tab w:pos="2739" w:val="left" w:leader="none"/>
        </w:tabs>
        <w:spacing w:line="240" w:lineRule="auto" w:before="0" w:after="0"/>
        <w:ind w:left="2739" w:right="0" w:hanging="378"/>
        <w:jc w:val="left"/>
        <w:rPr>
          <w:sz w:val="24"/>
        </w:rPr>
      </w:pPr>
      <w:r>
        <w:rPr>
          <w:sz w:val="24"/>
        </w:rPr>
        <w:t>Employee</w:t>
      </w:r>
      <w:r>
        <w:rPr>
          <w:spacing w:val="-6"/>
          <w:sz w:val="24"/>
        </w:rPr>
        <w:t> </w:t>
      </w:r>
      <w:r>
        <w:rPr>
          <w:sz w:val="24"/>
        </w:rPr>
        <w:t>records</w:t>
      </w:r>
      <w:r>
        <w:rPr>
          <w:spacing w:val="-1"/>
          <w:sz w:val="24"/>
        </w:rPr>
        <w:t> </w:t>
      </w:r>
      <w:r>
        <w:rPr>
          <w:sz w:val="24"/>
        </w:rPr>
        <w:t>storage</w:t>
      </w:r>
      <w:r>
        <w:rPr>
          <w:spacing w:val="-3"/>
          <w:sz w:val="24"/>
        </w:rPr>
        <w:t> </w:t>
      </w:r>
      <w:r>
        <w:rPr>
          <w:spacing w:val="-2"/>
          <w:sz w:val="24"/>
        </w:rPr>
        <w:t>vendor</w:t>
      </w:r>
    </w:p>
    <w:p>
      <w:pPr>
        <w:pStyle w:val="ListParagraph"/>
        <w:numPr>
          <w:ilvl w:val="1"/>
          <w:numId w:val="1"/>
        </w:numPr>
        <w:tabs>
          <w:tab w:pos="2737" w:val="left" w:leader="none"/>
        </w:tabs>
        <w:spacing w:line="240" w:lineRule="auto" w:before="0" w:after="0"/>
        <w:ind w:left="2737" w:right="0" w:hanging="444"/>
        <w:jc w:val="left"/>
        <w:rPr>
          <w:sz w:val="24"/>
        </w:rPr>
      </w:pPr>
      <w:r>
        <w:rPr>
          <w:sz w:val="24"/>
        </w:rPr>
        <w:t>Plan</w:t>
      </w:r>
      <w:r>
        <w:rPr>
          <w:spacing w:val="-2"/>
          <w:sz w:val="24"/>
        </w:rPr>
        <w:t> </w:t>
      </w:r>
      <w:r>
        <w:rPr>
          <w:sz w:val="24"/>
        </w:rPr>
        <w:t>for</w:t>
      </w:r>
      <w:r>
        <w:rPr>
          <w:spacing w:val="-2"/>
          <w:sz w:val="24"/>
        </w:rPr>
        <w:t> </w:t>
      </w:r>
      <w:r>
        <w:rPr>
          <w:sz w:val="24"/>
        </w:rPr>
        <w:t>Pharmacy</w:t>
      </w:r>
      <w:r>
        <w:rPr>
          <w:spacing w:val="-5"/>
          <w:sz w:val="24"/>
        </w:rPr>
        <w:t> </w:t>
      </w:r>
      <w:r>
        <w:rPr>
          <w:sz w:val="24"/>
        </w:rPr>
        <w:t>located</w:t>
      </w:r>
      <w:r>
        <w:rPr>
          <w:spacing w:val="-4"/>
          <w:sz w:val="24"/>
        </w:rPr>
        <w:t> </w:t>
      </w:r>
      <w:r>
        <w:rPr>
          <w:sz w:val="24"/>
        </w:rPr>
        <w:t>at</w:t>
      </w:r>
      <w:r>
        <w:rPr>
          <w:spacing w:val="-4"/>
          <w:sz w:val="24"/>
        </w:rPr>
        <w:t> </w:t>
      </w:r>
      <w:r>
        <w:rPr>
          <w:sz w:val="24"/>
        </w:rPr>
        <w:t>70</w:t>
      </w:r>
      <w:r>
        <w:rPr>
          <w:spacing w:val="-5"/>
          <w:sz w:val="24"/>
        </w:rPr>
        <w:t> </w:t>
      </w:r>
      <w:r>
        <w:rPr>
          <w:sz w:val="24"/>
        </w:rPr>
        <w:t>Walnut</w:t>
      </w:r>
      <w:r>
        <w:rPr>
          <w:spacing w:val="1"/>
          <w:sz w:val="24"/>
        </w:rPr>
        <w:t> </w:t>
      </w:r>
      <w:r>
        <w:rPr>
          <w:sz w:val="24"/>
        </w:rPr>
        <w:t>Street,</w:t>
      </w:r>
      <w:r>
        <w:rPr>
          <w:spacing w:val="-2"/>
          <w:sz w:val="24"/>
        </w:rPr>
        <w:t> Foxborough.</w:t>
      </w:r>
    </w:p>
    <w:p>
      <w:pPr>
        <w:pStyle w:val="BodyText"/>
      </w:pPr>
    </w:p>
    <w:p>
      <w:pPr>
        <w:pStyle w:val="BodyText"/>
        <w:ind w:left="220" w:right="174"/>
      </w:pPr>
      <w:r>
        <w:rPr/>
        <w:t>Under the provisions of 105 CMR 130.122(G), the Hospital must submit a timely response to the</w:t>
      </w:r>
      <w:r>
        <w:rPr>
          <w:spacing w:val="-3"/>
        </w:rPr>
        <w:t> </w:t>
      </w:r>
      <w:r>
        <w:rPr/>
        <w:t>comments</w:t>
      </w:r>
      <w:r>
        <w:rPr>
          <w:spacing w:val="-5"/>
        </w:rPr>
        <w:t> </w:t>
      </w:r>
      <w:r>
        <w:rPr/>
        <w:t>of</w:t>
      </w:r>
      <w:r>
        <w:rPr>
          <w:spacing w:val="-3"/>
        </w:rPr>
        <w:t> </w:t>
      </w:r>
      <w:r>
        <w:rPr/>
        <w:t>the</w:t>
      </w:r>
      <w:r>
        <w:rPr>
          <w:spacing w:val="-3"/>
        </w:rPr>
        <w:t> </w:t>
      </w:r>
      <w:r>
        <w:rPr/>
        <w:t>Department.</w:t>
      </w:r>
      <w:r>
        <w:rPr>
          <w:spacing w:val="40"/>
        </w:rPr>
        <w:t> </w:t>
      </w:r>
      <w:r>
        <w:rPr/>
        <w:t>Please</w:t>
      </w:r>
      <w:r>
        <w:rPr>
          <w:spacing w:val="-3"/>
        </w:rPr>
        <w:t> </w:t>
      </w:r>
      <w:r>
        <w:rPr/>
        <w:t>submit</w:t>
      </w:r>
      <w:r>
        <w:rPr>
          <w:spacing w:val="-3"/>
        </w:rPr>
        <w:t> </w:t>
      </w:r>
      <w:r>
        <w:rPr/>
        <w:t>your</w:t>
      </w:r>
      <w:r>
        <w:rPr>
          <w:spacing w:val="-3"/>
        </w:rPr>
        <w:t> </w:t>
      </w:r>
      <w:r>
        <w:rPr/>
        <w:t>comments</w:t>
      </w:r>
      <w:r>
        <w:rPr>
          <w:spacing w:val="-3"/>
        </w:rPr>
        <w:t> </w:t>
      </w:r>
      <w:r>
        <w:rPr/>
        <w:t>within 2</w:t>
      </w:r>
      <w:r>
        <w:rPr>
          <w:spacing w:val="-4"/>
        </w:rPr>
        <w:t> </w:t>
      </w:r>
      <w:r>
        <w:rPr/>
        <w:t>days</w:t>
      </w:r>
      <w:r>
        <w:rPr>
          <w:spacing w:val="-6"/>
        </w:rPr>
        <w:t> </w:t>
      </w:r>
      <w:r>
        <w:rPr/>
        <w:t>of</w:t>
      </w:r>
      <w:r>
        <w:rPr>
          <w:spacing w:val="-3"/>
        </w:rPr>
        <w:t> </w:t>
      </w:r>
      <w:r>
        <w:rPr/>
        <w:t>your</w:t>
      </w:r>
      <w:r>
        <w:rPr>
          <w:spacing w:val="-3"/>
        </w:rPr>
        <w:t> </w:t>
      </w:r>
      <w:r>
        <w:rPr/>
        <w:t>receipt of this letter to my attention, in order that we complete our review of the permanent closure of Norwood Hospital and its satellite facilities.</w:t>
      </w:r>
    </w:p>
    <w:p>
      <w:pPr>
        <w:pStyle w:val="BodyText"/>
      </w:pPr>
    </w:p>
    <w:p>
      <w:pPr>
        <w:pStyle w:val="BodyText"/>
        <w:ind w:left="220"/>
      </w:pPr>
      <w:r>
        <w:rPr/>
        <w:t>Thank</w:t>
      </w:r>
      <w:r>
        <w:rPr>
          <w:spacing w:val="-3"/>
        </w:rPr>
        <w:t> </w:t>
      </w:r>
      <w:r>
        <w:rPr/>
        <w:t>you</w:t>
      </w:r>
      <w:r>
        <w:rPr>
          <w:spacing w:val="-3"/>
        </w:rPr>
        <w:t> </w:t>
      </w:r>
      <w:r>
        <w:rPr/>
        <w:t>for</w:t>
      </w:r>
      <w:r>
        <w:rPr>
          <w:spacing w:val="-3"/>
        </w:rPr>
        <w:t> </w:t>
      </w:r>
      <w:r>
        <w:rPr/>
        <w:t>your</w:t>
      </w:r>
      <w:r>
        <w:rPr>
          <w:spacing w:val="-3"/>
        </w:rPr>
        <w:t> </w:t>
      </w:r>
      <w:r>
        <w:rPr/>
        <w:t>continued</w:t>
      </w:r>
      <w:r>
        <w:rPr>
          <w:spacing w:val="-3"/>
        </w:rPr>
        <w:t> </w:t>
      </w:r>
      <w:r>
        <w:rPr/>
        <w:t>cooperation</w:t>
      </w:r>
      <w:r>
        <w:rPr>
          <w:spacing w:val="-3"/>
        </w:rPr>
        <w:t> </w:t>
      </w:r>
      <w:r>
        <w:rPr/>
        <w:t>in</w:t>
      </w:r>
      <w:r>
        <w:rPr>
          <w:spacing w:val="-5"/>
        </w:rPr>
        <w:t> </w:t>
      </w:r>
      <w:r>
        <w:rPr/>
        <w:t>this</w:t>
      </w:r>
      <w:r>
        <w:rPr>
          <w:spacing w:val="-3"/>
        </w:rPr>
        <w:t> </w:t>
      </w:r>
      <w:r>
        <w:rPr/>
        <w:t>process.</w:t>
      </w:r>
      <w:r>
        <w:rPr>
          <w:spacing w:val="-5"/>
        </w:rPr>
        <w:t> </w:t>
      </w:r>
      <w:r>
        <w:rPr/>
        <w:t>If</w:t>
      </w:r>
      <w:r>
        <w:rPr>
          <w:spacing w:val="-3"/>
        </w:rPr>
        <w:t> </w:t>
      </w:r>
      <w:r>
        <w:rPr/>
        <w:t>you</w:t>
      </w:r>
      <w:r>
        <w:rPr>
          <w:spacing w:val="-5"/>
        </w:rPr>
        <w:t> </w:t>
      </w:r>
      <w:r>
        <w:rPr/>
        <w:t>have</w:t>
      </w:r>
      <w:r>
        <w:rPr>
          <w:spacing w:val="-3"/>
        </w:rPr>
        <w:t> </w:t>
      </w:r>
      <w:r>
        <w:rPr/>
        <w:t>any</w:t>
      </w:r>
      <w:r>
        <w:rPr>
          <w:spacing w:val="-6"/>
        </w:rPr>
        <w:t> </w:t>
      </w:r>
      <w:r>
        <w:rPr/>
        <w:t>questions,</w:t>
      </w:r>
      <w:r>
        <w:rPr>
          <w:spacing w:val="-3"/>
        </w:rPr>
        <w:t> </w:t>
      </w:r>
      <w:r>
        <w:rPr/>
        <w:t>please contact me at </w:t>
      </w:r>
      <w:hyperlink r:id="rId8">
        <w:r>
          <w:rPr>
            <w:color w:val="0000FF"/>
            <w:u w:val="single" w:color="0000FF"/>
          </w:rPr>
          <w:t>Stephen.Davis@Mass.Gov</w:t>
        </w:r>
      </w:hyperlink>
      <w:r>
        <w:rPr>
          <w:u w:val="none"/>
        </w:rPr>
        <w:t>.</w:t>
      </w:r>
    </w:p>
    <w:p>
      <w:pPr>
        <w:spacing w:after="0"/>
        <w:sectPr>
          <w:pgSz w:w="12240" w:h="15840"/>
          <w:pgMar w:header="728" w:footer="0" w:top="980" w:bottom="280" w:left="860" w:right="980"/>
        </w:sectPr>
      </w:pPr>
    </w:p>
    <w:p>
      <w:pPr>
        <w:pStyle w:val="BodyText"/>
        <w:spacing w:before="168"/>
      </w:pPr>
    </w:p>
    <w:p>
      <w:pPr>
        <w:pStyle w:val="BodyText"/>
        <w:ind w:left="5261"/>
      </w:pPr>
      <w:r>
        <w:rPr>
          <w:spacing w:val="-2"/>
        </w:rPr>
        <w:t>Sincerely,</w:t>
      </w:r>
    </w:p>
    <w:p>
      <w:pPr>
        <w:pStyle w:val="BodyText"/>
        <w:spacing w:before="54"/>
        <w:rPr>
          <w:sz w:val="20"/>
        </w:rPr>
      </w:pPr>
      <w:r>
        <w:rPr/>
        <w:drawing>
          <wp:anchor distT="0" distB="0" distL="0" distR="0" allowOverlap="1" layoutInCell="1" locked="0" behindDoc="1" simplePos="0" relativeHeight="487588352">
            <wp:simplePos x="0" y="0"/>
            <wp:positionH relativeFrom="page">
              <wp:posOffset>3609227</wp:posOffset>
            </wp:positionH>
            <wp:positionV relativeFrom="paragraph">
              <wp:posOffset>196019</wp:posOffset>
            </wp:positionV>
            <wp:extent cx="2268428" cy="952880"/>
            <wp:effectExtent l="0" t="0" r="0" b="0"/>
            <wp:wrapTopAndBottom/>
            <wp:docPr id="4" name="Image 4" descr="Text  Description automatically generated with medium confidence"/>
            <wp:cNvGraphicFramePr>
              <a:graphicFrameLocks/>
            </wp:cNvGraphicFramePr>
            <a:graphic>
              <a:graphicData uri="http://schemas.openxmlformats.org/drawingml/2006/picture">
                <pic:pic>
                  <pic:nvPicPr>
                    <pic:cNvPr id="4" name="Image 4" descr="Text  Description automatically generated with medium confidence"/>
                    <pic:cNvPicPr/>
                  </pic:nvPicPr>
                  <pic:blipFill>
                    <a:blip r:embed="rId9" cstate="print"/>
                    <a:stretch>
                      <a:fillRect/>
                    </a:stretch>
                  </pic:blipFill>
                  <pic:spPr>
                    <a:xfrm>
                      <a:off x="0" y="0"/>
                      <a:ext cx="2268428" cy="952880"/>
                    </a:xfrm>
                    <a:prstGeom prst="rect">
                      <a:avLst/>
                    </a:prstGeom>
                  </pic:spPr>
                </pic:pic>
              </a:graphicData>
            </a:graphic>
          </wp:anchor>
        </w:drawing>
      </w:r>
    </w:p>
    <w:p>
      <w:pPr>
        <w:pStyle w:val="BodyText"/>
        <w:spacing w:before="195"/>
        <w:ind w:left="5261" w:right="3388"/>
      </w:pPr>
      <w:r>
        <w:rPr/>
        <w:t>Stephen Davis Division</w:t>
      </w:r>
      <w:r>
        <w:rPr>
          <w:spacing w:val="-17"/>
        </w:rPr>
        <w:t> </w:t>
      </w:r>
      <w:r>
        <w:rPr/>
        <w:t>Director</w:t>
      </w:r>
    </w:p>
    <w:p>
      <w:pPr>
        <w:pStyle w:val="BodyText"/>
      </w:pPr>
    </w:p>
    <w:p>
      <w:pPr>
        <w:pStyle w:val="BodyText"/>
        <w:tabs>
          <w:tab w:pos="940" w:val="left" w:leader="none"/>
        </w:tabs>
        <w:ind w:left="220"/>
      </w:pPr>
      <w:r>
        <w:rPr>
          <w:spacing w:val="-5"/>
        </w:rPr>
        <w:t>cc:</w:t>
      </w:r>
      <w:r>
        <w:rPr/>
        <w:tab/>
        <w:t>A.</w:t>
      </w:r>
      <w:r>
        <w:rPr>
          <w:spacing w:val="-2"/>
        </w:rPr>
        <w:t> </w:t>
      </w:r>
      <w:r>
        <w:rPr/>
        <w:t>Sousa,</w:t>
      </w:r>
      <w:r>
        <w:rPr>
          <w:spacing w:val="-2"/>
        </w:rPr>
        <w:t> </w:t>
      </w:r>
      <w:r>
        <w:rPr>
          <w:spacing w:val="-5"/>
        </w:rPr>
        <w:t>DPH</w:t>
      </w:r>
    </w:p>
    <w:p>
      <w:pPr>
        <w:pStyle w:val="BodyText"/>
        <w:ind w:left="940"/>
      </w:pPr>
      <w:r>
        <w:rPr/>
        <w:t>J.</w:t>
      </w:r>
      <w:r>
        <w:rPr>
          <w:spacing w:val="-5"/>
        </w:rPr>
        <w:t> </w:t>
      </w:r>
      <w:r>
        <w:rPr/>
        <w:t>Bernice,</w:t>
      </w:r>
      <w:r>
        <w:rPr>
          <w:spacing w:val="-3"/>
        </w:rPr>
        <w:t> </w:t>
      </w:r>
      <w:r>
        <w:rPr>
          <w:spacing w:val="-5"/>
        </w:rPr>
        <w:t>DPH</w:t>
      </w:r>
    </w:p>
    <w:p>
      <w:pPr>
        <w:pStyle w:val="BodyText"/>
        <w:spacing w:before="1"/>
        <w:ind w:left="940"/>
      </w:pPr>
      <w:r>
        <w:rPr/>
        <w:t>K.</w:t>
      </w:r>
      <w:r>
        <w:rPr>
          <w:spacing w:val="-2"/>
        </w:rPr>
        <w:t> </w:t>
      </w:r>
      <w:r>
        <w:rPr/>
        <w:t>Fillo,</w:t>
      </w:r>
      <w:r>
        <w:rPr>
          <w:spacing w:val="-2"/>
        </w:rPr>
        <w:t> </w:t>
      </w:r>
      <w:r>
        <w:rPr>
          <w:spacing w:val="-5"/>
        </w:rPr>
        <w:t>DPH</w:t>
      </w:r>
    </w:p>
    <w:p>
      <w:pPr>
        <w:pStyle w:val="BodyText"/>
        <w:spacing w:line="275" w:lineRule="exact"/>
        <w:ind w:left="940"/>
      </w:pPr>
      <w:r>
        <w:rPr/>
        <w:t>J.</w:t>
      </w:r>
      <w:r>
        <w:rPr>
          <w:spacing w:val="-2"/>
        </w:rPr>
        <w:t> </w:t>
      </w:r>
      <w:r>
        <w:rPr/>
        <w:t>Gagne,</w:t>
      </w:r>
      <w:r>
        <w:rPr>
          <w:spacing w:val="-2"/>
        </w:rPr>
        <w:t> </w:t>
      </w:r>
      <w:r>
        <w:rPr>
          <w:spacing w:val="-5"/>
        </w:rPr>
        <w:t>DPH</w:t>
      </w:r>
    </w:p>
    <w:p>
      <w:pPr>
        <w:pStyle w:val="BodyText"/>
        <w:spacing w:line="275" w:lineRule="exact"/>
        <w:ind w:left="940"/>
      </w:pPr>
      <w:r>
        <w:rPr/>
        <w:t>M.</w:t>
      </w:r>
      <w:r>
        <w:rPr>
          <w:spacing w:val="-5"/>
        </w:rPr>
        <w:t> </w:t>
      </w:r>
      <w:r>
        <w:rPr/>
        <w:t>Callahan,</w:t>
      </w:r>
      <w:r>
        <w:rPr>
          <w:spacing w:val="-4"/>
        </w:rPr>
        <w:t> </w:t>
      </w:r>
      <w:r>
        <w:rPr>
          <w:spacing w:val="-5"/>
        </w:rPr>
        <w:t>DPH</w:t>
      </w:r>
    </w:p>
    <w:p>
      <w:pPr>
        <w:pStyle w:val="BodyText"/>
        <w:ind w:left="940"/>
      </w:pPr>
      <w:r>
        <w:rPr/>
        <w:t>R.</w:t>
      </w:r>
      <w:r>
        <w:rPr>
          <w:spacing w:val="-4"/>
        </w:rPr>
        <w:t> </w:t>
      </w:r>
      <w:r>
        <w:rPr/>
        <w:t>Rodman,</w:t>
      </w:r>
      <w:r>
        <w:rPr>
          <w:spacing w:val="-6"/>
        </w:rPr>
        <w:t> </w:t>
      </w:r>
      <w:r>
        <w:rPr/>
        <w:t>Husch</w:t>
      </w:r>
      <w:r>
        <w:rPr>
          <w:spacing w:val="-6"/>
        </w:rPr>
        <w:t> </w:t>
      </w:r>
      <w:r>
        <w:rPr>
          <w:spacing w:val="-2"/>
        </w:rPr>
        <w:t>Blackwell</w:t>
      </w:r>
    </w:p>
    <w:sectPr>
      <w:pgSz w:w="12240" w:h="15840"/>
      <w:pgMar w:header="728" w:footer="0" w:top="980" w:bottom="280" w:left="86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Rounded MT Bold">
    <w:altName w:val="Arial Rounded MT Bold"/>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15136">
              <wp:simplePos x="0" y="0"/>
              <wp:positionH relativeFrom="page">
                <wp:posOffset>673100</wp:posOffset>
              </wp:positionH>
              <wp:positionV relativeFrom="page">
                <wp:posOffset>449792</wp:posOffset>
              </wp:positionV>
              <wp:extent cx="1974850" cy="1962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74850" cy="196215"/>
                      </a:xfrm>
                      <a:prstGeom prst="rect">
                        <a:avLst/>
                      </a:prstGeom>
                    </wps:spPr>
                    <wps:txbx>
                      <w:txbxContent>
                        <w:p>
                          <w:pPr>
                            <w:pStyle w:val="BodyText"/>
                            <w:spacing w:before="12"/>
                            <w:ind w:left="20"/>
                          </w:pPr>
                          <w:r>
                            <w:rPr/>
                            <w:t>DPH</w:t>
                          </w:r>
                          <w:r>
                            <w:rPr>
                              <w:spacing w:val="-4"/>
                            </w:rPr>
                            <w:t> </w:t>
                          </w:r>
                          <w:r>
                            <w:rPr/>
                            <w:t>Review</w:t>
                          </w:r>
                          <w:r>
                            <w:rPr>
                              <w:spacing w:val="-4"/>
                            </w:rPr>
                            <w:t> </w:t>
                          </w:r>
                          <w:r>
                            <w:rPr/>
                            <w:t>of</w:t>
                          </w:r>
                          <w:r>
                            <w:rPr>
                              <w:spacing w:val="-3"/>
                            </w:rPr>
                            <w:t> </w:t>
                          </w:r>
                          <w:r>
                            <w:rPr/>
                            <w:t>Closure</w:t>
                          </w:r>
                          <w:r>
                            <w:rPr>
                              <w:spacing w:val="-4"/>
                            </w:rPr>
                            <w:t> Plan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pt;margin-top:35.416718pt;width:155.5pt;height:15.45pt;mso-position-horizontal-relative:page;mso-position-vertical-relative:page;z-index:-15801344" type="#_x0000_t202" id="docshape1" filled="false" stroked="false">
              <v:textbox inset="0,0,0,0">
                <w:txbxContent>
                  <w:p>
                    <w:pPr>
                      <w:pStyle w:val="BodyText"/>
                      <w:spacing w:before="12"/>
                      <w:ind w:left="20"/>
                    </w:pPr>
                    <w:r>
                      <w:rPr/>
                      <w:t>DPH</w:t>
                    </w:r>
                    <w:r>
                      <w:rPr>
                        <w:spacing w:val="-4"/>
                      </w:rPr>
                      <w:t> </w:t>
                    </w:r>
                    <w:r>
                      <w:rPr/>
                      <w:t>Review</w:t>
                    </w:r>
                    <w:r>
                      <w:rPr>
                        <w:spacing w:val="-4"/>
                      </w:rPr>
                      <w:t> </w:t>
                    </w:r>
                    <w:r>
                      <w:rPr/>
                      <w:t>of</w:t>
                    </w:r>
                    <w:r>
                      <w:rPr>
                        <w:spacing w:val="-3"/>
                      </w:rPr>
                      <w:t> </w:t>
                    </w:r>
                    <w:r>
                      <w:rPr/>
                      <w:t>Closure</w:t>
                    </w:r>
                    <w:r>
                      <w:rPr>
                        <w:spacing w:val="-4"/>
                      </w:rPr>
                      <w:t> Plan</w:t>
                    </w:r>
                  </w:p>
                </w:txbxContent>
              </v:textbox>
              <w10:wrap type="none"/>
            </v:shape>
          </w:pict>
        </mc:Fallback>
      </mc:AlternateContent>
    </w:r>
    <w:r>
      <w:rPr/>
      <mc:AlternateContent>
        <mc:Choice Requires="wps">
          <w:drawing>
            <wp:anchor distT="0" distB="0" distL="0" distR="0" allowOverlap="1" layoutInCell="1" locked="0" behindDoc="1" simplePos="0" relativeHeight="487515648">
              <wp:simplePos x="0" y="0"/>
              <wp:positionH relativeFrom="page">
                <wp:posOffset>6507226</wp:posOffset>
              </wp:positionH>
              <wp:positionV relativeFrom="page">
                <wp:posOffset>449792</wp:posOffset>
              </wp:positionV>
              <wp:extent cx="173990" cy="1962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73990" cy="196215"/>
                      </a:xfrm>
                      <a:prstGeom prst="rect">
                        <a:avLst/>
                      </a:prstGeom>
                    </wps:spPr>
                    <wps:txbx>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512.380005pt;margin-top:35.416718pt;width:13.7pt;height:15.45pt;mso-position-horizontal-relative:page;mso-position-vertical-relative:page;z-index:-15800832" type="#_x0000_t202" id="docshape2" filled="false" stroked="false">
              <v:textbox inset="0,0,0,0">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300" w:hanging="360"/>
        <w:jc w:val="left"/>
      </w:pPr>
      <w:rPr>
        <w:rFonts w:hint="default"/>
        <w:spacing w:val="0"/>
        <w:w w:val="100"/>
        <w:lang w:val="en-US" w:eastAsia="en-US" w:bidi="ar-SA"/>
      </w:rPr>
    </w:lvl>
    <w:lvl w:ilvl="1">
      <w:start w:val="1"/>
      <w:numFmt w:val="lowerRoman"/>
      <w:lvlText w:val="%2."/>
      <w:lvlJc w:val="left"/>
      <w:pPr>
        <w:ind w:left="2740" w:hanging="315"/>
        <w:jc w:val="right"/>
      </w:pPr>
      <w:rPr>
        <w:rFonts w:hint="default" w:ascii="Arial" w:hAnsi="Arial" w:eastAsia="Arial" w:cs="Arial"/>
        <w:b/>
        <w:bCs/>
        <w:i w:val="0"/>
        <w:iCs w:val="0"/>
        <w:spacing w:val="0"/>
        <w:w w:val="100"/>
        <w:sz w:val="24"/>
        <w:szCs w:val="24"/>
        <w:lang w:val="en-US" w:eastAsia="en-US" w:bidi="ar-SA"/>
      </w:rPr>
    </w:lvl>
    <w:lvl w:ilvl="2">
      <w:start w:val="0"/>
      <w:numFmt w:val="bullet"/>
      <w:lvlText w:val="•"/>
      <w:lvlJc w:val="left"/>
      <w:pPr>
        <w:ind w:left="3591" w:hanging="315"/>
      </w:pPr>
      <w:rPr>
        <w:rFonts w:hint="default"/>
        <w:lang w:val="en-US" w:eastAsia="en-US" w:bidi="ar-SA"/>
      </w:rPr>
    </w:lvl>
    <w:lvl w:ilvl="3">
      <w:start w:val="0"/>
      <w:numFmt w:val="bullet"/>
      <w:lvlText w:val="•"/>
      <w:lvlJc w:val="left"/>
      <w:pPr>
        <w:ind w:left="4442" w:hanging="315"/>
      </w:pPr>
      <w:rPr>
        <w:rFonts w:hint="default"/>
        <w:lang w:val="en-US" w:eastAsia="en-US" w:bidi="ar-SA"/>
      </w:rPr>
    </w:lvl>
    <w:lvl w:ilvl="4">
      <w:start w:val="0"/>
      <w:numFmt w:val="bullet"/>
      <w:lvlText w:val="•"/>
      <w:lvlJc w:val="left"/>
      <w:pPr>
        <w:ind w:left="5293" w:hanging="315"/>
      </w:pPr>
      <w:rPr>
        <w:rFonts w:hint="default"/>
        <w:lang w:val="en-US" w:eastAsia="en-US" w:bidi="ar-SA"/>
      </w:rPr>
    </w:lvl>
    <w:lvl w:ilvl="5">
      <w:start w:val="0"/>
      <w:numFmt w:val="bullet"/>
      <w:lvlText w:val="•"/>
      <w:lvlJc w:val="left"/>
      <w:pPr>
        <w:ind w:left="6144" w:hanging="315"/>
      </w:pPr>
      <w:rPr>
        <w:rFonts w:hint="default"/>
        <w:lang w:val="en-US" w:eastAsia="en-US" w:bidi="ar-SA"/>
      </w:rPr>
    </w:lvl>
    <w:lvl w:ilvl="6">
      <w:start w:val="0"/>
      <w:numFmt w:val="bullet"/>
      <w:lvlText w:val="•"/>
      <w:lvlJc w:val="left"/>
      <w:pPr>
        <w:ind w:left="6995" w:hanging="315"/>
      </w:pPr>
      <w:rPr>
        <w:rFonts w:hint="default"/>
        <w:lang w:val="en-US" w:eastAsia="en-US" w:bidi="ar-SA"/>
      </w:rPr>
    </w:lvl>
    <w:lvl w:ilvl="7">
      <w:start w:val="0"/>
      <w:numFmt w:val="bullet"/>
      <w:lvlText w:val="•"/>
      <w:lvlJc w:val="left"/>
      <w:pPr>
        <w:ind w:left="7846" w:hanging="315"/>
      </w:pPr>
      <w:rPr>
        <w:rFonts w:hint="default"/>
        <w:lang w:val="en-US" w:eastAsia="en-US" w:bidi="ar-SA"/>
      </w:rPr>
    </w:lvl>
    <w:lvl w:ilvl="8">
      <w:start w:val="0"/>
      <w:numFmt w:val="bullet"/>
      <w:lvlText w:val="•"/>
      <w:lvlJc w:val="left"/>
      <w:pPr>
        <w:ind w:left="8697" w:hanging="315"/>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Title" w:type="paragraph">
    <w:name w:val="Title"/>
    <w:basedOn w:val="Normal"/>
    <w:uiPriority w:val="1"/>
    <w:qFormat/>
    <w:pPr>
      <w:spacing w:before="148" w:line="414" w:lineRule="exact"/>
      <w:ind w:left="2682"/>
    </w:pPr>
    <w:rPr>
      <w:rFonts w:ascii="Arial" w:hAnsi="Arial" w:eastAsia="Arial" w:cs="Arial"/>
      <w:sz w:val="36"/>
      <w:szCs w:val="36"/>
      <w:lang w:val="en-US" w:eastAsia="en-US" w:bidi="ar-SA"/>
    </w:rPr>
  </w:style>
  <w:style w:styleId="ListParagraph" w:type="paragraph">
    <w:name w:val="List Paragraph"/>
    <w:basedOn w:val="Normal"/>
    <w:uiPriority w:val="1"/>
    <w:qFormat/>
    <w:pPr>
      <w:ind w:left="130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dph" TargetMode="External"/><Relationship Id="rId7" Type="http://schemas.openxmlformats.org/officeDocument/2006/relationships/header" Target="header1.xml"/><Relationship Id="rId8" Type="http://schemas.openxmlformats.org/officeDocument/2006/relationships/hyperlink" Target="mailto:Stephen.Davis@Mass.Gov" TargetMode="External"/><Relationship Id="rId9" Type="http://schemas.openxmlformats.org/officeDocument/2006/relationships/image" Target="media/image2.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dcterms:created xsi:type="dcterms:W3CDTF">2024-11-04T17:30:10Z</dcterms:created>
  <dcterms:modified xsi:type="dcterms:W3CDTF">2024-11-04T17:30:10Z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Microsoft® Word for Microsoft 365</vt:lpwstr>
  </property>
  <property fmtid="{D5CDD505-2E9C-101B-9397-08002B2CF9AE}" pid="4" name="LastSaved">
    <vt:filetime>2024-11-04T00:00:00Z</vt:filetime>
  </property>
  <property fmtid="{D5CDD505-2E9C-101B-9397-08002B2CF9AE}" pid="5" name="Producer">
    <vt:lpwstr>Microsoft® Word for Microsoft 365</vt:lpwstr>
  </property>
</Properties>
</file>