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332D7304" w:rsidR="00802852" w:rsidRPr="00D544FA" w:rsidRDefault="00E814A1" w:rsidP="0072610D">
      <w:pPr>
        <w:rPr>
          <w:rFonts w:ascii="Arial" w:hAnsi="Arial" w:cs="Arial"/>
          <w:b/>
          <w:bCs/>
          <w:sz w:val="20"/>
        </w:rPr>
      </w:pPr>
      <w:r w:rsidRPr="00D544FA">
        <w:rPr>
          <w:rFonts w:ascii="Arial" w:hAnsi="Arial" w:cs="Arial"/>
          <w:b/>
          <w:bCs/>
          <w:sz w:val="20"/>
        </w:rPr>
        <w:t>Maura T. Healey</w:t>
      </w:r>
    </w:p>
    <w:p w14:paraId="25BE71A6" w14:textId="51C5E49E"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703E4E09"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77777777" w:rsidR="007D1D51" w:rsidRPr="00D544FA" w:rsidRDefault="00802852" w:rsidP="00D17C27">
      <w:pPr>
        <w:jc w:val="right"/>
        <w:rPr>
          <w:rFonts w:ascii="Arial" w:hAnsi="Arial" w:cs="Arial"/>
          <w:sz w:val="20"/>
        </w:rPr>
      </w:pPr>
      <w:r w:rsidRPr="00D544FA">
        <w:rPr>
          <w:rFonts w:ascii="Arial" w:hAnsi="Arial" w:cs="Arial"/>
          <w:b/>
          <w:bCs/>
          <w:sz w:val="20"/>
        </w:rPr>
        <w:t>Kiame Mahaniah, MD</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2EFB7A43" w14:textId="77777777" w:rsidR="001F15FC" w:rsidRDefault="001F15FC" w:rsidP="001F15FC">
      <w:pPr>
        <w:rPr>
          <w:rFonts w:eastAsia="Calibri"/>
        </w:rPr>
      </w:pPr>
    </w:p>
    <w:p w14:paraId="35F538A9" w14:textId="77777777" w:rsidR="00A64BBC" w:rsidRDefault="00A64BBC" w:rsidP="001F15FC">
      <w:pPr>
        <w:rPr>
          <w:rFonts w:eastAsia="Calibri"/>
        </w:rPr>
      </w:pPr>
    </w:p>
    <w:p w14:paraId="7691CB05" w14:textId="77777777" w:rsidR="00AF144D" w:rsidRPr="00AF144D" w:rsidRDefault="00AF144D" w:rsidP="32F200BF">
      <w:pPr>
        <w:spacing w:after="160" w:line="278" w:lineRule="auto"/>
        <w:rPr>
          <w:rFonts w:ascii="Calibri" w:eastAsia="Aptos" w:hAnsi="Calibri" w:cs="Calibri"/>
          <w:kern w:val="2"/>
          <w14:ligatures w14:val="standardContextual"/>
        </w:rPr>
      </w:pPr>
      <w:r w:rsidRPr="00E83DC2">
        <w:rPr>
          <w:rFonts w:ascii="Calibri" w:eastAsia="Aptos" w:hAnsi="Calibri" w:cs="Calibri"/>
          <w:b/>
          <w:bCs/>
          <w:kern w:val="2"/>
          <w14:ligatures w14:val="standardContextual"/>
        </w:rPr>
        <w:t>To</w:t>
      </w:r>
      <w:r w:rsidRPr="32F200BF">
        <w:rPr>
          <w:rFonts w:ascii="Calibri" w:eastAsia="Aptos" w:hAnsi="Calibri" w:cs="Calibri"/>
          <w:kern w:val="2"/>
          <w14:ligatures w14:val="standardContextual"/>
        </w:rPr>
        <w:t>: Healthcare Providers, Laboratories, Urgent Cares, Emergency Departments, Infection Preventionists</w:t>
      </w:r>
    </w:p>
    <w:p w14:paraId="52267953" w14:textId="7744D365" w:rsidR="00AF144D" w:rsidRPr="00AF144D" w:rsidRDefault="00AF144D" w:rsidP="32F200BF">
      <w:pPr>
        <w:spacing w:line="278" w:lineRule="auto"/>
        <w:rPr>
          <w:rFonts w:ascii="Calibri" w:eastAsia="Aptos" w:hAnsi="Calibri" w:cs="Calibri"/>
          <w:kern w:val="2"/>
          <w14:ligatures w14:val="standardContextual"/>
        </w:rPr>
      </w:pPr>
      <w:r w:rsidRPr="00E83DC2">
        <w:rPr>
          <w:rFonts w:ascii="Calibri" w:eastAsia="Aptos" w:hAnsi="Calibri" w:cs="Calibri"/>
          <w:b/>
          <w:bCs/>
          <w:kern w:val="2"/>
          <w14:ligatures w14:val="standardContextual"/>
        </w:rPr>
        <w:t>From</w:t>
      </w:r>
      <w:r w:rsidRPr="32F200BF">
        <w:rPr>
          <w:rFonts w:ascii="Calibri" w:eastAsia="Aptos" w:hAnsi="Calibri" w:cs="Calibri"/>
          <w:kern w:val="2"/>
          <w14:ligatures w14:val="standardContextual"/>
        </w:rPr>
        <w:t xml:space="preserve">: </w:t>
      </w:r>
      <w:r w:rsidR="12FC74F7" w:rsidRPr="32F200BF">
        <w:rPr>
          <w:rFonts w:ascii="Calibri" w:eastAsia="Aptos" w:hAnsi="Calibri" w:cs="Calibri"/>
          <w:kern w:val="2"/>
          <w14:ligatures w14:val="standardContextual"/>
        </w:rPr>
        <w:t>C</w:t>
      </w:r>
      <w:r w:rsidR="12FC74F7" w:rsidRPr="32F200BF">
        <w:rPr>
          <w:rFonts w:ascii="Calibri" w:eastAsia="Aptos" w:hAnsi="Calibri" w:cs="Calibri"/>
        </w:rPr>
        <w:t>atherine M. Brown, DVM, MSC, MPH, State Epidemiologist</w:t>
      </w:r>
    </w:p>
    <w:p w14:paraId="011B45B4" w14:textId="01987C6A" w:rsidR="12FC74F7" w:rsidRDefault="12FC74F7" w:rsidP="32F200BF">
      <w:pPr>
        <w:spacing w:after="160" w:line="278" w:lineRule="auto"/>
        <w:rPr>
          <w:rFonts w:ascii="Calibri" w:eastAsia="Aptos" w:hAnsi="Calibri" w:cs="Calibri"/>
        </w:rPr>
      </w:pPr>
      <w:r w:rsidRPr="32F200BF">
        <w:rPr>
          <w:rFonts w:ascii="Calibri" w:eastAsia="Aptos" w:hAnsi="Calibri" w:cs="Calibri"/>
        </w:rPr>
        <w:t xml:space="preserve">           Larry Madoff, MD, Medical Director, Bureau of Infectious </w:t>
      </w:r>
      <w:r w:rsidR="00F315B6">
        <w:rPr>
          <w:rFonts w:ascii="Calibri" w:eastAsia="Aptos" w:hAnsi="Calibri" w:cs="Calibri"/>
        </w:rPr>
        <w:t>Disease</w:t>
      </w:r>
      <w:r w:rsidRPr="32F200BF">
        <w:rPr>
          <w:rFonts w:ascii="Calibri" w:eastAsia="Aptos" w:hAnsi="Calibri" w:cs="Calibri"/>
        </w:rPr>
        <w:t xml:space="preserve"> and Laboratory Sciences</w:t>
      </w:r>
    </w:p>
    <w:p w14:paraId="29093E65" w14:textId="4987F62E" w:rsidR="00AF144D" w:rsidRPr="00AF144D" w:rsidRDefault="00AF144D" w:rsidP="32F200BF">
      <w:pPr>
        <w:spacing w:after="160" w:line="278" w:lineRule="auto"/>
        <w:rPr>
          <w:rFonts w:ascii="Calibri" w:eastAsia="Aptos" w:hAnsi="Calibri" w:cs="Calibri"/>
          <w:kern w:val="2"/>
          <w14:ligatures w14:val="standardContextual"/>
        </w:rPr>
      </w:pPr>
      <w:r w:rsidRPr="00E83DC2">
        <w:rPr>
          <w:rFonts w:ascii="Calibri" w:eastAsia="Aptos" w:hAnsi="Calibri" w:cs="Calibri"/>
          <w:b/>
          <w:bCs/>
          <w:kern w:val="2"/>
          <w14:ligatures w14:val="standardContextual"/>
        </w:rPr>
        <w:t>Date</w:t>
      </w:r>
      <w:r w:rsidRPr="32F200BF">
        <w:rPr>
          <w:rFonts w:ascii="Calibri" w:eastAsia="Aptos" w:hAnsi="Calibri" w:cs="Calibri"/>
          <w:kern w:val="2"/>
          <w14:ligatures w14:val="standardContextual"/>
        </w:rPr>
        <w:t xml:space="preserve">: May </w:t>
      </w:r>
      <w:r w:rsidR="009B6D54">
        <w:rPr>
          <w:rFonts w:ascii="Calibri" w:eastAsia="Aptos" w:hAnsi="Calibri" w:cs="Calibri"/>
          <w:kern w:val="2"/>
          <w14:ligatures w14:val="standardContextual"/>
        </w:rPr>
        <w:t>2</w:t>
      </w:r>
      <w:r w:rsidR="005F3376">
        <w:rPr>
          <w:rFonts w:ascii="Calibri" w:eastAsia="Aptos" w:hAnsi="Calibri" w:cs="Calibri"/>
          <w:kern w:val="2"/>
          <w14:ligatures w14:val="standardContextual"/>
        </w:rPr>
        <w:t>0</w:t>
      </w:r>
      <w:r w:rsidRPr="32F200BF">
        <w:rPr>
          <w:rFonts w:ascii="Calibri" w:eastAsia="Aptos" w:hAnsi="Calibri" w:cs="Calibri"/>
          <w:kern w:val="2"/>
          <w14:ligatures w14:val="standardContextual"/>
        </w:rPr>
        <w:t>, 2026</w:t>
      </w:r>
    </w:p>
    <w:p w14:paraId="62AB68FA" w14:textId="2A4A66AB" w:rsidR="00AF144D" w:rsidRPr="00AF144D" w:rsidRDefault="00F315B6" w:rsidP="32F200BF">
      <w:pPr>
        <w:spacing w:after="160" w:line="278" w:lineRule="auto"/>
        <w:rPr>
          <w:rFonts w:ascii="Calibri" w:eastAsia="Aptos" w:hAnsi="Calibri" w:cs="Calibri"/>
          <w:kern w:val="2"/>
          <w14:ligatures w14:val="standardContextual"/>
        </w:rPr>
      </w:pPr>
      <w:r w:rsidRPr="00E83DC2">
        <w:rPr>
          <w:rFonts w:ascii="Calibri" w:eastAsia="Aptos" w:hAnsi="Calibri" w:cs="Calibri"/>
          <w:b/>
          <w:bCs/>
          <w:noProof/>
          <w:kern w:val="2"/>
          <w:szCs w:val="24"/>
        </w:rPr>
        <mc:AlternateContent>
          <mc:Choice Requires="wps">
            <w:drawing>
              <wp:anchor distT="0" distB="0" distL="114300" distR="114300" simplePos="0" relativeHeight="251658240" behindDoc="0" locked="0" layoutInCell="1" allowOverlap="1" wp14:anchorId="604CC5E9" wp14:editId="4014197C">
                <wp:simplePos x="0" y="0"/>
                <wp:positionH relativeFrom="column">
                  <wp:posOffset>-15240</wp:posOffset>
                </wp:positionH>
                <wp:positionV relativeFrom="paragraph">
                  <wp:posOffset>221615</wp:posOffset>
                </wp:positionV>
                <wp:extent cx="6134100" cy="7620"/>
                <wp:effectExtent l="0" t="0" r="19050" b="30480"/>
                <wp:wrapNone/>
                <wp:docPr id="257017338" name="Straight Connector 4"/>
                <wp:cNvGraphicFramePr/>
                <a:graphic xmlns:a="http://schemas.openxmlformats.org/drawingml/2006/main">
                  <a:graphicData uri="http://schemas.microsoft.com/office/word/2010/wordprocessingShape">
                    <wps:wsp>
                      <wps:cNvCnPr/>
                      <wps:spPr>
                        <a:xfrm>
                          <a:off x="0" y="0"/>
                          <a:ext cx="61341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78237"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45pt" to="481.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" strokecolor="black [3213]" strokeweight="1.5pt">
                <v:stroke joinstyle="miter"/>
              </v:line>
            </w:pict>
          </mc:Fallback>
        </mc:AlternateContent>
      </w:r>
      <w:r w:rsidR="00AF144D" w:rsidRPr="00E83DC2">
        <w:rPr>
          <w:rFonts w:ascii="Calibri" w:eastAsia="Aptos" w:hAnsi="Calibri" w:cs="Calibri"/>
          <w:b/>
          <w:bCs/>
          <w:kern w:val="2"/>
          <w14:ligatures w14:val="standardContextual"/>
        </w:rPr>
        <w:t>Re</w:t>
      </w:r>
      <w:r w:rsidR="00AF144D" w:rsidRPr="32F200BF">
        <w:rPr>
          <w:rFonts w:ascii="Calibri" w:eastAsia="Aptos" w:hAnsi="Calibri" w:cs="Calibri"/>
          <w:kern w:val="2"/>
          <w14:ligatures w14:val="standardContextual"/>
        </w:rPr>
        <w:t xml:space="preserve">: </w:t>
      </w:r>
      <w:r w:rsidR="22E53E30" w:rsidRPr="32F200BF">
        <w:rPr>
          <w:rFonts w:ascii="Calibri" w:eastAsia="Aptos" w:hAnsi="Calibri" w:cs="Calibri"/>
          <w:kern w:val="2"/>
          <w14:ligatures w14:val="standardContextual"/>
        </w:rPr>
        <w:t>Notification by Phone for Reporting Certain Infectious Conditions</w:t>
      </w:r>
    </w:p>
    <w:p w14:paraId="34FCA739" w14:textId="7E1A3BC4" w:rsidR="1AD9F71F" w:rsidRDefault="1AD9F71F" w:rsidP="38A53683">
      <w:pPr>
        <w:spacing w:before="120" w:after="160" w:line="278" w:lineRule="auto"/>
        <w:rPr>
          <w:rFonts w:ascii="Calibri" w:eastAsia="Aptos" w:hAnsi="Calibri" w:cs="Calibri"/>
          <w:u w:val="single"/>
        </w:rPr>
      </w:pPr>
      <w:r w:rsidRPr="38A53683">
        <w:rPr>
          <w:rFonts w:ascii="Calibri" w:eastAsia="Aptos" w:hAnsi="Calibri" w:cs="Calibri"/>
          <w:u w:val="single"/>
        </w:rPr>
        <w:t xml:space="preserve">This memo contains important </w:t>
      </w:r>
      <w:r w:rsidR="69901CB9" w:rsidRPr="38A53683">
        <w:rPr>
          <w:rFonts w:ascii="Calibri" w:eastAsia="Aptos" w:hAnsi="Calibri" w:cs="Calibri"/>
          <w:u w:val="single"/>
        </w:rPr>
        <w:t xml:space="preserve">reminders </w:t>
      </w:r>
      <w:r w:rsidRPr="38A53683">
        <w:rPr>
          <w:rFonts w:ascii="Calibri" w:eastAsia="Aptos" w:hAnsi="Calibri" w:cs="Calibri"/>
          <w:u w:val="single"/>
        </w:rPr>
        <w:t xml:space="preserve">about reporting infectious disease </w:t>
      </w:r>
      <w:r w:rsidR="77EEEA03" w:rsidRPr="38A53683">
        <w:rPr>
          <w:rFonts w:ascii="Calibri" w:eastAsia="Aptos" w:hAnsi="Calibri" w:cs="Calibri"/>
          <w:u w:val="single"/>
        </w:rPr>
        <w:t>diagnoses regardless of patient residence</w:t>
      </w:r>
      <w:r w:rsidRPr="38A53683">
        <w:rPr>
          <w:rFonts w:ascii="Calibri" w:eastAsia="Aptos" w:hAnsi="Calibri" w:cs="Calibri"/>
          <w:u w:val="single"/>
        </w:rPr>
        <w:t>, includ</w:t>
      </w:r>
      <w:r w:rsidR="415D66D2" w:rsidRPr="38A53683">
        <w:rPr>
          <w:rFonts w:ascii="Calibri" w:eastAsia="Aptos" w:hAnsi="Calibri" w:cs="Calibri"/>
          <w:u w:val="single"/>
        </w:rPr>
        <w:t xml:space="preserve">ing regulatory requirements and </w:t>
      </w:r>
      <w:r w:rsidR="0105F584" w:rsidRPr="38A53683">
        <w:rPr>
          <w:rFonts w:ascii="Calibri" w:eastAsia="Aptos" w:hAnsi="Calibri" w:cs="Calibri"/>
          <w:u w:val="single"/>
        </w:rPr>
        <w:t xml:space="preserve">recommended </w:t>
      </w:r>
      <w:r w:rsidR="7E9B2FB0" w:rsidRPr="38A53683">
        <w:rPr>
          <w:rFonts w:ascii="Calibri" w:eastAsia="Aptos" w:hAnsi="Calibri" w:cs="Calibri"/>
          <w:u w:val="single"/>
        </w:rPr>
        <w:t>notification mechanism</w:t>
      </w:r>
      <w:r w:rsidR="5D5A7A51" w:rsidRPr="38A53683">
        <w:rPr>
          <w:rFonts w:ascii="Calibri" w:eastAsia="Aptos" w:hAnsi="Calibri" w:cs="Calibri"/>
          <w:u w:val="single"/>
        </w:rPr>
        <w:t>s.</w:t>
      </w:r>
    </w:p>
    <w:p w14:paraId="158964F1" w14:textId="35FDC543" w:rsidR="00AF144D" w:rsidRPr="00AF144D" w:rsidRDefault="00AF144D" w:rsidP="00AF144D">
      <w:pPr>
        <w:spacing w:before="120" w:after="160" w:line="278" w:lineRule="auto"/>
        <w:rPr>
          <w:rFonts w:ascii="Calibri" w:eastAsia="Aptos" w:hAnsi="Calibri" w:cs="Calibri"/>
          <w:kern w:val="2"/>
          <w:szCs w:val="24"/>
          <w14:ligatures w14:val="standardContextual"/>
        </w:rPr>
      </w:pPr>
      <w:r w:rsidRPr="32F200BF">
        <w:rPr>
          <w:rFonts w:ascii="Calibri" w:eastAsia="Aptos" w:hAnsi="Calibri" w:cs="Calibri"/>
          <w:kern w:val="2"/>
          <w14:ligatures w14:val="standardContextual"/>
        </w:rPr>
        <w:t>World Cup 2026 is expected to draw visitors from all over the world to the United States and Massachusetts. This degree of travel combined with congregation of fans at events will</w:t>
      </w:r>
      <w:r w:rsidR="00FF6052" w:rsidRPr="32F200BF">
        <w:rPr>
          <w:rFonts w:ascii="Calibri" w:eastAsia="Aptos" w:hAnsi="Calibri" w:cs="Calibri"/>
          <w:kern w:val="2"/>
          <w14:ligatures w14:val="standardContextual"/>
        </w:rPr>
        <w:t xml:space="preserve"> likely</w:t>
      </w:r>
      <w:r w:rsidRPr="32F200BF">
        <w:rPr>
          <w:rFonts w:ascii="Calibri" w:eastAsia="Aptos" w:hAnsi="Calibri" w:cs="Calibri"/>
          <w:kern w:val="2"/>
          <w14:ligatures w14:val="standardContextual"/>
        </w:rPr>
        <w:t xml:space="preserve"> facilitate the spread of infectious diseases. Healthcare and public health systems are partners in our collective work of diagnosing and treating patients and reducing spread of these diseases. The Massachusetts Department of Public Health (DPH) has been preparing our surveillance systems to rapidly identify and track trends in infectious disease</w:t>
      </w:r>
      <w:r w:rsidR="00121526">
        <w:rPr>
          <w:rFonts w:ascii="Calibri" w:eastAsia="Aptos" w:hAnsi="Calibri" w:cs="Calibri"/>
          <w:kern w:val="2"/>
          <w14:ligatures w14:val="standardContextual"/>
        </w:rPr>
        <w:t>s</w:t>
      </w:r>
      <w:r w:rsidRPr="32F200BF">
        <w:rPr>
          <w:rFonts w:ascii="Calibri" w:eastAsia="Aptos" w:hAnsi="Calibri" w:cs="Calibri"/>
          <w:kern w:val="2"/>
          <w14:ligatures w14:val="standardContextual"/>
        </w:rPr>
        <w:t xml:space="preserve"> to support this work. </w:t>
      </w:r>
    </w:p>
    <w:p w14:paraId="52F2331D" w14:textId="284AD13F" w:rsidR="00AF144D" w:rsidRPr="00322405" w:rsidRDefault="25EF806B" w:rsidP="32F200BF">
      <w:pPr>
        <w:spacing w:after="160" w:line="278" w:lineRule="auto"/>
        <w:rPr>
          <w:rFonts w:asciiTheme="minorHAnsi" w:eastAsia="Aptos" w:hAnsiTheme="minorHAnsi" w:cstheme="minorHAnsi"/>
          <w:b/>
          <w:bCs/>
          <w:kern w:val="2"/>
          <w14:ligatures w14:val="standardContextual"/>
        </w:rPr>
      </w:pPr>
      <w:r w:rsidRPr="00322405">
        <w:rPr>
          <w:rFonts w:asciiTheme="minorHAnsi" w:eastAsia="Aptos" w:hAnsiTheme="minorHAnsi" w:cstheme="minorHAnsi"/>
        </w:rPr>
        <w:t xml:space="preserve">Reporting requirements are outlined in </w:t>
      </w:r>
      <w:hyperlink r:id="rId11">
        <w:r w:rsidRPr="00322405">
          <w:rPr>
            <w:rFonts w:asciiTheme="minorHAnsi" w:eastAsia="Aptos" w:hAnsiTheme="minorHAnsi" w:cstheme="minorHAnsi"/>
            <w:color w:val="467886"/>
            <w:u w:val="single"/>
          </w:rPr>
          <w:t>105 CMR 300: Reportable diseases, surveillance, and isolation and quarantine requirements</w:t>
        </w:r>
        <w:r w:rsidR="0819B11E" w:rsidRPr="00322405">
          <w:rPr>
            <w:rFonts w:asciiTheme="minorHAnsi" w:eastAsia="Aptos" w:hAnsiTheme="minorHAnsi" w:cstheme="minorHAnsi"/>
            <w:color w:val="467886"/>
            <w:u w:val="single"/>
          </w:rPr>
          <w:t>.</w:t>
        </w:r>
      </w:hyperlink>
      <w:r w:rsidR="00322405" w:rsidRPr="00322405">
        <w:rPr>
          <w:rFonts w:asciiTheme="minorHAnsi" w:hAnsiTheme="minorHAnsi" w:cstheme="minorHAnsi"/>
          <w:kern w:val="2"/>
          <w14:ligatures w14:val="standardContextual"/>
        </w:rPr>
        <w:t xml:space="preserve"> Massachusetts has a robust reporting system that relies on both reporting by health care providers and from laboratories (often through electronic means). </w:t>
      </w:r>
      <w:r w:rsidR="00322405" w:rsidRPr="00322405">
        <w:rPr>
          <w:rFonts w:asciiTheme="minorHAnsi" w:hAnsiTheme="minorHAnsi" w:cstheme="minorHAnsi"/>
          <w:b/>
          <w:bCs/>
          <w:kern w:val="2"/>
          <w14:ligatures w14:val="standardContextual"/>
        </w:rPr>
        <w:t xml:space="preserve">However, </w:t>
      </w:r>
      <w:r w:rsidR="00AF144D" w:rsidRPr="00322405">
        <w:rPr>
          <w:rFonts w:asciiTheme="minorHAnsi" w:eastAsia="Aptos" w:hAnsiTheme="minorHAnsi" w:cstheme="minorHAnsi"/>
          <w:b/>
          <w:bCs/>
          <w:kern w:val="2"/>
          <w14:ligatures w14:val="standardContextual"/>
        </w:rPr>
        <w:t>DPH does NOT routinely receive electronic laboratory reports on non-residents receiving healthcare services in the state</w:t>
      </w:r>
      <w:r w:rsidR="00BC3FF4" w:rsidRPr="00322405">
        <w:rPr>
          <w:rFonts w:asciiTheme="minorHAnsi" w:eastAsia="Aptos" w:hAnsiTheme="minorHAnsi" w:cstheme="minorHAnsi"/>
          <w:b/>
          <w:bCs/>
        </w:rPr>
        <w:t>.</w:t>
      </w:r>
      <w:r w:rsidR="00AF144D" w:rsidRPr="00322405" w:rsidDel="008A3647">
        <w:rPr>
          <w:rFonts w:asciiTheme="minorHAnsi" w:eastAsia="Aptos" w:hAnsiTheme="minorHAnsi" w:cstheme="minorHAnsi"/>
          <w:b/>
          <w:bCs/>
          <w:kern w:val="2"/>
          <w14:ligatures w14:val="standardContextual"/>
        </w:rPr>
        <w:t xml:space="preserve"> </w:t>
      </w:r>
      <w:r w:rsidR="008A3647" w:rsidRPr="00322405">
        <w:rPr>
          <w:rFonts w:asciiTheme="minorHAnsi" w:eastAsia="Aptos" w:hAnsiTheme="minorHAnsi" w:cstheme="minorHAnsi"/>
          <w:b/>
          <w:bCs/>
        </w:rPr>
        <w:t>It is</w:t>
      </w:r>
      <w:r w:rsidR="00322405" w:rsidRPr="00322405">
        <w:rPr>
          <w:rFonts w:asciiTheme="minorHAnsi" w:hAnsiTheme="minorHAnsi" w:cstheme="minorHAnsi"/>
          <w:b/>
          <w:bCs/>
          <w:kern w:val="2"/>
          <w14:ligatures w14:val="standardContextual"/>
        </w:rPr>
        <w:t xml:space="preserve"> essential that healthcare providers and laboratories notify DPH of reportable infectious diseases, regardless of the patient’s residency.</w:t>
      </w:r>
    </w:p>
    <w:p w14:paraId="16430EAD" w14:textId="50388C05" w:rsidR="00AF144D" w:rsidRPr="00AF144D" w:rsidRDefault="00AF144D" w:rsidP="00AF144D">
      <w:pPr>
        <w:spacing w:after="160" w:line="278" w:lineRule="auto"/>
        <w:rPr>
          <w:rFonts w:ascii="Calibri" w:eastAsia="Aptos" w:hAnsi="Calibri" w:cs="Calibri"/>
          <w:kern w:val="2"/>
          <w14:ligatures w14:val="standardContextual"/>
        </w:rPr>
      </w:pPr>
      <w:r w:rsidRPr="58D35B0C">
        <w:rPr>
          <w:rFonts w:ascii="Calibri" w:eastAsia="Aptos" w:hAnsi="Calibri" w:cs="Calibri"/>
          <w:kern w:val="2"/>
          <w14:ligatures w14:val="standardContextual"/>
        </w:rPr>
        <w:t xml:space="preserve">While mandated reporters are expected to </w:t>
      </w:r>
      <w:r w:rsidR="09C5DD93" w:rsidRPr="58D35B0C">
        <w:rPr>
          <w:rFonts w:ascii="Calibri" w:eastAsia="Aptos" w:hAnsi="Calibri" w:cs="Calibri"/>
          <w:kern w:val="2"/>
          <w14:ligatures w14:val="standardContextual"/>
        </w:rPr>
        <w:t>report</w:t>
      </w:r>
      <w:r w:rsidRPr="58D35B0C">
        <w:rPr>
          <w:rFonts w:ascii="Calibri" w:eastAsia="Aptos" w:hAnsi="Calibri" w:cs="Calibri"/>
          <w:kern w:val="2"/>
          <w14:ligatures w14:val="standardContextual"/>
        </w:rPr>
        <w:t xml:space="preserve"> all </w:t>
      </w:r>
      <w:r w:rsidR="09C5DD93" w:rsidRPr="58D35B0C">
        <w:rPr>
          <w:rFonts w:ascii="Calibri" w:eastAsia="Aptos" w:hAnsi="Calibri" w:cs="Calibri"/>
          <w:kern w:val="2"/>
          <w14:ligatures w14:val="standardContextual"/>
        </w:rPr>
        <w:t>suspect or confirmed cases of any disease included</w:t>
      </w:r>
      <w:r w:rsidRPr="58D35B0C">
        <w:rPr>
          <w:rFonts w:ascii="Calibri" w:eastAsia="Aptos" w:hAnsi="Calibri" w:cs="Calibri"/>
          <w:kern w:val="2"/>
          <w14:ligatures w14:val="standardContextual"/>
        </w:rPr>
        <w:t xml:space="preserve"> in the regulations, DPH is taking this opportunity to highlight the </w:t>
      </w:r>
      <w:proofErr w:type="gramStart"/>
      <w:r w:rsidRPr="58D35B0C">
        <w:rPr>
          <w:rFonts w:ascii="Calibri" w:eastAsia="Aptos" w:hAnsi="Calibri" w:cs="Calibri"/>
          <w:kern w:val="2"/>
          <w14:ligatures w14:val="standardContextual"/>
        </w:rPr>
        <w:t>particular need</w:t>
      </w:r>
      <w:proofErr w:type="gramEnd"/>
      <w:r w:rsidRPr="58D35B0C">
        <w:rPr>
          <w:rFonts w:ascii="Calibri" w:eastAsia="Aptos" w:hAnsi="Calibri" w:cs="Calibri"/>
          <w:kern w:val="2"/>
          <w14:ligatures w14:val="standardContextual"/>
        </w:rPr>
        <w:t xml:space="preserve"> to call DPH immediately for a subset of reportable infectious conditions. These are conditions that may require prompt public health action to prevent further spread of disease. </w:t>
      </w:r>
      <w:r w:rsidR="38F95DC3" w:rsidRPr="58D35B0C">
        <w:rPr>
          <w:rFonts w:ascii="Calibri" w:eastAsia="Aptos" w:hAnsi="Calibri" w:cs="Calibri"/>
          <w:kern w:val="2"/>
          <w14:ligatures w14:val="standardContextual"/>
        </w:rPr>
        <w:t>Providers</w:t>
      </w:r>
      <w:r w:rsidR="4F1EB507" w:rsidRPr="58D35B0C">
        <w:rPr>
          <w:rFonts w:ascii="Calibri" w:eastAsia="Aptos" w:hAnsi="Calibri" w:cs="Calibri"/>
          <w:kern w:val="2"/>
          <w14:ligatures w14:val="standardContextual"/>
        </w:rPr>
        <w:t xml:space="preserve"> and </w:t>
      </w:r>
      <w:r w:rsidR="4F1EB507" w:rsidRPr="58D35B0C">
        <w:rPr>
          <w:rFonts w:ascii="Calibri" w:eastAsia="Aptos" w:hAnsi="Calibri" w:cs="Calibri"/>
          <w:kern w:val="2"/>
          <w14:ligatures w14:val="standardContextual"/>
        </w:rPr>
        <w:lastRenderedPageBreak/>
        <w:t xml:space="preserve">laboratory </w:t>
      </w:r>
      <w:r w:rsidRPr="58D35B0C">
        <w:rPr>
          <w:rFonts w:ascii="Calibri" w:eastAsia="Aptos" w:hAnsi="Calibri" w:cs="Calibri"/>
        </w:rPr>
        <w:t>facilities should call the DPH Epidemiology Line available 24/7 at 617-983-6800 for any suspect or confirmed cases of the following diseases.</w:t>
      </w:r>
      <w:r w:rsidR="00786A0C" w:rsidRPr="38A53683">
        <w:rPr>
          <w:rFonts w:ascii="Calibri" w:eastAsia="Aptos" w:hAnsi="Calibri" w:cs="Calibri"/>
        </w:rPr>
        <w:t xml:space="preserve"> </w:t>
      </w:r>
    </w:p>
    <w:p w14:paraId="7A388DD0" w14:textId="0767054D" w:rsidR="00AF144D" w:rsidRPr="00AF144D" w:rsidRDefault="00AF144D" w:rsidP="00AF144D">
      <w:pPr>
        <w:spacing w:after="160" w:line="278" w:lineRule="auto"/>
        <w:rPr>
          <w:rFonts w:ascii="Calibri" w:eastAsia="Aptos" w:hAnsi="Calibri" w:cs="Calibri"/>
          <w:kern w:val="2"/>
          <w14:ligatures w14:val="standardContextual"/>
        </w:rPr>
      </w:pPr>
      <w:r w:rsidRPr="58D35B0C">
        <w:rPr>
          <w:rFonts w:ascii="Calibri" w:eastAsia="Aptos" w:hAnsi="Calibri" w:cs="Calibri"/>
          <w:kern w:val="2"/>
          <w14:ligatures w14:val="standardContextual"/>
        </w:rPr>
        <w:t>From 105 CMR 300.100:</w:t>
      </w:r>
      <w:r w:rsidR="37A22779" w:rsidRPr="58D35B0C">
        <w:rPr>
          <w:rFonts w:ascii="Calibri" w:eastAsia="Aptos" w:hAnsi="Calibri" w:cs="Calibri"/>
          <w:kern w:val="2"/>
          <w14:ligatures w14:val="standardContextual"/>
        </w:rPr>
        <w:t xml:space="preserve"> and 300.170</w:t>
      </w:r>
    </w:p>
    <w:p w14:paraId="66A552DB" w14:textId="77777777" w:rsidR="00AF144D" w:rsidRPr="00AF144D" w:rsidRDefault="00AF144D" w:rsidP="00AF144D">
      <w:pPr>
        <w:numPr>
          <w:ilvl w:val="0"/>
          <w:numId w:val="7"/>
        </w:numPr>
        <w:spacing w:after="160" w:line="278" w:lineRule="auto"/>
        <w:contextualSpacing/>
        <w:rPr>
          <w:rFonts w:ascii="Arial" w:eastAsia="Aptos" w:hAnsi="Arial" w:cs="Arial"/>
          <w:kern w:val="2"/>
          <w:sz w:val="18"/>
          <w:szCs w:val="18"/>
          <w14:ligatures w14:val="standardContextual"/>
        </w:rPr>
        <w:sectPr w:rsidR="00AF144D" w:rsidRPr="00AF144D" w:rsidSect="00F315B6">
          <w:type w:val="continuous"/>
          <w:pgSz w:w="12240" w:h="15840"/>
          <w:pgMar w:top="1440" w:right="1350" w:bottom="1440" w:left="1440" w:header="720" w:footer="720" w:gutter="0"/>
          <w:cols w:space="720"/>
          <w:docGrid w:linePitch="360"/>
        </w:sectPr>
      </w:pPr>
    </w:p>
    <w:p w14:paraId="394D2FE5" w14:textId="77777777" w:rsidR="00F315B6" w:rsidRPr="00F315B6" w:rsidRDefault="00AF144D" w:rsidP="00AF54E4">
      <w:pPr>
        <w:numPr>
          <w:ilvl w:val="0"/>
          <w:numId w:val="7"/>
        </w:numPr>
        <w:spacing w:after="160" w:line="278" w:lineRule="auto"/>
        <w:contextualSpacing/>
        <w:rPr>
          <w:rFonts w:ascii="Calibri" w:eastAsia="Aptos" w:hAnsi="Calibri" w:cs="Calibri"/>
          <w:kern w:val="2"/>
          <w:szCs w:val="24"/>
          <w14:ligatures w14:val="standardContextual"/>
        </w:rPr>
      </w:pPr>
      <w:r w:rsidRPr="00F315B6">
        <w:rPr>
          <w:rFonts w:ascii="Calibri" w:eastAsia="Aptos" w:hAnsi="Calibri" w:cs="Calibri"/>
          <w:kern w:val="2"/>
          <w14:ligatures w14:val="standardContextual"/>
        </w:rPr>
        <w:t>Acute human immunodeficiency virus (HIV</w:t>
      </w:r>
      <w:r w:rsidR="790B0126" w:rsidRPr="00F315B6">
        <w:rPr>
          <w:rFonts w:ascii="Calibri" w:eastAsia="Aptos" w:hAnsi="Calibri" w:cs="Calibri"/>
          <w:kern w:val="2"/>
          <w14:ligatures w14:val="standardContextual"/>
        </w:rPr>
        <w:t>)</w:t>
      </w:r>
    </w:p>
    <w:p w14:paraId="179482E6" w14:textId="5A88485E" w:rsidR="00AF144D" w:rsidRPr="00F315B6" w:rsidRDefault="00AF144D" w:rsidP="00AF54E4">
      <w:pPr>
        <w:numPr>
          <w:ilvl w:val="0"/>
          <w:numId w:val="7"/>
        </w:numPr>
        <w:spacing w:after="160" w:line="278" w:lineRule="auto"/>
        <w:contextualSpacing/>
        <w:rPr>
          <w:rFonts w:ascii="Calibri" w:eastAsia="Aptos" w:hAnsi="Calibri" w:cs="Calibri"/>
          <w:kern w:val="2"/>
          <w:szCs w:val="24"/>
          <w14:ligatures w14:val="standardContextual"/>
        </w:rPr>
      </w:pPr>
      <w:r w:rsidRPr="00F315B6">
        <w:rPr>
          <w:rFonts w:ascii="Calibri" w:eastAsia="Aptos" w:hAnsi="Calibri" w:cs="Calibri"/>
          <w:kern w:val="2"/>
          <w:szCs w:val="24"/>
          <w14:ligatures w14:val="standardContextual"/>
        </w:rPr>
        <w:t>Anthrax</w:t>
      </w:r>
    </w:p>
    <w:p w14:paraId="376E731E"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Botulism</w:t>
      </w:r>
    </w:p>
    <w:p w14:paraId="23431D44"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Cholera</w:t>
      </w:r>
    </w:p>
    <w:p w14:paraId="60C68B99"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Diphtheria</w:t>
      </w:r>
    </w:p>
    <w:p w14:paraId="3BE65AE1"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Eastern equine encephalitis</w:t>
      </w:r>
    </w:p>
    <w:p w14:paraId="0F392B9B"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 xml:space="preserve">Foodborne illness due to toxins, such as ciguatera or </w:t>
      </w:r>
      <w:proofErr w:type="spellStart"/>
      <w:r w:rsidRPr="00AF144D">
        <w:rPr>
          <w:rFonts w:ascii="Calibri" w:eastAsia="Aptos" w:hAnsi="Calibri" w:cs="Calibri"/>
          <w:kern w:val="2"/>
          <w:szCs w:val="24"/>
          <w14:ligatures w14:val="standardContextual"/>
        </w:rPr>
        <w:t>scombrotoxin</w:t>
      </w:r>
      <w:proofErr w:type="spellEnd"/>
    </w:p>
    <w:p w14:paraId="1F4A7FD3"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Group A streptococcus, invasive</w:t>
      </w:r>
    </w:p>
    <w:p w14:paraId="08168312"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Hantavirus</w:t>
      </w:r>
    </w:p>
    <w:p w14:paraId="62AEEC9B"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proofErr w:type="spellStart"/>
      <w:r w:rsidRPr="00AF144D">
        <w:rPr>
          <w:rFonts w:ascii="Calibri" w:eastAsia="Aptos" w:hAnsi="Calibri" w:cs="Calibri"/>
          <w:i/>
          <w:iCs/>
          <w:kern w:val="2"/>
          <w:szCs w:val="24"/>
          <w14:ligatures w14:val="standardContextual"/>
        </w:rPr>
        <w:t>Haemophilus</w:t>
      </w:r>
      <w:proofErr w:type="spellEnd"/>
      <w:r w:rsidRPr="00AF144D">
        <w:rPr>
          <w:rFonts w:ascii="Calibri" w:eastAsia="Aptos" w:hAnsi="Calibri" w:cs="Calibri"/>
          <w:i/>
          <w:iCs/>
          <w:kern w:val="2"/>
          <w:szCs w:val="24"/>
          <w14:ligatures w14:val="standardContextual"/>
        </w:rPr>
        <w:t xml:space="preserve"> influenzae</w:t>
      </w:r>
      <w:r w:rsidRPr="00AF144D">
        <w:rPr>
          <w:rFonts w:ascii="Calibri" w:eastAsia="Aptos" w:hAnsi="Calibri" w:cs="Calibri"/>
          <w:kern w:val="2"/>
          <w:szCs w:val="24"/>
          <w14:ligatures w14:val="standardContextual"/>
        </w:rPr>
        <w:t>, invasive</w:t>
      </w:r>
    </w:p>
    <w:p w14:paraId="6BB7D072"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Hemolytic uremic syndrome</w:t>
      </w:r>
    </w:p>
    <w:p w14:paraId="05C492F7"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Hepatitis A – acute disease</w:t>
      </w:r>
    </w:p>
    <w:p w14:paraId="6146B06C"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Influenza, pediatric deaths (&lt; 18 years)</w:t>
      </w:r>
    </w:p>
    <w:p w14:paraId="6FEAFCE4"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Infection with novel influenza A viruses</w:t>
      </w:r>
    </w:p>
    <w:p w14:paraId="24F4B8FB"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Measles</w:t>
      </w:r>
    </w:p>
    <w:p w14:paraId="5B693C4A"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 xml:space="preserve">Meningococcal disease (invasive </w:t>
      </w:r>
      <w:r w:rsidRPr="00AF144D">
        <w:rPr>
          <w:rFonts w:ascii="Calibri" w:eastAsia="Aptos" w:hAnsi="Calibri" w:cs="Calibri"/>
          <w:i/>
          <w:iCs/>
          <w:kern w:val="2"/>
          <w:szCs w:val="24"/>
          <w14:ligatures w14:val="standardContextual"/>
        </w:rPr>
        <w:t>Neisseria meningitidis</w:t>
      </w:r>
      <w:r w:rsidRPr="00AF144D">
        <w:rPr>
          <w:rFonts w:ascii="Calibri" w:eastAsia="Aptos" w:hAnsi="Calibri" w:cs="Calibri"/>
          <w:kern w:val="2"/>
          <w:szCs w:val="24"/>
          <w14:ligatures w14:val="standardContextual"/>
        </w:rPr>
        <w:t>)</w:t>
      </w:r>
    </w:p>
    <w:p w14:paraId="6F3ACB2E"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Plague</w:t>
      </w:r>
    </w:p>
    <w:p w14:paraId="3D919DEB"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Polio</w:t>
      </w:r>
    </w:p>
    <w:p w14:paraId="1664241A"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Pox viruses, such as mpox, vaccinia or variola (smallpox)</w:t>
      </w:r>
    </w:p>
    <w:p w14:paraId="1AC9CA38"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Rabies (human)</w:t>
      </w:r>
    </w:p>
    <w:p w14:paraId="4A5F98D7"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Respiratory infection due to novel coronavirus (e.g. SARS or MERS)</w:t>
      </w:r>
    </w:p>
    <w:p w14:paraId="5077496B"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Rubella</w:t>
      </w:r>
    </w:p>
    <w:p w14:paraId="0B487B7F"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Staphylococcus aureus, vancomycin-intermediate (VISA) or resistant (VRSA)</w:t>
      </w:r>
    </w:p>
    <w:p w14:paraId="76B660A5"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Tetanus</w:t>
      </w:r>
    </w:p>
    <w:p w14:paraId="4DA68BE8"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Tuberculosis – active disease</w:t>
      </w:r>
    </w:p>
    <w:p w14:paraId="095227C4"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Tularemia</w:t>
      </w:r>
    </w:p>
    <w:p w14:paraId="2FCC2D92"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Typhoid fever</w:t>
      </w:r>
    </w:p>
    <w:p w14:paraId="46FD09B0"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Viral hemorrhagic fevers, (e.g. Ebola, Marburg or Lassa)</w:t>
      </w:r>
    </w:p>
    <w:p w14:paraId="746981FF" w14:textId="77777777" w:rsidR="00AF144D" w:rsidRPr="00AF144D" w:rsidRDefault="00AF144D" w:rsidP="00AF144D">
      <w:pPr>
        <w:numPr>
          <w:ilvl w:val="0"/>
          <w:numId w:val="7"/>
        </w:numPr>
        <w:spacing w:after="160" w:line="278" w:lineRule="auto"/>
        <w:contextualSpacing/>
        <w:rPr>
          <w:rFonts w:ascii="Calibri" w:eastAsia="Aptos" w:hAnsi="Calibri" w:cs="Calibri"/>
          <w:kern w:val="2"/>
          <w:szCs w:val="24"/>
          <w14:ligatures w14:val="standardContextual"/>
        </w:rPr>
      </w:pPr>
      <w:r w:rsidRPr="00AF144D">
        <w:rPr>
          <w:rFonts w:ascii="Calibri" w:eastAsia="Aptos" w:hAnsi="Calibri" w:cs="Calibri"/>
          <w:kern w:val="2"/>
          <w:szCs w:val="24"/>
          <w14:ligatures w14:val="standardContextual"/>
        </w:rPr>
        <w:t>West Nile virus</w:t>
      </w:r>
    </w:p>
    <w:p w14:paraId="0EAD0468" w14:textId="77777777" w:rsidR="00AF144D" w:rsidRPr="00AF144D" w:rsidRDefault="00AF144D" w:rsidP="00AF144D">
      <w:pPr>
        <w:spacing w:after="160" w:line="278" w:lineRule="auto"/>
        <w:rPr>
          <w:rFonts w:ascii="Calibri" w:eastAsia="Aptos" w:hAnsi="Calibri" w:cs="Calibri"/>
          <w:kern w:val="2"/>
          <w:szCs w:val="24"/>
          <w14:ligatures w14:val="standardContextual"/>
        </w:rPr>
        <w:sectPr w:rsidR="00AF144D" w:rsidRPr="00AF144D" w:rsidSect="00AF144D">
          <w:type w:val="continuous"/>
          <w:pgSz w:w="12240" w:h="15840"/>
          <w:pgMar w:top="1440" w:right="1440" w:bottom="1440" w:left="1440" w:header="720" w:footer="720" w:gutter="0"/>
          <w:cols w:num="2" w:space="180"/>
          <w:docGrid w:linePitch="360"/>
        </w:sectPr>
      </w:pPr>
    </w:p>
    <w:p w14:paraId="67218613" w14:textId="7F744C73" w:rsidR="00AF144D" w:rsidRPr="00322405" w:rsidRDefault="00AF144D" w:rsidP="00AF144D">
      <w:pPr>
        <w:spacing w:after="160" w:line="278" w:lineRule="auto"/>
        <w:rPr>
          <w:rFonts w:ascii="Calibri" w:eastAsia="Aptos" w:hAnsi="Calibri" w:cs="Calibri"/>
          <w:b/>
          <w:bCs/>
          <w:kern w:val="2"/>
          <w:szCs w:val="24"/>
          <w14:ligatures w14:val="standardContextual"/>
        </w:rPr>
      </w:pPr>
      <w:r w:rsidRPr="00322405">
        <w:rPr>
          <w:rFonts w:ascii="Calibri" w:eastAsia="Aptos" w:hAnsi="Calibri" w:cs="Calibri"/>
          <w:b/>
          <w:bCs/>
          <w:kern w:val="2"/>
          <w:szCs w:val="24"/>
          <w14:ligatures w14:val="standardContextual"/>
        </w:rPr>
        <w:t>In addition, any unusual disease or any illness believed to be part of a cluster or outbreak should also be reported by phone to the DPH Epidemiology Line available 24/7 at 617-983-6800 as required in 105 CMR 300.133 and .134.</w:t>
      </w:r>
    </w:p>
    <w:p w14:paraId="3523C9D7" w14:textId="658550BA" w:rsidR="0046259C" w:rsidRDefault="002E5E70" w:rsidP="00AF144D">
      <w:pPr>
        <w:spacing w:after="160" w:line="278" w:lineRule="auto"/>
        <w:rPr>
          <w:rFonts w:ascii="Calibri" w:eastAsia="Aptos" w:hAnsi="Calibri" w:cs="Calibri"/>
          <w:kern w:val="2"/>
          <w14:ligatures w14:val="standardContextual"/>
        </w:rPr>
      </w:pPr>
      <w:r>
        <w:rPr>
          <w:rFonts w:ascii="Calibri" w:eastAsia="Aptos" w:hAnsi="Calibri" w:cs="Calibri"/>
          <w:kern w:val="2"/>
          <w14:ligatures w14:val="standardContextual"/>
        </w:rPr>
        <w:t xml:space="preserve">As always, DPH will promptly share any reported information </w:t>
      </w:r>
      <w:proofErr w:type="gramStart"/>
      <w:r>
        <w:rPr>
          <w:rFonts w:ascii="Calibri" w:eastAsia="Aptos" w:hAnsi="Calibri" w:cs="Calibri"/>
          <w:kern w:val="2"/>
          <w14:ligatures w14:val="standardContextual"/>
        </w:rPr>
        <w:t>to</w:t>
      </w:r>
      <w:proofErr w:type="gramEnd"/>
      <w:r>
        <w:rPr>
          <w:rFonts w:ascii="Calibri" w:eastAsia="Aptos" w:hAnsi="Calibri" w:cs="Calibri"/>
          <w:kern w:val="2"/>
          <w14:ligatures w14:val="standardContextual"/>
        </w:rPr>
        <w:t xml:space="preserve"> the relevant local Boards of Health</w:t>
      </w:r>
      <w:r w:rsidR="00D24055">
        <w:rPr>
          <w:rFonts w:ascii="Calibri" w:eastAsia="Aptos" w:hAnsi="Calibri" w:cs="Calibri"/>
          <w:kern w:val="2"/>
          <w14:ligatures w14:val="standardContextual"/>
        </w:rPr>
        <w:t xml:space="preserve"> and coordinate necessary follow-up with them.</w:t>
      </w:r>
    </w:p>
    <w:p w14:paraId="0C2176EC" w14:textId="558046AA" w:rsidR="00AF144D" w:rsidRPr="00AF144D" w:rsidRDefault="00AF144D" w:rsidP="00AF144D">
      <w:pPr>
        <w:spacing w:after="160" w:line="278" w:lineRule="auto"/>
        <w:rPr>
          <w:rFonts w:ascii="Calibri" w:eastAsia="Aptos" w:hAnsi="Calibri" w:cs="Calibri"/>
          <w:kern w:val="2"/>
          <w14:ligatures w14:val="standardContextual"/>
        </w:rPr>
      </w:pPr>
      <w:r w:rsidRPr="58D35B0C">
        <w:rPr>
          <w:rFonts w:ascii="Calibri" w:eastAsia="Aptos" w:hAnsi="Calibri" w:cs="Calibri"/>
          <w:kern w:val="2"/>
          <w14:ligatures w14:val="standardContextual"/>
        </w:rPr>
        <w:t xml:space="preserve">As always, please do not hesitate to contact </w:t>
      </w:r>
      <w:r w:rsidR="37C732D9" w:rsidRPr="58D35B0C">
        <w:rPr>
          <w:rFonts w:ascii="Calibri" w:eastAsia="Aptos" w:hAnsi="Calibri" w:cs="Calibri"/>
          <w:kern w:val="2"/>
          <w14:ligatures w14:val="standardContextual"/>
        </w:rPr>
        <w:t>DPH</w:t>
      </w:r>
      <w:r w:rsidRPr="58D35B0C" w:rsidDel="00A4162D">
        <w:rPr>
          <w:rFonts w:ascii="Calibri" w:eastAsia="Aptos" w:hAnsi="Calibri" w:cs="Calibri"/>
          <w:kern w:val="2"/>
          <w14:ligatures w14:val="standardContextual"/>
        </w:rPr>
        <w:t xml:space="preserve"> </w:t>
      </w:r>
      <w:r w:rsidRPr="58D35B0C">
        <w:rPr>
          <w:rFonts w:ascii="Calibri" w:eastAsia="Aptos" w:hAnsi="Calibri" w:cs="Calibri"/>
          <w:kern w:val="2"/>
          <w14:ligatures w14:val="standardContextual"/>
        </w:rPr>
        <w:t xml:space="preserve">with questions or concerns about any patient with an infectious disease. The State Public Health Laboratory is available to conduct certain specialized testing and is the mechanism to request testing from CDC if indicated. </w:t>
      </w:r>
    </w:p>
    <w:p w14:paraId="35E1D137" w14:textId="3C769BC5" w:rsidR="00AF144D" w:rsidRPr="00AF144D" w:rsidRDefault="00AF144D" w:rsidP="38A53683">
      <w:pPr>
        <w:spacing w:after="160" w:line="278" w:lineRule="auto"/>
        <w:rPr>
          <w:rFonts w:ascii="Calibri" w:eastAsia="Aptos" w:hAnsi="Calibri" w:cs="Calibri"/>
        </w:rPr>
      </w:pPr>
      <w:r w:rsidRPr="38A53683">
        <w:rPr>
          <w:rFonts w:ascii="Calibri" w:eastAsia="Aptos" w:hAnsi="Calibri" w:cs="Calibri"/>
          <w:kern w:val="2"/>
          <w14:ligatures w14:val="standardContextual"/>
        </w:rPr>
        <w:t xml:space="preserve">We look forward to working with you during </w:t>
      </w:r>
      <w:proofErr w:type="gramStart"/>
      <w:r w:rsidRPr="38A53683">
        <w:rPr>
          <w:rFonts w:ascii="Calibri" w:eastAsia="Aptos" w:hAnsi="Calibri" w:cs="Calibri"/>
          <w:kern w:val="2"/>
          <w14:ligatures w14:val="standardContextual"/>
        </w:rPr>
        <w:t>all of</w:t>
      </w:r>
      <w:proofErr w:type="gramEnd"/>
      <w:r w:rsidRPr="38A53683">
        <w:rPr>
          <w:rFonts w:ascii="Calibri" w:eastAsia="Aptos" w:hAnsi="Calibri" w:cs="Calibri"/>
          <w:kern w:val="2"/>
          <w14:ligatures w14:val="standardContextual"/>
        </w:rPr>
        <w:t xml:space="preserve"> the summer events in 2026.</w:t>
      </w:r>
    </w:p>
    <w:sectPr w:rsidR="00AF144D" w:rsidRPr="00AF144D" w:rsidSect="002D4F17">
      <w:type w:val="continuous"/>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D1E8" w14:textId="77777777" w:rsidR="005352F2" w:rsidRDefault="005352F2" w:rsidP="00FC42CB">
      <w:r>
        <w:separator/>
      </w:r>
    </w:p>
  </w:endnote>
  <w:endnote w:type="continuationSeparator" w:id="0">
    <w:p w14:paraId="6F143D9F" w14:textId="77777777" w:rsidR="005352F2" w:rsidRDefault="005352F2" w:rsidP="00FC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DE676" w14:textId="77777777" w:rsidR="005352F2" w:rsidRDefault="005352F2" w:rsidP="00FC42CB">
      <w:r>
        <w:separator/>
      </w:r>
    </w:p>
  </w:footnote>
  <w:footnote w:type="continuationSeparator" w:id="0">
    <w:p w14:paraId="527C0747" w14:textId="77777777" w:rsidR="005352F2" w:rsidRDefault="005352F2" w:rsidP="00FC4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4D3"/>
    <w:multiLevelType w:val="hybridMultilevel"/>
    <w:tmpl w:val="157C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D3FC5"/>
    <w:multiLevelType w:val="hybridMultilevel"/>
    <w:tmpl w:val="75F6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67341"/>
    <w:multiLevelType w:val="hybridMultilevel"/>
    <w:tmpl w:val="FEE40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5ED0126"/>
    <w:multiLevelType w:val="hybridMultilevel"/>
    <w:tmpl w:val="933C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31972"/>
    <w:multiLevelType w:val="hybridMultilevel"/>
    <w:tmpl w:val="B464F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7E7E3D"/>
    <w:multiLevelType w:val="hybridMultilevel"/>
    <w:tmpl w:val="723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EAE93"/>
    <w:multiLevelType w:val="hybridMultilevel"/>
    <w:tmpl w:val="1B8C219C"/>
    <w:lvl w:ilvl="0" w:tplc="D43CAEDE">
      <w:start w:val="1"/>
      <w:numFmt w:val="bullet"/>
      <w:lvlText w:val=""/>
      <w:lvlJc w:val="left"/>
      <w:pPr>
        <w:ind w:left="720" w:hanging="360"/>
      </w:pPr>
      <w:rPr>
        <w:rFonts w:ascii="Symbol" w:hAnsi="Symbol" w:hint="default"/>
      </w:rPr>
    </w:lvl>
    <w:lvl w:ilvl="1" w:tplc="2D5A26E4">
      <w:start w:val="1"/>
      <w:numFmt w:val="bullet"/>
      <w:lvlText w:val="o"/>
      <w:lvlJc w:val="left"/>
      <w:pPr>
        <w:ind w:left="1440" w:hanging="360"/>
      </w:pPr>
      <w:rPr>
        <w:rFonts w:ascii="Courier New" w:hAnsi="Courier New" w:hint="default"/>
      </w:rPr>
    </w:lvl>
    <w:lvl w:ilvl="2" w:tplc="66DA5718">
      <w:start w:val="1"/>
      <w:numFmt w:val="bullet"/>
      <w:lvlText w:val=""/>
      <w:lvlJc w:val="left"/>
      <w:pPr>
        <w:ind w:left="2160" w:hanging="360"/>
      </w:pPr>
      <w:rPr>
        <w:rFonts w:ascii="Wingdings" w:hAnsi="Wingdings" w:hint="default"/>
      </w:rPr>
    </w:lvl>
    <w:lvl w:ilvl="3" w:tplc="B4E06CBC">
      <w:start w:val="1"/>
      <w:numFmt w:val="bullet"/>
      <w:lvlText w:val=""/>
      <w:lvlJc w:val="left"/>
      <w:pPr>
        <w:ind w:left="2880" w:hanging="360"/>
      </w:pPr>
      <w:rPr>
        <w:rFonts w:ascii="Symbol" w:hAnsi="Symbol" w:hint="default"/>
      </w:rPr>
    </w:lvl>
    <w:lvl w:ilvl="4" w:tplc="CEF078D0">
      <w:start w:val="1"/>
      <w:numFmt w:val="bullet"/>
      <w:lvlText w:val="o"/>
      <w:lvlJc w:val="left"/>
      <w:pPr>
        <w:ind w:left="3600" w:hanging="360"/>
      </w:pPr>
      <w:rPr>
        <w:rFonts w:ascii="Courier New" w:hAnsi="Courier New" w:hint="default"/>
      </w:rPr>
    </w:lvl>
    <w:lvl w:ilvl="5" w:tplc="586A76EE">
      <w:start w:val="1"/>
      <w:numFmt w:val="bullet"/>
      <w:lvlText w:val=""/>
      <w:lvlJc w:val="left"/>
      <w:pPr>
        <w:ind w:left="4320" w:hanging="360"/>
      </w:pPr>
      <w:rPr>
        <w:rFonts w:ascii="Wingdings" w:hAnsi="Wingdings" w:hint="default"/>
      </w:rPr>
    </w:lvl>
    <w:lvl w:ilvl="6" w:tplc="1042F6B0">
      <w:start w:val="1"/>
      <w:numFmt w:val="bullet"/>
      <w:lvlText w:val=""/>
      <w:lvlJc w:val="left"/>
      <w:pPr>
        <w:ind w:left="5040" w:hanging="360"/>
      </w:pPr>
      <w:rPr>
        <w:rFonts w:ascii="Symbol" w:hAnsi="Symbol" w:hint="default"/>
      </w:rPr>
    </w:lvl>
    <w:lvl w:ilvl="7" w:tplc="3E8A9E6E">
      <w:start w:val="1"/>
      <w:numFmt w:val="bullet"/>
      <w:lvlText w:val="o"/>
      <w:lvlJc w:val="left"/>
      <w:pPr>
        <w:ind w:left="5760" w:hanging="360"/>
      </w:pPr>
      <w:rPr>
        <w:rFonts w:ascii="Courier New" w:hAnsi="Courier New" w:hint="default"/>
      </w:rPr>
    </w:lvl>
    <w:lvl w:ilvl="8" w:tplc="890E499A">
      <w:start w:val="1"/>
      <w:numFmt w:val="bullet"/>
      <w:lvlText w:val=""/>
      <w:lvlJc w:val="left"/>
      <w:pPr>
        <w:ind w:left="6480" w:hanging="360"/>
      </w:pPr>
      <w:rPr>
        <w:rFonts w:ascii="Wingdings" w:hAnsi="Wingdings" w:hint="default"/>
      </w:rPr>
    </w:lvl>
  </w:abstractNum>
  <w:num w:numId="1" w16cid:durableId="952781481">
    <w:abstractNumId w:val="6"/>
  </w:num>
  <w:num w:numId="2" w16cid:durableId="191185268">
    <w:abstractNumId w:val="1"/>
  </w:num>
  <w:num w:numId="3" w16cid:durableId="421025716">
    <w:abstractNumId w:val="2"/>
  </w:num>
  <w:num w:numId="4" w16cid:durableId="1272930282">
    <w:abstractNumId w:val="3"/>
  </w:num>
  <w:num w:numId="5" w16cid:durableId="333799416">
    <w:abstractNumId w:val="5"/>
  </w:num>
  <w:num w:numId="6" w16cid:durableId="1609701837">
    <w:abstractNumId w:val="0"/>
  </w:num>
  <w:num w:numId="7" w16cid:durableId="124488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C5E"/>
    <w:rsid w:val="000104A1"/>
    <w:rsid w:val="00020F54"/>
    <w:rsid w:val="000215F7"/>
    <w:rsid w:val="000236FC"/>
    <w:rsid w:val="00031715"/>
    <w:rsid w:val="00033154"/>
    <w:rsid w:val="00042048"/>
    <w:rsid w:val="00050346"/>
    <w:rsid w:val="000537DA"/>
    <w:rsid w:val="0005472B"/>
    <w:rsid w:val="00061CB5"/>
    <w:rsid w:val="00063821"/>
    <w:rsid w:val="00064EB5"/>
    <w:rsid w:val="0008360F"/>
    <w:rsid w:val="000A1DE1"/>
    <w:rsid w:val="000A7D73"/>
    <w:rsid w:val="000B7D96"/>
    <w:rsid w:val="000C2E20"/>
    <w:rsid w:val="000C6314"/>
    <w:rsid w:val="000D3A27"/>
    <w:rsid w:val="000E24CF"/>
    <w:rsid w:val="000E6E45"/>
    <w:rsid w:val="000F315B"/>
    <w:rsid w:val="000F3720"/>
    <w:rsid w:val="000F4320"/>
    <w:rsid w:val="000F747E"/>
    <w:rsid w:val="001061BB"/>
    <w:rsid w:val="001103DF"/>
    <w:rsid w:val="00110F78"/>
    <w:rsid w:val="001125C0"/>
    <w:rsid w:val="0011305C"/>
    <w:rsid w:val="00121526"/>
    <w:rsid w:val="001351C7"/>
    <w:rsid w:val="00136788"/>
    <w:rsid w:val="00141C58"/>
    <w:rsid w:val="00147C31"/>
    <w:rsid w:val="0015268B"/>
    <w:rsid w:val="001528D5"/>
    <w:rsid w:val="0015709E"/>
    <w:rsid w:val="00165C46"/>
    <w:rsid w:val="001672A1"/>
    <w:rsid w:val="00167B31"/>
    <w:rsid w:val="0017749A"/>
    <w:rsid w:val="00177C77"/>
    <w:rsid w:val="00181884"/>
    <w:rsid w:val="0019290C"/>
    <w:rsid w:val="001A0610"/>
    <w:rsid w:val="001A7E66"/>
    <w:rsid w:val="001B6693"/>
    <w:rsid w:val="001C0233"/>
    <w:rsid w:val="001C11ED"/>
    <w:rsid w:val="001D4506"/>
    <w:rsid w:val="001E263C"/>
    <w:rsid w:val="001F15B6"/>
    <w:rsid w:val="001F15FC"/>
    <w:rsid w:val="0021698C"/>
    <w:rsid w:val="0021750E"/>
    <w:rsid w:val="00221CA1"/>
    <w:rsid w:val="0023585D"/>
    <w:rsid w:val="00237280"/>
    <w:rsid w:val="00260D54"/>
    <w:rsid w:val="00260F41"/>
    <w:rsid w:val="00261A3E"/>
    <w:rsid w:val="00272966"/>
    <w:rsid w:val="00276957"/>
    <w:rsid w:val="00276DCC"/>
    <w:rsid w:val="00286549"/>
    <w:rsid w:val="002939B0"/>
    <w:rsid w:val="00294C6A"/>
    <w:rsid w:val="00296398"/>
    <w:rsid w:val="002979C6"/>
    <w:rsid w:val="002A132F"/>
    <w:rsid w:val="002B4212"/>
    <w:rsid w:val="002B5A45"/>
    <w:rsid w:val="002D1C21"/>
    <w:rsid w:val="002D4F17"/>
    <w:rsid w:val="002D538A"/>
    <w:rsid w:val="002E3783"/>
    <w:rsid w:val="002E5E70"/>
    <w:rsid w:val="002F3439"/>
    <w:rsid w:val="002F58B3"/>
    <w:rsid w:val="003006B6"/>
    <w:rsid w:val="00301022"/>
    <w:rsid w:val="003047C7"/>
    <w:rsid w:val="00322405"/>
    <w:rsid w:val="003263A8"/>
    <w:rsid w:val="00331BF5"/>
    <w:rsid w:val="00357A68"/>
    <w:rsid w:val="00360B9F"/>
    <w:rsid w:val="00375EAD"/>
    <w:rsid w:val="003832B6"/>
    <w:rsid w:val="00385812"/>
    <w:rsid w:val="0039077C"/>
    <w:rsid w:val="00392D0B"/>
    <w:rsid w:val="00396808"/>
    <w:rsid w:val="003A7AFC"/>
    <w:rsid w:val="003C01C6"/>
    <w:rsid w:val="003C35E4"/>
    <w:rsid w:val="003C60EF"/>
    <w:rsid w:val="003D6F77"/>
    <w:rsid w:val="003D7AB6"/>
    <w:rsid w:val="003E36A1"/>
    <w:rsid w:val="003E7800"/>
    <w:rsid w:val="00405D3A"/>
    <w:rsid w:val="00413381"/>
    <w:rsid w:val="00423906"/>
    <w:rsid w:val="00433456"/>
    <w:rsid w:val="00445CFD"/>
    <w:rsid w:val="004461D1"/>
    <w:rsid w:val="0045120A"/>
    <w:rsid w:val="004550D6"/>
    <w:rsid w:val="0046259C"/>
    <w:rsid w:val="00464200"/>
    <w:rsid w:val="004671E0"/>
    <w:rsid w:val="0047026A"/>
    <w:rsid w:val="004813AC"/>
    <w:rsid w:val="0048242F"/>
    <w:rsid w:val="00483C1D"/>
    <w:rsid w:val="00483C27"/>
    <w:rsid w:val="00494E59"/>
    <w:rsid w:val="004A067C"/>
    <w:rsid w:val="004A653D"/>
    <w:rsid w:val="004A79A3"/>
    <w:rsid w:val="004B37A0"/>
    <w:rsid w:val="004B4FAF"/>
    <w:rsid w:val="004B5CFB"/>
    <w:rsid w:val="004B5FE5"/>
    <w:rsid w:val="004B63FD"/>
    <w:rsid w:val="004C2B90"/>
    <w:rsid w:val="004D5D8D"/>
    <w:rsid w:val="004D6B39"/>
    <w:rsid w:val="004E0C3F"/>
    <w:rsid w:val="004E565F"/>
    <w:rsid w:val="004F0893"/>
    <w:rsid w:val="004F3776"/>
    <w:rsid w:val="004F4155"/>
    <w:rsid w:val="00511DB0"/>
    <w:rsid w:val="00512956"/>
    <w:rsid w:val="00513036"/>
    <w:rsid w:val="00513573"/>
    <w:rsid w:val="005239F1"/>
    <w:rsid w:val="00530145"/>
    <w:rsid w:val="005352F2"/>
    <w:rsid w:val="005448AA"/>
    <w:rsid w:val="005506E8"/>
    <w:rsid w:val="0055485F"/>
    <w:rsid w:val="00554E1F"/>
    <w:rsid w:val="00564C70"/>
    <w:rsid w:val="00572A6E"/>
    <w:rsid w:val="0057569F"/>
    <w:rsid w:val="005808E8"/>
    <w:rsid w:val="00594B5F"/>
    <w:rsid w:val="005A0E98"/>
    <w:rsid w:val="005A6C93"/>
    <w:rsid w:val="005A7F49"/>
    <w:rsid w:val="005C28E9"/>
    <w:rsid w:val="005C2CEC"/>
    <w:rsid w:val="005C7440"/>
    <w:rsid w:val="005E2296"/>
    <w:rsid w:val="005E584C"/>
    <w:rsid w:val="005F3376"/>
    <w:rsid w:val="0061033D"/>
    <w:rsid w:val="00613F64"/>
    <w:rsid w:val="00615C12"/>
    <w:rsid w:val="00622ABF"/>
    <w:rsid w:val="00624ACE"/>
    <w:rsid w:val="00625153"/>
    <w:rsid w:val="006332D9"/>
    <w:rsid w:val="00637706"/>
    <w:rsid w:val="006605EE"/>
    <w:rsid w:val="006846CB"/>
    <w:rsid w:val="006918D7"/>
    <w:rsid w:val="006A1562"/>
    <w:rsid w:val="006A62D1"/>
    <w:rsid w:val="006A729D"/>
    <w:rsid w:val="006C14FA"/>
    <w:rsid w:val="006C51DC"/>
    <w:rsid w:val="006C7FBB"/>
    <w:rsid w:val="006D06D9"/>
    <w:rsid w:val="006D77A6"/>
    <w:rsid w:val="00701CB6"/>
    <w:rsid w:val="00702109"/>
    <w:rsid w:val="00707B00"/>
    <w:rsid w:val="00716DB8"/>
    <w:rsid w:val="007210FB"/>
    <w:rsid w:val="0072297D"/>
    <w:rsid w:val="0072408B"/>
    <w:rsid w:val="0072610D"/>
    <w:rsid w:val="007359C3"/>
    <w:rsid w:val="00753FCE"/>
    <w:rsid w:val="00757006"/>
    <w:rsid w:val="00767E3F"/>
    <w:rsid w:val="00771FEB"/>
    <w:rsid w:val="007804D8"/>
    <w:rsid w:val="00786A0C"/>
    <w:rsid w:val="00793FC6"/>
    <w:rsid w:val="007A09EF"/>
    <w:rsid w:val="007A221C"/>
    <w:rsid w:val="007A6F99"/>
    <w:rsid w:val="007B2E05"/>
    <w:rsid w:val="007B3338"/>
    <w:rsid w:val="007B3F4B"/>
    <w:rsid w:val="007B552C"/>
    <w:rsid w:val="007B5DB0"/>
    <w:rsid w:val="007B7347"/>
    <w:rsid w:val="007C0512"/>
    <w:rsid w:val="007C701B"/>
    <w:rsid w:val="007D10F3"/>
    <w:rsid w:val="007D1D51"/>
    <w:rsid w:val="007E06B4"/>
    <w:rsid w:val="007E0772"/>
    <w:rsid w:val="007E0DC0"/>
    <w:rsid w:val="007E6F36"/>
    <w:rsid w:val="007F3A5B"/>
    <w:rsid w:val="007F3CDB"/>
    <w:rsid w:val="007F7273"/>
    <w:rsid w:val="00802852"/>
    <w:rsid w:val="00821C1F"/>
    <w:rsid w:val="008265F4"/>
    <w:rsid w:val="00835547"/>
    <w:rsid w:val="00850407"/>
    <w:rsid w:val="0087147A"/>
    <w:rsid w:val="00877BD2"/>
    <w:rsid w:val="00880FFE"/>
    <w:rsid w:val="0088305B"/>
    <w:rsid w:val="008870A5"/>
    <w:rsid w:val="008A3647"/>
    <w:rsid w:val="008B126E"/>
    <w:rsid w:val="008C51D1"/>
    <w:rsid w:val="008C7139"/>
    <w:rsid w:val="008C7C24"/>
    <w:rsid w:val="008D59B2"/>
    <w:rsid w:val="008F6CA2"/>
    <w:rsid w:val="008F76E0"/>
    <w:rsid w:val="009022C4"/>
    <w:rsid w:val="009049AD"/>
    <w:rsid w:val="00906E08"/>
    <w:rsid w:val="00911032"/>
    <w:rsid w:val="00920C81"/>
    <w:rsid w:val="00930AE5"/>
    <w:rsid w:val="00946ED6"/>
    <w:rsid w:val="00951305"/>
    <w:rsid w:val="00952E7B"/>
    <w:rsid w:val="0096762A"/>
    <w:rsid w:val="009730E5"/>
    <w:rsid w:val="009908FF"/>
    <w:rsid w:val="00995505"/>
    <w:rsid w:val="009A1963"/>
    <w:rsid w:val="009A2028"/>
    <w:rsid w:val="009A6663"/>
    <w:rsid w:val="009B6A50"/>
    <w:rsid w:val="009B6D54"/>
    <w:rsid w:val="009C0CC9"/>
    <w:rsid w:val="009C4428"/>
    <w:rsid w:val="009C7D6A"/>
    <w:rsid w:val="009D2158"/>
    <w:rsid w:val="009D48CD"/>
    <w:rsid w:val="009D768A"/>
    <w:rsid w:val="009E3881"/>
    <w:rsid w:val="009E3B1C"/>
    <w:rsid w:val="009E5279"/>
    <w:rsid w:val="009F1F55"/>
    <w:rsid w:val="009F5EA0"/>
    <w:rsid w:val="00A107B0"/>
    <w:rsid w:val="00A11630"/>
    <w:rsid w:val="00A22AF8"/>
    <w:rsid w:val="00A26B7A"/>
    <w:rsid w:val="00A402DD"/>
    <w:rsid w:val="00A4162D"/>
    <w:rsid w:val="00A46A6E"/>
    <w:rsid w:val="00A47A91"/>
    <w:rsid w:val="00A50AE5"/>
    <w:rsid w:val="00A516C1"/>
    <w:rsid w:val="00A5547C"/>
    <w:rsid w:val="00A64148"/>
    <w:rsid w:val="00A64BBC"/>
    <w:rsid w:val="00A65101"/>
    <w:rsid w:val="00A93FBF"/>
    <w:rsid w:val="00A95614"/>
    <w:rsid w:val="00AB7F36"/>
    <w:rsid w:val="00AD38AF"/>
    <w:rsid w:val="00AE6D52"/>
    <w:rsid w:val="00AE75C2"/>
    <w:rsid w:val="00AF144D"/>
    <w:rsid w:val="00AF196D"/>
    <w:rsid w:val="00AF54E4"/>
    <w:rsid w:val="00AF67A3"/>
    <w:rsid w:val="00AF7141"/>
    <w:rsid w:val="00B026DB"/>
    <w:rsid w:val="00B343FD"/>
    <w:rsid w:val="00B3692F"/>
    <w:rsid w:val="00B403BF"/>
    <w:rsid w:val="00B54B42"/>
    <w:rsid w:val="00B56764"/>
    <w:rsid w:val="00B608D9"/>
    <w:rsid w:val="00B64335"/>
    <w:rsid w:val="00B77F15"/>
    <w:rsid w:val="00B92C05"/>
    <w:rsid w:val="00B967BF"/>
    <w:rsid w:val="00BA15C5"/>
    <w:rsid w:val="00BA4055"/>
    <w:rsid w:val="00BA7FB6"/>
    <w:rsid w:val="00BC3FF4"/>
    <w:rsid w:val="00BD7442"/>
    <w:rsid w:val="00BE0326"/>
    <w:rsid w:val="00BE0BBB"/>
    <w:rsid w:val="00BE2BB3"/>
    <w:rsid w:val="00BE7D36"/>
    <w:rsid w:val="00C01052"/>
    <w:rsid w:val="00C15E89"/>
    <w:rsid w:val="00C20BFE"/>
    <w:rsid w:val="00C46D29"/>
    <w:rsid w:val="00C51257"/>
    <w:rsid w:val="00C542F9"/>
    <w:rsid w:val="00C56A24"/>
    <w:rsid w:val="00C570BE"/>
    <w:rsid w:val="00C574F4"/>
    <w:rsid w:val="00C8107F"/>
    <w:rsid w:val="00C81EE7"/>
    <w:rsid w:val="00C8729A"/>
    <w:rsid w:val="00CC1778"/>
    <w:rsid w:val="00CC2484"/>
    <w:rsid w:val="00CC290B"/>
    <w:rsid w:val="00CC31B3"/>
    <w:rsid w:val="00CC4C78"/>
    <w:rsid w:val="00CC4D46"/>
    <w:rsid w:val="00CC6813"/>
    <w:rsid w:val="00CD2041"/>
    <w:rsid w:val="00CE4BD2"/>
    <w:rsid w:val="00CE575B"/>
    <w:rsid w:val="00CF3DE8"/>
    <w:rsid w:val="00D0051F"/>
    <w:rsid w:val="00D0493F"/>
    <w:rsid w:val="00D10DDE"/>
    <w:rsid w:val="00D17A60"/>
    <w:rsid w:val="00D17C27"/>
    <w:rsid w:val="00D24055"/>
    <w:rsid w:val="00D25861"/>
    <w:rsid w:val="00D37B71"/>
    <w:rsid w:val="00D43280"/>
    <w:rsid w:val="00D5304A"/>
    <w:rsid w:val="00D544FA"/>
    <w:rsid w:val="00D56F91"/>
    <w:rsid w:val="00D736A8"/>
    <w:rsid w:val="00D7386A"/>
    <w:rsid w:val="00D76119"/>
    <w:rsid w:val="00D764F2"/>
    <w:rsid w:val="00D8671C"/>
    <w:rsid w:val="00D91390"/>
    <w:rsid w:val="00DA57C3"/>
    <w:rsid w:val="00DB07FC"/>
    <w:rsid w:val="00DB634D"/>
    <w:rsid w:val="00DC3855"/>
    <w:rsid w:val="00DC6230"/>
    <w:rsid w:val="00DE119C"/>
    <w:rsid w:val="00DE33C8"/>
    <w:rsid w:val="00DE6A8C"/>
    <w:rsid w:val="00DF56E2"/>
    <w:rsid w:val="00E07F21"/>
    <w:rsid w:val="00E13D03"/>
    <w:rsid w:val="00E242A8"/>
    <w:rsid w:val="00E274B8"/>
    <w:rsid w:val="00E4567A"/>
    <w:rsid w:val="00E53107"/>
    <w:rsid w:val="00E534F3"/>
    <w:rsid w:val="00E56CB3"/>
    <w:rsid w:val="00E62A9B"/>
    <w:rsid w:val="00E66908"/>
    <w:rsid w:val="00E66CC0"/>
    <w:rsid w:val="00E72707"/>
    <w:rsid w:val="00E814A1"/>
    <w:rsid w:val="00E82B46"/>
    <w:rsid w:val="00E83DC2"/>
    <w:rsid w:val="00E845CE"/>
    <w:rsid w:val="00E950AB"/>
    <w:rsid w:val="00E96C69"/>
    <w:rsid w:val="00EA1367"/>
    <w:rsid w:val="00EC625A"/>
    <w:rsid w:val="00EC6765"/>
    <w:rsid w:val="00ED1D29"/>
    <w:rsid w:val="00ED253A"/>
    <w:rsid w:val="00EE3D6B"/>
    <w:rsid w:val="00EF0780"/>
    <w:rsid w:val="00F0586E"/>
    <w:rsid w:val="00F315B6"/>
    <w:rsid w:val="00F34268"/>
    <w:rsid w:val="00F43932"/>
    <w:rsid w:val="00F56E0F"/>
    <w:rsid w:val="00F60F7B"/>
    <w:rsid w:val="00F753D5"/>
    <w:rsid w:val="00F83ABB"/>
    <w:rsid w:val="00F86E19"/>
    <w:rsid w:val="00F8729B"/>
    <w:rsid w:val="00FA267C"/>
    <w:rsid w:val="00FA4669"/>
    <w:rsid w:val="00FA575E"/>
    <w:rsid w:val="00FC42CB"/>
    <w:rsid w:val="00FC6B42"/>
    <w:rsid w:val="00FD4959"/>
    <w:rsid w:val="00FD5374"/>
    <w:rsid w:val="00FD63A7"/>
    <w:rsid w:val="00FF06BE"/>
    <w:rsid w:val="00FF6052"/>
    <w:rsid w:val="00FF6481"/>
    <w:rsid w:val="00FF7EF2"/>
    <w:rsid w:val="0105F584"/>
    <w:rsid w:val="01E52BC5"/>
    <w:rsid w:val="06F5A2B0"/>
    <w:rsid w:val="0819B11E"/>
    <w:rsid w:val="09C5DD93"/>
    <w:rsid w:val="0A546482"/>
    <w:rsid w:val="12FC74F7"/>
    <w:rsid w:val="18FF5A07"/>
    <w:rsid w:val="1AD9F71F"/>
    <w:rsid w:val="22E53E30"/>
    <w:rsid w:val="25EF806B"/>
    <w:rsid w:val="275BCE58"/>
    <w:rsid w:val="29B6E45D"/>
    <w:rsid w:val="3109DD6C"/>
    <w:rsid w:val="32F200BF"/>
    <w:rsid w:val="37A22779"/>
    <w:rsid w:val="37C732D9"/>
    <w:rsid w:val="38A53683"/>
    <w:rsid w:val="38F95DC3"/>
    <w:rsid w:val="40E3BFA6"/>
    <w:rsid w:val="415D66D2"/>
    <w:rsid w:val="4426FF94"/>
    <w:rsid w:val="4F1EB507"/>
    <w:rsid w:val="5014158B"/>
    <w:rsid w:val="58D35B0C"/>
    <w:rsid w:val="5D5A7A51"/>
    <w:rsid w:val="674FA045"/>
    <w:rsid w:val="69901CB9"/>
    <w:rsid w:val="7269437A"/>
    <w:rsid w:val="7322DEBE"/>
    <w:rsid w:val="77EEEA03"/>
    <w:rsid w:val="790B0126"/>
    <w:rsid w:val="7D021062"/>
    <w:rsid w:val="7E9B2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14B3CF20-B055-4A1E-870B-BCA1FDC5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paragraph" w:styleId="FootnoteText">
    <w:name w:val="footnote text"/>
    <w:basedOn w:val="Normal"/>
    <w:link w:val="FootnoteTextChar"/>
    <w:rsid w:val="00FC42CB"/>
    <w:rPr>
      <w:sz w:val="20"/>
    </w:rPr>
  </w:style>
  <w:style w:type="character" w:customStyle="1" w:styleId="FootnoteTextChar">
    <w:name w:val="Footnote Text Char"/>
    <w:basedOn w:val="DefaultParagraphFont"/>
    <w:link w:val="FootnoteText"/>
    <w:rsid w:val="00FC42CB"/>
  </w:style>
  <w:style w:type="character" w:styleId="FootnoteReference">
    <w:name w:val="footnote reference"/>
    <w:basedOn w:val="DefaultParagraphFont"/>
    <w:uiPriority w:val="99"/>
    <w:unhideWhenUsed/>
    <w:rsid w:val="00FC42CB"/>
    <w:rPr>
      <w:vertAlign w:val="superscript"/>
    </w:rPr>
  </w:style>
  <w:style w:type="character" w:styleId="FollowedHyperlink">
    <w:name w:val="FollowedHyperlink"/>
    <w:basedOn w:val="DefaultParagraphFont"/>
    <w:rsid w:val="005A7F49"/>
    <w:rPr>
      <w:color w:val="954F72" w:themeColor="followedHyperlink"/>
      <w:u w:val="single"/>
    </w:rPr>
  </w:style>
  <w:style w:type="paragraph" w:styleId="ListParagraph">
    <w:name w:val="List Paragraph"/>
    <w:basedOn w:val="Normal"/>
    <w:uiPriority w:val="34"/>
    <w:qFormat/>
    <w:rsid w:val="00835547"/>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NormalWeb">
    <w:name w:val="Normal (Web)"/>
    <w:basedOn w:val="Normal"/>
    <w:uiPriority w:val="99"/>
    <w:unhideWhenUsed/>
    <w:rsid w:val="005808E8"/>
    <w:pPr>
      <w:spacing w:before="100" w:beforeAutospacing="1" w:after="100" w:afterAutospacing="1"/>
    </w:pPr>
    <w:rPr>
      <w:szCs w:val="24"/>
    </w:rPr>
  </w:style>
  <w:style w:type="character" w:styleId="CommentReference">
    <w:name w:val="annotation reference"/>
    <w:basedOn w:val="DefaultParagraphFont"/>
    <w:uiPriority w:val="99"/>
    <w:unhideWhenUsed/>
    <w:rsid w:val="00AF144D"/>
    <w:rPr>
      <w:sz w:val="16"/>
      <w:szCs w:val="16"/>
    </w:rPr>
  </w:style>
  <w:style w:type="paragraph" w:styleId="CommentText">
    <w:name w:val="annotation text"/>
    <w:basedOn w:val="Normal"/>
    <w:link w:val="CommentTextChar"/>
    <w:uiPriority w:val="99"/>
    <w:unhideWhenUsed/>
    <w:rsid w:val="00AF144D"/>
    <w:pPr>
      <w:spacing w:after="160"/>
    </w:pPr>
    <w:rPr>
      <w:rFonts w:ascii="Aptos" w:eastAsia="Aptos" w:hAnsi="Aptos"/>
      <w:kern w:val="2"/>
      <w:sz w:val="20"/>
      <w14:ligatures w14:val="standardContextual"/>
    </w:rPr>
  </w:style>
  <w:style w:type="character" w:customStyle="1" w:styleId="CommentTextChar">
    <w:name w:val="Comment Text Char"/>
    <w:basedOn w:val="DefaultParagraphFont"/>
    <w:link w:val="CommentText"/>
    <w:uiPriority w:val="99"/>
    <w:rsid w:val="00AF144D"/>
    <w:rPr>
      <w:rFonts w:ascii="Aptos" w:eastAsia="Aptos" w:hAnsi="Aptos"/>
      <w:kern w:val="2"/>
      <w14:ligatures w14:val="standardContextual"/>
    </w:rPr>
  </w:style>
  <w:style w:type="paragraph" w:styleId="Header">
    <w:name w:val="header"/>
    <w:basedOn w:val="Normal"/>
    <w:link w:val="HeaderChar"/>
    <w:rsid w:val="00F753D5"/>
    <w:pPr>
      <w:tabs>
        <w:tab w:val="center" w:pos="4680"/>
        <w:tab w:val="right" w:pos="9360"/>
      </w:tabs>
    </w:pPr>
  </w:style>
  <w:style w:type="character" w:customStyle="1" w:styleId="HeaderChar">
    <w:name w:val="Header Char"/>
    <w:basedOn w:val="DefaultParagraphFont"/>
    <w:link w:val="Header"/>
    <w:rsid w:val="00F753D5"/>
    <w:rPr>
      <w:sz w:val="24"/>
    </w:rPr>
  </w:style>
  <w:style w:type="paragraph" w:styleId="Footer">
    <w:name w:val="footer"/>
    <w:basedOn w:val="Normal"/>
    <w:link w:val="FooterChar"/>
    <w:rsid w:val="00F753D5"/>
    <w:pPr>
      <w:tabs>
        <w:tab w:val="center" w:pos="4680"/>
        <w:tab w:val="right" w:pos="9360"/>
      </w:tabs>
    </w:pPr>
  </w:style>
  <w:style w:type="character" w:customStyle="1" w:styleId="FooterChar">
    <w:name w:val="Footer Char"/>
    <w:basedOn w:val="DefaultParagraphFont"/>
    <w:link w:val="Footer"/>
    <w:rsid w:val="00F753D5"/>
    <w:rPr>
      <w:sz w:val="24"/>
    </w:rPr>
  </w:style>
  <w:style w:type="paragraph" w:styleId="CommentSubject">
    <w:name w:val="annotation subject"/>
    <w:basedOn w:val="CommentText"/>
    <w:next w:val="CommentText"/>
    <w:link w:val="CommentSubjectChar"/>
    <w:rsid w:val="00707B00"/>
    <w:pPr>
      <w:spacing w:after="0"/>
    </w:pPr>
    <w:rPr>
      <w:rFonts w:ascii="Times New Roman" w:eastAsia="Times New Roman" w:hAnsi="Times New Roman"/>
      <w:b/>
      <w:bCs/>
      <w:kern w:val="0"/>
      <w14:ligatures w14:val="none"/>
    </w:rPr>
  </w:style>
  <w:style w:type="character" w:customStyle="1" w:styleId="CommentSubjectChar">
    <w:name w:val="Comment Subject Char"/>
    <w:basedOn w:val="CommentTextChar"/>
    <w:link w:val="CommentSubject"/>
    <w:rsid w:val="00707B00"/>
    <w:rPr>
      <w:rFonts w:ascii="Aptos" w:eastAsia="Aptos" w:hAnsi="Aptos"/>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05-CMR-30000-reportable-diseases-surveillance-and-isolation-and-quarantine-requireme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635</Words>
  <Characters>3623</Characters>
  <Application>Microsoft Office Word</Application>
  <DocSecurity>0</DocSecurity>
  <Lines>30</Lines>
  <Paragraphs>8</Paragraphs>
  <ScaleCrop>false</ScaleCrop>
  <Company>Commonwealth of Massachusetts</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Yeaple, Jennifer (DPH)</cp:lastModifiedBy>
  <cp:revision>2</cp:revision>
  <cp:lastPrinted>2015-01-29T17:50:00Z</cp:lastPrinted>
  <dcterms:created xsi:type="dcterms:W3CDTF">2026-05-22T17:26:00Z</dcterms:created>
  <dcterms:modified xsi:type="dcterms:W3CDTF">2026-05-22T17:26:00Z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