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3415" w14:textId="6E4912F5" w:rsidR="00AE5C95" w:rsidRDefault="00AE5C95" w:rsidP="00AE5C95">
      <w:pPr>
        <w:jc w:val="center"/>
        <w:rPr>
          <w:rFonts w:ascii="Times New Roman" w:hAnsi="Times New Roman" w:cs="Times New Roman"/>
          <w:b/>
          <w:bCs/>
          <w:sz w:val="24"/>
          <w:szCs w:val="24"/>
        </w:rPr>
      </w:pPr>
      <w:r w:rsidRPr="2EF86000">
        <w:rPr>
          <w:rFonts w:ascii="Times New Roman" w:hAnsi="Times New Roman" w:cs="Times New Roman"/>
          <w:b/>
          <w:bCs/>
          <w:sz w:val="24"/>
          <w:szCs w:val="24"/>
        </w:rPr>
        <w:t xml:space="preserve">GMAC </w:t>
      </w:r>
      <w:r w:rsidR="000323D1" w:rsidRPr="2EF86000">
        <w:rPr>
          <w:rFonts w:ascii="Times New Roman" w:hAnsi="Times New Roman" w:cs="Times New Roman"/>
          <w:b/>
          <w:bCs/>
          <w:sz w:val="24"/>
          <w:szCs w:val="24"/>
        </w:rPr>
        <w:t>Equity Working Group Comments on the ESMP Phase II Metrics</w:t>
      </w:r>
      <w:r w:rsidRPr="2EF86000">
        <w:rPr>
          <w:rFonts w:ascii="Times New Roman" w:hAnsi="Times New Roman" w:cs="Times New Roman"/>
          <w:b/>
          <w:bCs/>
          <w:sz w:val="24"/>
          <w:szCs w:val="24"/>
        </w:rPr>
        <w:t xml:space="preserve"> and </w:t>
      </w:r>
      <w:r w:rsidR="000323D1" w:rsidRPr="2EF86000">
        <w:rPr>
          <w:rFonts w:ascii="Times New Roman" w:hAnsi="Times New Roman" w:cs="Times New Roman"/>
          <w:b/>
          <w:bCs/>
          <w:sz w:val="24"/>
          <w:szCs w:val="24"/>
        </w:rPr>
        <w:t>Biannual Report</w:t>
      </w:r>
      <w:r w:rsidR="00117FA6" w:rsidRPr="2EF86000">
        <w:rPr>
          <w:rFonts w:ascii="Times New Roman" w:hAnsi="Times New Roman" w:cs="Times New Roman"/>
          <w:b/>
          <w:bCs/>
          <w:sz w:val="24"/>
          <w:szCs w:val="24"/>
        </w:rPr>
        <w:t>s Filing</w:t>
      </w:r>
    </w:p>
    <w:p w14:paraId="0585266E" w14:textId="5726876E" w:rsidR="00AE5C95" w:rsidRPr="00011624" w:rsidRDefault="00AE5C95" w:rsidP="00117FA6">
      <w:pPr>
        <w:jc w:val="center"/>
        <w:rPr>
          <w:rFonts w:ascii="Times New Roman" w:hAnsi="Times New Roman" w:cs="Times New Roman"/>
          <w:b/>
          <w:bCs/>
          <w:sz w:val="24"/>
          <w:szCs w:val="24"/>
        </w:rPr>
      </w:pPr>
      <w:r w:rsidRPr="00280955">
        <w:rPr>
          <w:rFonts w:ascii="Times New Roman" w:hAnsi="Times New Roman" w:cs="Times New Roman"/>
          <w:b/>
          <w:bCs/>
          <w:sz w:val="24"/>
          <w:szCs w:val="24"/>
        </w:rPr>
        <w:t>Date: March 2</w:t>
      </w:r>
      <w:r w:rsidR="00F27DED" w:rsidRPr="00280955">
        <w:rPr>
          <w:rFonts w:ascii="Times New Roman" w:hAnsi="Times New Roman" w:cs="Times New Roman"/>
          <w:b/>
          <w:bCs/>
          <w:sz w:val="24"/>
          <w:szCs w:val="24"/>
        </w:rPr>
        <w:t>1</w:t>
      </w:r>
      <w:r w:rsidRPr="00280955">
        <w:rPr>
          <w:rFonts w:ascii="Times New Roman" w:hAnsi="Times New Roman" w:cs="Times New Roman"/>
          <w:b/>
          <w:bCs/>
          <w:sz w:val="24"/>
          <w:szCs w:val="24"/>
        </w:rPr>
        <w:t>, 2025</w:t>
      </w:r>
    </w:p>
    <w:p w14:paraId="400266EC" w14:textId="7AD88880" w:rsidR="00117FA6" w:rsidRPr="00011624" w:rsidRDefault="006A1CC9">
      <w:pPr>
        <w:rPr>
          <w:rFonts w:ascii="Times New Roman" w:hAnsi="Times New Roman" w:cs="Times New Roman"/>
          <w:sz w:val="24"/>
          <w:szCs w:val="24"/>
        </w:rPr>
      </w:pPr>
      <w:r>
        <w:rPr>
          <w:rFonts w:ascii="Times New Roman" w:hAnsi="Times New Roman" w:cs="Times New Roman"/>
          <w:sz w:val="24"/>
          <w:szCs w:val="24"/>
        </w:rPr>
        <w:pict w14:anchorId="5FF9A157">
          <v:rect id="_x0000_i1025" style="width:0;height:1.5pt" o:hralign="center" o:hrstd="t" o:hr="t" fillcolor="#a0a0a0" stroked="f"/>
        </w:pict>
      </w:r>
    </w:p>
    <w:p w14:paraId="2F2F5A34" w14:textId="0F7068CA" w:rsidR="00DB4A74" w:rsidRPr="00E775C6" w:rsidRDefault="00F05984" w:rsidP="2EF86000">
      <w:pPr>
        <w:pStyle w:val="ListParagraph"/>
        <w:numPr>
          <w:ilvl w:val="0"/>
          <w:numId w:val="17"/>
        </w:numPr>
        <w:rPr>
          <w:rFonts w:ascii="Times New Roman" w:hAnsi="Times New Roman" w:cs="Times New Roman"/>
          <w:b/>
          <w:bCs/>
          <w:sz w:val="24"/>
          <w:szCs w:val="24"/>
        </w:rPr>
      </w:pPr>
      <w:r w:rsidRPr="2EF86000">
        <w:rPr>
          <w:rFonts w:ascii="Times New Roman" w:hAnsi="Times New Roman" w:cs="Times New Roman"/>
          <w:b/>
          <w:bCs/>
          <w:sz w:val="24"/>
          <w:szCs w:val="24"/>
        </w:rPr>
        <w:t>Purpose:</w:t>
      </w:r>
      <w:r w:rsidR="00DE5F12" w:rsidRPr="2EF86000">
        <w:rPr>
          <w:rFonts w:ascii="Times New Roman" w:hAnsi="Times New Roman" w:cs="Times New Roman"/>
          <w:b/>
          <w:bCs/>
          <w:sz w:val="24"/>
          <w:szCs w:val="24"/>
        </w:rPr>
        <w:t xml:space="preserve"> </w:t>
      </w:r>
    </w:p>
    <w:p w14:paraId="5C85064E" w14:textId="0DB68C41" w:rsidR="00F05984" w:rsidRPr="00EA7F06" w:rsidRDefault="00EA7F06" w:rsidP="00DB4A74">
      <w:pPr>
        <w:ind w:firstLine="720"/>
        <w:rPr>
          <w:rFonts w:ascii="Times New Roman" w:hAnsi="Times New Roman" w:cs="Times New Roman"/>
          <w:sz w:val="24"/>
          <w:szCs w:val="24"/>
        </w:rPr>
      </w:pPr>
      <w:r w:rsidRPr="2EF86000">
        <w:rPr>
          <w:rFonts w:ascii="Times New Roman" w:hAnsi="Times New Roman" w:cs="Times New Roman"/>
          <w:sz w:val="24"/>
          <w:szCs w:val="24"/>
        </w:rPr>
        <w:t xml:space="preserve">The </w:t>
      </w:r>
      <w:r w:rsidR="41A66D78" w:rsidRPr="2EF86000">
        <w:rPr>
          <w:rFonts w:ascii="Times New Roman" w:hAnsi="Times New Roman" w:cs="Times New Roman"/>
          <w:sz w:val="24"/>
          <w:szCs w:val="24"/>
        </w:rPr>
        <w:t>Grid Modernization Advisory Council (GMAC)</w:t>
      </w:r>
      <w:r w:rsidRPr="2EF86000">
        <w:rPr>
          <w:rFonts w:ascii="Times New Roman" w:hAnsi="Times New Roman" w:cs="Times New Roman"/>
          <w:sz w:val="24"/>
          <w:szCs w:val="24"/>
        </w:rPr>
        <w:t xml:space="preserve"> Equity Working Group (EWG) provides </w:t>
      </w:r>
      <w:r w:rsidR="00CA2940" w:rsidRPr="2EF86000">
        <w:rPr>
          <w:rFonts w:ascii="Times New Roman" w:hAnsi="Times New Roman" w:cs="Times New Roman"/>
          <w:sz w:val="24"/>
          <w:szCs w:val="24"/>
        </w:rPr>
        <w:t xml:space="preserve">the following comments on the </w:t>
      </w:r>
      <w:r w:rsidR="00144424" w:rsidRPr="2EF86000">
        <w:rPr>
          <w:rFonts w:ascii="Times New Roman" w:hAnsi="Times New Roman" w:cs="Times New Roman"/>
          <w:sz w:val="24"/>
          <w:szCs w:val="24"/>
        </w:rPr>
        <w:t>Massachusetts electric-distribution companies’ (</w:t>
      </w:r>
      <w:r w:rsidR="00CA2940" w:rsidRPr="2EF86000">
        <w:rPr>
          <w:rFonts w:ascii="Times New Roman" w:hAnsi="Times New Roman" w:cs="Times New Roman"/>
          <w:sz w:val="24"/>
          <w:szCs w:val="24"/>
        </w:rPr>
        <w:t>EDCs</w:t>
      </w:r>
      <w:r w:rsidR="00DB4A74" w:rsidRPr="2EF86000">
        <w:rPr>
          <w:rFonts w:ascii="Times New Roman" w:hAnsi="Times New Roman" w:cs="Times New Roman"/>
          <w:sz w:val="24"/>
          <w:szCs w:val="24"/>
        </w:rPr>
        <w:t>)</w:t>
      </w:r>
      <w:r w:rsidR="00CA2940" w:rsidRPr="2EF86000">
        <w:rPr>
          <w:rFonts w:ascii="Times New Roman" w:hAnsi="Times New Roman" w:cs="Times New Roman"/>
          <w:sz w:val="24"/>
          <w:szCs w:val="24"/>
        </w:rPr>
        <w:t xml:space="preserve"> initial </w:t>
      </w:r>
      <w:r w:rsidR="00240A8C" w:rsidRPr="2EF86000">
        <w:rPr>
          <w:rFonts w:ascii="Times New Roman" w:hAnsi="Times New Roman" w:cs="Times New Roman"/>
          <w:sz w:val="24"/>
          <w:szCs w:val="24"/>
        </w:rPr>
        <w:t>filing for near-term ESMP metrics and biannual report</w:t>
      </w:r>
      <w:r w:rsidR="00242A05" w:rsidRPr="2EF86000">
        <w:rPr>
          <w:rFonts w:ascii="Times New Roman" w:hAnsi="Times New Roman" w:cs="Times New Roman"/>
          <w:sz w:val="24"/>
          <w:szCs w:val="24"/>
        </w:rPr>
        <w:t xml:space="preserve"> templates. </w:t>
      </w:r>
    </w:p>
    <w:p w14:paraId="13106D41" w14:textId="2AF64039" w:rsidR="00011624" w:rsidRPr="00E775C6" w:rsidRDefault="143BF4E7" w:rsidP="2EF86000">
      <w:pPr>
        <w:pStyle w:val="ListParagraph"/>
        <w:numPr>
          <w:ilvl w:val="0"/>
          <w:numId w:val="17"/>
        </w:numPr>
        <w:rPr>
          <w:rFonts w:ascii="Times New Roman" w:hAnsi="Times New Roman" w:cs="Times New Roman"/>
          <w:b/>
          <w:bCs/>
          <w:sz w:val="24"/>
          <w:szCs w:val="24"/>
        </w:rPr>
      </w:pPr>
      <w:r w:rsidRPr="2EF86000">
        <w:rPr>
          <w:rFonts w:ascii="Times New Roman" w:hAnsi="Times New Roman" w:cs="Times New Roman"/>
          <w:b/>
          <w:bCs/>
          <w:sz w:val="24"/>
          <w:szCs w:val="24"/>
        </w:rPr>
        <w:t>Background:</w:t>
      </w:r>
      <w:r w:rsidR="3625E286" w:rsidRPr="2EF86000">
        <w:rPr>
          <w:rFonts w:ascii="Times New Roman" w:hAnsi="Times New Roman" w:cs="Times New Roman"/>
          <w:b/>
          <w:bCs/>
          <w:sz w:val="24"/>
          <w:szCs w:val="24"/>
        </w:rPr>
        <w:t xml:space="preserve"> </w:t>
      </w:r>
    </w:p>
    <w:p w14:paraId="46CF68B5" w14:textId="14C95CDE" w:rsidR="3E637923" w:rsidRDefault="3E637923" w:rsidP="008869AB">
      <w:pPr>
        <w:ind w:firstLine="720"/>
        <w:rPr>
          <w:rFonts w:ascii="Times New Roman" w:hAnsi="Times New Roman" w:cs="Times New Roman"/>
          <w:b/>
          <w:bCs/>
          <w:sz w:val="24"/>
          <w:szCs w:val="24"/>
        </w:rPr>
      </w:pPr>
      <w:r w:rsidRPr="7F52448C">
        <w:rPr>
          <w:rFonts w:ascii="Times New Roman" w:hAnsi="Times New Roman" w:cs="Times New Roman"/>
          <w:sz w:val="24"/>
          <w:szCs w:val="24"/>
        </w:rPr>
        <w:t>During Phase</w:t>
      </w:r>
      <w:r w:rsidR="00C47715">
        <w:rPr>
          <w:rFonts w:ascii="Times New Roman" w:hAnsi="Times New Roman" w:cs="Times New Roman"/>
          <w:sz w:val="24"/>
          <w:szCs w:val="24"/>
        </w:rPr>
        <w:t xml:space="preserve"> I</w:t>
      </w:r>
      <w:r w:rsidRPr="7F52448C">
        <w:rPr>
          <w:rFonts w:ascii="Times New Roman" w:hAnsi="Times New Roman" w:cs="Times New Roman"/>
          <w:sz w:val="24"/>
          <w:szCs w:val="24"/>
        </w:rPr>
        <w:t xml:space="preserve"> of the Electric</w:t>
      </w:r>
      <w:r w:rsidR="00CA0121">
        <w:rPr>
          <w:rFonts w:ascii="Times New Roman" w:hAnsi="Times New Roman" w:cs="Times New Roman"/>
          <w:sz w:val="24"/>
          <w:szCs w:val="24"/>
        </w:rPr>
        <w:t>-</w:t>
      </w:r>
      <w:r w:rsidRPr="7F52448C">
        <w:rPr>
          <w:rFonts w:ascii="Times New Roman" w:hAnsi="Times New Roman" w:cs="Times New Roman"/>
          <w:sz w:val="24"/>
          <w:szCs w:val="24"/>
        </w:rPr>
        <w:t xml:space="preserve">Sector Modernization Plan </w:t>
      </w:r>
      <w:r w:rsidR="00C47715">
        <w:rPr>
          <w:rFonts w:ascii="Times New Roman" w:hAnsi="Times New Roman" w:cs="Times New Roman"/>
          <w:sz w:val="24"/>
          <w:szCs w:val="24"/>
        </w:rPr>
        <w:t>(ESMP) proceeding</w:t>
      </w:r>
      <w:r w:rsidRPr="7F52448C">
        <w:rPr>
          <w:rFonts w:ascii="Times New Roman" w:hAnsi="Times New Roman" w:cs="Times New Roman"/>
          <w:sz w:val="24"/>
          <w:szCs w:val="24"/>
        </w:rPr>
        <w:t>, the EWG provided extensive feedback on metrics and stakeholder engagement</w:t>
      </w:r>
      <w:r w:rsidR="00613DB1">
        <w:rPr>
          <w:rFonts w:ascii="Times New Roman" w:hAnsi="Times New Roman" w:cs="Times New Roman"/>
          <w:sz w:val="24"/>
          <w:szCs w:val="24"/>
        </w:rPr>
        <w:t xml:space="preserve">. </w:t>
      </w:r>
      <w:r w:rsidR="00DA79AA">
        <w:rPr>
          <w:rFonts w:ascii="Times New Roman" w:hAnsi="Times New Roman" w:cs="Times New Roman"/>
          <w:sz w:val="24"/>
          <w:szCs w:val="24"/>
        </w:rPr>
        <w:t>The EWG</w:t>
      </w:r>
      <w:r w:rsidR="00144424">
        <w:rPr>
          <w:rFonts w:ascii="Times New Roman" w:hAnsi="Times New Roman" w:cs="Times New Roman"/>
          <w:sz w:val="24"/>
          <w:szCs w:val="24"/>
        </w:rPr>
        <w:t xml:space="preserve">’s </w:t>
      </w:r>
      <w:r w:rsidR="00DA79AA">
        <w:rPr>
          <w:rFonts w:ascii="Times New Roman" w:hAnsi="Times New Roman" w:cs="Times New Roman"/>
          <w:sz w:val="24"/>
          <w:szCs w:val="24"/>
        </w:rPr>
        <w:t xml:space="preserve">recommendations were included as a memorandum in the </w:t>
      </w:r>
      <w:r w:rsidR="00857A53">
        <w:rPr>
          <w:rFonts w:ascii="Times New Roman" w:hAnsi="Times New Roman" w:cs="Times New Roman"/>
          <w:sz w:val="24"/>
          <w:szCs w:val="24"/>
        </w:rPr>
        <w:t>F</w:t>
      </w:r>
      <w:r w:rsidR="00DA79AA">
        <w:rPr>
          <w:rFonts w:ascii="Times New Roman" w:hAnsi="Times New Roman" w:cs="Times New Roman"/>
          <w:sz w:val="24"/>
          <w:szCs w:val="24"/>
        </w:rPr>
        <w:t>inal GMAC</w:t>
      </w:r>
      <w:r w:rsidR="00613DB1">
        <w:rPr>
          <w:rFonts w:ascii="Times New Roman" w:hAnsi="Times New Roman" w:cs="Times New Roman"/>
          <w:sz w:val="24"/>
          <w:szCs w:val="24"/>
        </w:rPr>
        <w:t xml:space="preserve"> </w:t>
      </w:r>
      <w:r w:rsidR="00857A53">
        <w:rPr>
          <w:rFonts w:ascii="Times New Roman" w:hAnsi="Times New Roman" w:cs="Times New Roman"/>
          <w:sz w:val="24"/>
          <w:szCs w:val="24"/>
        </w:rPr>
        <w:t>R</w:t>
      </w:r>
      <w:r w:rsidR="00144424">
        <w:rPr>
          <w:rFonts w:ascii="Times New Roman" w:hAnsi="Times New Roman" w:cs="Times New Roman"/>
          <w:sz w:val="24"/>
          <w:szCs w:val="24"/>
        </w:rPr>
        <w:t>eport submitted to the EDCs in November 2023</w:t>
      </w:r>
      <w:r w:rsidR="009D5230">
        <w:rPr>
          <w:rStyle w:val="FootnoteReference"/>
          <w:rFonts w:ascii="Times New Roman" w:hAnsi="Times New Roman" w:cs="Times New Roman"/>
          <w:sz w:val="24"/>
          <w:szCs w:val="24"/>
        </w:rPr>
        <w:footnoteReference w:id="2"/>
      </w:r>
      <w:r w:rsidR="00CD36C5">
        <w:rPr>
          <w:rFonts w:ascii="Times New Roman" w:hAnsi="Times New Roman" w:cs="Times New Roman"/>
          <w:sz w:val="24"/>
          <w:szCs w:val="24"/>
        </w:rPr>
        <w:t>.</w:t>
      </w:r>
      <w:r w:rsidR="00C045A8">
        <w:rPr>
          <w:rFonts w:ascii="Times New Roman" w:hAnsi="Times New Roman" w:cs="Times New Roman"/>
          <w:sz w:val="24"/>
          <w:szCs w:val="24"/>
        </w:rPr>
        <w:t xml:space="preserve"> </w:t>
      </w:r>
      <w:r w:rsidR="00BF2106" w:rsidRPr="7F52448C" w:rsidDel="00CD36C5">
        <w:rPr>
          <w:rFonts w:ascii="Times New Roman" w:hAnsi="Times New Roman" w:cs="Times New Roman"/>
          <w:sz w:val="24"/>
          <w:szCs w:val="24"/>
        </w:rPr>
        <w:t>As the</w:t>
      </w:r>
      <w:r w:rsidR="41E75C6B">
        <w:rPr>
          <w:rFonts w:ascii="Times New Roman" w:hAnsi="Times New Roman" w:cs="Times New Roman"/>
          <w:sz w:val="24"/>
          <w:szCs w:val="24"/>
        </w:rPr>
        <w:t xml:space="preserve"> </w:t>
      </w:r>
      <w:r w:rsidR="1A1CB1EE" w:rsidRPr="082CC266">
        <w:rPr>
          <w:rFonts w:ascii="Times New Roman" w:hAnsi="Times New Roman" w:cs="Times New Roman"/>
          <w:sz w:val="24"/>
          <w:szCs w:val="24"/>
        </w:rPr>
        <w:t xml:space="preserve">discussion of metrics and reporting was postponed to Phase </w:t>
      </w:r>
      <w:r w:rsidR="00BF2106" w:rsidRPr="7F52448C">
        <w:rPr>
          <w:rFonts w:ascii="Times New Roman" w:hAnsi="Times New Roman" w:cs="Times New Roman"/>
          <w:sz w:val="24"/>
          <w:szCs w:val="24"/>
        </w:rPr>
        <w:t>II</w:t>
      </w:r>
      <w:r w:rsidR="001F19BA">
        <w:rPr>
          <w:rStyle w:val="FootnoteReference"/>
          <w:rFonts w:ascii="Times New Roman" w:hAnsi="Times New Roman" w:cs="Times New Roman"/>
          <w:sz w:val="24"/>
          <w:szCs w:val="24"/>
        </w:rPr>
        <w:footnoteReference w:id="3"/>
      </w:r>
      <w:r w:rsidR="1A1CB1EE" w:rsidRPr="2EF86000">
        <w:rPr>
          <w:rFonts w:ascii="Times New Roman" w:hAnsi="Times New Roman" w:cs="Times New Roman"/>
          <w:sz w:val="24"/>
          <w:szCs w:val="24"/>
        </w:rPr>
        <w:t xml:space="preserve">, </w:t>
      </w:r>
      <w:r w:rsidR="4B2DDA5F" w:rsidRPr="7F52448C">
        <w:rPr>
          <w:rFonts w:ascii="Times New Roman" w:hAnsi="Times New Roman" w:cs="Times New Roman"/>
          <w:sz w:val="24"/>
          <w:szCs w:val="24"/>
        </w:rPr>
        <w:t>the EWG</w:t>
      </w:r>
      <w:r w:rsidR="1A1CB1EE" w:rsidRPr="082CC266">
        <w:rPr>
          <w:rFonts w:ascii="Times New Roman" w:hAnsi="Times New Roman" w:cs="Times New Roman"/>
          <w:sz w:val="24"/>
          <w:szCs w:val="24"/>
        </w:rPr>
        <w:t xml:space="preserve"> </w:t>
      </w:r>
      <w:r w:rsidR="5B717E59" w:rsidRPr="082CC266">
        <w:rPr>
          <w:rFonts w:ascii="Times New Roman" w:hAnsi="Times New Roman" w:cs="Times New Roman"/>
          <w:sz w:val="24"/>
          <w:szCs w:val="24"/>
        </w:rPr>
        <w:t>is</w:t>
      </w:r>
      <w:r w:rsidR="1A1CB1EE" w:rsidRPr="082CC266">
        <w:rPr>
          <w:rFonts w:ascii="Times New Roman" w:hAnsi="Times New Roman" w:cs="Times New Roman"/>
          <w:sz w:val="24"/>
          <w:szCs w:val="24"/>
        </w:rPr>
        <w:t xml:space="preserve"> u</w:t>
      </w:r>
      <w:r w:rsidRPr="7F52448C">
        <w:rPr>
          <w:rFonts w:ascii="Times New Roman" w:hAnsi="Times New Roman" w:cs="Times New Roman"/>
          <w:sz w:val="24"/>
          <w:szCs w:val="24"/>
        </w:rPr>
        <w:t>sing this opportunity to</w:t>
      </w:r>
      <w:r w:rsidR="00857A53">
        <w:rPr>
          <w:rFonts w:ascii="Times New Roman" w:hAnsi="Times New Roman" w:cs="Times New Roman"/>
          <w:sz w:val="24"/>
          <w:szCs w:val="24"/>
        </w:rPr>
        <w:t xml:space="preserve"> </w:t>
      </w:r>
      <w:r w:rsidR="4B70B02A" w:rsidRPr="7F52448C">
        <w:rPr>
          <w:rFonts w:ascii="Times New Roman" w:hAnsi="Times New Roman" w:cs="Times New Roman"/>
          <w:sz w:val="24"/>
          <w:szCs w:val="24"/>
        </w:rPr>
        <w:t>provide feedback on the proposed EDC metrics</w:t>
      </w:r>
      <w:r w:rsidR="69EDB8BD" w:rsidRPr="7F52448C">
        <w:rPr>
          <w:rFonts w:ascii="Times New Roman" w:hAnsi="Times New Roman" w:cs="Times New Roman"/>
          <w:sz w:val="24"/>
          <w:szCs w:val="24"/>
        </w:rPr>
        <w:t xml:space="preserve"> and biannual report structure</w:t>
      </w:r>
      <w:r w:rsidRPr="7F52448C">
        <w:rPr>
          <w:rFonts w:ascii="Times New Roman" w:hAnsi="Times New Roman" w:cs="Times New Roman"/>
          <w:sz w:val="24"/>
          <w:szCs w:val="24"/>
        </w:rPr>
        <w:t xml:space="preserve">. </w:t>
      </w:r>
      <w:r w:rsidR="00857A53" w:rsidRPr="008D7993">
        <w:rPr>
          <w:rFonts w:ascii="Times New Roman" w:hAnsi="Times New Roman" w:cs="Times New Roman"/>
          <w:sz w:val="24"/>
          <w:szCs w:val="24"/>
        </w:rPr>
        <w:t>The EDCs did not adopt many of the EWG’s original</w:t>
      </w:r>
      <w:r w:rsidR="00CA0121">
        <w:rPr>
          <w:rFonts w:ascii="Times New Roman" w:hAnsi="Times New Roman" w:cs="Times New Roman"/>
          <w:sz w:val="24"/>
          <w:szCs w:val="24"/>
        </w:rPr>
        <w:t>ly</w:t>
      </w:r>
      <w:r w:rsidR="00857A53" w:rsidRPr="008D7993">
        <w:rPr>
          <w:rFonts w:ascii="Times New Roman" w:hAnsi="Times New Roman" w:cs="Times New Roman"/>
          <w:sz w:val="24"/>
          <w:szCs w:val="24"/>
        </w:rPr>
        <w:t xml:space="preserve"> </w:t>
      </w:r>
      <w:r w:rsidR="00CA0121">
        <w:rPr>
          <w:rFonts w:ascii="Times New Roman" w:hAnsi="Times New Roman" w:cs="Times New Roman"/>
          <w:sz w:val="24"/>
          <w:szCs w:val="24"/>
        </w:rPr>
        <w:t xml:space="preserve">proposed </w:t>
      </w:r>
      <w:r w:rsidR="00857A53" w:rsidRPr="008D7993">
        <w:rPr>
          <w:rFonts w:ascii="Times New Roman" w:hAnsi="Times New Roman" w:cs="Times New Roman"/>
          <w:sz w:val="24"/>
          <w:szCs w:val="24"/>
        </w:rPr>
        <w:t xml:space="preserve">metrics. In this letter, </w:t>
      </w:r>
      <w:r w:rsidR="00857A53">
        <w:rPr>
          <w:rFonts w:ascii="Times New Roman" w:hAnsi="Times New Roman" w:cs="Times New Roman"/>
          <w:sz w:val="24"/>
          <w:szCs w:val="24"/>
        </w:rPr>
        <w:t>the EWG</w:t>
      </w:r>
      <w:r w:rsidR="00857A53" w:rsidRPr="008D7993">
        <w:rPr>
          <w:rFonts w:ascii="Times New Roman" w:hAnsi="Times New Roman" w:cs="Times New Roman"/>
          <w:sz w:val="24"/>
          <w:szCs w:val="24"/>
        </w:rPr>
        <w:t xml:space="preserve"> focus</w:t>
      </w:r>
      <w:r w:rsidR="00857A53">
        <w:rPr>
          <w:rFonts w:ascii="Times New Roman" w:hAnsi="Times New Roman" w:cs="Times New Roman"/>
          <w:sz w:val="24"/>
          <w:szCs w:val="24"/>
        </w:rPr>
        <w:t>es</w:t>
      </w:r>
      <w:r w:rsidR="00857A53" w:rsidRPr="008D7993">
        <w:rPr>
          <w:rFonts w:ascii="Times New Roman" w:hAnsi="Times New Roman" w:cs="Times New Roman"/>
          <w:sz w:val="24"/>
          <w:szCs w:val="24"/>
        </w:rPr>
        <w:t xml:space="preserve"> on metrics and reporting requirements that are especially important.</w:t>
      </w:r>
      <w:r w:rsidR="00857A53">
        <w:rPr>
          <w:rFonts w:ascii="Times New Roman" w:hAnsi="Times New Roman" w:cs="Times New Roman"/>
          <w:sz w:val="24"/>
          <w:szCs w:val="24"/>
        </w:rPr>
        <w:t xml:space="preserve"> </w:t>
      </w:r>
      <w:r w:rsidR="00C612C5">
        <w:rPr>
          <w:rFonts w:ascii="Times New Roman" w:hAnsi="Times New Roman" w:cs="Times New Roman"/>
          <w:sz w:val="24"/>
          <w:szCs w:val="24"/>
        </w:rPr>
        <w:t>The</w:t>
      </w:r>
      <w:r w:rsidRPr="7F52448C">
        <w:rPr>
          <w:rFonts w:ascii="Times New Roman" w:hAnsi="Times New Roman" w:cs="Times New Roman"/>
          <w:sz w:val="24"/>
          <w:szCs w:val="24"/>
        </w:rPr>
        <w:t xml:space="preserve"> </w:t>
      </w:r>
      <w:r w:rsidR="77275BB2" w:rsidRPr="7F52448C">
        <w:rPr>
          <w:rFonts w:ascii="Times New Roman" w:hAnsi="Times New Roman" w:cs="Times New Roman"/>
          <w:sz w:val="24"/>
          <w:szCs w:val="24"/>
        </w:rPr>
        <w:t>E</w:t>
      </w:r>
      <w:r w:rsidRPr="7F52448C">
        <w:rPr>
          <w:rFonts w:ascii="Times New Roman" w:hAnsi="Times New Roman" w:cs="Times New Roman"/>
          <w:sz w:val="24"/>
          <w:szCs w:val="24"/>
        </w:rPr>
        <w:t xml:space="preserve">WG had an initial conversation with the </w:t>
      </w:r>
      <w:r w:rsidR="69C6C3D6" w:rsidRPr="7F52448C">
        <w:rPr>
          <w:rFonts w:ascii="Times New Roman" w:hAnsi="Times New Roman" w:cs="Times New Roman"/>
          <w:sz w:val="24"/>
          <w:szCs w:val="24"/>
        </w:rPr>
        <w:t>EDCs</w:t>
      </w:r>
      <w:r w:rsidRPr="7F52448C">
        <w:rPr>
          <w:rFonts w:ascii="Times New Roman" w:hAnsi="Times New Roman" w:cs="Times New Roman"/>
          <w:sz w:val="24"/>
          <w:szCs w:val="24"/>
        </w:rPr>
        <w:t xml:space="preserve"> about </w:t>
      </w:r>
      <w:r w:rsidR="00496C17">
        <w:rPr>
          <w:rFonts w:ascii="Times New Roman" w:hAnsi="Times New Roman" w:cs="Times New Roman"/>
          <w:sz w:val="24"/>
          <w:szCs w:val="24"/>
        </w:rPr>
        <w:t xml:space="preserve">the </w:t>
      </w:r>
      <w:r w:rsidRPr="7F52448C">
        <w:rPr>
          <w:rFonts w:ascii="Times New Roman" w:hAnsi="Times New Roman" w:cs="Times New Roman"/>
          <w:sz w:val="24"/>
          <w:szCs w:val="24"/>
        </w:rPr>
        <w:t xml:space="preserve">metrics and reporting </w:t>
      </w:r>
      <w:r w:rsidR="00496C17">
        <w:rPr>
          <w:rFonts w:ascii="Times New Roman" w:hAnsi="Times New Roman" w:cs="Times New Roman"/>
          <w:sz w:val="24"/>
          <w:szCs w:val="24"/>
        </w:rPr>
        <w:t xml:space="preserve">filing </w:t>
      </w:r>
      <w:r w:rsidR="76756D2A" w:rsidRPr="7F52448C">
        <w:rPr>
          <w:rFonts w:ascii="Times New Roman" w:hAnsi="Times New Roman" w:cs="Times New Roman"/>
          <w:sz w:val="24"/>
          <w:szCs w:val="24"/>
        </w:rPr>
        <w:t xml:space="preserve">at </w:t>
      </w:r>
      <w:r w:rsidR="00C045A8" w:rsidRPr="00C045A8" w:rsidDel="00C045A8">
        <w:rPr>
          <w:rFonts w:ascii="Times New Roman" w:hAnsi="Times New Roman" w:cs="Times New Roman"/>
          <w:sz w:val="24"/>
          <w:szCs w:val="24"/>
        </w:rPr>
        <w:t>its</w:t>
      </w:r>
      <w:r w:rsidR="00C045A8" w:rsidRPr="00C045A8">
        <w:rPr>
          <w:rFonts w:ascii="Times New Roman" w:hAnsi="Times New Roman" w:cs="Times New Roman"/>
          <w:sz w:val="24"/>
          <w:szCs w:val="24"/>
        </w:rPr>
        <w:t xml:space="preserve"> February 20, 2025 </w:t>
      </w:r>
      <w:r w:rsidR="00C045A8" w:rsidRPr="2EF86000" w:rsidDel="007F2444">
        <w:rPr>
          <w:rFonts w:ascii="Times New Roman" w:hAnsi="Times New Roman" w:cs="Times New Roman"/>
          <w:sz w:val="24"/>
          <w:szCs w:val="24"/>
        </w:rPr>
        <w:t>meeting.</w:t>
      </w:r>
      <w:r w:rsidR="00F67018">
        <w:rPr>
          <w:rStyle w:val="FootnoteReference"/>
          <w:rFonts w:ascii="Times New Roman" w:hAnsi="Times New Roman" w:cs="Times New Roman"/>
          <w:sz w:val="24"/>
          <w:szCs w:val="24"/>
        </w:rPr>
        <w:footnoteReference w:id="4"/>
      </w:r>
      <w:r w:rsidRPr="00C045A8">
        <w:rPr>
          <w:rFonts w:ascii="Times New Roman" w:hAnsi="Times New Roman" w:cs="Times New Roman"/>
          <w:sz w:val="24"/>
          <w:szCs w:val="24"/>
        </w:rPr>
        <w:t xml:space="preserve"> </w:t>
      </w:r>
      <w:r w:rsidR="10621850" w:rsidRPr="2EF86000">
        <w:rPr>
          <w:rFonts w:ascii="Times New Roman" w:hAnsi="Times New Roman" w:cs="Times New Roman"/>
          <w:sz w:val="24"/>
          <w:szCs w:val="24"/>
        </w:rPr>
        <w:t>To complement</w:t>
      </w:r>
      <w:r w:rsidR="29640BCD" w:rsidRPr="7F52448C">
        <w:rPr>
          <w:rFonts w:ascii="Times New Roman" w:hAnsi="Times New Roman" w:cs="Times New Roman"/>
          <w:sz w:val="24"/>
          <w:szCs w:val="24"/>
        </w:rPr>
        <w:t xml:space="preserve"> that meeting, </w:t>
      </w:r>
      <w:r w:rsidR="00787850" w:rsidRPr="7F52448C" w:rsidDel="00787850">
        <w:rPr>
          <w:rFonts w:ascii="Times New Roman" w:hAnsi="Times New Roman" w:cs="Times New Roman"/>
          <w:sz w:val="24"/>
          <w:szCs w:val="24"/>
        </w:rPr>
        <w:t xml:space="preserve">the EWG </w:t>
      </w:r>
      <w:r w:rsidR="00E73FE6" w:rsidRPr="2EF86000">
        <w:rPr>
          <w:rFonts w:ascii="Times New Roman" w:hAnsi="Times New Roman" w:cs="Times New Roman"/>
          <w:sz w:val="24"/>
          <w:szCs w:val="24"/>
        </w:rPr>
        <w:t>discussed</w:t>
      </w:r>
      <w:r w:rsidR="00E73FE6" w:rsidRPr="7F52448C">
        <w:rPr>
          <w:rFonts w:ascii="Times New Roman" w:hAnsi="Times New Roman" w:cs="Times New Roman"/>
          <w:sz w:val="24"/>
          <w:szCs w:val="24"/>
        </w:rPr>
        <w:t xml:space="preserve"> and agreed to</w:t>
      </w:r>
      <w:r w:rsidRPr="7F52448C" w:rsidDel="00583EE9">
        <w:rPr>
          <w:rFonts w:ascii="Times New Roman" w:hAnsi="Times New Roman" w:cs="Times New Roman"/>
          <w:sz w:val="24"/>
          <w:szCs w:val="24"/>
        </w:rPr>
        <w:t xml:space="preserve"> submit a</w:t>
      </w:r>
      <w:r w:rsidR="00003FB7">
        <w:rPr>
          <w:rFonts w:ascii="Times New Roman" w:hAnsi="Times New Roman" w:cs="Times New Roman"/>
          <w:sz w:val="24"/>
          <w:szCs w:val="24"/>
        </w:rPr>
        <w:t>n open</w:t>
      </w:r>
      <w:r w:rsidRPr="7F52448C">
        <w:rPr>
          <w:rFonts w:ascii="Times New Roman" w:hAnsi="Times New Roman" w:cs="Times New Roman"/>
          <w:sz w:val="24"/>
          <w:szCs w:val="24"/>
        </w:rPr>
        <w:t xml:space="preserve"> letter summarizing </w:t>
      </w:r>
      <w:r w:rsidR="00E73FE6" w:rsidRPr="7F52448C">
        <w:rPr>
          <w:rFonts w:ascii="Times New Roman" w:hAnsi="Times New Roman" w:cs="Times New Roman"/>
          <w:sz w:val="24"/>
          <w:szCs w:val="24"/>
        </w:rPr>
        <w:t>the group’s</w:t>
      </w:r>
      <w:r w:rsidR="00E73FE6" w:rsidRPr="7F52448C" w:rsidDel="00E73FE6">
        <w:rPr>
          <w:rFonts w:ascii="Times New Roman" w:hAnsi="Times New Roman" w:cs="Times New Roman"/>
          <w:sz w:val="24"/>
          <w:szCs w:val="24"/>
        </w:rPr>
        <w:t xml:space="preserve"> </w:t>
      </w:r>
      <w:r w:rsidRPr="2EF86000">
        <w:rPr>
          <w:rFonts w:ascii="Times New Roman" w:hAnsi="Times New Roman" w:cs="Times New Roman"/>
          <w:sz w:val="24"/>
          <w:szCs w:val="24"/>
        </w:rPr>
        <w:t>feedback fo</w:t>
      </w:r>
      <w:r w:rsidR="00F27DED">
        <w:rPr>
          <w:rFonts w:ascii="Times New Roman" w:hAnsi="Times New Roman" w:cs="Times New Roman"/>
          <w:sz w:val="24"/>
          <w:szCs w:val="24"/>
        </w:rPr>
        <w:t>r consideration</w:t>
      </w:r>
      <w:r w:rsidRPr="7F52448C" w:rsidDel="001F23CB">
        <w:rPr>
          <w:rFonts w:ascii="Times New Roman" w:hAnsi="Times New Roman" w:cs="Times New Roman"/>
          <w:sz w:val="24"/>
          <w:szCs w:val="24"/>
        </w:rPr>
        <w:t>.</w:t>
      </w:r>
    </w:p>
    <w:p w14:paraId="79EDFE6D" w14:textId="0ECCEF7D" w:rsidR="00011624" w:rsidRPr="00317787" w:rsidRDefault="03D7BD2D" w:rsidP="00DB4A74">
      <w:pPr>
        <w:spacing w:after="0"/>
        <w:ind w:firstLine="720"/>
        <w:rPr>
          <w:rFonts w:ascii="Times New Roman" w:eastAsia="Times New Roman" w:hAnsi="Times New Roman" w:cs="Times New Roman"/>
          <w:sz w:val="24"/>
          <w:szCs w:val="24"/>
        </w:rPr>
      </w:pPr>
      <w:r w:rsidRPr="2EF86000">
        <w:rPr>
          <w:rFonts w:ascii="Times New Roman" w:eastAsia="Times New Roman" w:hAnsi="Times New Roman" w:cs="Times New Roman"/>
          <w:sz w:val="24"/>
          <w:szCs w:val="24"/>
        </w:rPr>
        <w:t>For reference, t</w:t>
      </w:r>
      <w:r w:rsidR="3E637923" w:rsidRPr="2EF86000">
        <w:rPr>
          <w:rFonts w:ascii="Times New Roman" w:eastAsia="Times New Roman" w:hAnsi="Times New Roman" w:cs="Times New Roman"/>
          <w:sz w:val="24"/>
          <w:szCs w:val="24"/>
        </w:rPr>
        <w:t xml:space="preserve">he Equity Working Group is comprised of </w:t>
      </w:r>
      <w:r w:rsidR="00C451FD" w:rsidRPr="2EF86000">
        <w:rPr>
          <w:rFonts w:ascii="Times New Roman" w:eastAsia="Times New Roman" w:hAnsi="Times New Roman" w:cs="Times New Roman"/>
          <w:sz w:val="24"/>
          <w:szCs w:val="24"/>
        </w:rPr>
        <w:t>seven voting members including</w:t>
      </w:r>
      <w:r w:rsidR="00B120EC" w:rsidRPr="2EF86000">
        <w:rPr>
          <w:rFonts w:ascii="Times New Roman" w:eastAsia="Times New Roman" w:hAnsi="Times New Roman" w:cs="Times New Roman"/>
          <w:sz w:val="24"/>
          <w:szCs w:val="24"/>
        </w:rPr>
        <w:t xml:space="preserve"> </w:t>
      </w:r>
      <w:r w:rsidR="001F23CB" w:rsidRPr="2EF86000">
        <w:rPr>
          <w:rFonts w:ascii="Times New Roman" w:eastAsia="Times New Roman" w:hAnsi="Times New Roman" w:cs="Times New Roman"/>
          <w:sz w:val="24"/>
          <w:szCs w:val="24"/>
        </w:rPr>
        <w:t xml:space="preserve">representatives of the </w:t>
      </w:r>
      <w:r w:rsidR="00B120EC" w:rsidRPr="2EF86000">
        <w:rPr>
          <w:rFonts w:ascii="Times New Roman" w:eastAsia="Times New Roman" w:hAnsi="Times New Roman" w:cs="Times New Roman"/>
          <w:sz w:val="24"/>
          <w:szCs w:val="24"/>
        </w:rPr>
        <w:t xml:space="preserve">Massachusetts Department of Energy Resources, the Office of the Attorney General, two </w:t>
      </w:r>
      <w:r w:rsidR="3E637923" w:rsidRPr="2EF86000">
        <w:rPr>
          <w:rFonts w:ascii="Times New Roman" w:eastAsia="Times New Roman" w:hAnsi="Times New Roman" w:cs="Times New Roman"/>
          <w:sz w:val="24"/>
          <w:szCs w:val="24"/>
        </w:rPr>
        <w:t xml:space="preserve">Grid Modernization Advisory Council members, </w:t>
      </w:r>
      <w:r w:rsidR="006332AD" w:rsidRPr="2EF86000">
        <w:rPr>
          <w:rFonts w:ascii="Times New Roman" w:eastAsia="Times New Roman" w:hAnsi="Times New Roman" w:cs="Times New Roman"/>
          <w:sz w:val="24"/>
          <w:szCs w:val="24"/>
        </w:rPr>
        <w:t xml:space="preserve">and </w:t>
      </w:r>
      <w:r w:rsidR="3E637923" w:rsidRPr="2EF86000">
        <w:rPr>
          <w:rFonts w:ascii="Times New Roman" w:eastAsia="Times New Roman" w:hAnsi="Times New Roman" w:cs="Times New Roman"/>
          <w:sz w:val="24"/>
          <w:szCs w:val="24"/>
        </w:rPr>
        <w:t>two members external to the Council</w:t>
      </w:r>
      <w:r w:rsidR="006332AD" w:rsidRPr="2EF86000">
        <w:rPr>
          <w:rFonts w:ascii="Times New Roman" w:eastAsia="Times New Roman" w:hAnsi="Times New Roman" w:cs="Times New Roman"/>
          <w:sz w:val="24"/>
          <w:szCs w:val="24"/>
        </w:rPr>
        <w:t>.</w:t>
      </w:r>
      <w:r w:rsidR="001F23CB" w:rsidRPr="2EF86000">
        <w:rPr>
          <w:rFonts w:ascii="Times New Roman" w:eastAsia="Times New Roman" w:hAnsi="Times New Roman" w:cs="Times New Roman"/>
          <w:sz w:val="24"/>
          <w:szCs w:val="24"/>
        </w:rPr>
        <w:t xml:space="preserve"> </w:t>
      </w:r>
      <w:r w:rsidR="3E637923" w:rsidRPr="2EF86000">
        <w:rPr>
          <w:rFonts w:ascii="Times New Roman" w:eastAsia="Times New Roman" w:hAnsi="Times New Roman" w:cs="Times New Roman"/>
          <w:sz w:val="24"/>
          <w:szCs w:val="24"/>
        </w:rPr>
        <w:t xml:space="preserve">The EDCs have one non-voting representative. </w:t>
      </w:r>
    </w:p>
    <w:p w14:paraId="25D7229B" w14:textId="7646A18B" w:rsidR="00011624" w:rsidRPr="00317787" w:rsidRDefault="3E637923" w:rsidP="27D38C5A">
      <w:pPr>
        <w:spacing w:after="0"/>
        <w:rPr>
          <w:rFonts w:ascii="Times New Roman" w:eastAsia="Times New Roman" w:hAnsi="Times New Roman" w:cs="Times New Roman"/>
          <w:sz w:val="24"/>
          <w:szCs w:val="24"/>
        </w:rPr>
      </w:pPr>
      <w:r w:rsidRPr="3F85D564">
        <w:rPr>
          <w:rFonts w:ascii="Times New Roman" w:eastAsia="Times New Roman" w:hAnsi="Times New Roman" w:cs="Times New Roman"/>
          <w:sz w:val="24"/>
          <w:szCs w:val="24"/>
        </w:rPr>
        <w:t xml:space="preserve"> </w:t>
      </w:r>
    </w:p>
    <w:p w14:paraId="3A2D39C7" w14:textId="20F37B3C" w:rsidR="00011624" w:rsidRPr="00317787" w:rsidRDefault="3E637923" w:rsidP="00DB4A74">
      <w:pPr>
        <w:spacing w:after="0"/>
        <w:ind w:firstLine="720"/>
        <w:rPr>
          <w:rFonts w:ascii="Times New Roman" w:eastAsia="Times New Roman" w:hAnsi="Times New Roman" w:cs="Times New Roman"/>
          <w:sz w:val="24"/>
          <w:szCs w:val="24"/>
        </w:rPr>
      </w:pPr>
      <w:r w:rsidRPr="3F85D564">
        <w:rPr>
          <w:rFonts w:ascii="Times New Roman" w:eastAsia="Times New Roman" w:hAnsi="Times New Roman" w:cs="Times New Roman"/>
          <w:sz w:val="24"/>
          <w:szCs w:val="24"/>
        </w:rPr>
        <w:t xml:space="preserve">The Equity Working Group </w:t>
      </w:r>
      <w:r w:rsidR="0A79150D" w:rsidRPr="3F85D564">
        <w:rPr>
          <w:rFonts w:ascii="Times New Roman" w:eastAsia="Times New Roman" w:hAnsi="Times New Roman" w:cs="Times New Roman"/>
          <w:sz w:val="24"/>
          <w:szCs w:val="24"/>
        </w:rPr>
        <w:t xml:space="preserve">currently </w:t>
      </w:r>
      <w:r w:rsidRPr="3F85D564">
        <w:rPr>
          <w:rFonts w:ascii="Times New Roman" w:eastAsia="Times New Roman" w:hAnsi="Times New Roman" w:cs="Times New Roman"/>
          <w:sz w:val="24"/>
          <w:szCs w:val="24"/>
        </w:rPr>
        <w:t>consists of the following representatives:</w:t>
      </w:r>
    </w:p>
    <w:p w14:paraId="1542F5E0" w14:textId="2090F1CC" w:rsidR="00011624" w:rsidRPr="00317787" w:rsidRDefault="00011624" w:rsidP="27D38C5A">
      <w:pPr>
        <w:spacing w:after="0"/>
        <w:rPr>
          <w:rFonts w:ascii="Times New Roman" w:eastAsia="Times New Roman" w:hAnsi="Times New Roman" w:cs="Times New Roman"/>
          <w:sz w:val="24"/>
          <w:szCs w:val="24"/>
        </w:rPr>
      </w:pPr>
    </w:p>
    <w:tbl>
      <w:tblPr>
        <w:tblW w:w="0" w:type="auto"/>
        <w:tblLayout w:type="fixed"/>
        <w:tblLook w:val="0600" w:firstRow="0" w:lastRow="0" w:firstColumn="0" w:lastColumn="0" w:noHBand="1" w:noVBand="1"/>
      </w:tblPr>
      <w:tblGrid>
        <w:gridCol w:w="2998"/>
        <w:gridCol w:w="6341"/>
      </w:tblGrid>
      <w:tr w:rsidR="27D38C5A" w14:paraId="247A84D6" w14:textId="77777777" w:rsidTr="2EF86000">
        <w:trPr>
          <w:trHeight w:val="30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4D0B6601" w14:textId="45EC7839"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Kathryn Wright, Chair</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03A1315E" w14:textId="495E952F"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Barr Foundation </w:t>
            </w:r>
          </w:p>
        </w:tc>
      </w:tr>
      <w:tr w:rsidR="27D38C5A" w14:paraId="6EBDF110" w14:textId="77777777" w:rsidTr="2EF86000">
        <w:trPr>
          <w:trHeight w:val="30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6DC07895" w14:textId="5DD40B80" w:rsidR="27D38C5A" w:rsidRDefault="397F7468" w:rsidP="27D38C5A">
            <w:pPr>
              <w:spacing w:after="0"/>
              <w:rPr>
                <w:rFonts w:ascii="Times New Roman" w:eastAsia="Times New Roman" w:hAnsi="Times New Roman" w:cs="Times New Roman"/>
                <w:color w:val="000000" w:themeColor="text1"/>
                <w:sz w:val="24"/>
                <w:szCs w:val="24"/>
              </w:rPr>
            </w:pPr>
            <w:r w:rsidRPr="2EF86000">
              <w:rPr>
                <w:rFonts w:ascii="Times New Roman" w:eastAsia="Times New Roman" w:hAnsi="Times New Roman" w:cs="Times New Roman"/>
                <w:color w:val="000000" w:themeColor="text1"/>
                <w:sz w:val="24"/>
                <w:szCs w:val="24"/>
              </w:rPr>
              <w:t xml:space="preserve">Chris Modlish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594AA8BA" w14:textId="658896B7"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Attorney General’s Office</w:t>
            </w:r>
          </w:p>
        </w:tc>
      </w:tr>
      <w:tr w:rsidR="27D38C5A" w14:paraId="06C76B98"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4DB84E26" w14:textId="2A254BFE"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Julia Fox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5032E3B8" w14:textId="7016E2E3"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Department of Energy Resources</w:t>
            </w:r>
          </w:p>
        </w:tc>
      </w:tr>
      <w:tr w:rsidR="27D38C5A" w14:paraId="2CC7348A"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7148512C" w14:textId="75C94E00"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Erin Engstrom (non-voting)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229A52A0" w14:textId="56346B3B"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Eversource </w:t>
            </w:r>
          </w:p>
        </w:tc>
      </w:tr>
      <w:tr w:rsidR="27D38C5A" w14:paraId="2F950B0B"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38459B33" w14:textId="0F96F1A9"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Mary Wambui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7E749AB9" w14:textId="04AFBA48"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Planning Office for Urban Affairs </w:t>
            </w:r>
          </w:p>
        </w:tc>
      </w:tr>
      <w:tr w:rsidR="27D38C5A" w14:paraId="2F5B6C58"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48E6E142" w14:textId="0AA1AC2F" w:rsidR="0B8C5DE4" w:rsidRDefault="0B8C5DE4"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lastRenderedPageBreak/>
              <w:t>Jolette Westbrook</w:t>
            </w:r>
            <w:r w:rsidR="27D38C5A" w:rsidRPr="3F85D564">
              <w:rPr>
                <w:rFonts w:ascii="Times New Roman" w:eastAsia="Times New Roman" w:hAnsi="Times New Roman" w:cs="Times New Roman"/>
                <w:color w:val="000000" w:themeColor="text1"/>
                <w:sz w:val="24"/>
                <w:szCs w:val="24"/>
              </w:rPr>
              <w:t xml:space="preserve">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498CB913" w14:textId="5A14E495" w:rsidR="0B8C5DE4" w:rsidRDefault="0B8C5DE4"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Environmental Defense Fund </w:t>
            </w:r>
            <w:r w:rsidR="27D38C5A" w:rsidRPr="3F85D564">
              <w:rPr>
                <w:rFonts w:ascii="Times New Roman" w:eastAsia="Times New Roman" w:hAnsi="Times New Roman" w:cs="Times New Roman"/>
                <w:color w:val="000000" w:themeColor="text1"/>
                <w:sz w:val="24"/>
                <w:szCs w:val="24"/>
              </w:rPr>
              <w:t xml:space="preserve"> </w:t>
            </w:r>
          </w:p>
        </w:tc>
      </w:tr>
      <w:tr w:rsidR="27D38C5A" w14:paraId="15F3962B"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6E577CFE" w14:textId="366788BC"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Kyle Murray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11B27507" w14:textId="08DDF5AE"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Acadia Center</w:t>
            </w:r>
          </w:p>
        </w:tc>
      </w:tr>
      <w:tr w:rsidR="27D38C5A" w14:paraId="13F5FE53"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205446C2" w14:textId="00912B7E" w:rsidR="27D38C5A" w:rsidRDefault="27D38C5A" w:rsidP="27D38C5A">
            <w:pPr>
              <w:spacing w:after="0"/>
              <w:rPr>
                <w:rFonts w:ascii="Times New Roman" w:eastAsia="Times New Roman" w:hAnsi="Times New Roman" w:cs="Times New Roman"/>
                <w:color w:val="000000" w:themeColor="text1"/>
                <w:sz w:val="24"/>
                <w:szCs w:val="24"/>
              </w:rPr>
            </w:pPr>
            <w:r w:rsidRPr="3F85D564">
              <w:rPr>
                <w:rFonts w:ascii="Times New Roman" w:eastAsia="Times New Roman" w:hAnsi="Times New Roman" w:cs="Times New Roman"/>
                <w:color w:val="000000" w:themeColor="text1"/>
                <w:sz w:val="24"/>
                <w:szCs w:val="24"/>
              </w:rPr>
              <w:t xml:space="preserve">Larry Chretien </w:t>
            </w: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7A441105" w14:textId="27E200DA" w:rsidR="27D38C5A" w:rsidRDefault="397F7468" w:rsidP="27D38C5A">
            <w:pPr>
              <w:spacing w:after="0"/>
              <w:rPr>
                <w:rFonts w:ascii="Times New Roman" w:eastAsia="Times New Roman" w:hAnsi="Times New Roman" w:cs="Times New Roman"/>
                <w:color w:val="000000" w:themeColor="text1"/>
                <w:sz w:val="24"/>
                <w:szCs w:val="24"/>
              </w:rPr>
            </w:pPr>
            <w:r w:rsidRPr="2EF86000">
              <w:rPr>
                <w:rFonts w:ascii="Times New Roman" w:eastAsia="Times New Roman" w:hAnsi="Times New Roman" w:cs="Times New Roman"/>
                <w:color w:val="000000" w:themeColor="text1"/>
                <w:sz w:val="24"/>
                <w:szCs w:val="24"/>
              </w:rPr>
              <w:t xml:space="preserve">Green Energy Consumers Alliance </w:t>
            </w:r>
          </w:p>
        </w:tc>
      </w:tr>
      <w:tr w:rsidR="00AE5C95" w14:paraId="7C6CCF99" w14:textId="77777777" w:rsidTr="2EF86000">
        <w:trPr>
          <w:trHeight w:val="270"/>
        </w:trPr>
        <w:tc>
          <w:tcPr>
            <w:tcW w:w="29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6D6E03BD" w14:textId="77777777" w:rsidR="00AE5C95" w:rsidRPr="3F85D564" w:rsidRDefault="00AE5C95" w:rsidP="27D38C5A">
            <w:pPr>
              <w:spacing w:after="0"/>
              <w:rPr>
                <w:rFonts w:ascii="Times New Roman" w:eastAsia="Times New Roman" w:hAnsi="Times New Roman" w:cs="Times New Roman"/>
                <w:color w:val="000000" w:themeColor="text1"/>
                <w:sz w:val="24"/>
                <w:szCs w:val="24"/>
              </w:rPr>
            </w:pPr>
          </w:p>
        </w:tc>
        <w:tc>
          <w:tcPr>
            <w:tcW w:w="63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tcPr>
          <w:p w14:paraId="30926D03" w14:textId="77777777" w:rsidR="00AE5C95" w:rsidRPr="3F85D564" w:rsidRDefault="00AE5C95" w:rsidP="27D38C5A">
            <w:pPr>
              <w:spacing w:after="0"/>
              <w:rPr>
                <w:rFonts w:ascii="Times New Roman" w:eastAsia="Times New Roman" w:hAnsi="Times New Roman" w:cs="Times New Roman"/>
                <w:color w:val="000000" w:themeColor="text1"/>
                <w:sz w:val="24"/>
                <w:szCs w:val="24"/>
              </w:rPr>
            </w:pPr>
          </w:p>
        </w:tc>
      </w:tr>
    </w:tbl>
    <w:p w14:paraId="389263B5" w14:textId="4B749A17" w:rsidR="00011624" w:rsidRPr="000D73AB" w:rsidRDefault="35E028C2" w:rsidP="2EF86000">
      <w:pPr>
        <w:pStyle w:val="ListParagraph"/>
        <w:numPr>
          <w:ilvl w:val="0"/>
          <w:numId w:val="17"/>
        </w:numPr>
        <w:rPr>
          <w:rFonts w:ascii="Times New Roman" w:hAnsi="Times New Roman" w:cs="Times New Roman"/>
          <w:b/>
          <w:bCs/>
          <w:sz w:val="24"/>
          <w:szCs w:val="24"/>
        </w:rPr>
      </w:pPr>
      <w:r w:rsidRPr="2EF86000">
        <w:rPr>
          <w:rFonts w:ascii="Times New Roman" w:hAnsi="Times New Roman" w:cs="Times New Roman"/>
          <w:b/>
          <w:bCs/>
          <w:sz w:val="24"/>
          <w:szCs w:val="24"/>
        </w:rPr>
        <w:t xml:space="preserve">Comments on the EDC’s </w:t>
      </w:r>
      <w:r w:rsidR="006332AD" w:rsidRPr="2EF86000">
        <w:rPr>
          <w:rFonts w:ascii="Times New Roman" w:hAnsi="Times New Roman" w:cs="Times New Roman"/>
          <w:b/>
          <w:bCs/>
          <w:sz w:val="24"/>
          <w:szCs w:val="24"/>
        </w:rPr>
        <w:t>P</w:t>
      </w:r>
      <w:r w:rsidRPr="2EF86000">
        <w:rPr>
          <w:rFonts w:ascii="Times New Roman" w:hAnsi="Times New Roman" w:cs="Times New Roman"/>
          <w:b/>
          <w:bCs/>
          <w:sz w:val="24"/>
          <w:szCs w:val="24"/>
        </w:rPr>
        <w:t xml:space="preserve">roposed </w:t>
      </w:r>
      <w:r w:rsidR="006332AD" w:rsidRPr="2EF86000">
        <w:rPr>
          <w:rFonts w:ascii="Times New Roman" w:hAnsi="Times New Roman" w:cs="Times New Roman"/>
          <w:b/>
          <w:bCs/>
          <w:sz w:val="24"/>
          <w:szCs w:val="24"/>
        </w:rPr>
        <w:t>M</w:t>
      </w:r>
      <w:r w:rsidRPr="2EF86000">
        <w:rPr>
          <w:rFonts w:ascii="Times New Roman" w:hAnsi="Times New Roman" w:cs="Times New Roman"/>
          <w:b/>
          <w:bCs/>
          <w:sz w:val="24"/>
          <w:szCs w:val="24"/>
        </w:rPr>
        <w:t xml:space="preserve">etrics: </w:t>
      </w:r>
    </w:p>
    <w:p w14:paraId="1408DF9B" w14:textId="21E13842" w:rsidR="00011624" w:rsidRPr="00317787" w:rsidRDefault="00DE21C4" w:rsidP="00DB4A74">
      <w:pPr>
        <w:ind w:firstLine="720"/>
        <w:rPr>
          <w:rFonts w:ascii="Times New Roman" w:hAnsi="Times New Roman" w:cs="Times New Roman"/>
          <w:sz w:val="24"/>
          <w:szCs w:val="24"/>
        </w:rPr>
      </w:pPr>
      <w:r w:rsidRPr="2EF86000">
        <w:rPr>
          <w:rFonts w:ascii="Times New Roman" w:hAnsi="Times New Roman" w:cs="Times New Roman"/>
          <w:sz w:val="24"/>
          <w:szCs w:val="24"/>
        </w:rPr>
        <w:t>The</w:t>
      </w:r>
      <w:r w:rsidR="4139DB5F" w:rsidRPr="2EF86000">
        <w:rPr>
          <w:rFonts w:ascii="Times New Roman" w:hAnsi="Times New Roman" w:cs="Times New Roman"/>
          <w:sz w:val="24"/>
          <w:szCs w:val="24"/>
        </w:rPr>
        <w:t xml:space="preserve"> EWG's</w:t>
      </w:r>
      <w:r w:rsidR="35E028C2" w:rsidRPr="2EF86000">
        <w:rPr>
          <w:rFonts w:ascii="Times New Roman" w:hAnsi="Times New Roman" w:cs="Times New Roman"/>
          <w:sz w:val="24"/>
          <w:szCs w:val="24"/>
        </w:rPr>
        <w:t xml:space="preserve"> </w:t>
      </w:r>
      <w:r w:rsidR="4D0E09AF" w:rsidRPr="2EF86000">
        <w:rPr>
          <w:rFonts w:ascii="Times New Roman" w:hAnsi="Times New Roman" w:cs="Times New Roman"/>
          <w:sz w:val="24"/>
          <w:szCs w:val="24"/>
        </w:rPr>
        <w:t xml:space="preserve">initial </w:t>
      </w:r>
      <w:r w:rsidR="35E028C2" w:rsidRPr="2EF86000">
        <w:rPr>
          <w:rFonts w:ascii="Times New Roman" w:hAnsi="Times New Roman" w:cs="Times New Roman"/>
          <w:sz w:val="24"/>
          <w:szCs w:val="24"/>
        </w:rPr>
        <w:t>comments</w:t>
      </w:r>
      <w:r w:rsidR="001F23CB" w:rsidRPr="2EF86000">
        <w:rPr>
          <w:rFonts w:ascii="Times New Roman" w:hAnsi="Times New Roman" w:cs="Times New Roman"/>
          <w:sz w:val="24"/>
          <w:szCs w:val="24"/>
        </w:rPr>
        <w:t xml:space="preserve"> were structured to</w:t>
      </w:r>
      <w:r w:rsidR="35E028C2" w:rsidRPr="2EF86000">
        <w:rPr>
          <w:rFonts w:ascii="Times New Roman" w:hAnsi="Times New Roman" w:cs="Times New Roman"/>
          <w:sz w:val="24"/>
          <w:szCs w:val="24"/>
        </w:rPr>
        <w:t xml:space="preserve"> alig</w:t>
      </w:r>
      <w:r w:rsidR="001F23CB" w:rsidRPr="2EF86000">
        <w:rPr>
          <w:rFonts w:ascii="Times New Roman" w:hAnsi="Times New Roman" w:cs="Times New Roman"/>
          <w:sz w:val="24"/>
          <w:szCs w:val="24"/>
        </w:rPr>
        <w:t>n</w:t>
      </w:r>
      <w:r w:rsidR="35E028C2" w:rsidRPr="2EF86000">
        <w:rPr>
          <w:rFonts w:ascii="Times New Roman" w:hAnsi="Times New Roman" w:cs="Times New Roman"/>
          <w:sz w:val="24"/>
          <w:szCs w:val="24"/>
        </w:rPr>
        <w:t xml:space="preserve"> with three components of e</w:t>
      </w:r>
      <w:r w:rsidR="3C949BAE" w:rsidRPr="2EF86000">
        <w:rPr>
          <w:rFonts w:ascii="Times New Roman" w:hAnsi="Times New Roman" w:cs="Times New Roman"/>
          <w:sz w:val="24"/>
          <w:szCs w:val="24"/>
        </w:rPr>
        <w:t>nergy justice</w:t>
      </w:r>
      <w:r w:rsidR="35E028C2" w:rsidRPr="2EF86000">
        <w:rPr>
          <w:rFonts w:ascii="Times New Roman" w:hAnsi="Times New Roman" w:cs="Times New Roman"/>
          <w:sz w:val="24"/>
          <w:szCs w:val="24"/>
        </w:rPr>
        <w:t xml:space="preserve">: distributional, procedural, and recognition. Subsequently, the EDCs adopted a </w:t>
      </w:r>
      <w:r w:rsidR="2E462293" w:rsidRPr="2EF86000">
        <w:rPr>
          <w:rFonts w:ascii="Times New Roman" w:hAnsi="Times New Roman" w:cs="Times New Roman"/>
          <w:sz w:val="24"/>
          <w:szCs w:val="24"/>
        </w:rPr>
        <w:t>similar</w:t>
      </w:r>
      <w:r w:rsidR="6D921996" w:rsidRPr="2EF86000">
        <w:rPr>
          <w:rFonts w:ascii="Times New Roman" w:hAnsi="Times New Roman" w:cs="Times New Roman"/>
          <w:sz w:val="24"/>
          <w:szCs w:val="24"/>
        </w:rPr>
        <w:t xml:space="preserve"> th</w:t>
      </w:r>
      <w:r w:rsidR="35E028C2" w:rsidRPr="2EF86000">
        <w:rPr>
          <w:rFonts w:ascii="Times New Roman" w:hAnsi="Times New Roman" w:cs="Times New Roman"/>
          <w:sz w:val="24"/>
          <w:szCs w:val="24"/>
        </w:rPr>
        <w:t>ree-part equity framework</w:t>
      </w:r>
      <w:r w:rsidR="36E7D196" w:rsidRPr="2EF86000">
        <w:rPr>
          <w:rFonts w:ascii="Times New Roman" w:hAnsi="Times New Roman" w:cs="Times New Roman"/>
          <w:sz w:val="24"/>
          <w:szCs w:val="24"/>
        </w:rPr>
        <w:t xml:space="preserve"> as part of the ESMPs</w:t>
      </w:r>
      <w:r w:rsidR="00630D80" w:rsidRPr="2EF86000">
        <w:rPr>
          <w:rFonts w:ascii="Times New Roman" w:hAnsi="Times New Roman" w:cs="Times New Roman"/>
          <w:sz w:val="24"/>
          <w:szCs w:val="24"/>
        </w:rPr>
        <w:t>,</w:t>
      </w:r>
      <w:r w:rsidR="3BA06B06" w:rsidRPr="2EF86000">
        <w:rPr>
          <w:rFonts w:ascii="Times New Roman" w:hAnsi="Times New Roman" w:cs="Times New Roman"/>
          <w:sz w:val="24"/>
          <w:szCs w:val="24"/>
        </w:rPr>
        <w:t xml:space="preserve"> which uses distributional, procedural and structural equity</w:t>
      </w:r>
      <w:r w:rsidR="35E028C2" w:rsidRPr="2EF86000">
        <w:rPr>
          <w:rFonts w:ascii="Times New Roman" w:hAnsi="Times New Roman" w:cs="Times New Roman"/>
          <w:sz w:val="24"/>
          <w:szCs w:val="24"/>
        </w:rPr>
        <w:t>.</w:t>
      </w:r>
      <w:r w:rsidR="3C232676" w:rsidRPr="2EF86000">
        <w:rPr>
          <w:rFonts w:ascii="Times New Roman" w:hAnsi="Times New Roman" w:cs="Times New Roman"/>
          <w:sz w:val="24"/>
          <w:szCs w:val="24"/>
        </w:rPr>
        <w:t xml:space="preserve"> </w:t>
      </w:r>
      <w:r w:rsidR="00116C29" w:rsidRPr="2EF86000">
        <w:rPr>
          <w:rFonts w:ascii="Times New Roman" w:hAnsi="Times New Roman" w:cs="Times New Roman"/>
          <w:sz w:val="24"/>
          <w:szCs w:val="24"/>
        </w:rPr>
        <w:t xml:space="preserve">The EWG </w:t>
      </w:r>
      <w:r w:rsidR="3C232676" w:rsidRPr="2EF86000">
        <w:rPr>
          <w:rFonts w:ascii="Times New Roman" w:hAnsi="Times New Roman" w:cs="Times New Roman"/>
          <w:sz w:val="24"/>
          <w:szCs w:val="24"/>
        </w:rPr>
        <w:t>comments on the metrics</w:t>
      </w:r>
      <w:r w:rsidR="55002017" w:rsidRPr="2EF86000">
        <w:rPr>
          <w:rFonts w:ascii="Times New Roman" w:hAnsi="Times New Roman" w:cs="Times New Roman"/>
          <w:sz w:val="24"/>
          <w:szCs w:val="24"/>
        </w:rPr>
        <w:t xml:space="preserve"> and the biannual reports</w:t>
      </w:r>
      <w:r w:rsidR="3C232676" w:rsidRPr="2EF86000">
        <w:rPr>
          <w:rFonts w:ascii="Times New Roman" w:hAnsi="Times New Roman" w:cs="Times New Roman"/>
          <w:sz w:val="24"/>
          <w:szCs w:val="24"/>
        </w:rPr>
        <w:t xml:space="preserve"> </w:t>
      </w:r>
      <w:r w:rsidR="1361A329" w:rsidRPr="2EF86000">
        <w:rPr>
          <w:rFonts w:ascii="Times New Roman" w:hAnsi="Times New Roman" w:cs="Times New Roman"/>
          <w:sz w:val="24"/>
          <w:szCs w:val="24"/>
        </w:rPr>
        <w:t xml:space="preserve">continue to use </w:t>
      </w:r>
      <w:r w:rsidR="3C232676" w:rsidRPr="2EF86000">
        <w:rPr>
          <w:rFonts w:ascii="Times New Roman" w:hAnsi="Times New Roman" w:cs="Times New Roman"/>
          <w:sz w:val="24"/>
          <w:szCs w:val="24"/>
        </w:rPr>
        <w:t>th</w:t>
      </w:r>
      <w:r w:rsidR="029FEBAD" w:rsidRPr="2EF86000">
        <w:rPr>
          <w:rFonts w:ascii="Times New Roman" w:hAnsi="Times New Roman" w:cs="Times New Roman"/>
          <w:sz w:val="24"/>
          <w:szCs w:val="24"/>
        </w:rPr>
        <w:t>e three-part</w:t>
      </w:r>
      <w:r w:rsidR="3C232676" w:rsidRPr="2EF86000">
        <w:rPr>
          <w:rFonts w:ascii="Times New Roman" w:hAnsi="Times New Roman" w:cs="Times New Roman"/>
          <w:sz w:val="24"/>
          <w:szCs w:val="24"/>
        </w:rPr>
        <w:t xml:space="preserve"> structure</w:t>
      </w:r>
      <w:r w:rsidR="7FA95996" w:rsidRPr="2EF86000">
        <w:rPr>
          <w:rFonts w:ascii="Times New Roman" w:hAnsi="Times New Roman" w:cs="Times New Roman"/>
          <w:sz w:val="24"/>
          <w:szCs w:val="24"/>
        </w:rPr>
        <w:t xml:space="preserve"> </w:t>
      </w:r>
      <w:r w:rsidR="01E113B4" w:rsidRPr="2EF86000">
        <w:rPr>
          <w:rFonts w:ascii="Times New Roman" w:hAnsi="Times New Roman" w:cs="Times New Roman"/>
          <w:sz w:val="24"/>
          <w:szCs w:val="24"/>
        </w:rPr>
        <w:t>introduced in</w:t>
      </w:r>
      <w:r w:rsidR="00116C29" w:rsidRPr="2EF86000">
        <w:rPr>
          <w:rFonts w:ascii="Times New Roman" w:hAnsi="Times New Roman" w:cs="Times New Roman"/>
          <w:sz w:val="24"/>
          <w:szCs w:val="24"/>
        </w:rPr>
        <w:t xml:space="preserve"> the </w:t>
      </w:r>
      <w:r w:rsidR="7FA95996" w:rsidRPr="2EF86000">
        <w:rPr>
          <w:rFonts w:ascii="Times New Roman" w:hAnsi="Times New Roman" w:cs="Times New Roman"/>
          <w:sz w:val="24"/>
          <w:szCs w:val="24"/>
        </w:rPr>
        <w:t>original comments</w:t>
      </w:r>
      <w:r w:rsidR="24CFCA2C" w:rsidRPr="2EF86000">
        <w:rPr>
          <w:rFonts w:ascii="Times New Roman" w:hAnsi="Times New Roman" w:cs="Times New Roman"/>
          <w:sz w:val="24"/>
          <w:szCs w:val="24"/>
        </w:rPr>
        <w:t>.</w:t>
      </w:r>
    </w:p>
    <w:p w14:paraId="07C9DB1D" w14:textId="050E2525" w:rsidR="00011624" w:rsidRPr="000D73AB" w:rsidRDefault="408A14F3" w:rsidP="2EF86000">
      <w:pPr>
        <w:pStyle w:val="ListParagraph"/>
        <w:numPr>
          <w:ilvl w:val="1"/>
          <w:numId w:val="17"/>
        </w:numPr>
        <w:rPr>
          <w:rFonts w:ascii="Times New Roman" w:hAnsi="Times New Roman" w:cs="Times New Roman"/>
          <w:b/>
          <w:bCs/>
          <w:sz w:val="24"/>
          <w:szCs w:val="24"/>
        </w:rPr>
      </w:pPr>
      <w:r w:rsidRPr="2EF86000">
        <w:rPr>
          <w:rFonts w:ascii="Times New Roman" w:hAnsi="Times New Roman" w:cs="Times New Roman"/>
          <w:b/>
          <w:bCs/>
          <w:sz w:val="24"/>
          <w:szCs w:val="24"/>
        </w:rPr>
        <w:t>Procedural</w:t>
      </w:r>
    </w:p>
    <w:p w14:paraId="08DB970C" w14:textId="3BDFB381" w:rsidR="178C9407" w:rsidRDefault="178C9407" w:rsidP="003C77DD">
      <w:pPr>
        <w:rPr>
          <w:rFonts w:ascii="Times New Roman" w:hAnsi="Times New Roman" w:cs="Times New Roman"/>
          <w:i/>
          <w:iCs/>
          <w:sz w:val="24"/>
          <w:szCs w:val="24"/>
        </w:rPr>
      </w:pPr>
      <w:r w:rsidRPr="7F52448C">
        <w:rPr>
          <w:rFonts w:ascii="Times New Roman" w:hAnsi="Times New Roman" w:cs="Times New Roman"/>
          <w:i/>
          <w:iCs/>
          <w:sz w:val="24"/>
          <w:szCs w:val="24"/>
        </w:rPr>
        <w:t>Metrics</w:t>
      </w:r>
    </w:p>
    <w:p w14:paraId="46065FA9" w14:textId="2683C565" w:rsidR="00011624" w:rsidRPr="00317787" w:rsidDel="004F6A7B" w:rsidRDefault="408A14F3" w:rsidP="00DB4A74">
      <w:pPr>
        <w:ind w:firstLine="720"/>
        <w:rPr>
          <w:rFonts w:ascii="Times New Roman" w:hAnsi="Times New Roman" w:cs="Times New Roman"/>
          <w:sz w:val="24"/>
          <w:szCs w:val="24"/>
        </w:rPr>
      </w:pPr>
      <w:r w:rsidRPr="7F52448C">
        <w:rPr>
          <w:rFonts w:ascii="Times New Roman" w:hAnsi="Times New Roman" w:cs="Times New Roman"/>
          <w:sz w:val="24"/>
          <w:szCs w:val="24"/>
        </w:rPr>
        <w:t xml:space="preserve">In </w:t>
      </w:r>
      <w:r w:rsidR="00116C29">
        <w:rPr>
          <w:rFonts w:ascii="Times New Roman" w:hAnsi="Times New Roman" w:cs="Times New Roman"/>
          <w:sz w:val="24"/>
          <w:szCs w:val="24"/>
        </w:rPr>
        <w:t>p</w:t>
      </w:r>
      <w:r w:rsidR="612B5364" w:rsidRPr="7F52448C">
        <w:rPr>
          <w:rFonts w:ascii="Times New Roman" w:hAnsi="Times New Roman" w:cs="Times New Roman"/>
          <w:sz w:val="24"/>
          <w:szCs w:val="24"/>
        </w:rPr>
        <w:t>revious comments and conversations with the EDCs</w:t>
      </w:r>
      <w:r w:rsidRPr="7F52448C">
        <w:rPr>
          <w:rFonts w:ascii="Times New Roman" w:hAnsi="Times New Roman" w:cs="Times New Roman"/>
          <w:sz w:val="24"/>
          <w:szCs w:val="24"/>
        </w:rPr>
        <w:t xml:space="preserve">, </w:t>
      </w:r>
      <w:r w:rsidR="00116C29">
        <w:rPr>
          <w:rFonts w:ascii="Times New Roman" w:hAnsi="Times New Roman" w:cs="Times New Roman"/>
          <w:sz w:val="24"/>
          <w:szCs w:val="24"/>
        </w:rPr>
        <w:t>the EWG</w:t>
      </w:r>
      <w:r w:rsidRPr="7F52448C">
        <w:rPr>
          <w:rFonts w:ascii="Times New Roman" w:hAnsi="Times New Roman" w:cs="Times New Roman"/>
          <w:sz w:val="24"/>
          <w:szCs w:val="24"/>
        </w:rPr>
        <w:t xml:space="preserve"> acknowledged that the</w:t>
      </w:r>
      <w:r w:rsidR="42799C13" w:rsidRPr="7F52448C">
        <w:rPr>
          <w:rFonts w:ascii="Times New Roman" w:hAnsi="Times New Roman" w:cs="Times New Roman"/>
          <w:sz w:val="24"/>
          <w:szCs w:val="24"/>
        </w:rPr>
        <w:t xml:space="preserve"> </w:t>
      </w:r>
      <w:r w:rsidR="2CF33862" w:rsidRPr="7F52448C">
        <w:rPr>
          <w:rFonts w:ascii="Times New Roman" w:hAnsi="Times New Roman" w:cs="Times New Roman"/>
          <w:sz w:val="24"/>
          <w:szCs w:val="24"/>
        </w:rPr>
        <w:t xml:space="preserve">proposed Phase </w:t>
      </w:r>
      <w:r w:rsidR="000D73AB">
        <w:rPr>
          <w:rFonts w:ascii="Times New Roman" w:hAnsi="Times New Roman" w:cs="Times New Roman"/>
          <w:sz w:val="24"/>
          <w:szCs w:val="24"/>
        </w:rPr>
        <w:t xml:space="preserve">I </w:t>
      </w:r>
      <w:r w:rsidRPr="7F52448C">
        <w:rPr>
          <w:rFonts w:ascii="Times New Roman" w:hAnsi="Times New Roman" w:cs="Times New Roman"/>
          <w:sz w:val="24"/>
          <w:szCs w:val="24"/>
        </w:rPr>
        <w:t xml:space="preserve">stakeholder engagement metrics </w:t>
      </w:r>
      <w:r w:rsidR="00630D80">
        <w:rPr>
          <w:rFonts w:ascii="Times New Roman" w:hAnsi="Times New Roman" w:cs="Times New Roman"/>
          <w:sz w:val="24"/>
          <w:szCs w:val="24"/>
        </w:rPr>
        <w:t>identify</w:t>
      </w:r>
      <w:r w:rsidRPr="7F52448C">
        <w:rPr>
          <w:rFonts w:ascii="Times New Roman" w:hAnsi="Times New Roman" w:cs="Times New Roman"/>
          <w:sz w:val="24"/>
          <w:szCs w:val="24"/>
        </w:rPr>
        <w:t xml:space="preserve"> the quantity of engagement</w:t>
      </w:r>
      <w:r w:rsidR="457CCD86" w:rsidRPr="7F52448C">
        <w:rPr>
          <w:rFonts w:ascii="Times New Roman" w:hAnsi="Times New Roman" w:cs="Times New Roman"/>
          <w:sz w:val="24"/>
          <w:szCs w:val="24"/>
        </w:rPr>
        <w:t xml:space="preserve"> </w:t>
      </w:r>
      <w:r w:rsidRPr="7F52448C">
        <w:rPr>
          <w:rFonts w:ascii="Times New Roman" w:hAnsi="Times New Roman" w:cs="Times New Roman"/>
          <w:sz w:val="24"/>
          <w:szCs w:val="24"/>
        </w:rPr>
        <w:t xml:space="preserve">but </w:t>
      </w:r>
      <w:r w:rsidR="000B11ED">
        <w:rPr>
          <w:rFonts w:ascii="Times New Roman" w:hAnsi="Times New Roman" w:cs="Times New Roman"/>
          <w:sz w:val="24"/>
          <w:szCs w:val="24"/>
        </w:rPr>
        <w:t>do</w:t>
      </w:r>
      <w:r w:rsidRPr="7F52448C">
        <w:rPr>
          <w:rFonts w:ascii="Times New Roman" w:hAnsi="Times New Roman" w:cs="Times New Roman"/>
          <w:sz w:val="24"/>
          <w:szCs w:val="24"/>
        </w:rPr>
        <w:t xml:space="preserve"> not reflect the quality</w:t>
      </w:r>
      <w:r w:rsidR="6FAB422B" w:rsidRPr="7F52448C">
        <w:rPr>
          <w:rFonts w:ascii="Times New Roman" w:hAnsi="Times New Roman" w:cs="Times New Roman"/>
          <w:sz w:val="24"/>
          <w:szCs w:val="24"/>
        </w:rPr>
        <w:t xml:space="preserve"> of engagement</w:t>
      </w:r>
      <w:r w:rsidRPr="7F52448C">
        <w:rPr>
          <w:rFonts w:ascii="Times New Roman" w:hAnsi="Times New Roman" w:cs="Times New Roman"/>
          <w:sz w:val="24"/>
          <w:szCs w:val="24"/>
        </w:rPr>
        <w:t>.</w:t>
      </w:r>
      <w:r w:rsidR="4CA1AA39" w:rsidRPr="7F52448C">
        <w:rPr>
          <w:rFonts w:ascii="Times New Roman" w:hAnsi="Times New Roman" w:cs="Times New Roman"/>
          <w:sz w:val="24"/>
          <w:szCs w:val="24"/>
        </w:rPr>
        <w:t xml:space="preserve"> </w:t>
      </w:r>
      <w:r w:rsidR="006934AE">
        <w:rPr>
          <w:rFonts w:ascii="Times New Roman" w:hAnsi="Times New Roman" w:cs="Times New Roman"/>
          <w:sz w:val="24"/>
          <w:szCs w:val="24"/>
        </w:rPr>
        <w:t>The EWG</w:t>
      </w:r>
      <w:r w:rsidR="006934AE" w:rsidRPr="7F52448C">
        <w:rPr>
          <w:rFonts w:ascii="Times New Roman" w:hAnsi="Times New Roman" w:cs="Times New Roman"/>
          <w:sz w:val="24"/>
          <w:szCs w:val="24"/>
        </w:rPr>
        <w:t xml:space="preserve"> </w:t>
      </w:r>
      <w:r w:rsidR="684ED55B" w:rsidRPr="7F52448C">
        <w:rPr>
          <w:rFonts w:ascii="Times New Roman" w:hAnsi="Times New Roman" w:cs="Times New Roman"/>
          <w:sz w:val="24"/>
          <w:szCs w:val="24"/>
        </w:rPr>
        <w:t>note</w:t>
      </w:r>
      <w:r w:rsidR="006934AE">
        <w:rPr>
          <w:rFonts w:ascii="Times New Roman" w:hAnsi="Times New Roman" w:cs="Times New Roman"/>
          <w:sz w:val="24"/>
          <w:szCs w:val="24"/>
        </w:rPr>
        <w:t>s</w:t>
      </w:r>
      <w:r w:rsidR="7AFBF537" w:rsidRPr="7F52448C">
        <w:rPr>
          <w:rFonts w:ascii="Times New Roman" w:hAnsi="Times New Roman" w:cs="Times New Roman"/>
          <w:sz w:val="24"/>
          <w:szCs w:val="24"/>
        </w:rPr>
        <w:t xml:space="preserve"> the addition</w:t>
      </w:r>
      <w:r w:rsidR="7AFBF537" w:rsidRPr="26552AE8">
        <w:rPr>
          <w:rFonts w:ascii="Times New Roman" w:hAnsi="Times New Roman" w:cs="Times New Roman"/>
          <w:sz w:val="24"/>
          <w:szCs w:val="24"/>
        </w:rPr>
        <w:t xml:space="preserve"> </w:t>
      </w:r>
      <w:r w:rsidR="44FE5A12" w:rsidRPr="26552AE8">
        <w:rPr>
          <w:rFonts w:ascii="Times New Roman" w:hAnsi="Times New Roman" w:cs="Times New Roman"/>
          <w:sz w:val="24"/>
          <w:szCs w:val="24"/>
        </w:rPr>
        <w:t>of</w:t>
      </w:r>
      <w:r w:rsidR="7AFBF537" w:rsidRPr="7F52448C">
        <w:rPr>
          <w:rFonts w:ascii="Times New Roman" w:hAnsi="Times New Roman" w:cs="Times New Roman"/>
          <w:sz w:val="24"/>
          <w:szCs w:val="24"/>
        </w:rPr>
        <w:t xml:space="preserve"> </w:t>
      </w:r>
      <w:r w:rsidR="5CB3D68B" w:rsidRPr="7F52448C">
        <w:rPr>
          <w:rFonts w:ascii="Times New Roman" w:hAnsi="Times New Roman" w:cs="Times New Roman"/>
          <w:sz w:val="24"/>
          <w:szCs w:val="24"/>
        </w:rPr>
        <w:t xml:space="preserve">the </w:t>
      </w:r>
      <w:r w:rsidR="7AFBF537" w:rsidRPr="7F52448C">
        <w:rPr>
          <w:rFonts w:ascii="Times New Roman" w:hAnsi="Times New Roman" w:cs="Times New Roman"/>
          <w:sz w:val="24"/>
          <w:szCs w:val="24"/>
        </w:rPr>
        <w:t>second</w:t>
      </w:r>
      <w:r w:rsidR="0D9C5FCB" w:rsidRPr="7F52448C">
        <w:rPr>
          <w:rFonts w:ascii="Times New Roman" w:hAnsi="Times New Roman" w:cs="Times New Roman"/>
          <w:sz w:val="24"/>
          <w:szCs w:val="24"/>
        </w:rPr>
        <w:t>, new</w:t>
      </w:r>
      <w:r w:rsidR="7AFBF537" w:rsidRPr="7F52448C">
        <w:rPr>
          <w:rFonts w:ascii="Times New Roman" w:hAnsi="Times New Roman" w:cs="Times New Roman"/>
          <w:sz w:val="24"/>
          <w:szCs w:val="24"/>
        </w:rPr>
        <w:t xml:space="preserve"> stakeholder metric</w:t>
      </w:r>
      <w:r w:rsidR="00E2677D">
        <w:rPr>
          <w:rFonts w:ascii="Times New Roman" w:hAnsi="Times New Roman" w:cs="Times New Roman"/>
          <w:sz w:val="24"/>
          <w:szCs w:val="24"/>
        </w:rPr>
        <w:t xml:space="preserve"> that measures </w:t>
      </w:r>
      <w:r w:rsidR="00D17882">
        <w:rPr>
          <w:rFonts w:ascii="Times New Roman" w:hAnsi="Times New Roman" w:cs="Times New Roman"/>
          <w:sz w:val="24"/>
          <w:szCs w:val="24"/>
        </w:rPr>
        <w:t>aspects of ESMP infrastructure project outreach</w:t>
      </w:r>
      <w:r w:rsidR="00116C29">
        <w:rPr>
          <w:rStyle w:val="FootnoteReference"/>
          <w:rFonts w:ascii="Times New Roman" w:hAnsi="Times New Roman" w:cs="Times New Roman"/>
          <w:sz w:val="24"/>
          <w:szCs w:val="24"/>
        </w:rPr>
        <w:footnoteReference w:id="5"/>
      </w:r>
      <w:r w:rsidR="00DC0734">
        <w:rPr>
          <w:rFonts w:ascii="Times New Roman" w:hAnsi="Times New Roman" w:cs="Times New Roman"/>
          <w:sz w:val="24"/>
          <w:szCs w:val="24"/>
        </w:rPr>
        <w:t xml:space="preserve"> and </w:t>
      </w:r>
      <w:r w:rsidR="00630D80">
        <w:rPr>
          <w:rFonts w:ascii="Times New Roman" w:hAnsi="Times New Roman" w:cs="Times New Roman"/>
          <w:sz w:val="24"/>
          <w:szCs w:val="24"/>
        </w:rPr>
        <w:t>believes</w:t>
      </w:r>
      <w:r w:rsidR="00116C29">
        <w:rPr>
          <w:rFonts w:ascii="Times New Roman" w:hAnsi="Times New Roman" w:cs="Times New Roman"/>
          <w:sz w:val="24"/>
          <w:szCs w:val="24"/>
        </w:rPr>
        <w:t xml:space="preserve"> </w:t>
      </w:r>
      <w:r w:rsidR="45613BA0" w:rsidRPr="7F52448C">
        <w:rPr>
          <w:rFonts w:ascii="Times New Roman" w:hAnsi="Times New Roman" w:cs="Times New Roman"/>
          <w:sz w:val="24"/>
          <w:szCs w:val="24"/>
        </w:rPr>
        <w:t>it is</w:t>
      </w:r>
      <w:r w:rsidR="7A535993" w:rsidRPr="7F52448C">
        <w:rPr>
          <w:rFonts w:ascii="Times New Roman" w:hAnsi="Times New Roman" w:cs="Times New Roman"/>
          <w:sz w:val="24"/>
          <w:szCs w:val="24"/>
        </w:rPr>
        <w:t xml:space="preserve"> </w:t>
      </w:r>
      <w:r w:rsidR="7AFBF537" w:rsidRPr="7F52448C">
        <w:rPr>
          <w:rFonts w:ascii="Times New Roman" w:hAnsi="Times New Roman" w:cs="Times New Roman"/>
          <w:sz w:val="24"/>
          <w:szCs w:val="24"/>
        </w:rPr>
        <w:t xml:space="preserve">an important initial step in </w:t>
      </w:r>
      <w:r w:rsidR="1DD9871F" w:rsidRPr="7F52448C">
        <w:rPr>
          <w:rFonts w:ascii="Times New Roman" w:hAnsi="Times New Roman" w:cs="Times New Roman"/>
          <w:sz w:val="24"/>
          <w:szCs w:val="24"/>
        </w:rPr>
        <w:t xml:space="preserve">measuring </w:t>
      </w:r>
      <w:r w:rsidR="7AFBF537" w:rsidRPr="7F52448C">
        <w:rPr>
          <w:rFonts w:ascii="Times New Roman" w:hAnsi="Times New Roman" w:cs="Times New Roman"/>
          <w:sz w:val="24"/>
          <w:szCs w:val="24"/>
        </w:rPr>
        <w:t>the legibil</w:t>
      </w:r>
      <w:r w:rsidR="757CEAF7" w:rsidRPr="7F52448C">
        <w:rPr>
          <w:rFonts w:ascii="Times New Roman" w:hAnsi="Times New Roman" w:cs="Times New Roman"/>
          <w:sz w:val="24"/>
          <w:szCs w:val="24"/>
        </w:rPr>
        <w:t>i</w:t>
      </w:r>
      <w:r w:rsidR="7AFBF537" w:rsidRPr="7F52448C">
        <w:rPr>
          <w:rFonts w:ascii="Times New Roman" w:hAnsi="Times New Roman" w:cs="Times New Roman"/>
          <w:sz w:val="24"/>
          <w:szCs w:val="24"/>
        </w:rPr>
        <w:t>t</w:t>
      </w:r>
      <w:r w:rsidR="714667EA" w:rsidRPr="7F52448C">
        <w:rPr>
          <w:rFonts w:ascii="Times New Roman" w:hAnsi="Times New Roman" w:cs="Times New Roman"/>
          <w:sz w:val="24"/>
          <w:szCs w:val="24"/>
        </w:rPr>
        <w:t>y</w:t>
      </w:r>
      <w:r w:rsidR="7AFBF537" w:rsidRPr="7F52448C">
        <w:rPr>
          <w:rFonts w:ascii="Times New Roman" w:hAnsi="Times New Roman" w:cs="Times New Roman"/>
          <w:sz w:val="24"/>
          <w:szCs w:val="24"/>
        </w:rPr>
        <w:t xml:space="preserve"> and accessibil</w:t>
      </w:r>
      <w:r w:rsidR="33D5C286" w:rsidRPr="7F52448C">
        <w:rPr>
          <w:rFonts w:ascii="Times New Roman" w:hAnsi="Times New Roman" w:cs="Times New Roman"/>
          <w:sz w:val="24"/>
          <w:szCs w:val="24"/>
        </w:rPr>
        <w:t>i</w:t>
      </w:r>
      <w:r w:rsidR="7AFBF537" w:rsidRPr="7F52448C">
        <w:rPr>
          <w:rFonts w:ascii="Times New Roman" w:hAnsi="Times New Roman" w:cs="Times New Roman"/>
          <w:sz w:val="24"/>
          <w:szCs w:val="24"/>
        </w:rPr>
        <w:t>ty of ESMP processes</w:t>
      </w:r>
      <w:r w:rsidR="513A8290" w:rsidRPr="7F52448C">
        <w:rPr>
          <w:rFonts w:ascii="Times New Roman" w:hAnsi="Times New Roman" w:cs="Times New Roman"/>
          <w:sz w:val="24"/>
          <w:szCs w:val="24"/>
        </w:rPr>
        <w:t xml:space="preserve"> to the public</w:t>
      </w:r>
      <w:r w:rsidR="7AFBF537" w:rsidRPr="7F52448C">
        <w:rPr>
          <w:rFonts w:ascii="Times New Roman" w:hAnsi="Times New Roman" w:cs="Times New Roman"/>
          <w:sz w:val="24"/>
          <w:szCs w:val="24"/>
        </w:rPr>
        <w:t>.</w:t>
      </w:r>
      <w:r w:rsidR="6553221E" w:rsidRPr="7F52448C">
        <w:rPr>
          <w:rFonts w:ascii="Times New Roman" w:hAnsi="Times New Roman" w:cs="Times New Roman"/>
          <w:sz w:val="24"/>
          <w:szCs w:val="24"/>
        </w:rPr>
        <w:t xml:space="preserve"> However, t</w:t>
      </w:r>
      <w:r w:rsidR="26C188C7" w:rsidRPr="7F52448C">
        <w:rPr>
          <w:rFonts w:ascii="Times New Roman" w:hAnsi="Times New Roman" w:cs="Times New Roman"/>
          <w:sz w:val="24"/>
          <w:szCs w:val="24"/>
        </w:rPr>
        <w:t>he ideal method to</w:t>
      </w:r>
      <w:r w:rsidR="6553221E" w:rsidRPr="7F52448C">
        <w:rPr>
          <w:rFonts w:ascii="Times New Roman" w:hAnsi="Times New Roman" w:cs="Times New Roman"/>
          <w:sz w:val="24"/>
          <w:szCs w:val="24"/>
        </w:rPr>
        <w:t xml:space="preserve"> </w:t>
      </w:r>
      <w:r w:rsidR="4C2E8986" w:rsidRPr="7F52448C">
        <w:rPr>
          <w:rFonts w:ascii="Times New Roman" w:hAnsi="Times New Roman" w:cs="Times New Roman"/>
          <w:sz w:val="24"/>
          <w:szCs w:val="24"/>
        </w:rPr>
        <w:t>assess</w:t>
      </w:r>
      <w:r w:rsidR="6553221E" w:rsidRPr="7F52448C">
        <w:rPr>
          <w:rFonts w:ascii="Times New Roman" w:hAnsi="Times New Roman" w:cs="Times New Roman"/>
          <w:sz w:val="24"/>
          <w:szCs w:val="24"/>
        </w:rPr>
        <w:t xml:space="preserve"> if stakeholder </w:t>
      </w:r>
      <w:r w:rsidR="071D9740" w:rsidRPr="7F52448C">
        <w:rPr>
          <w:rFonts w:ascii="Times New Roman" w:hAnsi="Times New Roman" w:cs="Times New Roman"/>
          <w:sz w:val="24"/>
          <w:szCs w:val="24"/>
        </w:rPr>
        <w:t xml:space="preserve">and community </w:t>
      </w:r>
      <w:r w:rsidR="6553221E" w:rsidRPr="7F52448C">
        <w:rPr>
          <w:rFonts w:ascii="Times New Roman" w:hAnsi="Times New Roman" w:cs="Times New Roman"/>
          <w:sz w:val="24"/>
          <w:szCs w:val="24"/>
        </w:rPr>
        <w:t>engagement processes are successful would</w:t>
      </w:r>
      <w:r w:rsidR="684FFA60" w:rsidRPr="7F52448C">
        <w:rPr>
          <w:rFonts w:ascii="Times New Roman" w:hAnsi="Times New Roman" w:cs="Times New Roman"/>
          <w:sz w:val="24"/>
          <w:szCs w:val="24"/>
        </w:rPr>
        <w:t xml:space="preserve"> be</w:t>
      </w:r>
      <w:r w:rsidR="6553221E" w:rsidRPr="7F52448C">
        <w:rPr>
          <w:rFonts w:ascii="Times New Roman" w:hAnsi="Times New Roman" w:cs="Times New Roman"/>
          <w:sz w:val="24"/>
          <w:szCs w:val="24"/>
        </w:rPr>
        <w:t xml:space="preserve"> </w:t>
      </w:r>
      <w:r w:rsidR="37A7C1F8" w:rsidRPr="7F52448C">
        <w:rPr>
          <w:rFonts w:ascii="Times New Roman" w:hAnsi="Times New Roman" w:cs="Times New Roman"/>
          <w:sz w:val="24"/>
          <w:szCs w:val="24"/>
        </w:rPr>
        <w:t xml:space="preserve">to use a metric that </w:t>
      </w:r>
      <w:r w:rsidR="23A1E271" w:rsidRPr="7F52448C">
        <w:rPr>
          <w:rFonts w:ascii="Times New Roman" w:hAnsi="Times New Roman" w:cs="Times New Roman"/>
          <w:sz w:val="24"/>
          <w:szCs w:val="24"/>
        </w:rPr>
        <w:t>incorporate</w:t>
      </w:r>
      <w:r w:rsidR="2EF23009" w:rsidRPr="7F52448C">
        <w:rPr>
          <w:rFonts w:ascii="Times New Roman" w:hAnsi="Times New Roman" w:cs="Times New Roman"/>
          <w:sz w:val="24"/>
          <w:szCs w:val="24"/>
        </w:rPr>
        <w:t>s</w:t>
      </w:r>
      <w:r w:rsidR="23A1E271" w:rsidRPr="7F52448C">
        <w:rPr>
          <w:rFonts w:ascii="Times New Roman" w:hAnsi="Times New Roman" w:cs="Times New Roman"/>
          <w:sz w:val="24"/>
          <w:szCs w:val="24"/>
        </w:rPr>
        <w:t xml:space="preserve"> direct </w:t>
      </w:r>
      <w:r w:rsidR="4708AE43" w:rsidRPr="7F52448C">
        <w:rPr>
          <w:rFonts w:ascii="Times New Roman" w:hAnsi="Times New Roman" w:cs="Times New Roman"/>
          <w:sz w:val="24"/>
          <w:szCs w:val="24"/>
        </w:rPr>
        <w:t>participant feedback</w:t>
      </w:r>
      <w:r w:rsidR="6553221E" w:rsidRPr="7F52448C">
        <w:rPr>
          <w:rFonts w:ascii="Times New Roman" w:hAnsi="Times New Roman" w:cs="Times New Roman"/>
          <w:sz w:val="24"/>
          <w:szCs w:val="24"/>
        </w:rPr>
        <w:t xml:space="preserve">. </w:t>
      </w:r>
      <w:r w:rsidR="00116C29" w:rsidRPr="2EF86000">
        <w:rPr>
          <w:rFonts w:ascii="Times New Roman" w:hAnsi="Times New Roman" w:cs="Times New Roman"/>
          <w:sz w:val="24"/>
          <w:szCs w:val="24"/>
        </w:rPr>
        <w:t>The</w:t>
      </w:r>
      <w:r w:rsidR="00116C29">
        <w:rPr>
          <w:rFonts w:ascii="Times New Roman" w:hAnsi="Times New Roman" w:cs="Times New Roman"/>
          <w:sz w:val="24"/>
          <w:szCs w:val="24"/>
        </w:rPr>
        <w:t xml:space="preserve"> EWG</w:t>
      </w:r>
      <w:r w:rsidR="0CB23418" w:rsidRPr="7F52448C">
        <w:rPr>
          <w:rFonts w:ascii="Times New Roman" w:hAnsi="Times New Roman" w:cs="Times New Roman"/>
          <w:sz w:val="24"/>
          <w:szCs w:val="24"/>
        </w:rPr>
        <w:t xml:space="preserve"> encourage</w:t>
      </w:r>
      <w:r w:rsidR="00116C29">
        <w:rPr>
          <w:rFonts w:ascii="Times New Roman" w:hAnsi="Times New Roman" w:cs="Times New Roman"/>
          <w:sz w:val="24"/>
          <w:szCs w:val="24"/>
        </w:rPr>
        <w:t>s</w:t>
      </w:r>
      <w:r w:rsidR="0CB23418" w:rsidRPr="7F52448C">
        <w:rPr>
          <w:rFonts w:ascii="Times New Roman" w:hAnsi="Times New Roman" w:cs="Times New Roman"/>
          <w:sz w:val="24"/>
          <w:szCs w:val="24"/>
        </w:rPr>
        <w:t xml:space="preserve"> reporting of survey results or </w:t>
      </w:r>
      <w:r w:rsidR="7C418133" w:rsidRPr="26552AE8">
        <w:rPr>
          <w:rFonts w:ascii="Times New Roman" w:hAnsi="Times New Roman" w:cs="Times New Roman"/>
          <w:sz w:val="24"/>
          <w:szCs w:val="24"/>
        </w:rPr>
        <w:t xml:space="preserve">results from </w:t>
      </w:r>
      <w:r w:rsidR="0CB23418" w:rsidRPr="7F52448C">
        <w:rPr>
          <w:rFonts w:ascii="Times New Roman" w:hAnsi="Times New Roman" w:cs="Times New Roman"/>
          <w:sz w:val="24"/>
          <w:szCs w:val="24"/>
        </w:rPr>
        <w:t xml:space="preserve">other </w:t>
      </w:r>
      <w:r w:rsidR="09083204" w:rsidRPr="7F52448C">
        <w:rPr>
          <w:rFonts w:ascii="Times New Roman" w:hAnsi="Times New Roman" w:cs="Times New Roman"/>
          <w:sz w:val="24"/>
          <w:szCs w:val="24"/>
        </w:rPr>
        <w:t xml:space="preserve">standardized </w:t>
      </w:r>
      <w:r w:rsidR="0CB23418" w:rsidRPr="7F52448C">
        <w:rPr>
          <w:rFonts w:ascii="Times New Roman" w:hAnsi="Times New Roman" w:cs="Times New Roman"/>
          <w:sz w:val="24"/>
          <w:szCs w:val="24"/>
        </w:rPr>
        <w:t xml:space="preserve">feedback </w:t>
      </w:r>
      <w:r w:rsidR="24D94EEE" w:rsidRPr="7F52448C">
        <w:rPr>
          <w:rFonts w:ascii="Times New Roman" w:hAnsi="Times New Roman" w:cs="Times New Roman"/>
          <w:sz w:val="24"/>
          <w:szCs w:val="24"/>
        </w:rPr>
        <w:t xml:space="preserve">forms </w:t>
      </w:r>
      <w:r w:rsidR="0CB23418" w:rsidRPr="7F52448C">
        <w:rPr>
          <w:rFonts w:ascii="Times New Roman" w:hAnsi="Times New Roman" w:cs="Times New Roman"/>
          <w:sz w:val="24"/>
          <w:szCs w:val="24"/>
        </w:rPr>
        <w:t xml:space="preserve">that the </w:t>
      </w:r>
      <w:r w:rsidR="28066AD2" w:rsidRPr="7F52448C">
        <w:rPr>
          <w:rFonts w:ascii="Times New Roman" w:hAnsi="Times New Roman" w:cs="Times New Roman"/>
          <w:sz w:val="24"/>
          <w:szCs w:val="24"/>
        </w:rPr>
        <w:t>EDCs</w:t>
      </w:r>
      <w:r w:rsidR="0CB23418" w:rsidRPr="7F52448C">
        <w:rPr>
          <w:rFonts w:ascii="Times New Roman" w:hAnsi="Times New Roman" w:cs="Times New Roman"/>
          <w:sz w:val="24"/>
          <w:szCs w:val="24"/>
        </w:rPr>
        <w:t xml:space="preserve"> use to assess the efficacy of their engagement meetings</w:t>
      </w:r>
      <w:r w:rsidR="4A46EB4E" w:rsidRPr="7F52448C">
        <w:rPr>
          <w:rFonts w:ascii="Times New Roman" w:hAnsi="Times New Roman" w:cs="Times New Roman"/>
          <w:sz w:val="24"/>
          <w:szCs w:val="24"/>
        </w:rPr>
        <w:t xml:space="preserve"> as a trackable metric</w:t>
      </w:r>
      <w:r w:rsidR="472E8408" w:rsidRPr="7F52448C">
        <w:rPr>
          <w:rFonts w:ascii="Times New Roman" w:hAnsi="Times New Roman" w:cs="Times New Roman"/>
          <w:sz w:val="24"/>
          <w:szCs w:val="24"/>
        </w:rPr>
        <w:t xml:space="preserve"> under stakeholder engagement</w:t>
      </w:r>
      <w:r w:rsidR="0CB23418" w:rsidRPr="7F52448C">
        <w:rPr>
          <w:rFonts w:ascii="Times New Roman" w:hAnsi="Times New Roman" w:cs="Times New Roman"/>
          <w:sz w:val="24"/>
          <w:szCs w:val="24"/>
        </w:rPr>
        <w:t xml:space="preserve">. </w:t>
      </w:r>
      <w:r w:rsidR="1D39AACA" w:rsidRPr="2EF86000">
        <w:rPr>
          <w:rFonts w:ascii="Times New Roman" w:hAnsi="Times New Roman" w:cs="Times New Roman"/>
          <w:sz w:val="24"/>
          <w:szCs w:val="24"/>
        </w:rPr>
        <w:t>Such a metric could</w:t>
      </w:r>
      <w:r w:rsidR="0CB23418" w:rsidRPr="2EF86000">
        <w:rPr>
          <w:rFonts w:ascii="Times New Roman" w:hAnsi="Times New Roman" w:cs="Times New Roman"/>
          <w:sz w:val="24"/>
          <w:szCs w:val="24"/>
        </w:rPr>
        <w:t xml:space="preserve"> include consolidated results to questions such as: </w:t>
      </w:r>
    </w:p>
    <w:p w14:paraId="16588444" w14:textId="77777777" w:rsidR="00116C29" w:rsidRDefault="0CB23418" w:rsidP="2EF86000">
      <w:pPr>
        <w:pStyle w:val="ListParagraph"/>
        <w:numPr>
          <w:ilvl w:val="0"/>
          <w:numId w:val="14"/>
        </w:numPr>
        <w:rPr>
          <w:rFonts w:ascii="Times New Roman" w:hAnsi="Times New Roman" w:cs="Times New Roman"/>
          <w:sz w:val="24"/>
          <w:szCs w:val="24"/>
        </w:rPr>
      </w:pPr>
      <w:r w:rsidRPr="2EF86000">
        <w:rPr>
          <w:rFonts w:ascii="Times New Roman" w:hAnsi="Times New Roman" w:cs="Times New Roman"/>
          <w:sz w:val="24"/>
          <w:szCs w:val="24"/>
        </w:rPr>
        <w:t xml:space="preserve">After the engagement, how would you rate your understanding of the proposed ESMP project?; </w:t>
      </w:r>
    </w:p>
    <w:p w14:paraId="48FEE3F9" w14:textId="77777777" w:rsidR="00116C29" w:rsidRDefault="0CB23418" w:rsidP="2EF86000">
      <w:pPr>
        <w:pStyle w:val="ListParagraph"/>
        <w:numPr>
          <w:ilvl w:val="0"/>
          <w:numId w:val="14"/>
        </w:numPr>
        <w:rPr>
          <w:rFonts w:ascii="Times New Roman" w:hAnsi="Times New Roman" w:cs="Times New Roman"/>
          <w:sz w:val="24"/>
          <w:szCs w:val="24"/>
        </w:rPr>
      </w:pPr>
      <w:r w:rsidRPr="2EF86000">
        <w:rPr>
          <w:rFonts w:ascii="Times New Roman" w:hAnsi="Times New Roman" w:cs="Times New Roman"/>
          <w:sz w:val="24"/>
          <w:szCs w:val="24"/>
        </w:rPr>
        <w:t xml:space="preserve">How would you rate your understanding of </w:t>
      </w:r>
      <w:r w:rsidRPr="2EF86000">
        <w:rPr>
          <w:rFonts w:ascii="Times New Roman" w:hAnsi="Times New Roman" w:cs="Times New Roman"/>
          <w:i/>
          <w:iCs/>
          <w:sz w:val="24"/>
          <w:szCs w:val="24"/>
        </w:rPr>
        <w:t xml:space="preserve">why </w:t>
      </w:r>
      <w:r w:rsidRPr="2EF86000">
        <w:rPr>
          <w:rFonts w:ascii="Times New Roman" w:hAnsi="Times New Roman" w:cs="Times New Roman"/>
          <w:sz w:val="24"/>
          <w:szCs w:val="24"/>
        </w:rPr>
        <w:t xml:space="preserve">the project is happening?; </w:t>
      </w:r>
    </w:p>
    <w:p w14:paraId="70619EC1" w14:textId="77777777" w:rsidR="00116C29" w:rsidRDefault="0CB23418" w:rsidP="2EF86000">
      <w:pPr>
        <w:pStyle w:val="ListParagraph"/>
        <w:numPr>
          <w:ilvl w:val="0"/>
          <w:numId w:val="14"/>
        </w:numPr>
        <w:rPr>
          <w:rFonts w:ascii="Times New Roman" w:hAnsi="Times New Roman" w:cs="Times New Roman"/>
          <w:sz w:val="24"/>
          <w:szCs w:val="24"/>
        </w:rPr>
      </w:pPr>
      <w:r w:rsidRPr="2EF86000">
        <w:rPr>
          <w:rFonts w:ascii="Times New Roman" w:hAnsi="Times New Roman" w:cs="Times New Roman"/>
          <w:sz w:val="24"/>
          <w:szCs w:val="24"/>
        </w:rPr>
        <w:t xml:space="preserve">Do you understand the pathways for future engagement and conversation?; </w:t>
      </w:r>
      <w:r w:rsidR="00116C29" w:rsidRPr="2EF86000">
        <w:rPr>
          <w:rFonts w:ascii="Times New Roman" w:hAnsi="Times New Roman" w:cs="Times New Roman"/>
          <w:sz w:val="24"/>
          <w:szCs w:val="24"/>
        </w:rPr>
        <w:t>and</w:t>
      </w:r>
    </w:p>
    <w:p w14:paraId="393126AF" w14:textId="022C1656" w:rsidR="1D39AACA" w:rsidRDefault="0CB23418" w:rsidP="2EF86000">
      <w:pPr>
        <w:pStyle w:val="ListParagraph"/>
        <w:numPr>
          <w:ilvl w:val="0"/>
          <w:numId w:val="14"/>
        </w:numPr>
        <w:rPr>
          <w:rFonts w:ascii="Times New Roman" w:hAnsi="Times New Roman" w:cs="Times New Roman"/>
          <w:sz w:val="24"/>
          <w:szCs w:val="24"/>
        </w:rPr>
      </w:pPr>
      <w:r w:rsidRPr="2EF86000">
        <w:rPr>
          <w:rFonts w:ascii="Times New Roman" w:hAnsi="Times New Roman" w:cs="Times New Roman"/>
          <w:sz w:val="24"/>
          <w:szCs w:val="24"/>
        </w:rPr>
        <w:t>Do you feel like your concerns were heard during this meeting?</w:t>
      </w:r>
    </w:p>
    <w:p w14:paraId="0920A8CB" w14:textId="7603CA66" w:rsidR="2CDA7E12" w:rsidRDefault="2CDA7E12" w:rsidP="7F52448C">
      <w:pPr>
        <w:rPr>
          <w:rFonts w:ascii="Times New Roman" w:hAnsi="Times New Roman" w:cs="Times New Roman"/>
          <w:i/>
          <w:iCs/>
        </w:rPr>
      </w:pPr>
      <w:r w:rsidRPr="7F52448C">
        <w:rPr>
          <w:rFonts w:ascii="Times New Roman" w:hAnsi="Times New Roman" w:cs="Times New Roman"/>
          <w:i/>
          <w:iCs/>
          <w:sz w:val="24"/>
          <w:szCs w:val="24"/>
        </w:rPr>
        <w:t>Biannual Report</w:t>
      </w:r>
    </w:p>
    <w:p w14:paraId="31676848" w14:textId="4FD1CB90" w:rsidR="6D98D1CF" w:rsidRDefault="6D98D1CF" w:rsidP="00DB4A74">
      <w:pPr>
        <w:ind w:firstLine="720"/>
        <w:rPr>
          <w:rFonts w:ascii="Times New Roman" w:hAnsi="Times New Roman" w:cs="Times New Roman"/>
          <w:sz w:val="24"/>
          <w:szCs w:val="24"/>
        </w:rPr>
      </w:pPr>
      <w:r w:rsidRPr="7F52448C">
        <w:rPr>
          <w:rFonts w:ascii="Times New Roman" w:hAnsi="Times New Roman" w:cs="Times New Roman"/>
          <w:sz w:val="24"/>
          <w:szCs w:val="24"/>
        </w:rPr>
        <w:t xml:space="preserve">The </w:t>
      </w:r>
      <w:r w:rsidR="20FD15AE" w:rsidRPr="7F52448C">
        <w:rPr>
          <w:rFonts w:ascii="Times New Roman" w:hAnsi="Times New Roman" w:cs="Times New Roman"/>
          <w:sz w:val="24"/>
          <w:szCs w:val="24"/>
        </w:rPr>
        <w:t xml:space="preserve">proposed </w:t>
      </w:r>
      <w:r w:rsidRPr="7F52448C">
        <w:rPr>
          <w:rFonts w:ascii="Times New Roman" w:hAnsi="Times New Roman" w:cs="Times New Roman"/>
          <w:sz w:val="24"/>
          <w:szCs w:val="24"/>
        </w:rPr>
        <w:t>biannual reporting section on stakeholder engagement could provide additional details to help assess the impact of stakeholder engagement work. The EDCs are proposing to provide updates on their internal efforts to train their staff</w:t>
      </w:r>
      <w:r w:rsidR="003806B2" w:rsidRPr="2EF86000">
        <w:rPr>
          <w:rFonts w:ascii="Times New Roman" w:hAnsi="Times New Roman" w:cs="Times New Roman"/>
          <w:sz w:val="24"/>
          <w:szCs w:val="24"/>
        </w:rPr>
        <w:t xml:space="preserve"> in the March biannual </w:t>
      </w:r>
      <w:r w:rsidR="003806B2">
        <w:rPr>
          <w:rFonts w:ascii="Times New Roman" w:hAnsi="Times New Roman" w:cs="Times New Roman"/>
          <w:sz w:val="24"/>
          <w:szCs w:val="24"/>
        </w:rPr>
        <w:lastRenderedPageBreak/>
        <w:t>report</w:t>
      </w:r>
      <w:r w:rsidRPr="7F52448C">
        <w:rPr>
          <w:rFonts w:ascii="Times New Roman" w:hAnsi="Times New Roman" w:cs="Times New Roman"/>
          <w:sz w:val="24"/>
          <w:szCs w:val="24"/>
        </w:rPr>
        <w:t>.</w:t>
      </w:r>
      <w:r w:rsidR="004F6A7B">
        <w:rPr>
          <w:rStyle w:val="FootnoteReference"/>
          <w:rFonts w:ascii="Times New Roman" w:hAnsi="Times New Roman" w:cs="Times New Roman"/>
          <w:sz w:val="24"/>
          <w:szCs w:val="24"/>
        </w:rPr>
        <w:footnoteReference w:id="6"/>
      </w:r>
      <w:r w:rsidRPr="7F52448C">
        <w:rPr>
          <w:rFonts w:ascii="Times New Roman" w:hAnsi="Times New Roman" w:cs="Times New Roman"/>
          <w:sz w:val="24"/>
          <w:szCs w:val="24"/>
        </w:rPr>
        <w:t xml:space="preserve"> While this will be critical to the success of engagement during the ESMP term, </w:t>
      </w:r>
      <w:r w:rsidR="00850B71">
        <w:rPr>
          <w:rFonts w:ascii="Times New Roman" w:hAnsi="Times New Roman" w:cs="Times New Roman"/>
          <w:sz w:val="24"/>
          <w:szCs w:val="24"/>
        </w:rPr>
        <w:t>the EWG believes the most</w:t>
      </w:r>
      <w:r w:rsidRPr="7F52448C">
        <w:rPr>
          <w:rFonts w:ascii="Times New Roman" w:hAnsi="Times New Roman" w:cs="Times New Roman"/>
          <w:sz w:val="24"/>
          <w:szCs w:val="24"/>
        </w:rPr>
        <w:t xml:space="preserve"> illuminating</w:t>
      </w:r>
      <w:r w:rsidR="00850B71">
        <w:rPr>
          <w:rFonts w:ascii="Times New Roman" w:hAnsi="Times New Roman" w:cs="Times New Roman"/>
          <w:sz w:val="24"/>
          <w:szCs w:val="24"/>
        </w:rPr>
        <w:t xml:space="preserve"> updates for</w:t>
      </w:r>
      <w:r w:rsidR="00850B71" w:rsidRPr="7F52448C">
        <w:rPr>
          <w:rFonts w:ascii="Times New Roman" w:hAnsi="Times New Roman" w:cs="Times New Roman"/>
          <w:sz w:val="24"/>
          <w:szCs w:val="24"/>
        </w:rPr>
        <w:t xml:space="preserve"> </w:t>
      </w:r>
      <w:r w:rsidRPr="7F52448C">
        <w:rPr>
          <w:rFonts w:ascii="Times New Roman" w:hAnsi="Times New Roman" w:cs="Times New Roman"/>
          <w:sz w:val="24"/>
          <w:szCs w:val="24"/>
        </w:rPr>
        <w:t>stakeholders and the public in</w:t>
      </w:r>
      <w:r w:rsidR="115AEDC2" w:rsidRPr="7F52448C">
        <w:rPr>
          <w:rFonts w:ascii="Times New Roman" w:hAnsi="Times New Roman" w:cs="Times New Roman"/>
          <w:sz w:val="24"/>
          <w:szCs w:val="24"/>
        </w:rPr>
        <w:t>clude:</w:t>
      </w:r>
    </w:p>
    <w:p w14:paraId="31576D4E" w14:textId="1836D789" w:rsidR="115AEDC2" w:rsidRPr="00036FD7" w:rsidRDefault="115AEDC2" w:rsidP="2EF86000">
      <w:pPr>
        <w:pStyle w:val="ListParagraph"/>
        <w:numPr>
          <w:ilvl w:val="0"/>
          <w:numId w:val="15"/>
        </w:numPr>
        <w:rPr>
          <w:rFonts w:ascii="Times New Roman" w:hAnsi="Times New Roman" w:cs="Times New Roman"/>
        </w:rPr>
      </w:pPr>
      <w:r w:rsidRPr="2EF86000">
        <w:rPr>
          <w:rFonts w:ascii="Times New Roman" w:hAnsi="Times New Roman" w:cs="Times New Roman"/>
          <w:sz w:val="24"/>
          <w:szCs w:val="24"/>
        </w:rPr>
        <w:t>A summary of issues and concerns being raised by the public;</w:t>
      </w:r>
    </w:p>
    <w:p w14:paraId="79C363DD" w14:textId="75F881F7" w:rsidR="115AEDC2" w:rsidRPr="00036FD7" w:rsidRDefault="115AEDC2" w:rsidP="2EF86000">
      <w:pPr>
        <w:pStyle w:val="ListParagraph"/>
        <w:numPr>
          <w:ilvl w:val="0"/>
          <w:numId w:val="15"/>
        </w:numPr>
        <w:rPr>
          <w:rFonts w:ascii="Times New Roman" w:hAnsi="Times New Roman" w:cs="Times New Roman"/>
        </w:rPr>
      </w:pPr>
      <w:r w:rsidRPr="2EF86000">
        <w:rPr>
          <w:rFonts w:ascii="Times New Roman" w:hAnsi="Times New Roman" w:cs="Times New Roman"/>
          <w:sz w:val="24"/>
          <w:szCs w:val="24"/>
        </w:rPr>
        <w:t xml:space="preserve">How the </w:t>
      </w:r>
      <w:r w:rsidR="00012774" w:rsidRPr="2EF86000">
        <w:rPr>
          <w:rFonts w:ascii="Times New Roman" w:hAnsi="Times New Roman" w:cs="Times New Roman"/>
          <w:sz w:val="24"/>
          <w:szCs w:val="24"/>
        </w:rPr>
        <w:t xml:space="preserve">EDCs </w:t>
      </w:r>
      <w:r w:rsidRPr="2EF86000">
        <w:rPr>
          <w:rFonts w:ascii="Times New Roman" w:hAnsi="Times New Roman" w:cs="Times New Roman"/>
          <w:sz w:val="24"/>
          <w:szCs w:val="24"/>
        </w:rPr>
        <w:t xml:space="preserve">plan to work to address concerns between reporting periods; and </w:t>
      </w:r>
    </w:p>
    <w:p w14:paraId="0A2CDB43" w14:textId="07EBE86D" w:rsidR="115AEDC2" w:rsidRPr="00036FD7" w:rsidRDefault="115AEDC2" w:rsidP="2EF86000">
      <w:pPr>
        <w:pStyle w:val="ListParagraph"/>
        <w:numPr>
          <w:ilvl w:val="0"/>
          <w:numId w:val="15"/>
        </w:numPr>
        <w:rPr>
          <w:rFonts w:ascii="Times New Roman" w:hAnsi="Times New Roman" w:cs="Times New Roman"/>
          <w:sz w:val="24"/>
          <w:szCs w:val="24"/>
        </w:rPr>
      </w:pPr>
      <w:r w:rsidRPr="2EF86000">
        <w:rPr>
          <w:rFonts w:ascii="Times New Roman" w:hAnsi="Times New Roman" w:cs="Times New Roman"/>
          <w:sz w:val="24"/>
          <w:szCs w:val="24"/>
        </w:rPr>
        <w:t xml:space="preserve">How public understanding of grid modernization, </w:t>
      </w:r>
      <w:r w:rsidR="00012774" w:rsidRPr="2EF86000">
        <w:rPr>
          <w:rFonts w:ascii="Times New Roman" w:hAnsi="Times New Roman" w:cs="Times New Roman"/>
          <w:sz w:val="24"/>
          <w:szCs w:val="24"/>
        </w:rPr>
        <w:t xml:space="preserve">the </w:t>
      </w:r>
      <w:r w:rsidRPr="2EF86000">
        <w:rPr>
          <w:rFonts w:ascii="Times New Roman" w:hAnsi="Times New Roman" w:cs="Times New Roman"/>
          <w:sz w:val="24"/>
          <w:szCs w:val="24"/>
        </w:rPr>
        <w:t>ESMPs</w:t>
      </w:r>
      <w:r w:rsidR="00822FB5" w:rsidRPr="2EF86000">
        <w:rPr>
          <w:rFonts w:ascii="Times New Roman" w:hAnsi="Times New Roman" w:cs="Times New Roman"/>
          <w:sz w:val="24"/>
          <w:szCs w:val="24"/>
        </w:rPr>
        <w:t>,</w:t>
      </w:r>
      <w:r w:rsidRPr="2EF86000">
        <w:rPr>
          <w:rFonts w:ascii="Times New Roman" w:hAnsi="Times New Roman" w:cs="Times New Roman"/>
          <w:sz w:val="24"/>
          <w:szCs w:val="24"/>
        </w:rPr>
        <w:t xml:space="preserve"> and how </w:t>
      </w:r>
      <w:r w:rsidR="00822FB5" w:rsidRPr="2EF86000">
        <w:rPr>
          <w:rFonts w:ascii="Times New Roman" w:hAnsi="Times New Roman" w:cs="Times New Roman"/>
          <w:sz w:val="24"/>
          <w:szCs w:val="24"/>
        </w:rPr>
        <w:t xml:space="preserve">ESMP implementation </w:t>
      </w:r>
      <w:r w:rsidRPr="2EF86000">
        <w:rPr>
          <w:rFonts w:ascii="Times New Roman" w:hAnsi="Times New Roman" w:cs="Times New Roman"/>
          <w:sz w:val="24"/>
          <w:szCs w:val="24"/>
        </w:rPr>
        <w:t>will impact their community</w:t>
      </w:r>
      <w:r w:rsidR="00822FB5" w:rsidRPr="2EF86000">
        <w:rPr>
          <w:rFonts w:ascii="Times New Roman" w:hAnsi="Times New Roman" w:cs="Times New Roman"/>
          <w:sz w:val="24"/>
          <w:szCs w:val="24"/>
        </w:rPr>
        <w:t>,</w:t>
      </w:r>
      <w:r w:rsidRPr="2EF86000">
        <w:rPr>
          <w:rFonts w:ascii="Times New Roman" w:hAnsi="Times New Roman" w:cs="Times New Roman"/>
          <w:sz w:val="24"/>
          <w:szCs w:val="24"/>
        </w:rPr>
        <w:t xml:space="preserve"> is </w:t>
      </w:r>
      <w:r w:rsidR="236693D4" w:rsidRPr="2EF86000">
        <w:rPr>
          <w:rFonts w:ascii="Times New Roman" w:hAnsi="Times New Roman" w:cs="Times New Roman"/>
          <w:sz w:val="24"/>
          <w:szCs w:val="24"/>
        </w:rPr>
        <w:t>evolving</w:t>
      </w:r>
      <w:r w:rsidRPr="2EF86000">
        <w:rPr>
          <w:rFonts w:ascii="Times New Roman" w:hAnsi="Times New Roman" w:cs="Times New Roman"/>
          <w:sz w:val="24"/>
          <w:szCs w:val="24"/>
        </w:rPr>
        <w:t xml:space="preserve"> over time.</w:t>
      </w:r>
    </w:p>
    <w:p w14:paraId="688ECFD2" w14:textId="034D454D" w:rsidR="003806B2" w:rsidRDefault="115AEDC2" w:rsidP="000E7D81">
      <w:pPr>
        <w:ind w:firstLine="720"/>
        <w:rPr>
          <w:rFonts w:ascii="Times New Roman" w:hAnsi="Times New Roman" w:cs="Times New Roman"/>
          <w:sz w:val="24"/>
          <w:szCs w:val="24"/>
        </w:rPr>
      </w:pPr>
      <w:r w:rsidRPr="7F52448C">
        <w:rPr>
          <w:rFonts w:ascii="Times New Roman" w:hAnsi="Times New Roman" w:cs="Times New Roman"/>
          <w:sz w:val="24"/>
          <w:szCs w:val="24"/>
        </w:rPr>
        <w:t>In addition, the EDCs should</w:t>
      </w:r>
      <w:r w:rsidR="69359E99" w:rsidRPr="7F52448C">
        <w:rPr>
          <w:rFonts w:ascii="Times New Roman" w:hAnsi="Times New Roman" w:cs="Times New Roman"/>
          <w:sz w:val="24"/>
          <w:szCs w:val="24"/>
        </w:rPr>
        <w:t xml:space="preserve"> use </w:t>
      </w:r>
      <w:r w:rsidR="000B11ED">
        <w:rPr>
          <w:rFonts w:ascii="Times New Roman" w:hAnsi="Times New Roman" w:cs="Times New Roman"/>
          <w:sz w:val="24"/>
          <w:szCs w:val="24"/>
        </w:rPr>
        <w:t>this section</w:t>
      </w:r>
      <w:r w:rsidR="69359E99" w:rsidRPr="7F52448C">
        <w:rPr>
          <w:rFonts w:ascii="Times New Roman" w:hAnsi="Times New Roman" w:cs="Times New Roman"/>
          <w:sz w:val="24"/>
          <w:szCs w:val="24"/>
        </w:rPr>
        <w:t xml:space="preserve"> to</w:t>
      </w:r>
      <w:r w:rsidRPr="7F52448C">
        <w:rPr>
          <w:rFonts w:ascii="Times New Roman" w:hAnsi="Times New Roman" w:cs="Times New Roman"/>
          <w:sz w:val="24"/>
          <w:szCs w:val="24"/>
        </w:rPr>
        <w:t xml:space="preserve"> report on outcomes from the CESAG, specifically how they plan to use the community </w:t>
      </w:r>
      <w:r w:rsidR="003E305F">
        <w:rPr>
          <w:rFonts w:ascii="Times New Roman" w:hAnsi="Times New Roman" w:cs="Times New Roman"/>
          <w:sz w:val="24"/>
          <w:szCs w:val="24"/>
        </w:rPr>
        <w:t xml:space="preserve">engagement </w:t>
      </w:r>
      <w:r w:rsidRPr="7F52448C">
        <w:rPr>
          <w:rFonts w:ascii="Times New Roman" w:hAnsi="Times New Roman" w:cs="Times New Roman"/>
          <w:sz w:val="24"/>
          <w:szCs w:val="24"/>
        </w:rPr>
        <w:t>framework in the coming year</w:t>
      </w:r>
      <w:r w:rsidR="7D4E9A57" w:rsidRPr="7F52448C">
        <w:rPr>
          <w:rFonts w:ascii="Times New Roman" w:hAnsi="Times New Roman" w:cs="Times New Roman"/>
          <w:sz w:val="24"/>
          <w:szCs w:val="24"/>
        </w:rPr>
        <w:t xml:space="preserve"> and </w:t>
      </w:r>
      <w:r w:rsidRPr="7F52448C">
        <w:rPr>
          <w:rFonts w:ascii="Times New Roman" w:hAnsi="Times New Roman" w:cs="Times New Roman"/>
          <w:sz w:val="24"/>
          <w:szCs w:val="24"/>
        </w:rPr>
        <w:t>how the</w:t>
      </w:r>
      <w:r w:rsidR="000B11ED">
        <w:rPr>
          <w:rFonts w:ascii="Times New Roman" w:hAnsi="Times New Roman" w:cs="Times New Roman"/>
          <w:sz w:val="24"/>
          <w:szCs w:val="24"/>
        </w:rPr>
        <w:t>y</w:t>
      </w:r>
      <w:r w:rsidRPr="7F52448C">
        <w:rPr>
          <w:rFonts w:ascii="Times New Roman" w:hAnsi="Times New Roman" w:cs="Times New Roman"/>
          <w:sz w:val="24"/>
          <w:szCs w:val="24"/>
        </w:rPr>
        <w:t xml:space="preserve"> are using stakeholder feedback and learnings from hosting community engagement sessions to adapt and evol</w:t>
      </w:r>
      <w:r w:rsidR="5B828BD3" w:rsidRPr="7F52448C">
        <w:rPr>
          <w:rFonts w:ascii="Times New Roman" w:hAnsi="Times New Roman" w:cs="Times New Roman"/>
          <w:sz w:val="24"/>
          <w:szCs w:val="24"/>
        </w:rPr>
        <w:t xml:space="preserve">ve the framework. </w:t>
      </w:r>
      <w:r w:rsidR="1CE1985A" w:rsidRPr="7F52448C">
        <w:rPr>
          <w:rFonts w:ascii="Times New Roman" w:hAnsi="Times New Roman" w:cs="Times New Roman"/>
          <w:sz w:val="24"/>
          <w:szCs w:val="24"/>
        </w:rPr>
        <w:t xml:space="preserve">In the Phase </w:t>
      </w:r>
      <w:r w:rsidR="003D248F">
        <w:rPr>
          <w:rFonts w:ascii="Times New Roman" w:hAnsi="Times New Roman" w:cs="Times New Roman"/>
          <w:sz w:val="24"/>
          <w:szCs w:val="24"/>
        </w:rPr>
        <w:t>I</w:t>
      </w:r>
      <w:r w:rsidR="1CE1985A" w:rsidRPr="7F52448C">
        <w:rPr>
          <w:rFonts w:ascii="Times New Roman" w:hAnsi="Times New Roman" w:cs="Times New Roman"/>
          <w:sz w:val="24"/>
          <w:szCs w:val="24"/>
        </w:rPr>
        <w:t xml:space="preserve"> </w:t>
      </w:r>
      <w:r w:rsidR="003D248F">
        <w:rPr>
          <w:rFonts w:ascii="Times New Roman" w:hAnsi="Times New Roman" w:cs="Times New Roman"/>
          <w:sz w:val="24"/>
          <w:szCs w:val="24"/>
        </w:rPr>
        <w:t xml:space="preserve">ESMP </w:t>
      </w:r>
      <w:r w:rsidR="1CE1985A" w:rsidRPr="7F52448C">
        <w:rPr>
          <w:rFonts w:ascii="Times New Roman" w:hAnsi="Times New Roman" w:cs="Times New Roman"/>
          <w:sz w:val="24"/>
          <w:szCs w:val="24"/>
        </w:rPr>
        <w:t>Order, t</w:t>
      </w:r>
      <w:r w:rsidR="5B828BD3" w:rsidRPr="7F52448C">
        <w:rPr>
          <w:rFonts w:ascii="Times New Roman" w:hAnsi="Times New Roman" w:cs="Times New Roman"/>
          <w:sz w:val="24"/>
          <w:szCs w:val="24"/>
        </w:rPr>
        <w:t>he DPU encouraged the EDCs to gather input</w:t>
      </w:r>
      <w:r w:rsidR="00DF4710">
        <w:rPr>
          <w:rFonts w:ascii="Times New Roman" w:hAnsi="Times New Roman" w:cs="Times New Roman"/>
          <w:sz w:val="24"/>
          <w:szCs w:val="24"/>
        </w:rPr>
        <w:t xml:space="preserve"> from the CESAG, GMAC, and GMAC Equity Working Group</w:t>
      </w:r>
      <w:r w:rsidR="5B828BD3" w:rsidRPr="7F52448C">
        <w:rPr>
          <w:rFonts w:ascii="Times New Roman" w:hAnsi="Times New Roman" w:cs="Times New Roman"/>
          <w:sz w:val="24"/>
          <w:szCs w:val="24"/>
        </w:rPr>
        <w:t xml:space="preserve"> to enhance the framework</w:t>
      </w:r>
      <w:r w:rsidR="007F55A0">
        <w:rPr>
          <w:rStyle w:val="FootnoteReference"/>
          <w:rFonts w:ascii="Times New Roman" w:hAnsi="Times New Roman" w:cs="Times New Roman"/>
          <w:sz w:val="24"/>
          <w:szCs w:val="24"/>
        </w:rPr>
        <w:footnoteReference w:id="7"/>
      </w:r>
      <w:r w:rsidR="007F55A0">
        <w:rPr>
          <w:rFonts w:ascii="Times New Roman" w:hAnsi="Times New Roman" w:cs="Times New Roman"/>
          <w:sz w:val="24"/>
          <w:szCs w:val="24"/>
        </w:rPr>
        <w:t xml:space="preserve"> </w:t>
      </w:r>
      <w:r w:rsidR="5B828BD3" w:rsidRPr="7F52448C">
        <w:rPr>
          <w:rFonts w:ascii="Times New Roman" w:hAnsi="Times New Roman" w:cs="Times New Roman"/>
          <w:sz w:val="24"/>
          <w:szCs w:val="24"/>
        </w:rPr>
        <w:t>and as such</w:t>
      </w:r>
      <w:r w:rsidR="007F55A0">
        <w:rPr>
          <w:rFonts w:ascii="Times New Roman" w:hAnsi="Times New Roman" w:cs="Times New Roman"/>
          <w:sz w:val="24"/>
          <w:szCs w:val="24"/>
        </w:rPr>
        <w:t>,</w:t>
      </w:r>
      <w:r w:rsidR="5B828BD3" w:rsidRPr="7F52448C">
        <w:rPr>
          <w:rFonts w:ascii="Times New Roman" w:hAnsi="Times New Roman" w:cs="Times New Roman"/>
          <w:sz w:val="24"/>
          <w:szCs w:val="24"/>
        </w:rPr>
        <w:t xml:space="preserve"> this section should detail which stakeholders were consulted</w:t>
      </w:r>
      <w:r w:rsidR="760F96A5" w:rsidRPr="7F52448C">
        <w:rPr>
          <w:rFonts w:ascii="Times New Roman" w:hAnsi="Times New Roman" w:cs="Times New Roman"/>
          <w:sz w:val="24"/>
          <w:szCs w:val="24"/>
        </w:rPr>
        <w:t xml:space="preserve"> and any relevant adjustments.</w:t>
      </w:r>
      <w:r w:rsidR="003806B2">
        <w:rPr>
          <w:rFonts w:ascii="Times New Roman" w:hAnsi="Times New Roman" w:cs="Times New Roman"/>
          <w:sz w:val="24"/>
          <w:szCs w:val="24"/>
        </w:rPr>
        <w:t xml:space="preserve"> </w:t>
      </w:r>
      <w:r w:rsidR="005705F9">
        <w:rPr>
          <w:rFonts w:ascii="Times New Roman" w:hAnsi="Times New Roman" w:cs="Times New Roman"/>
          <w:sz w:val="24"/>
          <w:szCs w:val="24"/>
        </w:rPr>
        <w:t>To preserve consistency and to ensure stakeholders are</w:t>
      </w:r>
      <w:r w:rsidR="000E7D81" w:rsidRPr="2EF86000">
        <w:rPr>
          <w:rFonts w:ascii="Times New Roman" w:hAnsi="Times New Roman" w:cs="Times New Roman"/>
          <w:sz w:val="24"/>
          <w:szCs w:val="24"/>
        </w:rPr>
        <w:t xml:space="preserve"> made aware of progress in a timely manner</w:t>
      </w:r>
      <w:r w:rsidR="000E7D81">
        <w:rPr>
          <w:rFonts w:ascii="Times New Roman" w:hAnsi="Times New Roman" w:cs="Times New Roman"/>
          <w:sz w:val="24"/>
          <w:szCs w:val="24"/>
        </w:rPr>
        <w:t>, th</w:t>
      </w:r>
      <w:r w:rsidR="003806B2">
        <w:rPr>
          <w:rFonts w:ascii="Times New Roman" w:hAnsi="Times New Roman" w:cs="Times New Roman"/>
          <w:sz w:val="24"/>
          <w:szCs w:val="24"/>
        </w:rPr>
        <w:t xml:space="preserve">ese </w:t>
      </w:r>
      <w:r w:rsidR="005705F9">
        <w:rPr>
          <w:rFonts w:ascii="Times New Roman" w:hAnsi="Times New Roman" w:cs="Times New Roman"/>
          <w:sz w:val="24"/>
          <w:szCs w:val="24"/>
        </w:rPr>
        <w:t xml:space="preserve">updates should be provided in both the September and March biannual reports. </w:t>
      </w:r>
    </w:p>
    <w:p w14:paraId="1200D827" w14:textId="5B86218D" w:rsidR="28461E84" w:rsidRPr="00036FD7" w:rsidRDefault="28461E84" w:rsidP="2EF86000">
      <w:pPr>
        <w:pStyle w:val="ListParagraph"/>
        <w:numPr>
          <w:ilvl w:val="1"/>
          <w:numId w:val="17"/>
        </w:numPr>
        <w:rPr>
          <w:rFonts w:ascii="Times New Roman" w:hAnsi="Times New Roman" w:cs="Times New Roman"/>
          <w:b/>
          <w:bCs/>
          <w:sz w:val="24"/>
          <w:szCs w:val="24"/>
        </w:rPr>
      </w:pPr>
      <w:r w:rsidRPr="2EF86000">
        <w:rPr>
          <w:rFonts w:ascii="Times New Roman" w:hAnsi="Times New Roman" w:cs="Times New Roman"/>
          <w:b/>
          <w:bCs/>
          <w:sz w:val="24"/>
          <w:szCs w:val="24"/>
        </w:rPr>
        <w:t xml:space="preserve">Distributional: </w:t>
      </w:r>
    </w:p>
    <w:p w14:paraId="011A63D5" w14:textId="372B4D56" w:rsidR="44FE1232" w:rsidRDefault="44FE1232" w:rsidP="2EF86000">
      <w:pPr>
        <w:rPr>
          <w:rFonts w:ascii="Times New Roman" w:hAnsi="Times New Roman" w:cs="Times New Roman"/>
          <w:i/>
          <w:iCs/>
          <w:sz w:val="24"/>
          <w:szCs w:val="24"/>
        </w:rPr>
      </w:pPr>
      <w:r w:rsidRPr="2EF86000">
        <w:rPr>
          <w:rFonts w:ascii="Times New Roman" w:hAnsi="Times New Roman" w:cs="Times New Roman"/>
          <w:i/>
          <w:iCs/>
          <w:sz w:val="24"/>
          <w:szCs w:val="24"/>
        </w:rPr>
        <w:t>Metrics</w:t>
      </w:r>
    </w:p>
    <w:p w14:paraId="21D02157" w14:textId="4D24A8FA" w:rsidR="3F85462F" w:rsidRDefault="3F85462F" w:rsidP="00DB4A74">
      <w:pPr>
        <w:ind w:firstLine="720"/>
        <w:rPr>
          <w:rFonts w:ascii="Times New Roman" w:hAnsi="Times New Roman" w:cs="Times New Roman"/>
          <w:sz w:val="24"/>
          <w:szCs w:val="24"/>
        </w:rPr>
      </w:pPr>
      <w:r w:rsidRPr="2EF86000">
        <w:rPr>
          <w:rFonts w:ascii="Times New Roman" w:hAnsi="Times New Roman" w:cs="Times New Roman"/>
          <w:sz w:val="24"/>
          <w:szCs w:val="24"/>
        </w:rPr>
        <w:t xml:space="preserve">In initial comments, </w:t>
      </w:r>
      <w:r w:rsidR="000E7D81" w:rsidRPr="2EF86000">
        <w:rPr>
          <w:rFonts w:ascii="Times New Roman" w:hAnsi="Times New Roman" w:cs="Times New Roman"/>
          <w:sz w:val="24"/>
          <w:szCs w:val="24"/>
        </w:rPr>
        <w:t>the EWG</w:t>
      </w:r>
      <w:r w:rsidRPr="2EF86000">
        <w:rPr>
          <w:rFonts w:ascii="Times New Roman" w:hAnsi="Times New Roman" w:cs="Times New Roman"/>
          <w:sz w:val="24"/>
          <w:szCs w:val="24"/>
        </w:rPr>
        <w:t xml:space="preserve"> highlighted that the proposed </w:t>
      </w:r>
      <w:r w:rsidR="14301DDB" w:rsidRPr="2EF86000">
        <w:rPr>
          <w:rFonts w:ascii="Times New Roman" w:hAnsi="Times New Roman" w:cs="Times New Roman"/>
          <w:sz w:val="24"/>
          <w:szCs w:val="24"/>
        </w:rPr>
        <w:t xml:space="preserve">stakeholder and investment </w:t>
      </w:r>
      <w:r w:rsidRPr="2EF86000">
        <w:rPr>
          <w:rFonts w:ascii="Times New Roman" w:hAnsi="Times New Roman" w:cs="Times New Roman"/>
          <w:sz w:val="24"/>
          <w:szCs w:val="24"/>
        </w:rPr>
        <w:t>metrics provided limited insights into benefits and burdens resulting from the ESMPs or how such benefits and burdens would be distributed.</w:t>
      </w:r>
      <w:r w:rsidR="00B023A8" w:rsidRPr="2EF86000">
        <w:rPr>
          <w:rFonts w:ascii="Times New Roman" w:hAnsi="Times New Roman" w:cs="Times New Roman"/>
          <w:sz w:val="24"/>
          <w:szCs w:val="24"/>
        </w:rPr>
        <w:t xml:space="preserve"> </w:t>
      </w:r>
      <w:r w:rsidR="440D9587" w:rsidRPr="2EF86000">
        <w:rPr>
          <w:rFonts w:ascii="Times New Roman" w:hAnsi="Times New Roman" w:cs="Times New Roman"/>
          <w:sz w:val="24"/>
          <w:szCs w:val="24"/>
        </w:rPr>
        <w:t xml:space="preserve">In previous comments, </w:t>
      </w:r>
      <w:r w:rsidR="003C6D3A">
        <w:rPr>
          <w:rFonts w:ascii="Times New Roman" w:hAnsi="Times New Roman" w:cs="Times New Roman"/>
          <w:sz w:val="24"/>
          <w:szCs w:val="24"/>
        </w:rPr>
        <w:t>the EWG</w:t>
      </w:r>
      <w:r w:rsidRPr="2EF86000">
        <w:rPr>
          <w:rFonts w:ascii="Times New Roman" w:hAnsi="Times New Roman" w:cs="Times New Roman"/>
          <w:sz w:val="24"/>
          <w:szCs w:val="24"/>
        </w:rPr>
        <w:t xml:space="preserve"> provided a set of metrics </w:t>
      </w:r>
      <w:r w:rsidR="4932CA80" w:rsidRPr="2EF86000">
        <w:rPr>
          <w:rFonts w:ascii="Times New Roman" w:hAnsi="Times New Roman" w:cs="Times New Roman"/>
          <w:sz w:val="24"/>
          <w:szCs w:val="24"/>
        </w:rPr>
        <w:t xml:space="preserve">as examples of the types of measures </w:t>
      </w:r>
      <w:r w:rsidRPr="2EF86000">
        <w:rPr>
          <w:rFonts w:ascii="Times New Roman" w:hAnsi="Times New Roman" w:cs="Times New Roman"/>
          <w:sz w:val="24"/>
          <w:szCs w:val="24"/>
        </w:rPr>
        <w:t xml:space="preserve">to include </w:t>
      </w:r>
      <w:r w:rsidR="57591FEB" w:rsidRPr="2EF86000">
        <w:rPr>
          <w:rFonts w:ascii="Times New Roman" w:hAnsi="Times New Roman" w:cs="Times New Roman"/>
          <w:sz w:val="24"/>
          <w:szCs w:val="24"/>
        </w:rPr>
        <w:t>in</w:t>
      </w:r>
      <w:r w:rsidRPr="2EF86000">
        <w:rPr>
          <w:rFonts w:ascii="Times New Roman" w:hAnsi="Times New Roman" w:cs="Times New Roman"/>
          <w:sz w:val="24"/>
          <w:szCs w:val="24"/>
        </w:rPr>
        <w:t xml:space="preserve"> re</w:t>
      </w:r>
      <w:r w:rsidR="55B63A9A" w:rsidRPr="2EF86000">
        <w:rPr>
          <w:rFonts w:ascii="Times New Roman" w:hAnsi="Times New Roman" w:cs="Times New Roman"/>
          <w:sz w:val="24"/>
          <w:szCs w:val="24"/>
        </w:rPr>
        <w:t xml:space="preserve">porting to help understand the progress of </w:t>
      </w:r>
      <w:r w:rsidR="71F8CADF" w:rsidRPr="2EF86000">
        <w:rPr>
          <w:rFonts w:ascii="Times New Roman" w:hAnsi="Times New Roman" w:cs="Times New Roman"/>
          <w:sz w:val="24"/>
          <w:szCs w:val="24"/>
        </w:rPr>
        <w:t>ESMPs</w:t>
      </w:r>
      <w:r w:rsidR="55B63A9A" w:rsidRPr="2EF86000">
        <w:rPr>
          <w:rFonts w:ascii="Times New Roman" w:hAnsi="Times New Roman" w:cs="Times New Roman"/>
          <w:sz w:val="24"/>
          <w:szCs w:val="24"/>
        </w:rPr>
        <w:t xml:space="preserve"> and its impac</w:t>
      </w:r>
      <w:r w:rsidR="02F2A654" w:rsidRPr="2EF86000">
        <w:rPr>
          <w:rFonts w:ascii="Times New Roman" w:hAnsi="Times New Roman" w:cs="Times New Roman"/>
          <w:sz w:val="24"/>
          <w:szCs w:val="24"/>
        </w:rPr>
        <w:t>t on the energy transition</w:t>
      </w:r>
      <w:r w:rsidR="55B63A9A" w:rsidRPr="2EF86000">
        <w:rPr>
          <w:rFonts w:ascii="Times New Roman" w:hAnsi="Times New Roman" w:cs="Times New Roman"/>
          <w:sz w:val="24"/>
          <w:szCs w:val="24"/>
        </w:rPr>
        <w:t xml:space="preserve">. Since then, the </w:t>
      </w:r>
      <w:r w:rsidR="2B30D15C" w:rsidRPr="2EF86000">
        <w:rPr>
          <w:rFonts w:ascii="Times New Roman" w:hAnsi="Times New Roman" w:cs="Times New Roman"/>
          <w:sz w:val="24"/>
          <w:szCs w:val="24"/>
        </w:rPr>
        <w:t>EDCs</w:t>
      </w:r>
      <w:r w:rsidR="55B63A9A" w:rsidRPr="2EF86000">
        <w:rPr>
          <w:rFonts w:ascii="Times New Roman" w:hAnsi="Times New Roman" w:cs="Times New Roman"/>
          <w:sz w:val="24"/>
          <w:szCs w:val="24"/>
        </w:rPr>
        <w:t xml:space="preserve"> have revised the metrics to include </w:t>
      </w:r>
      <w:r w:rsidR="18FE7999" w:rsidRPr="2EF86000">
        <w:rPr>
          <w:rFonts w:ascii="Times New Roman" w:eastAsia="Times New Roman" w:hAnsi="Times New Roman" w:cs="Times New Roman"/>
          <w:sz w:val="24"/>
          <w:szCs w:val="24"/>
        </w:rPr>
        <w:t>information on the DER hosting and load serving capacity in environmental justice communities</w:t>
      </w:r>
      <w:r w:rsidR="006B3A7F">
        <w:rPr>
          <w:rFonts w:ascii="Times New Roman" w:eastAsia="Times New Roman" w:hAnsi="Times New Roman" w:cs="Times New Roman"/>
          <w:sz w:val="24"/>
          <w:szCs w:val="24"/>
        </w:rPr>
        <w:t xml:space="preserve"> </w:t>
      </w:r>
      <w:r w:rsidR="006B3A7F" w:rsidRPr="2EF86000">
        <w:rPr>
          <w:rFonts w:ascii="Times New Roman" w:eastAsia="Times New Roman" w:hAnsi="Times New Roman" w:cs="Times New Roman"/>
          <w:sz w:val="24"/>
          <w:szCs w:val="24"/>
        </w:rPr>
        <w:t>(EJCs)</w:t>
      </w:r>
      <w:r w:rsidR="18FE7999" w:rsidRPr="2EF86000">
        <w:rPr>
          <w:rFonts w:ascii="Times New Roman" w:eastAsia="Times New Roman" w:hAnsi="Times New Roman" w:cs="Times New Roman"/>
          <w:sz w:val="24"/>
          <w:szCs w:val="24"/>
        </w:rPr>
        <w:t>.</w:t>
      </w:r>
      <w:r w:rsidR="004E0B13">
        <w:rPr>
          <w:rStyle w:val="FootnoteReference"/>
          <w:rFonts w:ascii="Times New Roman" w:hAnsi="Times New Roman" w:cs="Times New Roman"/>
          <w:sz w:val="24"/>
          <w:szCs w:val="24"/>
        </w:rPr>
        <w:footnoteReference w:id="8"/>
      </w:r>
    </w:p>
    <w:p w14:paraId="7988C650" w14:textId="75610E18" w:rsidR="00C240D0" w:rsidRDefault="00093F1F" w:rsidP="00C240D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EWG</w:t>
      </w:r>
      <w:r w:rsidR="36F54E02" w:rsidRPr="2EF86000">
        <w:rPr>
          <w:rFonts w:ascii="Times New Roman" w:eastAsia="Times New Roman" w:hAnsi="Times New Roman" w:cs="Times New Roman"/>
          <w:sz w:val="24"/>
          <w:szCs w:val="24"/>
        </w:rPr>
        <w:t xml:space="preserve"> recommend</w:t>
      </w:r>
      <w:r>
        <w:rPr>
          <w:rFonts w:ascii="Times New Roman" w:eastAsia="Times New Roman" w:hAnsi="Times New Roman" w:cs="Times New Roman"/>
          <w:sz w:val="24"/>
          <w:szCs w:val="24"/>
        </w:rPr>
        <w:t>s</w:t>
      </w:r>
      <w:r w:rsidR="36F54E02" w:rsidRPr="2EF86000">
        <w:rPr>
          <w:rFonts w:ascii="Times New Roman" w:eastAsia="Times New Roman" w:hAnsi="Times New Roman" w:cs="Times New Roman"/>
          <w:sz w:val="24"/>
          <w:szCs w:val="24"/>
        </w:rPr>
        <w:t xml:space="preserve"> that the EDCs expand upon this approach to include information on how EJCs and low-income communities (LICs) are benefitting from all types of ESMP investments. Specifically, </w:t>
      </w:r>
      <w:r>
        <w:rPr>
          <w:rFonts w:ascii="Times New Roman" w:eastAsia="Times New Roman" w:hAnsi="Times New Roman" w:cs="Times New Roman"/>
          <w:sz w:val="24"/>
          <w:szCs w:val="24"/>
        </w:rPr>
        <w:t>the EWG</w:t>
      </w:r>
      <w:r w:rsidR="36F54E02" w:rsidRPr="2EF86000">
        <w:rPr>
          <w:rFonts w:ascii="Times New Roman" w:eastAsia="Times New Roman" w:hAnsi="Times New Roman" w:cs="Times New Roman"/>
          <w:sz w:val="24"/>
          <w:szCs w:val="24"/>
        </w:rPr>
        <w:t xml:space="preserve"> recommend</w:t>
      </w:r>
      <w:r>
        <w:rPr>
          <w:rFonts w:ascii="Times New Roman" w:eastAsia="Times New Roman" w:hAnsi="Times New Roman" w:cs="Times New Roman"/>
          <w:sz w:val="24"/>
          <w:szCs w:val="24"/>
        </w:rPr>
        <w:t>s</w:t>
      </w:r>
      <w:r w:rsidR="36F54E02" w:rsidRPr="2EF86000">
        <w:rPr>
          <w:rFonts w:ascii="Times New Roman" w:eastAsia="Times New Roman" w:hAnsi="Times New Roman" w:cs="Times New Roman"/>
          <w:sz w:val="24"/>
          <w:szCs w:val="24"/>
        </w:rPr>
        <w:t xml:space="preserve"> that for all ESMP investment metrics proposed by the EDCs and approved by the Department, the EDC’s report the information by EJC and LIC to the extent reasonably practicable.</w:t>
      </w:r>
    </w:p>
    <w:p w14:paraId="26B3A5C4" w14:textId="31E90930" w:rsidR="3F85462F" w:rsidRPr="00F657FA" w:rsidRDefault="616431C9" w:rsidP="00C240D0">
      <w:pPr>
        <w:ind w:firstLine="720"/>
        <w:rPr>
          <w:rFonts w:ascii="Times New Roman" w:eastAsia="Times New Roman" w:hAnsi="Times New Roman" w:cs="Times New Roman"/>
          <w:sz w:val="24"/>
          <w:szCs w:val="24"/>
        </w:rPr>
      </w:pPr>
      <w:r w:rsidRPr="00AF5BA7">
        <w:rPr>
          <w:rFonts w:ascii="Times New Roman" w:hAnsi="Times New Roman" w:cs="Times New Roman"/>
          <w:sz w:val="24"/>
          <w:szCs w:val="24"/>
        </w:rPr>
        <w:t>T</w:t>
      </w:r>
      <w:r w:rsidR="4D72681C" w:rsidRPr="00AF5BA7">
        <w:rPr>
          <w:rFonts w:ascii="Times New Roman" w:hAnsi="Times New Roman" w:cs="Times New Roman"/>
          <w:sz w:val="24"/>
          <w:szCs w:val="24"/>
        </w:rPr>
        <w:t xml:space="preserve">he EDCs have previously stated during GMAC </w:t>
      </w:r>
      <w:r w:rsidR="6D171137" w:rsidRPr="00AF5BA7">
        <w:rPr>
          <w:rFonts w:ascii="Times New Roman" w:hAnsi="Times New Roman" w:cs="Times New Roman"/>
          <w:sz w:val="24"/>
          <w:szCs w:val="24"/>
        </w:rPr>
        <w:t>meetings</w:t>
      </w:r>
      <w:r w:rsidR="4D72681C" w:rsidRPr="00AF5BA7">
        <w:rPr>
          <w:rFonts w:ascii="Times New Roman" w:hAnsi="Times New Roman" w:cs="Times New Roman"/>
          <w:sz w:val="24"/>
          <w:szCs w:val="24"/>
        </w:rPr>
        <w:t xml:space="preserve"> that this information </w:t>
      </w:r>
      <w:r w:rsidR="22B0DD31" w:rsidRPr="00AF5BA7">
        <w:rPr>
          <w:rFonts w:ascii="Times New Roman" w:hAnsi="Times New Roman" w:cs="Times New Roman"/>
          <w:sz w:val="24"/>
          <w:szCs w:val="24"/>
        </w:rPr>
        <w:t>i</w:t>
      </w:r>
      <w:r w:rsidR="4D72681C" w:rsidRPr="00AF5BA7">
        <w:rPr>
          <w:rFonts w:ascii="Times New Roman" w:hAnsi="Times New Roman" w:cs="Times New Roman"/>
          <w:sz w:val="24"/>
          <w:szCs w:val="24"/>
        </w:rPr>
        <w:t xml:space="preserve">s readily </w:t>
      </w:r>
      <w:r w:rsidR="4D72681C" w:rsidRPr="007E5DD7">
        <w:rPr>
          <w:rFonts w:ascii="Times New Roman" w:hAnsi="Times New Roman" w:cs="Times New Roman"/>
          <w:sz w:val="24"/>
          <w:szCs w:val="24"/>
        </w:rPr>
        <w:t>av</w:t>
      </w:r>
      <w:r w:rsidR="4D72681C" w:rsidRPr="007E5DD7">
        <w:rPr>
          <w:rFonts w:ascii="Times New Roman" w:hAnsi="Times New Roman" w:cs="Times New Roman"/>
          <w:sz w:val="24"/>
          <w:szCs w:val="24"/>
        </w:rPr>
        <w:t>ailable.</w:t>
      </w:r>
      <w:r w:rsidR="009255D1" w:rsidRPr="007E5DD7">
        <w:rPr>
          <w:rStyle w:val="FootnoteReference"/>
          <w:rFonts w:ascii="Times New Roman" w:hAnsi="Times New Roman" w:cs="Times New Roman"/>
          <w:sz w:val="24"/>
          <w:szCs w:val="24"/>
        </w:rPr>
        <w:footnoteReference w:id="9"/>
      </w:r>
      <w:r w:rsidR="4D72681C" w:rsidRPr="007E5DD7">
        <w:rPr>
          <w:rFonts w:ascii="Times New Roman" w:hAnsi="Times New Roman" w:cs="Times New Roman"/>
          <w:sz w:val="24"/>
          <w:szCs w:val="24"/>
        </w:rPr>
        <w:t xml:space="preserve"> </w:t>
      </w:r>
      <w:r w:rsidR="56C589E0" w:rsidRPr="007E5DD7">
        <w:rPr>
          <w:rFonts w:ascii="Times New Roman" w:eastAsia="Times New Roman" w:hAnsi="Times New Roman" w:cs="Times New Roman"/>
          <w:sz w:val="24"/>
          <w:szCs w:val="24"/>
        </w:rPr>
        <w:t>Further</w:t>
      </w:r>
      <w:r w:rsidR="56C589E0" w:rsidRPr="2EF86000">
        <w:rPr>
          <w:rFonts w:ascii="Times New Roman" w:eastAsia="Times New Roman" w:hAnsi="Times New Roman" w:cs="Times New Roman"/>
          <w:sz w:val="24"/>
          <w:szCs w:val="24"/>
        </w:rPr>
        <w:t xml:space="preserve">, </w:t>
      </w:r>
      <w:r w:rsidR="00F657FA">
        <w:rPr>
          <w:rFonts w:ascii="Times New Roman" w:eastAsia="Times New Roman" w:hAnsi="Times New Roman" w:cs="Times New Roman"/>
          <w:sz w:val="24"/>
          <w:szCs w:val="24"/>
        </w:rPr>
        <w:t>the EWG</w:t>
      </w:r>
      <w:r w:rsidR="56C589E0" w:rsidRPr="2EF86000">
        <w:rPr>
          <w:rFonts w:ascii="Times New Roman" w:eastAsia="Times New Roman" w:hAnsi="Times New Roman" w:cs="Times New Roman"/>
          <w:sz w:val="24"/>
          <w:szCs w:val="24"/>
        </w:rPr>
        <w:t xml:space="preserve"> note</w:t>
      </w:r>
      <w:r w:rsidR="00F657FA">
        <w:rPr>
          <w:rFonts w:ascii="Times New Roman" w:eastAsia="Times New Roman" w:hAnsi="Times New Roman" w:cs="Times New Roman"/>
          <w:sz w:val="24"/>
          <w:szCs w:val="24"/>
        </w:rPr>
        <w:t>s</w:t>
      </w:r>
      <w:r w:rsidR="56C589E0" w:rsidRPr="2EF86000">
        <w:rPr>
          <w:rFonts w:ascii="Times New Roman" w:eastAsia="Times New Roman" w:hAnsi="Times New Roman" w:cs="Times New Roman"/>
          <w:sz w:val="24"/>
          <w:szCs w:val="24"/>
        </w:rPr>
        <w:t xml:space="preserve"> that the EDCs currently report information on how their investments in energy efficiency, advanced metering infrastructure, and electric vehicles affect low-income customers and EJCs. </w:t>
      </w:r>
      <w:r w:rsidR="00032453">
        <w:rPr>
          <w:rFonts w:ascii="Times New Roman" w:eastAsia="Times New Roman" w:hAnsi="Times New Roman" w:cs="Times New Roman"/>
          <w:sz w:val="24"/>
          <w:szCs w:val="24"/>
        </w:rPr>
        <w:t>The EWG</w:t>
      </w:r>
      <w:r w:rsidR="56C589E0" w:rsidRPr="2EF86000">
        <w:rPr>
          <w:rFonts w:ascii="Times New Roman" w:eastAsia="Times New Roman" w:hAnsi="Times New Roman" w:cs="Times New Roman"/>
          <w:sz w:val="24"/>
          <w:szCs w:val="24"/>
        </w:rPr>
        <w:t xml:space="preserve"> recommend</w:t>
      </w:r>
      <w:r w:rsidR="00032453">
        <w:rPr>
          <w:rFonts w:ascii="Times New Roman" w:eastAsia="Times New Roman" w:hAnsi="Times New Roman" w:cs="Times New Roman"/>
          <w:sz w:val="24"/>
          <w:szCs w:val="24"/>
        </w:rPr>
        <w:t>s</w:t>
      </w:r>
      <w:r w:rsidR="56C589E0" w:rsidRPr="2EF86000">
        <w:rPr>
          <w:rFonts w:ascii="Times New Roman" w:eastAsia="Times New Roman" w:hAnsi="Times New Roman" w:cs="Times New Roman"/>
          <w:sz w:val="24"/>
          <w:szCs w:val="24"/>
        </w:rPr>
        <w:t xml:space="preserve"> the same approach should be applied to ESMP investments.</w:t>
      </w:r>
    </w:p>
    <w:p w14:paraId="6CF9197B" w14:textId="63801BA5" w:rsidR="4D72681C" w:rsidRDefault="4D72681C" w:rsidP="2EF86000">
      <w:pPr>
        <w:rPr>
          <w:rFonts w:ascii="Times New Roman" w:hAnsi="Times New Roman" w:cs="Times New Roman"/>
          <w:sz w:val="24"/>
          <w:szCs w:val="24"/>
        </w:rPr>
      </w:pPr>
      <w:r w:rsidRPr="2EF86000">
        <w:rPr>
          <w:rFonts w:ascii="Times New Roman" w:hAnsi="Times New Roman" w:cs="Times New Roman"/>
          <w:sz w:val="24"/>
          <w:szCs w:val="24"/>
        </w:rPr>
        <w:lastRenderedPageBreak/>
        <w:t xml:space="preserve">In addition, </w:t>
      </w:r>
      <w:r w:rsidR="009255D1" w:rsidRPr="2EF86000">
        <w:rPr>
          <w:rFonts w:ascii="Times New Roman" w:hAnsi="Times New Roman" w:cs="Times New Roman"/>
          <w:sz w:val="24"/>
          <w:szCs w:val="24"/>
        </w:rPr>
        <w:t xml:space="preserve">the EWG recommends that the </w:t>
      </w:r>
      <w:r w:rsidRPr="2EF86000">
        <w:rPr>
          <w:rFonts w:ascii="Times New Roman" w:hAnsi="Times New Roman" w:cs="Times New Roman"/>
          <w:sz w:val="24"/>
          <w:szCs w:val="24"/>
        </w:rPr>
        <w:t>EDCs commit to reporting on additional distributional</w:t>
      </w:r>
      <w:r w:rsidR="702A1BE8" w:rsidRPr="2EF86000">
        <w:rPr>
          <w:rFonts w:ascii="Times New Roman" w:hAnsi="Times New Roman" w:cs="Times New Roman"/>
          <w:sz w:val="24"/>
          <w:szCs w:val="24"/>
        </w:rPr>
        <w:t>-oriented investment</w:t>
      </w:r>
      <w:r w:rsidRPr="2EF86000">
        <w:rPr>
          <w:rFonts w:ascii="Times New Roman" w:hAnsi="Times New Roman" w:cs="Times New Roman"/>
          <w:sz w:val="24"/>
          <w:szCs w:val="24"/>
        </w:rPr>
        <w:t xml:space="preserve"> metrics as other components of the ESMPs </w:t>
      </w:r>
      <w:r w:rsidR="7EAD2EB0" w:rsidRPr="2EF86000">
        <w:rPr>
          <w:rFonts w:ascii="Times New Roman" w:hAnsi="Times New Roman" w:cs="Times New Roman"/>
          <w:sz w:val="24"/>
          <w:szCs w:val="24"/>
        </w:rPr>
        <w:t>become</w:t>
      </w:r>
      <w:r w:rsidRPr="2EF86000">
        <w:rPr>
          <w:rFonts w:ascii="Times New Roman" w:hAnsi="Times New Roman" w:cs="Times New Roman"/>
          <w:sz w:val="24"/>
          <w:szCs w:val="24"/>
        </w:rPr>
        <w:t xml:space="preserve"> active in the future. Two specific suggestions are:</w:t>
      </w:r>
    </w:p>
    <w:p w14:paraId="35B2EB9A" w14:textId="5072C7BA" w:rsidR="009255D1" w:rsidRPr="009255D1" w:rsidRDefault="2C166BC4" w:rsidP="2EF86000">
      <w:pPr>
        <w:pStyle w:val="ListParagraph"/>
        <w:numPr>
          <w:ilvl w:val="0"/>
          <w:numId w:val="16"/>
        </w:numPr>
        <w:rPr>
          <w:rFonts w:ascii="Times New Roman" w:hAnsi="Times New Roman" w:cs="Times New Roman"/>
          <w:sz w:val="24"/>
          <w:szCs w:val="24"/>
        </w:rPr>
      </w:pPr>
      <w:r w:rsidRPr="2EF86000">
        <w:rPr>
          <w:rFonts w:ascii="Times New Roman" w:hAnsi="Times New Roman" w:cs="Times New Roman"/>
          <w:sz w:val="24"/>
          <w:szCs w:val="24"/>
        </w:rPr>
        <w:t xml:space="preserve">Reporting on </w:t>
      </w:r>
      <w:r w:rsidR="009255D1" w:rsidRPr="2EF86000">
        <w:rPr>
          <w:rFonts w:ascii="Times New Roman" w:hAnsi="Times New Roman" w:cs="Times New Roman"/>
          <w:sz w:val="24"/>
          <w:szCs w:val="24"/>
        </w:rPr>
        <w:t>c</w:t>
      </w:r>
      <w:r w:rsidRPr="2EF86000">
        <w:rPr>
          <w:rFonts w:ascii="Times New Roman" w:hAnsi="Times New Roman" w:cs="Times New Roman"/>
          <w:sz w:val="24"/>
          <w:szCs w:val="24"/>
        </w:rPr>
        <w:t>ommunity benefit agreements (CBAs) once the process is developed</w:t>
      </w:r>
      <w:r w:rsidR="009255D1" w:rsidRPr="2EF86000">
        <w:rPr>
          <w:rFonts w:ascii="Times New Roman" w:hAnsi="Times New Roman" w:cs="Times New Roman"/>
          <w:sz w:val="24"/>
          <w:szCs w:val="24"/>
        </w:rPr>
        <w:t>.</w:t>
      </w:r>
      <w:r w:rsidRPr="2EF86000">
        <w:rPr>
          <w:rFonts w:ascii="Times New Roman" w:hAnsi="Times New Roman" w:cs="Times New Roman"/>
          <w:sz w:val="24"/>
          <w:szCs w:val="24"/>
        </w:rPr>
        <w:t xml:space="preserve"> </w:t>
      </w:r>
      <w:r w:rsidR="009255D1" w:rsidRPr="2EF86000">
        <w:rPr>
          <w:rFonts w:ascii="Times New Roman" w:hAnsi="Times New Roman" w:cs="Times New Roman"/>
          <w:sz w:val="24"/>
          <w:szCs w:val="24"/>
        </w:rPr>
        <w:t xml:space="preserve">Example metrics include: </w:t>
      </w:r>
    </w:p>
    <w:p w14:paraId="2ACE0C14" w14:textId="082EF40E" w:rsidR="009255D1" w:rsidRPr="009255D1" w:rsidRDefault="009255D1" w:rsidP="2EF86000">
      <w:pPr>
        <w:pStyle w:val="ListParagraph"/>
        <w:numPr>
          <w:ilvl w:val="1"/>
          <w:numId w:val="16"/>
        </w:numPr>
        <w:rPr>
          <w:rFonts w:ascii="Times New Roman" w:hAnsi="Times New Roman" w:cs="Times New Roman"/>
          <w:sz w:val="24"/>
          <w:szCs w:val="24"/>
        </w:rPr>
      </w:pPr>
      <w:r w:rsidRPr="2EF86000">
        <w:rPr>
          <w:rFonts w:ascii="Times New Roman" w:hAnsi="Times New Roman" w:cs="Times New Roman"/>
          <w:sz w:val="24"/>
          <w:szCs w:val="24"/>
        </w:rPr>
        <w:t>Q</w:t>
      </w:r>
      <w:r w:rsidR="2C166BC4" w:rsidRPr="2EF86000">
        <w:rPr>
          <w:rFonts w:ascii="Times New Roman" w:hAnsi="Times New Roman" w:cs="Times New Roman"/>
          <w:sz w:val="24"/>
          <w:szCs w:val="24"/>
        </w:rPr>
        <w:t xml:space="preserve">uantity of </w:t>
      </w:r>
      <w:r w:rsidRPr="2EF86000">
        <w:rPr>
          <w:rFonts w:ascii="Times New Roman" w:hAnsi="Times New Roman" w:cs="Times New Roman"/>
          <w:sz w:val="24"/>
          <w:szCs w:val="24"/>
        </w:rPr>
        <w:t xml:space="preserve">executed </w:t>
      </w:r>
      <w:r w:rsidR="2C166BC4" w:rsidRPr="2EF86000">
        <w:rPr>
          <w:rFonts w:ascii="Times New Roman" w:hAnsi="Times New Roman" w:cs="Times New Roman"/>
          <w:sz w:val="24"/>
          <w:szCs w:val="24"/>
        </w:rPr>
        <w:t>CBAs</w:t>
      </w:r>
      <w:r w:rsidRPr="2EF86000">
        <w:rPr>
          <w:rFonts w:ascii="Times New Roman" w:hAnsi="Times New Roman" w:cs="Times New Roman"/>
          <w:sz w:val="24"/>
          <w:szCs w:val="24"/>
        </w:rPr>
        <w:t>;</w:t>
      </w:r>
    </w:p>
    <w:p w14:paraId="16B6F080" w14:textId="57360EA6" w:rsidR="009255D1" w:rsidRPr="008114B5" w:rsidRDefault="009255D1" w:rsidP="009255D1">
      <w:pPr>
        <w:pStyle w:val="ListParagraph"/>
        <w:numPr>
          <w:ilvl w:val="1"/>
          <w:numId w:val="16"/>
        </w:numPr>
        <w:rPr>
          <w:rFonts w:ascii="Times New Roman" w:hAnsi="Times New Roman" w:cs="Times New Roman"/>
        </w:rPr>
      </w:pPr>
      <w:r w:rsidRPr="2EF86000">
        <w:rPr>
          <w:rFonts w:ascii="Times New Roman" w:hAnsi="Times New Roman" w:cs="Times New Roman"/>
          <w:sz w:val="24"/>
          <w:szCs w:val="24"/>
        </w:rPr>
        <w:t>Locations of CBAs;</w:t>
      </w:r>
      <w:r w:rsidR="2C166BC4" w:rsidRPr="2EF86000">
        <w:rPr>
          <w:rFonts w:ascii="Times New Roman" w:hAnsi="Times New Roman" w:cs="Times New Roman"/>
          <w:sz w:val="24"/>
          <w:szCs w:val="24"/>
        </w:rPr>
        <w:t xml:space="preserve"> and </w:t>
      </w:r>
    </w:p>
    <w:p w14:paraId="445F8FE3" w14:textId="704C29C7" w:rsidR="2C166BC4" w:rsidRPr="008114B5" w:rsidRDefault="009255D1" w:rsidP="2EF86000">
      <w:pPr>
        <w:pStyle w:val="ListParagraph"/>
        <w:numPr>
          <w:ilvl w:val="1"/>
          <w:numId w:val="16"/>
        </w:numPr>
        <w:rPr>
          <w:rFonts w:ascii="Times New Roman" w:hAnsi="Times New Roman" w:cs="Times New Roman"/>
        </w:rPr>
      </w:pPr>
      <w:r w:rsidRPr="2EF86000">
        <w:rPr>
          <w:rFonts w:ascii="Times New Roman" w:hAnsi="Times New Roman" w:cs="Times New Roman"/>
          <w:sz w:val="24"/>
          <w:szCs w:val="24"/>
        </w:rPr>
        <w:t>A</w:t>
      </w:r>
      <w:r w:rsidR="2C166BC4" w:rsidRPr="2EF86000">
        <w:rPr>
          <w:rFonts w:ascii="Times New Roman" w:hAnsi="Times New Roman" w:cs="Times New Roman"/>
          <w:sz w:val="24"/>
          <w:szCs w:val="24"/>
        </w:rPr>
        <w:t xml:space="preserve"> disclosure of the benefits be provided.  </w:t>
      </w:r>
    </w:p>
    <w:p w14:paraId="358A38BF" w14:textId="0D991B4D" w:rsidR="00896696" w:rsidRDefault="4D67DDF5" w:rsidP="00896696">
      <w:pPr>
        <w:pStyle w:val="ListParagraph"/>
        <w:numPr>
          <w:ilvl w:val="0"/>
          <w:numId w:val="16"/>
        </w:numPr>
        <w:rPr>
          <w:rFonts w:ascii="Times New Roman" w:hAnsi="Times New Roman" w:cs="Times New Roman"/>
          <w:sz w:val="24"/>
          <w:szCs w:val="24"/>
        </w:rPr>
      </w:pPr>
      <w:r w:rsidRPr="00AF5BA7">
        <w:rPr>
          <w:rFonts w:ascii="Times New Roman" w:hAnsi="Times New Roman" w:cs="Times New Roman"/>
          <w:sz w:val="24"/>
          <w:szCs w:val="24"/>
        </w:rPr>
        <w:t xml:space="preserve">Reporting on the </w:t>
      </w:r>
      <w:r w:rsidR="2C166BC4" w:rsidRPr="00AF5BA7">
        <w:rPr>
          <w:rFonts w:ascii="Times New Roman" w:hAnsi="Times New Roman" w:cs="Times New Roman"/>
          <w:sz w:val="24"/>
          <w:szCs w:val="24"/>
        </w:rPr>
        <w:t xml:space="preserve">Grid Services Compensation Fund </w:t>
      </w:r>
      <w:r w:rsidR="443DE895" w:rsidRPr="00AF5BA7">
        <w:rPr>
          <w:rFonts w:ascii="Times New Roman" w:hAnsi="Times New Roman" w:cs="Times New Roman"/>
          <w:sz w:val="24"/>
          <w:szCs w:val="24"/>
        </w:rPr>
        <w:t>once active</w:t>
      </w:r>
      <w:r w:rsidR="00896696">
        <w:rPr>
          <w:rFonts w:ascii="Times New Roman" w:hAnsi="Times New Roman" w:cs="Times New Roman"/>
          <w:sz w:val="24"/>
          <w:szCs w:val="24"/>
        </w:rPr>
        <w:t>.</w:t>
      </w:r>
      <w:r w:rsidR="00DC57AA">
        <w:rPr>
          <w:rStyle w:val="FootnoteReference"/>
          <w:rFonts w:ascii="Times New Roman" w:hAnsi="Times New Roman" w:cs="Times New Roman"/>
          <w:sz w:val="24"/>
          <w:szCs w:val="24"/>
        </w:rPr>
        <w:footnoteReference w:id="10"/>
      </w:r>
      <w:r w:rsidR="00896696">
        <w:rPr>
          <w:rFonts w:ascii="Times New Roman" w:hAnsi="Times New Roman" w:cs="Times New Roman"/>
          <w:sz w:val="24"/>
          <w:szCs w:val="24"/>
        </w:rPr>
        <w:t xml:space="preserve"> Example </w:t>
      </w:r>
      <w:r w:rsidR="5BE126D5" w:rsidRPr="00896696">
        <w:rPr>
          <w:rFonts w:ascii="Times New Roman" w:hAnsi="Times New Roman" w:cs="Times New Roman"/>
          <w:sz w:val="24"/>
          <w:szCs w:val="24"/>
        </w:rPr>
        <w:t>m</w:t>
      </w:r>
      <w:r w:rsidR="443DE895" w:rsidRPr="00896696">
        <w:rPr>
          <w:rFonts w:ascii="Times New Roman" w:hAnsi="Times New Roman" w:cs="Times New Roman"/>
          <w:sz w:val="24"/>
          <w:szCs w:val="24"/>
        </w:rPr>
        <w:t>etric</w:t>
      </w:r>
      <w:r w:rsidR="3438D281" w:rsidRPr="00896696">
        <w:rPr>
          <w:rFonts w:ascii="Times New Roman" w:hAnsi="Times New Roman" w:cs="Times New Roman"/>
          <w:sz w:val="24"/>
          <w:szCs w:val="24"/>
        </w:rPr>
        <w:t>s</w:t>
      </w:r>
      <w:r w:rsidR="443DE895" w:rsidRPr="00896696">
        <w:rPr>
          <w:rFonts w:ascii="Times New Roman" w:hAnsi="Times New Roman" w:cs="Times New Roman"/>
          <w:sz w:val="24"/>
          <w:szCs w:val="24"/>
        </w:rPr>
        <w:t xml:space="preserve"> include</w:t>
      </w:r>
      <w:r w:rsidR="00896696">
        <w:rPr>
          <w:rFonts w:ascii="Times New Roman" w:hAnsi="Times New Roman" w:cs="Times New Roman"/>
          <w:sz w:val="24"/>
          <w:szCs w:val="24"/>
        </w:rPr>
        <w:t>:</w:t>
      </w:r>
    </w:p>
    <w:p w14:paraId="4489F2D2" w14:textId="3C9BBB96" w:rsidR="4D67DDF5" w:rsidRPr="008114B5" w:rsidRDefault="00896696" w:rsidP="2EF86000">
      <w:pPr>
        <w:pStyle w:val="ListParagraph"/>
        <w:numPr>
          <w:ilvl w:val="1"/>
          <w:numId w:val="16"/>
        </w:numPr>
        <w:rPr>
          <w:rFonts w:ascii="Times New Roman" w:hAnsi="Times New Roman" w:cs="Times New Roman"/>
          <w:sz w:val="24"/>
          <w:szCs w:val="24"/>
        </w:rPr>
      </w:pPr>
      <w:r w:rsidRPr="2EF86000">
        <w:rPr>
          <w:rFonts w:ascii="Times New Roman" w:hAnsi="Times New Roman" w:cs="Times New Roman"/>
          <w:sz w:val="24"/>
          <w:szCs w:val="24"/>
        </w:rPr>
        <w:t>L</w:t>
      </w:r>
      <w:r w:rsidR="2C166BC4" w:rsidRPr="2EF86000">
        <w:rPr>
          <w:rFonts w:ascii="Times New Roman" w:hAnsi="Times New Roman" w:cs="Times New Roman"/>
          <w:sz w:val="24"/>
          <w:szCs w:val="24"/>
        </w:rPr>
        <w:t xml:space="preserve">ocation of projects </w:t>
      </w:r>
      <w:r w:rsidR="0CC7A5DE" w:rsidRPr="2EF86000">
        <w:rPr>
          <w:rFonts w:ascii="Times New Roman" w:hAnsi="Times New Roman" w:cs="Times New Roman"/>
          <w:sz w:val="24"/>
          <w:szCs w:val="24"/>
        </w:rPr>
        <w:t>a</w:t>
      </w:r>
      <w:r w:rsidR="2C166BC4" w:rsidRPr="2EF86000">
        <w:rPr>
          <w:rFonts w:ascii="Times New Roman" w:hAnsi="Times New Roman" w:cs="Times New Roman"/>
          <w:sz w:val="24"/>
          <w:szCs w:val="24"/>
        </w:rPr>
        <w:t>nd noting which are</w:t>
      </w:r>
      <w:r w:rsidR="740E67B4" w:rsidRPr="2EF86000">
        <w:rPr>
          <w:rFonts w:ascii="Times New Roman" w:hAnsi="Times New Roman" w:cs="Times New Roman"/>
          <w:sz w:val="24"/>
          <w:szCs w:val="24"/>
        </w:rPr>
        <w:t xml:space="preserve"> located</w:t>
      </w:r>
      <w:r w:rsidR="2C166BC4" w:rsidRPr="2EF86000">
        <w:rPr>
          <w:rFonts w:ascii="Times New Roman" w:hAnsi="Times New Roman" w:cs="Times New Roman"/>
          <w:sz w:val="24"/>
          <w:szCs w:val="24"/>
        </w:rPr>
        <w:t xml:space="preserve"> in EJ</w:t>
      </w:r>
      <w:r w:rsidR="00DC57AA" w:rsidRPr="2EF86000">
        <w:rPr>
          <w:rFonts w:ascii="Times New Roman" w:hAnsi="Times New Roman" w:cs="Times New Roman"/>
          <w:sz w:val="24"/>
          <w:szCs w:val="24"/>
        </w:rPr>
        <w:t>Cs</w:t>
      </w:r>
      <w:r w:rsidR="5F5D1BFB" w:rsidRPr="2EF86000">
        <w:rPr>
          <w:rFonts w:ascii="Times New Roman" w:hAnsi="Times New Roman" w:cs="Times New Roman"/>
          <w:sz w:val="24"/>
          <w:szCs w:val="24"/>
        </w:rPr>
        <w:t xml:space="preserve">. </w:t>
      </w:r>
    </w:p>
    <w:p w14:paraId="57F2B3D0" w14:textId="05B91FD0" w:rsidR="14233814" w:rsidRDefault="14233814" w:rsidP="7F52448C">
      <w:pPr>
        <w:rPr>
          <w:rFonts w:ascii="Times New Roman" w:hAnsi="Times New Roman" w:cs="Times New Roman"/>
          <w:i/>
          <w:iCs/>
          <w:sz w:val="24"/>
          <w:szCs w:val="24"/>
        </w:rPr>
      </w:pPr>
      <w:r w:rsidRPr="7F52448C">
        <w:rPr>
          <w:rFonts w:ascii="Times New Roman" w:hAnsi="Times New Roman" w:cs="Times New Roman"/>
          <w:i/>
          <w:iCs/>
          <w:sz w:val="24"/>
          <w:szCs w:val="24"/>
        </w:rPr>
        <w:t>Biannual Report:</w:t>
      </w:r>
    </w:p>
    <w:p w14:paraId="3569C55F" w14:textId="024C1ECC" w:rsidR="5F5D1BFB" w:rsidRDefault="00456ECF" w:rsidP="00DB4A74">
      <w:pPr>
        <w:ind w:firstLine="720"/>
        <w:rPr>
          <w:rFonts w:ascii="Times New Roman" w:hAnsi="Times New Roman" w:cs="Times New Roman"/>
          <w:sz w:val="24"/>
          <w:szCs w:val="24"/>
        </w:rPr>
      </w:pPr>
      <w:r>
        <w:rPr>
          <w:rFonts w:ascii="Times New Roman" w:hAnsi="Times New Roman" w:cs="Times New Roman"/>
          <w:sz w:val="24"/>
          <w:szCs w:val="24"/>
        </w:rPr>
        <w:t>The EWG</w:t>
      </w:r>
      <w:r w:rsidR="3EC77523" w:rsidRPr="7F52448C">
        <w:rPr>
          <w:rFonts w:ascii="Times New Roman" w:hAnsi="Times New Roman" w:cs="Times New Roman"/>
          <w:sz w:val="24"/>
          <w:szCs w:val="24"/>
        </w:rPr>
        <w:t xml:space="preserve"> </w:t>
      </w:r>
      <w:r w:rsidR="5F5D1BFB" w:rsidRPr="7F52448C">
        <w:rPr>
          <w:rFonts w:ascii="Times New Roman" w:hAnsi="Times New Roman" w:cs="Times New Roman"/>
          <w:sz w:val="24"/>
          <w:szCs w:val="24"/>
        </w:rPr>
        <w:t>recognize</w:t>
      </w:r>
      <w:r>
        <w:rPr>
          <w:rFonts w:ascii="Times New Roman" w:hAnsi="Times New Roman" w:cs="Times New Roman"/>
          <w:sz w:val="24"/>
          <w:szCs w:val="24"/>
        </w:rPr>
        <w:t>s</w:t>
      </w:r>
      <w:r w:rsidR="5F5D1BFB" w:rsidRPr="7F52448C">
        <w:rPr>
          <w:rFonts w:ascii="Times New Roman" w:hAnsi="Times New Roman" w:cs="Times New Roman"/>
          <w:sz w:val="24"/>
          <w:szCs w:val="24"/>
        </w:rPr>
        <w:t xml:space="preserve"> that the</w:t>
      </w:r>
      <w:r w:rsidR="014714F8" w:rsidRPr="7F52448C">
        <w:rPr>
          <w:rFonts w:ascii="Times New Roman" w:hAnsi="Times New Roman" w:cs="Times New Roman"/>
          <w:sz w:val="24"/>
          <w:szCs w:val="24"/>
        </w:rPr>
        <w:t xml:space="preserve"> biannual reports</w:t>
      </w:r>
      <w:r w:rsidR="5F5D1BFB" w:rsidRPr="7F52448C">
        <w:rPr>
          <w:rFonts w:ascii="Times New Roman" w:hAnsi="Times New Roman" w:cs="Times New Roman"/>
          <w:sz w:val="24"/>
          <w:szCs w:val="24"/>
        </w:rPr>
        <w:t xml:space="preserve"> propose consolidating metrics from other relevant filings and providing a list of relevant doc</w:t>
      </w:r>
      <w:r w:rsidR="7FD8445C" w:rsidRPr="7F52448C">
        <w:rPr>
          <w:rFonts w:ascii="Times New Roman" w:hAnsi="Times New Roman" w:cs="Times New Roman"/>
          <w:sz w:val="24"/>
          <w:szCs w:val="24"/>
        </w:rPr>
        <w:t>kets</w:t>
      </w:r>
      <w:r w:rsidR="00FB5024">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and notes that </w:t>
      </w:r>
      <w:r w:rsidR="7FD8445C" w:rsidRPr="7F52448C">
        <w:rPr>
          <w:rFonts w:ascii="Times New Roman" w:hAnsi="Times New Roman" w:cs="Times New Roman"/>
          <w:sz w:val="24"/>
          <w:szCs w:val="24"/>
        </w:rPr>
        <w:t>this will be</w:t>
      </w:r>
      <w:r w:rsidR="5F5D1BFB" w:rsidRPr="7F52448C">
        <w:rPr>
          <w:rFonts w:ascii="Times New Roman" w:hAnsi="Times New Roman" w:cs="Times New Roman"/>
          <w:sz w:val="24"/>
          <w:szCs w:val="24"/>
        </w:rPr>
        <w:t xml:space="preserve"> a significant improvement in providing transparency and improved understanding of </w:t>
      </w:r>
      <w:r w:rsidR="6D523D39" w:rsidRPr="7F52448C">
        <w:rPr>
          <w:rFonts w:ascii="Times New Roman" w:hAnsi="Times New Roman" w:cs="Times New Roman"/>
          <w:sz w:val="24"/>
          <w:szCs w:val="24"/>
        </w:rPr>
        <w:t xml:space="preserve">progress towards the </w:t>
      </w:r>
      <w:r w:rsidR="5F5D1BFB" w:rsidRPr="7F52448C">
        <w:rPr>
          <w:rFonts w:ascii="Times New Roman" w:hAnsi="Times New Roman" w:cs="Times New Roman"/>
          <w:sz w:val="24"/>
          <w:szCs w:val="24"/>
        </w:rPr>
        <w:t>energy transition and grid modernization</w:t>
      </w:r>
      <w:r>
        <w:rPr>
          <w:rFonts w:ascii="Times New Roman" w:hAnsi="Times New Roman" w:cs="Times New Roman"/>
          <w:sz w:val="24"/>
          <w:szCs w:val="24"/>
        </w:rPr>
        <w:t xml:space="preserve"> for stakeholders</w:t>
      </w:r>
      <w:r w:rsidR="5F5D1BFB" w:rsidRPr="7F52448C">
        <w:rPr>
          <w:rFonts w:ascii="Times New Roman" w:hAnsi="Times New Roman" w:cs="Times New Roman"/>
          <w:sz w:val="24"/>
          <w:szCs w:val="24"/>
        </w:rPr>
        <w:t xml:space="preserve">. </w:t>
      </w:r>
      <w:r w:rsidR="2E9FBAAA" w:rsidRPr="7F52448C">
        <w:rPr>
          <w:rFonts w:ascii="Times New Roman" w:hAnsi="Times New Roman" w:cs="Times New Roman"/>
          <w:sz w:val="24"/>
          <w:szCs w:val="24"/>
        </w:rPr>
        <w:t>The inclusion of the other reporting metrics is responsive to our</w:t>
      </w:r>
      <w:r w:rsidR="381545B1" w:rsidRPr="7F52448C">
        <w:rPr>
          <w:rFonts w:ascii="Times New Roman" w:hAnsi="Times New Roman" w:cs="Times New Roman"/>
          <w:sz w:val="24"/>
          <w:szCs w:val="24"/>
        </w:rPr>
        <w:t xml:space="preserve"> previous</w:t>
      </w:r>
      <w:r w:rsidR="2E9FBAAA" w:rsidRPr="7F52448C">
        <w:rPr>
          <w:rFonts w:ascii="Times New Roman" w:hAnsi="Times New Roman" w:cs="Times New Roman"/>
          <w:sz w:val="24"/>
          <w:szCs w:val="24"/>
        </w:rPr>
        <w:t xml:space="preserve"> feedback</w:t>
      </w:r>
      <w:r>
        <w:rPr>
          <w:rFonts w:ascii="Times New Roman" w:hAnsi="Times New Roman" w:cs="Times New Roman"/>
          <w:sz w:val="24"/>
          <w:szCs w:val="24"/>
        </w:rPr>
        <w:t>. The EWG</w:t>
      </w:r>
      <w:r w:rsidR="1D135FD8" w:rsidRPr="7F52448C">
        <w:rPr>
          <w:rFonts w:ascii="Times New Roman" w:hAnsi="Times New Roman" w:cs="Times New Roman"/>
          <w:sz w:val="24"/>
          <w:szCs w:val="24"/>
        </w:rPr>
        <w:t xml:space="preserve"> previously stated that the proposed </w:t>
      </w:r>
      <w:r w:rsidR="2E9FBAAA" w:rsidRPr="7F52448C">
        <w:rPr>
          <w:rFonts w:ascii="Times New Roman" w:hAnsi="Times New Roman" w:cs="Times New Roman"/>
          <w:sz w:val="24"/>
          <w:szCs w:val="24"/>
        </w:rPr>
        <w:t xml:space="preserve">ESMP reporting </w:t>
      </w:r>
      <w:r w:rsidR="3F8FE232" w:rsidRPr="7F52448C">
        <w:rPr>
          <w:rFonts w:ascii="Times New Roman" w:hAnsi="Times New Roman" w:cs="Times New Roman"/>
          <w:sz w:val="24"/>
          <w:szCs w:val="24"/>
        </w:rPr>
        <w:t xml:space="preserve">would </w:t>
      </w:r>
      <w:r w:rsidR="2E9FBAAA" w:rsidRPr="7F52448C">
        <w:rPr>
          <w:rFonts w:ascii="Times New Roman" w:hAnsi="Times New Roman" w:cs="Times New Roman"/>
          <w:sz w:val="24"/>
          <w:szCs w:val="24"/>
        </w:rPr>
        <w:t>not provid</w:t>
      </w:r>
      <w:r w:rsidR="17A20F20" w:rsidRPr="7F52448C">
        <w:rPr>
          <w:rFonts w:ascii="Times New Roman" w:hAnsi="Times New Roman" w:cs="Times New Roman"/>
          <w:sz w:val="24"/>
          <w:szCs w:val="24"/>
        </w:rPr>
        <w:t>e</w:t>
      </w:r>
      <w:r w:rsidR="2E9FBAAA" w:rsidRPr="7F52448C">
        <w:rPr>
          <w:rFonts w:ascii="Times New Roman" w:hAnsi="Times New Roman" w:cs="Times New Roman"/>
          <w:sz w:val="24"/>
          <w:szCs w:val="24"/>
        </w:rPr>
        <w:t xml:space="preserve"> a holistic snapshot of the impact of the ESMP </w:t>
      </w:r>
      <w:r w:rsidR="5D1EBE08" w:rsidRPr="7F52448C">
        <w:rPr>
          <w:rFonts w:ascii="Times New Roman" w:hAnsi="Times New Roman" w:cs="Times New Roman"/>
          <w:sz w:val="24"/>
          <w:szCs w:val="24"/>
        </w:rPr>
        <w:t>investments on electrification, distributed generation and increased resilience and reliability.</w:t>
      </w:r>
      <w:r w:rsidR="5F5D1BFB" w:rsidRPr="7F52448C">
        <w:rPr>
          <w:rStyle w:val="FootnoteReference"/>
          <w:rFonts w:ascii="Times New Roman" w:hAnsi="Times New Roman" w:cs="Times New Roman"/>
          <w:sz w:val="24"/>
          <w:szCs w:val="24"/>
        </w:rPr>
        <w:footnoteReference w:id="12"/>
      </w:r>
      <w:r w:rsidR="2E9FBAAA" w:rsidRPr="7F52448C">
        <w:rPr>
          <w:rFonts w:ascii="Times New Roman" w:hAnsi="Times New Roman" w:cs="Times New Roman"/>
          <w:sz w:val="24"/>
          <w:szCs w:val="24"/>
        </w:rPr>
        <w:t xml:space="preserve"> </w:t>
      </w:r>
      <w:r w:rsidR="5F5D1BFB" w:rsidRPr="7F52448C">
        <w:rPr>
          <w:rFonts w:ascii="Times New Roman" w:hAnsi="Times New Roman" w:cs="Times New Roman"/>
          <w:sz w:val="24"/>
          <w:szCs w:val="24"/>
        </w:rPr>
        <w:t xml:space="preserve"> </w:t>
      </w:r>
      <w:r w:rsidR="22F77A45" w:rsidRPr="7F52448C">
        <w:rPr>
          <w:rFonts w:ascii="Times New Roman" w:hAnsi="Times New Roman" w:cs="Times New Roman"/>
          <w:sz w:val="24"/>
          <w:szCs w:val="24"/>
        </w:rPr>
        <w:t xml:space="preserve"> </w:t>
      </w:r>
    </w:p>
    <w:p w14:paraId="586F28DE" w14:textId="2D35CD23" w:rsidR="58F6770E" w:rsidRDefault="58F6770E" w:rsidP="00DB4A74">
      <w:pPr>
        <w:ind w:firstLine="720"/>
        <w:rPr>
          <w:rFonts w:ascii="Times New Roman" w:hAnsi="Times New Roman" w:cs="Times New Roman"/>
          <w:sz w:val="24"/>
          <w:szCs w:val="24"/>
        </w:rPr>
      </w:pPr>
      <w:r w:rsidRPr="7F52448C">
        <w:rPr>
          <w:rFonts w:ascii="Times New Roman" w:hAnsi="Times New Roman" w:cs="Times New Roman"/>
          <w:sz w:val="24"/>
          <w:szCs w:val="24"/>
        </w:rPr>
        <w:t xml:space="preserve">While </w:t>
      </w:r>
      <w:r w:rsidR="00456ECF">
        <w:rPr>
          <w:rFonts w:ascii="Times New Roman" w:hAnsi="Times New Roman" w:cs="Times New Roman"/>
          <w:sz w:val="24"/>
          <w:szCs w:val="24"/>
        </w:rPr>
        <w:t>the EWG</w:t>
      </w:r>
      <w:r w:rsidR="00456ECF" w:rsidRPr="7F52448C">
        <w:rPr>
          <w:rFonts w:ascii="Times New Roman" w:hAnsi="Times New Roman" w:cs="Times New Roman"/>
          <w:sz w:val="24"/>
          <w:szCs w:val="24"/>
        </w:rPr>
        <w:t xml:space="preserve"> </w:t>
      </w:r>
      <w:r w:rsidRPr="7F52448C">
        <w:rPr>
          <w:rFonts w:ascii="Times New Roman" w:hAnsi="Times New Roman" w:cs="Times New Roman"/>
          <w:sz w:val="24"/>
          <w:szCs w:val="24"/>
        </w:rPr>
        <w:t>commend</w:t>
      </w:r>
      <w:r w:rsidR="00456ECF">
        <w:rPr>
          <w:rFonts w:ascii="Times New Roman" w:hAnsi="Times New Roman" w:cs="Times New Roman"/>
          <w:sz w:val="24"/>
          <w:szCs w:val="24"/>
        </w:rPr>
        <w:t>s</w:t>
      </w:r>
      <w:r w:rsidRPr="7F52448C">
        <w:rPr>
          <w:rFonts w:ascii="Times New Roman" w:hAnsi="Times New Roman" w:cs="Times New Roman"/>
          <w:sz w:val="24"/>
          <w:szCs w:val="24"/>
        </w:rPr>
        <w:t xml:space="preserve"> this approach, </w:t>
      </w:r>
      <w:r w:rsidR="396AAE70" w:rsidRPr="26552AE8">
        <w:rPr>
          <w:rFonts w:ascii="Times New Roman" w:hAnsi="Times New Roman" w:cs="Times New Roman"/>
          <w:sz w:val="24"/>
          <w:szCs w:val="24"/>
        </w:rPr>
        <w:t xml:space="preserve">we are concerned that </w:t>
      </w:r>
      <w:r w:rsidRPr="7F52448C">
        <w:rPr>
          <w:rFonts w:ascii="Times New Roman" w:hAnsi="Times New Roman" w:cs="Times New Roman"/>
          <w:sz w:val="24"/>
          <w:szCs w:val="24"/>
        </w:rPr>
        <w:t xml:space="preserve">an Excel document is not the most accessible pathway for </w:t>
      </w:r>
      <w:r w:rsidR="1238C5A7" w:rsidRPr="26552AE8">
        <w:rPr>
          <w:rFonts w:ascii="Times New Roman" w:hAnsi="Times New Roman" w:cs="Times New Roman"/>
          <w:sz w:val="24"/>
          <w:szCs w:val="24"/>
        </w:rPr>
        <w:t>the public to monitor</w:t>
      </w:r>
      <w:r w:rsidRPr="7F52448C">
        <w:rPr>
          <w:rFonts w:ascii="Times New Roman" w:hAnsi="Times New Roman" w:cs="Times New Roman"/>
          <w:sz w:val="24"/>
          <w:szCs w:val="24"/>
        </w:rPr>
        <w:t xml:space="preserve"> progress. Ideally, </w:t>
      </w:r>
      <w:r w:rsidR="5F5D1BFB" w:rsidRPr="7F52448C">
        <w:rPr>
          <w:rFonts w:ascii="Times New Roman" w:hAnsi="Times New Roman" w:cs="Times New Roman"/>
          <w:sz w:val="24"/>
          <w:szCs w:val="24"/>
        </w:rPr>
        <w:t>visuals</w:t>
      </w:r>
      <w:r w:rsidR="00456ECF">
        <w:rPr>
          <w:rFonts w:ascii="Times New Roman" w:hAnsi="Times New Roman" w:cs="Times New Roman"/>
          <w:sz w:val="24"/>
          <w:szCs w:val="24"/>
        </w:rPr>
        <w:t>, including figures or</w:t>
      </w:r>
      <w:r w:rsidR="23791364" w:rsidRPr="7F52448C">
        <w:rPr>
          <w:rFonts w:ascii="Times New Roman" w:hAnsi="Times New Roman" w:cs="Times New Roman"/>
          <w:sz w:val="24"/>
          <w:szCs w:val="24"/>
        </w:rPr>
        <w:t xml:space="preserve"> </w:t>
      </w:r>
      <w:r w:rsidR="5F5D1BFB" w:rsidRPr="7F52448C">
        <w:rPr>
          <w:rFonts w:ascii="Times New Roman" w:hAnsi="Times New Roman" w:cs="Times New Roman"/>
          <w:sz w:val="24"/>
          <w:szCs w:val="24"/>
        </w:rPr>
        <w:t>dashboard</w:t>
      </w:r>
      <w:r w:rsidR="00456ECF">
        <w:rPr>
          <w:rFonts w:ascii="Times New Roman" w:hAnsi="Times New Roman" w:cs="Times New Roman"/>
          <w:sz w:val="24"/>
          <w:szCs w:val="24"/>
        </w:rPr>
        <w:t>s,</w:t>
      </w:r>
      <w:r w:rsidR="0622E4AC" w:rsidRPr="7F52448C">
        <w:rPr>
          <w:rFonts w:ascii="Times New Roman" w:hAnsi="Times New Roman" w:cs="Times New Roman"/>
          <w:sz w:val="24"/>
          <w:szCs w:val="24"/>
        </w:rPr>
        <w:t xml:space="preserve"> would </w:t>
      </w:r>
      <w:r w:rsidR="319F4EA2" w:rsidRPr="26552AE8">
        <w:rPr>
          <w:rFonts w:ascii="Times New Roman" w:hAnsi="Times New Roman" w:cs="Times New Roman"/>
          <w:sz w:val="24"/>
          <w:szCs w:val="24"/>
        </w:rPr>
        <w:t>be</w:t>
      </w:r>
      <w:r w:rsidR="0622E4AC" w:rsidRPr="7F52448C">
        <w:rPr>
          <w:rFonts w:ascii="Times New Roman" w:hAnsi="Times New Roman" w:cs="Times New Roman"/>
          <w:sz w:val="24"/>
          <w:szCs w:val="24"/>
        </w:rPr>
        <w:t xml:space="preserve"> a more </w:t>
      </w:r>
      <w:r w:rsidR="319F4EA2" w:rsidRPr="26552AE8">
        <w:rPr>
          <w:rFonts w:ascii="Times New Roman" w:hAnsi="Times New Roman" w:cs="Times New Roman"/>
          <w:sz w:val="24"/>
          <w:szCs w:val="24"/>
        </w:rPr>
        <w:t>approachable method</w:t>
      </w:r>
      <w:r w:rsidR="0622E4AC" w:rsidRPr="7F52448C">
        <w:rPr>
          <w:rFonts w:ascii="Times New Roman" w:hAnsi="Times New Roman" w:cs="Times New Roman"/>
          <w:sz w:val="24"/>
          <w:szCs w:val="24"/>
        </w:rPr>
        <w:t xml:space="preserve"> for communicating with impacted communities and the general public. We note some utilities have taken </w:t>
      </w:r>
      <w:r w:rsidR="2148B4A2" w:rsidRPr="26552AE8">
        <w:rPr>
          <w:rFonts w:ascii="Times New Roman" w:hAnsi="Times New Roman" w:cs="Times New Roman"/>
          <w:sz w:val="24"/>
          <w:szCs w:val="24"/>
        </w:rPr>
        <w:t>a visualization-oriented</w:t>
      </w:r>
      <w:r w:rsidR="0622E4AC" w:rsidRPr="7F52448C">
        <w:rPr>
          <w:rFonts w:ascii="Times New Roman" w:hAnsi="Times New Roman" w:cs="Times New Roman"/>
          <w:sz w:val="24"/>
          <w:szCs w:val="24"/>
        </w:rPr>
        <w:t xml:space="preserve"> approach</w:t>
      </w:r>
      <w:r w:rsidR="0037272D">
        <w:rPr>
          <w:rFonts w:ascii="Times New Roman" w:hAnsi="Times New Roman" w:cs="Times New Roman"/>
          <w:sz w:val="24"/>
          <w:szCs w:val="24"/>
        </w:rPr>
        <w:t xml:space="preserve"> with their grid investment reporting</w:t>
      </w:r>
      <w:r w:rsidR="00787472" w:rsidRPr="2EF86000">
        <w:rPr>
          <w:rFonts w:ascii="Times New Roman" w:hAnsi="Times New Roman" w:cs="Times New Roman"/>
          <w:sz w:val="24"/>
          <w:szCs w:val="24"/>
        </w:rPr>
        <w:t xml:space="preserve">, such as Hawaiian </w:t>
      </w:r>
      <w:r w:rsidR="00787472">
        <w:rPr>
          <w:rFonts w:ascii="Times New Roman" w:hAnsi="Times New Roman" w:cs="Times New Roman"/>
          <w:sz w:val="24"/>
          <w:szCs w:val="24"/>
        </w:rPr>
        <w:t>Electric.</w:t>
      </w:r>
      <w:r w:rsidR="00787472">
        <w:rPr>
          <w:rStyle w:val="FootnoteReference"/>
          <w:rFonts w:ascii="Times New Roman" w:hAnsi="Times New Roman" w:cs="Times New Roman"/>
          <w:sz w:val="24"/>
          <w:szCs w:val="24"/>
        </w:rPr>
        <w:footnoteReference w:id="13"/>
      </w:r>
      <w:r w:rsidR="0622E4AC" w:rsidRPr="7F52448C">
        <w:rPr>
          <w:rFonts w:ascii="Times New Roman" w:hAnsi="Times New Roman" w:cs="Times New Roman"/>
          <w:sz w:val="24"/>
          <w:szCs w:val="24"/>
        </w:rPr>
        <w:t xml:space="preserve"> </w:t>
      </w:r>
      <w:r w:rsidR="0037272D">
        <w:rPr>
          <w:rFonts w:ascii="Times New Roman" w:hAnsi="Times New Roman" w:cs="Times New Roman"/>
          <w:sz w:val="24"/>
          <w:szCs w:val="24"/>
        </w:rPr>
        <w:t xml:space="preserve">The EWG recommends that the EDCs explore </w:t>
      </w:r>
      <w:r w:rsidR="00454E6E">
        <w:rPr>
          <w:rFonts w:ascii="Times New Roman" w:hAnsi="Times New Roman" w:cs="Times New Roman"/>
          <w:sz w:val="24"/>
          <w:szCs w:val="24"/>
        </w:rPr>
        <w:t>visual options for reporting ESMP</w:t>
      </w:r>
      <w:r w:rsidR="00454E6E" w:rsidRPr="7F52448C" w:rsidDel="00454E6E">
        <w:rPr>
          <w:rFonts w:ascii="Times New Roman" w:hAnsi="Times New Roman" w:cs="Times New Roman"/>
          <w:sz w:val="24"/>
          <w:szCs w:val="24"/>
        </w:rPr>
        <w:t xml:space="preserve"> progress. </w:t>
      </w:r>
    </w:p>
    <w:p w14:paraId="3E3C2EE7" w14:textId="1829C7BF" w:rsidR="523F091B" w:rsidRPr="00093F1F" w:rsidRDefault="523F091B" w:rsidP="2EF86000">
      <w:pPr>
        <w:pStyle w:val="ListParagraph"/>
        <w:numPr>
          <w:ilvl w:val="1"/>
          <w:numId w:val="17"/>
        </w:numPr>
        <w:rPr>
          <w:rFonts w:ascii="Times New Roman" w:hAnsi="Times New Roman" w:cs="Times New Roman"/>
          <w:b/>
          <w:bCs/>
          <w:sz w:val="24"/>
          <w:szCs w:val="24"/>
        </w:rPr>
      </w:pPr>
      <w:r w:rsidRPr="2EF86000">
        <w:rPr>
          <w:rFonts w:ascii="Times New Roman" w:hAnsi="Times New Roman" w:cs="Times New Roman"/>
          <w:b/>
          <w:bCs/>
          <w:sz w:val="24"/>
          <w:szCs w:val="24"/>
        </w:rPr>
        <w:t>Recognition</w:t>
      </w:r>
      <w:r w:rsidR="00454E6E" w:rsidRPr="2EF86000">
        <w:rPr>
          <w:rFonts w:ascii="Times New Roman" w:hAnsi="Times New Roman" w:cs="Times New Roman"/>
          <w:b/>
          <w:bCs/>
          <w:sz w:val="24"/>
          <w:szCs w:val="24"/>
        </w:rPr>
        <w:t>/Structural</w:t>
      </w:r>
    </w:p>
    <w:p w14:paraId="7B84F7C8" w14:textId="1427323F" w:rsidR="165C3331" w:rsidRDefault="165C3331" w:rsidP="7F52448C">
      <w:pPr>
        <w:rPr>
          <w:rFonts w:ascii="Times New Roman" w:hAnsi="Times New Roman" w:cs="Times New Roman"/>
          <w:i/>
          <w:iCs/>
          <w:sz w:val="24"/>
          <w:szCs w:val="24"/>
        </w:rPr>
      </w:pPr>
      <w:r w:rsidRPr="7F52448C">
        <w:rPr>
          <w:rFonts w:ascii="Times New Roman" w:hAnsi="Times New Roman" w:cs="Times New Roman"/>
          <w:i/>
          <w:iCs/>
          <w:sz w:val="24"/>
          <w:szCs w:val="24"/>
        </w:rPr>
        <w:t>Metrics</w:t>
      </w:r>
    </w:p>
    <w:p w14:paraId="090BCBFA" w14:textId="6DD2F954" w:rsidR="523F091B" w:rsidDel="003D248F" w:rsidRDefault="523F091B" w:rsidP="00DB4A74">
      <w:pPr>
        <w:ind w:firstLine="720"/>
        <w:rPr>
          <w:rFonts w:ascii="Times New Roman" w:hAnsi="Times New Roman" w:cs="Times New Roman"/>
          <w:sz w:val="24"/>
          <w:szCs w:val="24"/>
        </w:rPr>
      </w:pPr>
      <w:r w:rsidRPr="7F52448C">
        <w:rPr>
          <w:rFonts w:ascii="Times New Roman" w:hAnsi="Times New Roman" w:cs="Times New Roman"/>
          <w:sz w:val="24"/>
          <w:szCs w:val="24"/>
        </w:rPr>
        <w:t xml:space="preserve">Recognition </w:t>
      </w:r>
      <w:r w:rsidR="00454E6E">
        <w:rPr>
          <w:rFonts w:ascii="Times New Roman" w:hAnsi="Times New Roman" w:cs="Times New Roman"/>
          <w:sz w:val="24"/>
          <w:szCs w:val="24"/>
        </w:rPr>
        <w:t xml:space="preserve">justice </w:t>
      </w:r>
      <w:r w:rsidRPr="7F52448C">
        <w:rPr>
          <w:rFonts w:ascii="Times New Roman" w:hAnsi="Times New Roman" w:cs="Times New Roman"/>
          <w:sz w:val="24"/>
          <w:szCs w:val="24"/>
        </w:rPr>
        <w:t>corresponds most closely to structural</w:t>
      </w:r>
      <w:r w:rsidR="15F5B046" w:rsidRPr="7F52448C">
        <w:rPr>
          <w:rFonts w:ascii="Times New Roman" w:hAnsi="Times New Roman" w:cs="Times New Roman"/>
          <w:sz w:val="24"/>
          <w:szCs w:val="24"/>
        </w:rPr>
        <w:t xml:space="preserve"> equity</w:t>
      </w:r>
      <w:r w:rsidRPr="7F52448C">
        <w:rPr>
          <w:rFonts w:ascii="Times New Roman" w:hAnsi="Times New Roman" w:cs="Times New Roman"/>
          <w:sz w:val="24"/>
          <w:szCs w:val="24"/>
        </w:rPr>
        <w:t xml:space="preserve"> in the EDCs</w:t>
      </w:r>
      <w:r w:rsidR="00454E6E">
        <w:rPr>
          <w:rFonts w:ascii="Times New Roman" w:hAnsi="Times New Roman" w:cs="Times New Roman"/>
          <w:sz w:val="24"/>
          <w:szCs w:val="24"/>
        </w:rPr>
        <w:t>’</w:t>
      </w:r>
      <w:r w:rsidRPr="7F52448C">
        <w:rPr>
          <w:rFonts w:ascii="Times New Roman" w:hAnsi="Times New Roman" w:cs="Times New Roman"/>
          <w:sz w:val="24"/>
          <w:szCs w:val="24"/>
        </w:rPr>
        <w:t xml:space="preserve"> </w:t>
      </w:r>
      <w:r w:rsidR="00454E6E">
        <w:rPr>
          <w:rFonts w:ascii="Times New Roman" w:hAnsi="Times New Roman" w:cs="Times New Roman"/>
          <w:sz w:val="24"/>
          <w:szCs w:val="24"/>
        </w:rPr>
        <w:t xml:space="preserve">equity </w:t>
      </w:r>
      <w:r w:rsidRPr="7F52448C">
        <w:rPr>
          <w:rFonts w:ascii="Times New Roman" w:hAnsi="Times New Roman" w:cs="Times New Roman"/>
          <w:sz w:val="24"/>
          <w:szCs w:val="24"/>
        </w:rPr>
        <w:t>framework</w:t>
      </w:r>
      <w:r w:rsidR="00454E6E">
        <w:rPr>
          <w:rFonts w:ascii="Times New Roman" w:hAnsi="Times New Roman" w:cs="Times New Roman"/>
          <w:sz w:val="24"/>
          <w:szCs w:val="24"/>
        </w:rPr>
        <w:t>s</w:t>
      </w:r>
      <w:r w:rsidRPr="7F52448C">
        <w:rPr>
          <w:rFonts w:ascii="Times New Roman" w:hAnsi="Times New Roman" w:cs="Times New Roman"/>
          <w:sz w:val="24"/>
          <w:szCs w:val="24"/>
        </w:rPr>
        <w:t xml:space="preserve">. </w:t>
      </w:r>
      <w:r w:rsidR="0FAF5518" w:rsidRPr="7F52448C">
        <w:rPr>
          <w:rFonts w:ascii="Times New Roman" w:hAnsi="Times New Roman" w:cs="Times New Roman"/>
          <w:sz w:val="24"/>
          <w:szCs w:val="24"/>
        </w:rPr>
        <w:t>We continue to have concerns that the 3</w:t>
      </w:r>
      <w:r w:rsidR="00454E6E" w:rsidRPr="00454E6E">
        <w:rPr>
          <w:rFonts w:ascii="Times New Roman" w:hAnsi="Times New Roman" w:cs="Times New Roman"/>
          <w:sz w:val="24"/>
          <w:szCs w:val="24"/>
          <w:vertAlign w:val="superscript"/>
        </w:rPr>
        <w:t>rd</w:t>
      </w:r>
      <w:r w:rsidR="00454E6E">
        <w:rPr>
          <w:rFonts w:ascii="Times New Roman" w:hAnsi="Times New Roman" w:cs="Times New Roman"/>
          <w:sz w:val="24"/>
          <w:szCs w:val="24"/>
        </w:rPr>
        <w:t xml:space="preserve"> </w:t>
      </w:r>
      <w:r w:rsidR="0FAF5518" w:rsidRPr="7F52448C">
        <w:rPr>
          <w:rFonts w:ascii="Times New Roman" w:hAnsi="Times New Roman" w:cs="Times New Roman"/>
          <w:sz w:val="24"/>
          <w:szCs w:val="24"/>
        </w:rPr>
        <w:t>stakeholder reporting metric</w:t>
      </w:r>
      <w:r w:rsidR="00454E6E">
        <w:rPr>
          <w:rStyle w:val="FootnoteReference"/>
          <w:rFonts w:ascii="Times New Roman" w:hAnsi="Times New Roman" w:cs="Times New Roman"/>
          <w:sz w:val="24"/>
          <w:szCs w:val="24"/>
        </w:rPr>
        <w:footnoteReference w:id="14"/>
      </w:r>
      <w:r w:rsidR="0FAF5518" w:rsidRPr="7F52448C">
        <w:rPr>
          <w:rFonts w:ascii="Times New Roman" w:hAnsi="Times New Roman" w:cs="Times New Roman"/>
          <w:sz w:val="24"/>
          <w:szCs w:val="24"/>
        </w:rPr>
        <w:t xml:space="preserve"> will not </w:t>
      </w:r>
      <w:r w:rsidR="0FAF5518" w:rsidRPr="7F52448C">
        <w:rPr>
          <w:rFonts w:ascii="Times New Roman" w:hAnsi="Times New Roman" w:cs="Times New Roman"/>
          <w:sz w:val="24"/>
          <w:szCs w:val="24"/>
        </w:rPr>
        <w:lastRenderedPageBreak/>
        <w:t xml:space="preserve">provide clarity on how EDCs are listening and responding to public feedback. The metric as written also will not provide transparency into </w:t>
      </w:r>
      <w:r w:rsidR="00454E6E">
        <w:rPr>
          <w:rFonts w:ascii="Times New Roman" w:hAnsi="Times New Roman" w:cs="Times New Roman"/>
          <w:sz w:val="24"/>
          <w:szCs w:val="24"/>
        </w:rPr>
        <w:t xml:space="preserve">the </w:t>
      </w:r>
      <w:r w:rsidR="0FAF5518" w:rsidRPr="7F52448C">
        <w:rPr>
          <w:rFonts w:ascii="Times New Roman" w:hAnsi="Times New Roman" w:cs="Times New Roman"/>
          <w:sz w:val="24"/>
          <w:szCs w:val="24"/>
        </w:rPr>
        <w:t>EDC</w:t>
      </w:r>
      <w:r w:rsidR="00454E6E">
        <w:rPr>
          <w:rFonts w:ascii="Times New Roman" w:hAnsi="Times New Roman" w:cs="Times New Roman"/>
          <w:sz w:val="24"/>
          <w:szCs w:val="24"/>
        </w:rPr>
        <w:t>s’</w:t>
      </w:r>
      <w:r w:rsidR="0FAF5518" w:rsidRPr="7F52448C">
        <w:rPr>
          <w:rFonts w:ascii="Times New Roman" w:hAnsi="Times New Roman" w:cs="Times New Roman"/>
          <w:sz w:val="24"/>
          <w:szCs w:val="24"/>
        </w:rPr>
        <w:t xml:space="preserve"> </w:t>
      </w:r>
      <w:r w:rsidR="002128E4">
        <w:rPr>
          <w:rFonts w:ascii="Times New Roman" w:hAnsi="Times New Roman" w:cs="Times New Roman"/>
          <w:sz w:val="24"/>
          <w:szCs w:val="24"/>
        </w:rPr>
        <w:t>rationale</w:t>
      </w:r>
      <w:r w:rsidR="002128E4" w:rsidRPr="7F52448C">
        <w:rPr>
          <w:rFonts w:ascii="Times New Roman" w:hAnsi="Times New Roman" w:cs="Times New Roman"/>
          <w:sz w:val="24"/>
          <w:szCs w:val="24"/>
        </w:rPr>
        <w:t xml:space="preserve"> </w:t>
      </w:r>
      <w:r w:rsidR="0FAF5518" w:rsidRPr="7F52448C">
        <w:rPr>
          <w:rFonts w:ascii="Times New Roman" w:hAnsi="Times New Roman" w:cs="Times New Roman"/>
          <w:sz w:val="24"/>
          <w:szCs w:val="24"/>
        </w:rPr>
        <w:t>for decision</w:t>
      </w:r>
      <w:r w:rsidR="002128E4">
        <w:rPr>
          <w:rFonts w:ascii="Times New Roman" w:hAnsi="Times New Roman" w:cs="Times New Roman"/>
          <w:sz w:val="24"/>
          <w:szCs w:val="24"/>
        </w:rPr>
        <w:t>-making.</w:t>
      </w:r>
    </w:p>
    <w:p w14:paraId="092B8EA0" w14:textId="7BE702CC" w:rsidR="0FAF5518" w:rsidRDefault="002128E4" w:rsidP="00DB4A74">
      <w:pPr>
        <w:ind w:firstLine="720"/>
        <w:rPr>
          <w:rFonts w:ascii="Times New Roman" w:hAnsi="Times New Roman" w:cs="Times New Roman"/>
          <w:sz w:val="24"/>
          <w:szCs w:val="24"/>
        </w:rPr>
      </w:pPr>
      <w:r w:rsidRPr="2EF86000">
        <w:rPr>
          <w:rFonts w:ascii="Times New Roman" w:hAnsi="Times New Roman" w:cs="Times New Roman"/>
          <w:sz w:val="24"/>
          <w:szCs w:val="24"/>
        </w:rPr>
        <w:t>In responding to the GMAC’s recommendations on the draft ESMPs, the EDCs prov</w:t>
      </w:r>
      <w:r w:rsidR="00E7071F" w:rsidRPr="2EF86000">
        <w:rPr>
          <w:rFonts w:ascii="Times New Roman" w:hAnsi="Times New Roman" w:cs="Times New Roman"/>
          <w:sz w:val="24"/>
          <w:szCs w:val="24"/>
        </w:rPr>
        <w:t>ided standardized</w:t>
      </w:r>
      <w:r w:rsidR="005356AE" w:rsidRPr="2EF86000">
        <w:rPr>
          <w:rFonts w:ascii="Times New Roman" w:hAnsi="Times New Roman" w:cs="Times New Roman"/>
          <w:sz w:val="24"/>
          <w:szCs w:val="24"/>
        </w:rPr>
        <w:t xml:space="preserve"> categories for their</w:t>
      </w:r>
      <w:r w:rsidR="00E7071F" w:rsidRPr="2EF86000">
        <w:rPr>
          <w:rFonts w:ascii="Times New Roman" w:hAnsi="Times New Roman" w:cs="Times New Roman"/>
          <w:sz w:val="24"/>
          <w:szCs w:val="24"/>
        </w:rPr>
        <w:t xml:space="preserve"> responses </w:t>
      </w:r>
      <w:r w:rsidR="005356AE" w:rsidRPr="2EF86000">
        <w:rPr>
          <w:rFonts w:ascii="Times New Roman" w:hAnsi="Times New Roman" w:cs="Times New Roman"/>
          <w:sz w:val="24"/>
          <w:szCs w:val="24"/>
        </w:rPr>
        <w:t>on integrating GMAC feedback</w:t>
      </w:r>
      <w:r w:rsidR="008D718E" w:rsidRPr="2EF86000">
        <w:rPr>
          <w:rFonts w:ascii="Times New Roman" w:hAnsi="Times New Roman" w:cs="Times New Roman"/>
          <w:sz w:val="24"/>
          <w:szCs w:val="24"/>
        </w:rPr>
        <w:t>, including accepted, accepted but modified, and rejected.</w:t>
      </w:r>
      <w:r w:rsidR="005356AE" w:rsidRPr="2EF86000">
        <w:rPr>
          <w:rFonts w:ascii="Times New Roman" w:hAnsi="Times New Roman" w:cs="Times New Roman"/>
          <w:sz w:val="24"/>
          <w:szCs w:val="24"/>
        </w:rPr>
        <w:t xml:space="preserve"> </w:t>
      </w:r>
      <w:r w:rsidR="008D718E" w:rsidRPr="2EF86000">
        <w:rPr>
          <w:rFonts w:ascii="Times New Roman" w:hAnsi="Times New Roman" w:cs="Times New Roman"/>
          <w:sz w:val="24"/>
          <w:szCs w:val="24"/>
        </w:rPr>
        <w:t>In some cases under this method,</w:t>
      </w:r>
      <w:r w:rsidR="39092FDF" w:rsidRPr="2EF86000">
        <w:rPr>
          <w:rFonts w:ascii="Times New Roman" w:hAnsi="Times New Roman" w:cs="Times New Roman"/>
          <w:sz w:val="24"/>
          <w:szCs w:val="24"/>
        </w:rPr>
        <w:t xml:space="preserve"> </w:t>
      </w:r>
      <w:r w:rsidR="0FAF5518" w:rsidRPr="2EF86000">
        <w:rPr>
          <w:rFonts w:ascii="Times New Roman" w:hAnsi="Times New Roman" w:cs="Times New Roman"/>
          <w:sz w:val="24"/>
          <w:szCs w:val="24"/>
        </w:rPr>
        <w:t xml:space="preserve">the rationale and meaning </w:t>
      </w:r>
      <w:r w:rsidR="0683954A" w:rsidRPr="2EF86000">
        <w:rPr>
          <w:rFonts w:ascii="Times New Roman" w:hAnsi="Times New Roman" w:cs="Times New Roman"/>
          <w:sz w:val="24"/>
          <w:szCs w:val="24"/>
        </w:rPr>
        <w:t xml:space="preserve">behind responses </w:t>
      </w:r>
      <w:r w:rsidR="0FAF5518" w:rsidRPr="2EF86000">
        <w:rPr>
          <w:rFonts w:ascii="Times New Roman" w:hAnsi="Times New Roman" w:cs="Times New Roman"/>
          <w:sz w:val="24"/>
          <w:szCs w:val="24"/>
        </w:rPr>
        <w:t xml:space="preserve">was unclear to Council members. In the Phase </w:t>
      </w:r>
      <w:r w:rsidR="008D718E" w:rsidRPr="2EF86000">
        <w:rPr>
          <w:rFonts w:ascii="Times New Roman" w:hAnsi="Times New Roman" w:cs="Times New Roman"/>
          <w:sz w:val="24"/>
          <w:szCs w:val="24"/>
        </w:rPr>
        <w:t>I ESMP</w:t>
      </w:r>
      <w:r w:rsidR="0FAF5518" w:rsidRPr="2EF86000">
        <w:rPr>
          <w:rFonts w:ascii="Times New Roman" w:hAnsi="Times New Roman" w:cs="Times New Roman"/>
          <w:sz w:val="24"/>
          <w:szCs w:val="24"/>
        </w:rPr>
        <w:t xml:space="preserve"> Order, the DPU</w:t>
      </w:r>
      <w:r w:rsidR="0A8F62D0" w:rsidRPr="2EF86000">
        <w:rPr>
          <w:rFonts w:ascii="Times New Roman" w:hAnsi="Times New Roman" w:cs="Times New Roman"/>
          <w:sz w:val="24"/>
          <w:szCs w:val="24"/>
        </w:rPr>
        <w:t xml:space="preserve"> requested the EDCs provide additional clarity to the GMAC in future responses to comments. We suggest that </w:t>
      </w:r>
      <w:r w:rsidR="43F1D98B" w:rsidRPr="2EF86000">
        <w:rPr>
          <w:rFonts w:ascii="Times New Roman" w:hAnsi="Times New Roman" w:cs="Times New Roman"/>
          <w:sz w:val="24"/>
          <w:szCs w:val="24"/>
        </w:rPr>
        <w:t xml:space="preserve">modifying </w:t>
      </w:r>
      <w:r w:rsidR="0A8F62D0" w:rsidRPr="2EF86000">
        <w:rPr>
          <w:rFonts w:ascii="Times New Roman" w:hAnsi="Times New Roman" w:cs="Times New Roman"/>
          <w:sz w:val="24"/>
          <w:szCs w:val="24"/>
        </w:rPr>
        <w:t xml:space="preserve">this </w:t>
      </w:r>
      <w:r w:rsidR="4D3E5069" w:rsidRPr="2EF86000">
        <w:rPr>
          <w:rFonts w:ascii="Times New Roman" w:hAnsi="Times New Roman" w:cs="Times New Roman"/>
          <w:sz w:val="24"/>
          <w:szCs w:val="24"/>
        </w:rPr>
        <w:t xml:space="preserve">metric would also be </w:t>
      </w:r>
      <w:r w:rsidR="0A8F62D0" w:rsidRPr="2EF86000">
        <w:rPr>
          <w:rFonts w:ascii="Times New Roman" w:hAnsi="Times New Roman" w:cs="Times New Roman"/>
          <w:sz w:val="24"/>
          <w:szCs w:val="24"/>
        </w:rPr>
        <w:t>an opportuni</w:t>
      </w:r>
      <w:r w:rsidR="5BEFAB81" w:rsidRPr="2EF86000">
        <w:rPr>
          <w:rFonts w:ascii="Times New Roman" w:hAnsi="Times New Roman" w:cs="Times New Roman"/>
          <w:sz w:val="24"/>
          <w:szCs w:val="24"/>
        </w:rPr>
        <w:t>t</w:t>
      </w:r>
      <w:r w:rsidR="0A8F62D0" w:rsidRPr="2EF86000">
        <w:rPr>
          <w:rFonts w:ascii="Times New Roman" w:hAnsi="Times New Roman" w:cs="Times New Roman"/>
          <w:sz w:val="24"/>
          <w:szCs w:val="24"/>
        </w:rPr>
        <w:t>y to provide additional clarity to communities</w:t>
      </w:r>
      <w:r w:rsidR="3777B890" w:rsidRPr="2EF86000">
        <w:rPr>
          <w:rFonts w:ascii="Times New Roman" w:hAnsi="Times New Roman" w:cs="Times New Roman"/>
          <w:sz w:val="24"/>
          <w:szCs w:val="24"/>
        </w:rPr>
        <w:t xml:space="preserve"> b</w:t>
      </w:r>
      <w:r w:rsidR="50D43554" w:rsidRPr="2EF86000">
        <w:rPr>
          <w:rFonts w:ascii="Times New Roman" w:hAnsi="Times New Roman" w:cs="Times New Roman"/>
          <w:sz w:val="24"/>
          <w:szCs w:val="24"/>
        </w:rPr>
        <w:t>y</w:t>
      </w:r>
      <w:r w:rsidR="3777B890" w:rsidRPr="2EF86000">
        <w:rPr>
          <w:rFonts w:ascii="Times New Roman" w:hAnsi="Times New Roman" w:cs="Times New Roman"/>
          <w:sz w:val="24"/>
          <w:szCs w:val="24"/>
        </w:rPr>
        <w:t xml:space="preserve"> requiring more substantive public responses to feedback to recognize their concerns. </w:t>
      </w:r>
    </w:p>
    <w:p w14:paraId="0B2F4422" w14:textId="716F44A7" w:rsidR="227515F5" w:rsidRDefault="227515F5" w:rsidP="7F52448C">
      <w:pPr>
        <w:rPr>
          <w:rFonts w:ascii="Times New Roman" w:hAnsi="Times New Roman" w:cs="Times New Roman"/>
          <w:i/>
          <w:iCs/>
          <w:sz w:val="24"/>
          <w:szCs w:val="24"/>
        </w:rPr>
      </w:pPr>
      <w:r w:rsidRPr="7F52448C">
        <w:rPr>
          <w:rFonts w:ascii="Times New Roman" w:hAnsi="Times New Roman" w:cs="Times New Roman"/>
          <w:i/>
          <w:iCs/>
          <w:sz w:val="24"/>
          <w:szCs w:val="24"/>
        </w:rPr>
        <w:t>Biannual Report</w:t>
      </w:r>
    </w:p>
    <w:p w14:paraId="142C47BF" w14:textId="796201C1" w:rsidR="3F44A17D" w:rsidRDefault="0FAF5518" w:rsidP="008D718E">
      <w:pPr>
        <w:ind w:firstLine="720"/>
        <w:rPr>
          <w:rFonts w:ascii="Times New Roman" w:hAnsi="Times New Roman" w:cs="Times New Roman"/>
          <w:sz w:val="24"/>
          <w:szCs w:val="24"/>
        </w:rPr>
      </w:pPr>
      <w:r w:rsidRPr="2EF86000">
        <w:rPr>
          <w:rFonts w:ascii="Times New Roman" w:hAnsi="Times New Roman" w:cs="Times New Roman"/>
          <w:sz w:val="24"/>
          <w:szCs w:val="24"/>
        </w:rPr>
        <w:t>In addition to</w:t>
      </w:r>
      <w:r w:rsidR="1574E6AA" w:rsidRPr="2EF86000">
        <w:rPr>
          <w:rFonts w:ascii="Times New Roman" w:hAnsi="Times New Roman" w:cs="Times New Roman"/>
          <w:sz w:val="24"/>
          <w:szCs w:val="24"/>
        </w:rPr>
        <w:t xml:space="preserve"> adjusting </w:t>
      </w:r>
      <w:r w:rsidR="5D5E854F" w:rsidRPr="2EF86000">
        <w:rPr>
          <w:rFonts w:ascii="Times New Roman" w:hAnsi="Times New Roman" w:cs="Times New Roman"/>
          <w:sz w:val="24"/>
          <w:szCs w:val="24"/>
        </w:rPr>
        <w:t>the third stakeholder metric to include justifications for responses</w:t>
      </w:r>
      <w:r w:rsidRPr="2EF86000">
        <w:rPr>
          <w:rFonts w:ascii="Times New Roman" w:hAnsi="Times New Roman" w:cs="Times New Roman"/>
          <w:sz w:val="24"/>
          <w:szCs w:val="24"/>
        </w:rPr>
        <w:t>,</w:t>
      </w:r>
      <w:r w:rsidR="07DBA6FE" w:rsidRPr="2EF86000">
        <w:rPr>
          <w:rFonts w:ascii="Times New Roman" w:hAnsi="Times New Roman" w:cs="Times New Roman"/>
          <w:sz w:val="24"/>
          <w:szCs w:val="24"/>
        </w:rPr>
        <w:t xml:space="preserve"> </w:t>
      </w:r>
      <w:r w:rsidRPr="2EF86000">
        <w:rPr>
          <w:rFonts w:ascii="Times New Roman" w:hAnsi="Times New Roman" w:cs="Times New Roman"/>
          <w:sz w:val="24"/>
          <w:szCs w:val="24"/>
        </w:rPr>
        <w:t xml:space="preserve">the </w:t>
      </w:r>
      <w:r w:rsidR="6D8E02C0" w:rsidRPr="2EF86000">
        <w:rPr>
          <w:rFonts w:ascii="Times New Roman" w:hAnsi="Times New Roman" w:cs="Times New Roman"/>
          <w:sz w:val="24"/>
          <w:szCs w:val="24"/>
        </w:rPr>
        <w:t>biannual report</w:t>
      </w:r>
      <w:r w:rsidRPr="2EF86000">
        <w:rPr>
          <w:rFonts w:ascii="Times New Roman" w:hAnsi="Times New Roman" w:cs="Times New Roman"/>
          <w:sz w:val="24"/>
          <w:szCs w:val="24"/>
        </w:rPr>
        <w:t xml:space="preserve"> </w:t>
      </w:r>
      <w:r w:rsidR="3D53BBC7" w:rsidRPr="2EF86000">
        <w:rPr>
          <w:rFonts w:ascii="Times New Roman" w:hAnsi="Times New Roman" w:cs="Times New Roman"/>
          <w:sz w:val="24"/>
          <w:szCs w:val="24"/>
        </w:rPr>
        <w:t xml:space="preserve">could be used </w:t>
      </w:r>
      <w:r w:rsidRPr="2EF86000">
        <w:rPr>
          <w:rFonts w:ascii="Times New Roman" w:hAnsi="Times New Roman" w:cs="Times New Roman"/>
          <w:sz w:val="24"/>
          <w:szCs w:val="24"/>
        </w:rPr>
        <w:t xml:space="preserve">to summarize major themes from stakeholder engagement meetings and how the </w:t>
      </w:r>
      <w:r w:rsidR="5FDF654A" w:rsidRPr="2EF86000">
        <w:rPr>
          <w:rFonts w:ascii="Times New Roman" w:hAnsi="Times New Roman" w:cs="Times New Roman"/>
          <w:sz w:val="24"/>
          <w:szCs w:val="24"/>
        </w:rPr>
        <w:t>EDCs</w:t>
      </w:r>
      <w:r w:rsidRPr="2EF86000">
        <w:rPr>
          <w:rFonts w:ascii="Times New Roman" w:hAnsi="Times New Roman" w:cs="Times New Roman"/>
          <w:sz w:val="24"/>
          <w:szCs w:val="24"/>
        </w:rPr>
        <w:t xml:space="preserve"> </w:t>
      </w:r>
      <w:r w:rsidR="008D718E" w:rsidRPr="2EF86000">
        <w:rPr>
          <w:rFonts w:ascii="Times New Roman" w:hAnsi="Times New Roman" w:cs="Times New Roman"/>
          <w:sz w:val="24"/>
          <w:szCs w:val="24"/>
        </w:rPr>
        <w:t xml:space="preserve">intend </w:t>
      </w:r>
      <w:r w:rsidRPr="2EF86000">
        <w:rPr>
          <w:rFonts w:ascii="Times New Roman" w:hAnsi="Times New Roman" w:cs="Times New Roman"/>
          <w:sz w:val="24"/>
          <w:szCs w:val="24"/>
        </w:rPr>
        <w:t>to respond to</w:t>
      </w:r>
      <w:r w:rsidR="66ABCA63" w:rsidRPr="2EF86000">
        <w:rPr>
          <w:rFonts w:ascii="Times New Roman" w:hAnsi="Times New Roman" w:cs="Times New Roman"/>
          <w:sz w:val="24"/>
          <w:szCs w:val="24"/>
        </w:rPr>
        <w:t xml:space="preserve"> community feedback.</w:t>
      </w:r>
      <w:r w:rsidR="008D718E" w:rsidRPr="2EF86000">
        <w:rPr>
          <w:rFonts w:ascii="Times New Roman" w:hAnsi="Times New Roman" w:cs="Times New Roman"/>
          <w:sz w:val="24"/>
          <w:szCs w:val="24"/>
        </w:rPr>
        <w:t xml:space="preserve"> The EWG </w:t>
      </w:r>
      <w:r w:rsidR="66ABCA63" w:rsidRPr="2EF86000">
        <w:rPr>
          <w:rFonts w:ascii="Times New Roman" w:hAnsi="Times New Roman" w:cs="Times New Roman"/>
          <w:sz w:val="24"/>
          <w:szCs w:val="24"/>
        </w:rPr>
        <w:t>reemphasize</w:t>
      </w:r>
      <w:r w:rsidR="008D718E" w:rsidRPr="2EF86000">
        <w:rPr>
          <w:rFonts w:ascii="Times New Roman" w:hAnsi="Times New Roman" w:cs="Times New Roman"/>
          <w:sz w:val="24"/>
          <w:szCs w:val="24"/>
        </w:rPr>
        <w:t>s</w:t>
      </w:r>
      <w:r w:rsidR="66ABCA63" w:rsidRPr="2EF86000">
        <w:rPr>
          <w:rFonts w:ascii="Times New Roman" w:hAnsi="Times New Roman" w:cs="Times New Roman"/>
          <w:sz w:val="24"/>
          <w:szCs w:val="24"/>
        </w:rPr>
        <w:t xml:space="preserve"> the importance of CBAs </w:t>
      </w:r>
      <w:r w:rsidRPr="2EF86000">
        <w:rPr>
          <w:rFonts w:ascii="Times New Roman" w:hAnsi="Times New Roman" w:cs="Times New Roman"/>
          <w:sz w:val="24"/>
          <w:szCs w:val="24"/>
        </w:rPr>
        <w:t xml:space="preserve">as a way for </w:t>
      </w:r>
      <w:r w:rsidR="008D718E" w:rsidRPr="2EF86000">
        <w:rPr>
          <w:rFonts w:ascii="Times New Roman" w:hAnsi="Times New Roman" w:cs="Times New Roman"/>
          <w:sz w:val="24"/>
          <w:szCs w:val="24"/>
        </w:rPr>
        <w:t xml:space="preserve">the EDCs </w:t>
      </w:r>
      <w:r w:rsidRPr="2EF86000">
        <w:rPr>
          <w:rFonts w:ascii="Times New Roman" w:hAnsi="Times New Roman" w:cs="Times New Roman"/>
          <w:sz w:val="24"/>
          <w:szCs w:val="24"/>
        </w:rPr>
        <w:t xml:space="preserve">to build bridges with </w:t>
      </w:r>
      <w:r w:rsidR="008D718E" w:rsidRPr="2EF86000">
        <w:rPr>
          <w:rFonts w:ascii="Times New Roman" w:hAnsi="Times New Roman" w:cs="Times New Roman"/>
          <w:sz w:val="24"/>
          <w:szCs w:val="24"/>
        </w:rPr>
        <w:t>EJCs</w:t>
      </w:r>
      <w:r w:rsidR="4B036BF5" w:rsidRPr="2EF86000">
        <w:rPr>
          <w:rFonts w:ascii="Times New Roman" w:hAnsi="Times New Roman" w:cs="Times New Roman"/>
          <w:sz w:val="24"/>
          <w:szCs w:val="24"/>
        </w:rPr>
        <w:t xml:space="preserve">. </w:t>
      </w:r>
      <w:r w:rsidR="008D718E" w:rsidRPr="2EF86000">
        <w:rPr>
          <w:rFonts w:ascii="Times New Roman" w:hAnsi="Times New Roman" w:cs="Times New Roman"/>
          <w:sz w:val="24"/>
          <w:szCs w:val="24"/>
        </w:rPr>
        <w:t>The EWG</w:t>
      </w:r>
      <w:r w:rsidRPr="2EF86000">
        <w:rPr>
          <w:rFonts w:ascii="Times New Roman" w:hAnsi="Times New Roman" w:cs="Times New Roman"/>
          <w:sz w:val="24"/>
          <w:szCs w:val="24"/>
        </w:rPr>
        <w:t xml:space="preserve"> </w:t>
      </w:r>
      <w:r w:rsidR="008D718E" w:rsidRPr="2EF86000">
        <w:rPr>
          <w:rFonts w:ascii="Times New Roman" w:hAnsi="Times New Roman" w:cs="Times New Roman"/>
          <w:sz w:val="24"/>
          <w:szCs w:val="24"/>
        </w:rPr>
        <w:t xml:space="preserve">reaffirms its </w:t>
      </w:r>
      <w:r w:rsidR="7EA0097F" w:rsidRPr="2EF86000">
        <w:rPr>
          <w:rFonts w:ascii="Times New Roman" w:hAnsi="Times New Roman" w:cs="Times New Roman"/>
          <w:sz w:val="24"/>
          <w:szCs w:val="24"/>
        </w:rPr>
        <w:t>recommend</w:t>
      </w:r>
      <w:r w:rsidR="008D718E" w:rsidRPr="2EF86000">
        <w:rPr>
          <w:rFonts w:ascii="Times New Roman" w:hAnsi="Times New Roman" w:cs="Times New Roman"/>
          <w:sz w:val="24"/>
          <w:szCs w:val="24"/>
        </w:rPr>
        <w:t>ation for the EDCs to provide</w:t>
      </w:r>
      <w:r w:rsidRPr="2EF86000">
        <w:rPr>
          <w:rFonts w:ascii="Times New Roman" w:hAnsi="Times New Roman" w:cs="Times New Roman"/>
          <w:sz w:val="24"/>
          <w:szCs w:val="24"/>
        </w:rPr>
        <w:t xml:space="preserve"> summary repor</w:t>
      </w:r>
      <w:r w:rsidR="008D718E" w:rsidRPr="2EF86000">
        <w:rPr>
          <w:rFonts w:ascii="Times New Roman" w:hAnsi="Times New Roman" w:cs="Times New Roman"/>
          <w:sz w:val="24"/>
          <w:szCs w:val="24"/>
        </w:rPr>
        <w:t>ts</w:t>
      </w:r>
      <w:r w:rsidRPr="2EF86000">
        <w:rPr>
          <w:rFonts w:ascii="Times New Roman" w:hAnsi="Times New Roman" w:cs="Times New Roman"/>
          <w:sz w:val="24"/>
          <w:szCs w:val="24"/>
        </w:rPr>
        <w:t xml:space="preserve"> on CBA</w:t>
      </w:r>
      <w:r w:rsidR="4D3332E8" w:rsidRPr="2EF86000">
        <w:rPr>
          <w:rFonts w:ascii="Times New Roman" w:hAnsi="Times New Roman" w:cs="Times New Roman"/>
          <w:sz w:val="24"/>
          <w:szCs w:val="24"/>
        </w:rPr>
        <w:t>s</w:t>
      </w:r>
      <w:r w:rsidRPr="2EF86000">
        <w:rPr>
          <w:rFonts w:ascii="Times New Roman" w:hAnsi="Times New Roman" w:cs="Times New Roman"/>
          <w:sz w:val="24"/>
          <w:szCs w:val="24"/>
        </w:rPr>
        <w:t xml:space="preserve"> </w:t>
      </w:r>
      <w:r w:rsidR="4A7DAD53" w:rsidRPr="2EF86000">
        <w:rPr>
          <w:rFonts w:ascii="Times New Roman" w:hAnsi="Times New Roman" w:cs="Times New Roman"/>
          <w:sz w:val="24"/>
          <w:szCs w:val="24"/>
        </w:rPr>
        <w:t xml:space="preserve">and </w:t>
      </w:r>
      <w:r w:rsidR="0770685D" w:rsidRPr="2EF86000">
        <w:rPr>
          <w:rFonts w:ascii="Times New Roman" w:hAnsi="Times New Roman" w:cs="Times New Roman"/>
          <w:sz w:val="24"/>
          <w:szCs w:val="24"/>
        </w:rPr>
        <w:t>the benefits</w:t>
      </w:r>
      <w:r w:rsidR="17617865" w:rsidRPr="2EF86000">
        <w:rPr>
          <w:rFonts w:ascii="Times New Roman" w:hAnsi="Times New Roman" w:cs="Times New Roman"/>
          <w:sz w:val="24"/>
          <w:szCs w:val="24"/>
        </w:rPr>
        <w:t xml:space="preserve"> </w:t>
      </w:r>
      <w:r w:rsidRPr="2EF86000">
        <w:rPr>
          <w:rFonts w:ascii="Times New Roman" w:hAnsi="Times New Roman" w:cs="Times New Roman"/>
          <w:sz w:val="24"/>
          <w:szCs w:val="24"/>
        </w:rPr>
        <w:t>EJ</w:t>
      </w:r>
      <w:r w:rsidR="008D718E" w:rsidRPr="2EF86000">
        <w:rPr>
          <w:rFonts w:ascii="Times New Roman" w:hAnsi="Times New Roman" w:cs="Times New Roman"/>
          <w:sz w:val="24"/>
          <w:szCs w:val="24"/>
        </w:rPr>
        <w:t>C</w:t>
      </w:r>
      <w:r w:rsidRPr="2EF86000">
        <w:rPr>
          <w:rFonts w:ascii="Times New Roman" w:hAnsi="Times New Roman" w:cs="Times New Roman"/>
          <w:sz w:val="24"/>
          <w:szCs w:val="24"/>
        </w:rPr>
        <w:t xml:space="preserve">s </w:t>
      </w:r>
      <w:r w:rsidR="6463D40F" w:rsidRPr="2EF86000">
        <w:rPr>
          <w:rFonts w:ascii="Times New Roman" w:hAnsi="Times New Roman" w:cs="Times New Roman"/>
          <w:sz w:val="24"/>
          <w:szCs w:val="24"/>
        </w:rPr>
        <w:t>are receiving from CBAs</w:t>
      </w:r>
      <w:r w:rsidRPr="2EF86000">
        <w:rPr>
          <w:rFonts w:ascii="Times New Roman" w:hAnsi="Times New Roman" w:cs="Times New Roman"/>
          <w:sz w:val="24"/>
          <w:szCs w:val="24"/>
        </w:rPr>
        <w:t xml:space="preserve"> for both transparency to the public and information sharing across communities.</w:t>
      </w:r>
      <w:r w:rsidR="00AF5BA7" w:rsidRPr="2EF86000">
        <w:rPr>
          <w:rFonts w:ascii="Times New Roman" w:hAnsi="Times New Roman" w:cs="Times New Roman"/>
          <w:sz w:val="24"/>
          <w:szCs w:val="24"/>
        </w:rPr>
        <w:t xml:space="preserve"> </w:t>
      </w:r>
      <w:r w:rsidR="3F44A17D" w:rsidRPr="2EF86000">
        <w:rPr>
          <w:rFonts w:ascii="Times New Roman" w:hAnsi="Times New Roman" w:cs="Times New Roman"/>
          <w:sz w:val="24"/>
          <w:szCs w:val="24"/>
        </w:rPr>
        <w:t>We look forward to continued collaboration with the EDCs on th</w:t>
      </w:r>
      <w:r w:rsidR="276F2689" w:rsidRPr="2EF86000">
        <w:rPr>
          <w:rFonts w:ascii="Times New Roman" w:hAnsi="Times New Roman" w:cs="Times New Roman"/>
          <w:sz w:val="24"/>
          <w:szCs w:val="24"/>
        </w:rPr>
        <w:t>ese</w:t>
      </w:r>
      <w:r w:rsidR="3F44A17D" w:rsidRPr="2EF86000">
        <w:rPr>
          <w:rFonts w:ascii="Times New Roman" w:hAnsi="Times New Roman" w:cs="Times New Roman"/>
          <w:sz w:val="24"/>
          <w:szCs w:val="24"/>
        </w:rPr>
        <w:t xml:space="preserve"> topic</w:t>
      </w:r>
      <w:r w:rsidR="786722E2" w:rsidRPr="2EF86000">
        <w:rPr>
          <w:rFonts w:ascii="Times New Roman" w:hAnsi="Times New Roman" w:cs="Times New Roman"/>
          <w:sz w:val="24"/>
          <w:szCs w:val="24"/>
        </w:rPr>
        <w:t>s</w:t>
      </w:r>
      <w:r w:rsidR="3F44A17D" w:rsidRPr="2EF86000">
        <w:rPr>
          <w:rFonts w:ascii="Times New Roman" w:hAnsi="Times New Roman" w:cs="Times New Roman"/>
          <w:sz w:val="24"/>
          <w:szCs w:val="24"/>
        </w:rPr>
        <w:t xml:space="preserve"> in the future.</w:t>
      </w:r>
    </w:p>
    <w:p w14:paraId="7078C499" w14:textId="77777777" w:rsidR="003D248F" w:rsidRDefault="003D248F" w:rsidP="7F52448C">
      <w:pPr>
        <w:rPr>
          <w:rFonts w:ascii="Times New Roman" w:hAnsi="Times New Roman" w:cs="Times New Roman"/>
          <w:sz w:val="24"/>
          <w:szCs w:val="24"/>
        </w:rPr>
      </w:pPr>
    </w:p>
    <w:p w14:paraId="349311C7" w14:textId="00D46D7B" w:rsidR="3F44A17D" w:rsidRDefault="3F44A17D" w:rsidP="7F52448C">
      <w:pPr>
        <w:rPr>
          <w:rFonts w:ascii="Times New Roman" w:hAnsi="Times New Roman" w:cs="Times New Roman"/>
          <w:sz w:val="24"/>
          <w:szCs w:val="24"/>
        </w:rPr>
      </w:pPr>
      <w:r w:rsidRPr="7F52448C">
        <w:rPr>
          <w:rFonts w:ascii="Times New Roman" w:hAnsi="Times New Roman" w:cs="Times New Roman"/>
          <w:sz w:val="24"/>
          <w:szCs w:val="24"/>
        </w:rPr>
        <w:t>Sincerely,</w:t>
      </w:r>
    </w:p>
    <w:p w14:paraId="481C592D" w14:textId="5347A3B0" w:rsidR="3F44A17D" w:rsidRDefault="3F44A17D" w:rsidP="7F52448C">
      <w:pPr>
        <w:rPr>
          <w:rFonts w:ascii="Times New Roman" w:hAnsi="Times New Roman" w:cs="Times New Roman"/>
          <w:sz w:val="24"/>
          <w:szCs w:val="24"/>
        </w:rPr>
      </w:pPr>
      <w:r w:rsidRPr="7F52448C">
        <w:rPr>
          <w:rFonts w:ascii="Times New Roman" w:hAnsi="Times New Roman" w:cs="Times New Roman"/>
          <w:sz w:val="24"/>
          <w:szCs w:val="24"/>
        </w:rPr>
        <w:t>The GMAC Equity Working Group</w:t>
      </w:r>
    </w:p>
    <w:p w14:paraId="2145E4F2" w14:textId="77777777" w:rsidR="00AD1CCA" w:rsidRDefault="00AD1CCA" w:rsidP="00AD1CCA"/>
    <w:p w14:paraId="1819721A" w14:textId="77777777" w:rsidR="00AD1CCA" w:rsidRDefault="00AD1CCA" w:rsidP="00AD1CCA"/>
    <w:p w14:paraId="2DA07EBB" w14:textId="77777777" w:rsidR="00AD1CCA" w:rsidRDefault="00AD1CCA" w:rsidP="00AD1CCA"/>
    <w:p w14:paraId="36B165E2" w14:textId="77777777" w:rsidR="006A1CC9" w:rsidRDefault="006A1CC9" w:rsidP="00AD1CCA"/>
    <w:p w14:paraId="1FD700B6" w14:textId="77777777" w:rsidR="006A1CC9" w:rsidRDefault="006A1CC9" w:rsidP="00AD1CCA"/>
    <w:p w14:paraId="7DD47F27" w14:textId="233B1BA6" w:rsidR="00AF5BA7" w:rsidRPr="00AD1CCA" w:rsidRDefault="3F44A17D" w:rsidP="00AD1CCA">
      <w:r w:rsidRPr="2EF86000">
        <w:rPr>
          <w:rFonts w:ascii="Times New Roman" w:hAnsi="Times New Roman" w:cs="Times New Roman"/>
          <w:b/>
          <w:bCs/>
          <w:sz w:val="24"/>
          <w:szCs w:val="24"/>
        </w:rPr>
        <w:t>Appendix</w:t>
      </w:r>
      <w:r w:rsidR="7CEF3B69" w:rsidRPr="2EF86000">
        <w:rPr>
          <w:rFonts w:ascii="Times New Roman" w:hAnsi="Times New Roman" w:cs="Times New Roman"/>
          <w:b/>
          <w:bCs/>
          <w:sz w:val="24"/>
          <w:szCs w:val="24"/>
        </w:rPr>
        <w:t xml:space="preserve"> 1- </w:t>
      </w:r>
      <w:r w:rsidR="69CC2CC5" w:rsidRPr="2EF86000">
        <w:rPr>
          <w:rFonts w:ascii="Times New Roman" w:hAnsi="Times New Roman" w:cs="Times New Roman"/>
          <w:b/>
          <w:bCs/>
          <w:sz w:val="24"/>
          <w:szCs w:val="24"/>
        </w:rPr>
        <w:t xml:space="preserve">How Current </w:t>
      </w:r>
      <w:r w:rsidR="3DBB975A" w:rsidRPr="2EF86000">
        <w:rPr>
          <w:rFonts w:ascii="Times New Roman" w:hAnsi="Times New Roman" w:cs="Times New Roman"/>
          <w:b/>
          <w:bCs/>
          <w:sz w:val="24"/>
          <w:szCs w:val="24"/>
        </w:rPr>
        <w:t xml:space="preserve">EDC </w:t>
      </w:r>
      <w:r w:rsidR="69CC2CC5" w:rsidRPr="2EF86000">
        <w:rPr>
          <w:rFonts w:ascii="Times New Roman" w:hAnsi="Times New Roman" w:cs="Times New Roman"/>
          <w:b/>
          <w:bCs/>
          <w:sz w:val="24"/>
          <w:szCs w:val="24"/>
        </w:rPr>
        <w:t xml:space="preserve">Proposal Responds to </w:t>
      </w:r>
      <w:r w:rsidR="4428749A" w:rsidRPr="2EF86000">
        <w:rPr>
          <w:rFonts w:ascii="Times New Roman" w:hAnsi="Times New Roman" w:cs="Times New Roman"/>
          <w:b/>
          <w:bCs/>
          <w:sz w:val="24"/>
          <w:szCs w:val="24"/>
        </w:rPr>
        <w:t>Previous</w:t>
      </w:r>
      <w:r w:rsidR="69CC2CC5" w:rsidRPr="2EF86000">
        <w:rPr>
          <w:rFonts w:ascii="Times New Roman" w:hAnsi="Times New Roman" w:cs="Times New Roman"/>
          <w:b/>
          <w:bCs/>
          <w:sz w:val="24"/>
          <w:szCs w:val="24"/>
        </w:rPr>
        <w:t xml:space="preserve"> EWG Metrics Suggestions</w:t>
      </w:r>
    </w:p>
    <w:p w14:paraId="27953937" w14:textId="75510660" w:rsidR="00D13258" w:rsidRPr="00D13258" w:rsidRDefault="00D13258" w:rsidP="00AD1CC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following table provides </w:t>
      </w:r>
      <w:r w:rsidR="005820AF">
        <w:rPr>
          <w:rFonts w:ascii="Times New Roman" w:hAnsi="Times New Roman" w:cs="Times New Roman"/>
          <w:sz w:val="24"/>
          <w:szCs w:val="24"/>
        </w:rPr>
        <w:t>a high-level overview of</w:t>
      </w:r>
      <w:r w:rsidR="00A54A5B">
        <w:rPr>
          <w:rFonts w:ascii="Times New Roman" w:hAnsi="Times New Roman" w:cs="Times New Roman"/>
          <w:sz w:val="24"/>
          <w:szCs w:val="24"/>
        </w:rPr>
        <w:t xml:space="preserve"> categories of metrics that </w:t>
      </w:r>
      <w:r w:rsidR="00F82AC6">
        <w:rPr>
          <w:rFonts w:ascii="Times New Roman" w:hAnsi="Times New Roman" w:cs="Times New Roman"/>
          <w:sz w:val="24"/>
          <w:szCs w:val="24"/>
        </w:rPr>
        <w:t>are or are not currently re</w:t>
      </w:r>
      <w:r w:rsidR="00233E71">
        <w:rPr>
          <w:rFonts w:ascii="Times New Roman" w:hAnsi="Times New Roman" w:cs="Times New Roman"/>
          <w:sz w:val="24"/>
          <w:szCs w:val="24"/>
        </w:rPr>
        <w:t xml:space="preserve">presented in current EDC reports or </w:t>
      </w:r>
      <w:r w:rsidR="00262039">
        <w:rPr>
          <w:rFonts w:ascii="Times New Roman" w:hAnsi="Times New Roman" w:cs="Times New Roman"/>
          <w:sz w:val="24"/>
          <w:szCs w:val="24"/>
        </w:rPr>
        <w:t>proposed in ESMP phase II. Th</w:t>
      </w:r>
      <w:r w:rsidR="00872A44">
        <w:rPr>
          <w:rFonts w:ascii="Times New Roman" w:hAnsi="Times New Roman" w:cs="Times New Roman"/>
          <w:sz w:val="24"/>
          <w:szCs w:val="24"/>
        </w:rPr>
        <w:t>e full list of metrics included in the original EWG comments are</w:t>
      </w:r>
      <w:r w:rsidR="00986D25">
        <w:rPr>
          <w:rFonts w:ascii="Times New Roman" w:hAnsi="Times New Roman" w:cs="Times New Roman"/>
          <w:sz w:val="24"/>
          <w:szCs w:val="24"/>
        </w:rPr>
        <w:t xml:space="preserve"> not intended to be prescriptive, but illustrative of the types of metrics the EWG </w:t>
      </w:r>
      <w:r w:rsidR="00A94469">
        <w:rPr>
          <w:rFonts w:ascii="Times New Roman" w:hAnsi="Times New Roman" w:cs="Times New Roman"/>
          <w:sz w:val="24"/>
          <w:szCs w:val="24"/>
        </w:rPr>
        <w:t xml:space="preserve">recommends are explored. The EWG welcomes further conversations to </w:t>
      </w:r>
      <w:r w:rsidR="00E26948">
        <w:rPr>
          <w:rFonts w:ascii="Times New Roman" w:hAnsi="Times New Roman" w:cs="Times New Roman"/>
          <w:sz w:val="24"/>
          <w:szCs w:val="24"/>
        </w:rPr>
        <w:t xml:space="preserve">discuss further development of ESMP metrics. </w:t>
      </w:r>
    </w:p>
    <w:tbl>
      <w:tblPr>
        <w:tblStyle w:val="TableGrid"/>
        <w:tblW w:w="9360" w:type="dxa"/>
        <w:tblLayout w:type="fixed"/>
        <w:tblLook w:val="06A0" w:firstRow="1" w:lastRow="0" w:firstColumn="1" w:lastColumn="0" w:noHBand="1" w:noVBand="1"/>
      </w:tblPr>
      <w:tblGrid>
        <w:gridCol w:w="2055"/>
        <w:gridCol w:w="3330"/>
        <w:gridCol w:w="3975"/>
      </w:tblGrid>
      <w:tr w:rsidR="7F52448C" w14:paraId="13B7CB73" w14:textId="77777777" w:rsidTr="2EF86000">
        <w:trPr>
          <w:trHeight w:val="300"/>
        </w:trPr>
        <w:tc>
          <w:tcPr>
            <w:tcW w:w="2055" w:type="dxa"/>
          </w:tcPr>
          <w:p w14:paraId="22C660FB" w14:textId="5739FB87" w:rsidR="2AC6A05A" w:rsidRDefault="4CF52272" w:rsidP="2EF86000">
            <w:pPr>
              <w:jc w:val="center"/>
              <w:rPr>
                <w:rFonts w:ascii="Times New Roman" w:hAnsi="Times New Roman" w:cs="Times New Roman"/>
                <w:b/>
                <w:bCs/>
              </w:rPr>
            </w:pPr>
            <w:r w:rsidRPr="2EF86000">
              <w:rPr>
                <w:rFonts w:ascii="Times New Roman" w:hAnsi="Times New Roman" w:cs="Times New Roman"/>
                <w:b/>
                <w:bCs/>
              </w:rPr>
              <w:t>Metrics</w:t>
            </w:r>
            <w:r w:rsidR="3F44A17D" w:rsidRPr="2EF86000">
              <w:rPr>
                <w:rFonts w:ascii="Times New Roman" w:hAnsi="Times New Roman" w:cs="Times New Roman"/>
                <w:b/>
                <w:bCs/>
              </w:rPr>
              <w:t xml:space="preserve"> </w:t>
            </w:r>
            <w:r w:rsidR="7EE48C5E" w:rsidRPr="2EF86000">
              <w:rPr>
                <w:rFonts w:ascii="Times New Roman" w:hAnsi="Times New Roman" w:cs="Times New Roman"/>
                <w:b/>
                <w:bCs/>
              </w:rPr>
              <w:t xml:space="preserve">Categories from Original </w:t>
            </w:r>
            <w:r w:rsidR="3F44A17D" w:rsidRPr="2EF86000">
              <w:rPr>
                <w:rFonts w:ascii="Times New Roman" w:hAnsi="Times New Roman" w:cs="Times New Roman"/>
                <w:b/>
                <w:bCs/>
              </w:rPr>
              <w:t>EWG Comments</w:t>
            </w:r>
          </w:p>
        </w:tc>
        <w:tc>
          <w:tcPr>
            <w:tcW w:w="3330" w:type="dxa"/>
          </w:tcPr>
          <w:p w14:paraId="04CDD835" w14:textId="261991CF" w:rsidR="7BE09E2A" w:rsidRDefault="51B8D19B" w:rsidP="2EF86000">
            <w:pPr>
              <w:jc w:val="center"/>
              <w:rPr>
                <w:rFonts w:ascii="Times New Roman" w:hAnsi="Times New Roman" w:cs="Times New Roman"/>
                <w:b/>
                <w:bCs/>
              </w:rPr>
            </w:pPr>
            <w:r w:rsidRPr="2EF86000">
              <w:rPr>
                <w:rFonts w:ascii="Times New Roman" w:hAnsi="Times New Roman" w:cs="Times New Roman"/>
                <w:b/>
                <w:bCs/>
              </w:rPr>
              <w:t xml:space="preserve">Are there metrics in this category between proposed </w:t>
            </w:r>
            <w:r w:rsidR="21332761" w:rsidRPr="2EF86000">
              <w:rPr>
                <w:rFonts w:ascii="Times New Roman" w:hAnsi="Times New Roman" w:cs="Times New Roman"/>
                <w:b/>
                <w:bCs/>
              </w:rPr>
              <w:t xml:space="preserve">ESMP </w:t>
            </w:r>
            <w:r w:rsidRPr="2EF86000">
              <w:rPr>
                <w:rFonts w:ascii="Times New Roman" w:hAnsi="Times New Roman" w:cs="Times New Roman"/>
                <w:b/>
                <w:bCs/>
              </w:rPr>
              <w:t>metrics, existing metrics</w:t>
            </w:r>
            <w:r w:rsidR="21332761" w:rsidRPr="2EF86000">
              <w:rPr>
                <w:rFonts w:ascii="Times New Roman" w:hAnsi="Times New Roman" w:cs="Times New Roman"/>
                <w:b/>
                <w:bCs/>
              </w:rPr>
              <w:t>,</w:t>
            </w:r>
            <w:r w:rsidRPr="2EF86000">
              <w:rPr>
                <w:rFonts w:ascii="Times New Roman" w:hAnsi="Times New Roman" w:cs="Times New Roman"/>
                <w:b/>
                <w:bCs/>
              </w:rPr>
              <w:t xml:space="preserve"> and </w:t>
            </w:r>
            <w:r w:rsidR="21332761" w:rsidRPr="2EF86000">
              <w:rPr>
                <w:rFonts w:ascii="Times New Roman" w:hAnsi="Times New Roman" w:cs="Times New Roman"/>
                <w:b/>
                <w:bCs/>
              </w:rPr>
              <w:t xml:space="preserve">ESMP </w:t>
            </w:r>
            <w:r w:rsidRPr="2EF86000">
              <w:rPr>
                <w:rFonts w:ascii="Times New Roman" w:hAnsi="Times New Roman" w:cs="Times New Roman"/>
                <w:b/>
                <w:bCs/>
              </w:rPr>
              <w:t>biannual report</w:t>
            </w:r>
            <w:r w:rsidR="21332761" w:rsidRPr="2EF86000">
              <w:rPr>
                <w:rFonts w:ascii="Times New Roman" w:hAnsi="Times New Roman" w:cs="Times New Roman"/>
                <w:b/>
                <w:bCs/>
              </w:rPr>
              <w:t>s</w:t>
            </w:r>
            <w:r w:rsidRPr="2EF86000">
              <w:rPr>
                <w:rFonts w:ascii="Times New Roman" w:hAnsi="Times New Roman" w:cs="Times New Roman"/>
                <w:b/>
                <w:bCs/>
              </w:rPr>
              <w:t>?</w:t>
            </w:r>
          </w:p>
        </w:tc>
        <w:tc>
          <w:tcPr>
            <w:tcW w:w="3975" w:type="dxa"/>
          </w:tcPr>
          <w:p w14:paraId="341EFF54" w14:textId="3E7B6BE0" w:rsidR="3F44A17D" w:rsidRDefault="3F44A17D" w:rsidP="2EF86000">
            <w:pPr>
              <w:jc w:val="center"/>
              <w:rPr>
                <w:rFonts w:ascii="Times New Roman" w:hAnsi="Times New Roman" w:cs="Times New Roman"/>
                <w:b/>
                <w:bCs/>
              </w:rPr>
            </w:pPr>
            <w:r w:rsidRPr="7F52448C">
              <w:rPr>
                <w:rFonts w:ascii="Times New Roman" w:hAnsi="Times New Roman" w:cs="Times New Roman"/>
                <w:b/>
                <w:bCs/>
              </w:rPr>
              <w:t>EWG Recommendation</w:t>
            </w:r>
            <w:r w:rsidR="00AF5BA7">
              <w:rPr>
                <w:rStyle w:val="FootnoteReference"/>
                <w:rFonts w:ascii="Times New Roman" w:hAnsi="Times New Roman" w:cs="Times New Roman"/>
                <w:b/>
                <w:bCs/>
              </w:rPr>
              <w:footnoteReference w:id="15"/>
            </w:r>
          </w:p>
          <w:p w14:paraId="21CB72C4" w14:textId="7C8228F8" w:rsidR="300C51E4" w:rsidRDefault="300C51E4" w:rsidP="2EF86000">
            <w:pPr>
              <w:jc w:val="center"/>
              <w:rPr>
                <w:rFonts w:ascii="Times New Roman" w:hAnsi="Times New Roman" w:cs="Times New Roman"/>
                <w:b/>
                <w:bCs/>
              </w:rPr>
            </w:pPr>
          </w:p>
        </w:tc>
      </w:tr>
      <w:tr w:rsidR="7F52448C" w14:paraId="61FE0DBF" w14:textId="77777777" w:rsidTr="2EF86000">
        <w:trPr>
          <w:trHeight w:val="300"/>
        </w:trPr>
        <w:tc>
          <w:tcPr>
            <w:tcW w:w="2055" w:type="dxa"/>
          </w:tcPr>
          <w:p w14:paraId="4FD0FAE2" w14:textId="73935C90" w:rsidR="5C89C290" w:rsidRDefault="5C89C290" w:rsidP="7F52448C">
            <w:pPr>
              <w:rPr>
                <w:rFonts w:ascii="Times New Roman" w:hAnsi="Times New Roman" w:cs="Times New Roman"/>
              </w:rPr>
            </w:pPr>
            <w:r w:rsidRPr="7F52448C">
              <w:rPr>
                <w:rFonts w:ascii="Times New Roman" w:hAnsi="Times New Roman" w:cs="Times New Roman"/>
              </w:rPr>
              <w:t>Accessibility and Community Engagement</w:t>
            </w:r>
          </w:p>
        </w:tc>
        <w:tc>
          <w:tcPr>
            <w:tcW w:w="3330" w:type="dxa"/>
          </w:tcPr>
          <w:p w14:paraId="05C0E8D8" w14:textId="78D8D452" w:rsidR="5C89C290" w:rsidRDefault="3AE9CE9D" w:rsidP="7F52448C">
            <w:pPr>
              <w:rPr>
                <w:rFonts w:ascii="Times New Roman" w:hAnsi="Times New Roman" w:cs="Times New Roman"/>
              </w:rPr>
            </w:pPr>
            <w:r w:rsidRPr="2EF86000">
              <w:rPr>
                <w:rFonts w:ascii="Times New Roman" w:hAnsi="Times New Roman" w:cs="Times New Roman"/>
              </w:rPr>
              <w:t>Some</w:t>
            </w:r>
            <w:r w:rsidR="703E845F" w:rsidRPr="2EF86000">
              <w:rPr>
                <w:rFonts w:ascii="Times New Roman" w:hAnsi="Times New Roman" w:cs="Times New Roman"/>
              </w:rPr>
              <w:t>, but distributional and structural equity not fully addressed. Please see comments in above pages.</w:t>
            </w:r>
          </w:p>
        </w:tc>
        <w:tc>
          <w:tcPr>
            <w:tcW w:w="3975" w:type="dxa"/>
          </w:tcPr>
          <w:p w14:paraId="53504B32" w14:textId="120CD521" w:rsidR="5C89C290" w:rsidRDefault="5C89C290" w:rsidP="7F52448C">
            <w:pPr>
              <w:rPr>
                <w:rFonts w:ascii="Times New Roman" w:hAnsi="Times New Roman" w:cs="Times New Roman"/>
              </w:rPr>
            </w:pPr>
            <w:r w:rsidRPr="7F52448C">
              <w:rPr>
                <w:rFonts w:ascii="Times New Roman" w:hAnsi="Times New Roman" w:cs="Times New Roman"/>
              </w:rPr>
              <w:t>Recommend including CBA metrics</w:t>
            </w:r>
          </w:p>
        </w:tc>
      </w:tr>
      <w:tr w:rsidR="7F52448C" w14:paraId="40576664" w14:textId="77777777" w:rsidTr="2EF86000">
        <w:trPr>
          <w:trHeight w:val="300"/>
        </w:trPr>
        <w:tc>
          <w:tcPr>
            <w:tcW w:w="2055" w:type="dxa"/>
          </w:tcPr>
          <w:p w14:paraId="7EA30450" w14:textId="19937593" w:rsidR="284725B8" w:rsidRDefault="284725B8" w:rsidP="7F52448C">
            <w:pPr>
              <w:rPr>
                <w:rFonts w:ascii="Times New Roman" w:hAnsi="Times New Roman" w:cs="Times New Roman"/>
              </w:rPr>
            </w:pPr>
            <w:r w:rsidRPr="7F52448C">
              <w:rPr>
                <w:rFonts w:ascii="Times New Roman" w:hAnsi="Times New Roman" w:cs="Times New Roman"/>
              </w:rPr>
              <w:t>Workforce and Economic Benefits</w:t>
            </w:r>
          </w:p>
        </w:tc>
        <w:tc>
          <w:tcPr>
            <w:tcW w:w="3330" w:type="dxa"/>
          </w:tcPr>
          <w:p w14:paraId="44E608D2" w14:textId="409BA607" w:rsidR="19D73D2D" w:rsidRDefault="19D73D2D" w:rsidP="7F52448C">
            <w:pPr>
              <w:rPr>
                <w:rFonts w:ascii="Times New Roman" w:hAnsi="Times New Roman" w:cs="Times New Roman"/>
              </w:rPr>
            </w:pPr>
            <w:r w:rsidRPr="7F52448C">
              <w:rPr>
                <w:rFonts w:ascii="Times New Roman" w:hAnsi="Times New Roman" w:cs="Times New Roman"/>
              </w:rPr>
              <w:t>No</w:t>
            </w:r>
          </w:p>
        </w:tc>
        <w:tc>
          <w:tcPr>
            <w:tcW w:w="3975" w:type="dxa"/>
          </w:tcPr>
          <w:p w14:paraId="0F81C16C" w14:textId="2972720F" w:rsidR="63626BB3" w:rsidRDefault="63626BB3" w:rsidP="7F52448C">
            <w:pPr>
              <w:rPr>
                <w:rFonts w:ascii="Times New Roman" w:hAnsi="Times New Roman" w:cs="Times New Roman"/>
              </w:rPr>
            </w:pPr>
            <w:r w:rsidRPr="7F52448C">
              <w:rPr>
                <w:rFonts w:ascii="Times New Roman" w:hAnsi="Times New Roman" w:cs="Times New Roman"/>
              </w:rPr>
              <w:t>Please see recommend</w:t>
            </w:r>
            <w:r w:rsidR="49242105" w:rsidRPr="7F52448C">
              <w:rPr>
                <w:rFonts w:ascii="Times New Roman" w:hAnsi="Times New Roman" w:cs="Times New Roman"/>
              </w:rPr>
              <w:t>ed</w:t>
            </w:r>
            <w:r w:rsidRPr="7F52448C">
              <w:rPr>
                <w:rFonts w:ascii="Times New Roman" w:hAnsi="Times New Roman" w:cs="Times New Roman"/>
              </w:rPr>
              <w:t xml:space="preserve"> metrics </w:t>
            </w:r>
            <w:r w:rsidR="243BE79C" w:rsidRPr="7F52448C">
              <w:rPr>
                <w:rFonts w:ascii="Times New Roman" w:hAnsi="Times New Roman" w:cs="Times New Roman"/>
              </w:rPr>
              <w:t xml:space="preserve">in original comments. </w:t>
            </w:r>
            <w:r w:rsidR="00D35136" w:rsidRPr="7F52448C">
              <w:rPr>
                <w:rFonts w:ascii="Times New Roman" w:hAnsi="Times New Roman" w:cs="Times New Roman"/>
              </w:rPr>
              <w:t>Incremental</w:t>
            </w:r>
            <w:r w:rsidRPr="7F52448C">
              <w:rPr>
                <w:rFonts w:ascii="Times New Roman" w:hAnsi="Times New Roman" w:cs="Times New Roman"/>
              </w:rPr>
              <w:t xml:space="preserve"> job impact of ESMPs and job placement rates for trainings relat</w:t>
            </w:r>
            <w:r w:rsidR="3AD05A5F" w:rsidRPr="7F52448C">
              <w:rPr>
                <w:rFonts w:ascii="Times New Roman" w:hAnsi="Times New Roman" w:cs="Times New Roman"/>
              </w:rPr>
              <w:t>ed to ESMPs</w:t>
            </w:r>
            <w:r w:rsidR="53589479" w:rsidRPr="7F52448C">
              <w:rPr>
                <w:rFonts w:ascii="Times New Roman" w:hAnsi="Times New Roman" w:cs="Times New Roman"/>
              </w:rPr>
              <w:t xml:space="preserve"> would be important to include in future biannual reports.</w:t>
            </w:r>
          </w:p>
        </w:tc>
      </w:tr>
      <w:tr w:rsidR="7F52448C" w14:paraId="1FECDB7D" w14:textId="77777777" w:rsidTr="2EF86000">
        <w:trPr>
          <w:trHeight w:val="300"/>
        </w:trPr>
        <w:tc>
          <w:tcPr>
            <w:tcW w:w="2055" w:type="dxa"/>
          </w:tcPr>
          <w:p w14:paraId="29F537C5" w14:textId="2A116A8B" w:rsidR="284725B8" w:rsidRDefault="284725B8" w:rsidP="7F52448C">
            <w:pPr>
              <w:rPr>
                <w:rFonts w:ascii="Times New Roman" w:hAnsi="Times New Roman" w:cs="Times New Roman"/>
              </w:rPr>
            </w:pPr>
            <w:r w:rsidRPr="7F52448C">
              <w:rPr>
                <w:rFonts w:ascii="Times New Roman" w:hAnsi="Times New Roman" w:cs="Times New Roman"/>
              </w:rPr>
              <w:t>Health Benefits</w:t>
            </w:r>
          </w:p>
        </w:tc>
        <w:tc>
          <w:tcPr>
            <w:tcW w:w="3330" w:type="dxa"/>
          </w:tcPr>
          <w:p w14:paraId="4A772FD8" w14:textId="56F56491" w:rsidR="07F60CD3" w:rsidRDefault="07F60CD3" w:rsidP="7F52448C">
            <w:pPr>
              <w:rPr>
                <w:rFonts w:ascii="Times New Roman" w:hAnsi="Times New Roman" w:cs="Times New Roman"/>
              </w:rPr>
            </w:pPr>
            <w:r w:rsidRPr="7F52448C">
              <w:rPr>
                <w:rFonts w:ascii="Times New Roman" w:hAnsi="Times New Roman" w:cs="Times New Roman"/>
              </w:rPr>
              <w:t>No</w:t>
            </w:r>
          </w:p>
        </w:tc>
        <w:tc>
          <w:tcPr>
            <w:tcW w:w="3975" w:type="dxa"/>
          </w:tcPr>
          <w:p w14:paraId="692C4E15" w14:textId="27B21E22" w:rsidR="07F60CD3" w:rsidRDefault="2C4796E2" w:rsidP="7F52448C">
            <w:pPr>
              <w:rPr>
                <w:rFonts w:ascii="Times New Roman" w:eastAsia="Times New Roman" w:hAnsi="Times New Roman" w:cs="Times New Roman"/>
              </w:rPr>
            </w:pPr>
            <w:r w:rsidRPr="2EF86000">
              <w:rPr>
                <w:rFonts w:ascii="Times New Roman" w:hAnsi="Times New Roman" w:cs="Times New Roman"/>
              </w:rPr>
              <w:t xml:space="preserve">In future forecasting </w:t>
            </w:r>
            <w:r w:rsidR="40337BAD" w:rsidRPr="2EF86000">
              <w:rPr>
                <w:rFonts w:ascii="Times New Roman" w:hAnsi="Times New Roman" w:cs="Times New Roman"/>
              </w:rPr>
              <w:t>updates in the</w:t>
            </w:r>
            <w:r w:rsidRPr="2EF86000">
              <w:rPr>
                <w:rFonts w:ascii="Times New Roman" w:hAnsi="Times New Roman" w:cs="Times New Roman"/>
              </w:rPr>
              <w:t xml:space="preserve"> biannual reports, </w:t>
            </w:r>
            <w:r w:rsidR="40337BAD" w:rsidRPr="2EF86000">
              <w:rPr>
                <w:rFonts w:ascii="Times New Roman" w:hAnsi="Times New Roman" w:cs="Times New Roman"/>
              </w:rPr>
              <w:t xml:space="preserve">provide </w:t>
            </w:r>
            <w:r w:rsidRPr="2EF86000">
              <w:rPr>
                <w:rFonts w:ascii="Times New Roman" w:hAnsi="Times New Roman" w:cs="Times New Roman"/>
              </w:rPr>
              <w:t>c</w:t>
            </w:r>
            <w:r w:rsidRPr="2EF86000">
              <w:rPr>
                <w:rFonts w:ascii="Times New Roman" w:eastAsia="Times New Roman" w:hAnsi="Times New Roman" w:cs="Times New Roman"/>
              </w:rPr>
              <w:t xml:space="preserve">alculations of the incremental impact of the </w:t>
            </w:r>
            <w:r w:rsidR="40337BAD" w:rsidRPr="2EF86000">
              <w:rPr>
                <w:rFonts w:ascii="Times New Roman" w:eastAsia="Times New Roman" w:hAnsi="Times New Roman" w:cs="Times New Roman"/>
              </w:rPr>
              <w:t xml:space="preserve">ESMP implementation </w:t>
            </w:r>
            <w:r w:rsidRPr="2EF86000">
              <w:rPr>
                <w:rFonts w:ascii="Times New Roman" w:eastAsia="Times New Roman" w:hAnsi="Times New Roman" w:cs="Times New Roman"/>
              </w:rPr>
              <w:t>on health indicators</w:t>
            </w:r>
            <w:r w:rsidR="4313435C" w:rsidRPr="2EF86000">
              <w:rPr>
                <w:rFonts w:ascii="Times New Roman" w:eastAsia="Times New Roman" w:hAnsi="Times New Roman" w:cs="Times New Roman"/>
              </w:rPr>
              <w:t xml:space="preserve"> (e.g., air pollution)</w:t>
            </w:r>
            <w:r w:rsidRPr="2EF86000">
              <w:rPr>
                <w:rFonts w:ascii="Times New Roman" w:eastAsia="Times New Roman" w:hAnsi="Times New Roman" w:cs="Times New Roman"/>
              </w:rPr>
              <w:t xml:space="preserve">. </w:t>
            </w:r>
          </w:p>
        </w:tc>
      </w:tr>
      <w:tr w:rsidR="7F52448C" w14:paraId="14EA7B9B" w14:textId="77777777" w:rsidTr="2EF86000">
        <w:trPr>
          <w:trHeight w:val="300"/>
        </w:trPr>
        <w:tc>
          <w:tcPr>
            <w:tcW w:w="2055" w:type="dxa"/>
          </w:tcPr>
          <w:p w14:paraId="490971F2" w14:textId="09746157" w:rsidR="284725B8" w:rsidRDefault="284725B8" w:rsidP="7F52448C">
            <w:pPr>
              <w:rPr>
                <w:rFonts w:ascii="Times New Roman" w:hAnsi="Times New Roman" w:cs="Times New Roman"/>
              </w:rPr>
            </w:pPr>
            <w:r w:rsidRPr="26552AE8">
              <w:rPr>
                <w:rFonts w:ascii="Times New Roman" w:hAnsi="Times New Roman" w:cs="Times New Roman"/>
              </w:rPr>
              <w:t>Financial and Economic Incentives</w:t>
            </w:r>
          </w:p>
        </w:tc>
        <w:tc>
          <w:tcPr>
            <w:tcW w:w="3330" w:type="dxa"/>
          </w:tcPr>
          <w:p w14:paraId="5D70704B" w14:textId="2E79435C" w:rsidR="79D3D8AD" w:rsidRDefault="7698D349" w:rsidP="7F52448C">
            <w:pPr>
              <w:rPr>
                <w:rFonts w:ascii="Times New Roman" w:hAnsi="Times New Roman" w:cs="Times New Roman"/>
              </w:rPr>
            </w:pPr>
            <w:r w:rsidRPr="2EF86000">
              <w:rPr>
                <w:rFonts w:ascii="Times New Roman" w:hAnsi="Times New Roman" w:cs="Times New Roman"/>
              </w:rPr>
              <w:t xml:space="preserve">Some. </w:t>
            </w:r>
            <w:r w:rsidR="31CBC731" w:rsidRPr="2EF86000">
              <w:rPr>
                <w:rFonts w:ascii="Times New Roman" w:hAnsi="Times New Roman" w:cs="Times New Roman"/>
              </w:rPr>
              <w:t xml:space="preserve">The existing metrics help demonstrate clean technology deployment and incentives. The proposed metrics help paint a picture about the benefits of the ESMPs. However, </w:t>
            </w:r>
            <w:r w:rsidR="27067D28" w:rsidRPr="2EF86000">
              <w:rPr>
                <w:rFonts w:ascii="Times New Roman" w:hAnsi="Times New Roman" w:cs="Times New Roman"/>
              </w:rPr>
              <w:t>please see comments above regarding locational improvements.</w:t>
            </w:r>
          </w:p>
        </w:tc>
        <w:tc>
          <w:tcPr>
            <w:tcW w:w="3975" w:type="dxa"/>
          </w:tcPr>
          <w:p w14:paraId="6559B363" w14:textId="0DA16F89" w:rsidR="0E447A62" w:rsidRDefault="1B3E0A11" w:rsidP="7F52448C">
            <w:pPr>
              <w:rPr>
                <w:rFonts w:ascii="Times New Roman" w:hAnsi="Times New Roman" w:cs="Times New Roman"/>
              </w:rPr>
            </w:pPr>
            <w:r w:rsidRPr="2EF86000">
              <w:rPr>
                <w:rFonts w:ascii="Times New Roman" w:hAnsi="Times New Roman" w:cs="Times New Roman"/>
              </w:rPr>
              <w:t>Many of the metrics we suggested are covered via other EDC reporting mechanisms</w:t>
            </w:r>
            <w:r w:rsidR="49430E2B" w:rsidRPr="2EF86000">
              <w:rPr>
                <w:rFonts w:ascii="Times New Roman" w:hAnsi="Times New Roman" w:cs="Times New Roman"/>
              </w:rPr>
              <w:t xml:space="preserve"> (e.g., under the EV metrics category or required reporting under the Three-Year Plans</w:t>
            </w:r>
            <w:r w:rsidRPr="2EF86000">
              <w:rPr>
                <w:rFonts w:ascii="Times New Roman" w:hAnsi="Times New Roman" w:cs="Times New Roman"/>
              </w:rPr>
              <w:t>.</w:t>
            </w:r>
            <w:r w:rsidR="422AA50A" w:rsidRPr="2EF86000">
              <w:rPr>
                <w:rFonts w:ascii="Times New Roman" w:hAnsi="Times New Roman" w:cs="Times New Roman"/>
              </w:rPr>
              <w:t>)</w:t>
            </w:r>
            <w:r w:rsidRPr="2EF86000">
              <w:rPr>
                <w:rFonts w:ascii="Times New Roman" w:hAnsi="Times New Roman" w:cs="Times New Roman"/>
              </w:rPr>
              <w:t xml:space="preserve"> We support consolidating all these related metrics in the biannual report. </w:t>
            </w:r>
          </w:p>
        </w:tc>
      </w:tr>
      <w:tr w:rsidR="7F52448C" w14:paraId="2F4D6A31" w14:textId="77777777" w:rsidTr="2EF86000">
        <w:trPr>
          <w:trHeight w:val="300"/>
        </w:trPr>
        <w:tc>
          <w:tcPr>
            <w:tcW w:w="2055" w:type="dxa"/>
          </w:tcPr>
          <w:p w14:paraId="356DE87F" w14:textId="44EE90A3" w:rsidR="6E0C1353" w:rsidRDefault="6E0C1353" w:rsidP="7F52448C">
            <w:pPr>
              <w:rPr>
                <w:rFonts w:ascii="Times New Roman" w:hAnsi="Times New Roman" w:cs="Times New Roman"/>
              </w:rPr>
            </w:pPr>
            <w:r w:rsidRPr="26552AE8">
              <w:rPr>
                <w:rFonts w:ascii="Times New Roman" w:hAnsi="Times New Roman" w:cs="Times New Roman"/>
              </w:rPr>
              <w:t>Affordability</w:t>
            </w:r>
          </w:p>
        </w:tc>
        <w:tc>
          <w:tcPr>
            <w:tcW w:w="3330" w:type="dxa"/>
          </w:tcPr>
          <w:p w14:paraId="6797899F" w14:textId="1A2E6383" w:rsidR="2C15D92F" w:rsidRDefault="2C15D92F" w:rsidP="7F52448C">
            <w:pPr>
              <w:rPr>
                <w:rFonts w:ascii="Times New Roman" w:hAnsi="Times New Roman" w:cs="Times New Roman"/>
              </w:rPr>
            </w:pPr>
            <w:r w:rsidRPr="26552AE8">
              <w:rPr>
                <w:rFonts w:ascii="Times New Roman" w:hAnsi="Times New Roman" w:cs="Times New Roman"/>
              </w:rPr>
              <w:t>Some under AMI, but not in ESMP metrics.</w:t>
            </w:r>
          </w:p>
        </w:tc>
        <w:tc>
          <w:tcPr>
            <w:tcW w:w="3975" w:type="dxa"/>
          </w:tcPr>
          <w:p w14:paraId="41BFB55D" w14:textId="4A560E54" w:rsidR="2C15D92F" w:rsidRDefault="4649CB47" w:rsidP="7F52448C">
            <w:pPr>
              <w:rPr>
                <w:rFonts w:ascii="Times New Roman" w:hAnsi="Times New Roman" w:cs="Times New Roman"/>
              </w:rPr>
            </w:pPr>
            <w:r w:rsidRPr="2EF86000">
              <w:rPr>
                <w:rFonts w:ascii="Times New Roman" w:hAnsi="Times New Roman" w:cs="Times New Roman"/>
              </w:rPr>
              <w:t xml:space="preserve">We recognize this </w:t>
            </w:r>
            <w:r w:rsidR="3229EC21" w:rsidRPr="2EF86000">
              <w:rPr>
                <w:rFonts w:ascii="Times New Roman" w:hAnsi="Times New Roman" w:cs="Times New Roman"/>
              </w:rPr>
              <w:t xml:space="preserve">comment is </w:t>
            </w:r>
            <w:r w:rsidRPr="2EF86000">
              <w:rPr>
                <w:rFonts w:ascii="Times New Roman" w:hAnsi="Times New Roman" w:cs="Times New Roman"/>
              </w:rPr>
              <w:t xml:space="preserve">out of the scope of Phase </w:t>
            </w:r>
            <w:r w:rsidR="00CD0943" w:rsidRPr="2EF86000">
              <w:rPr>
                <w:rFonts w:ascii="Times New Roman" w:hAnsi="Times New Roman" w:cs="Times New Roman"/>
              </w:rPr>
              <w:t>II; h</w:t>
            </w:r>
            <w:r w:rsidRPr="2EF86000">
              <w:rPr>
                <w:rFonts w:ascii="Times New Roman" w:hAnsi="Times New Roman" w:cs="Times New Roman"/>
              </w:rPr>
              <w:t xml:space="preserve">owever, given the amount related ongoing work and the associated cost, we recommend </w:t>
            </w:r>
            <w:r w:rsidR="00CD0943" w:rsidRPr="2EF86000">
              <w:rPr>
                <w:rFonts w:ascii="Times New Roman" w:hAnsi="Times New Roman" w:cs="Times New Roman"/>
              </w:rPr>
              <w:t xml:space="preserve">a </w:t>
            </w:r>
            <w:r w:rsidRPr="2EF86000">
              <w:rPr>
                <w:rFonts w:ascii="Times New Roman" w:hAnsi="Times New Roman" w:cs="Times New Roman"/>
              </w:rPr>
              <w:t>metric to access the overall affordability impact of these related proceedings. This could include tracking overall energy burden over time by customer cla</w:t>
            </w:r>
            <w:r w:rsidR="03C394B6" w:rsidRPr="2EF86000">
              <w:rPr>
                <w:rFonts w:ascii="Times New Roman" w:hAnsi="Times New Roman" w:cs="Times New Roman"/>
              </w:rPr>
              <w:t>ss</w:t>
            </w:r>
            <w:r w:rsidRPr="2EF86000">
              <w:rPr>
                <w:rFonts w:ascii="Times New Roman" w:hAnsi="Times New Roman" w:cs="Times New Roman"/>
              </w:rPr>
              <w:t xml:space="preserve">, bill increases or over time, </w:t>
            </w:r>
            <w:r w:rsidR="037E2465" w:rsidRPr="2EF86000">
              <w:rPr>
                <w:rFonts w:ascii="Times New Roman" w:hAnsi="Times New Roman" w:cs="Times New Roman"/>
              </w:rPr>
              <w:t xml:space="preserve">or some of the other suggestions from our original feedback. </w:t>
            </w:r>
          </w:p>
        </w:tc>
      </w:tr>
      <w:tr w:rsidR="7F52448C" w14:paraId="06BADB1C" w14:textId="77777777" w:rsidTr="2EF86000">
        <w:trPr>
          <w:trHeight w:val="300"/>
        </w:trPr>
        <w:tc>
          <w:tcPr>
            <w:tcW w:w="2055" w:type="dxa"/>
          </w:tcPr>
          <w:p w14:paraId="37D60197" w14:textId="045D08B1" w:rsidR="6E0C1353" w:rsidRDefault="6E0C1353" w:rsidP="7F52448C">
            <w:pPr>
              <w:rPr>
                <w:rFonts w:ascii="Times New Roman" w:hAnsi="Times New Roman" w:cs="Times New Roman"/>
              </w:rPr>
            </w:pPr>
            <w:r w:rsidRPr="26552AE8">
              <w:rPr>
                <w:rFonts w:ascii="Times New Roman" w:hAnsi="Times New Roman" w:cs="Times New Roman"/>
              </w:rPr>
              <w:t>Resilience and Reliability</w:t>
            </w:r>
          </w:p>
        </w:tc>
        <w:tc>
          <w:tcPr>
            <w:tcW w:w="3330" w:type="dxa"/>
          </w:tcPr>
          <w:p w14:paraId="3E1D4C79" w14:textId="1A26ED10" w:rsidR="2D62B45A" w:rsidRDefault="41C1D021" w:rsidP="7F52448C">
            <w:pPr>
              <w:rPr>
                <w:rFonts w:ascii="Times New Roman" w:hAnsi="Times New Roman" w:cs="Times New Roman"/>
              </w:rPr>
            </w:pPr>
            <w:r w:rsidRPr="2EF86000">
              <w:rPr>
                <w:rFonts w:ascii="Times New Roman" w:hAnsi="Times New Roman" w:cs="Times New Roman"/>
              </w:rPr>
              <w:t xml:space="preserve">Some, </w:t>
            </w:r>
            <w:r w:rsidR="4A3E4E0A" w:rsidRPr="2EF86000">
              <w:rPr>
                <w:rFonts w:ascii="Times New Roman" w:hAnsi="Times New Roman" w:cs="Times New Roman"/>
              </w:rPr>
              <w:t xml:space="preserve">but please see comment regarding locational improvements above.  </w:t>
            </w:r>
          </w:p>
        </w:tc>
        <w:tc>
          <w:tcPr>
            <w:tcW w:w="3975" w:type="dxa"/>
          </w:tcPr>
          <w:p w14:paraId="574C5A61" w14:textId="12CE69A1" w:rsidR="2D62B45A" w:rsidRDefault="4A3E4E0A" w:rsidP="7F52448C">
            <w:pPr>
              <w:rPr>
                <w:rFonts w:ascii="Times New Roman" w:hAnsi="Times New Roman" w:cs="Times New Roman"/>
              </w:rPr>
            </w:pPr>
            <w:r w:rsidRPr="2EF86000">
              <w:rPr>
                <w:rFonts w:ascii="Times New Roman" w:hAnsi="Times New Roman" w:cs="Times New Roman"/>
              </w:rPr>
              <w:t>Many of the metrics</w:t>
            </w:r>
            <w:r w:rsidR="00CD0943" w:rsidRPr="2EF86000">
              <w:rPr>
                <w:rFonts w:ascii="Times New Roman" w:hAnsi="Times New Roman" w:cs="Times New Roman"/>
              </w:rPr>
              <w:t xml:space="preserve"> EWG</w:t>
            </w:r>
            <w:r w:rsidRPr="2EF86000">
              <w:rPr>
                <w:rFonts w:ascii="Times New Roman" w:hAnsi="Times New Roman" w:cs="Times New Roman"/>
              </w:rPr>
              <w:t xml:space="preserve"> suggested are covered via other EDC reporting mechanisms. We support consolidating all these related metrics in the biannual report.</w:t>
            </w:r>
          </w:p>
        </w:tc>
      </w:tr>
    </w:tbl>
    <w:p w14:paraId="42C203F1" w14:textId="1277E42F" w:rsidR="00117FA6" w:rsidRPr="00317787" w:rsidRDefault="00117FA6" w:rsidP="2EF86000">
      <w:pPr>
        <w:rPr>
          <w:rFonts w:ascii="Times New Roman" w:hAnsi="Times New Roman" w:cs="Times New Roman"/>
          <w:sz w:val="24"/>
          <w:szCs w:val="24"/>
        </w:rPr>
      </w:pPr>
    </w:p>
    <w:sectPr w:rsidR="00117FA6" w:rsidRPr="003177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F0A0" w14:textId="77777777" w:rsidR="00EA5287" w:rsidRDefault="00EA5287" w:rsidP="00401D75">
      <w:pPr>
        <w:spacing w:after="0" w:line="240" w:lineRule="auto"/>
      </w:pPr>
      <w:r>
        <w:separator/>
      </w:r>
    </w:p>
  </w:endnote>
  <w:endnote w:type="continuationSeparator" w:id="0">
    <w:p w14:paraId="48B3DED7" w14:textId="77777777" w:rsidR="00EA5287" w:rsidRDefault="00EA5287" w:rsidP="00401D75">
      <w:pPr>
        <w:spacing w:after="0" w:line="240" w:lineRule="auto"/>
      </w:pPr>
      <w:r>
        <w:continuationSeparator/>
      </w:r>
    </w:p>
  </w:endnote>
  <w:endnote w:type="continuationNotice" w:id="1">
    <w:p w14:paraId="2C8926BC" w14:textId="77777777" w:rsidR="00EA5287" w:rsidRDefault="00EA5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021885"/>
      <w:docPartObj>
        <w:docPartGallery w:val="Page Numbers (Bottom of Page)"/>
        <w:docPartUnique/>
      </w:docPartObj>
    </w:sdtPr>
    <w:sdtEndPr>
      <w:rPr>
        <w:rFonts w:ascii="Times New Roman" w:hAnsi="Times New Roman" w:cs="Times New Roman"/>
        <w:noProof/>
        <w:sz w:val="24"/>
        <w:szCs w:val="24"/>
      </w:rPr>
    </w:sdtEndPr>
    <w:sdtContent>
      <w:p w14:paraId="2FEAC05F" w14:textId="77EE27F2" w:rsidR="00401D75" w:rsidRPr="00401D75" w:rsidRDefault="00401D75">
        <w:pPr>
          <w:pStyle w:val="Footer"/>
          <w:jc w:val="center"/>
          <w:rPr>
            <w:rFonts w:ascii="Times New Roman" w:hAnsi="Times New Roman" w:cs="Times New Roman"/>
            <w:sz w:val="24"/>
            <w:szCs w:val="24"/>
          </w:rPr>
        </w:pPr>
        <w:r w:rsidRPr="00401D75">
          <w:rPr>
            <w:rFonts w:ascii="Times New Roman" w:hAnsi="Times New Roman" w:cs="Times New Roman"/>
            <w:sz w:val="24"/>
            <w:szCs w:val="24"/>
          </w:rPr>
          <w:fldChar w:fldCharType="begin"/>
        </w:r>
        <w:r w:rsidRPr="00401D75">
          <w:rPr>
            <w:rFonts w:ascii="Times New Roman" w:hAnsi="Times New Roman" w:cs="Times New Roman"/>
            <w:sz w:val="24"/>
            <w:szCs w:val="24"/>
          </w:rPr>
          <w:instrText xml:space="preserve"> PAGE   \* MERGEFORMAT </w:instrText>
        </w:r>
        <w:r w:rsidRPr="00401D75">
          <w:rPr>
            <w:rFonts w:ascii="Times New Roman" w:hAnsi="Times New Roman" w:cs="Times New Roman"/>
            <w:sz w:val="24"/>
            <w:szCs w:val="24"/>
          </w:rPr>
          <w:fldChar w:fldCharType="separate"/>
        </w:r>
        <w:r w:rsidRPr="00401D75">
          <w:rPr>
            <w:rFonts w:ascii="Times New Roman" w:hAnsi="Times New Roman" w:cs="Times New Roman"/>
            <w:noProof/>
            <w:sz w:val="24"/>
            <w:szCs w:val="24"/>
          </w:rPr>
          <w:t>2</w:t>
        </w:r>
        <w:r w:rsidRPr="00401D75">
          <w:rPr>
            <w:rFonts w:ascii="Times New Roman" w:hAnsi="Times New Roman" w:cs="Times New Roman"/>
            <w:noProof/>
            <w:sz w:val="24"/>
            <w:szCs w:val="24"/>
          </w:rPr>
          <w:fldChar w:fldCharType="end"/>
        </w:r>
      </w:p>
    </w:sdtContent>
  </w:sdt>
  <w:p w14:paraId="4ECA3254" w14:textId="77777777" w:rsidR="00401D75" w:rsidRDefault="00401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7B00" w14:textId="77777777" w:rsidR="00EA5287" w:rsidRDefault="00EA5287" w:rsidP="00401D75">
      <w:pPr>
        <w:spacing w:after="0" w:line="240" w:lineRule="auto"/>
      </w:pPr>
      <w:r>
        <w:separator/>
      </w:r>
    </w:p>
  </w:footnote>
  <w:footnote w:type="continuationSeparator" w:id="0">
    <w:p w14:paraId="2989A5B3" w14:textId="77777777" w:rsidR="00EA5287" w:rsidRDefault="00EA5287" w:rsidP="00401D75">
      <w:pPr>
        <w:spacing w:after="0" w:line="240" w:lineRule="auto"/>
      </w:pPr>
      <w:r>
        <w:continuationSeparator/>
      </w:r>
    </w:p>
  </w:footnote>
  <w:footnote w:type="continuationNotice" w:id="1">
    <w:p w14:paraId="2DADBCC0" w14:textId="77777777" w:rsidR="00EA5287" w:rsidRDefault="00EA5287">
      <w:pPr>
        <w:spacing w:after="0" w:line="240" w:lineRule="auto"/>
      </w:pPr>
    </w:p>
  </w:footnote>
  <w:footnote w:id="2">
    <w:p w14:paraId="55ECADBE" w14:textId="19890BCA" w:rsidR="009D5230" w:rsidRPr="00346B86" w:rsidRDefault="009D5230">
      <w:pPr>
        <w:pStyle w:val="FootnoteText"/>
        <w:rPr>
          <w:rFonts w:ascii="Times New Roman" w:hAnsi="Times New Roman" w:cs="Times New Roman"/>
        </w:rPr>
      </w:pPr>
      <w:r w:rsidRPr="00032453">
        <w:rPr>
          <w:rStyle w:val="FootnoteReference"/>
          <w:rFonts w:ascii="Times New Roman" w:hAnsi="Times New Roman" w:cs="Times New Roman"/>
        </w:rPr>
        <w:footnoteRef/>
      </w:r>
      <w:r w:rsidR="2EF86000" w:rsidRPr="00346B86">
        <w:rPr>
          <w:rFonts w:ascii="Times New Roman" w:hAnsi="Times New Roman" w:cs="Times New Roman"/>
        </w:rPr>
        <w:t xml:space="preserve"> Observations and Recommendations of the Grid Modernization Advisory Council (November 2023) at 331 – 47, available at </w:t>
      </w:r>
      <w:hyperlink r:id="rId1" w:history="1">
        <w:r w:rsidR="2EF86000" w:rsidRPr="00346B86">
          <w:rPr>
            <w:rStyle w:val="Hyperlink"/>
            <w:rFonts w:ascii="Times New Roman" w:hAnsi="Times New Roman" w:cs="Times New Roman"/>
          </w:rPr>
          <w:t>https://www.mass.gov/doc/gmac-final-report/download</w:t>
        </w:r>
      </w:hyperlink>
      <w:r w:rsidR="2EF86000" w:rsidRPr="00003FB7">
        <w:rPr>
          <w:rFonts w:ascii="Times New Roman" w:hAnsi="Times New Roman" w:cs="Times New Roman"/>
        </w:rPr>
        <w:t xml:space="preserve">. </w:t>
      </w:r>
    </w:p>
  </w:footnote>
  <w:footnote w:id="3">
    <w:p w14:paraId="51D88754" w14:textId="752BF5DD" w:rsidR="001F19BA" w:rsidRPr="00F27DED" w:rsidRDefault="001F19BA">
      <w:pPr>
        <w:pStyle w:val="FootnoteText"/>
        <w:rPr>
          <w:rFonts w:ascii="Times New Roman" w:hAnsi="Times New Roman" w:cs="Times New Roman"/>
        </w:rPr>
      </w:pPr>
      <w:r>
        <w:rPr>
          <w:rStyle w:val="FootnoteReference"/>
        </w:rPr>
        <w:footnoteRef/>
      </w:r>
      <w:r>
        <w:t xml:space="preserve"> </w:t>
      </w:r>
      <w:r w:rsidR="00F67018" w:rsidRPr="00581164">
        <w:rPr>
          <w:rFonts w:ascii="Times New Roman" w:hAnsi="Times New Roman" w:cs="Times New Roman"/>
        </w:rPr>
        <w:t>D.P.U. 24-10/24-11/24-12, Interlocutory Order on Scope of Proceedings (Feb. 20, 2024)</w:t>
      </w:r>
      <w:r w:rsidR="00F67018">
        <w:rPr>
          <w:rFonts w:ascii="Times New Roman" w:hAnsi="Times New Roman" w:cs="Times New Roman"/>
        </w:rPr>
        <w:t xml:space="preserve"> </w:t>
      </w:r>
      <w:r w:rsidR="00F67018" w:rsidRPr="00581164">
        <w:rPr>
          <w:rFonts w:ascii="Times New Roman" w:hAnsi="Times New Roman" w:cs="Times New Roman"/>
        </w:rPr>
        <w:t>(Interlocutory Order)</w:t>
      </w:r>
      <w:r w:rsidR="00F67018">
        <w:rPr>
          <w:rFonts w:ascii="Times New Roman" w:hAnsi="Times New Roman" w:cs="Times New Roman"/>
        </w:rPr>
        <w:t xml:space="preserve"> at 3 and </w:t>
      </w:r>
      <w:r w:rsidR="00F67018" w:rsidRPr="00581164">
        <w:rPr>
          <w:rFonts w:ascii="Times New Roman" w:hAnsi="Times New Roman" w:cs="Times New Roman"/>
        </w:rPr>
        <w:t>D.P.U. 24-10/24-11/24-12</w:t>
      </w:r>
      <w:r w:rsidR="00F67018">
        <w:rPr>
          <w:rFonts w:ascii="Times New Roman" w:hAnsi="Times New Roman" w:cs="Times New Roman"/>
        </w:rPr>
        <w:t xml:space="preserve"> Order at 470.</w:t>
      </w:r>
    </w:p>
  </w:footnote>
  <w:footnote w:id="4">
    <w:p w14:paraId="0A9D2679" w14:textId="3B331E7B" w:rsidR="00F67018" w:rsidRDefault="00F67018">
      <w:pPr>
        <w:pStyle w:val="FootnoteText"/>
      </w:pPr>
      <w:r>
        <w:rPr>
          <w:rStyle w:val="FootnoteReference"/>
        </w:rPr>
        <w:footnoteRef/>
      </w:r>
      <w:r>
        <w:t xml:space="preserve"> </w:t>
      </w:r>
      <w:r w:rsidR="00F27DED" w:rsidRPr="002958CF">
        <w:rPr>
          <w:rFonts w:ascii="Times New Roman" w:hAnsi="Times New Roman" w:cs="Times New Roman"/>
        </w:rPr>
        <w:t>Draft February 20, 2025 EWG meeting minutes at 2</w:t>
      </w:r>
      <w:r w:rsidR="00F27DED">
        <w:rPr>
          <w:rFonts w:ascii="Times New Roman" w:hAnsi="Times New Roman" w:cs="Times New Roman"/>
        </w:rPr>
        <w:t>-</w:t>
      </w:r>
      <w:r w:rsidR="00F27DED" w:rsidRPr="002958CF">
        <w:rPr>
          <w:rFonts w:ascii="Times New Roman" w:hAnsi="Times New Roman" w:cs="Times New Roman"/>
        </w:rPr>
        <w:t xml:space="preserve">6, available at </w:t>
      </w:r>
      <w:hyperlink r:id="rId2" w:history="1">
        <w:r w:rsidR="00F27DED" w:rsidRPr="002958CF">
          <w:rPr>
            <w:rStyle w:val="Hyperlink"/>
            <w:rFonts w:ascii="Times New Roman" w:hAnsi="Times New Roman" w:cs="Times New Roman"/>
          </w:rPr>
          <w:t>https://www.mass.gov/doc/draft-meeting-minutes-16/download</w:t>
        </w:r>
      </w:hyperlink>
      <w:r w:rsidR="00F27DED" w:rsidRPr="002958CF">
        <w:rPr>
          <w:rFonts w:ascii="Times New Roman" w:hAnsi="Times New Roman" w:cs="Times New Roman"/>
        </w:rPr>
        <w:t>.</w:t>
      </w:r>
    </w:p>
  </w:footnote>
  <w:footnote w:id="5">
    <w:p w14:paraId="499D29E0" w14:textId="0EB65DDB" w:rsidR="00116C29" w:rsidRPr="006B3A7F" w:rsidRDefault="00116C29">
      <w:pPr>
        <w:pStyle w:val="FootnoteText"/>
        <w:rPr>
          <w:rFonts w:ascii="Times New Roman" w:hAnsi="Times New Roman" w:cs="Times New Roman"/>
        </w:rPr>
      </w:pPr>
      <w:r w:rsidRPr="006B3A7F">
        <w:rPr>
          <w:rStyle w:val="FootnoteReference"/>
          <w:rFonts w:ascii="Times New Roman" w:hAnsi="Times New Roman" w:cs="Times New Roman"/>
        </w:rPr>
        <w:footnoteRef/>
      </w:r>
      <w:r w:rsidR="2EF86000" w:rsidRPr="006B3A7F">
        <w:rPr>
          <w:rFonts w:ascii="Times New Roman" w:hAnsi="Times New Roman" w:cs="Times New Roman"/>
        </w:rPr>
        <w:t xml:space="preserve"> For ESMP infrastructure projects, measures engagement opportunities by tracking: Do stakeholders impacted by EMSP infrastructure projects have the necessary information and opportunity to participate in and inform project development and implementation. Is the outreach: In plain language? Available in the appropriate language(s) specific to host communities? Provide information about required approvals (e.g., permitting)? Provide appropriate and accessible contacts for feedback? (D.P.U. 24-10/11/12 March Biannual Report Template (3-18-25) at 5)</w:t>
      </w:r>
      <w:r w:rsidR="001B3E43">
        <w:rPr>
          <w:rFonts w:ascii="Times New Roman" w:hAnsi="Times New Roman" w:cs="Times New Roman"/>
        </w:rPr>
        <w:t>.</w:t>
      </w:r>
    </w:p>
  </w:footnote>
  <w:footnote w:id="6">
    <w:p w14:paraId="456D68CA" w14:textId="7A1E52DE" w:rsidR="004F6A7B" w:rsidRPr="006B3A7F" w:rsidRDefault="004F6A7B">
      <w:pPr>
        <w:pStyle w:val="FootnoteText"/>
        <w:rPr>
          <w:rFonts w:ascii="Times New Roman" w:hAnsi="Times New Roman" w:cs="Times New Roman"/>
        </w:rPr>
      </w:pPr>
      <w:r w:rsidRPr="006B3A7F">
        <w:rPr>
          <w:rStyle w:val="FootnoteReference"/>
          <w:rFonts w:ascii="Times New Roman" w:hAnsi="Times New Roman" w:cs="Times New Roman"/>
        </w:rPr>
        <w:footnoteRef/>
      </w:r>
      <w:r w:rsidR="2EF86000" w:rsidRPr="006B3A7F">
        <w:rPr>
          <w:rFonts w:ascii="Times New Roman" w:hAnsi="Times New Roman" w:cs="Times New Roman"/>
        </w:rPr>
        <w:t xml:space="preserve"> D.P.U. 24-10/11/12 March Biannual Report Template (3-18-25) at 4.</w:t>
      </w:r>
    </w:p>
  </w:footnote>
  <w:footnote w:id="7">
    <w:p w14:paraId="488BB511" w14:textId="0F1EAB33" w:rsidR="007F55A0" w:rsidRPr="006B3A7F" w:rsidRDefault="007F55A0" w:rsidP="007F55A0">
      <w:pPr>
        <w:pStyle w:val="FootnoteText"/>
        <w:rPr>
          <w:rFonts w:ascii="Times New Roman" w:hAnsi="Times New Roman" w:cs="Times New Roman"/>
        </w:rPr>
      </w:pPr>
      <w:r w:rsidRPr="006B3A7F">
        <w:rPr>
          <w:rStyle w:val="FootnoteReference"/>
          <w:rFonts w:ascii="Times New Roman" w:hAnsi="Times New Roman" w:cs="Times New Roman"/>
        </w:rPr>
        <w:footnoteRef/>
      </w:r>
      <w:r w:rsidR="2EF86000" w:rsidRPr="006B3A7F">
        <w:rPr>
          <w:rFonts w:ascii="Times New Roman" w:hAnsi="Times New Roman" w:cs="Times New Roman"/>
        </w:rPr>
        <w:t xml:space="preserve"> D.P.U. 24-10/24-11/24-12 Order at 385.</w:t>
      </w:r>
    </w:p>
  </w:footnote>
  <w:footnote w:id="8">
    <w:p w14:paraId="367A99A0" w14:textId="77777777" w:rsidR="004E0B13" w:rsidRPr="006B3A7F" w:rsidRDefault="004E0B13" w:rsidP="004E0B13">
      <w:pPr>
        <w:pStyle w:val="FootnoteText"/>
        <w:rPr>
          <w:rFonts w:ascii="Times New Roman" w:hAnsi="Times New Roman" w:cs="Times New Roman"/>
        </w:rPr>
      </w:pPr>
      <w:r w:rsidRPr="006B3A7F">
        <w:rPr>
          <w:rStyle w:val="FootnoteReference"/>
          <w:rFonts w:ascii="Times New Roman" w:hAnsi="Times New Roman" w:cs="Times New Roman"/>
        </w:rPr>
        <w:footnoteRef/>
      </w:r>
      <w:r w:rsidRPr="006B3A7F">
        <w:rPr>
          <w:rFonts w:ascii="Times New Roman" w:hAnsi="Times New Roman" w:cs="Times New Roman"/>
        </w:rPr>
        <w:t xml:space="preserve"> D.P.U. 24-10/11/12 March Biannual Report Template (3-18-25) at 5-6.</w:t>
      </w:r>
    </w:p>
  </w:footnote>
  <w:footnote w:id="9">
    <w:p w14:paraId="14D07F48" w14:textId="229A243E" w:rsidR="009255D1" w:rsidRDefault="009255D1">
      <w:pPr>
        <w:pStyle w:val="FootnoteText"/>
      </w:pPr>
      <w:r w:rsidRPr="006B3A7F">
        <w:rPr>
          <w:rStyle w:val="FootnoteReference"/>
          <w:rFonts w:ascii="Times New Roman" w:hAnsi="Times New Roman" w:cs="Times New Roman"/>
        </w:rPr>
        <w:footnoteRef/>
      </w:r>
      <w:r w:rsidR="2EF86000">
        <w:t xml:space="preserve"> </w:t>
      </w:r>
      <w:r w:rsidR="00283E71" w:rsidRPr="002958CF">
        <w:rPr>
          <w:rFonts w:ascii="Times New Roman" w:hAnsi="Times New Roman" w:cs="Times New Roman"/>
        </w:rPr>
        <w:t>Draft February 2</w:t>
      </w:r>
      <w:r w:rsidR="00283E71">
        <w:rPr>
          <w:rFonts w:ascii="Times New Roman" w:hAnsi="Times New Roman" w:cs="Times New Roman"/>
        </w:rPr>
        <w:t>7</w:t>
      </w:r>
      <w:r w:rsidR="00283E71" w:rsidRPr="002958CF">
        <w:rPr>
          <w:rFonts w:ascii="Times New Roman" w:hAnsi="Times New Roman" w:cs="Times New Roman"/>
        </w:rPr>
        <w:t xml:space="preserve">, 2025 </w:t>
      </w:r>
      <w:r w:rsidR="00283E71">
        <w:rPr>
          <w:rFonts w:ascii="Times New Roman" w:hAnsi="Times New Roman" w:cs="Times New Roman"/>
        </w:rPr>
        <w:t>GMAC</w:t>
      </w:r>
      <w:r w:rsidR="00283E71" w:rsidRPr="002958CF">
        <w:rPr>
          <w:rFonts w:ascii="Times New Roman" w:hAnsi="Times New Roman" w:cs="Times New Roman"/>
        </w:rPr>
        <w:t xml:space="preserve"> meeting minutes a</w:t>
      </w:r>
      <w:r w:rsidR="00155E3F">
        <w:rPr>
          <w:rFonts w:ascii="Times New Roman" w:hAnsi="Times New Roman" w:cs="Times New Roman"/>
        </w:rPr>
        <w:t>t 7</w:t>
      </w:r>
      <w:r w:rsidR="00283E71" w:rsidRPr="002958CF">
        <w:rPr>
          <w:rFonts w:ascii="Times New Roman" w:hAnsi="Times New Roman" w:cs="Times New Roman"/>
        </w:rPr>
        <w:t>, available at</w:t>
      </w:r>
      <w:r w:rsidR="00155E3F">
        <w:rPr>
          <w:rFonts w:ascii="Times New Roman" w:hAnsi="Times New Roman" w:cs="Times New Roman"/>
        </w:rPr>
        <w:t xml:space="preserve"> </w:t>
      </w:r>
      <w:hyperlink r:id="rId3" w:history="1">
        <w:r w:rsidR="001B3E43" w:rsidRPr="00B16C5F">
          <w:rPr>
            <w:rStyle w:val="Hyperlink"/>
            <w:rFonts w:ascii="Times New Roman" w:hAnsi="Times New Roman" w:cs="Times New Roman"/>
          </w:rPr>
          <w:t>https://www.mass.gov/doc/draft-meeting-minutes-17/download</w:t>
        </w:r>
      </w:hyperlink>
      <w:r w:rsidR="001B3E43">
        <w:rPr>
          <w:rFonts w:ascii="Times New Roman" w:hAnsi="Times New Roman" w:cs="Times New Roman"/>
        </w:rPr>
        <w:t xml:space="preserve">. </w:t>
      </w:r>
    </w:p>
  </w:footnote>
  <w:footnote w:id="10">
    <w:p w14:paraId="76054A6E" w14:textId="02B2F9F3" w:rsidR="00DC57AA" w:rsidRPr="00346B86" w:rsidRDefault="00DC57AA">
      <w:pPr>
        <w:pStyle w:val="FootnoteText"/>
        <w:rPr>
          <w:rFonts w:ascii="Times New Roman" w:hAnsi="Times New Roman" w:cs="Times New Roman"/>
        </w:rPr>
      </w:pPr>
      <w:r w:rsidRPr="00032453">
        <w:rPr>
          <w:rStyle w:val="FootnoteReference"/>
          <w:rFonts w:ascii="Times New Roman" w:hAnsi="Times New Roman" w:cs="Times New Roman"/>
        </w:rPr>
        <w:footnoteRef/>
      </w:r>
      <w:r w:rsidR="2EF86000" w:rsidRPr="00346B86">
        <w:rPr>
          <w:rFonts w:ascii="Times New Roman" w:hAnsi="Times New Roman" w:cs="Times New Roman"/>
        </w:rPr>
        <w:t xml:space="preserve"> The EDCs propose to provide updates on stakeholder involvement for Grid Services in their March biannual report. The EWG recommends this additional metric is provided. (D.P.U. 24-10/11/12 March Biannual Report Template (3-18-25) at 1.)</w:t>
      </w:r>
    </w:p>
  </w:footnote>
  <w:footnote w:id="11">
    <w:p w14:paraId="0011CBC6" w14:textId="28977358" w:rsidR="00FB5024" w:rsidRPr="00346B86" w:rsidRDefault="00FB5024">
      <w:pPr>
        <w:pStyle w:val="FootnoteText"/>
        <w:rPr>
          <w:rFonts w:ascii="Times New Roman" w:hAnsi="Times New Roman" w:cs="Times New Roman"/>
        </w:rPr>
      </w:pPr>
      <w:r w:rsidRPr="00346B86">
        <w:rPr>
          <w:rStyle w:val="FootnoteReference"/>
          <w:rFonts w:ascii="Times New Roman" w:hAnsi="Times New Roman" w:cs="Times New Roman"/>
        </w:rPr>
        <w:footnoteRef/>
      </w:r>
      <w:r w:rsidRPr="00346B86">
        <w:rPr>
          <w:rFonts w:ascii="Times New Roman" w:hAnsi="Times New Roman" w:cs="Times New Roman"/>
        </w:rPr>
        <w:t xml:space="preserve"> D.P.U. 24-10/11/12 March Biannual Report Template (3-18-25) at 7.</w:t>
      </w:r>
    </w:p>
  </w:footnote>
  <w:footnote w:id="12">
    <w:p w14:paraId="173EC0A7" w14:textId="5D3CD2D0" w:rsidR="7F52448C" w:rsidRPr="00DF4B3C" w:rsidRDefault="7F52448C" w:rsidP="7F52448C">
      <w:pPr>
        <w:pStyle w:val="FootnoteText"/>
        <w:rPr>
          <w:rFonts w:ascii="Times New Roman" w:hAnsi="Times New Roman" w:cs="Times New Roman"/>
        </w:rPr>
      </w:pPr>
      <w:r w:rsidRPr="00DF4B3C">
        <w:rPr>
          <w:rStyle w:val="FootnoteReference"/>
          <w:rFonts w:ascii="Times New Roman" w:hAnsi="Times New Roman" w:cs="Times New Roman"/>
        </w:rPr>
        <w:footnoteRef/>
      </w:r>
      <w:r w:rsidRPr="00DF4B3C">
        <w:rPr>
          <w:rFonts w:ascii="Times New Roman" w:hAnsi="Times New Roman" w:cs="Times New Roman"/>
        </w:rPr>
        <w:t xml:space="preserve"> </w:t>
      </w:r>
      <w:r w:rsidR="00AF5BA7" w:rsidRPr="00DF4B3C">
        <w:rPr>
          <w:rFonts w:ascii="Times New Roman" w:hAnsi="Times New Roman" w:cs="Times New Roman"/>
        </w:rPr>
        <w:t>Please refer to Appendix 1</w:t>
      </w:r>
      <w:r w:rsidR="003C77DD" w:rsidRPr="00DF4B3C">
        <w:rPr>
          <w:rFonts w:ascii="Times New Roman" w:hAnsi="Times New Roman" w:cs="Times New Roman"/>
        </w:rPr>
        <w:t xml:space="preserve"> where we</w:t>
      </w:r>
      <w:r w:rsidRPr="00DF4B3C">
        <w:rPr>
          <w:rFonts w:ascii="Times New Roman" w:hAnsi="Times New Roman" w:cs="Times New Roman"/>
        </w:rPr>
        <w:t xml:space="preserve"> have mapped the existing reporting metrics and proposed metrics against the suggestions from our original comments and have noted where gaps still </w:t>
      </w:r>
      <w:r w:rsidR="003C77DD" w:rsidRPr="00DF4B3C">
        <w:rPr>
          <w:rFonts w:ascii="Times New Roman" w:hAnsi="Times New Roman" w:cs="Times New Roman"/>
        </w:rPr>
        <w:t>exist.</w:t>
      </w:r>
    </w:p>
  </w:footnote>
  <w:footnote w:id="13">
    <w:p w14:paraId="636C4BE4" w14:textId="50D008ED" w:rsidR="00787472" w:rsidRPr="00346B86" w:rsidRDefault="00787472">
      <w:pPr>
        <w:pStyle w:val="FootnoteText"/>
        <w:rPr>
          <w:rFonts w:ascii="Times New Roman" w:hAnsi="Times New Roman" w:cs="Times New Roman"/>
        </w:rPr>
      </w:pPr>
      <w:r w:rsidRPr="00346B86">
        <w:rPr>
          <w:rStyle w:val="FootnoteReference"/>
          <w:rFonts w:ascii="Times New Roman" w:hAnsi="Times New Roman" w:cs="Times New Roman"/>
        </w:rPr>
        <w:footnoteRef/>
      </w:r>
      <w:r w:rsidRPr="00346B86">
        <w:rPr>
          <w:rFonts w:ascii="Times New Roman" w:hAnsi="Times New Roman" w:cs="Times New Roman"/>
        </w:rPr>
        <w:t xml:space="preserve"> Hawaiian Electric PBR Scorecards and Metrics available at </w:t>
      </w:r>
      <w:hyperlink r:id="rId4" w:history="1">
        <w:r w:rsidR="0037272D" w:rsidRPr="00346B86">
          <w:rPr>
            <w:rStyle w:val="Hyperlink"/>
            <w:rFonts w:ascii="Times New Roman" w:hAnsi="Times New Roman" w:cs="Times New Roman"/>
          </w:rPr>
          <w:t>https://www.hawaiianelectric.com/about-us/performance-scorecards-and-metrics/affordability</w:t>
        </w:r>
      </w:hyperlink>
      <w:r w:rsidR="0037272D" w:rsidRPr="00346B86">
        <w:rPr>
          <w:rFonts w:ascii="Times New Roman" w:hAnsi="Times New Roman" w:cs="Times New Roman"/>
        </w:rPr>
        <w:t xml:space="preserve">. </w:t>
      </w:r>
    </w:p>
  </w:footnote>
  <w:footnote w:id="14">
    <w:p w14:paraId="71142093" w14:textId="72B1A0E3" w:rsidR="00454E6E" w:rsidRDefault="00454E6E">
      <w:pPr>
        <w:pStyle w:val="FootnoteText"/>
      </w:pPr>
      <w:r w:rsidRPr="00032453">
        <w:rPr>
          <w:rStyle w:val="FootnoteReference"/>
          <w:rFonts w:ascii="Times New Roman" w:hAnsi="Times New Roman" w:cs="Times New Roman"/>
        </w:rPr>
        <w:footnoteRef/>
      </w:r>
      <w:r w:rsidRPr="00032453">
        <w:rPr>
          <w:rFonts w:ascii="Times New Roman" w:hAnsi="Times New Roman" w:cs="Times New Roman"/>
        </w:rPr>
        <w:t xml:space="preserve"> </w:t>
      </w:r>
      <w:r w:rsidR="006610F3" w:rsidRPr="00032453">
        <w:rPr>
          <w:rFonts w:ascii="Times New Roman" w:hAnsi="Times New Roman" w:cs="Times New Roman"/>
        </w:rPr>
        <w:t>The number and category of requests made as part of stakeholder feedback on specific ESMP infrastructure projects, classified into visual mitigation, access accommodations, work hours, right-of-way maintenance, informational accommodations, engineering accommodations, and damage prevention, as well as the EDC’s response to these requests classified as under consideration, implemented, not accepted with reason, and other.</w:t>
      </w:r>
      <w:r w:rsidR="00DF4B3C" w:rsidRPr="00032453">
        <w:rPr>
          <w:rFonts w:ascii="Times New Roman" w:hAnsi="Times New Roman" w:cs="Times New Roman"/>
        </w:rPr>
        <w:t xml:space="preserve"> (D.P.U. 24-10/11/12 March Biannual Report Template (3-18-25) at 5).</w:t>
      </w:r>
    </w:p>
  </w:footnote>
  <w:footnote w:id="15">
    <w:p w14:paraId="73B36FD2" w14:textId="6C89968E" w:rsidR="00AF5BA7" w:rsidRPr="00487F28" w:rsidRDefault="00AF5BA7">
      <w:pPr>
        <w:pStyle w:val="FootnoteText"/>
        <w:rPr>
          <w:rFonts w:ascii="Times New Roman" w:hAnsi="Times New Roman" w:cs="Times New Roman"/>
        </w:rPr>
      </w:pPr>
      <w:r w:rsidRPr="00280955">
        <w:rPr>
          <w:rStyle w:val="FootnoteReference"/>
          <w:rFonts w:ascii="Times New Roman" w:hAnsi="Times New Roman" w:cs="Times New Roman"/>
        </w:rPr>
        <w:footnoteRef/>
      </w:r>
      <w:r w:rsidRPr="00280955">
        <w:rPr>
          <w:rFonts w:ascii="Times New Roman" w:hAnsi="Times New Roman" w:cs="Times New Roman"/>
        </w:rPr>
        <w:t xml:space="preserve"> In the original </w:t>
      </w:r>
      <w:r w:rsidRPr="00556882">
        <w:rPr>
          <w:rFonts w:ascii="Times New Roman" w:hAnsi="Times New Roman" w:cs="Times New Roman"/>
        </w:rPr>
        <w:t xml:space="preserve">EWG </w:t>
      </w:r>
      <w:r w:rsidRPr="00280955">
        <w:rPr>
          <w:rFonts w:ascii="Times New Roman" w:hAnsi="Times New Roman" w:cs="Times New Roman"/>
        </w:rPr>
        <w:t>comment</w:t>
      </w:r>
      <w:r w:rsidR="0078125A" w:rsidRPr="00556882">
        <w:rPr>
          <w:rFonts w:ascii="Times New Roman" w:hAnsi="Times New Roman" w:cs="Times New Roman"/>
        </w:rPr>
        <w:t>s</w:t>
      </w:r>
      <w:r w:rsidRPr="00487F28">
        <w:rPr>
          <w:rFonts w:ascii="Times New Roman" w:hAnsi="Times New Roman" w:cs="Times New Roman"/>
        </w:rPr>
        <w:t>, we provided many metrics as samples to consider</w:t>
      </w:r>
      <w:r w:rsidR="0078125A" w:rsidRPr="00556882">
        <w:rPr>
          <w:rFonts w:ascii="Times New Roman" w:hAnsi="Times New Roman" w:cs="Times New Roman"/>
        </w:rPr>
        <w:t xml:space="preserve"> (Refer to Appendix Ai: Equity Working Group’s Proposed Metrics in the GMAC Final Report, </w:t>
      </w:r>
      <w:r w:rsidR="00556882" w:rsidRPr="00556882">
        <w:rPr>
          <w:rFonts w:ascii="Times New Roman" w:hAnsi="Times New Roman" w:cs="Times New Roman"/>
        </w:rPr>
        <w:t xml:space="preserve">at 39-44, </w:t>
      </w:r>
      <w:r w:rsidR="0078125A" w:rsidRPr="00556882">
        <w:rPr>
          <w:rFonts w:ascii="Times New Roman" w:hAnsi="Times New Roman" w:cs="Times New Roman"/>
        </w:rPr>
        <w:t xml:space="preserve">available at </w:t>
      </w:r>
      <w:hyperlink r:id="rId5" w:history="1">
        <w:r w:rsidR="00556882" w:rsidRPr="00556882">
          <w:rPr>
            <w:rStyle w:val="Hyperlink"/>
            <w:rFonts w:ascii="Times New Roman" w:hAnsi="Times New Roman" w:cs="Times New Roman"/>
          </w:rPr>
          <w:t>https://www.mass.gov/doc/gmac-final-report/download</w:t>
        </w:r>
      </w:hyperlink>
      <w:r w:rsidRPr="00487F2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D3B8" w14:textId="20EEAF52" w:rsidR="00401D75" w:rsidRPr="00401D75" w:rsidRDefault="00401D75">
    <w:pPr>
      <w:pStyle w:val="Header"/>
      <w:rPr>
        <w:rFonts w:ascii="Times New Roman" w:hAnsi="Times New Roman" w:cs="Times New Roman"/>
        <w:i/>
        <w:iCs/>
        <w:sz w:val="24"/>
        <w:szCs w:val="24"/>
      </w:rPr>
    </w:pPr>
    <w:r w:rsidRPr="00401D75">
      <w:rPr>
        <w:rFonts w:ascii="Times New Roman" w:hAnsi="Times New Roman" w:cs="Times New Roman"/>
        <w:i/>
        <w:iCs/>
        <w:sz w:val="24"/>
        <w:szCs w:val="24"/>
      </w:rPr>
      <w:t>Draft</w:t>
    </w:r>
    <w:r w:rsidR="00DE5F12">
      <w:rPr>
        <w:rFonts w:ascii="Times New Roman" w:hAnsi="Times New Roman" w:cs="Times New Roman"/>
        <w:i/>
        <w:iCs/>
        <w:sz w:val="24"/>
        <w:szCs w:val="24"/>
      </w:rPr>
      <w:t xml:space="preserve"> – </w:t>
    </w:r>
    <w:r w:rsidR="00F27DED">
      <w:rPr>
        <w:rFonts w:ascii="Times New Roman" w:hAnsi="Times New Roman" w:cs="Times New Roman"/>
        <w:i/>
        <w:iCs/>
        <w:sz w:val="24"/>
        <w:szCs w:val="24"/>
      </w:rPr>
      <w:t xml:space="preserve">For EWG Consideration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F3AF"/>
    <w:multiLevelType w:val="hybridMultilevel"/>
    <w:tmpl w:val="FFFFFFFF"/>
    <w:lvl w:ilvl="0" w:tplc="9FAAC7FA">
      <w:start w:val="1"/>
      <w:numFmt w:val="bullet"/>
      <w:lvlText w:val="-"/>
      <w:lvlJc w:val="left"/>
      <w:pPr>
        <w:ind w:left="360" w:hanging="360"/>
      </w:pPr>
      <w:rPr>
        <w:rFonts w:ascii="Calibri" w:hAnsi="Calibri" w:hint="default"/>
      </w:rPr>
    </w:lvl>
    <w:lvl w:ilvl="1" w:tplc="59CE956E">
      <w:start w:val="1"/>
      <w:numFmt w:val="bullet"/>
      <w:lvlText w:val="o"/>
      <w:lvlJc w:val="left"/>
      <w:pPr>
        <w:ind w:left="1080" w:hanging="360"/>
      </w:pPr>
      <w:rPr>
        <w:rFonts w:ascii="Courier New" w:hAnsi="Courier New" w:hint="default"/>
      </w:rPr>
    </w:lvl>
    <w:lvl w:ilvl="2" w:tplc="04186AA0">
      <w:start w:val="1"/>
      <w:numFmt w:val="bullet"/>
      <w:lvlText w:val=""/>
      <w:lvlJc w:val="left"/>
      <w:pPr>
        <w:ind w:left="1800" w:hanging="360"/>
      </w:pPr>
      <w:rPr>
        <w:rFonts w:ascii="Wingdings" w:hAnsi="Wingdings" w:hint="default"/>
      </w:rPr>
    </w:lvl>
    <w:lvl w:ilvl="3" w:tplc="08363DF6">
      <w:start w:val="1"/>
      <w:numFmt w:val="bullet"/>
      <w:lvlText w:val=""/>
      <w:lvlJc w:val="left"/>
      <w:pPr>
        <w:ind w:left="2520" w:hanging="360"/>
      </w:pPr>
      <w:rPr>
        <w:rFonts w:ascii="Symbol" w:hAnsi="Symbol" w:hint="default"/>
      </w:rPr>
    </w:lvl>
    <w:lvl w:ilvl="4" w:tplc="73260B8E">
      <w:start w:val="1"/>
      <w:numFmt w:val="bullet"/>
      <w:lvlText w:val="o"/>
      <w:lvlJc w:val="left"/>
      <w:pPr>
        <w:ind w:left="3240" w:hanging="360"/>
      </w:pPr>
      <w:rPr>
        <w:rFonts w:ascii="Courier New" w:hAnsi="Courier New" w:hint="default"/>
      </w:rPr>
    </w:lvl>
    <w:lvl w:ilvl="5" w:tplc="AF806256">
      <w:start w:val="1"/>
      <w:numFmt w:val="bullet"/>
      <w:lvlText w:val=""/>
      <w:lvlJc w:val="left"/>
      <w:pPr>
        <w:ind w:left="3960" w:hanging="360"/>
      </w:pPr>
      <w:rPr>
        <w:rFonts w:ascii="Wingdings" w:hAnsi="Wingdings" w:hint="default"/>
      </w:rPr>
    </w:lvl>
    <w:lvl w:ilvl="6" w:tplc="D6E0F9BC">
      <w:start w:val="1"/>
      <w:numFmt w:val="bullet"/>
      <w:lvlText w:val=""/>
      <w:lvlJc w:val="left"/>
      <w:pPr>
        <w:ind w:left="4680" w:hanging="360"/>
      </w:pPr>
      <w:rPr>
        <w:rFonts w:ascii="Symbol" w:hAnsi="Symbol" w:hint="default"/>
      </w:rPr>
    </w:lvl>
    <w:lvl w:ilvl="7" w:tplc="27A2BCCE">
      <w:start w:val="1"/>
      <w:numFmt w:val="bullet"/>
      <w:lvlText w:val="o"/>
      <w:lvlJc w:val="left"/>
      <w:pPr>
        <w:ind w:left="5400" w:hanging="360"/>
      </w:pPr>
      <w:rPr>
        <w:rFonts w:ascii="Courier New" w:hAnsi="Courier New" w:hint="default"/>
      </w:rPr>
    </w:lvl>
    <w:lvl w:ilvl="8" w:tplc="E1365AF0">
      <w:start w:val="1"/>
      <w:numFmt w:val="bullet"/>
      <w:lvlText w:val=""/>
      <w:lvlJc w:val="left"/>
      <w:pPr>
        <w:ind w:left="6120" w:hanging="360"/>
      </w:pPr>
      <w:rPr>
        <w:rFonts w:ascii="Wingdings" w:hAnsi="Wingdings" w:hint="default"/>
      </w:rPr>
    </w:lvl>
  </w:abstractNum>
  <w:abstractNum w:abstractNumId="1" w15:restartNumberingAfterBreak="0">
    <w:nsid w:val="0AC30829"/>
    <w:multiLevelType w:val="hybridMultilevel"/>
    <w:tmpl w:val="A4026330"/>
    <w:lvl w:ilvl="0" w:tplc="89ECA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46C1A"/>
    <w:multiLevelType w:val="hybridMultilevel"/>
    <w:tmpl w:val="D964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974C3"/>
    <w:multiLevelType w:val="hybridMultilevel"/>
    <w:tmpl w:val="3AB8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33FA"/>
    <w:multiLevelType w:val="multilevel"/>
    <w:tmpl w:val="8DCA1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9E6319D"/>
    <w:multiLevelType w:val="hybridMultilevel"/>
    <w:tmpl w:val="2AA6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3370F"/>
    <w:multiLevelType w:val="hybridMultilevel"/>
    <w:tmpl w:val="AF4A16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D4DDA"/>
    <w:multiLevelType w:val="hybridMultilevel"/>
    <w:tmpl w:val="C3ECE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7D1BE"/>
    <w:multiLevelType w:val="hybridMultilevel"/>
    <w:tmpl w:val="D3AC2D46"/>
    <w:lvl w:ilvl="0" w:tplc="3F54D82C">
      <w:start w:val="1"/>
      <w:numFmt w:val="bullet"/>
      <w:lvlText w:val="-"/>
      <w:lvlJc w:val="left"/>
      <w:pPr>
        <w:ind w:left="720" w:hanging="360"/>
      </w:pPr>
      <w:rPr>
        <w:rFonts w:ascii="Calibri" w:hAnsi="Calibri" w:hint="default"/>
      </w:rPr>
    </w:lvl>
    <w:lvl w:ilvl="1" w:tplc="8B6E8A24">
      <w:start w:val="1"/>
      <w:numFmt w:val="bullet"/>
      <w:lvlText w:val="o"/>
      <w:lvlJc w:val="left"/>
      <w:pPr>
        <w:ind w:left="1440" w:hanging="360"/>
      </w:pPr>
      <w:rPr>
        <w:rFonts w:ascii="Courier New" w:hAnsi="Courier New" w:hint="default"/>
      </w:rPr>
    </w:lvl>
    <w:lvl w:ilvl="2" w:tplc="0DB2C25A">
      <w:start w:val="1"/>
      <w:numFmt w:val="bullet"/>
      <w:lvlText w:val=""/>
      <w:lvlJc w:val="left"/>
      <w:pPr>
        <w:ind w:left="2160" w:hanging="360"/>
      </w:pPr>
      <w:rPr>
        <w:rFonts w:ascii="Wingdings" w:hAnsi="Wingdings" w:hint="default"/>
      </w:rPr>
    </w:lvl>
    <w:lvl w:ilvl="3" w:tplc="6742C6CE">
      <w:start w:val="1"/>
      <w:numFmt w:val="bullet"/>
      <w:lvlText w:val=""/>
      <w:lvlJc w:val="left"/>
      <w:pPr>
        <w:ind w:left="2880" w:hanging="360"/>
      </w:pPr>
      <w:rPr>
        <w:rFonts w:ascii="Symbol" w:hAnsi="Symbol" w:hint="default"/>
      </w:rPr>
    </w:lvl>
    <w:lvl w:ilvl="4" w:tplc="6D480658">
      <w:start w:val="1"/>
      <w:numFmt w:val="bullet"/>
      <w:lvlText w:val="o"/>
      <w:lvlJc w:val="left"/>
      <w:pPr>
        <w:ind w:left="3600" w:hanging="360"/>
      </w:pPr>
      <w:rPr>
        <w:rFonts w:ascii="Courier New" w:hAnsi="Courier New" w:hint="default"/>
      </w:rPr>
    </w:lvl>
    <w:lvl w:ilvl="5" w:tplc="BD28466C">
      <w:start w:val="1"/>
      <w:numFmt w:val="bullet"/>
      <w:lvlText w:val=""/>
      <w:lvlJc w:val="left"/>
      <w:pPr>
        <w:ind w:left="4320" w:hanging="360"/>
      </w:pPr>
      <w:rPr>
        <w:rFonts w:ascii="Wingdings" w:hAnsi="Wingdings" w:hint="default"/>
      </w:rPr>
    </w:lvl>
    <w:lvl w:ilvl="6" w:tplc="02FE1BA6">
      <w:start w:val="1"/>
      <w:numFmt w:val="bullet"/>
      <w:lvlText w:val=""/>
      <w:lvlJc w:val="left"/>
      <w:pPr>
        <w:ind w:left="5040" w:hanging="360"/>
      </w:pPr>
      <w:rPr>
        <w:rFonts w:ascii="Symbol" w:hAnsi="Symbol" w:hint="default"/>
      </w:rPr>
    </w:lvl>
    <w:lvl w:ilvl="7" w:tplc="F30CA7EA">
      <w:start w:val="1"/>
      <w:numFmt w:val="bullet"/>
      <w:lvlText w:val="o"/>
      <w:lvlJc w:val="left"/>
      <w:pPr>
        <w:ind w:left="5760" w:hanging="360"/>
      </w:pPr>
      <w:rPr>
        <w:rFonts w:ascii="Courier New" w:hAnsi="Courier New" w:hint="default"/>
      </w:rPr>
    </w:lvl>
    <w:lvl w:ilvl="8" w:tplc="60F8A1DE">
      <w:start w:val="1"/>
      <w:numFmt w:val="bullet"/>
      <w:lvlText w:val=""/>
      <w:lvlJc w:val="left"/>
      <w:pPr>
        <w:ind w:left="6480" w:hanging="360"/>
      </w:pPr>
      <w:rPr>
        <w:rFonts w:ascii="Wingdings" w:hAnsi="Wingdings" w:hint="default"/>
      </w:rPr>
    </w:lvl>
  </w:abstractNum>
  <w:abstractNum w:abstractNumId="9" w15:restartNumberingAfterBreak="0">
    <w:nsid w:val="42B6F410"/>
    <w:multiLevelType w:val="hybridMultilevel"/>
    <w:tmpl w:val="C2B42152"/>
    <w:lvl w:ilvl="0" w:tplc="70C4B19A">
      <w:start w:val="1"/>
      <w:numFmt w:val="bullet"/>
      <w:lvlText w:val="-"/>
      <w:lvlJc w:val="left"/>
      <w:pPr>
        <w:ind w:left="1080" w:hanging="360"/>
      </w:pPr>
      <w:rPr>
        <w:rFonts w:ascii="Calibri" w:hAnsi="Calibri" w:hint="default"/>
      </w:rPr>
    </w:lvl>
    <w:lvl w:ilvl="1" w:tplc="121AB69E">
      <w:start w:val="1"/>
      <w:numFmt w:val="bullet"/>
      <w:lvlText w:val="o"/>
      <w:lvlJc w:val="left"/>
      <w:pPr>
        <w:ind w:left="1800" w:hanging="360"/>
      </w:pPr>
      <w:rPr>
        <w:rFonts w:ascii="Courier New" w:hAnsi="Courier New" w:hint="default"/>
      </w:rPr>
    </w:lvl>
    <w:lvl w:ilvl="2" w:tplc="674416C2">
      <w:start w:val="1"/>
      <w:numFmt w:val="bullet"/>
      <w:lvlText w:val=""/>
      <w:lvlJc w:val="left"/>
      <w:pPr>
        <w:ind w:left="2520" w:hanging="360"/>
      </w:pPr>
      <w:rPr>
        <w:rFonts w:ascii="Wingdings" w:hAnsi="Wingdings" w:hint="default"/>
      </w:rPr>
    </w:lvl>
    <w:lvl w:ilvl="3" w:tplc="598013EE">
      <w:start w:val="1"/>
      <w:numFmt w:val="bullet"/>
      <w:lvlText w:val=""/>
      <w:lvlJc w:val="left"/>
      <w:pPr>
        <w:ind w:left="3240" w:hanging="360"/>
      </w:pPr>
      <w:rPr>
        <w:rFonts w:ascii="Symbol" w:hAnsi="Symbol" w:hint="default"/>
      </w:rPr>
    </w:lvl>
    <w:lvl w:ilvl="4" w:tplc="11FE8EA8">
      <w:start w:val="1"/>
      <w:numFmt w:val="bullet"/>
      <w:lvlText w:val="o"/>
      <w:lvlJc w:val="left"/>
      <w:pPr>
        <w:ind w:left="3960" w:hanging="360"/>
      </w:pPr>
      <w:rPr>
        <w:rFonts w:ascii="Courier New" w:hAnsi="Courier New" w:hint="default"/>
      </w:rPr>
    </w:lvl>
    <w:lvl w:ilvl="5" w:tplc="41607DDC">
      <w:start w:val="1"/>
      <w:numFmt w:val="bullet"/>
      <w:lvlText w:val=""/>
      <w:lvlJc w:val="left"/>
      <w:pPr>
        <w:ind w:left="4680" w:hanging="360"/>
      </w:pPr>
      <w:rPr>
        <w:rFonts w:ascii="Wingdings" w:hAnsi="Wingdings" w:hint="default"/>
      </w:rPr>
    </w:lvl>
    <w:lvl w:ilvl="6" w:tplc="E1365286">
      <w:start w:val="1"/>
      <w:numFmt w:val="bullet"/>
      <w:lvlText w:val=""/>
      <w:lvlJc w:val="left"/>
      <w:pPr>
        <w:ind w:left="5400" w:hanging="360"/>
      </w:pPr>
      <w:rPr>
        <w:rFonts w:ascii="Symbol" w:hAnsi="Symbol" w:hint="default"/>
      </w:rPr>
    </w:lvl>
    <w:lvl w:ilvl="7" w:tplc="5D5AC732">
      <w:start w:val="1"/>
      <w:numFmt w:val="bullet"/>
      <w:lvlText w:val="o"/>
      <w:lvlJc w:val="left"/>
      <w:pPr>
        <w:ind w:left="6120" w:hanging="360"/>
      </w:pPr>
      <w:rPr>
        <w:rFonts w:ascii="Courier New" w:hAnsi="Courier New" w:hint="default"/>
      </w:rPr>
    </w:lvl>
    <w:lvl w:ilvl="8" w:tplc="7D8CFEEE">
      <w:start w:val="1"/>
      <w:numFmt w:val="bullet"/>
      <w:lvlText w:val=""/>
      <w:lvlJc w:val="left"/>
      <w:pPr>
        <w:ind w:left="6840" w:hanging="360"/>
      </w:pPr>
      <w:rPr>
        <w:rFonts w:ascii="Wingdings" w:hAnsi="Wingdings" w:hint="default"/>
      </w:rPr>
    </w:lvl>
  </w:abstractNum>
  <w:abstractNum w:abstractNumId="10" w15:restartNumberingAfterBreak="0">
    <w:nsid w:val="523FCD52"/>
    <w:multiLevelType w:val="hybridMultilevel"/>
    <w:tmpl w:val="59CEBE62"/>
    <w:lvl w:ilvl="0" w:tplc="FFFFFFFF">
      <w:start w:val="1"/>
      <w:numFmt w:val="bullet"/>
      <w:lvlText w:val="-"/>
      <w:lvlJc w:val="left"/>
      <w:pPr>
        <w:ind w:left="720" w:hanging="360"/>
      </w:pPr>
      <w:rPr>
        <w:rFonts w:ascii="Calibri" w:hAnsi="Calibri" w:hint="default"/>
      </w:rPr>
    </w:lvl>
    <w:lvl w:ilvl="1" w:tplc="25A2FDF4">
      <w:start w:val="1"/>
      <w:numFmt w:val="bullet"/>
      <w:lvlText w:val="o"/>
      <w:lvlJc w:val="left"/>
      <w:pPr>
        <w:ind w:left="1440" w:hanging="360"/>
      </w:pPr>
      <w:rPr>
        <w:rFonts w:ascii="Courier New" w:hAnsi="Courier New" w:hint="default"/>
      </w:rPr>
    </w:lvl>
    <w:lvl w:ilvl="2" w:tplc="344EF40A">
      <w:start w:val="1"/>
      <w:numFmt w:val="bullet"/>
      <w:lvlText w:val=""/>
      <w:lvlJc w:val="left"/>
      <w:pPr>
        <w:ind w:left="2160" w:hanging="360"/>
      </w:pPr>
      <w:rPr>
        <w:rFonts w:ascii="Wingdings" w:hAnsi="Wingdings" w:hint="default"/>
      </w:rPr>
    </w:lvl>
    <w:lvl w:ilvl="3" w:tplc="C25486AA">
      <w:start w:val="1"/>
      <w:numFmt w:val="bullet"/>
      <w:lvlText w:val=""/>
      <w:lvlJc w:val="left"/>
      <w:pPr>
        <w:ind w:left="2880" w:hanging="360"/>
      </w:pPr>
      <w:rPr>
        <w:rFonts w:ascii="Symbol" w:hAnsi="Symbol" w:hint="default"/>
      </w:rPr>
    </w:lvl>
    <w:lvl w:ilvl="4" w:tplc="9170E4C8">
      <w:start w:val="1"/>
      <w:numFmt w:val="bullet"/>
      <w:lvlText w:val="o"/>
      <w:lvlJc w:val="left"/>
      <w:pPr>
        <w:ind w:left="3600" w:hanging="360"/>
      </w:pPr>
      <w:rPr>
        <w:rFonts w:ascii="Courier New" w:hAnsi="Courier New" w:hint="default"/>
      </w:rPr>
    </w:lvl>
    <w:lvl w:ilvl="5" w:tplc="4A76F610">
      <w:start w:val="1"/>
      <w:numFmt w:val="bullet"/>
      <w:lvlText w:val=""/>
      <w:lvlJc w:val="left"/>
      <w:pPr>
        <w:ind w:left="4320" w:hanging="360"/>
      </w:pPr>
      <w:rPr>
        <w:rFonts w:ascii="Wingdings" w:hAnsi="Wingdings" w:hint="default"/>
      </w:rPr>
    </w:lvl>
    <w:lvl w:ilvl="6" w:tplc="7FA8C3D8">
      <w:start w:val="1"/>
      <w:numFmt w:val="bullet"/>
      <w:lvlText w:val=""/>
      <w:lvlJc w:val="left"/>
      <w:pPr>
        <w:ind w:left="5040" w:hanging="360"/>
      </w:pPr>
      <w:rPr>
        <w:rFonts w:ascii="Symbol" w:hAnsi="Symbol" w:hint="default"/>
      </w:rPr>
    </w:lvl>
    <w:lvl w:ilvl="7" w:tplc="BB1232BC">
      <w:start w:val="1"/>
      <w:numFmt w:val="bullet"/>
      <w:lvlText w:val="o"/>
      <w:lvlJc w:val="left"/>
      <w:pPr>
        <w:ind w:left="5760" w:hanging="360"/>
      </w:pPr>
      <w:rPr>
        <w:rFonts w:ascii="Courier New" w:hAnsi="Courier New" w:hint="default"/>
      </w:rPr>
    </w:lvl>
    <w:lvl w:ilvl="8" w:tplc="AFB432BE">
      <w:start w:val="1"/>
      <w:numFmt w:val="bullet"/>
      <w:lvlText w:val=""/>
      <w:lvlJc w:val="left"/>
      <w:pPr>
        <w:ind w:left="6480" w:hanging="360"/>
      </w:pPr>
      <w:rPr>
        <w:rFonts w:ascii="Wingdings" w:hAnsi="Wingdings" w:hint="default"/>
      </w:rPr>
    </w:lvl>
  </w:abstractNum>
  <w:abstractNum w:abstractNumId="11" w15:restartNumberingAfterBreak="0">
    <w:nsid w:val="5488105F"/>
    <w:multiLevelType w:val="hybridMultilevel"/>
    <w:tmpl w:val="1DF81598"/>
    <w:lvl w:ilvl="0" w:tplc="A7FC1CA2">
      <w:start w:val="1"/>
      <w:numFmt w:val="bullet"/>
      <w:lvlText w:val="-"/>
      <w:lvlJc w:val="left"/>
      <w:pPr>
        <w:ind w:left="720" w:hanging="360"/>
      </w:pPr>
      <w:rPr>
        <w:rFonts w:ascii="Calibri" w:hAnsi="Calibri" w:hint="default"/>
      </w:rPr>
    </w:lvl>
    <w:lvl w:ilvl="1" w:tplc="CDF60E70">
      <w:start w:val="1"/>
      <w:numFmt w:val="bullet"/>
      <w:lvlText w:val="o"/>
      <w:lvlJc w:val="left"/>
      <w:pPr>
        <w:ind w:left="1440" w:hanging="360"/>
      </w:pPr>
      <w:rPr>
        <w:rFonts w:ascii="Courier New" w:hAnsi="Courier New" w:hint="default"/>
      </w:rPr>
    </w:lvl>
    <w:lvl w:ilvl="2" w:tplc="635E77F6">
      <w:start w:val="1"/>
      <w:numFmt w:val="bullet"/>
      <w:lvlText w:val=""/>
      <w:lvlJc w:val="left"/>
      <w:pPr>
        <w:ind w:left="2160" w:hanging="360"/>
      </w:pPr>
      <w:rPr>
        <w:rFonts w:ascii="Wingdings" w:hAnsi="Wingdings" w:hint="default"/>
      </w:rPr>
    </w:lvl>
    <w:lvl w:ilvl="3" w:tplc="74264382">
      <w:start w:val="1"/>
      <w:numFmt w:val="bullet"/>
      <w:lvlText w:val=""/>
      <w:lvlJc w:val="left"/>
      <w:pPr>
        <w:ind w:left="2880" w:hanging="360"/>
      </w:pPr>
      <w:rPr>
        <w:rFonts w:ascii="Symbol" w:hAnsi="Symbol" w:hint="default"/>
      </w:rPr>
    </w:lvl>
    <w:lvl w:ilvl="4" w:tplc="42C2607A">
      <w:start w:val="1"/>
      <w:numFmt w:val="bullet"/>
      <w:lvlText w:val="o"/>
      <w:lvlJc w:val="left"/>
      <w:pPr>
        <w:ind w:left="3600" w:hanging="360"/>
      </w:pPr>
      <w:rPr>
        <w:rFonts w:ascii="Courier New" w:hAnsi="Courier New" w:hint="default"/>
      </w:rPr>
    </w:lvl>
    <w:lvl w:ilvl="5" w:tplc="9F5650D4">
      <w:start w:val="1"/>
      <w:numFmt w:val="bullet"/>
      <w:lvlText w:val=""/>
      <w:lvlJc w:val="left"/>
      <w:pPr>
        <w:ind w:left="4320" w:hanging="360"/>
      </w:pPr>
      <w:rPr>
        <w:rFonts w:ascii="Wingdings" w:hAnsi="Wingdings" w:hint="default"/>
      </w:rPr>
    </w:lvl>
    <w:lvl w:ilvl="6" w:tplc="5D62E240">
      <w:start w:val="1"/>
      <w:numFmt w:val="bullet"/>
      <w:lvlText w:val=""/>
      <w:lvlJc w:val="left"/>
      <w:pPr>
        <w:ind w:left="5040" w:hanging="360"/>
      </w:pPr>
      <w:rPr>
        <w:rFonts w:ascii="Symbol" w:hAnsi="Symbol" w:hint="default"/>
      </w:rPr>
    </w:lvl>
    <w:lvl w:ilvl="7" w:tplc="75162DDA">
      <w:start w:val="1"/>
      <w:numFmt w:val="bullet"/>
      <w:lvlText w:val="o"/>
      <w:lvlJc w:val="left"/>
      <w:pPr>
        <w:ind w:left="5760" w:hanging="360"/>
      </w:pPr>
      <w:rPr>
        <w:rFonts w:ascii="Courier New" w:hAnsi="Courier New" w:hint="default"/>
      </w:rPr>
    </w:lvl>
    <w:lvl w:ilvl="8" w:tplc="621A1CBA">
      <w:start w:val="1"/>
      <w:numFmt w:val="bullet"/>
      <w:lvlText w:val=""/>
      <w:lvlJc w:val="left"/>
      <w:pPr>
        <w:ind w:left="6480" w:hanging="360"/>
      </w:pPr>
      <w:rPr>
        <w:rFonts w:ascii="Wingdings" w:hAnsi="Wingdings" w:hint="default"/>
      </w:rPr>
    </w:lvl>
  </w:abstractNum>
  <w:abstractNum w:abstractNumId="12" w15:restartNumberingAfterBreak="0">
    <w:nsid w:val="5785586C"/>
    <w:multiLevelType w:val="hybridMultilevel"/>
    <w:tmpl w:val="D326E3CA"/>
    <w:lvl w:ilvl="0" w:tplc="707C9EC4">
      <w:start w:val="1"/>
      <w:numFmt w:val="bullet"/>
      <w:lvlText w:val="•"/>
      <w:lvlJc w:val="left"/>
      <w:pPr>
        <w:tabs>
          <w:tab w:val="num" w:pos="720"/>
        </w:tabs>
        <w:ind w:left="720" w:hanging="360"/>
      </w:pPr>
      <w:rPr>
        <w:rFonts w:ascii="Arial" w:hAnsi="Arial" w:hint="default"/>
      </w:rPr>
    </w:lvl>
    <w:lvl w:ilvl="1" w:tplc="31BA2208" w:tentative="1">
      <w:start w:val="1"/>
      <w:numFmt w:val="bullet"/>
      <w:lvlText w:val="•"/>
      <w:lvlJc w:val="left"/>
      <w:pPr>
        <w:tabs>
          <w:tab w:val="num" w:pos="1440"/>
        </w:tabs>
        <w:ind w:left="1440" w:hanging="360"/>
      </w:pPr>
      <w:rPr>
        <w:rFonts w:ascii="Arial" w:hAnsi="Arial" w:hint="default"/>
      </w:rPr>
    </w:lvl>
    <w:lvl w:ilvl="2" w:tplc="FEC696FC" w:tentative="1">
      <w:start w:val="1"/>
      <w:numFmt w:val="bullet"/>
      <w:lvlText w:val="•"/>
      <w:lvlJc w:val="left"/>
      <w:pPr>
        <w:tabs>
          <w:tab w:val="num" w:pos="2160"/>
        </w:tabs>
        <w:ind w:left="2160" w:hanging="360"/>
      </w:pPr>
      <w:rPr>
        <w:rFonts w:ascii="Arial" w:hAnsi="Arial" w:hint="default"/>
      </w:rPr>
    </w:lvl>
    <w:lvl w:ilvl="3" w:tplc="BAFA9FD0" w:tentative="1">
      <w:start w:val="1"/>
      <w:numFmt w:val="bullet"/>
      <w:lvlText w:val="•"/>
      <w:lvlJc w:val="left"/>
      <w:pPr>
        <w:tabs>
          <w:tab w:val="num" w:pos="2880"/>
        </w:tabs>
        <w:ind w:left="2880" w:hanging="360"/>
      </w:pPr>
      <w:rPr>
        <w:rFonts w:ascii="Arial" w:hAnsi="Arial" w:hint="default"/>
      </w:rPr>
    </w:lvl>
    <w:lvl w:ilvl="4" w:tplc="75A48D98" w:tentative="1">
      <w:start w:val="1"/>
      <w:numFmt w:val="bullet"/>
      <w:lvlText w:val="•"/>
      <w:lvlJc w:val="left"/>
      <w:pPr>
        <w:tabs>
          <w:tab w:val="num" w:pos="3600"/>
        </w:tabs>
        <w:ind w:left="3600" w:hanging="360"/>
      </w:pPr>
      <w:rPr>
        <w:rFonts w:ascii="Arial" w:hAnsi="Arial" w:hint="default"/>
      </w:rPr>
    </w:lvl>
    <w:lvl w:ilvl="5" w:tplc="8FC6278C" w:tentative="1">
      <w:start w:val="1"/>
      <w:numFmt w:val="bullet"/>
      <w:lvlText w:val="•"/>
      <w:lvlJc w:val="left"/>
      <w:pPr>
        <w:tabs>
          <w:tab w:val="num" w:pos="4320"/>
        </w:tabs>
        <w:ind w:left="4320" w:hanging="360"/>
      </w:pPr>
      <w:rPr>
        <w:rFonts w:ascii="Arial" w:hAnsi="Arial" w:hint="default"/>
      </w:rPr>
    </w:lvl>
    <w:lvl w:ilvl="6" w:tplc="9DF2F938" w:tentative="1">
      <w:start w:val="1"/>
      <w:numFmt w:val="bullet"/>
      <w:lvlText w:val="•"/>
      <w:lvlJc w:val="left"/>
      <w:pPr>
        <w:tabs>
          <w:tab w:val="num" w:pos="5040"/>
        </w:tabs>
        <w:ind w:left="5040" w:hanging="360"/>
      </w:pPr>
      <w:rPr>
        <w:rFonts w:ascii="Arial" w:hAnsi="Arial" w:hint="default"/>
      </w:rPr>
    </w:lvl>
    <w:lvl w:ilvl="7" w:tplc="91A63674" w:tentative="1">
      <w:start w:val="1"/>
      <w:numFmt w:val="bullet"/>
      <w:lvlText w:val="•"/>
      <w:lvlJc w:val="left"/>
      <w:pPr>
        <w:tabs>
          <w:tab w:val="num" w:pos="5760"/>
        </w:tabs>
        <w:ind w:left="5760" w:hanging="360"/>
      </w:pPr>
      <w:rPr>
        <w:rFonts w:ascii="Arial" w:hAnsi="Arial" w:hint="default"/>
      </w:rPr>
    </w:lvl>
    <w:lvl w:ilvl="8" w:tplc="767608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1F10C9"/>
    <w:multiLevelType w:val="hybridMultilevel"/>
    <w:tmpl w:val="8C10AB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5D221A3"/>
    <w:multiLevelType w:val="hybridMultilevel"/>
    <w:tmpl w:val="FFFFFFFF"/>
    <w:lvl w:ilvl="0" w:tplc="E2069EF8">
      <w:start w:val="1"/>
      <w:numFmt w:val="bullet"/>
      <w:lvlText w:val=""/>
      <w:lvlJc w:val="left"/>
      <w:pPr>
        <w:ind w:left="1440" w:hanging="360"/>
      </w:pPr>
      <w:rPr>
        <w:rFonts w:ascii="Symbol" w:hAnsi="Symbol" w:hint="default"/>
      </w:rPr>
    </w:lvl>
    <w:lvl w:ilvl="1" w:tplc="1C622B90">
      <w:start w:val="1"/>
      <w:numFmt w:val="bullet"/>
      <w:lvlText w:val="o"/>
      <w:lvlJc w:val="left"/>
      <w:pPr>
        <w:ind w:left="2160" w:hanging="360"/>
      </w:pPr>
      <w:rPr>
        <w:rFonts w:ascii="Courier New" w:hAnsi="Courier New" w:hint="default"/>
      </w:rPr>
    </w:lvl>
    <w:lvl w:ilvl="2" w:tplc="8452C75A">
      <w:start w:val="1"/>
      <w:numFmt w:val="bullet"/>
      <w:lvlText w:val=""/>
      <w:lvlJc w:val="left"/>
      <w:pPr>
        <w:ind w:left="2880" w:hanging="360"/>
      </w:pPr>
      <w:rPr>
        <w:rFonts w:ascii="Wingdings" w:hAnsi="Wingdings" w:hint="default"/>
      </w:rPr>
    </w:lvl>
    <w:lvl w:ilvl="3" w:tplc="7CF2C4E2">
      <w:start w:val="1"/>
      <w:numFmt w:val="bullet"/>
      <w:lvlText w:val=""/>
      <w:lvlJc w:val="left"/>
      <w:pPr>
        <w:ind w:left="3600" w:hanging="360"/>
      </w:pPr>
      <w:rPr>
        <w:rFonts w:ascii="Symbol" w:hAnsi="Symbol" w:hint="default"/>
      </w:rPr>
    </w:lvl>
    <w:lvl w:ilvl="4" w:tplc="C4D8301C">
      <w:start w:val="1"/>
      <w:numFmt w:val="bullet"/>
      <w:lvlText w:val="o"/>
      <w:lvlJc w:val="left"/>
      <w:pPr>
        <w:ind w:left="4320" w:hanging="360"/>
      </w:pPr>
      <w:rPr>
        <w:rFonts w:ascii="Courier New" w:hAnsi="Courier New" w:hint="default"/>
      </w:rPr>
    </w:lvl>
    <w:lvl w:ilvl="5" w:tplc="FEF6CCA8">
      <w:start w:val="1"/>
      <w:numFmt w:val="bullet"/>
      <w:lvlText w:val=""/>
      <w:lvlJc w:val="left"/>
      <w:pPr>
        <w:ind w:left="5040" w:hanging="360"/>
      </w:pPr>
      <w:rPr>
        <w:rFonts w:ascii="Wingdings" w:hAnsi="Wingdings" w:hint="default"/>
      </w:rPr>
    </w:lvl>
    <w:lvl w:ilvl="6" w:tplc="E9FAB294">
      <w:start w:val="1"/>
      <w:numFmt w:val="bullet"/>
      <w:lvlText w:val=""/>
      <w:lvlJc w:val="left"/>
      <w:pPr>
        <w:ind w:left="5760" w:hanging="360"/>
      </w:pPr>
      <w:rPr>
        <w:rFonts w:ascii="Symbol" w:hAnsi="Symbol" w:hint="default"/>
      </w:rPr>
    </w:lvl>
    <w:lvl w:ilvl="7" w:tplc="459AA580">
      <w:start w:val="1"/>
      <w:numFmt w:val="bullet"/>
      <w:lvlText w:val="o"/>
      <w:lvlJc w:val="left"/>
      <w:pPr>
        <w:ind w:left="6480" w:hanging="360"/>
      </w:pPr>
      <w:rPr>
        <w:rFonts w:ascii="Courier New" w:hAnsi="Courier New" w:hint="default"/>
      </w:rPr>
    </w:lvl>
    <w:lvl w:ilvl="8" w:tplc="B0B0CF2E">
      <w:start w:val="1"/>
      <w:numFmt w:val="bullet"/>
      <w:lvlText w:val=""/>
      <w:lvlJc w:val="left"/>
      <w:pPr>
        <w:ind w:left="7200" w:hanging="360"/>
      </w:pPr>
      <w:rPr>
        <w:rFonts w:ascii="Wingdings" w:hAnsi="Wingdings" w:hint="default"/>
      </w:rPr>
    </w:lvl>
  </w:abstractNum>
  <w:abstractNum w:abstractNumId="15" w15:restartNumberingAfterBreak="0">
    <w:nsid w:val="78FF535E"/>
    <w:multiLevelType w:val="hybridMultilevel"/>
    <w:tmpl w:val="FFFFFFFF"/>
    <w:lvl w:ilvl="0" w:tplc="445C083C">
      <w:start w:val="1"/>
      <w:numFmt w:val="bullet"/>
      <w:lvlText w:val="-"/>
      <w:lvlJc w:val="left"/>
      <w:pPr>
        <w:ind w:left="720" w:hanging="360"/>
      </w:pPr>
      <w:rPr>
        <w:rFonts w:ascii="Calibri" w:hAnsi="Calibri" w:hint="default"/>
      </w:rPr>
    </w:lvl>
    <w:lvl w:ilvl="1" w:tplc="639A69E8">
      <w:start w:val="1"/>
      <w:numFmt w:val="bullet"/>
      <w:lvlText w:val="o"/>
      <w:lvlJc w:val="left"/>
      <w:pPr>
        <w:ind w:left="1440" w:hanging="360"/>
      </w:pPr>
      <w:rPr>
        <w:rFonts w:ascii="Courier New" w:hAnsi="Courier New" w:hint="default"/>
      </w:rPr>
    </w:lvl>
    <w:lvl w:ilvl="2" w:tplc="4FFE37CE">
      <w:start w:val="1"/>
      <w:numFmt w:val="bullet"/>
      <w:lvlText w:val=""/>
      <w:lvlJc w:val="left"/>
      <w:pPr>
        <w:ind w:left="2160" w:hanging="360"/>
      </w:pPr>
      <w:rPr>
        <w:rFonts w:ascii="Wingdings" w:hAnsi="Wingdings" w:hint="default"/>
      </w:rPr>
    </w:lvl>
    <w:lvl w:ilvl="3" w:tplc="5818F1DC">
      <w:start w:val="1"/>
      <w:numFmt w:val="bullet"/>
      <w:lvlText w:val=""/>
      <w:lvlJc w:val="left"/>
      <w:pPr>
        <w:ind w:left="2880" w:hanging="360"/>
      </w:pPr>
      <w:rPr>
        <w:rFonts w:ascii="Symbol" w:hAnsi="Symbol" w:hint="default"/>
      </w:rPr>
    </w:lvl>
    <w:lvl w:ilvl="4" w:tplc="05F83E22">
      <w:start w:val="1"/>
      <w:numFmt w:val="bullet"/>
      <w:lvlText w:val="o"/>
      <w:lvlJc w:val="left"/>
      <w:pPr>
        <w:ind w:left="3600" w:hanging="360"/>
      </w:pPr>
      <w:rPr>
        <w:rFonts w:ascii="Courier New" w:hAnsi="Courier New" w:hint="default"/>
      </w:rPr>
    </w:lvl>
    <w:lvl w:ilvl="5" w:tplc="3254305E">
      <w:start w:val="1"/>
      <w:numFmt w:val="bullet"/>
      <w:lvlText w:val=""/>
      <w:lvlJc w:val="left"/>
      <w:pPr>
        <w:ind w:left="4320" w:hanging="360"/>
      </w:pPr>
      <w:rPr>
        <w:rFonts w:ascii="Wingdings" w:hAnsi="Wingdings" w:hint="default"/>
      </w:rPr>
    </w:lvl>
    <w:lvl w:ilvl="6" w:tplc="0694A5B0">
      <w:start w:val="1"/>
      <w:numFmt w:val="bullet"/>
      <w:lvlText w:val=""/>
      <w:lvlJc w:val="left"/>
      <w:pPr>
        <w:ind w:left="5040" w:hanging="360"/>
      </w:pPr>
      <w:rPr>
        <w:rFonts w:ascii="Symbol" w:hAnsi="Symbol" w:hint="default"/>
      </w:rPr>
    </w:lvl>
    <w:lvl w:ilvl="7" w:tplc="D764C6A6">
      <w:start w:val="1"/>
      <w:numFmt w:val="bullet"/>
      <w:lvlText w:val="o"/>
      <w:lvlJc w:val="left"/>
      <w:pPr>
        <w:ind w:left="5760" w:hanging="360"/>
      </w:pPr>
      <w:rPr>
        <w:rFonts w:ascii="Courier New" w:hAnsi="Courier New" w:hint="default"/>
      </w:rPr>
    </w:lvl>
    <w:lvl w:ilvl="8" w:tplc="46B03070">
      <w:start w:val="1"/>
      <w:numFmt w:val="bullet"/>
      <w:lvlText w:val=""/>
      <w:lvlJc w:val="left"/>
      <w:pPr>
        <w:ind w:left="6480" w:hanging="360"/>
      </w:pPr>
      <w:rPr>
        <w:rFonts w:ascii="Wingdings" w:hAnsi="Wingdings" w:hint="default"/>
      </w:rPr>
    </w:lvl>
  </w:abstractNum>
  <w:abstractNum w:abstractNumId="16" w15:restartNumberingAfterBreak="0">
    <w:nsid w:val="7BF34550"/>
    <w:multiLevelType w:val="hybridMultilevel"/>
    <w:tmpl w:val="FFFFFFFF"/>
    <w:lvl w:ilvl="0" w:tplc="0FF2106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94DEA752">
      <w:start w:val="1"/>
      <w:numFmt w:val="bullet"/>
      <w:lvlText w:val=""/>
      <w:lvlJc w:val="left"/>
      <w:pPr>
        <w:ind w:left="2160" w:hanging="360"/>
      </w:pPr>
      <w:rPr>
        <w:rFonts w:ascii="Wingdings" w:hAnsi="Wingdings" w:hint="default"/>
      </w:rPr>
    </w:lvl>
    <w:lvl w:ilvl="3" w:tplc="680E7086">
      <w:start w:val="1"/>
      <w:numFmt w:val="bullet"/>
      <w:lvlText w:val=""/>
      <w:lvlJc w:val="left"/>
      <w:pPr>
        <w:ind w:left="2880" w:hanging="360"/>
      </w:pPr>
      <w:rPr>
        <w:rFonts w:ascii="Symbol" w:hAnsi="Symbol" w:hint="default"/>
      </w:rPr>
    </w:lvl>
    <w:lvl w:ilvl="4" w:tplc="5D6C68D2">
      <w:start w:val="1"/>
      <w:numFmt w:val="bullet"/>
      <w:lvlText w:val="o"/>
      <w:lvlJc w:val="left"/>
      <w:pPr>
        <w:ind w:left="3600" w:hanging="360"/>
      </w:pPr>
      <w:rPr>
        <w:rFonts w:ascii="Courier New" w:hAnsi="Courier New" w:hint="default"/>
      </w:rPr>
    </w:lvl>
    <w:lvl w:ilvl="5" w:tplc="CD18CD06">
      <w:start w:val="1"/>
      <w:numFmt w:val="bullet"/>
      <w:lvlText w:val=""/>
      <w:lvlJc w:val="left"/>
      <w:pPr>
        <w:ind w:left="4320" w:hanging="360"/>
      </w:pPr>
      <w:rPr>
        <w:rFonts w:ascii="Wingdings" w:hAnsi="Wingdings" w:hint="default"/>
      </w:rPr>
    </w:lvl>
    <w:lvl w:ilvl="6" w:tplc="09EAAA54">
      <w:start w:val="1"/>
      <w:numFmt w:val="bullet"/>
      <w:lvlText w:val=""/>
      <w:lvlJc w:val="left"/>
      <w:pPr>
        <w:ind w:left="5040" w:hanging="360"/>
      </w:pPr>
      <w:rPr>
        <w:rFonts w:ascii="Symbol" w:hAnsi="Symbol" w:hint="default"/>
      </w:rPr>
    </w:lvl>
    <w:lvl w:ilvl="7" w:tplc="F2427E8C">
      <w:start w:val="1"/>
      <w:numFmt w:val="bullet"/>
      <w:lvlText w:val="o"/>
      <w:lvlJc w:val="left"/>
      <w:pPr>
        <w:ind w:left="5760" w:hanging="360"/>
      </w:pPr>
      <w:rPr>
        <w:rFonts w:ascii="Courier New" w:hAnsi="Courier New" w:hint="default"/>
      </w:rPr>
    </w:lvl>
    <w:lvl w:ilvl="8" w:tplc="44B892EE">
      <w:start w:val="1"/>
      <w:numFmt w:val="bullet"/>
      <w:lvlText w:val=""/>
      <w:lvlJc w:val="left"/>
      <w:pPr>
        <w:ind w:left="6480" w:hanging="360"/>
      </w:pPr>
      <w:rPr>
        <w:rFonts w:ascii="Wingdings" w:hAnsi="Wingdings" w:hint="default"/>
      </w:rPr>
    </w:lvl>
  </w:abstractNum>
  <w:abstractNum w:abstractNumId="17" w15:restartNumberingAfterBreak="0">
    <w:nsid w:val="7EF5379F"/>
    <w:multiLevelType w:val="hybridMultilevel"/>
    <w:tmpl w:val="AEF8FA3A"/>
    <w:lvl w:ilvl="0" w:tplc="37BA66BC">
      <w:start w:val="1"/>
      <w:numFmt w:val="lowerLetter"/>
      <w:lvlText w:val="%1."/>
      <w:lvlJc w:val="left"/>
      <w:pPr>
        <w:ind w:left="720" w:hanging="360"/>
      </w:pPr>
    </w:lvl>
    <w:lvl w:ilvl="1" w:tplc="B5C4A218">
      <w:start w:val="1"/>
      <w:numFmt w:val="lowerLetter"/>
      <w:lvlText w:val="%2."/>
      <w:lvlJc w:val="left"/>
      <w:pPr>
        <w:ind w:left="1440" w:hanging="360"/>
      </w:pPr>
    </w:lvl>
    <w:lvl w:ilvl="2" w:tplc="EF6EEFFC">
      <w:start w:val="1"/>
      <w:numFmt w:val="lowerRoman"/>
      <w:lvlText w:val="%3."/>
      <w:lvlJc w:val="right"/>
      <w:pPr>
        <w:ind w:left="2160" w:hanging="180"/>
      </w:pPr>
    </w:lvl>
    <w:lvl w:ilvl="3" w:tplc="428C76D4">
      <w:start w:val="1"/>
      <w:numFmt w:val="decimal"/>
      <w:lvlText w:val="%4."/>
      <w:lvlJc w:val="left"/>
      <w:pPr>
        <w:ind w:left="2880" w:hanging="360"/>
      </w:pPr>
    </w:lvl>
    <w:lvl w:ilvl="4" w:tplc="455EACD0">
      <w:start w:val="1"/>
      <w:numFmt w:val="lowerLetter"/>
      <w:lvlText w:val="%5."/>
      <w:lvlJc w:val="left"/>
      <w:pPr>
        <w:ind w:left="3600" w:hanging="360"/>
      </w:pPr>
    </w:lvl>
    <w:lvl w:ilvl="5" w:tplc="2EBEB20A">
      <w:start w:val="1"/>
      <w:numFmt w:val="lowerRoman"/>
      <w:lvlText w:val="%6."/>
      <w:lvlJc w:val="right"/>
      <w:pPr>
        <w:ind w:left="4320" w:hanging="180"/>
      </w:pPr>
    </w:lvl>
    <w:lvl w:ilvl="6" w:tplc="A31AAC90">
      <w:start w:val="1"/>
      <w:numFmt w:val="decimal"/>
      <w:lvlText w:val="%7."/>
      <w:lvlJc w:val="left"/>
      <w:pPr>
        <w:ind w:left="5040" w:hanging="360"/>
      </w:pPr>
    </w:lvl>
    <w:lvl w:ilvl="7" w:tplc="B60C8E6E">
      <w:start w:val="1"/>
      <w:numFmt w:val="lowerLetter"/>
      <w:lvlText w:val="%8."/>
      <w:lvlJc w:val="left"/>
      <w:pPr>
        <w:ind w:left="5760" w:hanging="360"/>
      </w:pPr>
    </w:lvl>
    <w:lvl w:ilvl="8" w:tplc="A9409756">
      <w:start w:val="1"/>
      <w:numFmt w:val="lowerRoman"/>
      <w:lvlText w:val="%9."/>
      <w:lvlJc w:val="right"/>
      <w:pPr>
        <w:ind w:left="6480" w:hanging="180"/>
      </w:pPr>
    </w:lvl>
  </w:abstractNum>
  <w:num w:numId="1" w16cid:durableId="1365252257">
    <w:abstractNumId w:val="17"/>
  </w:num>
  <w:num w:numId="2" w16cid:durableId="2045475740">
    <w:abstractNumId w:val="16"/>
  </w:num>
  <w:num w:numId="3" w16cid:durableId="1423334371">
    <w:abstractNumId w:val="0"/>
  </w:num>
  <w:num w:numId="4" w16cid:durableId="347758049">
    <w:abstractNumId w:val="15"/>
  </w:num>
  <w:num w:numId="5" w16cid:durableId="349917487">
    <w:abstractNumId w:val="9"/>
  </w:num>
  <w:num w:numId="6" w16cid:durableId="1043553795">
    <w:abstractNumId w:val="11"/>
  </w:num>
  <w:num w:numId="7" w16cid:durableId="1533955364">
    <w:abstractNumId w:val="10"/>
  </w:num>
  <w:num w:numId="8" w16cid:durableId="1796018377">
    <w:abstractNumId w:val="8"/>
  </w:num>
  <w:num w:numId="9" w16cid:durableId="1131090863">
    <w:abstractNumId w:val="4"/>
  </w:num>
  <w:num w:numId="10" w16cid:durableId="1300651299">
    <w:abstractNumId w:val="12"/>
  </w:num>
  <w:num w:numId="11" w16cid:durableId="1949577809">
    <w:abstractNumId w:val="2"/>
  </w:num>
  <w:num w:numId="12" w16cid:durableId="93594342">
    <w:abstractNumId w:val="5"/>
  </w:num>
  <w:num w:numId="13" w16cid:durableId="442699620">
    <w:abstractNumId w:val="14"/>
  </w:num>
  <w:num w:numId="14" w16cid:durableId="629020841">
    <w:abstractNumId w:val="13"/>
  </w:num>
  <w:num w:numId="15" w16cid:durableId="1468475784">
    <w:abstractNumId w:val="3"/>
  </w:num>
  <w:num w:numId="16" w16cid:durableId="933631371">
    <w:abstractNumId w:val="7"/>
  </w:num>
  <w:num w:numId="17" w16cid:durableId="232205705">
    <w:abstractNumId w:val="6"/>
  </w:num>
  <w:num w:numId="18" w16cid:durableId="60052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8C"/>
    <w:rsid w:val="00003FB7"/>
    <w:rsid w:val="00011624"/>
    <w:rsid w:val="00012774"/>
    <w:rsid w:val="00024E85"/>
    <w:rsid w:val="000323D1"/>
    <w:rsid w:val="00032453"/>
    <w:rsid w:val="00036FD7"/>
    <w:rsid w:val="00054DA9"/>
    <w:rsid w:val="0005676D"/>
    <w:rsid w:val="00062ADF"/>
    <w:rsid w:val="00074839"/>
    <w:rsid w:val="000874FB"/>
    <w:rsid w:val="00093F1F"/>
    <w:rsid w:val="000A154C"/>
    <w:rsid w:val="000B11ED"/>
    <w:rsid w:val="000C6087"/>
    <w:rsid w:val="000D73AB"/>
    <w:rsid w:val="000E1E90"/>
    <w:rsid w:val="000E7D81"/>
    <w:rsid w:val="001031F8"/>
    <w:rsid w:val="00116C29"/>
    <w:rsid w:val="00117FA6"/>
    <w:rsid w:val="00144424"/>
    <w:rsid w:val="00155E3F"/>
    <w:rsid w:val="001940CC"/>
    <w:rsid w:val="001B1E00"/>
    <w:rsid w:val="001B3E43"/>
    <w:rsid w:val="001B4EB5"/>
    <w:rsid w:val="001E05F0"/>
    <w:rsid w:val="001F19BA"/>
    <w:rsid w:val="001F23CB"/>
    <w:rsid w:val="002128E4"/>
    <w:rsid w:val="00230F9D"/>
    <w:rsid w:val="00233E71"/>
    <w:rsid w:val="00240A8C"/>
    <w:rsid w:val="00242A05"/>
    <w:rsid w:val="00255D8E"/>
    <w:rsid w:val="00256005"/>
    <w:rsid w:val="00261A8F"/>
    <w:rsid w:val="00262039"/>
    <w:rsid w:val="00280955"/>
    <w:rsid w:val="00283E71"/>
    <w:rsid w:val="002B0886"/>
    <w:rsid w:val="002B1073"/>
    <w:rsid w:val="002B7D03"/>
    <w:rsid w:val="002E1580"/>
    <w:rsid w:val="002F239F"/>
    <w:rsid w:val="00317787"/>
    <w:rsid w:val="00332228"/>
    <w:rsid w:val="00335984"/>
    <w:rsid w:val="00346B86"/>
    <w:rsid w:val="00360B56"/>
    <w:rsid w:val="0037272D"/>
    <w:rsid w:val="003806B2"/>
    <w:rsid w:val="003B283A"/>
    <w:rsid w:val="003C6698"/>
    <w:rsid w:val="003C6D3A"/>
    <w:rsid w:val="003C77DD"/>
    <w:rsid w:val="003D248F"/>
    <w:rsid w:val="003D7302"/>
    <w:rsid w:val="003D7D04"/>
    <w:rsid w:val="003E305F"/>
    <w:rsid w:val="003F2ACB"/>
    <w:rsid w:val="003F65EE"/>
    <w:rsid w:val="00401D75"/>
    <w:rsid w:val="00450BE8"/>
    <w:rsid w:val="004544CE"/>
    <w:rsid w:val="00454E6E"/>
    <w:rsid w:val="00456ECF"/>
    <w:rsid w:val="00485360"/>
    <w:rsid w:val="0048654A"/>
    <w:rsid w:val="00487F28"/>
    <w:rsid w:val="00496C17"/>
    <w:rsid w:val="004A6EAF"/>
    <w:rsid w:val="004B51F1"/>
    <w:rsid w:val="004C4857"/>
    <w:rsid w:val="004D0279"/>
    <w:rsid w:val="004E0B13"/>
    <w:rsid w:val="004F58E9"/>
    <w:rsid w:val="004F6A7B"/>
    <w:rsid w:val="005079D2"/>
    <w:rsid w:val="005339C1"/>
    <w:rsid w:val="005356AE"/>
    <w:rsid w:val="00556882"/>
    <w:rsid w:val="005705F9"/>
    <w:rsid w:val="00574833"/>
    <w:rsid w:val="005770E0"/>
    <w:rsid w:val="005820AF"/>
    <w:rsid w:val="00583EE9"/>
    <w:rsid w:val="00591BE2"/>
    <w:rsid w:val="005B3318"/>
    <w:rsid w:val="005B7470"/>
    <w:rsid w:val="005D4E08"/>
    <w:rsid w:val="00613DB1"/>
    <w:rsid w:val="00630D80"/>
    <w:rsid w:val="006332AD"/>
    <w:rsid w:val="006402AF"/>
    <w:rsid w:val="006610F3"/>
    <w:rsid w:val="006934AE"/>
    <w:rsid w:val="006A1CC9"/>
    <w:rsid w:val="006B05F1"/>
    <w:rsid w:val="006B3A7F"/>
    <w:rsid w:val="006B578C"/>
    <w:rsid w:val="00752087"/>
    <w:rsid w:val="00760836"/>
    <w:rsid w:val="00781121"/>
    <w:rsid w:val="0078125A"/>
    <w:rsid w:val="00787472"/>
    <w:rsid w:val="00787850"/>
    <w:rsid w:val="007B5233"/>
    <w:rsid w:val="007E5DD7"/>
    <w:rsid w:val="007F2444"/>
    <w:rsid w:val="007F55A0"/>
    <w:rsid w:val="008114B5"/>
    <w:rsid w:val="00822FB5"/>
    <w:rsid w:val="0082615A"/>
    <w:rsid w:val="0083623F"/>
    <w:rsid w:val="0084136F"/>
    <w:rsid w:val="00850B71"/>
    <w:rsid w:val="00857A53"/>
    <w:rsid w:val="00872A44"/>
    <w:rsid w:val="00880CCB"/>
    <w:rsid w:val="008869AB"/>
    <w:rsid w:val="008921B0"/>
    <w:rsid w:val="008934B1"/>
    <w:rsid w:val="008951B8"/>
    <w:rsid w:val="00896696"/>
    <w:rsid w:val="008C4845"/>
    <w:rsid w:val="008CFA19"/>
    <w:rsid w:val="008D718E"/>
    <w:rsid w:val="008D7993"/>
    <w:rsid w:val="009255D1"/>
    <w:rsid w:val="00931227"/>
    <w:rsid w:val="00936D79"/>
    <w:rsid w:val="0095131A"/>
    <w:rsid w:val="00986D25"/>
    <w:rsid w:val="009A2066"/>
    <w:rsid w:val="009B581C"/>
    <w:rsid w:val="009D5230"/>
    <w:rsid w:val="00A01576"/>
    <w:rsid w:val="00A3FB99"/>
    <w:rsid w:val="00A45A71"/>
    <w:rsid w:val="00A54A5B"/>
    <w:rsid w:val="00A82578"/>
    <w:rsid w:val="00A94469"/>
    <w:rsid w:val="00AA2E8A"/>
    <w:rsid w:val="00AD1CCA"/>
    <w:rsid w:val="00AE5971"/>
    <w:rsid w:val="00AE5C95"/>
    <w:rsid w:val="00AF031E"/>
    <w:rsid w:val="00AF5BA7"/>
    <w:rsid w:val="00B023A8"/>
    <w:rsid w:val="00B120EC"/>
    <w:rsid w:val="00B1578C"/>
    <w:rsid w:val="00B20B40"/>
    <w:rsid w:val="00B40B02"/>
    <w:rsid w:val="00B618C2"/>
    <w:rsid w:val="00BA76B7"/>
    <w:rsid w:val="00BF2106"/>
    <w:rsid w:val="00C004B0"/>
    <w:rsid w:val="00C045A8"/>
    <w:rsid w:val="00C14385"/>
    <w:rsid w:val="00C240D0"/>
    <w:rsid w:val="00C451FD"/>
    <w:rsid w:val="00C47715"/>
    <w:rsid w:val="00C612C5"/>
    <w:rsid w:val="00C63EDB"/>
    <w:rsid w:val="00CA0121"/>
    <w:rsid w:val="00CA2940"/>
    <w:rsid w:val="00CD0943"/>
    <w:rsid w:val="00CD36C5"/>
    <w:rsid w:val="00CD6973"/>
    <w:rsid w:val="00D06FEC"/>
    <w:rsid w:val="00D11A47"/>
    <w:rsid w:val="00D13258"/>
    <w:rsid w:val="00D17882"/>
    <w:rsid w:val="00D35136"/>
    <w:rsid w:val="00D44B02"/>
    <w:rsid w:val="00D621BC"/>
    <w:rsid w:val="00D62604"/>
    <w:rsid w:val="00D64130"/>
    <w:rsid w:val="00D91F7A"/>
    <w:rsid w:val="00DA79AA"/>
    <w:rsid w:val="00DB4A74"/>
    <w:rsid w:val="00DC0734"/>
    <w:rsid w:val="00DC57AA"/>
    <w:rsid w:val="00DE21C4"/>
    <w:rsid w:val="00DE5F12"/>
    <w:rsid w:val="00DF4710"/>
    <w:rsid w:val="00DF4B3C"/>
    <w:rsid w:val="00E00646"/>
    <w:rsid w:val="00E128C1"/>
    <w:rsid w:val="00E16DE8"/>
    <w:rsid w:val="00E2677D"/>
    <w:rsid w:val="00E26948"/>
    <w:rsid w:val="00E451B7"/>
    <w:rsid w:val="00E7071F"/>
    <w:rsid w:val="00E71782"/>
    <w:rsid w:val="00E73FE6"/>
    <w:rsid w:val="00E775C6"/>
    <w:rsid w:val="00E813E8"/>
    <w:rsid w:val="00EA5287"/>
    <w:rsid w:val="00EA7F06"/>
    <w:rsid w:val="00EB563E"/>
    <w:rsid w:val="00ED1C84"/>
    <w:rsid w:val="00F00660"/>
    <w:rsid w:val="00F05984"/>
    <w:rsid w:val="00F27DED"/>
    <w:rsid w:val="00F657FA"/>
    <w:rsid w:val="00F67018"/>
    <w:rsid w:val="00F82AC6"/>
    <w:rsid w:val="00F8749C"/>
    <w:rsid w:val="00FB5024"/>
    <w:rsid w:val="00FD4257"/>
    <w:rsid w:val="00FD5743"/>
    <w:rsid w:val="00FE4A2E"/>
    <w:rsid w:val="00FF2000"/>
    <w:rsid w:val="00FF7676"/>
    <w:rsid w:val="012EDFFB"/>
    <w:rsid w:val="014714F8"/>
    <w:rsid w:val="01E113B4"/>
    <w:rsid w:val="02454DAA"/>
    <w:rsid w:val="0281A1B1"/>
    <w:rsid w:val="029FEBAD"/>
    <w:rsid w:val="02F2A654"/>
    <w:rsid w:val="037E2465"/>
    <w:rsid w:val="0380D291"/>
    <w:rsid w:val="03C394B6"/>
    <w:rsid w:val="03D7BD2D"/>
    <w:rsid w:val="0407EEA7"/>
    <w:rsid w:val="0459AF03"/>
    <w:rsid w:val="04BE6B8D"/>
    <w:rsid w:val="05E8F667"/>
    <w:rsid w:val="0622E4AC"/>
    <w:rsid w:val="064B9149"/>
    <w:rsid w:val="0683954A"/>
    <w:rsid w:val="06C4F54E"/>
    <w:rsid w:val="06F1A342"/>
    <w:rsid w:val="07194A04"/>
    <w:rsid w:val="071D9740"/>
    <w:rsid w:val="0770685D"/>
    <w:rsid w:val="07DBA6FE"/>
    <w:rsid w:val="07F60CD3"/>
    <w:rsid w:val="082CC266"/>
    <w:rsid w:val="08943C60"/>
    <w:rsid w:val="09083204"/>
    <w:rsid w:val="0A79150D"/>
    <w:rsid w:val="0A8F62D0"/>
    <w:rsid w:val="0AAB88C7"/>
    <w:rsid w:val="0AC83066"/>
    <w:rsid w:val="0B4FD223"/>
    <w:rsid w:val="0B8C5DE4"/>
    <w:rsid w:val="0C4E6770"/>
    <w:rsid w:val="0CB23418"/>
    <w:rsid w:val="0CC7A5DE"/>
    <w:rsid w:val="0D3F9090"/>
    <w:rsid w:val="0D713057"/>
    <w:rsid w:val="0D9C5FCB"/>
    <w:rsid w:val="0E447A62"/>
    <w:rsid w:val="0E528C87"/>
    <w:rsid w:val="0FAF5518"/>
    <w:rsid w:val="105FCB7F"/>
    <w:rsid w:val="10621850"/>
    <w:rsid w:val="115AEDC2"/>
    <w:rsid w:val="11618B19"/>
    <w:rsid w:val="117C8E73"/>
    <w:rsid w:val="11D6DFC0"/>
    <w:rsid w:val="1238C5A7"/>
    <w:rsid w:val="128EB4C9"/>
    <w:rsid w:val="12C291C3"/>
    <w:rsid w:val="12F4EA5F"/>
    <w:rsid w:val="133592AA"/>
    <w:rsid w:val="1361A329"/>
    <w:rsid w:val="13BA2CFA"/>
    <w:rsid w:val="13E321C5"/>
    <w:rsid w:val="14233814"/>
    <w:rsid w:val="14301DDB"/>
    <w:rsid w:val="143BF4E7"/>
    <w:rsid w:val="1475337C"/>
    <w:rsid w:val="14A64059"/>
    <w:rsid w:val="14D8EADD"/>
    <w:rsid w:val="14DBF8D1"/>
    <w:rsid w:val="14E860A8"/>
    <w:rsid w:val="1574E6AA"/>
    <w:rsid w:val="15E7191F"/>
    <w:rsid w:val="15F5B046"/>
    <w:rsid w:val="16454FE9"/>
    <w:rsid w:val="165C3331"/>
    <w:rsid w:val="1664EF84"/>
    <w:rsid w:val="171F3CA5"/>
    <w:rsid w:val="17245CBB"/>
    <w:rsid w:val="173C1CC0"/>
    <w:rsid w:val="17617865"/>
    <w:rsid w:val="178C9407"/>
    <w:rsid w:val="17A20F20"/>
    <w:rsid w:val="1858CDDD"/>
    <w:rsid w:val="185EEC33"/>
    <w:rsid w:val="1886C798"/>
    <w:rsid w:val="189C8BD9"/>
    <w:rsid w:val="18FE7999"/>
    <w:rsid w:val="19D73D2D"/>
    <w:rsid w:val="1A1CB1EE"/>
    <w:rsid w:val="1A82EA05"/>
    <w:rsid w:val="1A83C001"/>
    <w:rsid w:val="1AA3EB37"/>
    <w:rsid w:val="1B3E0A11"/>
    <w:rsid w:val="1B43E44F"/>
    <w:rsid w:val="1B589481"/>
    <w:rsid w:val="1B86E343"/>
    <w:rsid w:val="1BB3901B"/>
    <w:rsid w:val="1BE85E8C"/>
    <w:rsid w:val="1BEB2CCB"/>
    <w:rsid w:val="1C56F890"/>
    <w:rsid w:val="1CE1985A"/>
    <w:rsid w:val="1D135FD8"/>
    <w:rsid w:val="1D39AACA"/>
    <w:rsid w:val="1D477C92"/>
    <w:rsid w:val="1DD9871F"/>
    <w:rsid w:val="1DF364C0"/>
    <w:rsid w:val="1E0E104A"/>
    <w:rsid w:val="1E31665F"/>
    <w:rsid w:val="1EAE0B55"/>
    <w:rsid w:val="1F4660DF"/>
    <w:rsid w:val="1F572B7B"/>
    <w:rsid w:val="1F5F5516"/>
    <w:rsid w:val="1FEBFF1E"/>
    <w:rsid w:val="20FD15AE"/>
    <w:rsid w:val="21071274"/>
    <w:rsid w:val="2115F415"/>
    <w:rsid w:val="211CC441"/>
    <w:rsid w:val="21332761"/>
    <w:rsid w:val="2148B4A2"/>
    <w:rsid w:val="21A77D17"/>
    <w:rsid w:val="21CE9142"/>
    <w:rsid w:val="21E2E29B"/>
    <w:rsid w:val="21E44A74"/>
    <w:rsid w:val="227515F5"/>
    <w:rsid w:val="22B0DD31"/>
    <w:rsid w:val="22F77A45"/>
    <w:rsid w:val="23228520"/>
    <w:rsid w:val="236693D4"/>
    <w:rsid w:val="23791364"/>
    <w:rsid w:val="23A1E271"/>
    <w:rsid w:val="243BE79C"/>
    <w:rsid w:val="246298D6"/>
    <w:rsid w:val="24CFCA2C"/>
    <w:rsid w:val="24D94EEE"/>
    <w:rsid w:val="2514C88A"/>
    <w:rsid w:val="2541E9C6"/>
    <w:rsid w:val="25614E88"/>
    <w:rsid w:val="26552AE8"/>
    <w:rsid w:val="265E8129"/>
    <w:rsid w:val="26C188C7"/>
    <w:rsid w:val="26C6FA1A"/>
    <w:rsid w:val="27067D28"/>
    <w:rsid w:val="2708BA94"/>
    <w:rsid w:val="2751C762"/>
    <w:rsid w:val="276F2689"/>
    <w:rsid w:val="27B76C95"/>
    <w:rsid w:val="27D38C5A"/>
    <w:rsid w:val="27D7FE1A"/>
    <w:rsid w:val="28034717"/>
    <w:rsid w:val="28066AD2"/>
    <w:rsid w:val="28461E84"/>
    <w:rsid w:val="284725B8"/>
    <w:rsid w:val="2907FD71"/>
    <w:rsid w:val="2914A092"/>
    <w:rsid w:val="295DDAC3"/>
    <w:rsid w:val="29640BCD"/>
    <w:rsid w:val="29F7C283"/>
    <w:rsid w:val="2A0A6FAE"/>
    <w:rsid w:val="2A54DD21"/>
    <w:rsid w:val="2A8A1468"/>
    <w:rsid w:val="2AC6A05A"/>
    <w:rsid w:val="2AD1AA22"/>
    <w:rsid w:val="2B30D15C"/>
    <w:rsid w:val="2B843860"/>
    <w:rsid w:val="2B8BA3C5"/>
    <w:rsid w:val="2BB357F1"/>
    <w:rsid w:val="2BB4FE3A"/>
    <w:rsid w:val="2C031C4D"/>
    <w:rsid w:val="2C03387E"/>
    <w:rsid w:val="2C14D041"/>
    <w:rsid w:val="2C15D92F"/>
    <w:rsid w:val="2C166BC4"/>
    <w:rsid w:val="2C4796E2"/>
    <w:rsid w:val="2C64EC03"/>
    <w:rsid w:val="2CDA7E12"/>
    <w:rsid w:val="2CF33862"/>
    <w:rsid w:val="2D62B45A"/>
    <w:rsid w:val="2D655E62"/>
    <w:rsid w:val="2D7E1339"/>
    <w:rsid w:val="2DD0D7EE"/>
    <w:rsid w:val="2DD9FF23"/>
    <w:rsid w:val="2E462293"/>
    <w:rsid w:val="2E9FBAAA"/>
    <w:rsid w:val="2EF23009"/>
    <w:rsid w:val="2EF86000"/>
    <w:rsid w:val="2F321E10"/>
    <w:rsid w:val="300C51E4"/>
    <w:rsid w:val="3105E2B0"/>
    <w:rsid w:val="319F4EA2"/>
    <w:rsid w:val="31CBC731"/>
    <w:rsid w:val="322843F8"/>
    <w:rsid w:val="3229EC21"/>
    <w:rsid w:val="33760EF7"/>
    <w:rsid w:val="33884D10"/>
    <w:rsid w:val="33D5C286"/>
    <w:rsid w:val="343218A8"/>
    <w:rsid w:val="3438D281"/>
    <w:rsid w:val="344ED5D8"/>
    <w:rsid w:val="34501EA5"/>
    <w:rsid w:val="34D83540"/>
    <w:rsid w:val="353C155A"/>
    <w:rsid w:val="356C6264"/>
    <w:rsid w:val="35C6D66A"/>
    <w:rsid w:val="35D4368E"/>
    <w:rsid w:val="35E028C2"/>
    <w:rsid w:val="3625E286"/>
    <w:rsid w:val="3651E499"/>
    <w:rsid w:val="36BBE08C"/>
    <w:rsid w:val="36E7D196"/>
    <w:rsid w:val="36F54E02"/>
    <w:rsid w:val="37763679"/>
    <w:rsid w:val="3777B890"/>
    <w:rsid w:val="37A7C1F8"/>
    <w:rsid w:val="37EEB37D"/>
    <w:rsid w:val="381545B1"/>
    <w:rsid w:val="381F24BB"/>
    <w:rsid w:val="382D59CB"/>
    <w:rsid w:val="39092FDF"/>
    <w:rsid w:val="396AAE70"/>
    <w:rsid w:val="397F7468"/>
    <w:rsid w:val="3A765E99"/>
    <w:rsid w:val="3A7ECAE9"/>
    <w:rsid w:val="3AA375A6"/>
    <w:rsid w:val="3AAB2595"/>
    <w:rsid w:val="3AD05A5F"/>
    <w:rsid w:val="3AE9CE9D"/>
    <w:rsid w:val="3B36AF67"/>
    <w:rsid w:val="3B36FEDB"/>
    <w:rsid w:val="3BA06B06"/>
    <w:rsid w:val="3C232676"/>
    <w:rsid w:val="3C949BAE"/>
    <w:rsid w:val="3D53BBC7"/>
    <w:rsid w:val="3D9D57C7"/>
    <w:rsid w:val="3DBB975A"/>
    <w:rsid w:val="3E10F498"/>
    <w:rsid w:val="3E62E14C"/>
    <w:rsid w:val="3E637923"/>
    <w:rsid w:val="3E70CEAE"/>
    <w:rsid w:val="3E876457"/>
    <w:rsid w:val="3EC77523"/>
    <w:rsid w:val="3F34287A"/>
    <w:rsid w:val="3F44A17D"/>
    <w:rsid w:val="3F78213C"/>
    <w:rsid w:val="3F85462F"/>
    <w:rsid w:val="3F85D564"/>
    <w:rsid w:val="3F8FE232"/>
    <w:rsid w:val="3FAB8B74"/>
    <w:rsid w:val="3FBC0E1C"/>
    <w:rsid w:val="3FEF3E4B"/>
    <w:rsid w:val="4022F103"/>
    <w:rsid w:val="40337BAD"/>
    <w:rsid w:val="408A14F3"/>
    <w:rsid w:val="4139DB5F"/>
    <w:rsid w:val="41A66D78"/>
    <w:rsid w:val="41C1D021"/>
    <w:rsid w:val="41E75C6B"/>
    <w:rsid w:val="422AA50A"/>
    <w:rsid w:val="42799C13"/>
    <w:rsid w:val="42868529"/>
    <w:rsid w:val="4313435C"/>
    <w:rsid w:val="43902263"/>
    <w:rsid w:val="43F1D98B"/>
    <w:rsid w:val="440D9587"/>
    <w:rsid w:val="4425C28C"/>
    <w:rsid w:val="4428749A"/>
    <w:rsid w:val="443DE895"/>
    <w:rsid w:val="447A45A9"/>
    <w:rsid w:val="447BA8B5"/>
    <w:rsid w:val="44D62E9D"/>
    <w:rsid w:val="44FE1232"/>
    <w:rsid w:val="44FE5A12"/>
    <w:rsid w:val="45613BA0"/>
    <w:rsid w:val="45613E28"/>
    <w:rsid w:val="457CCD86"/>
    <w:rsid w:val="45853B6B"/>
    <w:rsid w:val="459F1A80"/>
    <w:rsid w:val="46110862"/>
    <w:rsid w:val="46414A4D"/>
    <w:rsid w:val="4641ED9C"/>
    <w:rsid w:val="464389F0"/>
    <w:rsid w:val="4649CB47"/>
    <w:rsid w:val="4708AE43"/>
    <w:rsid w:val="472E8408"/>
    <w:rsid w:val="4752EB1B"/>
    <w:rsid w:val="4781038D"/>
    <w:rsid w:val="479904D7"/>
    <w:rsid w:val="484AF708"/>
    <w:rsid w:val="4850EADB"/>
    <w:rsid w:val="488E9E09"/>
    <w:rsid w:val="49242105"/>
    <w:rsid w:val="4932CA80"/>
    <w:rsid w:val="49430E2B"/>
    <w:rsid w:val="49C89B7F"/>
    <w:rsid w:val="4A3E4E0A"/>
    <w:rsid w:val="4A46EB4E"/>
    <w:rsid w:val="4A7DAD53"/>
    <w:rsid w:val="4A841047"/>
    <w:rsid w:val="4B036BF5"/>
    <w:rsid w:val="4B2DDA5F"/>
    <w:rsid w:val="4B70B02A"/>
    <w:rsid w:val="4BEF7A5B"/>
    <w:rsid w:val="4C185AF1"/>
    <w:rsid w:val="4C2E8986"/>
    <w:rsid w:val="4C3CFAC3"/>
    <w:rsid w:val="4C81D331"/>
    <w:rsid w:val="4CA1AA39"/>
    <w:rsid w:val="4CE12585"/>
    <w:rsid w:val="4CF52272"/>
    <w:rsid w:val="4D0E09AF"/>
    <w:rsid w:val="4D1035A6"/>
    <w:rsid w:val="4D28C292"/>
    <w:rsid w:val="4D3332E8"/>
    <w:rsid w:val="4D3E5069"/>
    <w:rsid w:val="4D67DDF5"/>
    <w:rsid w:val="4D6898D1"/>
    <w:rsid w:val="4D72681C"/>
    <w:rsid w:val="4D8B710C"/>
    <w:rsid w:val="4DCDB4BD"/>
    <w:rsid w:val="4DD7942E"/>
    <w:rsid w:val="4ECC617C"/>
    <w:rsid w:val="4EECEA50"/>
    <w:rsid w:val="4F56FCF7"/>
    <w:rsid w:val="4F856F18"/>
    <w:rsid w:val="4FD2E6A8"/>
    <w:rsid w:val="50D43554"/>
    <w:rsid w:val="511F4236"/>
    <w:rsid w:val="513A8290"/>
    <w:rsid w:val="51468C8F"/>
    <w:rsid w:val="517FBF30"/>
    <w:rsid w:val="51B8D19B"/>
    <w:rsid w:val="522F697F"/>
    <w:rsid w:val="523F091B"/>
    <w:rsid w:val="52C96028"/>
    <w:rsid w:val="53589479"/>
    <w:rsid w:val="53CA72A7"/>
    <w:rsid w:val="54D56E2E"/>
    <w:rsid w:val="55002017"/>
    <w:rsid w:val="5566C6C1"/>
    <w:rsid w:val="55B63A9A"/>
    <w:rsid w:val="55C076B2"/>
    <w:rsid w:val="561FB47B"/>
    <w:rsid w:val="5624D2C0"/>
    <w:rsid w:val="5631F613"/>
    <w:rsid w:val="567E5B98"/>
    <w:rsid w:val="56C589E0"/>
    <w:rsid w:val="56F100A7"/>
    <w:rsid w:val="57591FEB"/>
    <w:rsid w:val="57B610ED"/>
    <w:rsid w:val="58B5E318"/>
    <w:rsid w:val="58F6770E"/>
    <w:rsid w:val="5924E642"/>
    <w:rsid w:val="5A2F0B38"/>
    <w:rsid w:val="5B1C58AC"/>
    <w:rsid w:val="5B717E59"/>
    <w:rsid w:val="5B828BD3"/>
    <w:rsid w:val="5BE126D5"/>
    <w:rsid w:val="5BEFAB81"/>
    <w:rsid w:val="5C356811"/>
    <w:rsid w:val="5C548C84"/>
    <w:rsid w:val="5C89C290"/>
    <w:rsid w:val="5CB3D68B"/>
    <w:rsid w:val="5D1EBE08"/>
    <w:rsid w:val="5D5E854F"/>
    <w:rsid w:val="5EF7AE66"/>
    <w:rsid w:val="5F5D1BFB"/>
    <w:rsid w:val="5FDF654A"/>
    <w:rsid w:val="600A6878"/>
    <w:rsid w:val="603EE892"/>
    <w:rsid w:val="612B5364"/>
    <w:rsid w:val="614EAC20"/>
    <w:rsid w:val="616431C9"/>
    <w:rsid w:val="617A6926"/>
    <w:rsid w:val="618F4578"/>
    <w:rsid w:val="619ED7E4"/>
    <w:rsid w:val="61E100F5"/>
    <w:rsid w:val="622A106E"/>
    <w:rsid w:val="63125248"/>
    <w:rsid w:val="632D2C3B"/>
    <w:rsid w:val="63626BB3"/>
    <w:rsid w:val="63ADECBF"/>
    <w:rsid w:val="642148BD"/>
    <w:rsid w:val="6463D40F"/>
    <w:rsid w:val="652AB708"/>
    <w:rsid w:val="653ABAA1"/>
    <w:rsid w:val="654A5A6A"/>
    <w:rsid w:val="6553221E"/>
    <w:rsid w:val="6560A796"/>
    <w:rsid w:val="6632D92E"/>
    <w:rsid w:val="66A88E72"/>
    <w:rsid w:val="66ABCA63"/>
    <w:rsid w:val="66AF41DB"/>
    <w:rsid w:val="67144DB8"/>
    <w:rsid w:val="67150B2A"/>
    <w:rsid w:val="6781C30D"/>
    <w:rsid w:val="67A5843E"/>
    <w:rsid w:val="67C25556"/>
    <w:rsid w:val="68078980"/>
    <w:rsid w:val="684ED55B"/>
    <w:rsid w:val="684FFA60"/>
    <w:rsid w:val="68931DCB"/>
    <w:rsid w:val="69359E99"/>
    <w:rsid w:val="69C6C3D6"/>
    <w:rsid w:val="69CC2CC5"/>
    <w:rsid w:val="69E2C86C"/>
    <w:rsid w:val="69EDB8BD"/>
    <w:rsid w:val="6A995E4F"/>
    <w:rsid w:val="6B0A8719"/>
    <w:rsid w:val="6B0EDE2C"/>
    <w:rsid w:val="6B7AD965"/>
    <w:rsid w:val="6BC39090"/>
    <w:rsid w:val="6C23C4AE"/>
    <w:rsid w:val="6C60B59D"/>
    <w:rsid w:val="6D171137"/>
    <w:rsid w:val="6D22D185"/>
    <w:rsid w:val="6D3C022D"/>
    <w:rsid w:val="6D465EFD"/>
    <w:rsid w:val="6D523D39"/>
    <w:rsid w:val="6D8E02C0"/>
    <w:rsid w:val="6D921996"/>
    <w:rsid w:val="6D98D1CF"/>
    <w:rsid w:val="6DA1D9A2"/>
    <w:rsid w:val="6E0C1353"/>
    <w:rsid w:val="6E0DCB8F"/>
    <w:rsid w:val="6F4B42BF"/>
    <w:rsid w:val="6F6A3863"/>
    <w:rsid w:val="6F705EA6"/>
    <w:rsid w:val="6F7F47E7"/>
    <w:rsid w:val="6FAB422B"/>
    <w:rsid w:val="702A1BE8"/>
    <w:rsid w:val="703E845F"/>
    <w:rsid w:val="70683A68"/>
    <w:rsid w:val="70C9652D"/>
    <w:rsid w:val="714667EA"/>
    <w:rsid w:val="71C1B4A5"/>
    <w:rsid w:val="71F8368A"/>
    <w:rsid w:val="71F8CADF"/>
    <w:rsid w:val="7272238E"/>
    <w:rsid w:val="73342EAD"/>
    <w:rsid w:val="737A5304"/>
    <w:rsid w:val="73A556B8"/>
    <w:rsid w:val="73FE4AFF"/>
    <w:rsid w:val="74048795"/>
    <w:rsid w:val="740E67B4"/>
    <w:rsid w:val="744F1797"/>
    <w:rsid w:val="74C97D94"/>
    <w:rsid w:val="757CEAF7"/>
    <w:rsid w:val="75D63F65"/>
    <w:rsid w:val="760F96A5"/>
    <w:rsid w:val="76756D2A"/>
    <w:rsid w:val="7698D349"/>
    <w:rsid w:val="77275BB2"/>
    <w:rsid w:val="77ADA308"/>
    <w:rsid w:val="77CF3CB9"/>
    <w:rsid w:val="77D6F468"/>
    <w:rsid w:val="786722E2"/>
    <w:rsid w:val="79365363"/>
    <w:rsid w:val="793D7930"/>
    <w:rsid w:val="796A6798"/>
    <w:rsid w:val="79D3D8AD"/>
    <w:rsid w:val="7A535993"/>
    <w:rsid w:val="7AFBF537"/>
    <w:rsid w:val="7B6DA555"/>
    <w:rsid w:val="7BE09E2A"/>
    <w:rsid w:val="7BF4B381"/>
    <w:rsid w:val="7C0FDFB1"/>
    <w:rsid w:val="7C2D76A6"/>
    <w:rsid w:val="7C418133"/>
    <w:rsid w:val="7C91E4F6"/>
    <w:rsid w:val="7CEF3B69"/>
    <w:rsid w:val="7D4E9A57"/>
    <w:rsid w:val="7D68C207"/>
    <w:rsid w:val="7E4EB2C5"/>
    <w:rsid w:val="7E4ED9D2"/>
    <w:rsid w:val="7EA0097F"/>
    <w:rsid w:val="7EAD2EB0"/>
    <w:rsid w:val="7EB2B2DF"/>
    <w:rsid w:val="7EBE39DC"/>
    <w:rsid w:val="7EE48C5E"/>
    <w:rsid w:val="7F109341"/>
    <w:rsid w:val="7F52448C"/>
    <w:rsid w:val="7FA95996"/>
    <w:rsid w:val="7FD0677A"/>
    <w:rsid w:val="7FD84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2DB441"/>
  <w15:chartTrackingRefBased/>
  <w15:docId w15:val="{02FBB5BB-36C7-4FAC-BA4D-51659C35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78C"/>
    <w:rPr>
      <w:rFonts w:eastAsiaTheme="majorEastAsia" w:cstheme="majorBidi"/>
      <w:color w:val="272727" w:themeColor="text1" w:themeTint="D8"/>
    </w:rPr>
  </w:style>
  <w:style w:type="paragraph" w:styleId="Title">
    <w:name w:val="Title"/>
    <w:basedOn w:val="Normal"/>
    <w:next w:val="Normal"/>
    <w:link w:val="TitleChar"/>
    <w:uiPriority w:val="10"/>
    <w:qFormat/>
    <w:rsid w:val="006B5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78C"/>
    <w:pPr>
      <w:spacing w:before="160"/>
      <w:jc w:val="center"/>
    </w:pPr>
    <w:rPr>
      <w:i/>
      <w:iCs/>
      <w:color w:val="404040" w:themeColor="text1" w:themeTint="BF"/>
    </w:rPr>
  </w:style>
  <w:style w:type="character" w:customStyle="1" w:styleId="QuoteChar">
    <w:name w:val="Quote Char"/>
    <w:basedOn w:val="DefaultParagraphFont"/>
    <w:link w:val="Quote"/>
    <w:uiPriority w:val="29"/>
    <w:rsid w:val="006B578C"/>
    <w:rPr>
      <w:i/>
      <w:iCs/>
      <w:color w:val="404040" w:themeColor="text1" w:themeTint="BF"/>
    </w:rPr>
  </w:style>
  <w:style w:type="paragraph" w:styleId="ListParagraph">
    <w:name w:val="List Paragraph"/>
    <w:basedOn w:val="Normal"/>
    <w:uiPriority w:val="34"/>
    <w:qFormat/>
    <w:rsid w:val="006B578C"/>
    <w:pPr>
      <w:ind w:left="720"/>
      <w:contextualSpacing/>
    </w:pPr>
  </w:style>
  <w:style w:type="character" w:styleId="IntenseEmphasis">
    <w:name w:val="Intense Emphasis"/>
    <w:basedOn w:val="DefaultParagraphFont"/>
    <w:uiPriority w:val="21"/>
    <w:qFormat/>
    <w:rsid w:val="006B578C"/>
    <w:rPr>
      <w:i/>
      <w:iCs/>
      <w:color w:val="0F4761" w:themeColor="accent1" w:themeShade="BF"/>
    </w:rPr>
  </w:style>
  <w:style w:type="paragraph" w:styleId="IntenseQuote">
    <w:name w:val="Intense Quote"/>
    <w:basedOn w:val="Normal"/>
    <w:next w:val="Normal"/>
    <w:link w:val="IntenseQuoteChar"/>
    <w:uiPriority w:val="30"/>
    <w:qFormat/>
    <w:rsid w:val="006B5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78C"/>
    <w:rPr>
      <w:i/>
      <w:iCs/>
      <w:color w:val="0F4761" w:themeColor="accent1" w:themeShade="BF"/>
    </w:rPr>
  </w:style>
  <w:style w:type="character" w:styleId="IntenseReference">
    <w:name w:val="Intense Reference"/>
    <w:basedOn w:val="DefaultParagraphFont"/>
    <w:uiPriority w:val="32"/>
    <w:qFormat/>
    <w:rsid w:val="006B578C"/>
    <w:rPr>
      <w:b/>
      <w:bCs/>
      <w:smallCaps/>
      <w:color w:val="0F4761" w:themeColor="accent1" w:themeShade="BF"/>
      <w:spacing w:val="5"/>
    </w:rPr>
  </w:style>
  <w:style w:type="paragraph" w:styleId="Header">
    <w:name w:val="header"/>
    <w:basedOn w:val="Normal"/>
    <w:link w:val="HeaderChar"/>
    <w:uiPriority w:val="99"/>
    <w:unhideWhenUsed/>
    <w:rsid w:val="00401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75"/>
  </w:style>
  <w:style w:type="paragraph" w:styleId="Footer">
    <w:name w:val="footer"/>
    <w:basedOn w:val="Normal"/>
    <w:link w:val="FooterChar"/>
    <w:uiPriority w:val="99"/>
    <w:unhideWhenUsed/>
    <w:rsid w:val="00401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75"/>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D1C84"/>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C4857"/>
    <w:rPr>
      <w:b/>
      <w:bCs/>
    </w:rPr>
  </w:style>
  <w:style w:type="character" w:customStyle="1" w:styleId="CommentSubjectChar">
    <w:name w:val="Comment Subject Char"/>
    <w:basedOn w:val="CommentTextChar"/>
    <w:link w:val="CommentSubject"/>
    <w:uiPriority w:val="99"/>
    <w:semiHidden/>
    <w:rsid w:val="004C485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3C6698"/>
    <w:pPr>
      <w:spacing w:after="0" w:line="240" w:lineRule="auto"/>
    </w:pPr>
  </w:style>
  <w:style w:type="character" w:styleId="UnresolvedMention">
    <w:name w:val="Unresolved Mention"/>
    <w:basedOn w:val="DefaultParagraphFont"/>
    <w:uiPriority w:val="99"/>
    <w:semiHidden/>
    <w:unhideWhenUsed/>
    <w:rsid w:val="00003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91900">
      <w:bodyDiv w:val="1"/>
      <w:marLeft w:val="0"/>
      <w:marRight w:val="0"/>
      <w:marTop w:val="0"/>
      <w:marBottom w:val="0"/>
      <w:divBdr>
        <w:top w:val="none" w:sz="0" w:space="0" w:color="auto"/>
        <w:left w:val="none" w:sz="0" w:space="0" w:color="auto"/>
        <w:bottom w:val="none" w:sz="0" w:space="0" w:color="auto"/>
        <w:right w:val="none" w:sz="0" w:space="0" w:color="auto"/>
      </w:divBdr>
      <w:divsChild>
        <w:div w:id="45690178">
          <w:marLeft w:val="547"/>
          <w:marRight w:val="0"/>
          <w:marTop w:val="240"/>
          <w:marBottom w:val="0"/>
          <w:divBdr>
            <w:top w:val="none" w:sz="0" w:space="0" w:color="auto"/>
            <w:left w:val="none" w:sz="0" w:space="0" w:color="auto"/>
            <w:bottom w:val="none" w:sz="0" w:space="0" w:color="auto"/>
            <w:right w:val="none" w:sz="0" w:space="0" w:color="auto"/>
          </w:divBdr>
        </w:div>
        <w:div w:id="94059708">
          <w:marLeft w:val="547"/>
          <w:marRight w:val="0"/>
          <w:marTop w:val="240"/>
          <w:marBottom w:val="0"/>
          <w:divBdr>
            <w:top w:val="none" w:sz="0" w:space="0" w:color="auto"/>
            <w:left w:val="none" w:sz="0" w:space="0" w:color="auto"/>
            <w:bottom w:val="none" w:sz="0" w:space="0" w:color="auto"/>
            <w:right w:val="none" w:sz="0" w:space="0" w:color="auto"/>
          </w:divBdr>
        </w:div>
        <w:div w:id="1136488345">
          <w:marLeft w:val="547"/>
          <w:marRight w:val="0"/>
          <w:marTop w:val="240"/>
          <w:marBottom w:val="0"/>
          <w:divBdr>
            <w:top w:val="none" w:sz="0" w:space="0" w:color="auto"/>
            <w:left w:val="none" w:sz="0" w:space="0" w:color="auto"/>
            <w:bottom w:val="none" w:sz="0" w:space="0" w:color="auto"/>
            <w:right w:val="none" w:sz="0" w:space="0" w:color="auto"/>
          </w:divBdr>
        </w:div>
        <w:div w:id="2003313106">
          <w:marLeft w:val="547"/>
          <w:marRight w:val="0"/>
          <w:marTop w:val="240"/>
          <w:marBottom w:val="0"/>
          <w:divBdr>
            <w:top w:val="none" w:sz="0" w:space="0" w:color="auto"/>
            <w:left w:val="none" w:sz="0" w:space="0" w:color="auto"/>
            <w:bottom w:val="none" w:sz="0" w:space="0" w:color="auto"/>
            <w:right w:val="none" w:sz="0" w:space="0" w:color="auto"/>
          </w:divBdr>
        </w:div>
      </w:divsChild>
    </w:div>
    <w:div w:id="1457136402">
      <w:bodyDiv w:val="1"/>
      <w:marLeft w:val="0"/>
      <w:marRight w:val="0"/>
      <w:marTop w:val="0"/>
      <w:marBottom w:val="0"/>
      <w:divBdr>
        <w:top w:val="none" w:sz="0" w:space="0" w:color="auto"/>
        <w:left w:val="none" w:sz="0" w:space="0" w:color="auto"/>
        <w:bottom w:val="none" w:sz="0" w:space="0" w:color="auto"/>
        <w:right w:val="none" w:sz="0" w:space="0" w:color="auto"/>
      </w:divBdr>
    </w:div>
    <w:div w:id="19356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draft-meeting-minutes-17/download" TargetMode="External"/><Relationship Id="rId2" Type="http://schemas.openxmlformats.org/officeDocument/2006/relationships/hyperlink" Target="https://www.mass.gov/doc/draft-meeting-minutes-16/download" TargetMode="External"/><Relationship Id="rId1" Type="http://schemas.openxmlformats.org/officeDocument/2006/relationships/hyperlink" Target="https://www.mass.gov/doc/gmac-final-report/download" TargetMode="External"/><Relationship Id="rId5" Type="http://schemas.openxmlformats.org/officeDocument/2006/relationships/hyperlink" Target="https://www.mass.gov/doc/gmac-final-report/download" TargetMode="External"/><Relationship Id="rId4" Type="http://schemas.openxmlformats.org/officeDocument/2006/relationships/hyperlink" Target="https://www.hawaiianelectric.com/about-us/performance-scorecards-and-metrics/afford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4462B-C461-4AFA-A6CD-BB4503F7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67B29-56E1-4B9E-AF59-0E1FAFCF18F6}">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3.xml><?xml version="1.0" encoding="utf-8"?>
<ds:datastoreItem xmlns:ds="http://schemas.openxmlformats.org/officeDocument/2006/customXml" ds:itemID="{5C21A936-4178-48BD-8181-E93BFA3C3FC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1882</Words>
  <Characters>10730</Characters>
  <Application>Microsoft Office Word</Application>
  <DocSecurity>0</DocSecurity>
  <Lines>89</Lines>
  <Paragraphs>25</Paragraphs>
  <ScaleCrop>false</ScaleCrop>
  <Company/>
  <LinksUpToDate>false</LinksUpToDate>
  <CharactersWithSpaces>12587</CharactersWithSpaces>
  <SharedDoc>false</SharedDoc>
  <HLinks>
    <vt:vector size="24" baseType="variant">
      <vt:variant>
        <vt:i4>2228267</vt:i4>
      </vt:variant>
      <vt:variant>
        <vt:i4>9</vt:i4>
      </vt:variant>
      <vt:variant>
        <vt:i4>0</vt:i4>
      </vt:variant>
      <vt:variant>
        <vt:i4>5</vt:i4>
      </vt:variant>
      <vt:variant>
        <vt:lpwstr>https://www.mass.gov/doc/gmac-final-report/download</vt:lpwstr>
      </vt:variant>
      <vt:variant>
        <vt:lpwstr/>
      </vt:variant>
      <vt:variant>
        <vt:i4>3735608</vt:i4>
      </vt:variant>
      <vt:variant>
        <vt:i4>6</vt:i4>
      </vt:variant>
      <vt:variant>
        <vt:i4>0</vt:i4>
      </vt:variant>
      <vt:variant>
        <vt:i4>5</vt:i4>
      </vt:variant>
      <vt:variant>
        <vt:lpwstr>https://www.hawaiianelectric.com/about-us/performance-scorecards-and-metrics/affordability</vt:lpwstr>
      </vt:variant>
      <vt:variant>
        <vt:lpwstr/>
      </vt:variant>
      <vt:variant>
        <vt:i4>2818151</vt:i4>
      </vt:variant>
      <vt:variant>
        <vt:i4>3</vt:i4>
      </vt:variant>
      <vt:variant>
        <vt:i4>0</vt:i4>
      </vt:variant>
      <vt:variant>
        <vt:i4>5</vt:i4>
      </vt:variant>
      <vt:variant>
        <vt:lpwstr>https://www.mass.gov/doc/draft-meeting-minutes-16/download</vt:lpwstr>
      </vt:variant>
      <vt:variant>
        <vt:lpwstr/>
      </vt:variant>
      <vt:variant>
        <vt:i4>2228267</vt:i4>
      </vt:variant>
      <vt:variant>
        <vt:i4>0</vt:i4>
      </vt:variant>
      <vt:variant>
        <vt:i4>0</vt:i4>
      </vt:variant>
      <vt:variant>
        <vt:i4>5</vt:i4>
      </vt:variant>
      <vt:variant>
        <vt:lpwstr>https://www.mass.gov/doc/gmac-final-report/download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Julia (ENE)</dc:creator>
  <cp:keywords/>
  <dc:description/>
  <cp:lastModifiedBy>Fox, Julia (ENE)</cp:lastModifiedBy>
  <cp:revision>3</cp:revision>
  <dcterms:created xsi:type="dcterms:W3CDTF">2025-03-21T20:57:00Z</dcterms:created>
  <dcterms:modified xsi:type="dcterms:W3CDTF">2025-03-21T20:58:00Z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