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633D92D2" w:rsidR="009B1938" w:rsidRPr="00EC7464" w:rsidRDefault="009B1938">
      <w:pPr>
        <w:jc w:val="center"/>
        <w:rPr>
          <w:b/>
          <w:bCs/>
          <w:kern w:val="2"/>
        </w:rPr>
      </w:pPr>
      <w:r w:rsidRPr="00EC7464">
        <w:rPr>
          <w:b/>
          <w:bCs/>
          <w:kern w:val="2"/>
        </w:rPr>
        <w:t xml:space="preserve">Expires:  </w:t>
      </w:r>
      <w:r w:rsidR="009F5BD2">
        <w:rPr>
          <w:b/>
          <w:bCs/>
          <w:kern w:val="2"/>
        </w:rPr>
        <w:t>02/28/2027</w:t>
      </w:r>
    </w:p>
    <w:p w14:paraId="03E73E86" w14:textId="6F11D985" w:rsidR="009B1938" w:rsidRPr="00111F53" w:rsidRDefault="00292E8B" w:rsidP="008B4B43">
      <w:pPr>
        <w:spacing w:before="1920"/>
        <w:jc w:val="center"/>
        <w:rPr>
          <w:b/>
          <w:bCs/>
          <w:smallCaps/>
          <w:kern w:val="2"/>
          <w:sz w:val="28"/>
          <w:szCs w:val="28"/>
        </w:rPr>
      </w:pPr>
      <w:r w:rsidRPr="00111F53">
        <w:rPr>
          <w:b/>
          <w:bCs/>
          <w:smallCaps/>
          <w:kern w:val="2"/>
          <w:sz w:val="28"/>
          <w:szCs w:val="28"/>
        </w:rPr>
        <w:t xml:space="preserve">Annual State Application Under Part C of the </w:t>
      </w:r>
      <w:r w:rsidRPr="00111F53">
        <w:rPr>
          <w:b/>
          <w:bCs/>
          <w:smallCaps/>
          <w:kern w:val="2"/>
          <w:sz w:val="28"/>
          <w:szCs w:val="28"/>
        </w:rPr>
        <w:br/>
        <w:t xml:space="preserve">Individuals </w:t>
      </w:r>
      <w:r w:rsidR="00111F53" w:rsidRPr="00111F53">
        <w:rPr>
          <w:b/>
          <w:bCs/>
          <w:smallCaps/>
          <w:kern w:val="2"/>
          <w:sz w:val="28"/>
          <w:szCs w:val="28"/>
        </w:rPr>
        <w:t>with</w:t>
      </w:r>
      <w:r w:rsidRPr="00111F53">
        <w:rPr>
          <w:b/>
          <w:bCs/>
          <w:smallCaps/>
          <w:kern w:val="2"/>
          <w:sz w:val="28"/>
          <w:szCs w:val="28"/>
        </w:rPr>
        <w:t xml:space="preserve"> Disabilities Education Act as Amended </w:t>
      </w:r>
      <w:r w:rsidR="00111F53" w:rsidRPr="00111F53">
        <w:rPr>
          <w:b/>
          <w:bCs/>
          <w:smallCaps/>
          <w:kern w:val="2"/>
          <w:sz w:val="28"/>
          <w:szCs w:val="28"/>
        </w:rPr>
        <w:t>i</w:t>
      </w:r>
      <w:r w:rsidRPr="00111F53">
        <w:rPr>
          <w:b/>
          <w:bCs/>
          <w:smallCaps/>
          <w:kern w:val="2"/>
          <w:sz w:val="28"/>
          <w:szCs w:val="28"/>
        </w:rPr>
        <w:t xml:space="preserve">n 2004 </w:t>
      </w:r>
      <w:r w:rsidRPr="00111F53">
        <w:rPr>
          <w:b/>
          <w:bCs/>
          <w:smallCaps/>
          <w:kern w:val="2"/>
          <w:sz w:val="28"/>
          <w:szCs w:val="28"/>
        </w:rPr>
        <w:br/>
      </w:r>
      <w:r w:rsidR="00111F53" w:rsidRPr="00111F53">
        <w:rPr>
          <w:b/>
          <w:bCs/>
          <w:smallCaps/>
          <w:kern w:val="2"/>
          <w:sz w:val="28"/>
          <w:szCs w:val="28"/>
        </w:rPr>
        <w:t>f</w:t>
      </w:r>
      <w:r w:rsidRPr="00111F53">
        <w:rPr>
          <w:b/>
          <w:bCs/>
          <w:smallCaps/>
          <w:kern w:val="2"/>
          <w:sz w:val="28"/>
          <w:szCs w:val="28"/>
        </w:rPr>
        <w:t>or Federal Fiscal Year (F</w:t>
      </w:r>
      <w:r w:rsidR="00111F53" w:rsidRPr="00111F53">
        <w:rPr>
          <w:b/>
          <w:bCs/>
          <w:smallCaps/>
          <w:kern w:val="2"/>
          <w:sz w:val="28"/>
          <w:szCs w:val="28"/>
        </w:rPr>
        <w:t>FY</w:t>
      </w:r>
      <w:r w:rsidRPr="00111F53">
        <w:rPr>
          <w:b/>
          <w:bCs/>
          <w:smallCaps/>
          <w:kern w:val="2"/>
          <w:sz w:val="28"/>
          <w:szCs w:val="28"/>
        </w:rPr>
        <w:t xml:space="preserve">) </w:t>
      </w:r>
      <w:r w:rsidR="007A4382">
        <w:rPr>
          <w:b/>
          <w:bCs/>
          <w:smallCaps/>
          <w:kern w:val="2"/>
          <w:sz w:val="28"/>
          <w:szCs w:val="28"/>
        </w:rPr>
        <w:t>2024</w:t>
      </w:r>
    </w:p>
    <w:p w14:paraId="03E73E87" w14:textId="77777777" w:rsidR="009B1938" w:rsidRPr="00111F53" w:rsidRDefault="009B1938" w:rsidP="008B4B43">
      <w:pPr>
        <w:spacing w:before="120" w:after="600"/>
        <w:jc w:val="center"/>
        <w:rPr>
          <w:b/>
          <w:bCs/>
          <w:smallCaps/>
          <w:kern w:val="2"/>
        </w:rPr>
      </w:pPr>
      <w:r w:rsidRPr="00111F53">
        <w:rPr>
          <w:b/>
          <w:bCs/>
          <w:smallCap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301D22AA" w:rsidR="00F31E6E" w:rsidRPr="00EC7464" w:rsidRDefault="00225E47" w:rsidP="00F31E6E">
      <w:pPr>
        <w:pStyle w:val="PlainText"/>
        <w:rPr>
          <w:rFonts w:ascii="Arial" w:hAnsi="Arial" w:cs="Arial"/>
          <w:kern w:val="2"/>
          <w:sz w:val="20"/>
          <w:szCs w:val="20"/>
        </w:rPr>
      </w:pPr>
      <w:r w:rsidRPr="000A4D0B">
        <w:rPr>
          <w:rFonts w:ascii="Arial" w:hAnsi="Arial" w:cs="Arial"/>
          <w:kern w:val="2"/>
          <w:sz w:val="20"/>
          <w:szCs w:val="20"/>
        </w:rPr>
        <w:t>According to the Paperwork Reduction Act of 1995, no persons are required to respond to a collection of information unless such collection displays a valid OMB control number.  The valid OMB control number for this information collection is 1820-0550.  Public reporting burden for this collection of information is estimated to average 10 hours per response, including time for reviewing instructions</w:t>
      </w:r>
      <w:r w:rsidR="00DB4A4D">
        <w:rPr>
          <w:rFonts w:ascii="Arial" w:hAnsi="Arial" w:cs="Arial"/>
          <w:kern w:val="2"/>
          <w:sz w:val="20"/>
          <w:szCs w:val="20"/>
        </w:rPr>
        <w:t>;</w:t>
      </w:r>
      <w:r w:rsidRPr="000A4D0B">
        <w:rPr>
          <w:rFonts w:ascii="Arial" w:hAnsi="Arial" w:cs="Arial"/>
          <w:kern w:val="2"/>
          <w:sz w:val="20"/>
          <w:szCs w:val="20"/>
        </w:rPr>
        <w:t xml:space="preserve"> searching existing data sources</w:t>
      </w:r>
      <w:r w:rsidR="00DB4A4D">
        <w:rPr>
          <w:rFonts w:ascii="Arial" w:hAnsi="Arial" w:cs="Arial"/>
          <w:kern w:val="2"/>
          <w:sz w:val="20"/>
          <w:szCs w:val="20"/>
        </w:rPr>
        <w:t>;</w:t>
      </w:r>
      <w:r w:rsidRPr="000A4D0B">
        <w:rPr>
          <w:rFonts w:ascii="Arial" w:hAnsi="Arial" w:cs="Arial"/>
          <w:kern w:val="2"/>
          <w:sz w:val="20"/>
          <w:szCs w:val="20"/>
        </w:rPr>
        <w:t xml:space="preserve"> gathering and maintaining the data needed</w:t>
      </w:r>
      <w:r w:rsidR="00DB4A4D">
        <w:rPr>
          <w:rFonts w:ascii="Arial" w:hAnsi="Arial" w:cs="Arial"/>
          <w:kern w:val="2"/>
          <w:sz w:val="20"/>
          <w:szCs w:val="20"/>
        </w:rPr>
        <w:t>;</w:t>
      </w:r>
      <w:r w:rsidRPr="000A4D0B">
        <w:rPr>
          <w:rFonts w:ascii="Arial" w:hAnsi="Arial" w:cs="Arial"/>
          <w:kern w:val="2"/>
          <w:sz w:val="20"/>
          <w:szCs w:val="20"/>
        </w:rPr>
        <w:t xml:space="preserve"> and completing and reviewing the collection of information. The obligation to respond to this collection is required to obtain or retain benefit under IDEA Part C (20 U.S.C. 1400, et seq.).  If you have any comments concerning the accuracy of the time estimate, suggestions for improving this individual collection, or if you have comments or concerns regarding the status of your individual form, application or survey, please contact Jennifer Simpson at </w:t>
      </w:r>
      <w:hyperlink r:id="rId11" w:history="1">
        <w:r w:rsidR="00C230F2" w:rsidRPr="00B42AB3">
          <w:rPr>
            <w:rStyle w:val="Hyperlink"/>
            <w:rFonts w:ascii="Arial" w:hAnsi="Arial" w:cs="Arial"/>
            <w:kern w:val="2"/>
            <w:sz w:val="20"/>
            <w:szCs w:val="20"/>
          </w:rPr>
          <w:t>jennifer.simpson@ed.gov /</w:t>
        </w:r>
      </w:hyperlink>
      <w:r w:rsidR="00C230F2">
        <w:rPr>
          <w:rFonts w:ascii="Arial" w:hAnsi="Arial" w:cs="Arial"/>
          <w:kern w:val="2"/>
          <w:sz w:val="20"/>
          <w:szCs w:val="20"/>
        </w:rPr>
        <w:t xml:space="preserve"> </w:t>
      </w:r>
      <w:r w:rsidRPr="000A4D0B">
        <w:rPr>
          <w:rFonts w:ascii="Arial" w:hAnsi="Arial" w:cs="Arial"/>
          <w:kern w:val="2"/>
          <w:sz w:val="20"/>
          <w:szCs w:val="20"/>
        </w:rPr>
        <w:t>(202) 245-</w:t>
      </w:r>
      <w:r w:rsidR="00D92F4F">
        <w:rPr>
          <w:rFonts w:ascii="Arial" w:hAnsi="Arial" w:cs="Arial"/>
          <w:kern w:val="2"/>
          <w:sz w:val="20"/>
          <w:szCs w:val="20"/>
        </w:rPr>
        <w:t>6348</w:t>
      </w:r>
      <w:r w:rsidRPr="000A4D0B">
        <w:rPr>
          <w:rFonts w:ascii="Arial" w:hAnsi="Arial" w:cs="Arial"/>
          <w:kern w:val="2"/>
          <w:sz w:val="20"/>
          <w:szCs w:val="20"/>
        </w:rPr>
        <w:t xml:space="preserve"> directly</w:t>
      </w:r>
      <w:r w:rsidR="00F31E6E" w:rsidRPr="00EC7464">
        <w:rPr>
          <w:rFonts w:ascii="Arial" w:hAnsi="Arial" w:cs="Arial"/>
          <w:kern w:val="2"/>
          <w:sz w:val="20"/>
          <w:szCs w:val="20"/>
        </w:rPr>
        <w:t>.</w:t>
      </w:r>
    </w:p>
    <w:p w14:paraId="3625BCFA" w14:textId="77777777" w:rsidR="00F31E6E" w:rsidRPr="00DF0AF1" w:rsidRDefault="00F31E6E" w:rsidP="00DF0AF1"/>
    <w:p w14:paraId="03E73E8E" w14:textId="6F8400F5" w:rsidR="00DF0AF1" w:rsidRPr="00DF0AF1" w:rsidRDefault="00DF0AF1" w:rsidP="00DF0AF1">
      <w:pPr>
        <w:sectPr w:rsidR="00DF0AF1" w:rsidRPr="00DF0AF1"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DF0AF1" w:rsidRDefault="009B1938" w:rsidP="00DF0AF1">
      <w:pPr>
        <w:pStyle w:val="Heading1"/>
      </w:pPr>
      <w:r w:rsidRPr="00DF0AF1">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1EA7085F" w:rsidR="009B1938" w:rsidRPr="00EC7464" w:rsidRDefault="009B1938">
      <w:pPr>
        <w:pStyle w:val="BodyTextIndent2"/>
        <w:ind w:left="1200" w:hanging="1200"/>
        <w:rPr>
          <w:kern w:val="2"/>
        </w:rPr>
      </w:pPr>
      <w:r w:rsidRPr="00EC7464">
        <w:rPr>
          <w:kern w:val="2"/>
        </w:rPr>
        <w:t>1.  __</w:t>
      </w:r>
      <w:r w:rsidR="00E92632">
        <w:rPr>
          <w:kern w:val="2"/>
        </w:rPr>
        <w:t>X</w:t>
      </w:r>
      <w:r w:rsidRPr="00EC7464">
        <w:rPr>
          <w:kern w:val="2"/>
        </w:rPr>
        <w:t>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24C1E733" w:rsidR="009B1938" w:rsidRPr="00EC7464" w:rsidRDefault="009B1938">
      <w:pPr>
        <w:pStyle w:val="BodyTextIndent"/>
        <w:spacing w:after="120"/>
        <w:ind w:left="1200" w:firstLine="0"/>
        <w:rPr>
          <w:kern w:val="2"/>
        </w:rPr>
      </w:pPr>
      <w:r w:rsidRPr="00EC7464">
        <w:rPr>
          <w:kern w:val="2"/>
        </w:rPr>
        <w:t xml:space="preserve">By selecting this submission </w:t>
      </w:r>
      <w:r w:rsidR="008C4354" w:rsidRPr="00EC7464">
        <w:rPr>
          <w:kern w:val="2"/>
        </w:rPr>
        <w:t>statement,</w:t>
      </w:r>
      <w:r w:rsidRPr="00EC7464">
        <w:rPr>
          <w:kern w:val="2"/>
        </w:rPr>
        <w:t xml:space="preserve">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080C28FF"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5C75AC">
        <w:rPr>
          <w:kern w:val="2"/>
        </w:rPr>
        <w:t>2025</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5C8F6C72" w:rsidR="009B1938" w:rsidRPr="00EC7464" w:rsidRDefault="009B1938" w:rsidP="00554C8A">
      <w:pPr>
        <w:tabs>
          <w:tab w:val="left" w:pos="3206"/>
        </w:tabs>
        <w:spacing w:after="120"/>
        <w:rPr>
          <w:kern w:val="2"/>
        </w:rPr>
      </w:pPr>
      <w:r w:rsidRPr="00EC7464">
        <w:rPr>
          <w:kern w:val="2"/>
        </w:rPr>
        <w:t>Optional:</w:t>
      </w:r>
      <w:r w:rsidR="00554C8A">
        <w:rPr>
          <w:kern w:val="2"/>
        </w:rPr>
        <w:tab/>
      </w:r>
    </w:p>
    <w:p w14:paraId="03E73E97" w14:textId="56F364E0" w:rsidR="009B1938" w:rsidRPr="00EC7464" w:rsidRDefault="009B1938" w:rsidP="009F5BD2">
      <w:pPr>
        <w:pStyle w:val="BodyTextIndent3"/>
        <w:spacing w:after="240"/>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w:t>
      </w:r>
      <w:r w:rsidR="008C4354" w:rsidRPr="00EC7464">
        <w:rPr>
          <w:kern w:val="2"/>
        </w:rPr>
        <w:t>federal</w:t>
      </w:r>
      <w:r w:rsidRPr="00EC7464">
        <w:rPr>
          <w:kern w:val="2"/>
        </w:rPr>
        <w:t xml:space="preserve">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26A2101D"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5C75AC">
        <w:rPr>
          <w:kern w:val="2"/>
          <w:szCs w:val="20"/>
        </w:rPr>
        <w:t>2023</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5C75AC">
        <w:rPr>
          <w:kern w:val="2"/>
          <w:szCs w:val="20"/>
        </w:rPr>
        <w:t>2023</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3250F304"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5C75AC">
        <w:rPr>
          <w:kern w:val="2"/>
          <w:szCs w:val="20"/>
        </w:rPr>
        <w:t>2023</w:t>
      </w:r>
      <w:r w:rsidR="001D2A05" w:rsidRPr="00EC7464">
        <w:rPr>
          <w:kern w:val="2"/>
          <w:szCs w:val="20"/>
        </w:rPr>
        <w:t xml:space="preserve"> </w:t>
      </w:r>
      <w:r w:rsidRPr="00EC7464">
        <w:rPr>
          <w:kern w:val="2"/>
          <w:szCs w:val="20"/>
        </w:rPr>
        <w:t xml:space="preserve">conditional approval letter.  </w:t>
      </w:r>
    </w:p>
    <w:p w14:paraId="1AD73120" w14:textId="77777777" w:rsidR="00E72D66" w:rsidRDefault="00E72D66" w:rsidP="00516472">
      <w:pPr>
        <w:pStyle w:val="Heading2"/>
      </w:pPr>
    </w:p>
    <w:p w14:paraId="03E73E9D" w14:textId="63F1AF7C" w:rsidR="009B1938" w:rsidRPr="00404678" w:rsidRDefault="00E72D66" w:rsidP="008B4B43">
      <w:pPr>
        <w:keepNext/>
        <w:autoSpaceDE w:val="0"/>
        <w:autoSpaceDN w:val="0"/>
        <w:adjustRightInd w:val="0"/>
        <w:spacing w:after="120"/>
        <w:ind w:left="400" w:hanging="400"/>
        <w:rPr>
          <w:b/>
          <w:bCs/>
          <w:kern w:val="2"/>
          <w:szCs w:val="20"/>
        </w:rPr>
      </w:pPr>
      <w:r>
        <w:rPr>
          <w:b/>
          <w:kern w:val="2"/>
          <w:szCs w:val="20"/>
        </w:rPr>
        <w:t>2</w:t>
      </w:r>
      <w:r w:rsidR="009B1938" w:rsidRPr="00404678">
        <w:rPr>
          <w:b/>
          <w:kern w:val="2"/>
          <w:szCs w:val="20"/>
        </w:rPr>
        <w:t>.</w:t>
      </w:r>
      <w:r w:rsidR="009B1938" w:rsidRPr="00404678">
        <w:rPr>
          <w:b/>
          <w:kern w:val="2"/>
          <w:szCs w:val="20"/>
        </w:rPr>
        <w:tab/>
      </w:r>
      <w:r w:rsidR="009B1938" w:rsidRPr="00404678">
        <w:rPr>
          <w:b/>
          <w:bCs/>
          <w:kern w:val="2"/>
          <w:szCs w:val="20"/>
        </w:rPr>
        <w:t>Conditional Approval Related to Other Issues:</w:t>
      </w:r>
    </w:p>
    <w:p w14:paraId="03E73E9E" w14:textId="592C02C3"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D21DEC">
        <w:rPr>
          <w:kern w:val="2"/>
          <w:szCs w:val="20"/>
        </w:rPr>
        <w:t>2023</w:t>
      </w:r>
      <w:r w:rsidR="00E54CA4" w:rsidRPr="00EC7464">
        <w:rPr>
          <w:kern w:val="2"/>
          <w:szCs w:val="20"/>
        </w:rPr>
        <w:t xml:space="preserve"> </w:t>
      </w:r>
      <w:r w:rsidRPr="00EC7464">
        <w:rPr>
          <w:kern w:val="2"/>
          <w:szCs w:val="20"/>
        </w:rPr>
        <w:t>conditional approval letter.</w:t>
      </w:r>
    </w:p>
    <w:p w14:paraId="03E73E9F" w14:textId="0872C843"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D21DEC">
        <w:rPr>
          <w:kern w:val="2"/>
          <w:szCs w:val="20"/>
        </w:rPr>
        <w:t>2023</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36796884"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6E7CF0">
        <w:rPr>
          <w:b w:val="0"/>
          <w:bCs w:val="0"/>
          <w:kern w:val="2"/>
          <w:szCs w:val="20"/>
        </w:rPr>
        <w:t>2023</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DF0AF1">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0A96BD95"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505150">
        <w:rPr>
          <w:kern w:val="2"/>
        </w:rPr>
        <w:t>2024</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DE6A5A">
        <w:rPr>
          <w:kern w:val="2"/>
        </w:rPr>
        <w:t>2025</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021B5529"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DE6A5A">
        <w:rPr>
          <w:szCs w:val="20"/>
        </w:rPr>
        <w:t>2025</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DF0AF1">
        <w:trPr>
          <w:tblHeader/>
          <w:jc w:val="center"/>
        </w:trPr>
        <w:tc>
          <w:tcPr>
            <w:tcW w:w="722" w:type="dxa"/>
            <w:tcBorders>
              <w:top w:val="single" w:sz="6" w:space="0" w:color="auto"/>
              <w:bottom w:val="single" w:sz="12" w:space="0" w:color="auto"/>
            </w:tcBorders>
            <w:shd w:val="clear" w:color="auto" w:fill="F2F2F2" w:themeFill="background1" w:themeFillShade="F2"/>
            <w:vAlign w:val="bottom"/>
          </w:tcPr>
          <w:p w14:paraId="03E73EAD" w14:textId="225089BA" w:rsidR="009B1938" w:rsidRPr="004020F3" w:rsidRDefault="008A2D60" w:rsidP="00B82D95">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N</w:t>
            </w:r>
          </w:p>
        </w:tc>
        <w:tc>
          <w:tcPr>
            <w:tcW w:w="722" w:type="dxa"/>
            <w:tcBorders>
              <w:top w:val="single" w:sz="6" w:space="0" w:color="auto"/>
              <w:bottom w:val="single" w:sz="12" w:space="0" w:color="auto"/>
            </w:tcBorders>
            <w:shd w:val="clear" w:color="auto" w:fill="F2F2F2" w:themeFill="background1" w:themeFillShade="F2"/>
            <w:vAlign w:val="bottom"/>
          </w:tcPr>
          <w:p w14:paraId="03E73EAF" w14:textId="36E9DC49"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R</w:t>
            </w:r>
          </w:p>
        </w:tc>
        <w:tc>
          <w:tcPr>
            <w:tcW w:w="723" w:type="dxa"/>
            <w:tcBorders>
              <w:top w:val="single" w:sz="6" w:space="0" w:color="auto"/>
              <w:bottom w:val="single" w:sz="12" w:space="0" w:color="auto"/>
            </w:tcBorders>
            <w:shd w:val="clear" w:color="auto" w:fill="F2F2F2" w:themeFill="background1" w:themeFillShade="F2"/>
            <w:vAlign w:val="bottom"/>
          </w:tcPr>
          <w:p w14:paraId="03E73EB1" w14:textId="349BF2C7"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OF</w:t>
            </w:r>
          </w:p>
        </w:tc>
        <w:tc>
          <w:tcPr>
            <w:tcW w:w="1551" w:type="dxa"/>
            <w:tcBorders>
              <w:top w:val="single" w:sz="6" w:space="0" w:color="auto"/>
              <w:bottom w:val="single" w:sz="12" w:space="0" w:color="auto"/>
            </w:tcBorders>
            <w:shd w:val="clear" w:color="auto" w:fill="F2F2F2" w:themeFill="background1" w:themeFillShade="F2"/>
            <w:vAlign w:val="bottom"/>
          </w:tcPr>
          <w:p w14:paraId="03E73EB2" w14:textId="77777777" w:rsidR="009B1938" w:rsidRPr="004020F3" w:rsidRDefault="008A2D60" w:rsidP="00DF0AF1">
            <w:pPr>
              <w:pStyle w:val="Heading4"/>
              <w:rPr>
                <w:b w:val="0"/>
                <w:bCs w:val="0"/>
                <w:kern w:val="2"/>
                <w:sz w:val="20"/>
                <w:szCs w:val="20"/>
              </w:rPr>
            </w:pPr>
            <w:r w:rsidRPr="004020F3">
              <w:rPr>
                <w:kern w:val="2"/>
                <w:sz w:val="20"/>
                <w:szCs w:val="20"/>
              </w:rPr>
              <w:t>No</w:t>
            </w:r>
          </w:p>
        </w:tc>
        <w:tc>
          <w:tcPr>
            <w:tcW w:w="5642" w:type="dxa"/>
            <w:tcBorders>
              <w:top w:val="single" w:sz="6" w:space="0" w:color="auto"/>
              <w:bottom w:val="single" w:sz="12" w:space="0" w:color="auto"/>
            </w:tcBorders>
            <w:shd w:val="clear" w:color="auto" w:fill="F2F2F2" w:themeFill="background1" w:themeFillShade="F2"/>
            <w:vAlign w:val="bottom"/>
          </w:tcPr>
          <w:p w14:paraId="03E73EB3" w14:textId="77777777" w:rsidR="009B1938" w:rsidRPr="004020F3" w:rsidRDefault="009B1938" w:rsidP="00DF0AF1">
            <w:pPr>
              <w:pStyle w:val="FootnoteText"/>
              <w:jc w:val="center"/>
              <w:rPr>
                <w:b/>
                <w:bCs/>
                <w:kern w:val="2"/>
              </w:rPr>
            </w:pPr>
            <w:r w:rsidRPr="004020F3">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47059910" w:rsidR="009B1938" w:rsidRPr="00EC7464" w:rsidRDefault="00E92632" w:rsidP="008A2D60">
            <w:pPr>
              <w:spacing w:before="120" w:after="120"/>
              <w:jc w:val="center"/>
              <w:rPr>
                <w:kern w:val="2"/>
              </w:rPr>
            </w:pPr>
            <w:r>
              <w:rPr>
                <w:kern w:val="2"/>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3CCDC55E" w:rsidR="009B1938" w:rsidRPr="00EC7464" w:rsidRDefault="00E92632"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2AF19692" w14:textId="77777777" w:rsidR="00D126E0" w:rsidRDefault="008A2D60" w:rsidP="00FE474F">
            <w:pPr>
              <w:rPr>
                <w:b/>
                <w:bCs/>
                <w:color w:val="808080" w:themeColor="background1" w:themeShade="80"/>
                <w:kern w:val="2"/>
              </w:rPr>
            </w:pPr>
            <w:r w:rsidRPr="0051164B">
              <w:rPr>
                <w:b/>
                <w:bCs/>
                <w:color w:val="808080" w:themeColor="background1" w:themeShade="80"/>
                <w:kern w:val="2"/>
              </w:rPr>
              <w:t>—</w:t>
            </w:r>
          </w:p>
          <w:p w14:paraId="1BE90082" w14:textId="77777777" w:rsidR="003D48BC" w:rsidRPr="00061387" w:rsidRDefault="003D48BC" w:rsidP="003D48BC"/>
          <w:p w14:paraId="2CF9516A" w14:textId="77777777" w:rsidR="003D48BC" w:rsidRPr="00061387" w:rsidRDefault="003D48BC" w:rsidP="003D48BC"/>
          <w:p w14:paraId="07F1ADA7" w14:textId="77777777" w:rsidR="003D48BC" w:rsidRPr="00061387" w:rsidRDefault="003D48BC" w:rsidP="003D48BC"/>
          <w:p w14:paraId="50E4E132" w14:textId="77777777" w:rsidR="003D48BC" w:rsidRPr="00061387" w:rsidRDefault="003D48BC" w:rsidP="003D48BC"/>
          <w:p w14:paraId="533B9A12" w14:textId="77777777" w:rsidR="003D48BC" w:rsidRPr="00061387" w:rsidRDefault="003D48BC" w:rsidP="003D48BC"/>
          <w:p w14:paraId="7E2CAABC" w14:textId="77777777" w:rsidR="003D48BC" w:rsidRPr="00061387" w:rsidRDefault="003D48BC" w:rsidP="003D48BC"/>
          <w:p w14:paraId="7710AC28" w14:textId="77777777" w:rsidR="003D48BC" w:rsidRPr="00061387" w:rsidRDefault="003D48BC" w:rsidP="003D48BC"/>
          <w:p w14:paraId="03E73ECA" w14:textId="129EF459" w:rsidR="003D48BC" w:rsidRPr="003D48BC" w:rsidRDefault="003D48BC" w:rsidP="003D48BC"/>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The State must have policies and procedures that meet the requirements listed in 3(a) and the methods identified in 3(b), and must provide responses to those 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3D1976B9" w:rsidR="009B1938" w:rsidRPr="00EC7464" w:rsidRDefault="00E92632" w:rsidP="008A2D60">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14EC6D4D" w:rsidR="009B1938" w:rsidRPr="00EC7464" w:rsidRDefault="00E92632"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4D29F17F" w:rsidR="009B1938" w:rsidRPr="00EC7464" w:rsidRDefault="00E92632"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 xml:space="preserve">Specify the level of developmental delay in functioning or other comparable criteria that </w:t>
            </w:r>
            <w:r w:rsidRPr="00EC7464">
              <w:rPr>
                <w:b w:val="0"/>
                <w:bCs w:val="0"/>
                <w:kern w:val="2"/>
                <w:szCs w:val="20"/>
              </w:rPr>
              <w:lastRenderedPageBreak/>
              <w:t>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vAlign w:val="center"/>
          </w:tcPr>
          <w:p w14:paraId="03E73EEA" w14:textId="5D227CC3" w:rsidR="009B1938" w:rsidRPr="00EC7464" w:rsidRDefault="00E92632" w:rsidP="008A2D60">
            <w:pPr>
              <w:spacing w:before="120" w:after="120"/>
              <w:jc w:val="center"/>
              <w:rPr>
                <w:kern w:val="2"/>
              </w:rPr>
            </w:pPr>
            <w:r>
              <w:rPr>
                <w:kern w:val="2"/>
              </w:rPr>
              <w:t>X</w:t>
            </w:r>
          </w:p>
        </w:tc>
        <w:tc>
          <w:tcPr>
            <w:tcW w:w="1551" w:type="dxa"/>
            <w:shd w:val="clear" w:color="auto" w:fill="FFFFFF"/>
            <w:vAlign w:val="center"/>
          </w:tcPr>
          <w:p w14:paraId="03E73EEB" w14:textId="77777777" w:rsidR="009B1938" w:rsidRPr="00EC7464" w:rsidRDefault="009B1938" w:rsidP="008A2D60">
            <w:pPr>
              <w:spacing w:before="120" w:after="120"/>
              <w:jc w:val="center"/>
              <w:rPr>
                <w:kern w:val="2"/>
              </w:rPr>
            </w:pP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0F1926B3" w:rsidR="009B1938" w:rsidRPr="00EC7464" w:rsidRDefault="00E92632" w:rsidP="008A2D60">
            <w:pPr>
              <w:spacing w:before="120" w:after="120"/>
              <w:jc w:val="center"/>
              <w:rPr>
                <w:kern w:val="2"/>
              </w:rPr>
            </w:pPr>
            <w:r>
              <w:rPr>
                <w:kern w:val="2"/>
              </w:rP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52EE5D0B" w:rsidR="009B1938" w:rsidRPr="00EC7464" w:rsidRDefault="00E92632" w:rsidP="008A2D60">
            <w:pPr>
              <w:spacing w:before="120" w:after="120"/>
              <w:jc w:val="center"/>
              <w:rPr>
                <w:kern w:val="2"/>
              </w:rPr>
            </w:pPr>
            <w:r>
              <w:rPr>
                <w:kern w:val="2"/>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1D745BCB" w:rsidR="009B1938" w:rsidRPr="00EC7464" w:rsidRDefault="00E92632" w:rsidP="008A2D60">
            <w:pPr>
              <w:spacing w:before="120" w:after="120"/>
              <w:jc w:val="center"/>
              <w:rPr>
                <w:kern w:val="2"/>
              </w:rPr>
            </w:pPr>
            <w:r>
              <w:rPr>
                <w:kern w:val="2"/>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 xml:space="preserve">Each application must include a description of the policies and procedures used by the State to ensure that, before adopting any new policy or procedure (including any revision to an existing policy or procedure) </w:t>
            </w:r>
            <w:r w:rsidRPr="00EC7464">
              <w:rPr>
                <w:kern w:val="2"/>
              </w:rPr>
              <w:lastRenderedPageBreak/>
              <w:t>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13F24AB3" w:rsidR="009B1938" w:rsidRPr="00EC7464" w:rsidRDefault="00E92632" w:rsidP="008A2D60">
            <w:pPr>
              <w:spacing w:before="120" w:after="120"/>
              <w:jc w:val="center"/>
              <w:rPr>
                <w:kern w:val="2"/>
              </w:rPr>
            </w:pPr>
            <w:r>
              <w:rPr>
                <w:kern w:val="2"/>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the lead agency and the SEA will meet the requirements of paragraphs (b) through (f) of this section (including any policies adopted by the lead agency under §303.401(d) and (e)), §303.344(h), and 34 </w:t>
            </w:r>
            <w:r w:rsidRPr="00EC7464">
              <w:rPr>
                <w:kern w:val="2"/>
              </w:rPr>
              <w:lastRenderedPageBreak/>
              <w:t>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 xml:space="preserve">If a toddler with a disability may be eligible for preschool services under Part B of the Act, the lead agency, with the approval of the family of the toddler, convenes a conference, among the lead agency, the family, and the LEA not </w:t>
            </w:r>
            <w:r w:rsidRPr="00EC7464">
              <w:rPr>
                <w:kern w:val="2"/>
              </w:rPr>
              <w:lastRenderedPageBreak/>
              <w:t>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lastRenderedPageBreak/>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2B54AF48" w:rsidR="009B1938" w:rsidRPr="00EC7464" w:rsidRDefault="00900D16"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6AD527DC" w:rsidR="009B1938" w:rsidRPr="00EC7464" w:rsidRDefault="00900D16" w:rsidP="008A2D60">
            <w:pPr>
              <w:spacing w:before="120" w:after="120"/>
              <w:jc w:val="center"/>
              <w:rPr>
                <w:kern w:val="2"/>
              </w:rPr>
            </w:pPr>
            <w:r>
              <w:rPr>
                <w:kern w:val="2"/>
              </w:rPr>
              <w:t>X</w:t>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58C457FA" w:rsidR="009B1938" w:rsidRPr="00EC7464" w:rsidRDefault="00900D16" w:rsidP="008A2D60">
            <w:pPr>
              <w:spacing w:before="120" w:after="120"/>
              <w:jc w:val="center"/>
              <w:rPr>
                <w:kern w:val="2"/>
              </w:rPr>
            </w:pPr>
            <w:r>
              <w:rPr>
                <w:kern w:val="2"/>
              </w:rPr>
              <w:t>N/A</w:t>
            </w:r>
          </w:p>
        </w:tc>
        <w:tc>
          <w:tcPr>
            <w:tcW w:w="722" w:type="dxa"/>
            <w:vAlign w:val="center"/>
          </w:tcPr>
          <w:p w14:paraId="03E73F3C" w14:textId="77777777" w:rsidR="009B1938" w:rsidRPr="00EC7464" w:rsidRDefault="009B1938" w:rsidP="008A2D60">
            <w:pPr>
              <w:spacing w:before="120" w:after="120"/>
              <w:jc w:val="center"/>
              <w:rPr>
                <w:kern w:val="2"/>
              </w:rPr>
            </w:pPr>
          </w:p>
        </w:tc>
        <w:tc>
          <w:tcPr>
            <w:tcW w:w="723" w:type="dxa"/>
            <w:vAlign w:val="center"/>
          </w:tcPr>
          <w:p w14:paraId="03E73F3D" w14:textId="77777777" w:rsidR="009B1938" w:rsidRPr="00EC7464" w:rsidRDefault="009B1938" w:rsidP="008A2D60">
            <w:pPr>
              <w:spacing w:before="120" w:after="120"/>
              <w:jc w:val="center"/>
              <w:rPr>
                <w:kern w:val="2"/>
              </w:rPr>
            </w:pPr>
          </w:p>
        </w:tc>
        <w:tc>
          <w:tcPr>
            <w:tcW w:w="1551" w:type="dxa"/>
            <w:vAlign w:val="center"/>
          </w:tcPr>
          <w:p w14:paraId="03E73F3E" w14:textId="77777777" w:rsidR="009B1938" w:rsidRPr="00EC7464" w:rsidRDefault="009B1938" w:rsidP="008A2D60">
            <w:pPr>
              <w:spacing w:before="120" w:after="120"/>
              <w:jc w:val="center"/>
              <w:rPr>
                <w:kern w:val="2"/>
              </w:rPr>
            </w:pP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lastRenderedPageBreak/>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The State policy ensures that any child served pursuant to this section has the right, at any time, to receive FAPE (as that term is defined at §303.15) under Part B of the Act instead of 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 xml:space="preserve">This provision does not apply if the LEA has requested parental consent for the initial evaluation under </w:t>
            </w:r>
            <w:r w:rsidRPr="00EC7464">
              <w:rPr>
                <w:kern w:val="2"/>
              </w:rPr>
              <w:lastRenderedPageBreak/>
              <w:t>§300.300(a)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w:t>
            </w:r>
            <w:r w:rsidRPr="00EC7464">
              <w:rPr>
                <w:kern w:val="2"/>
              </w:rPr>
              <w:lastRenderedPageBreak/>
              <w:t xml:space="preserve">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DF0AF1">
        <w:trPr>
          <w:tblHeader/>
          <w:jc w:val="center"/>
        </w:trPr>
        <w:tc>
          <w:tcPr>
            <w:tcW w:w="1440" w:type="dxa"/>
            <w:tcBorders>
              <w:top w:val="single" w:sz="12" w:space="0" w:color="auto"/>
              <w:bottom w:val="single" w:sz="12" w:space="0" w:color="auto"/>
            </w:tcBorders>
            <w:shd w:val="clear" w:color="auto" w:fill="F2F2F2" w:themeFill="background1" w:themeFillShade="F2"/>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shd w:val="clear" w:color="auto" w:fill="F2F2F2" w:themeFill="background1" w:themeFillShade="F2"/>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shd w:val="clear" w:color="auto" w:fill="F2F2F2" w:themeFill="background1" w:themeFillShade="F2"/>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7F6FF7F2" w:rsidR="009B1938" w:rsidRPr="00EC7464" w:rsidRDefault="00900D16"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0587EEDC" w:rsidR="009B1938" w:rsidRPr="00EC7464" w:rsidRDefault="00900D16"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4AE32FC9" w:rsidR="009B1938" w:rsidRPr="00EC7464" w:rsidRDefault="00900D16"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08ACFEE6" w:rsidR="009B1938" w:rsidRPr="00EC7464" w:rsidRDefault="00900D16"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6FBB7EF7" w:rsidR="009B1938" w:rsidRPr="00EC7464" w:rsidRDefault="00900D16"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0702B987" w:rsidR="00BE1E0C" w:rsidRPr="00EC7464" w:rsidRDefault="00900D16"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0E9423D2" w:rsidR="00BE1E0C" w:rsidRPr="00EC7464" w:rsidRDefault="00900D16"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642EF678" w:rsidR="00BE1E0C" w:rsidRPr="00EC7464" w:rsidRDefault="00900D16"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78B248DC" w:rsidR="00BE1E0C" w:rsidRPr="00EC7464" w:rsidRDefault="00900D16"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6AA21602" w:rsidR="00BE1E0C" w:rsidRPr="00EC7464" w:rsidRDefault="00900D16"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0312C1F6" w:rsidR="009B1938" w:rsidRPr="00EC7464" w:rsidRDefault="00BE400D" w:rsidP="00BE1E0C">
            <w:pPr>
              <w:spacing w:before="120" w:after="120"/>
              <w:jc w:val="center"/>
              <w:rPr>
                <w:kern w:val="2"/>
              </w:rPr>
            </w:pPr>
            <w:r>
              <w:rPr>
                <w:kern w:val="2"/>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01A7B33E" w:rsidR="009B1938" w:rsidRPr="00EC7464" w:rsidRDefault="00BE400D"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1993FFD6" w:rsidR="009B1938" w:rsidRPr="00EC7464" w:rsidRDefault="00BE400D" w:rsidP="00BE1E0C">
            <w:pPr>
              <w:spacing w:before="120" w:after="120"/>
              <w:jc w:val="center"/>
              <w:rPr>
                <w:kern w:val="2"/>
              </w:rPr>
            </w:pPr>
            <w:r>
              <w:rPr>
                <w:kern w:val="2"/>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5DCA6297" w:rsidR="009B1938" w:rsidRPr="00EC7464" w:rsidRDefault="00BE400D" w:rsidP="00BE1E0C">
            <w:pPr>
              <w:spacing w:before="120" w:after="120"/>
              <w:jc w:val="center"/>
              <w:rPr>
                <w:kern w:val="2"/>
              </w:rPr>
            </w:pPr>
            <w:r>
              <w:rPr>
                <w:kern w:val="2"/>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38352E3A" w:rsidR="009B1938" w:rsidRPr="00EC7464" w:rsidRDefault="00BE400D"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6B3B3E49" w:rsidR="00BE1E0C" w:rsidRPr="00EC7464" w:rsidRDefault="00BE400D"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5AD160D7" w:rsidR="00BE1E0C" w:rsidRPr="00EC7464" w:rsidRDefault="00BE400D"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2D7D0EB8" w:rsidR="009B1938" w:rsidRPr="00EC7464" w:rsidRDefault="00BE400D"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31AA70ED" w:rsidR="009B1938" w:rsidRPr="00EC7464" w:rsidRDefault="00BE400D" w:rsidP="00BE1E0C">
            <w:pPr>
              <w:spacing w:before="120" w:after="120"/>
              <w:jc w:val="center"/>
              <w:rPr>
                <w:kern w:val="2"/>
              </w:rPr>
            </w:pPr>
            <w:r>
              <w:rPr>
                <w:kern w:val="2"/>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72BB03E5" w:rsidR="009B1938" w:rsidRPr="00EC7464" w:rsidRDefault="00BE400D" w:rsidP="00BE1E0C">
            <w:pPr>
              <w:spacing w:before="120" w:after="120"/>
              <w:jc w:val="center"/>
              <w:rPr>
                <w:kern w:val="2"/>
              </w:rPr>
            </w:pPr>
            <w:r>
              <w:rPr>
                <w:kern w:val="2"/>
              </w:rPr>
              <w:lastRenderedPageBreak/>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0B915331" w:rsidR="00BE1E0C" w:rsidRPr="00EC7464" w:rsidRDefault="00BE400D"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613140F6" w:rsidR="00BE1E0C" w:rsidRPr="00EC7464" w:rsidRDefault="00BE400D"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3996061E" w:rsidR="00BE1E0C" w:rsidRPr="00EC7464" w:rsidRDefault="00BE400D"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4B758431" w:rsidR="009B1938" w:rsidRPr="00EC7464" w:rsidRDefault="00BE400D"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765D16BA" w:rsidR="009B1938" w:rsidRPr="00EC7464" w:rsidRDefault="00BE400D"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9F5BD2">
              <w:rPr>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77777777" w:rsidR="009B1938" w:rsidRPr="00EC7464" w:rsidRDefault="009B1938" w:rsidP="00BE1E0C">
            <w:pPr>
              <w:spacing w:before="120" w:after="120"/>
              <w:jc w:val="center"/>
              <w:rPr>
                <w:kern w:val="2"/>
              </w:rPr>
            </w:pPr>
          </w:p>
        </w:tc>
        <w:tc>
          <w:tcPr>
            <w:tcW w:w="1440" w:type="dxa"/>
            <w:vAlign w:val="center"/>
          </w:tcPr>
          <w:p w14:paraId="03E74017" w14:textId="10BF44B6" w:rsidR="009B1938" w:rsidRPr="00EC7464" w:rsidRDefault="00147C60" w:rsidP="00BE1E0C">
            <w:pPr>
              <w:spacing w:before="120" w:after="120"/>
              <w:jc w:val="center"/>
              <w:rPr>
                <w:kern w:val="2"/>
              </w:rPr>
            </w:pPr>
            <w:r>
              <w:rPr>
                <w:kern w:val="2"/>
              </w:rPr>
              <w:t>NA</w:t>
            </w: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9F5BD2">
              <w:rPr>
                <w:kern w:val="2"/>
              </w:rPr>
              <w:t>.</w:t>
            </w:r>
            <w:r w:rsidRPr="009F5BD2">
              <w:rPr>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DF0AF1">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14BBA6ED" w:rsidR="009B1938" w:rsidRPr="00EC7464" w:rsidRDefault="00147C60">
            <w:pPr>
              <w:spacing w:before="120" w:after="120"/>
              <w:rPr>
                <w:kern w:val="2"/>
              </w:rPr>
            </w:pPr>
            <w:r>
              <w:rPr>
                <w:kern w:val="2"/>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7DFF9D66" w:rsidR="009B1938" w:rsidRPr="00EC7464" w:rsidRDefault="00147C60">
            <w:pPr>
              <w:spacing w:before="120" w:after="120"/>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524640F3" w:rsidR="009B1938" w:rsidRPr="00EC7464" w:rsidRDefault="00147C60">
            <w:pPr>
              <w:spacing w:before="120" w:after="120"/>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00EF85C4" w:rsidR="009B1938" w:rsidRPr="00EC7464" w:rsidRDefault="009B1938">
      <w:pPr>
        <w:spacing w:after="120"/>
        <w:rPr>
          <w:kern w:val="2"/>
        </w:rPr>
      </w:pPr>
      <w:r w:rsidRPr="00EC7464">
        <w:rPr>
          <w:kern w:val="2"/>
        </w:rPr>
        <w:t>I certify that the State of _</w:t>
      </w:r>
      <w:r w:rsidR="00147C60">
        <w:rPr>
          <w:kern w:val="2"/>
        </w:rPr>
        <w:t>Massachusetts</w:t>
      </w:r>
      <w:r w:rsidRPr="00EC7464">
        <w:rPr>
          <w:kern w:val="2"/>
        </w:rPr>
        <w:t>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05C1E6DF"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B53810">
        <w:rPr>
          <w:kern w:val="2"/>
        </w:rPr>
        <w:t>2025</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230DED43" w:rsidR="00A820A0" w:rsidRPr="00333D9E" w:rsidRDefault="00147C60" w:rsidP="00A820A0">
      <w:pPr>
        <w:keepNext/>
        <w:tabs>
          <w:tab w:val="right" w:leader="underscore" w:pos="7920"/>
        </w:tabs>
        <w:spacing w:after="120"/>
        <w:ind w:left="1440" w:right="1440"/>
        <w:jc w:val="center"/>
        <w:rPr>
          <w:kern w:val="2"/>
        </w:rPr>
      </w:pPr>
      <w:r>
        <w:rPr>
          <w:kern w:val="2"/>
        </w:rPr>
        <w:t>Commonwealth of Massachusetts, Department of Public Health</w:t>
      </w:r>
      <w:r w:rsidR="00A820A0"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19600916"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7B7018">
        <w:rPr>
          <w:kern w:val="2"/>
        </w:rPr>
        <w:t>2024</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D. Statement - signature blocks"/>
        <w:tblDescription w:val="D. Statement - signature blocks"/>
      </w:tblPr>
      <w:tblGrid>
        <w:gridCol w:w="5718"/>
        <w:gridCol w:w="3612"/>
      </w:tblGrid>
      <w:tr w:rsidR="00A820A0" w:rsidRPr="00333D9E" w14:paraId="03E74036" w14:textId="77777777" w:rsidTr="00DF0AF1">
        <w:trPr>
          <w:cantSplit/>
          <w:trHeight w:val="1080"/>
          <w:jc w:val="center"/>
        </w:trPr>
        <w:tc>
          <w:tcPr>
            <w:tcW w:w="9576" w:type="dxa"/>
            <w:gridSpan w:val="2"/>
          </w:tcPr>
          <w:p w14:paraId="03E74035" w14:textId="77777777" w:rsidR="00A820A0" w:rsidRPr="00333D9E" w:rsidRDefault="00A820A0" w:rsidP="008A2D60">
            <w:pPr>
              <w:pStyle w:val="FootnoteText"/>
              <w:spacing w:before="120" w:after="360"/>
              <w:rPr>
                <w:kern w:val="2"/>
                <w:szCs w:val="24"/>
              </w:rPr>
            </w:pPr>
            <w:r w:rsidRPr="00333D9E">
              <w:rPr>
                <w:kern w:val="2"/>
                <w:szCs w:val="24"/>
              </w:rPr>
              <w:t>Printed/Typed Name and Title of Authorized Representative of the State:</w:t>
            </w:r>
          </w:p>
        </w:tc>
      </w:tr>
      <w:tr w:rsidR="00A820A0" w:rsidRPr="00333D9E" w14:paraId="03E74039" w14:textId="77777777" w:rsidTr="00DF0AF1">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DF0AF1">
          <w:pgSz w:w="12240" w:h="15840"/>
          <w:pgMar w:top="1440" w:right="1440" w:bottom="1440" w:left="1440" w:header="720" w:footer="720" w:gutter="0"/>
          <w:cols w:space="720"/>
          <w:docGrid w:linePitch="360"/>
        </w:sectPr>
      </w:pPr>
    </w:p>
    <w:p w14:paraId="03E7403C" w14:textId="77777777" w:rsidR="009B1938" w:rsidRPr="00EC7464" w:rsidRDefault="009B1938" w:rsidP="00DF0AF1">
      <w:pPr>
        <w:pStyle w:val="Heading1"/>
      </w:pPr>
      <w:r w:rsidRPr="00EC7464">
        <w:lastRenderedPageBreak/>
        <w:t>Section III</w:t>
      </w:r>
    </w:p>
    <w:p w14:paraId="03E7403D" w14:textId="7984134D"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w:t>
      </w:r>
      <w:r w:rsidR="00A24D60">
        <w:t xml:space="preserve">Personnel </w:t>
      </w:r>
      <w:r w:rsidR="00244ACD">
        <w:t xml:space="preserve">of </w:t>
      </w:r>
      <w:r w:rsidRPr="00EC7464">
        <w:t xml:space="preserve">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561B8972"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general description of the duties </w:t>
      </w:r>
      <w:r w:rsidR="00CA2006">
        <w:rPr>
          <w:kern w:val="2"/>
        </w:rPr>
        <w:t>for each position</w:t>
      </w:r>
      <w:r w:rsidR="00791CCC">
        <w:rPr>
          <w:kern w:val="2"/>
        </w:rPr>
        <w:t>;</w:t>
      </w:r>
      <w:r w:rsidR="00CA2006">
        <w:rPr>
          <w:kern w:val="2"/>
        </w:rPr>
        <w:t xml:space="preserve"> </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69E76ADC"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41B607C5" w:rsidRPr="00EC7464">
        <w:rPr>
          <w:kern w:val="2"/>
        </w:rPr>
        <w:t xml:space="preserve">  </w:t>
      </w:r>
    </w:p>
    <w:tbl>
      <w:tblPr>
        <w:tblStyle w:val="TableGrid"/>
        <w:tblW w:w="0" w:type="auto"/>
        <w:tblLayout w:type="fixed"/>
        <w:tblLook w:val="04A0" w:firstRow="1" w:lastRow="0" w:firstColumn="1" w:lastColumn="0" w:noHBand="0" w:noVBand="1"/>
      </w:tblPr>
      <w:tblGrid>
        <w:gridCol w:w="1560"/>
        <w:gridCol w:w="1200"/>
        <w:gridCol w:w="1290"/>
        <w:gridCol w:w="1755"/>
        <w:gridCol w:w="3210"/>
        <w:gridCol w:w="345"/>
      </w:tblGrid>
      <w:tr w:rsidR="62AD0331" w14:paraId="1FBDA581" w14:textId="77777777" w:rsidTr="62AD0331">
        <w:trPr>
          <w:trHeight w:val="510"/>
        </w:trPr>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527CFA3A" w14:textId="1A08FD6F" w:rsidR="62AD0331" w:rsidRDefault="62AD0331" w:rsidP="62AD0331">
            <w:pPr>
              <w:spacing w:before="120" w:after="120"/>
            </w:pPr>
            <w:r w:rsidRPr="62AD0331">
              <w:rPr>
                <w:rFonts w:eastAsia="Arial"/>
                <w:szCs w:val="20"/>
              </w:rPr>
              <w:t>Positions Funded</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08838874" w14:textId="716108D5" w:rsidR="62AD0331" w:rsidRDefault="62AD0331" w:rsidP="62AD0331">
            <w:pPr>
              <w:spacing w:before="120" w:after="120"/>
            </w:pPr>
            <w:r w:rsidRPr="62AD0331">
              <w:rPr>
                <w:rFonts w:eastAsia="Arial"/>
                <w:szCs w:val="20"/>
              </w:rPr>
              <w:t>Number of Positions</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342508B0" w14:textId="0E74193F" w:rsidR="62AD0331" w:rsidRDefault="62AD0331" w:rsidP="62AD0331">
            <w:pPr>
              <w:spacing w:before="120" w:after="120"/>
            </w:pPr>
            <w:r w:rsidRPr="62AD0331">
              <w:rPr>
                <w:rFonts w:eastAsia="Arial"/>
                <w:szCs w:val="20"/>
              </w:rPr>
              <w:t>% of Time Spent on Part C</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tcPr>
          <w:p w14:paraId="24F8CADA" w14:textId="239E4156" w:rsidR="62AD0331" w:rsidRDefault="62AD0331" w:rsidP="62AD0331">
            <w:pPr>
              <w:spacing w:before="120" w:after="120"/>
            </w:pPr>
            <w:r w:rsidRPr="62AD0331">
              <w:rPr>
                <w:rFonts w:eastAsia="Arial"/>
                <w:szCs w:val="20"/>
              </w:rPr>
              <w:t>Salaries &amp; Fringe Benefits</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1FE1BCB3" w14:textId="7FB17573" w:rsidR="62AD0331" w:rsidRDefault="62AD0331" w:rsidP="62AD0331">
            <w:pPr>
              <w:spacing w:before="120" w:after="120"/>
            </w:pPr>
            <w:r w:rsidRPr="62AD0331">
              <w:rPr>
                <w:rFonts w:eastAsia="Arial"/>
                <w:szCs w:val="20"/>
              </w:rPr>
              <w:t>Description of Duties</w:t>
            </w:r>
          </w:p>
        </w:tc>
        <w:tc>
          <w:tcPr>
            <w:tcW w:w="345" w:type="dxa"/>
            <w:tcBorders>
              <w:top w:val="nil"/>
              <w:left w:val="single" w:sz="8" w:space="0" w:color="auto"/>
              <w:bottom w:val="nil"/>
              <w:right w:val="nil"/>
            </w:tcBorders>
            <w:vAlign w:val="center"/>
          </w:tcPr>
          <w:p w14:paraId="4A6CF0AF" w14:textId="533DE3B7" w:rsidR="62AD0331" w:rsidRDefault="62AD0331"/>
        </w:tc>
      </w:tr>
      <w:tr w:rsidR="62AD0331" w14:paraId="4FAF5284" w14:textId="77777777" w:rsidTr="62AD0331">
        <w:trPr>
          <w:trHeight w:val="3405"/>
        </w:trPr>
        <w:tc>
          <w:tcPr>
            <w:tcW w:w="156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223B46" w14:textId="3589D7E3" w:rsidR="62AD0331" w:rsidRDefault="62AD0331" w:rsidP="62AD0331">
            <w:pPr>
              <w:spacing w:before="120" w:after="120"/>
              <w:jc w:val="center"/>
            </w:pPr>
            <w:r w:rsidRPr="62AD0331">
              <w:rPr>
                <w:rFonts w:eastAsia="Arial"/>
                <w:szCs w:val="20"/>
              </w:rPr>
              <w:t>100% funded with Part C Funds</w:t>
            </w:r>
          </w:p>
        </w:tc>
        <w:tc>
          <w:tcPr>
            <w:tcW w:w="120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B796EE" w14:textId="61602024" w:rsidR="62AD0331" w:rsidRDefault="62AD0331" w:rsidP="62AD0331">
            <w:pPr>
              <w:spacing w:before="120" w:after="120"/>
              <w:jc w:val="center"/>
            </w:pPr>
            <w:r w:rsidRPr="62AD0331">
              <w:rPr>
                <w:rFonts w:eastAsia="Arial"/>
                <w:szCs w:val="20"/>
              </w:rPr>
              <w:t>2</w:t>
            </w:r>
          </w:p>
        </w:tc>
        <w:tc>
          <w:tcPr>
            <w:tcW w:w="129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5D9A6F" w14:textId="783C4101"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nil"/>
              <w:right w:val="single" w:sz="8" w:space="0" w:color="auto"/>
            </w:tcBorders>
            <w:tcMar>
              <w:left w:w="108" w:type="dxa"/>
              <w:right w:w="108" w:type="dxa"/>
            </w:tcMar>
            <w:vAlign w:val="center"/>
          </w:tcPr>
          <w:p w14:paraId="3D057718" w14:textId="1BF931E0" w:rsidR="62AD0331" w:rsidRDefault="62AD0331" w:rsidP="62AD0331">
            <w:pPr>
              <w:spacing w:before="120" w:after="120"/>
              <w:jc w:val="center"/>
            </w:pPr>
            <w:r w:rsidRPr="62AD0331">
              <w:rPr>
                <w:rFonts w:eastAsia="Arial"/>
                <w:szCs w:val="20"/>
              </w:rPr>
              <w:t>$122,694.40</w:t>
            </w:r>
          </w:p>
        </w:tc>
        <w:tc>
          <w:tcPr>
            <w:tcW w:w="321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EBC5E6" w14:textId="581E1CC4" w:rsidR="62AD0331" w:rsidRDefault="62AD0331" w:rsidP="62AD0331">
            <w:pPr>
              <w:spacing w:before="120" w:after="120"/>
              <w:jc w:val="center"/>
            </w:pPr>
            <w:r w:rsidRPr="62AD0331">
              <w:rPr>
                <w:rFonts w:eastAsia="Arial"/>
                <w:szCs w:val="20"/>
              </w:rPr>
              <w:t>Management Analyst III: Claims manager is responsible for processing claims submitted to the Lead Agency as the payor of last resort. Provides Technical Assistance to EIS providers to ensure claims are submitted appropriately.</w:t>
            </w:r>
          </w:p>
        </w:tc>
        <w:tc>
          <w:tcPr>
            <w:tcW w:w="345" w:type="dxa"/>
            <w:tcBorders>
              <w:top w:val="nil"/>
              <w:left w:val="single" w:sz="8" w:space="0" w:color="auto"/>
              <w:bottom w:val="nil"/>
              <w:right w:val="nil"/>
            </w:tcBorders>
            <w:vAlign w:val="center"/>
          </w:tcPr>
          <w:p w14:paraId="78733F01" w14:textId="37796AB8" w:rsidR="62AD0331" w:rsidRDefault="62AD0331"/>
        </w:tc>
      </w:tr>
      <w:tr w:rsidR="62AD0331" w14:paraId="5A1C4B14" w14:textId="77777777" w:rsidTr="62AD0331">
        <w:trPr>
          <w:trHeight w:val="315"/>
        </w:trPr>
        <w:tc>
          <w:tcPr>
            <w:tcW w:w="1560" w:type="dxa"/>
            <w:vMerge/>
            <w:tcBorders>
              <w:left w:val="single" w:sz="0" w:space="0" w:color="auto"/>
              <w:right w:val="single" w:sz="0" w:space="0" w:color="auto"/>
            </w:tcBorders>
            <w:vAlign w:val="center"/>
          </w:tcPr>
          <w:p w14:paraId="7017EB41" w14:textId="77777777" w:rsidR="00AB127F" w:rsidRDefault="00AB127F"/>
        </w:tc>
        <w:tc>
          <w:tcPr>
            <w:tcW w:w="1200" w:type="dxa"/>
            <w:vMerge/>
            <w:tcBorders>
              <w:left w:val="single" w:sz="0" w:space="0" w:color="auto"/>
              <w:bottom w:val="single" w:sz="0" w:space="0" w:color="auto"/>
              <w:right w:val="single" w:sz="0" w:space="0" w:color="auto"/>
            </w:tcBorders>
            <w:vAlign w:val="center"/>
          </w:tcPr>
          <w:p w14:paraId="67E630AE" w14:textId="77777777" w:rsidR="00AB127F" w:rsidRDefault="00AB127F"/>
        </w:tc>
        <w:tc>
          <w:tcPr>
            <w:tcW w:w="1290" w:type="dxa"/>
            <w:vMerge/>
            <w:tcBorders>
              <w:left w:val="single" w:sz="0" w:space="0" w:color="auto"/>
              <w:bottom w:val="single" w:sz="0" w:space="0" w:color="auto"/>
              <w:right w:val="single" w:sz="0" w:space="0" w:color="auto"/>
            </w:tcBorders>
            <w:vAlign w:val="center"/>
          </w:tcPr>
          <w:p w14:paraId="7790350A" w14:textId="77777777" w:rsidR="00AB127F" w:rsidRDefault="00AB127F"/>
        </w:tc>
        <w:tc>
          <w:tcPr>
            <w:tcW w:w="1755" w:type="dxa"/>
            <w:tcBorders>
              <w:top w:val="nil"/>
              <w:left w:val="nil"/>
              <w:bottom w:val="single" w:sz="8" w:space="0" w:color="auto"/>
              <w:right w:val="single" w:sz="8" w:space="0" w:color="auto"/>
            </w:tcBorders>
            <w:tcMar>
              <w:left w:w="108" w:type="dxa"/>
              <w:right w:w="108" w:type="dxa"/>
            </w:tcMar>
            <w:vAlign w:val="center"/>
          </w:tcPr>
          <w:p w14:paraId="69EB8DE9" w14:textId="43020C27" w:rsidR="62AD0331" w:rsidRDefault="62AD0331" w:rsidP="62AD0331">
            <w:pPr>
              <w:spacing w:before="120" w:after="120"/>
              <w:jc w:val="center"/>
            </w:pPr>
            <w:r w:rsidRPr="62AD0331">
              <w:rPr>
                <w:rFonts w:eastAsia="Arial"/>
                <w:szCs w:val="20"/>
              </w:rPr>
              <w:t>$122,694.40</w:t>
            </w:r>
          </w:p>
        </w:tc>
        <w:tc>
          <w:tcPr>
            <w:tcW w:w="3210" w:type="dxa"/>
            <w:vMerge/>
            <w:tcBorders>
              <w:left w:val="single" w:sz="0" w:space="0" w:color="auto"/>
              <w:bottom w:val="single" w:sz="0" w:space="0" w:color="auto"/>
              <w:right w:val="single" w:sz="0" w:space="0" w:color="auto"/>
            </w:tcBorders>
            <w:vAlign w:val="center"/>
          </w:tcPr>
          <w:p w14:paraId="26D8DD35" w14:textId="77777777" w:rsidR="00AB127F" w:rsidRDefault="00AB127F"/>
        </w:tc>
        <w:tc>
          <w:tcPr>
            <w:tcW w:w="345" w:type="dxa"/>
            <w:tcBorders>
              <w:top w:val="nil"/>
              <w:left w:val="nil"/>
              <w:bottom w:val="nil"/>
              <w:right w:val="nil"/>
            </w:tcBorders>
            <w:vAlign w:val="center"/>
          </w:tcPr>
          <w:p w14:paraId="541640BA" w14:textId="320FE649" w:rsidR="62AD0331" w:rsidRDefault="62AD0331"/>
        </w:tc>
      </w:tr>
      <w:tr w:rsidR="62AD0331" w14:paraId="011A1C2A" w14:textId="77777777" w:rsidTr="62AD0331">
        <w:trPr>
          <w:trHeight w:val="3045"/>
        </w:trPr>
        <w:tc>
          <w:tcPr>
            <w:tcW w:w="1560" w:type="dxa"/>
            <w:vMerge/>
            <w:tcBorders>
              <w:left w:val="single" w:sz="0" w:space="0" w:color="auto"/>
              <w:right w:val="single" w:sz="0" w:space="0" w:color="auto"/>
            </w:tcBorders>
            <w:vAlign w:val="center"/>
          </w:tcPr>
          <w:p w14:paraId="13C73C11" w14:textId="77777777" w:rsidR="00AB127F" w:rsidRDefault="00AB127F"/>
        </w:tc>
        <w:tc>
          <w:tcPr>
            <w:tcW w:w="1200" w:type="dxa"/>
            <w:vMerge w:val="restart"/>
            <w:tcBorders>
              <w:top w:val="nil"/>
              <w:left w:val="nil"/>
              <w:bottom w:val="single" w:sz="8" w:space="0" w:color="auto"/>
              <w:right w:val="single" w:sz="8" w:space="0" w:color="auto"/>
            </w:tcBorders>
            <w:tcMar>
              <w:left w:w="108" w:type="dxa"/>
              <w:right w:w="108" w:type="dxa"/>
            </w:tcMar>
            <w:vAlign w:val="center"/>
          </w:tcPr>
          <w:p w14:paraId="58CBCA1C" w14:textId="2736AAA7" w:rsidR="62AD0331" w:rsidRDefault="62AD0331" w:rsidP="62AD0331">
            <w:pPr>
              <w:spacing w:before="120" w:after="120"/>
              <w:jc w:val="center"/>
            </w:pPr>
            <w:r w:rsidRPr="62AD0331">
              <w:rPr>
                <w:rFonts w:eastAsia="Arial"/>
                <w:szCs w:val="20"/>
              </w:rPr>
              <w:t>5</w:t>
            </w:r>
          </w:p>
        </w:tc>
        <w:tc>
          <w:tcPr>
            <w:tcW w:w="1290"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1E413796" w14:textId="131B640F"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nil"/>
              <w:right w:val="single" w:sz="8" w:space="0" w:color="auto"/>
            </w:tcBorders>
            <w:tcMar>
              <w:left w:w="108" w:type="dxa"/>
              <w:right w:w="108" w:type="dxa"/>
            </w:tcMar>
            <w:vAlign w:val="center"/>
          </w:tcPr>
          <w:p w14:paraId="494DCD88" w14:textId="5C977B50" w:rsidR="62AD0331" w:rsidRDefault="62AD0331" w:rsidP="62AD0331">
            <w:pPr>
              <w:spacing w:before="120" w:after="120"/>
              <w:jc w:val="center"/>
            </w:pPr>
            <w:r w:rsidRPr="62AD0331">
              <w:rPr>
                <w:rFonts w:eastAsia="Arial"/>
                <w:szCs w:val="20"/>
              </w:rPr>
              <w:t>$140,144.32</w:t>
            </w:r>
          </w:p>
        </w:tc>
        <w:tc>
          <w:tcPr>
            <w:tcW w:w="3210"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03552E7F" w14:textId="540C8866" w:rsidR="62AD0331" w:rsidRDefault="62AD0331" w:rsidP="62AD0331">
            <w:pPr>
              <w:spacing w:before="120" w:after="120"/>
              <w:jc w:val="center"/>
            </w:pPr>
            <w:r w:rsidRPr="62AD0331">
              <w:rPr>
                <w:rFonts w:eastAsia="Arial"/>
                <w:szCs w:val="20"/>
              </w:rPr>
              <w:t>Program Coordinator II: Clinical Oversight and Support Specialists oversee contracted local programs, provide technical assistance in program operation and development, and coordinate regional infant and toddler service delivery systems.</w:t>
            </w:r>
          </w:p>
        </w:tc>
        <w:tc>
          <w:tcPr>
            <w:tcW w:w="345" w:type="dxa"/>
            <w:tcBorders>
              <w:top w:val="nil"/>
              <w:left w:val="single" w:sz="8" w:space="0" w:color="auto"/>
              <w:bottom w:val="nil"/>
              <w:right w:val="nil"/>
            </w:tcBorders>
            <w:vAlign w:val="center"/>
          </w:tcPr>
          <w:p w14:paraId="6DE5F5EE" w14:textId="08595C37" w:rsidR="62AD0331" w:rsidRDefault="62AD0331"/>
        </w:tc>
      </w:tr>
      <w:tr w:rsidR="62AD0331" w14:paraId="3E4E0DCB" w14:textId="77777777" w:rsidTr="62AD0331">
        <w:trPr>
          <w:trHeight w:val="285"/>
        </w:trPr>
        <w:tc>
          <w:tcPr>
            <w:tcW w:w="1560" w:type="dxa"/>
            <w:vMerge/>
            <w:tcBorders>
              <w:left w:val="single" w:sz="0" w:space="0" w:color="auto"/>
              <w:right w:val="single" w:sz="0" w:space="0" w:color="auto"/>
            </w:tcBorders>
            <w:vAlign w:val="center"/>
          </w:tcPr>
          <w:p w14:paraId="47687CD4" w14:textId="77777777" w:rsidR="00AB127F" w:rsidRDefault="00AB127F"/>
        </w:tc>
        <w:tc>
          <w:tcPr>
            <w:tcW w:w="1200" w:type="dxa"/>
            <w:vMerge/>
            <w:tcBorders>
              <w:left w:val="nil"/>
              <w:bottom w:val="single" w:sz="0" w:space="0" w:color="auto"/>
              <w:right w:val="single" w:sz="0" w:space="0" w:color="auto"/>
            </w:tcBorders>
            <w:vAlign w:val="center"/>
          </w:tcPr>
          <w:p w14:paraId="61B9DF71" w14:textId="77777777" w:rsidR="00AB127F" w:rsidRDefault="00AB127F"/>
        </w:tc>
        <w:tc>
          <w:tcPr>
            <w:tcW w:w="1290" w:type="dxa"/>
            <w:vMerge/>
            <w:tcBorders>
              <w:left w:val="single" w:sz="0" w:space="0" w:color="auto"/>
              <w:bottom w:val="single" w:sz="0" w:space="0" w:color="auto"/>
              <w:right w:val="single" w:sz="0" w:space="0" w:color="auto"/>
            </w:tcBorders>
            <w:vAlign w:val="center"/>
          </w:tcPr>
          <w:p w14:paraId="55BE7333" w14:textId="77777777" w:rsidR="00AB127F" w:rsidRDefault="00AB127F"/>
        </w:tc>
        <w:tc>
          <w:tcPr>
            <w:tcW w:w="1755" w:type="dxa"/>
            <w:tcBorders>
              <w:top w:val="nil"/>
              <w:left w:val="nil"/>
              <w:bottom w:val="nil"/>
              <w:right w:val="single" w:sz="8" w:space="0" w:color="auto"/>
            </w:tcBorders>
            <w:tcMar>
              <w:left w:w="108" w:type="dxa"/>
              <w:right w:w="108" w:type="dxa"/>
            </w:tcMar>
            <w:vAlign w:val="center"/>
          </w:tcPr>
          <w:p w14:paraId="2A9C86FB" w14:textId="44048E8C" w:rsidR="62AD0331" w:rsidRDefault="62AD0331" w:rsidP="62AD0331">
            <w:pPr>
              <w:spacing w:before="120" w:after="120"/>
              <w:jc w:val="center"/>
            </w:pPr>
            <w:r w:rsidRPr="62AD0331">
              <w:rPr>
                <w:rFonts w:eastAsia="Arial"/>
                <w:szCs w:val="20"/>
              </w:rPr>
              <w:t>$125,382.86</w:t>
            </w:r>
          </w:p>
        </w:tc>
        <w:tc>
          <w:tcPr>
            <w:tcW w:w="3210" w:type="dxa"/>
            <w:vMerge/>
            <w:tcBorders>
              <w:left w:val="single" w:sz="0" w:space="0" w:color="auto"/>
              <w:bottom w:val="single" w:sz="0" w:space="0" w:color="auto"/>
              <w:right w:val="single" w:sz="0" w:space="0" w:color="auto"/>
            </w:tcBorders>
            <w:vAlign w:val="center"/>
          </w:tcPr>
          <w:p w14:paraId="46FA51C9" w14:textId="77777777" w:rsidR="00AB127F" w:rsidRDefault="00AB127F"/>
        </w:tc>
        <w:tc>
          <w:tcPr>
            <w:tcW w:w="345" w:type="dxa"/>
            <w:tcBorders>
              <w:top w:val="nil"/>
              <w:left w:val="nil"/>
              <w:bottom w:val="nil"/>
              <w:right w:val="nil"/>
            </w:tcBorders>
            <w:vAlign w:val="center"/>
          </w:tcPr>
          <w:p w14:paraId="32A45B6A" w14:textId="525AA425" w:rsidR="62AD0331" w:rsidRDefault="62AD0331"/>
        </w:tc>
      </w:tr>
      <w:tr w:rsidR="62AD0331" w14:paraId="08866670" w14:textId="77777777" w:rsidTr="62AD0331">
        <w:trPr>
          <w:trHeight w:val="285"/>
        </w:trPr>
        <w:tc>
          <w:tcPr>
            <w:tcW w:w="1560" w:type="dxa"/>
            <w:vMerge/>
            <w:tcBorders>
              <w:left w:val="single" w:sz="0" w:space="0" w:color="auto"/>
              <w:right w:val="single" w:sz="0" w:space="0" w:color="auto"/>
            </w:tcBorders>
            <w:vAlign w:val="center"/>
          </w:tcPr>
          <w:p w14:paraId="65A5610F" w14:textId="77777777" w:rsidR="00AB127F" w:rsidRDefault="00AB127F"/>
        </w:tc>
        <w:tc>
          <w:tcPr>
            <w:tcW w:w="1200" w:type="dxa"/>
            <w:vMerge/>
            <w:tcBorders>
              <w:left w:val="nil"/>
              <w:right w:val="single" w:sz="0" w:space="0" w:color="auto"/>
            </w:tcBorders>
            <w:vAlign w:val="center"/>
          </w:tcPr>
          <w:p w14:paraId="5C9F1559" w14:textId="77777777" w:rsidR="00AB127F" w:rsidRDefault="00AB127F"/>
        </w:tc>
        <w:tc>
          <w:tcPr>
            <w:tcW w:w="1290" w:type="dxa"/>
            <w:vMerge/>
            <w:tcBorders>
              <w:left w:val="single" w:sz="0" w:space="0" w:color="auto"/>
              <w:right w:val="single" w:sz="0" w:space="0" w:color="auto"/>
            </w:tcBorders>
            <w:vAlign w:val="center"/>
          </w:tcPr>
          <w:p w14:paraId="3700FCA4" w14:textId="77777777" w:rsidR="00AB127F" w:rsidRDefault="00AB127F"/>
        </w:tc>
        <w:tc>
          <w:tcPr>
            <w:tcW w:w="1755" w:type="dxa"/>
            <w:tcBorders>
              <w:top w:val="nil"/>
              <w:left w:val="nil"/>
              <w:bottom w:val="nil"/>
              <w:right w:val="single" w:sz="8" w:space="0" w:color="auto"/>
            </w:tcBorders>
            <w:tcMar>
              <w:left w:w="108" w:type="dxa"/>
              <w:right w:w="108" w:type="dxa"/>
            </w:tcMar>
            <w:vAlign w:val="center"/>
          </w:tcPr>
          <w:p w14:paraId="059C1D02" w14:textId="71DB1AF0" w:rsidR="62AD0331" w:rsidRDefault="62AD0331" w:rsidP="62AD0331">
            <w:pPr>
              <w:spacing w:before="120" w:after="120"/>
              <w:jc w:val="center"/>
            </w:pPr>
            <w:r w:rsidRPr="62AD0331">
              <w:rPr>
                <w:rFonts w:eastAsia="Arial"/>
                <w:szCs w:val="20"/>
              </w:rPr>
              <w:t>$140,144.32</w:t>
            </w:r>
          </w:p>
        </w:tc>
        <w:tc>
          <w:tcPr>
            <w:tcW w:w="3210" w:type="dxa"/>
            <w:vMerge/>
            <w:tcBorders>
              <w:left w:val="single" w:sz="0" w:space="0" w:color="auto"/>
              <w:right w:val="single" w:sz="0" w:space="0" w:color="auto"/>
            </w:tcBorders>
            <w:vAlign w:val="center"/>
          </w:tcPr>
          <w:p w14:paraId="0B58C608" w14:textId="77777777" w:rsidR="00AB127F" w:rsidRDefault="00AB127F"/>
        </w:tc>
        <w:tc>
          <w:tcPr>
            <w:tcW w:w="345" w:type="dxa"/>
            <w:tcBorders>
              <w:top w:val="nil"/>
              <w:left w:val="nil"/>
              <w:bottom w:val="nil"/>
              <w:right w:val="nil"/>
            </w:tcBorders>
            <w:vAlign w:val="center"/>
          </w:tcPr>
          <w:p w14:paraId="05F6DA04" w14:textId="522C42BC" w:rsidR="62AD0331" w:rsidRDefault="62AD0331"/>
        </w:tc>
      </w:tr>
      <w:tr w:rsidR="62AD0331" w14:paraId="7AB75399" w14:textId="77777777" w:rsidTr="62AD0331">
        <w:trPr>
          <w:trHeight w:val="285"/>
        </w:trPr>
        <w:tc>
          <w:tcPr>
            <w:tcW w:w="1560" w:type="dxa"/>
            <w:vMerge/>
            <w:tcBorders>
              <w:left w:val="single" w:sz="0" w:space="0" w:color="auto"/>
              <w:right w:val="single" w:sz="0" w:space="0" w:color="auto"/>
            </w:tcBorders>
            <w:vAlign w:val="center"/>
          </w:tcPr>
          <w:p w14:paraId="47B890D5" w14:textId="77777777" w:rsidR="00AB127F" w:rsidRDefault="00AB127F"/>
        </w:tc>
        <w:tc>
          <w:tcPr>
            <w:tcW w:w="1200" w:type="dxa"/>
            <w:vMerge/>
            <w:tcBorders>
              <w:left w:val="nil"/>
              <w:right w:val="single" w:sz="0" w:space="0" w:color="auto"/>
            </w:tcBorders>
            <w:vAlign w:val="center"/>
          </w:tcPr>
          <w:p w14:paraId="6EADD660" w14:textId="77777777" w:rsidR="00AB127F" w:rsidRDefault="00AB127F"/>
        </w:tc>
        <w:tc>
          <w:tcPr>
            <w:tcW w:w="1290" w:type="dxa"/>
            <w:vMerge/>
            <w:tcBorders>
              <w:left w:val="single" w:sz="0" w:space="0" w:color="auto"/>
              <w:right w:val="single" w:sz="0" w:space="0" w:color="auto"/>
            </w:tcBorders>
            <w:vAlign w:val="center"/>
          </w:tcPr>
          <w:p w14:paraId="259A3E08" w14:textId="77777777" w:rsidR="00AB127F" w:rsidRDefault="00AB127F"/>
        </w:tc>
        <w:tc>
          <w:tcPr>
            <w:tcW w:w="1755" w:type="dxa"/>
            <w:tcBorders>
              <w:top w:val="nil"/>
              <w:left w:val="nil"/>
              <w:bottom w:val="nil"/>
              <w:right w:val="single" w:sz="8" w:space="0" w:color="auto"/>
            </w:tcBorders>
            <w:tcMar>
              <w:left w:w="108" w:type="dxa"/>
              <w:right w:w="108" w:type="dxa"/>
            </w:tcMar>
            <w:vAlign w:val="center"/>
          </w:tcPr>
          <w:p w14:paraId="7CCC4191" w14:textId="64804174" w:rsidR="62AD0331" w:rsidRDefault="62AD0331" w:rsidP="62AD0331">
            <w:pPr>
              <w:spacing w:before="120" w:after="120"/>
              <w:jc w:val="center"/>
            </w:pPr>
            <w:r w:rsidRPr="62AD0331">
              <w:rPr>
                <w:rFonts w:eastAsia="Arial"/>
                <w:szCs w:val="20"/>
              </w:rPr>
              <w:t>$129,852.94</w:t>
            </w:r>
          </w:p>
        </w:tc>
        <w:tc>
          <w:tcPr>
            <w:tcW w:w="3210" w:type="dxa"/>
            <w:vMerge/>
            <w:tcBorders>
              <w:left w:val="single" w:sz="0" w:space="0" w:color="auto"/>
              <w:right w:val="single" w:sz="0" w:space="0" w:color="auto"/>
            </w:tcBorders>
            <w:vAlign w:val="center"/>
          </w:tcPr>
          <w:p w14:paraId="58AA99C5" w14:textId="77777777" w:rsidR="00AB127F" w:rsidRDefault="00AB127F"/>
        </w:tc>
        <w:tc>
          <w:tcPr>
            <w:tcW w:w="345" w:type="dxa"/>
            <w:tcBorders>
              <w:top w:val="nil"/>
              <w:left w:val="nil"/>
              <w:bottom w:val="nil"/>
              <w:right w:val="nil"/>
            </w:tcBorders>
            <w:vAlign w:val="center"/>
          </w:tcPr>
          <w:p w14:paraId="760A7930" w14:textId="169B3368" w:rsidR="62AD0331" w:rsidRDefault="62AD0331"/>
        </w:tc>
      </w:tr>
      <w:tr w:rsidR="62AD0331" w14:paraId="2431B1AC" w14:textId="77777777" w:rsidTr="62AD0331">
        <w:trPr>
          <w:trHeight w:val="300"/>
        </w:trPr>
        <w:tc>
          <w:tcPr>
            <w:tcW w:w="1560" w:type="dxa"/>
            <w:vMerge/>
            <w:tcBorders>
              <w:left w:val="single" w:sz="0" w:space="0" w:color="auto"/>
              <w:right w:val="single" w:sz="0" w:space="0" w:color="auto"/>
            </w:tcBorders>
            <w:vAlign w:val="center"/>
          </w:tcPr>
          <w:p w14:paraId="2B22F64D" w14:textId="77777777" w:rsidR="00AB127F" w:rsidRDefault="00AB127F"/>
        </w:tc>
        <w:tc>
          <w:tcPr>
            <w:tcW w:w="1200" w:type="dxa"/>
            <w:vMerge/>
            <w:tcBorders>
              <w:left w:val="nil"/>
              <w:bottom w:val="single" w:sz="0" w:space="0" w:color="auto"/>
              <w:right w:val="single" w:sz="0" w:space="0" w:color="auto"/>
            </w:tcBorders>
            <w:vAlign w:val="center"/>
          </w:tcPr>
          <w:p w14:paraId="14A06EF2" w14:textId="77777777" w:rsidR="00AB127F" w:rsidRDefault="00AB127F"/>
        </w:tc>
        <w:tc>
          <w:tcPr>
            <w:tcW w:w="1290" w:type="dxa"/>
            <w:vMerge/>
            <w:tcBorders>
              <w:left w:val="single" w:sz="0" w:space="0" w:color="auto"/>
              <w:bottom w:val="single" w:sz="0" w:space="0" w:color="auto"/>
              <w:right w:val="single" w:sz="0" w:space="0" w:color="auto"/>
            </w:tcBorders>
            <w:vAlign w:val="center"/>
          </w:tcPr>
          <w:p w14:paraId="4BD90D28" w14:textId="77777777" w:rsidR="00AB127F" w:rsidRDefault="00AB127F"/>
        </w:tc>
        <w:tc>
          <w:tcPr>
            <w:tcW w:w="1755" w:type="dxa"/>
            <w:tcBorders>
              <w:top w:val="nil"/>
              <w:left w:val="nil"/>
              <w:bottom w:val="single" w:sz="8" w:space="0" w:color="auto"/>
              <w:right w:val="single" w:sz="8" w:space="0" w:color="auto"/>
            </w:tcBorders>
            <w:tcMar>
              <w:left w:w="108" w:type="dxa"/>
              <w:right w:w="108" w:type="dxa"/>
            </w:tcMar>
            <w:vAlign w:val="center"/>
          </w:tcPr>
          <w:p w14:paraId="06FF2989" w14:textId="5CC1425C" w:rsidR="62AD0331" w:rsidRDefault="62AD0331" w:rsidP="62AD0331">
            <w:pPr>
              <w:spacing w:before="120" w:after="120"/>
              <w:jc w:val="center"/>
            </w:pPr>
            <w:r w:rsidRPr="62AD0331">
              <w:rPr>
                <w:rFonts w:eastAsia="Arial"/>
                <w:szCs w:val="20"/>
              </w:rPr>
              <w:t>$138,275.94</w:t>
            </w:r>
          </w:p>
        </w:tc>
        <w:tc>
          <w:tcPr>
            <w:tcW w:w="3210" w:type="dxa"/>
            <w:vMerge/>
            <w:tcBorders>
              <w:left w:val="single" w:sz="0" w:space="0" w:color="auto"/>
              <w:bottom w:val="single" w:sz="0" w:space="0" w:color="auto"/>
              <w:right w:val="single" w:sz="0" w:space="0" w:color="auto"/>
            </w:tcBorders>
            <w:vAlign w:val="center"/>
          </w:tcPr>
          <w:p w14:paraId="4200D095" w14:textId="77777777" w:rsidR="00AB127F" w:rsidRDefault="00AB127F"/>
        </w:tc>
        <w:tc>
          <w:tcPr>
            <w:tcW w:w="345" w:type="dxa"/>
            <w:tcBorders>
              <w:top w:val="nil"/>
              <w:left w:val="nil"/>
              <w:bottom w:val="nil"/>
              <w:right w:val="nil"/>
            </w:tcBorders>
            <w:vAlign w:val="center"/>
          </w:tcPr>
          <w:p w14:paraId="213F79B4" w14:textId="19921058" w:rsidR="62AD0331" w:rsidRDefault="62AD0331"/>
        </w:tc>
      </w:tr>
      <w:tr w:rsidR="62AD0331" w14:paraId="2AE03AE9" w14:textId="77777777" w:rsidTr="62AD0331">
        <w:trPr>
          <w:trHeight w:val="960"/>
        </w:trPr>
        <w:tc>
          <w:tcPr>
            <w:tcW w:w="1560" w:type="dxa"/>
            <w:vMerge/>
            <w:tcBorders>
              <w:left w:val="single" w:sz="0" w:space="0" w:color="auto"/>
              <w:right w:val="single" w:sz="0" w:space="0" w:color="auto"/>
            </w:tcBorders>
            <w:vAlign w:val="center"/>
          </w:tcPr>
          <w:p w14:paraId="79632F09" w14:textId="77777777" w:rsidR="00AB127F" w:rsidRDefault="00AB127F"/>
        </w:tc>
        <w:tc>
          <w:tcPr>
            <w:tcW w:w="1200" w:type="dxa"/>
            <w:tcBorders>
              <w:top w:val="nil"/>
              <w:left w:val="nil"/>
              <w:bottom w:val="single" w:sz="8" w:space="0" w:color="auto"/>
              <w:right w:val="single" w:sz="8" w:space="0" w:color="auto"/>
            </w:tcBorders>
            <w:tcMar>
              <w:left w:w="108" w:type="dxa"/>
              <w:right w:w="108" w:type="dxa"/>
            </w:tcMar>
            <w:vAlign w:val="center"/>
          </w:tcPr>
          <w:p w14:paraId="2F975EFD" w14:textId="2118A7AA" w:rsidR="62AD0331" w:rsidRDefault="62AD0331" w:rsidP="62AD0331">
            <w:pPr>
              <w:spacing w:before="120" w:after="120"/>
              <w:jc w:val="center"/>
            </w:pPr>
            <w:r w:rsidRPr="62AD0331">
              <w:rPr>
                <w:rFonts w:eastAsia="Arial"/>
                <w:szCs w:val="20"/>
              </w:rPr>
              <w:t>1</w:t>
            </w:r>
          </w:p>
        </w:tc>
        <w:tc>
          <w:tcPr>
            <w:tcW w:w="1290" w:type="dxa"/>
            <w:tcBorders>
              <w:top w:val="nil"/>
              <w:left w:val="single" w:sz="8" w:space="0" w:color="auto"/>
              <w:bottom w:val="single" w:sz="8" w:space="0" w:color="auto"/>
              <w:right w:val="single" w:sz="8" w:space="0" w:color="auto"/>
            </w:tcBorders>
            <w:tcMar>
              <w:left w:w="108" w:type="dxa"/>
              <w:right w:w="108" w:type="dxa"/>
            </w:tcMar>
            <w:vAlign w:val="center"/>
          </w:tcPr>
          <w:p w14:paraId="0138DAD8" w14:textId="52BA2592"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B46DAD" w14:textId="2E26A7FF" w:rsidR="62AD0331" w:rsidRDefault="62AD0331" w:rsidP="62AD0331">
            <w:pPr>
              <w:spacing w:before="120" w:after="120"/>
              <w:jc w:val="center"/>
            </w:pPr>
            <w:r w:rsidRPr="62AD0331">
              <w:rPr>
                <w:rFonts w:eastAsia="Arial"/>
                <w:szCs w:val="20"/>
              </w:rPr>
              <w:t>$140,144.32</w:t>
            </w:r>
          </w:p>
        </w:tc>
        <w:tc>
          <w:tcPr>
            <w:tcW w:w="3210" w:type="dxa"/>
            <w:tcBorders>
              <w:top w:val="nil"/>
              <w:left w:val="single" w:sz="8" w:space="0" w:color="auto"/>
              <w:bottom w:val="single" w:sz="8" w:space="0" w:color="auto"/>
              <w:right w:val="single" w:sz="8" w:space="0" w:color="auto"/>
            </w:tcBorders>
            <w:tcMar>
              <w:left w:w="108" w:type="dxa"/>
              <w:right w:w="108" w:type="dxa"/>
            </w:tcMar>
            <w:vAlign w:val="center"/>
          </w:tcPr>
          <w:p w14:paraId="6CEC9599" w14:textId="20C55B1A" w:rsidR="62AD0331" w:rsidRDefault="62AD0331" w:rsidP="62AD0331">
            <w:pPr>
              <w:spacing w:before="120" w:after="120"/>
              <w:jc w:val="center"/>
            </w:pPr>
            <w:r w:rsidRPr="62AD0331">
              <w:rPr>
                <w:rFonts w:eastAsia="Arial"/>
                <w:szCs w:val="20"/>
              </w:rPr>
              <w:t>Program Coordinator II: Coordinator of Business Administration provides internal supports to the Part C system including establishing contracts and development of internal procedures.</w:t>
            </w:r>
          </w:p>
        </w:tc>
        <w:tc>
          <w:tcPr>
            <w:tcW w:w="345" w:type="dxa"/>
            <w:tcBorders>
              <w:top w:val="nil"/>
              <w:left w:val="single" w:sz="8" w:space="0" w:color="auto"/>
              <w:bottom w:val="nil"/>
              <w:right w:val="nil"/>
            </w:tcBorders>
            <w:vAlign w:val="center"/>
          </w:tcPr>
          <w:p w14:paraId="11D14185" w14:textId="758892A0" w:rsidR="62AD0331" w:rsidRDefault="62AD0331"/>
        </w:tc>
      </w:tr>
      <w:tr w:rsidR="62AD0331" w14:paraId="00C1281D" w14:textId="77777777" w:rsidTr="62AD0331">
        <w:trPr>
          <w:trHeight w:val="960"/>
        </w:trPr>
        <w:tc>
          <w:tcPr>
            <w:tcW w:w="1560" w:type="dxa"/>
            <w:vMerge/>
            <w:tcBorders>
              <w:left w:val="single" w:sz="0" w:space="0" w:color="auto"/>
              <w:right w:val="single" w:sz="0" w:space="0" w:color="auto"/>
            </w:tcBorders>
            <w:vAlign w:val="center"/>
          </w:tcPr>
          <w:p w14:paraId="14DFDDCE"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5C928DFF" w14:textId="16687645" w:rsidR="62AD0331" w:rsidRDefault="62AD0331" w:rsidP="62AD0331">
            <w:pPr>
              <w:spacing w:before="120" w:after="120"/>
              <w:jc w:val="center"/>
            </w:pPr>
            <w:r w:rsidRPr="62AD0331">
              <w:rPr>
                <w:rFonts w:eastAsia="Arial"/>
                <w:szCs w:val="20"/>
              </w:rPr>
              <w:t>1</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3A6437" w14:textId="2AC9FC27"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FF8A5C" w14:textId="28B136B2" w:rsidR="62AD0331" w:rsidRDefault="62AD0331" w:rsidP="62AD0331">
            <w:pPr>
              <w:spacing w:before="120" w:after="120"/>
              <w:jc w:val="center"/>
            </w:pPr>
            <w:r w:rsidRPr="62AD0331">
              <w:rPr>
                <w:rFonts w:eastAsia="Arial"/>
                <w:szCs w:val="20"/>
              </w:rPr>
              <w:t>$140,144.32</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4E0A76" w14:textId="3F395110" w:rsidR="62AD0331" w:rsidRDefault="62AD0331" w:rsidP="62AD0331">
            <w:pPr>
              <w:spacing w:before="120" w:after="120"/>
              <w:jc w:val="center"/>
            </w:pPr>
            <w:r w:rsidRPr="62AD0331">
              <w:rPr>
                <w:rFonts w:eastAsia="Arial"/>
                <w:szCs w:val="20"/>
              </w:rPr>
              <w:t>Program Coordinator II: EIPLP Coordinator provides technical assistance to parents to help educator them about their rights, research-based best-practices, and the early intervention system.</w:t>
            </w:r>
          </w:p>
        </w:tc>
        <w:tc>
          <w:tcPr>
            <w:tcW w:w="345" w:type="dxa"/>
            <w:tcBorders>
              <w:top w:val="nil"/>
              <w:left w:val="single" w:sz="8" w:space="0" w:color="auto"/>
              <w:bottom w:val="nil"/>
              <w:right w:val="nil"/>
            </w:tcBorders>
            <w:vAlign w:val="center"/>
          </w:tcPr>
          <w:p w14:paraId="67144963" w14:textId="19ACB906" w:rsidR="62AD0331" w:rsidRDefault="62AD0331"/>
        </w:tc>
      </w:tr>
      <w:tr w:rsidR="62AD0331" w14:paraId="044A885D" w14:textId="77777777" w:rsidTr="62AD0331">
        <w:trPr>
          <w:trHeight w:val="735"/>
        </w:trPr>
        <w:tc>
          <w:tcPr>
            <w:tcW w:w="1560" w:type="dxa"/>
            <w:vMerge/>
            <w:tcBorders>
              <w:left w:val="single" w:sz="0" w:space="0" w:color="auto"/>
              <w:right w:val="single" w:sz="0" w:space="0" w:color="auto"/>
            </w:tcBorders>
            <w:vAlign w:val="center"/>
          </w:tcPr>
          <w:p w14:paraId="588905C5"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662B9D3A" w14:textId="6B4D9803" w:rsidR="62AD0331" w:rsidRDefault="62AD0331" w:rsidP="62AD0331">
            <w:pPr>
              <w:spacing w:before="120" w:after="120"/>
              <w:jc w:val="center"/>
            </w:pPr>
            <w:r w:rsidRPr="62AD0331">
              <w:rPr>
                <w:rFonts w:eastAsia="Arial"/>
                <w:szCs w:val="20"/>
              </w:rPr>
              <w:t>1</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4A31FD" w14:textId="410265FA"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208114" w14:textId="4F6C8131" w:rsidR="62AD0331" w:rsidRDefault="62AD0331" w:rsidP="62AD0331">
            <w:pPr>
              <w:spacing w:before="120" w:after="120"/>
              <w:jc w:val="center"/>
            </w:pPr>
            <w:r w:rsidRPr="62AD0331">
              <w:rPr>
                <w:rFonts w:eastAsia="Arial"/>
                <w:szCs w:val="20"/>
              </w:rPr>
              <w:t>$151,030.54</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C961ED" w14:textId="5AB7979A" w:rsidR="62AD0331" w:rsidRDefault="62AD0331" w:rsidP="62AD0331">
            <w:pPr>
              <w:spacing w:before="120" w:after="120"/>
              <w:jc w:val="center"/>
            </w:pPr>
            <w:r w:rsidRPr="62AD0331">
              <w:rPr>
                <w:rFonts w:eastAsia="Arial"/>
                <w:szCs w:val="20"/>
              </w:rPr>
              <w:t xml:space="preserve">Human </w:t>
            </w:r>
            <w:proofErr w:type="spellStart"/>
            <w:r w:rsidRPr="62AD0331">
              <w:rPr>
                <w:rFonts w:eastAsia="Arial"/>
                <w:szCs w:val="20"/>
              </w:rPr>
              <w:t>Svcs</w:t>
            </w:r>
            <w:proofErr w:type="spellEnd"/>
            <w:r w:rsidRPr="62AD0331">
              <w:rPr>
                <w:rFonts w:eastAsia="Arial"/>
                <w:szCs w:val="20"/>
              </w:rPr>
              <w:t xml:space="preserve"> Prog Planner III: This individual is responsible for overseeing all due process functions and procedures.</w:t>
            </w:r>
          </w:p>
        </w:tc>
        <w:tc>
          <w:tcPr>
            <w:tcW w:w="345" w:type="dxa"/>
            <w:tcBorders>
              <w:top w:val="nil"/>
              <w:left w:val="single" w:sz="8" w:space="0" w:color="auto"/>
              <w:bottom w:val="nil"/>
              <w:right w:val="nil"/>
            </w:tcBorders>
            <w:vAlign w:val="center"/>
          </w:tcPr>
          <w:p w14:paraId="3140F36A" w14:textId="204A18F6" w:rsidR="62AD0331" w:rsidRDefault="62AD0331"/>
        </w:tc>
      </w:tr>
      <w:tr w:rsidR="62AD0331" w14:paraId="44EF3981" w14:textId="77777777" w:rsidTr="62AD0331">
        <w:trPr>
          <w:trHeight w:val="735"/>
        </w:trPr>
        <w:tc>
          <w:tcPr>
            <w:tcW w:w="1560" w:type="dxa"/>
            <w:vMerge/>
            <w:tcBorders>
              <w:left w:val="single" w:sz="0" w:space="0" w:color="auto"/>
              <w:right w:val="single" w:sz="0" w:space="0" w:color="auto"/>
            </w:tcBorders>
            <w:vAlign w:val="center"/>
          </w:tcPr>
          <w:p w14:paraId="4126EC9F"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6947D32C" w14:textId="11AC0546" w:rsidR="62AD0331" w:rsidRDefault="62AD0331" w:rsidP="62AD0331">
            <w:pPr>
              <w:spacing w:before="120" w:after="120"/>
              <w:jc w:val="center"/>
            </w:pPr>
            <w:r w:rsidRPr="62AD0331">
              <w:rPr>
                <w:rFonts w:eastAsia="Arial"/>
                <w:szCs w:val="20"/>
              </w:rPr>
              <w:t>1</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D954BC" w14:textId="7AD93A93"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658EBC" w14:textId="262F1634" w:rsidR="62AD0331" w:rsidRDefault="62AD0331" w:rsidP="62AD0331">
            <w:pPr>
              <w:spacing w:before="120" w:after="120"/>
              <w:jc w:val="center"/>
            </w:pPr>
            <w:r w:rsidRPr="62AD0331">
              <w:rPr>
                <w:rFonts w:eastAsia="Arial"/>
                <w:szCs w:val="20"/>
              </w:rPr>
              <w:t>$161,074.06</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50A236" w14:textId="28EB7ADB" w:rsidR="62AD0331" w:rsidRDefault="62AD0331" w:rsidP="62AD0331">
            <w:pPr>
              <w:spacing w:before="120" w:after="120"/>
              <w:jc w:val="center"/>
            </w:pPr>
            <w:r w:rsidRPr="62AD0331">
              <w:rPr>
                <w:rFonts w:eastAsia="Arial"/>
                <w:szCs w:val="20"/>
              </w:rPr>
              <w:t>Program Manager VI: Clinical Quality Manager is responsible for the general supervision of the Commonwealth's Part C system.</w:t>
            </w:r>
          </w:p>
        </w:tc>
        <w:tc>
          <w:tcPr>
            <w:tcW w:w="345" w:type="dxa"/>
            <w:tcBorders>
              <w:top w:val="nil"/>
              <w:left w:val="single" w:sz="8" w:space="0" w:color="auto"/>
              <w:bottom w:val="nil"/>
              <w:right w:val="nil"/>
            </w:tcBorders>
            <w:vAlign w:val="center"/>
          </w:tcPr>
          <w:p w14:paraId="395E874F" w14:textId="55EAC8D5" w:rsidR="62AD0331" w:rsidRDefault="62AD0331"/>
        </w:tc>
      </w:tr>
      <w:tr w:rsidR="62AD0331" w14:paraId="74C0C568" w14:textId="77777777" w:rsidTr="62AD0331">
        <w:trPr>
          <w:trHeight w:val="1560"/>
        </w:trPr>
        <w:tc>
          <w:tcPr>
            <w:tcW w:w="1560" w:type="dxa"/>
            <w:vMerge/>
            <w:tcBorders>
              <w:left w:val="single" w:sz="0" w:space="0" w:color="auto"/>
              <w:right w:val="single" w:sz="0" w:space="0" w:color="auto"/>
            </w:tcBorders>
            <w:vAlign w:val="center"/>
          </w:tcPr>
          <w:p w14:paraId="681DD925"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1D10B6CD" w14:textId="372BD83A" w:rsidR="62AD0331" w:rsidRDefault="62AD0331" w:rsidP="62AD0331">
            <w:pPr>
              <w:spacing w:before="120" w:after="120"/>
              <w:jc w:val="center"/>
            </w:pPr>
            <w:r w:rsidRPr="62AD0331">
              <w:rPr>
                <w:rFonts w:eastAsia="Arial"/>
                <w:szCs w:val="20"/>
              </w:rPr>
              <w:t>1</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472BC5" w14:textId="234C2B2E"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91B48F" w14:textId="17BC8931" w:rsidR="62AD0331" w:rsidRDefault="62AD0331" w:rsidP="62AD0331">
            <w:pPr>
              <w:spacing w:before="120" w:after="120"/>
              <w:jc w:val="center"/>
            </w:pPr>
            <w:r w:rsidRPr="62AD0331">
              <w:rPr>
                <w:rFonts w:eastAsia="Arial"/>
                <w:szCs w:val="20"/>
              </w:rPr>
              <w:t>$138,044.65</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BA8587" w14:textId="211C11C5" w:rsidR="62AD0331" w:rsidRDefault="62AD0331" w:rsidP="62AD0331">
            <w:pPr>
              <w:spacing w:before="120" w:after="120"/>
              <w:jc w:val="center"/>
            </w:pPr>
            <w:r w:rsidRPr="62AD0331">
              <w:rPr>
                <w:rFonts w:eastAsia="Arial"/>
                <w:szCs w:val="20"/>
              </w:rPr>
              <w:t xml:space="preserve">Program Manager V: The Family and Community Engagement Manager is responsible for recruiting diverse family engagement across the system, overseeing the NCSEAM Family Outcomes Survey, and conducting outreach to </w:t>
            </w:r>
            <w:r w:rsidRPr="62AD0331">
              <w:rPr>
                <w:rFonts w:eastAsia="Arial"/>
                <w:szCs w:val="20"/>
              </w:rPr>
              <w:lastRenderedPageBreak/>
              <w:t>underrepresented families in vulnerable communities.</w:t>
            </w:r>
          </w:p>
        </w:tc>
        <w:tc>
          <w:tcPr>
            <w:tcW w:w="345" w:type="dxa"/>
            <w:tcBorders>
              <w:top w:val="nil"/>
              <w:left w:val="single" w:sz="8" w:space="0" w:color="auto"/>
              <w:bottom w:val="nil"/>
              <w:right w:val="nil"/>
            </w:tcBorders>
            <w:vAlign w:val="center"/>
          </w:tcPr>
          <w:p w14:paraId="5DB562B9" w14:textId="4BB3FDA1" w:rsidR="62AD0331" w:rsidRDefault="62AD0331"/>
        </w:tc>
      </w:tr>
      <w:tr w:rsidR="62AD0331" w14:paraId="7615CB8C" w14:textId="77777777" w:rsidTr="62AD0331">
        <w:trPr>
          <w:trHeight w:val="990"/>
        </w:trPr>
        <w:tc>
          <w:tcPr>
            <w:tcW w:w="1560" w:type="dxa"/>
            <w:vMerge/>
            <w:tcBorders>
              <w:left w:val="single" w:sz="0" w:space="0" w:color="auto"/>
              <w:right w:val="single" w:sz="0" w:space="0" w:color="auto"/>
            </w:tcBorders>
            <w:vAlign w:val="center"/>
          </w:tcPr>
          <w:p w14:paraId="2FF089C8"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6D1E9DF6" w14:textId="398223B2" w:rsidR="62AD0331" w:rsidRDefault="62AD0331" w:rsidP="62AD0331">
            <w:pPr>
              <w:spacing w:before="120" w:after="120"/>
              <w:jc w:val="center"/>
            </w:pPr>
            <w:r w:rsidRPr="62AD0331">
              <w:rPr>
                <w:rFonts w:eastAsia="Arial"/>
                <w:szCs w:val="20"/>
              </w:rPr>
              <w:t>1</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11A210" w14:textId="53C72DB0"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C28B6E" w14:textId="247FFAFE" w:rsidR="62AD0331" w:rsidRDefault="62AD0331" w:rsidP="62AD0331">
            <w:pPr>
              <w:spacing w:before="120" w:after="120"/>
              <w:jc w:val="center"/>
            </w:pPr>
            <w:r w:rsidRPr="62AD0331">
              <w:rPr>
                <w:rFonts w:eastAsia="Arial"/>
                <w:szCs w:val="20"/>
              </w:rPr>
              <w:t>$172,580.47</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8C00F8" w14:textId="521CE766" w:rsidR="62AD0331" w:rsidRDefault="62AD0331" w:rsidP="62AD0331">
            <w:pPr>
              <w:spacing w:before="120" w:after="120"/>
              <w:jc w:val="center"/>
            </w:pPr>
            <w:r w:rsidRPr="62AD0331">
              <w:rPr>
                <w:rFonts w:eastAsia="Arial"/>
                <w:szCs w:val="20"/>
              </w:rPr>
              <w:t>Epidemiologist II: Epi 2 provides analyses and creates linkages between the Part C database and other data warehouses across the Commonwealth. Supports compliance monitoring for the EIS Programs.</w:t>
            </w:r>
          </w:p>
        </w:tc>
        <w:tc>
          <w:tcPr>
            <w:tcW w:w="345" w:type="dxa"/>
            <w:tcBorders>
              <w:top w:val="nil"/>
              <w:left w:val="single" w:sz="8" w:space="0" w:color="auto"/>
              <w:bottom w:val="nil"/>
              <w:right w:val="nil"/>
            </w:tcBorders>
            <w:vAlign w:val="center"/>
          </w:tcPr>
          <w:p w14:paraId="11D227C2" w14:textId="7CE611ED" w:rsidR="62AD0331" w:rsidRDefault="62AD0331"/>
        </w:tc>
      </w:tr>
      <w:tr w:rsidR="62AD0331" w14:paraId="488CE995" w14:textId="77777777" w:rsidTr="62AD0331">
        <w:trPr>
          <w:trHeight w:val="2595"/>
        </w:trPr>
        <w:tc>
          <w:tcPr>
            <w:tcW w:w="1560" w:type="dxa"/>
            <w:vMerge/>
            <w:tcBorders>
              <w:left w:val="single" w:sz="0" w:space="0" w:color="auto"/>
              <w:right w:val="single" w:sz="0" w:space="0" w:color="auto"/>
            </w:tcBorders>
            <w:vAlign w:val="center"/>
          </w:tcPr>
          <w:p w14:paraId="726C90B1"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48DB97F5" w14:textId="5DEEBEA2" w:rsidR="62AD0331" w:rsidRDefault="62AD0331" w:rsidP="62AD0331">
            <w:pPr>
              <w:spacing w:before="120" w:after="120"/>
              <w:jc w:val="center"/>
            </w:pPr>
            <w:r w:rsidRPr="62AD0331">
              <w:rPr>
                <w:rFonts w:eastAsia="Arial"/>
                <w:szCs w:val="20"/>
              </w:rPr>
              <w:t>1</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6524F8" w14:textId="02FE3A49"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AE9D70" w14:textId="2D5F4A07" w:rsidR="62AD0331" w:rsidRDefault="62AD0331" w:rsidP="62AD0331">
            <w:pPr>
              <w:spacing w:before="120" w:after="120"/>
              <w:jc w:val="center"/>
            </w:pPr>
            <w:r w:rsidRPr="62AD0331">
              <w:rPr>
                <w:rFonts w:eastAsia="Arial"/>
                <w:szCs w:val="20"/>
              </w:rPr>
              <w:t>$183,501.89</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AE1D61" w14:textId="101ECDC1" w:rsidR="62AD0331" w:rsidRDefault="62AD0331" w:rsidP="62AD0331">
            <w:pPr>
              <w:spacing w:before="120" w:after="120"/>
              <w:jc w:val="center"/>
            </w:pPr>
            <w:r w:rsidRPr="62AD0331">
              <w:rPr>
                <w:rFonts w:eastAsia="Arial"/>
                <w:szCs w:val="20"/>
              </w:rPr>
              <w:t>Program Manager VIII: Commonwealth’s Part C Coordinator. Responsible for the overall management and operation of the Massachusetts' Early Intervention system.  Major responsibilities include supervision of senior level early intervention staff, inter and inter-agency relationships and supervisory oversight of contracting, reimbursement, and programmatic systems. Serves as a senior leader in the Bureau to ensure appropriate connections and supports for the early childhood system of care across the Commonwealth.</w:t>
            </w:r>
          </w:p>
        </w:tc>
        <w:tc>
          <w:tcPr>
            <w:tcW w:w="345" w:type="dxa"/>
            <w:tcBorders>
              <w:top w:val="nil"/>
              <w:left w:val="single" w:sz="8" w:space="0" w:color="auto"/>
              <w:bottom w:val="nil"/>
              <w:right w:val="nil"/>
            </w:tcBorders>
            <w:vAlign w:val="center"/>
          </w:tcPr>
          <w:p w14:paraId="482D287F" w14:textId="1C83099A" w:rsidR="62AD0331" w:rsidRDefault="62AD0331"/>
        </w:tc>
      </w:tr>
      <w:tr w:rsidR="62AD0331" w14:paraId="7F737883" w14:textId="77777777" w:rsidTr="62AD0331">
        <w:trPr>
          <w:trHeight w:val="795"/>
        </w:trPr>
        <w:tc>
          <w:tcPr>
            <w:tcW w:w="1560" w:type="dxa"/>
            <w:vMerge/>
            <w:tcBorders>
              <w:left w:val="single" w:sz="0" w:space="0" w:color="auto"/>
              <w:right w:val="single" w:sz="0" w:space="0" w:color="auto"/>
            </w:tcBorders>
            <w:vAlign w:val="center"/>
          </w:tcPr>
          <w:p w14:paraId="28E8606C"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023FED6C" w14:textId="358ECA27" w:rsidR="62AD0331" w:rsidRDefault="62AD0331" w:rsidP="62AD0331">
            <w:pPr>
              <w:spacing w:before="120" w:after="120"/>
              <w:jc w:val="center"/>
            </w:pPr>
            <w:r w:rsidRPr="62AD0331">
              <w:rPr>
                <w:rFonts w:eastAsia="Arial"/>
                <w:szCs w:val="20"/>
              </w:rPr>
              <w:t>1</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CA4028" w14:textId="3EAD55F6"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E764D7" w14:textId="18EAE1D9" w:rsidR="62AD0331" w:rsidRDefault="62AD0331" w:rsidP="62AD0331">
            <w:pPr>
              <w:spacing w:before="120" w:after="120"/>
              <w:jc w:val="center"/>
            </w:pPr>
            <w:r w:rsidRPr="62AD0331">
              <w:rPr>
                <w:rFonts w:eastAsia="Arial"/>
                <w:szCs w:val="20"/>
              </w:rPr>
              <w:t>$151,122.40</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9D3236" w14:textId="382B7C7F" w:rsidR="62AD0331" w:rsidRDefault="62AD0331" w:rsidP="62AD0331">
            <w:pPr>
              <w:spacing w:before="120" w:after="120"/>
              <w:jc w:val="center"/>
            </w:pPr>
            <w:r w:rsidRPr="62AD0331">
              <w:rPr>
                <w:rFonts w:eastAsia="Arial"/>
                <w:szCs w:val="20"/>
              </w:rPr>
              <w:t>Program Manager V: Operations Director; responsible for oversight of business administration.</w:t>
            </w:r>
          </w:p>
        </w:tc>
        <w:tc>
          <w:tcPr>
            <w:tcW w:w="345" w:type="dxa"/>
            <w:tcBorders>
              <w:top w:val="nil"/>
              <w:left w:val="single" w:sz="8" w:space="0" w:color="auto"/>
              <w:bottom w:val="nil"/>
              <w:right w:val="nil"/>
            </w:tcBorders>
            <w:vAlign w:val="center"/>
          </w:tcPr>
          <w:p w14:paraId="396E1BF6" w14:textId="1C1D480A" w:rsidR="62AD0331" w:rsidRDefault="62AD0331"/>
        </w:tc>
      </w:tr>
      <w:tr w:rsidR="62AD0331" w14:paraId="4AF17BFA" w14:textId="77777777" w:rsidTr="62AD0331">
        <w:trPr>
          <w:trHeight w:val="795"/>
        </w:trPr>
        <w:tc>
          <w:tcPr>
            <w:tcW w:w="1560" w:type="dxa"/>
            <w:vMerge/>
            <w:tcBorders>
              <w:left w:val="single" w:sz="0" w:space="0" w:color="auto"/>
              <w:right w:val="single" w:sz="0" w:space="0" w:color="auto"/>
            </w:tcBorders>
            <w:vAlign w:val="center"/>
          </w:tcPr>
          <w:p w14:paraId="24B02D54"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44FC04E8" w14:textId="6208A9FB" w:rsidR="62AD0331" w:rsidRDefault="62AD0331" w:rsidP="62AD0331">
            <w:pPr>
              <w:spacing w:before="120" w:after="120"/>
              <w:jc w:val="center"/>
            </w:pPr>
            <w:r w:rsidRPr="62AD0331">
              <w:rPr>
                <w:rFonts w:eastAsia="Arial"/>
                <w:szCs w:val="20"/>
              </w:rPr>
              <w:t>1</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79CD7E" w14:textId="3AADB8EB"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920410" w14:textId="0A1A7DE1" w:rsidR="62AD0331" w:rsidRDefault="62AD0331" w:rsidP="62AD0331">
            <w:pPr>
              <w:spacing w:before="120" w:after="120"/>
              <w:jc w:val="center"/>
            </w:pPr>
            <w:r w:rsidRPr="62AD0331">
              <w:rPr>
                <w:rFonts w:eastAsia="Arial"/>
                <w:szCs w:val="20"/>
              </w:rPr>
              <w:t>$144,583.53</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E06B97" w14:textId="5BFC189E" w:rsidR="62AD0331" w:rsidRDefault="62AD0331" w:rsidP="62AD0331">
            <w:pPr>
              <w:spacing w:before="120" w:after="120"/>
              <w:jc w:val="center"/>
            </w:pPr>
            <w:r w:rsidRPr="62AD0331">
              <w:rPr>
                <w:rFonts w:eastAsia="Arial"/>
                <w:szCs w:val="20"/>
              </w:rPr>
              <w:t>Program Manager V: Finance Manager. Responsible for ensuring aspects of IDEA Fiscal requirements are met.</w:t>
            </w:r>
          </w:p>
        </w:tc>
        <w:tc>
          <w:tcPr>
            <w:tcW w:w="345" w:type="dxa"/>
            <w:tcBorders>
              <w:top w:val="nil"/>
              <w:left w:val="single" w:sz="8" w:space="0" w:color="auto"/>
              <w:bottom w:val="nil"/>
              <w:right w:val="nil"/>
            </w:tcBorders>
            <w:vAlign w:val="center"/>
          </w:tcPr>
          <w:p w14:paraId="27909E67" w14:textId="47A18FE2" w:rsidR="62AD0331" w:rsidRDefault="62AD0331"/>
        </w:tc>
      </w:tr>
      <w:tr w:rsidR="62AD0331" w14:paraId="7445A883" w14:textId="77777777" w:rsidTr="62AD0331">
        <w:trPr>
          <w:trHeight w:val="1050"/>
        </w:trPr>
        <w:tc>
          <w:tcPr>
            <w:tcW w:w="1560" w:type="dxa"/>
            <w:vMerge/>
            <w:tcBorders>
              <w:left w:val="single" w:sz="0" w:space="0" w:color="auto"/>
              <w:right w:val="single" w:sz="0" w:space="0" w:color="auto"/>
            </w:tcBorders>
            <w:vAlign w:val="center"/>
          </w:tcPr>
          <w:p w14:paraId="7328B0E0"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55519270" w14:textId="68BCB7FC" w:rsidR="62AD0331" w:rsidRDefault="62AD0331" w:rsidP="62AD0331">
            <w:pPr>
              <w:spacing w:before="120" w:after="120"/>
              <w:jc w:val="center"/>
            </w:pPr>
            <w:r w:rsidRPr="62AD0331">
              <w:rPr>
                <w:rFonts w:eastAsia="Arial"/>
                <w:szCs w:val="20"/>
              </w:rPr>
              <w:t>1</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76BBD2" w14:textId="6020BF2D"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73595A" w14:textId="519251AC" w:rsidR="62AD0331" w:rsidRDefault="62AD0331" w:rsidP="62AD0331">
            <w:pPr>
              <w:spacing w:before="120" w:after="120"/>
              <w:jc w:val="center"/>
            </w:pPr>
            <w:r w:rsidRPr="62AD0331">
              <w:rPr>
                <w:rFonts w:eastAsia="Arial"/>
                <w:szCs w:val="20"/>
              </w:rPr>
              <w:t>$149,715.44</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B77616" w14:textId="7EB1A244" w:rsidR="62AD0331" w:rsidRDefault="62AD0331" w:rsidP="62AD0331">
            <w:pPr>
              <w:spacing w:before="120" w:after="120"/>
              <w:jc w:val="center"/>
            </w:pPr>
            <w:r w:rsidRPr="62AD0331">
              <w:rPr>
                <w:rFonts w:eastAsia="Arial"/>
                <w:szCs w:val="20"/>
              </w:rPr>
              <w:t>Program Coordinator III: Clinical Quality Assurance Coordinator is responsible for ensuring data-based decisions are made as part of the Commonwealth’s General Supervision System.</w:t>
            </w:r>
          </w:p>
        </w:tc>
        <w:tc>
          <w:tcPr>
            <w:tcW w:w="345" w:type="dxa"/>
            <w:tcBorders>
              <w:top w:val="nil"/>
              <w:left w:val="single" w:sz="8" w:space="0" w:color="auto"/>
              <w:bottom w:val="nil"/>
              <w:right w:val="nil"/>
            </w:tcBorders>
            <w:vAlign w:val="center"/>
          </w:tcPr>
          <w:p w14:paraId="3B80454D" w14:textId="4B22BC07" w:rsidR="62AD0331" w:rsidRDefault="62AD0331"/>
        </w:tc>
      </w:tr>
      <w:tr w:rsidR="62AD0331" w14:paraId="670AB6B3" w14:textId="77777777" w:rsidTr="62AD0331">
        <w:trPr>
          <w:trHeight w:val="795"/>
        </w:trPr>
        <w:tc>
          <w:tcPr>
            <w:tcW w:w="1560" w:type="dxa"/>
            <w:vMerge/>
            <w:tcBorders>
              <w:left w:val="single" w:sz="0" w:space="0" w:color="auto"/>
              <w:right w:val="single" w:sz="0" w:space="0" w:color="auto"/>
            </w:tcBorders>
            <w:vAlign w:val="center"/>
          </w:tcPr>
          <w:p w14:paraId="692E3C1E"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3B37B3DD" w14:textId="5DED625F" w:rsidR="62AD0331" w:rsidRDefault="62AD0331" w:rsidP="62AD0331">
            <w:pPr>
              <w:spacing w:before="120" w:after="120"/>
              <w:jc w:val="center"/>
            </w:pPr>
            <w:r w:rsidRPr="62AD0331">
              <w:rPr>
                <w:rFonts w:eastAsia="Arial"/>
                <w:szCs w:val="20"/>
              </w:rPr>
              <w:t>1</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31F474" w14:textId="48DD51F4"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06DD38" w14:textId="026A0F8F" w:rsidR="62AD0331" w:rsidRDefault="62AD0331" w:rsidP="62AD0331">
            <w:pPr>
              <w:spacing w:before="120" w:after="120"/>
              <w:jc w:val="center"/>
            </w:pPr>
            <w:r w:rsidRPr="62AD0331">
              <w:rPr>
                <w:rFonts w:eastAsia="Arial"/>
                <w:szCs w:val="20"/>
              </w:rPr>
              <w:t>$149,281.74</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F9E2FB" w14:textId="307C24AC" w:rsidR="62AD0331" w:rsidRDefault="62AD0331" w:rsidP="62AD0331">
            <w:pPr>
              <w:spacing w:before="120" w:after="120"/>
              <w:jc w:val="center"/>
            </w:pPr>
            <w:r w:rsidRPr="62AD0331">
              <w:rPr>
                <w:rFonts w:eastAsia="Arial"/>
                <w:szCs w:val="20"/>
              </w:rPr>
              <w:t xml:space="preserve">Program Coordinator III: Coordinates the Commonwealth’s Comprehensive </w:t>
            </w:r>
            <w:r w:rsidRPr="62AD0331">
              <w:rPr>
                <w:rFonts w:eastAsia="Arial"/>
                <w:szCs w:val="20"/>
              </w:rPr>
              <w:lastRenderedPageBreak/>
              <w:t>System of Professional Development</w:t>
            </w:r>
          </w:p>
        </w:tc>
        <w:tc>
          <w:tcPr>
            <w:tcW w:w="345" w:type="dxa"/>
            <w:tcBorders>
              <w:top w:val="nil"/>
              <w:left w:val="single" w:sz="8" w:space="0" w:color="auto"/>
              <w:bottom w:val="nil"/>
              <w:right w:val="nil"/>
            </w:tcBorders>
            <w:vAlign w:val="center"/>
          </w:tcPr>
          <w:p w14:paraId="18327DC2" w14:textId="264A2EC6" w:rsidR="62AD0331" w:rsidRDefault="62AD0331"/>
        </w:tc>
      </w:tr>
      <w:tr w:rsidR="62AD0331" w14:paraId="3A4DC952" w14:textId="77777777" w:rsidTr="62AD0331">
        <w:trPr>
          <w:trHeight w:val="795"/>
        </w:trPr>
        <w:tc>
          <w:tcPr>
            <w:tcW w:w="1560" w:type="dxa"/>
            <w:vMerge/>
            <w:tcBorders>
              <w:left w:val="single" w:sz="0" w:space="0" w:color="auto"/>
              <w:right w:val="single" w:sz="0" w:space="0" w:color="auto"/>
            </w:tcBorders>
            <w:vAlign w:val="center"/>
          </w:tcPr>
          <w:p w14:paraId="2EA1DC14"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2BDAFE90" w14:textId="4B549B99" w:rsidR="62AD0331" w:rsidRDefault="62AD0331" w:rsidP="62AD0331">
            <w:pPr>
              <w:spacing w:before="120" w:after="120"/>
              <w:jc w:val="center"/>
            </w:pPr>
            <w:r w:rsidRPr="62AD0331">
              <w:rPr>
                <w:rFonts w:eastAsia="Arial"/>
                <w:szCs w:val="20"/>
              </w:rPr>
              <w:t>1</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3BD550" w14:textId="4C01F703"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CF638F" w14:textId="09B9C08E" w:rsidR="62AD0331" w:rsidRDefault="62AD0331" w:rsidP="62AD0331">
            <w:pPr>
              <w:spacing w:before="120" w:after="120"/>
              <w:jc w:val="center"/>
            </w:pPr>
            <w:r w:rsidRPr="62AD0331">
              <w:rPr>
                <w:rFonts w:eastAsia="Arial"/>
                <w:szCs w:val="20"/>
              </w:rPr>
              <w:t>$117,807.87</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82ED45" w14:textId="442C2188" w:rsidR="62AD0331" w:rsidRDefault="62AD0331" w:rsidP="62AD0331">
            <w:pPr>
              <w:spacing w:before="120" w:after="120"/>
              <w:jc w:val="center"/>
            </w:pPr>
            <w:r w:rsidRPr="62AD0331">
              <w:rPr>
                <w:rFonts w:eastAsia="Arial"/>
                <w:szCs w:val="20"/>
              </w:rPr>
              <w:t>Program Coordinator I: Interagency Coordinating Council Support Coordinator provides administrative support to SICC.</w:t>
            </w:r>
          </w:p>
        </w:tc>
        <w:tc>
          <w:tcPr>
            <w:tcW w:w="345" w:type="dxa"/>
            <w:tcBorders>
              <w:top w:val="nil"/>
              <w:left w:val="single" w:sz="8" w:space="0" w:color="auto"/>
              <w:bottom w:val="nil"/>
              <w:right w:val="nil"/>
            </w:tcBorders>
            <w:vAlign w:val="center"/>
          </w:tcPr>
          <w:p w14:paraId="0380129A" w14:textId="48EC9F89" w:rsidR="62AD0331" w:rsidRDefault="62AD0331"/>
        </w:tc>
      </w:tr>
      <w:tr w:rsidR="62AD0331" w14:paraId="4E86FF27" w14:textId="77777777" w:rsidTr="62AD0331">
        <w:trPr>
          <w:trHeight w:val="975"/>
        </w:trPr>
        <w:tc>
          <w:tcPr>
            <w:tcW w:w="1560" w:type="dxa"/>
            <w:vMerge/>
            <w:tcBorders>
              <w:left w:val="single" w:sz="0" w:space="0" w:color="auto"/>
              <w:right w:val="single" w:sz="0" w:space="0" w:color="auto"/>
            </w:tcBorders>
            <w:vAlign w:val="center"/>
          </w:tcPr>
          <w:p w14:paraId="5099C166"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658A1DE9" w14:textId="11002B52" w:rsidR="62AD0331" w:rsidRDefault="62AD0331" w:rsidP="62AD0331">
            <w:pPr>
              <w:spacing w:before="120" w:after="120"/>
              <w:jc w:val="center"/>
            </w:pPr>
            <w:r w:rsidRPr="62AD0331">
              <w:rPr>
                <w:rFonts w:eastAsia="Arial"/>
                <w:szCs w:val="20"/>
              </w:rPr>
              <w:t>4</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09643E" w14:textId="72C504AF"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26004B" w14:textId="6719F221" w:rsidR="62AD0331" w:rsidRDefault="62AD0331" w:rsidP="62AD0331">
            <w:pPr>
              <w:spacing w:before="120" w:after="120"/>
              <w:jc w:val="center"/>
            </w:pPr>
            <w:r w:rsidRPr="62AD0331">
              <w:rPr>
                <w:rFonts w:eastAsia="Arial"/>
                <w:szCs w:val="20"/>
              </w:rPr>
              <w:t>$581,007.89</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A5AC38" w14:textId="1FBD3638" w:rsidR="62AD0331" w:rsidRDefault="62AD0331" w:rsidP="62AD0331">
            <w:pPr>
              <w:spacing w:before="120" w:after="120"/>
              <w:jc w:val="center"/>
            </w:pPr>
            <w:r w:rsidRPr="62AD0331">
              <w:rPr>
                <w:rFonts w:eastAsia="Arial"/>
                <w:szCs w:val="20"/>
              </w:rPr>
              <w:t>IT Support: The EDP Systems Analyst III positions are responsible for technical oversight of the state database and assist with reporting requirements.</w:t>
            </w:r>
          </w:p>
        </w:tc>
        <w:tc>
          <w:tcPr>
            <w:tcW w:w="345" w:type="dxa"/>
            <w:tcBorders>
              <w:top w:val="nil"/>
              <w:left w:val="single" w:sz="8" w:space="0" w:color="auto"/>
              <w:bottom w:val="nil"/>
              <w:right w:val="nil"/>
            </w:tcBorders>
            <w:vAlign w:val="center"/>
          </w:tcPr>
          <w:p w14:paraId="738338E6" w14:textId="74073ADD" w:rsidR="62AD0331" w:rsidRDefault="62AD0331"/>
        </w:tc>
      </w:tr>
      <w:tr w:rsidR="62AD0331" w14:paraId="28F723B9" w14:textId="77777777" w:rsidTr="62AD0331">
        <w:trPr>
          <w:trHeight w:val="765"/>
        </w:trPr>
        <w:tc>
          <w:tcPr>
            <w:tcW w:w="1560" w:type="dxa"/>
            <w:vMerge/>
            <w:tcBorders>
              <w:left w:val="single" w:sz="0" w:space="0" w:color="auto"/>
              <w:bottom w:val="single" w:sz="0" w:space="0" w:color="auto"/>
              <w:right w:val="single" w:sz="0" w:space="0" w:color="auto"/>
            </w:tcBorders>
            <w:vAlign w:val="center"/>
          </w:tcPr>
          <w:p w14:paraId="59B4B979" w14:textId="77777777" w:rsidR="00AB127F" w:rsidRDefault="00AB127F"/>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14:paraId="6FE7B11B" w14:textId="172198DE" w:rsidR="62AD0331" w:rsidRDefault="62AD0331" w:rsidP="62AD0331">
            <w:pPr>
              <w:spacing w:before="120" w:after="120"/>
              <w:jc w:val="center"/>
            </w:pPr>
            <w:r w:rsidRPr="62AD0331">
              <w:rPr>
                <w:rFonts w:eastAsia="Arial"/>
                <w:szCs w:val="20"/>
              </w:rPr>
              <w:t>1</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23BF8A" w14:textId="6739D8C8" w:rsidR="62AD0331" w:rsidRDefault="62AD0331" w:rsidP="62AD0331">
            <w:pPr>
              <w:spacing w:before="120" w:after="120"/>
              <w:jc w:val="center"/>
            </w:pPr>
            <w:r w:rsidRPr="62AD0331">
              <w:rPr>
                <w:rFonts w:eastAsia="Arial"/>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3CAAB2" w14:textId="295C273E" w:rsidR="62AD0331" w:rsidRDefault="62AD0331" w:rsidP="62AD0331">
            <w:pPr>
              <w:spacing w:before="120" w:after="120"/>
              <w:jc w:val="center"/>
            </w:pPr>
            <w:r w:rsidRPr="62AD0331">
              <w:rPr>
                <w:rFonts w:eastAsia="Arial"/>
                <w:szCs w:val="20"/>
              </w:rPr>
              <w:t>$110,760.00</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ABA188" w14:textId="6314E3ED" w:rsidR="62AD0331" w:rsidRDefault="62AD0331" w:rsidP="62AD0331">
            <w:pPr>
              <w:spacing w:before="120" w:after="120"/>
              <w:jc w:val="center"/>
            </w:pPr>
            <w:r w:rsidRPr="62AD0331">
              <w:rPr>
                <w:rFonts w:eastAsia="Arial"/>
                <w:szCs w:val="20"/>
              </w:rPr>
              <w:t>CDC Fellow/Data Manager: Research &amp; Analysis Director oversees APR data, SSIP analyses, and compliance monitoring.</w:t>
            </w:r>
          </w:p>
        </w:tc>
        <w:tc>
          <w:tcPr>
            <w:tcW w:w="345" w:type="dxa"/>
            <w:tcBorders>
              <w:top w:val="nil"/>
              <w:left w:val="single" w:sz="8" w:space="0" w:color="auto"/>
              <w:bottom w:val="nil"/>
              <w:right w:val="nil"/>
            </w:tcBorders>
            <w:vAlign w:val="center"/>
          </w:tcPr>
          <w:p w14:paraId="00F75899" w14:textId="1E36701B" w:rsidR="62AD0331" w:rsidRDefault="62AD0331"/>
        </w:tc>
      </w:tr>
      <w:tr w:rsidR="62AD0331" w14:paraId="45412146" w14:textId="77777777" w:rsidTr="62AD0331">
        <w:trPr>
          <w:trHeight w:val="1050"/>
        </w:trPr>
        <w:tc>
          <w:tcPr>
            <w:tcW w:w="1560" w:type="dxa"/>
            <w:tcBorders>
              <w:top w:val="nil"/>
              <w:left w:val="single" w:sz="8" w:space="0" w:color="auto"/>
              <w:bottom w:val="single" w:sz="8" w:space="0" w:color="auto"/>
              <w:right w:val="single" w:sz="8" w:space="0" w:color="auto"/>
            </w:tcBorders>
            <w:tcMar>
              <w:left w:w="108" w:type="dxa"/>
              <w:right w:w="108" w:type="dxa"/>
            </w:tcMar>
            <w:vAlign w:val="center"/>
          </w:tcPr>
          <w:p w14:paraId="4A3B0583" w14:textId="31A6B2ED" w:rsidR="62AD0331" w:rsidRDefault="62AD0331" w:rsidP="62AD0331">
            <w:pPr>
              <w:spacing w:before="120" w:after="120"/>
              <w:jc w:val="center"/>
            </w:pPr>
            <w:r w:rsidRPr="62AD0331">
              <w:rPr>
                <w:rFonts w:eastAsia="Arial"/>
                <w:i/>
                <w:iCs/>
                <w:szCs w:val="20"/>
              </w:rPr>
              <w:t>Total 100% funded with Part C</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BEE4E7" w14:textId="06BCACD0" w:rsidR="62AD0331" w:rsidRDefault="62AD0331" w:rsidP="62AD0331">
            <w:pPr>
              <w:spacing w:before="120" w:after="120"/>
              <w:jc w:val="center"/>
            </w:pPr>
            <w:r w:rsidRPr="62AD0331">
              <w:rPr>
                <w:rFonts w:eastAsia="Arial"/>
                <w:i/>
                <w:iCs/>
                <w:szCs w:val="20"/>
              </w:rPr>
              <w:t>24</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797AB0" w14:textId="08319CBE" w:rsidR="62AD0331" w:rsidRDefault="62AD0331" w:rsidP="62AD0331">
            <w:pPr>
              <w:spacing w:before="120" w:after="120"/>
              <w:jc w:val="center"/>
            </w:pPr>
            <w:r w:rsidRPr="62AD0331">
              <w:rPr>
                <w:rFonts w:eastAsia="Arial"/>
                <w:i/>
                <w:iCs/>
                <w:szCs w:val="20"/>
              </w:rPr>
              <w:t>100%</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19F8E2" w14:textId="7051085D" w:rsidR="62AD0331" w:rsidRDefault="62AD0331" w:rsidP="62AD0331">
            <w:pPr>
              <w:spacing w:before="120" w:after="120"/>
              <w:jc w:val="center"/>
            </w:pPr>
            <w:r w:rsidRPr="62AD0331">
              <w:rPr>
                <w:rFonts w:eastAsia="Arial"/>
                <w:i/>
                <w:iCs/>
                <w:szCs w:val="20"/>
              </w:rPr>
              <w:t>$3,409,988.30</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B60500" w14:textId="62155ED6" w:rsidR="62AD0331" w:rsidRDefault="62AD0331"/>
        </w:tc>
        <w:tc>
          <w:tcPr>
            <w:tcW w:w="345" w:type="dxa"/>
            <w:tcBorders>
              <w:top w:val="nil"/>
              <w:left w:val="single" w:sz="8" w:space="0" w:color="auto"/>
              <w:bottom w:val="nil"/>
              <w:right w:val="nil"/>
            </w:tcBorders>
            <w:vAlign w:val="center"/>
          </w:tcPr>
          <w:p w14:paraId="17239595" w14:textId="7393D8B6" w:rsidR="62AD0331" w:rsidRDefault="62AD0331"/>
        </w:tc>
      </w:tr>
      <w:tr w:rsidR="62AD0331" w14:paraId="41CF3C59" w14:textId="77777777" w:rsidTr="62AD0331">
        <w:trPr>
          <w:trHeight w:val="1680"/>
        </w:trPr>
        <w:tc>
          <w:tcPr>
            <w:tcW w:w="156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B8AF37" w14:textId="76866592" w:rsidR="62AD0331" w:rsidRDefault="62AD0331" w:rsidP="62AD0331">
            <w:pPr>
              <w:spacing w:before="120" w:after="120"/>
              <w:jc w:val="center"/>
            </w:pPr>
            <w:r w:rsidRPr="62AD0331">
              <w:rPr>
                <w:rFonts w:eastAsia="Arial"/>
                <w:szCs w:val="20"/>
              </w:rPr>
              <w:t>&lt; 100% funded with Part C Funds</w:t>
            </w:r>
          </w:p>
        </w:tc>
        <w:tc>
          <w:tcPr>
            <w:tcW w:w="120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ACDAF8" w14:textId="7CB5E924" w:rsidR="62AD0331" w:rsidRDefault="62AD0331" w:rsidP="62AD0331">
            <w:pPr>
              <w:spacing w:before="120" w:after="120"/>
              <w:jc w:val="center"/>
            </w:pPr>
            <w:r w:rsidRPr="62AD0331">
              <w:rPr>
                <w:rFonts w:eastAsia="Arial"/>
                <w:szCs w:val="20"/>
              </w:rPr>
              <w:t>1</w:t>
            </w:r>
          </w:p>
        </w:tc>
        <w:tc>
          <w:tcPr>
            <w:tcW w:w="129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7831C9" w14:textId="74CFAA2C" w:rsidR="62AD0331" w:rsidRDefault="62AD0331" w:rsidP="62AD0331">
            <w:pPr>
              <w:spacing w:before="120" w:after="120"/>
              <w:jc w:val="center"/>
            </w:pPr>
            <w:r w:rsidRPr="62AD0331">
              <w:rPr>
                <w:rFonts w:eastAsia="Arial"/>
                <w:szCs w:val="20"/>
              </w:rPr>
              <w:t>25%</w:t>
            </w:r>
          </w:p>
        </w:tc>
        <w:tc>
          <w:tcPr>
            <w:tcW w:w="1755"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8541D7" w14:textId="73D84941" w:rsidR="62AD0331" w:rsidRDefault="62AD0331" w:rsidP="62AD0331">
            <w:pPr>
              <w:spacing w:before="120" w:after="120"/>
              <w:jc w:val="center"/>
            </w:pPr>
            <w:r w:rsidRPr="62AD0331">
              <w:rPr>
                <w:rFonts w:eastAsia="Arial"/>
                <w:szCs w:val="20"/>
              </w:rPr>
              <w:t>$44,746.15</w:t>
            </w:r>
          </w:p>
        </w:tc>
        <w:tc>
          <w:tcPr>
            <w:tcW w:w="321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AA1B99" w14:textId="33A47F7B" w:rsidR="62AD0331" w:rsidRDefault="62AD0331" w:rsidP="62AD0331">
            <w:pPr>
              <w:spacing w:before="120" w:after="120"/>
              <w:jc w:val="center"/>
            </w:pPr>
            <w:r w:rsidRPr="62AD0331">
              <w:rPr>
                <w:rFonts w:eastAsia="Arial"/>
                <w:szCs w:val="20"/>
              </w:rPr>
              <w:t>Fiscal Officer VII: Assists in processing payments to contracted local EIS programs.</w:t>
            </w:r>
          </w:p>
        </w:tc>
        <w:tc>
          <w:tcPr>
            <w:tcW w:w="345" w:type="dxa"/>
            <w:tcBorders>
              <w:top w:val="nil"/>
              <w:left w:val="single" w:sz="8" w:space="0" w:color="auto"/>
              <w:bottom w:val="nil"/>
              <w:right w:val="nil"/>
            </w:tcBorders>
            <w:vAlign w:val="center"/>
          </w:tcPr>
          <w:p w14:paraId="71C1E675" w14:textId="044644B9" w:rsidR="62AD0331" w:rsidRDefault="62AD0331"/>
        </w:tc>
      </w:tr>
      <w:tr w:rsidR="62AD0331" w14:paraId="1BF28C3F" w14:textId="77777777" w:rsidTr="62AD0331">
        <w:trPr>
          <w:trHeight w:val="300"/>
        </w:trPr>
        <w:tc>
          <w:tcPr>
            <w:tcW w:w="1560" w:type="dxa"/>
            <w:vMerge/>
            <w:tcBorders>
              <w:left w:val="single" w:sz="0" w:space="0" w:color="auto"/>
              <w:right w:val="single" w:sz="0" w:space="0" w:color="auto"/>
            </w:tcBorders>
            <w:vAlign w:val="center"/>
          </w:tcPr>
          <w:p w14:paraId="1211E347" w14:textId="77777777" w:rsidR="00AB127F" w:rsidRDefault="00AB127F"/>
        </w:tc>
        <w:tc>
          <w:tcPr>
            <w:tcW w:w="1200" w:type="dxa"/>
            <w:vMerge/>
            <w:tcBorders>
              <w:left w:val="single" w:sz="0" w:space="0" w:color="auto"/>
              <w:bottom w:val="single" w:sz="0" w:space="0" w:color="auto"/>
              <w:right w:val="single" w:sz="0" w:space="0" w:color="auto"/>
            </w:tcBorders>
            <w:vAlign w:val="center"/>
          </w:tcPr>
          <w:p w14:paraId="2AD979F2" w14:textId="77777777" w:rsidR="00AB127F" w:rsidRDefault="00AB127F"/>
        </w:tc>
        <w:tc>
          <w:tcPr>
            <w:tcW w:w="1290" w:type="dxa"/>
            <w:vMerge/>
            <w:tcBorders>
              <w:left w:val="single" w:sz="0" w:space="0" w:color="auto"/>
              <w:bottom w:val="single" w:sz="0" w:space="0" w:color="auto"/>
              <w:right w:val="single" w:sz="0" w:space="0" w:color="auto"/>
            </w:tcBorders>
            <w:vAlign w:val="center"/>
          </w:tcPr>
          <w:p w14:paraId="53BAD9D3" w14:textId="77777777" w:rsidR="00AB127F" w:rsidRDefault="00AB127F"/>
        </w:tc>
        <w:tc>
          <w:tcPr>
            <w:tcW w:w="1755" w:type="dxa"/>
            <w:vMerge/>
            <w:tcBorders>
              <w:left w:val="single" w:sz="0" w:space="0" w:color="auto"/>
              <w:bottom w:val="single" w:sz="0" w:space="0" w:color="auto"/>
              <w:right w:val="single" w:sz="0" w:space="0" w:color="auto"/>
            </w:tcBorders>
            <w:vAlign w:val="center"/>
          </w:tcPr>
          <w:p w14:paraId="3AB14DC0" w14:textId="77777777" w:rsidR="00AB127F" w:rsidRDefault="00AB127F"/>
        </w:tc>
        <w:tc>
          <w:tcPr>
            <w:tcW w:w="3210" w:type="dxa"/>
            <w:vMerge/>
            <w:tcBorders>
              <w:left w:val="single" w:sz="0" w:space="0" w:color="auto"/>
              <w:bottom w:val="single" w:sz="0" w:space="0" w:color="auto"/>
              <w:right w:val="single" w:sz="0" w:space="0" w:color="auto"/>
            </w:tcBorders>
            <w:vAlign w:val="center"/>
          </w:tcPr>
          <w:p w14:paraId="289D7703" w14:textId="77777777" w:rsidR="00AB127F" w:rsidRDefault="00AB127F"/>
        </w:tc>
        <w:tc>
          <w:tcPr>
            <w:tcW w:w="345" w:type="dxa"/>
            <w:tcBorders>
              <w:top w:val="nil"/>
              <w:left w:val="nil"/>
              <w:bottom w:val="nil"/>
              <w:right w:val="nil"/>
            </w:tcBorders>
            <w:vAlign w:val="center"/>
          </w:tcPr>
          <w:p w14:paraId="639CA54D" w14:textId="382BB86F" w:rsidR="62AD0331" w:rsidRDefault="62AD0331"/>
        </w:tc>
      </w:tr>
      <w:tr w:rsidR="62AD0331" w14:paraId="6C30686C" w14:textId="77777777" w:rsidTr="62AD0331">
        <w:trPr>
          <w:trHeight w:val="1545"/>
        </w:trPr>
        <w:tc>
          <w:tcPr>
            <w:tcW w:w="1560" w:type="dxa"/>
            <w:vMerge/>
            <w:tcBorders>
              <w:left w:val="single" w:sz="0" w:space="0" w:color="auto"/>
              <w:right w:val="single" w:sz="0" w:space="0" w:color="auto"/>
            </w:tcBorders>
            <w:vAlign w:val="center"/>
          </w:tcPr>
          <w:p w14:paraId="05C6D14E" w14:textId="77777777" w:rsidR="00AB127F" w:rsidRDefault="00AB127F"/>
        </w:tc>
        <w:tc>
          <w:tcPr>
            <w:tcW w:w="1200" w:type="dxa"/>
            <w:vMerge w:val="restart"/>
            <w:tcBorders>
              <w:top w:val="nil"/>
              <w:left w:val="nil"/>
              <w:bottom w:val="single" w:sz="8" w:space="0" w:color="auto"/>
              <w:right w:val="single" w:sz="8" w:space="0" w:color="auto"/>
            </w:tcBorders>
            <w:tcMar>
              <w:left w:w="108" w:type="dxa"/>
              <w:right w:w="108" w:type="dxa"/>
            </w:tcMar>
            <w:vAlign w:val="center"/>
          </w:tcPr>
          <w:p w14:paraId="472D45B1" w14:textId="3F40908B" w:rsidR="62AD0331" w:rsidRDefault="62AD0331" w:rsidP="62AD0331">
            <w:pPr>
              <w:spacing w:before="120" w:after="120"/>
              <w:jc w:val="center"/>
            </w:pPr>
            <w:r w:rsidRPr="62AD0331">
              <w:rPr>
                <w:rFonts w:eastAsia="Arial"/>
                <w:szCs w:val="20"/>
              </w:rPr>
              <w:t>1</w:t>
            </w:r>
          </w:p>
        </w:tc>
        <w:tc>
          <w:tcPr>
            <w:tcW w:w="1290"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62BF39ED" w14:textId="5B572CC6" w:rsidR="62AD0331" w:rsidRDefault="62AD0331" w:rsidP="62AD0331">
            <w:pPr>
              <w:spacing w:before="120" w:after="120"/>
              <w:jc w:val="center"/>
            </w:pPr>
            <w:r w:rsidRPr="62AD0331">
              <w:rPr>
                <w:rFonts w:eastAsia="Arial"/>
                <w:szCs w:val="20"/>
              </w:rPr>
              <w:t>68%</w:t>
            </w:r>
          </w:p>
        </w:tc>
        <w:tc>
          <w:tcPr>
            <w:tcW w:w="1755"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3DCFF43C" w14:textId="2EC426B6" w:rsidR="62AD0331" w:rsidRDefault="62AD0331" w:rsidP="62AD0331">
            <w:pPr>
              <w:spacing w:before="120" w:after="120"/>
              <w:jc w:val="center"/>
            </w:pPr>
            <w:r w:rsidRPr="62AD0331">
              <w:rPr>
                <w:rFonts w:eastAsia="Arial"/>
                <w:szCs w:val="20"/>
              </w:rPr>
              <w:t>$128,942.16</w:t>
            </w:r>
          </w:p>
        </w:tc>
        <w:tc>
          <w:tcPr>
            <w:tcW w:w="3210"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0F203195" w14:textId="06E831FF" w:rsidR="62AD0331" w:rsidRDefault="62AD0331" w:rsidP="62AD0331">
            <w:pPr>
              <w:spacing w:before="120" w:after="120"/>
              <w:jc w:val="center"/>
            </w:pPr>
            <w:r w:rsidRPr="62AD0331">
              <w:rPr>
                <w:rFonts w:eastAsia="Arial"/>
                <w:szCs w:val="20"/>
              </w:rPr>
              <w:t>Program Manager VIII supports contracting, invoicing, accounting, and federal grants management for the EI program.</w:t>
            </w:r>
          </w:p>
        </w:tc>
        <w:tc>
          <w:tcPr>
            <w:tcW w:w="345" w:type="dxa"/>
            <w:tcBorders>
              <w:top w:val="nil"/>
              <w:left w:val="single" w:sz="8" w:space="0" w:color="auto"/>
              <w:bottom w:val="nil"/>
              <w:right w:val="nil"/>
            </w:tcBorders>
            <w:vAlign w:val="center"/>
          </w:tcPr>
          <w:p w14:paraId="30959917" w14:textId="017DA1DA" w:rsidR="62AD0331" w:rsidRDefault="62AD0331"/>
        </w:tc>
      </w:tr>
      <w:tr w:rsidR="62AD0331" w14:paraId="07F9BEE1" w14:textId="77777777" w:rsidTr="62AD0331">
        <w:trPr>
          <w:trHeight w:val="300"/>
        </w:trPr>
        <w:tc>
          <w:tcPr>
            <w:tcW w:w="1560" w:type="dxa"/>
            <w:vMerge/>
            <w:tcBorders>
              <w:left w:val="single" w:sz="0" w:space="0" w:color="auto"/>
              <w:right w:val="single" w:sz="0" w:space="0" w:color="auto"/>
            </w:tcBorders>
            <w:vAlign w:val="center"/>
          </w:tcPr>
          <w:p w14:paraId="6CB92853" w14:textId="77777777" w:rsidR="00AB127F" w:rsidRDefault="00AB127F"/>
        </w:tc>
        <w:tc>
          <w:tcPr>
            <w:tcW w:w="1200" w:type="dxa"/>
            <w:vMerge/>
            <w:tcBorders>
              <w:left w:val="nil"/>
              <w:bottom w:val="single" w:sz="0" w:space="0" w:color="auto"/>
              <w:right w:val="single" w:sz="0" w:space="0" w:color="auto"/>
            </w:tcBorders>
            <w:vAlign w:val="center"/>
          </w:tcPr>
          <w:p w14:paraId="6A0E6BBD" w14:textId="77777777" w:rsidR="00AB127F" w:rsidRDefault="00AB127F"/>
        </w:tc>
        <w:tc>
          <w:tcPr>
            <w:tcW w:w="1290" w:type="dxa"/>
            <w:vMerge/>
            <w:tcBorders>
              <w:left w:val="single" w:sz="0" w:space="0" w:color="auto"/>
              <w:bottom w:val="single" w:sz="0" w:space="0" w:color="auto"/>
              <w:right w:val="single" w:sz="0" w:space="0" w:color="auto"/>
            </w:tcBorders>
            <w:vAlign w:val="center"/>
          </w:tcPr>
          <w:p w14:paraId="3794C0EF" w14:textId="77777777" w:rsidR="00AB127F" w:rsidRDefault="00AB127F"/>
        </w:tc>
        <w:tc>
          <w:tcPr>
            <w:tcW w:w="1755" w:type="dxa"/>
            <w:vMerge/>
            <w:tcBorders>
              <w:left w:val="single" w:sz="0" w:space="0" w:color="auto"/>
              <w:bottom w:val="single" w:sz="0" w:space="0" w:color="auto"/>
              <w:right w:val="single" w:sz="0" w:space="0" w:color="auto"/>
            </w:tcBorders>
            <w:vAlign w:val="center"/>
          </w:tcPr>
          <w:p w14:paraId="1BBE4CD5" w14:textId="77777777" w:rsidR="00AB127F" w:rsidRDefault="00AB127F"/>
        </w:tc>
        <w:tc>
          <w:tcPr>
            <w:tcW w:w="3210" w:type="dxa"/>
            <w:vMerge/>
            <w:tcBorders>
              <w:left w:val="single" w:sz="0" w:space="0" w:color="auto"/>
              <w:bottom w:val="single" w:sz="0" w:space="0" w:color="auto"/>
              <w:right w:val="single" w:sz="0" w:space="0" w:color="auto"/>
            </w:tcBorders>
            <w:vAlign w:val="center"/>
          </w:tcPr>
          <w:p w14:paraId="0E70BABC" w14:textId="77777777" w:rsidR="00AB127F" w:rsidRDefault="00AB127F"/>
        </w:tc>
        <w:tc>
          <w:tcPr>
            <w:tcW w:w="345" w:type="dxa"/>
            <w:tcBorders>
              <w:top w:val="nil"/>
              <w:left w:val="nil"/>
              <w:bottom w:val="nil"/>
              <w:right w:val="nil"/>
            </w:tcBorders>
            <w:vAlign w:val="center"/>
          </w:tcPr>
          <w:p w14:paraId="04A6B7FD" w14:textId="7A0345C6" w:rsidR="62AD0331" w:rsidRDefault="62AD0331"/>
        </w:tc>
      </w:tr>
      <w:tr w:rsidR="62AD0331" w14:paraId="304B1AB7" w14:textId="77777777" w:rsidTr="62AD0331">
        <w:trPr>
          <w:trHeight w:val="1245"/>
        </w:trPr>
        <w:tc>
          <w:tcPr>
            <w:tcW w:w="1560" w:type="dxa"/>
            <w:vMerge/>
            <w:tcBorders>
              <w:left w:val="single" w:sz="0" w:space="0" w:color="auto"/>
              <w:right w:val="single" w:sz="0" w:space="0" w:color="auto"/>
            </w:tcBorders>
            <w:vAlign w:val="center"/>
          </w:tcPr>
          <w:p w14:paraId="7303AF18" w14:textId="77777777" w:rsidR="00AB127F" w:rsidRDefault="00AB127F"/>
        </w:tc>
        <w:tc>
          <w:tcPr>
            <w:tcW w:w="1200" w:type="dxa"/>
            <w:vMerge w:val="restart"/>
            <w:tcBorders>
              <w:top w:val="nil"/>
              <w:left w:val="nil"/>
              <w:bottom w:val="single" w:sz="8" w:space="0" w:color="auto"/>
              <w:right w:val="single" w:sz="8" w:space="0" w:color="auto"/>
            </w:tcBorders>
            <w:tcMar>
              <w:left w:w="108" w:type="dxa"/>
              <w:right w:w="108" w:type="dxa"/>
            </w:tcMar>
            <w:vAlign w:val="center"/>
          </w:tcPr>
          <w:p w14:paraId="6A6A2065" w14:textId="2D61CCD8" w:rsidR="62AD0331" w:rsidRDefault="62AD0331" w:rsidP="62AD0331">
            <w:pPr>
              <w:spacing w:before="120" w:after="120"/>
              <w:jc w:val="center"/>
            </w:pPr>
            <w:r w:rsidRPr="62AD0331">
              <w:rPr>
                <w:rFonts w:eastAsia="Arial"/>
                <w:szCs w:val="20"/>
              </w:rPr>
              <w:t>1</w:t>
            </w:r>
          </w:p>
        </w:tc>
        <w:tc>
          <w:tcPr>
            <w:tcW w:w="1290"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74DA0469" w14:textId="670A9F28" w:rsidR="62AD0331" w:rsidRDefault="62AD0331" w:rsidP="62AD0331">
            <w:pPr>
              <w:spacing w:before="120" w:after="120"/>
              <w:jc w:val="center"/>
            </w:pPr>
            <w:r w:rsidRPr="62AD0331">
              <w:rPr>
                <w:rFonts w:eastAsia="Arial"/>
                <w:szCs w:val="20"/>
              </w:rPr>
              <w:t>35%</w:t>
            </w:r>
          </w:p>
        </w:tc>
        <w:tc>
          <w:tcPr>
            <w:tcW w:w="1755"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65E2F6B8" w14:textId="258998A4" w:rsidR="62AD0331" w:rsidRDefault="62AD0331" w:rsidP="62AD0331">
            <w:pPr>
              <w:spacing w:before="120" w:after="120"/>
              <w:jc w:val="center"/>
            </w:pPr>
            <w:r w:rsidRPr="62AD0331">
              <w:rPr>
                <w:rFonts w:eastAsia="Arial"/>
                <w:szCs w:val="20"/>
              </w:rPr>
              <w:t>$49,050.51</w:t>
            </w:r>
          </w:p>
        </w:tc>
        <w:tc>
          <w:tcPr>
            <w:tcW w:w="3210"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05D262FA" w14:textId="423D634A" w:rsidR="62AD0331" w:rsidRDefault="62AD0331" w:rsidP="62AD0331">
            <w:pPr>
              <w:spacing w:before="120" w:after="120"/>
              <w:jc w:val="center"/>
            </w:pPr>
            <w:r w:rsidRPr="62AD0331">
              <w:rPr>
                <w:rFonts w:eastAsia="Arial"/>
                <w:szCs w:val="20"/>
              </w:rPr>
              <w:t>Program Coordinator II: Provides administrative support to the Part C Program.</w:t>
            </w:r>
          </w:p>
        </w:tc>
        <w:tc>
          <w:tcPr>
            <w:tcW w:w="345" w:type="dxa"/>
            <w:tcBorders>
              <w:top w:val="nil"/>
              <w:left w:val="single" w:sz="8" w:space="0" w:color="auto"/>
              <w:bottom w:val="nil"/>
              <w:right w:val="nil"/>
            </w:tcBorders>
            <w:vAlign w:val="center"/>
          </w:tcPr>
          <w:p w14:paraId="094EBDBE" w14:textId="19D38834" w:rsidR="62AD0331" w:rsidRDefault="62AD0331"/>
        </w:tc>
      </w:tr>
      <w:tr w:rsidR="62AD0331" w14:paraId="515344CE" w14:textId="77777777" w:rsidTr="62AD0331">
        <w:trPr>
          <w:trHeight w:val="300"/>
        </w:trPr>
        <w:tc>
          <w:tcPr>
            <w:tcW w:w="1560" w:type="dxa"/>
            <w:vMerge/>
            <w:tcBorders>
              <w:left w:val="single" w:sz="0" w:space="0" w:color="auto"/>
              <w:right w:val="single" w:sz="0" w:space="0" w:color="auto"/>
            </w:tcBorders>
            <w:vAlign w:val="center"/>
          </w:tcPr>
          <w:p w14:paraId="51217CF7" w14:textId="77777777" w:rsidR="00AB127F" w:rsidRDefault="00AB127F"/>
        </w:tc>
        <w:tc>
          <w:tcPr>
            <w:tcW w:w="1200" w:type="dxa"/>
            <w:vMerge/>
            <w:tcBorders>
              <w:left w:val="nil"/>
              <w:bottom w:val="single" w:sz="0" w:space="0" w:color="auto"/>
              <w:right w:val="single" w:sz="0" w:space="0" w:color="auto"/>
            </w:tcBorders>
            <w:vAlign w:val="center"/>
          </w:tcPr>
          <w:p w14:paraId="40BF0BE6" w14:textId="77777777" w:rsidR="00AB127F" w:rsidRDefault="00AB127F"/>
        </w:tc>
        <w:tc>
          <w:tcPr>
            <w:tcW w:w="1290" w:type="dxa"/>
            <w:vMerge/>
            <w:tcBorders>
              <w:left w:val="single" w:sz="0" w:space="0" w:color="auto"/>
              <w:bottom w:val="single" w:sz="0" w:space="0" w:color="auto"/>
              <w:right w:val="single" w:sz="0" w:space="0" w:color="auto"/>
            </w:tcBorders>
            <w:vAlign w:val="center"/>
          </w:tcPr>
          <w:p w14:paraId="3FA1074E" w14:textId="77777777" w:rsidR="00AB127F" w:rsidRDefault="00AB127F"/>
        </w:tc>
        <w:tc>
          <w:tcPr>
            <w:tcW w:w="1755" w:type="dxa"/>
            <w:vMerge/>
            <w:tcBorders>
              <w:left w:val="single" w:sz="0" w:space="0" w:color="auto"/>
              <w:bottom w:val="single" w:sz="0" w:space="0" w:color="auto"/>
              <w:right w:val="single" w:sz="0" w:space="0" w:color="auto"/>
            </w:tcBorders>
            <w:vAlign w:val="center"/>
          </w:tcPr>
          <w:p w14:paraId="367F354C" w14:textId="77777777" w:rsidR="00AB127F" w:rsidRDefault="00AB127F"/>
        </w:tc>
        <w:tc>
          <w:tcPr>
            <w:tcW w:w="3210" w:type="dxa"/>
            <w:vMerge/>
            <w:tcBorders>
              <w:left w:val="single" w:sz="0" w:space="0" w:color="auto"/>
              <w:bottom w:val="single" w:sz="0" w:space="0" w:color="auto"/>
              <w:right w:val="single" w:sz="0" w:space="0" w:color="auto"/>
            </w:tcBorders>
            <w:vAlign w:val="center"/>
          </w:tcPr>
          <w:p w14:paraId="707C7952" w14:textId="77777777" w:rsidR="00AB127F" w:rsidRDefault="00AB127F"/>
        </w:tc>
        <w:tc>
          <w:tcPr>
            <w:tcW w:w="345" w:type="dxa"/>
            <w:tcBorders>
              <w:top w:val="nil"/>
              <w:left w:val="nil"/>
              <w:bottom w:val="nil"/>
              <w:right w:val="nil"/>
            </w:tcBorders>
            <w:vAlign w:val="center"/>
          </w:tcPr>
          <w:p w14:paraId="3372128F" w14:textId="5F87313D" w:rsidR="62AD0331" w:rsidRDefault="62AD0331"/>
        </w:tc>
      </w:tr>
      <w:tr w:rsidR="62AD0331" w14:paraId="40EF5C44" w14:textId="77777777" w:rsidTr="62AD0331">
        <w:trPr>
          <w:trHeight w:val="2265"/>
        </w:trPr>
        <w:tc>
          <w:tcPr>
            <w:tcW w:w="1560" w:type="dxa"/>
            <w:vMerge/>
            <w:tcBorders>
              <w:left w:val="single" w:sz="0" w:space="0" w:color="auto"/>
              <w:right w:val="single" w:sz="0" w:space="0" w:color="auto"/>
            </w:tcBorders>
            <w:vAlign w:val="center"/>
          </w:tcPr>
          <w:p w14:paraId="214D48E2" w14:textId="77777777" w:rsidR="00AB127F" w:rsidRDefault="00AB127F"/>
        </w:tc>
        <w:tc>
          <w:tcPr>
            <w:tcW w:w="1200" w:type="dxa"/>
            <w:vMerge w:val="restart"/>
            <w:tcBorders>
              <w:top w:val="nil"/>
              <w:left w:val="nil"/>
              <w:bottom w:val="single" w:sz="8" w:space="0" w:color="auto"/>
              <w:right w:val="single" w:sz="8" w:space="0" w:color="auto"/>
            </w:tcBorders>
            <w:tcMar>
              <w:left w:w="108" w:type="dxa"/>
              <w:right w:w="108" w:type="dxa"/>
            </w:tcMar>
            <w:vAlign w:val="center"/>
          </w:tcPr>
          <w:p w14:paraId="2B63B4CC" w14:textId="682DC7BB" w:rsidR="62AD0331" w:rsidRDefault="62AD0331" w:rsidP="62AD0331">
            <w:pPr>
              <w:spacing w:before="120" w:after="120"/>
              <w:jc w:val="center"/>
            </w:pPr>
            <w:r w:rsidRPr="62AD0331">
              <w:rPr>
                <w:rFonts w:eastAsia="Arial"/>
                <w:szCs w:val="20"/>
              </w:rPr>
              <w:t>1</w:t>
            </w:r>
          </w:p>
        </w:tc>
        <w:tc>
          <w:tcPr>
            <w:tcW w:w="1290"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60C4309E" w14:textId="7CDD7E65" w:rsidR="62AD0331" w:rsidRDefault="62AD0331" w:rsidP="62AD0331">
            <w:pPr>
              <w:spacing w:before="120" w:after="120"/>
              <w:jc w:val="center"/>
            </w:pPr>
            <w:r w:rsidRPr="62AD0331">
              <w:rPr>
                <w:rFonts w:eastAsia="Arial"/>
                <w:szCs w:val="20"/>
              </w:rPr>
              <w:t>30%</w:t>
            </w:r>
          </w:p>
        </w:tc>
        <w:tc>
          <w:tcPr>
            <w:tcW w:w="1755"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28E52A9B" w14:textId="29656794" w:rsidR="62AD0331" w:rsidRDefault="62AD0331" w:rsidP="62AD0331">
            <w:pPr>
              <w:spacing w:before="120" w:after="120"/>
              <w:jc w:val="center"/>
            </w:pPr>
            <w:r w:rsidRPr="62AD0331">
              <w:rPr>
                <w:rFonts w:eastAsia="Arial"/>
                <w:szCs w:val="20"/>
              </w:rPr>
              <w:t>$54,585.41</w:t>
            </w:r>
          </w:p>
        </w:tc>
        <w:tc>
          <w:tcPr>
            <w:tcW w:w="3210"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6C6E71FF" w14:textId="0A8F5144" w:rsidR="62AD0331" w:rsidRDefault="62AD0331" w:rsidP="62AD0331">
            <w:pPr>
              <w:spacing w:before="120" w:after="120"/>
              <w:jc w:val="center"/>
            </w:pPr>
            <w:r w:rsidRPr="62AD0331">
              <w:rPr>
                <w:rFonts w:eastAsia="Arial"/>
                <w:szCs w:val="20"/>
              </w:rPr>
              <w:t>Program Manager VIII: Deputy Director for Implementation and Strategy provides strategic and legislative support for Part C program.</w:t>
            </w:r>
          </w:p>
        </w:tc>
        <w:tc>
          <w:tcPr>
            <w:tcW w:w="345" w:type="dxa"/>
            <w:tcBorders>
              <w:top w:val="nil"/>
              <w:left w:val="single" w:sz="8" w:space="0" w:color="auto"/>
              <w:bottom w:val="nil"/>
              <w:right w:val="nil"/>
            </w:tcBorders>
            <w:vAlign w:val="center"/>
          </w:tcPr>
          <w:p w14:paraId="5658C4E4" w14:textId="7EBC4EFF" w:rsidR="62AD0331" w:rsidRDefault="62AD0331"/>
        </w:tc>
      </w:tr>
      <w:tr w:rsidR="62AD0331" w14:paraId="011A4222" w14:textId="77777777" w:rsidTr="62AD0331">
        <w:trPr>
          <w:trHeight w:val="300"/>
        </w:trPr>
        <w:tc>
          <w:tcPr>
            <w:tcW w:w="1560" w:type="dxa"/>
            <w:vMerge/>
            <w:tcBorders>
              <w:left w:val="single" w:sz="0" w:space="0" w:color="auto"/>
              <w:right w:val="single" w:sz="0" w:space="0" w:color="auto"/>
            </w:tcBorders>
            <w:vAlign w:val="center"/>
          </w:tcPr>
          <w:p w14:paraId="0CDA53BA" w14:textId="77777777" w:rsidR="00AB127F" w:rsidRDefault="00AB127F"/>
        </w:tc>
        <w:tc>
          <w:tcPr>
            <w:tcW w:w="1200" w:type="dxa"/>
            <w:vMerge/>
            <w:tcBorders>
              <w:left w:val="nil"/>
              <w:bottom w:val="single" w:sz="0" w:space="0" w:color="auto"/>
              <w:right w:val="single" w:sz="0" w:space="0" w:color="auto"/>
            </w:tcBorders>
            <w:vAlign w:val="center"/>
          </w:tcPr>
          <w:p w14:paraId="1F036BB9" w14:textId="77777777" w:rsidR="00AB127F" w:rsidRDefault="00AB127F"/>
        </w:tc>
        <w:tc>
          <w:tcPr>
            <w:tcW w:w="1290" w:type="dxa"/>
            <w:vMerge/>
            <w:tcBorders>
              <w:left w:val="single" w:sz="0" w:space="0" w:color="auto"/>
              <w:bottom w:val="single" w:sz="0" w:space="0" w:color="auto"/>
              <w:right w:val="single" w:sz="0" w:space="0" w:color="auto"/>
            </w:tcBorders>
            <w:vAlign w:val="center"/>
          </w:tcPr>
          <w:p w14:paraId="68410F0A" w14:textId="77777777" w:rsidR="00AB127F" w:rsidRDefault="00AB127F"/>
        </w:tc>
        <w:tc>
          <w:tcPr>
            <w:tcW w:w="1755" w:type="dxa"/>
            <w:vMerge/>
            <w:tcBorders>
              <w:left w:val="single" w:sz="0" w:space="0" w:color="auto"/>
              <w:bottom w:val="single" w:sz="0" w:space="0" w:color="auto"/>
              <w:right w:val="single" w:sz="0" w:space="0" w:color="auto"/>
            </w:tcBorders>
            <w:vAlign w:val="center"/>
          </w:tcPr>
          <w:p w14:paraId="27522E68" w14:textId="77777777" w:rsidR="00AB127F" w:rsidRDefault="00AB127F"/>
        </w:tc>
        <w:tc>
          <w:tcPr>
            <w:tcW w:w="3210" w:type="dxa"/>
            <w:vMerge/>
            <w:tcBorders>
              <w:left w:val="single" w:sz="0" w:space="0" w:color="auto"/>
              <w:bottom w:val="single" w:sz="0" w:space="0" w:color="auto"/>
              <w:right w:val="single" w:sz="0" w:space="0" w:color="auto"/>
            </w:tcBorders>
            <w:vAlign w:val="center"/>
          </w:tcPr>
          <w:p w14:paraId="747868D7" w14:textId="77777777" w:rsidR="00AB127F" w:rsidRDefault="00AB127F"/>
        </w:tc>
        <w:tc>
          <w:tcPr>
            <w:tcW w:w="345" w:type="dxa"/>
            <w:tcBorders>
              <w:top w:val="nil"/>
              <w:left w:val="nil"/>
              <w:bottom w:val="nil"/>
              <w:right w:val="nil"/>
            </w:tcBorders>
            <w:vAlign w:val="center"/>
          </w:tcPr>
          <w:p w14:paraId="4F4E1213" w14:textId="20E793D0" w:rsidR="62AD0331" w:rsidRDefault="62AD0331"/>
        </w:tc>
      </w:tr>
      <w:tr w:rsidR="62AD0331" w14:paraId="40B35003" w14:textId="77777777" w:rsidTr="62AD0331">
        <w:trPr>
          <w:trHeight w:val="3225"/>
        </w:trPr>
        <w:tc>
          <w:tcPr>
            <w:tcW w:w="1560" w:type="dxa"/>
            <w:vMerge/>
            <w:tcBorders>
              <w:left w:val="single" w:sz="0" w:space="0" w:color="auto"/>
              <w:right w:val="single" w:sz="0" w:space="0" w:color="auto"/>
            </w:tcBorders>
            <w:vAlign w:val="center"/>
          </w:tcPr>
          <w:p w14:paraId="70D753DB" w14:textId="77777777" w:rsidR="00AB127F" w:rsidRDefault="00AB127F"/>
        </w:tc>
        <w:tc>
          <w:tcPr>
            <w:tcW w:w="1200" w:type="dxa"/>
            <w:vMerge w:val="restart"/>
            <w:tcBorders>
              <w:top w:val="nil"/>
              <w:left w:val="nil"/>
              <w:bottom w:val="single" w:sz="8" w:space="0" w:color="auto"/>
              <w:right w:val="single" w:sz="8" w:space="0" w:color="auto"/>
            </w:tcBorders>
            <w:tcMar>
              <w:left w:w="108" w:type="dxa"/>
              <w:right w:w="108" w:type="dxa"/>
            </w:tcMar>
          </w:tcPr>
          <w:p w14:paraId="49489B54" w14:textId="38BDA6F7" w:rsidR="62AD0331" w:rsidRDefault="62AD0331" w:rsidP="62AD0331">
            <w:pPr>
              <w:spacing w:before="120" w:after="120"/>
            </w:pPr>
            <w:r w:rsidRPr="62AD0331">
              <w:rPr>
                <w:rFonts w:eastAsia="Arial"/>
                <w:szCs w:val="20"/>
              </w:rPr>
              <w:t>1</w:t>
            </w:r>
          </w:p>
        </w:tc>
        <w:tc>
          <w:tcPr>
            <w:tcW w:w="1290" w:type="dxa"/>
            <w:vMerge w:val="restart"/>
            <w:tcBorders>
              <w:top w:val="nil"/>
              <w:left w:val="single" w:sz="8" w:space="0" w:color="auto"/>
              <w:bottom w:val="single" w:sz="8" w:space="0" w:color="auto"/>
              <w:right w:val="single" w:sz="8" w:space="0" w:color="auto"/>
            </w:tcBorders>
            <w:tcMar>
              <w:left w:w="108" w:type="dxa"/>
              <w:right w:w="108" w:type="dxa"/>
            </w:tcMar>
          </w:tcPr>
          <w:p w14:paraId="38752E45" w14:textId="0D2DDB0E" w:rsidR="62AD0331" w:rsidRDefault="62AD0331" w:rsidP="62AD0331">
            <w:pPr>
              <w:spacing w:before="120" w:after="120"/>
            </w:pPr>
            <w:r w:rsidRPr="62AD0331">
              <w:rPr>
                <w:rFonts w:eastAsia="Arial"/>
                <w:szCs w:val="20"/>
              </w:rPr>
              <w:t>35%</w:t>
            </w:r>
          </w:p>
        </w:tc>
        <w:tc>
          <w:tcPr>
            <w:tcW w:w="1755" w:type="dxa"/>
            <w:vMerge w:val="restart"/>
            <w:tcBorders>
              <w:top w:val="nil"/>
              <w:left w:val="single" w:sz="8" w:space="0" w:color="auto"/>
              <w:bottom w:val="single" w:sz="8" w:space="0" w:color="auto"/>
              <w:right w:val="single" w:sz="8" w:space="0" w:color="auto"/>
            </w:tcBorders>
            <w:tcMar>
              <w:left w:w="108" w:type="dxa"/>
              <w:right w:w="108" w:type="dxa"/>
            </w:tcMar>
          </w:tcPr>
          <w:p w14:paraId="17DFD2C5" w14:textId="56E44560" w:rsidR="62AD0331" w:rsidRDefault="62AD0331" w:rsidP="62AD0331">
            <w:pPr>
              <w:spacing w:before="120" w:after="120"/>
            </w:pPr>
            <w:r w:rsidRPr="62AD0331">
              <w:rPr>
                <w:rFonts w:eastAsia="Arial"/>
                <w:szCs w:val="20"/>
              </w:rPr>
              <w:t xml:space="preserve">$75,372.30 </w:t>
            </w:r>
          </w:p>
        </w:tc>
        <w:tc>
          <w:tcPr>
            <w:tcW w:w="3210" w:type="dxa"/>
            <w:vMerge w:val="restart"/>
            <w:tcBorders>
              <w:top w:val="nil"/>
              <w:left w:val="single" w:sz="8" w:space="0" w:color="auto"/>
              <w:bottom w:val="single" w:sz="8" w:space="0" w:color="auto"/>
              <w:right w:val="single" w:sz="8" w:space="0" w:color="auto"/>
            </w:tcBorders>
            <w:tcMar>
              <w:left w:w="108" w:type="dxa"/>
              <w:right w:w="108" w:type="dxa"/>
            </w:tcMar>
          </w:tcPr>
          <w:p w14:paraId="6A192729" w14:textId="4EB826C5" w:rsidR="62AD0331" w:rsidRDefault="62AD0331" w:rsidP="62AD0331">
            <w:pPr>
              <w:spacing w:before="120" w:after="120"/>
            </w:pPr>
            <w:r w:rsidRPr="62AD0331">
              <w:rPr>
                <w:rFonts w:eastAsia="Arial"/>
                <w:szCs w:val="20"/>
              </w:rPr>
              <w:t>Administrator IX: The Administrator IX provides strategic planning, management, and support to the EI program leadership; the Administrator IX advances EI programmatic goals in a variety of contexts.</w:t>
            </w:r>
          </w:p>
        </w:tc>
        <w:tc>
          <w:tcPr>
            <w:tcW w:w="345" w:type="dxa"/>
            <w:tcBorders>
              <w:top w:val="nil"/>
              <w:left w:val="single" w:sz="8" w:space="0" w:color="auto"/>
              <w:bottom w:val="nil"/>
              <w:right w:val="nil"/>
            </w:tcBorders>
            <w:vAlign w:val="center"/>
          </w:tcPr>
          <w:p w14:paraId="4736CE82" w14:textId="7900BD2A" w:rsidR="62AD0331" w:rsidRDefault="62AD0331"/>
        </w:tc>
      </w:tr>
      <w:tr w:rsidR="62AD0331" w14:paraId="21525DC2" w14:textId="77777777" w:rsidTr="62AD0331">
        <w:trPr>
          <w:trHeight w:val="300"/>
        </w:trPr>
        <w:tc>
          <w:tcPr>
            <w:tcW w:w="1560" w:type="dxa"/>
            <w:vMerge/>
            <w:tcBorders>
              <w:left w:val="single" w:sz="0" w:space="0" w:color="auto"/>
              <w:bottom w:val="single" w:sz="0" w:space="0" w:color="auto"/>
              <w:right w:val="single" w:sz="0" w:space="0" w:color="auto"/>
            </w:tcBorders>
            <w:vAlign w:val="center"/>
          </w:tcPr>
          <w:p w14:paraId="7E5FC66D" w14:textId="77777777" w:rsidR="00AB127F" w:rsidRDefault="00AB127F"/>
        </w:tc>
        <w:tc>
          <w:tcPr>
            <w:tcW w:w="1200" w:type="dxa"/>
            <w:vMerge/>
            <w:tcBorders>
              <w:left w:val="nil"/>
              <w:bottom w:val="single" w:sz="0" w:space="0" w:color="auto"/>
              <w:right w:val="single" w:sz="0" w:space="0" w:color="auto"/>
            </w:tcBorders>
            <w:vAlign w:val="center"/>
          </w:tcPr>
          <w:p w14:paraId="1C3E7230" w14:textId="77777777" w:rsidR="00AB127F" w:rsidRDefault="00AB127F"/>
        </w:tc>
        <w:tc>
          <w:tcPr>
            <w:tcW w:w="1290" w:type="dxa"/>
            <w:vMerge/>
            <w:tcBorders>
              <w:left w:val="single" w:sz="0" w:space="0" w:color="auto"/>
              <w:bottom w:val="single" w:sz="0" w:space="0" w:color="auto"/>
              <w:right w:val="single" w:sz="0" w:space="0" w:color="auto"/>
            </w:tcBorders>
            <w:vAlign w:val="center"/>
          </w:tcPr>
          <w:p w14:paraId="7BD661BF" w14:textId="77777777" w:rsidR="00AB127F" w:rsidRDefault="00AB127F"/>
        </w:tc>
        <w:tc>
          <w:tcPr>
            <w:tcW w:w="1755" w:type="dxa"/>
            <w:vMerge/>
            <w:tcBorders>
              <w:left w:val="single" w:sz="0" w:space="0" w:color="auto"/>
              <w:bottom w:val="single" w:sz="0" w:space="0" w:color="auto"/>
              <w:right w:val="single" w:sz="0" w:space="0" w:color="auto"/>
            </w:tcBorders>
            <w:vAlign w:val="center"/>
          </w:tcPr>
          <w:p w14:paraId="0B9C29F5" w14:textId="77777777" w:rsidR="00AB127F" w:rsidRDefault="00AB127F"/>
        </w:tc>
        <w:tc>
          <w:tcPr>
            <w:tcW w:w="3210" w:type="dxa"/>
            <w:vMerge/>
            <w:tcBorders>
              <w:left w:val="single" w:sz="0" w:space="0" w:color="auto"/>
              <w:bottom w:val="single" w:sz="0" w:space="0" w:color="auto"/>
              <w:right w:val="single" w:sz="0" w:space="0" w:color="auto"/>
            </w:tcBorders>
            <w:vAlign w:val="center"/>
          </w:tcPr>
          <w:p w14:paraId="27393F27" w14:textId="77777777" w:rsidR="00AB127F" w:rsidRDefault="00AB127F"/>
        </w:tc>
        <w:tc>
          <w:tcPr>
            <w:tcW w:w="345" w:type="dxa"/>
            <w:tcBorders>
              <w:top w:val="nil"/>
              <w:left w:val="nil"/>
              <w:bottom w:val="nil"/>
              <w:right w:val="nil"/>
            </w:tcBorders>
            <w:vAlign w:val="center"/>
          </w:tcPr>
          <w:p w14:paraId="3B490919" w14:textId="47240AF0" w:rsidR="62AD0331" w:rsidRDefault="62AD0331"/>
        </w:tc>
      </w:tr>
      <w:tr w:rsidR="62AD0331" w14:paraId="081D19D4" w14:textId="77777777" w:rsidTr="62AD0331">
        <w:trPr>
          <w:trHeight w:val="1305"/>
        </w:trPr>
        <w:tc>
          <w:tcPr>
            <w:tcW w:w="1560" w:type="dxa"/>
            <w:tcBorders>
              <w:top w:val="nil"/>
              <w:left w:val="single" w:sz="8" w:space="0" w:color="auto"/>
              <w:bottom w:val="single" w:sz="8" w:space="0" w:color="auto"/>
              <w:right w:val="single" w:sz="8" w:space="0" w:color="auto"/>
            </w:tcBorders>
            <w:tcMar>
              <w:left w:w="108" w:type="dxa"/>
              <w:right w:w="108" w:type="dxa"/>
            </w:tcMar>
          </w:tcPr>
          <w:p w14:paraId="7FBB4164" w14:textId="4C79C1F8" w:rsidR="62AD0331" w:rsidRDefault="62AD0331" w:rsidP="62AD0331">
            <w:pPr>
              <w:spacing w:before="120" w:after="120"/>
            </w:pPr>
            <w:r w:rsidRPr="62AD0331">
              <w:rPr>
                <w:rFonts w:eastAsia="Arial"/>
                <w:i/>
                <w:iCs/>
                <w:szCs w:val="20"/>
              </w:rPr>
              <w:t>Total Funded &lt;100% Part C Funds</w:t>
            </w:r>
          </w:p>
        </w:tc>
        <w:tc>
          <w:tcPr>
            <w:tcW w:w="1200" w:type="dxa"/>
            <w:tcBorders>
              <w:top w:val="nil"/>
              <w:left w:val="single" w:sz="8" w:space="0" w:color="auto"/>
              <w:bottom w:val="single" w:sz="8" w:space="0" w:color="auto"/>
              <w:right w:val="single" w:sz="8" w:space="0" w:color="auto"/>
            </w:tcBorders>
            <w:tcMar>
              <w:left w:w="108" w:type="dxa"/>
              <w:right w:w="108" w:type="dxa"/>
            </w:tcMar>
          </w:tcPr>
          <w:p w14:paraId="02B3FBC7" w14:textId="3FDEFBE1" w:rsidR="62AD0331" w:rsidRDefault="62AD0331" w:rsidP="62AD0331">
            <w:pPr>
              <w:spacing w:before="120" w:after="120"/>
            </w:pPr>
            <w:r w:rsidRPr="62AD0331">
              <w:rPr>
                <w:rFonts w:eastAsia="Arial"/>
                <w:i/>
                <w:iCs/>
                <w:szCs w:val="20"/>
              </w:rPr>
              <w:t>5</w:t>
            </w:r>
          </w:p>
        </w:tc>
        <w:tc>
          <w:tcPr>
            <w:tcW w:w="1290" w:type="dxa"/>
            <w:tcBorders>
              <w:top w:val="nil"/>
              <w:left w:val="single" w:sz="8" w:space="0" w:color="auto"/>
              <w:bottom w:val="single" w:sz="8" w:space="0" w:color="auto"/>
              <w:right w:val="single" w:sz="8" w:space="0" w:color="auto"/>
            </w:tcBorders>
            <w:tcMar>
              <w:left w:w="108" w:type="dxa"/>
              <w:right w:w="108" w:type="dxa"/>
            </w:tcMar>
          </w:tcPr>
          <w:p w14:paraId="1E8989E9" w14:textId="443321EB" w:rsidR="62AD0331" w:rsidRDefault="62AD0331" w:rsidP="62AD0331">
            <w:pPr>
              <w:spacing w:before="120" w:after="120"/>
            </w:pPr>
            <w:r w:rsidRPr="62AD0331">
              <w:rPr>
                <w:rFonts w:eastAsia="Arial"/>
                <w:i/>
                <w:iCs/>
                <w:szCs w:val="20"/>
              </w:rPr>
              <w:t>&lt;100%</w:t>
            </w:r>
          </w:p>
        </w:tc>
        <w:tc>
          <w:tcPr>
            <w:tcW w:w="1755" w:type="dxa"/>
            <w:tcBorders>
              <w:top w:val="nil"/>
              <w:left w:val="single" w:sz="8" w:space="0" w:color="auto"/>
              <w:bottom w:val="single" w:sz="8" w:space="0" w:color="auto"/>
              <w:right w:val="single" w:sz="8" w:space="0" w:color="auto"/>
            </w:tcBorders>
            <w:tcMar>
              <w:left w:w="108" w:type="dxa"/>
              <w:right w:w="108" w:type="dxa"/>
            </w:tcMar>
          </w:tcPr>
          <w:p w14:paraId="411AF616" w14:textId="191B6843" w:rsidR="62AD0331" w:rsidRDefault="62AD0331" w:rsidP="62AD0331">
            <w:pPr>
              <w:spacing w:before="120" w:after="120"/>
            </w:pPr>
            <w:r w:rsidRPr="62AD0331">
              <w:rPr>
                <w:rFonts w:eastAsia="Arial"/>
                <w:i/>
                <w:iCs/>
                <w:szCs w:val="20"/>
              </w:rPr>
              <w:t xml:space="preserve">$352,696.53 </w:t>
            </w:r>
          </w:p>
        </w:tc>
        <w:tc>
          <w:tcPr>
            <w:tcW w:w="3210" w:type="dxa"/>
            <w:tcBorders>
              <w:top w:val="nil"/>
              <w:left w:val="single" w:sz="8" w:space="0" w:color="auto"/>
              <w:bottom w:val="single" w:sz="8" w:space="0" w:color="auto"/>
              <w:right w:val="single" w:sz="8" w:space="0" w:color="auto"/>
            </w:tcBorders>
            <w:tcMar>
              <w:left w:w="108" w:type="dxa"/>
              <w:right w:w="108" w:type="dxa"/>
            </w:tcMar>
          </w:tcPr>
          <w:p w14:paraId="51204AB8" w14:textId="5A25F576" w:rsidR="62AD0331" w:rsidRDefault="62AD0331" w:rsidP="62AD0331">
            <w:pPr>
              <w:spacing w:before="120" w:after="120"/>
            </w:pPr>
            <w:r w:rsidRPr="62AD0331">
              <w:rPr>
                <w:rFonts w:eastAsia="Arial"/>
                <w:szCs w:val="20"/>
              </w:rPr>
              <w:t xml:space="preserve"> </w:t>
            </w:r>
          </w:p>
        </w:tc>
        <w:tc>
          <w:tcPr>
            <w:tcW w:w="345" w:type="dxa"/>
            <w:tcBorders>
              <w:top w:val="nil"/>
              <w:left w:val="single" w:sz="8" w:space="0" w:color="auto"/>
              <w:bottom w:val="nil"/>
              <w:right w:val="nil"/>
            </w:tcBorders>
            <w:vAlign w:val="center"/>
          </w:tcPr>
          <w:p w14:paraId="2D5565C7" w14:textId="145D9DFC" w:rsidR="62AD0331" w:rsidRDefault="62AD0331"/>
        </w:tc>
      </w:tr>
      <w:tr w:rsidR="62AD0331" w14:paraId="7CF4F5AB" w14:textId="77777777" w:rsidTr="62AD0331">
        <w:trPr>
          <w:trHeight w:val="795"/>
        </w:trPr>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2C491BAC" w14:textId="4AA72A32" w:rsidR="62AD0331" w:rsidRDefault="62AD0331" w:rsidP="62AD0331">
            <w:pPr>
              <w:spacing w:before="120" w:after="120"/>
            </w:pPr>
            <w:r w:rsidRPr="62AD0331">
              <w:rPr>
                <w:rFonts w:eastAsia="Arial"/>
                <w:b/>
                <w:bCs/>
                <w:szCs w:val="20"/>
              </w:rPr>
              <w:t>Subtotal of amount under A:</w:t>
            </w:r>
          </w:p>
        </w:tc>
        <w:tc>
          <w:tcPr>
            <w:tcW w:w="1200"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left w:w="108" w:type="dxa"/>
              <w:right w:w="108" w:type="dxa"/>
            </w:tcMar>
          </w:tcPr>
          <w:p w14:paraId="4747250A" w14:textId="1D3338F9" w:rsidR="62AD0331" w:rsidRDefault="62AD0331" w:rsidP="62AD0331">
            <w:pPr>
              <w:spacing w:before="120" w:after="120"/>
            </w:pPr>
            <w:r w:rsidRPr="62AD0331">
              <w:rPr>
                <w:rFonts w:eastAsia="Arial"/>
                <w:szCs w:val="20"/>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left w:w="108" w:type="dxa"/>
              <w:right w:w="108" w:type="dxa"/>
            </w:tcMar>
          </w:tcPr>
          <w:p w14:paraId="1AD51A6C" w14:textId="2EAE7221" w:rsidR="62AD0331" w:rsidRDefault="62AD0331" w:rsidP="62AD0331">
            <w:pPr>
              <w:spacing w:before="120" w:after="120"/>
            </w:pPr>
            <w:r w:rsidRPr="62AD0331">
              <w:rPr>
                <w:rFonts w:eastAsia="Arial"/>
                <w:szCs w:val="20"/>
              </w:rPr>
              <w:t xml:space="preserve"> </w:t>
            </w:r>
          </w:p>
        </w:tc>
        <w:tc>
          <w:tcPr>
            <w:tcW w:w="1755" w:type="dxa"/>
            <w:tcBorders>
              <w:top w:val="single" w:sz="8" w:space="0" w:color="auto"/>
              <w:left w:val="single" w:sz="8" w:space="0" w:color="auto"/>
              <w:bottom w:val="single" w:sz="8" w:space="0" w:color="auto"/>
              <w:right w:val="single" w:sz="8" w:space="0" w:color="auto"/>
            </w:tcBorders>
            <w:tcMar>
              <w:left w:w="108" w:type="dxa"/>
              <w:right w:w="108" w:type="dxa"/>
            </w:tcMar>
          </w:tcPr>
          <w:p w14:paraId="48D8F2D2" w14:textId="56C62B14" w:rsidR="62AD0331" w:rsidRDefault="62AD0331" w:rsidP="62AD0331">
            <w:pPr>
              <w:spacing w:before="120" w:after="120"/>
            </w:pPr>
            <w:r w:rsidRPr="62AD0331">
              <w:rPr>
                <w:rFonts w:eastAsia="Arial"/>
                <w:szCs w:val="20"/>
              </w:rPr>
              <w:t xml:space="preserve">$3,762,684.83 </w:t>
            </w:r>
          </w:p>
        </w:tc>
        <w:tc>
          <w:tcPr>
            <w:tcW w:w="3210"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left w:w="108" w:type="dxa"/>
              <w:right w:w="108" w:type="dxa"/>
            </w:tcMar>
          </w:tcPr>
          <w:p w14:paraId="6E102CC1" w14:textId="12E55B74" w:rsidR="62AD0331" w:rsidRDefault="62AD0331"/>
        </w:tc>
        <w:tc>
          <w:tcPr>
            <w:tcW w:w="345" w:type="dxa"/>
            <w:tcBorders>
              <w:top w:val="nil"/>
              <w:left w:val="single" w:sz="8" w:space="0" w:color="auto"/>
              <w:bottom w:val="nil"/>
              <w:right w:val="nil"/>
            </w:tcBorders>
            <w:vAlign w:val="center"/>
          </w:tcPr>
          <w:p w14:paraId="3CE9463F" w14:textId="4582F490" w:rsidR="62AD0331" w:rsidRDefault="62AD0331"/>
        </w:tc>
      </w:tr>
    </w:tbl>
    <w:p w14:paraId="03E7405D" w14:textId="2FD7B90E" w:rsidR="009B1938" w:rsidRPr="00EC7464" w:rsidRDefault="009B1938" w:rsidP="62AD0331">
      <w:pPr>
        <w:sectPr w:rsidR="009B1938" w:rsidRPr="00EC7464" w:rsidSect="009A0271">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docGrid w:linePitch="360"/>
        </w:sectPr>
      </w:pPr>
    </w:p>
    <w:p w14:paraId="03E7405F" w14:textId="77777777" w:rsidR="009B1938" w:rsidRPr="00EC7464" w:rsidRDefault="009B1938" w:rsidP="00A621E9">
      <w:pPr>
        <w:pStyle w:val="Heading2"/>
        <w:spacing w:after="120"/>
      </w:pPr>
      <w:r w:rsidRPr="00EC7464">
        <w:lastRenderedPageBreak/>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465F30D5" w14:textId="77777777" w:rsidR="00505150" w:rsidRDefault="00021E00" w:rsidP="00505150">
      <w:pPr>
        <w:ind w:left="403"/>
        <w:rPr>
          <w:spacing w:val="-2"/>
          <w:kern w:val="20"/>
          <w:szCs w:val="20"/>
        </w:rPr>
      </w:pPr>
      <w:r w:rsidRPr="00C4125D">
        <w:rPr>
          <w:spacing w:val="-2"/>
          <w:kern w:val="20"/>
        </w:rPr>
        <w:t>Some</w:t>
      </w:r>
      <w:r w:rsidR="00556E3A" w:rsidRPr="00C4125D">
        <w:rPr>
          <w:spacing w:val="-2"/>
          <w:kern w:val="20"/>
        </w:rPr>
        <w:t xml:space="preserve"> </w:t>
      </w:r>
      <w:r w:rsidR="00E23FC9" w:rsidRPr="00C4125D">
        <w:rPr>
          <w:spacing w:val="-2"/>
          <w:kern w:val="20"/>
        </w:rPr>
        <w:t>direct cost</w:t>
      </w:r>
      <w:r w:rsidR="00752FC3" w:rsidRPr="00C4125D">
        <w:rPr>
          <w:spacing w:val="-2"/>
          <w:kern w:val="20"/>
        </w:rPr>
        <w:t>s</w:t>
      </w:r>
      <w:r w:rsidR="00556E3A" w:rsidRPr="00C4125D">
        <w:rPr>
          <w:spacing w:val="-2"/>
          <w:kern w:val="20"/>
        </w:rPr>
        <w:t xml:space="preserve"> require prior approval. </w:t>
      </w:r>
      <w:r w:rsidR="0097202A" w:rsidRPr="00C4125D">
        <w:rPr>
          <w:spacing w:val="-2"/>
          <w:kern w:val="20"/>
        </w:rPr>
        <w:t>These items include using Federal IDEA Part C funds</w:t>
      </w:r>
      <w:r w:rsidR="00AE7A53" w:rsidRPr="00C4125D">
        <w:rPr>
          <w:spacing w:val="-2"/>
          <w:kern w:val="20"/>
        </w:rPr>
        <w:t xml:space="preserve"> to pay</w:t>
      </w:r>
      <w:r w:rsidR="0097202A" w:rsidRPr="00C4125D">
        <w:rPr>
          <w:spacing w:val="-2"/>
          <w:kern w:val="20"/>
        </w:rPr>
        <w:t xml:space="preserve"> for: </w:t>
      </w:r>
      <w:r w:rsidR="00F96B8E" w:rsidRPr="00C4125D">
        <w:rPr>
          <w:spacing w:val="-2"/>
          <w:kern w:val="20"/>
        </w:rPr>
        <w:t xml:space="preserve">(1) </w:t>
      </w:r>
      <w:r w:rsidR="0097202A" w:rsidRPr="00C4125D">
        <w:rPr>
          <w:spacing w:val="-2"/>
          <w:kern w:val="20"/>
        </w:rPr>
        <w:t xml:space="preserve">equipment; </w:t>
      </w:r>
      <w:r w:rsidR="00F96B8E" w:rsidRPr="00C4125D">
        <w:rPr>
          <w:spacing w:val="-2"/>
          <w:kern w:val="20"/>
        </w:rPr>
        <w:t xml:space="preserve">(2) </w:t>
      </w:r>
      <w:r w:rsidR="0097202A" w:rsidRPr="00C4125D">
        <w:rPr>
          <w:spacing w:val="-2"/>
          <w:kern w:val="20"/>
        </w:rPr>
        <w:t xml:space="preserve">participant support costs (such as training or travel costs); </w:t>
      </w:r>
      <w:r w:rsidR="00F96B8E" w:rsidRPr="00C4125D">
        <w:rPr>
          <w:spacing w:val="-2"/>
          <w:kern w:val="20"/>
        </w:rPr>
        <w:t xml:space="preserve">(3) </w:t>
      </w:r>
      <w:r w:rsidR="0097202A" w:rsidRPr="00C4125D">
        <w:rPr>
          <w:spacing w:val="-2"/>
          <w:kern w:val="20"/>
        </w:rPr>
        <w:t xml:space="preserve">construction or renovation of facilities; </w:t>
      </w:r>
      <w:r w:rsidR="002020A4" w:rsidRPr="00C4125D">
        <w:rPr>
          <w:spacing w:val="-2"/>
          <w:kern w:val="20"/>
        </w:rPr>
        <w:t>and</w:t>
      </w:r>
      <w:r w:rsidR="0097202A" w:rsidRPr="00C4125D">
        <w:rPr>
          <w:spacing w:val="-2"/>
          <w:kern w:val="20"/>
        </w:rPr>
        <w:t xml:space="preserve"> </w:t>
      </w:r>
      <w:r w:rsidR="00F96B8E" w:rsidRPr="00C4125D">
        <w:rPr>
          <w:spacing w:val="-2"/>
          <w:kern w:val="20"/>
        </w:rPr>
        <w:t xml:space="preserve">(4) </w:t>
      </w:r>
      <w:r w:rsidR="0097202A" w:rsidRPr="00C4125D">
        <w:rPr>
          <w:spacing w:val="-2"/>
          <w:kern w:val="20"/>
        </w:rPr>
        <w:t>rent, occupancy or space maintenance costs</w:t>
      </w:r>
      <w:r w:rsidRPr="00C4125D">
        <w:rPr>
          <w:spacing w:val="-2"/>
          <w:kern w:val="20"/>
        </w:rPr>
        <w:t>.</w:t>
      </w:r>
      <w:r w:rsidR="002020A4" w:rsidRPr="00C4125D">
        <w:rPr>
          <w:rStyle w:val="FootnoteReference"/>
          <w:spacing w:val="-2"/>
          <w:kern w:val="20"/>
        </w:rPr>
        <w:footnoteReference w:id="3"/>
      </w:r>
      <w:r w:rsidR="0097202A" w:rsidRPr="00C4125D">
        <w:rPr>
          <w:spacing w:val="-2"/>
          <w:kern w:val="20"/>
        </w:rPr>
        <w:t xml:space="preserve"> </w:t>
      </w:r>
      <w:r w:rsidR="000D313F" w:rsidRPr="0063776A">
        <w:rPr>
          <w:spacing w:val="-2"/>
          <w:kern w:val="20"/>
          <w:szCs w:val="20"/>
        </w:rPr>
        <w:t xml:space="preserve">States may find helpful </w:t>
      </w:r>
      <w:hyperlink r:id="rId22" w:history="1">
        <w:r w:rsidR="000D313F" w:rsidRPr="0063776A">
          <w:rPr>
            <w:rStyle w:val="Hyperlink"/>
            <w:i/>
            <w:iCs/>
            <w:spacing w:val="-2"/>
            <w:kern w:val="20"/>
            <w:szCs w:val="20"/>
          </w:rPr>
          <w:t>OSEP’s Guidance for Common Prior Approval Requests under IDEA Parts B and C</w:t>
        </w:r>
      </w:hyperlink>
      <w:r w:rsidR="000D313F" w:rsidRPr="0063776A">
        <w:rPr>
          <w:spacing w:val="-2"/>
          <w:kern w:val="20"/>
          <w:szCs w:val="20"/>
        </w:rPr>
        <w:t xml:space="preserve"> issued on </w:t>
      </w:r>
    </w:p>
    <w:p w14:paraId="74385230" w14:textId="53F3ADCB" w:rsidR="0063776A" w:rsidRPr="0063776A" w:rsidRDefault="000D313F" w:rsidP="0063776A">
      <w:pPr>
        <w:spacing w:after="120"/>
        <w:ind w:left="400"/>
        <w:rPr>
          <w:spacing w:val="-2"/>
          <w:kern w:val="20"/>
          <w:szCs w:val="20"/>
        </w:rPr>
      </w:pPr>
      <w:r w:rsidRPr="0063776A">
        <w:rPr>
          <w:spacing w:val="-2"/>
          <w:kern w:val="20"/>
          <w:szCs w:val="20"/>
        </w:rPr>
        <w:t xml:space="preserve">January 3, 2023. It provides a summary of the guidance and approval process for the most common prior approval cost categories. </w:t>
      </w:r>
      <w:r w:rsidR="0074747C" w:rsidRPr="00C4125D">
        <w:rPr>
          <w:spacing w:val="-2"/>
          <w:kern w:val="20"/>
        </w:rPr>
        <w:t xml:space="preserve">The </w:t>
      </w:r>
      <w:r w:rsidR="0030451C" w:rsidRPr="00C4125D">
        <w:rPr>
          <w:spacing w:val="-2"/>
          <w:kern w:val="20"/>
        </w:rPr>
        <w:t xml:space="preserve">October 2019 </w:t>
      </w:r>
      <w:hyperlink r:id="rId23" w:history="1">
        <w:r w:rsidR="00F52982" w:rsidRPr="007A3C93">
          <w:rPr>
            <w:rStyle w:val="Hyperlink"/>
            <w:i/>
            <w:iCs/>
            <w:spacing w:val="-2"/>
            <w:kern w:val="20"/>
            <w:szCs w:val="20"/>
          </w:rPr>
          <w:t>Frequently Asked Questions (</w:t>
        </w:r>
        <w:r w:rsidR="00757F16" w:rsidRPr="007A3C93">
          <w:rPr>
            <w:rStyle w:val="Hyperlink"/>
            <w:i/>
            <w:iCs/>
            <w:spacing w:val="-2"/>
            <w:kern w:val="20"/>
            <w:szCs w:val="20"/>
          </w:rPr>
          <w:t xml:space="preserve">2019 </w:t>
        </w:r>
        <w:r w:rsidR="00F52982" w:rsidRPr="007A3C93">
          <w:rPr>
            <w:rStyle w:val="Hyperlink"/>
            <w:i/>
            <w:iCs/>
            <w:spacing w:val="-2"/>
            <w:kern w:val="20"/>
            <w:szCs w:val="20"/>
          </w:rPr>
          <w:t>FAQs) Prior Approval – OSEP and RSA Formula Grants</w:t>
        </w:r>
      </w:hyperlink>
      <w:r w:rsidR="00B215E9" w:rsidRPr="00C4125D">
        <w:rPr>
          <w:rStyle w:val="FootnoteReference"/>
          <w:i/>
          <w:iCs/>
          <w:spacing w:val="-2"/>
          <w:kern w:val="20"/>
          <w:szCs w:val="20"/>
        </w:rPr>
        <w:footnoteReference w:id="4"/>
      </w:r>
      <w:r w:rsidR="007C7E63" w:rsidRPr="00C4125D">
        <w:rPr>
          <w:i/>
          <w:iCs/>
          <w:spacing w:val="-2"/>
          <w:kern w:val="20"/>
          <w:szCs w:val="20"/>
        </w:rPr>
        <w:t xml:space="preserve"> </w:t>
      </w:r>
      <w:r w:rsidR="002321AA" w:rsidRPr="00FF14A3">
        <w:rPr>
          <w:szCs w:val="20"/>
        </w:rPr>
        <w:t xml:space="preserve">details prior approval flexibilities for </w:t>
      </w:r>
      <w:r w:rsidR="002321AA" w:rsidRPr="00CC3169">
        <w:rPr>
          <w:b/>
          <w:bCs/>
          <w:szCs w:val="20"/>
        </w:rPr>
        <w:t>equipment and participant support costs</w:t>
      </w:r>
      <w:r w:rsidR="002321AA" w:rsidRPr="00D55E09">
        <w:rPr>
          <w:szCs w:val="20"/>
        </w:rPr>
        <w:t xml:space="preserve"> </w:t>
      </w:r>
      <w:bookmarkStart w:id="0" w:name="_Hlk30579688"/>
      <w:r w:rsidR="002321AA" w:rsidRPr="003439BD">
        <w:t xml:space="preserve">and </w:t>
      </w:r>
      <w:bookmarkEnd w:id="0"/>
      <w:r w:rsidR="002321AA">
        <w:t>describes the parameters under which OSEP has provided prior approval for a subset of these costs</w:t>
      </w:r>
      <w:r w:rsidR="002321AA" w:rsidRPr="00FF14A3">
        <w:rPr>
          <w:szCs w:val="20"/>
        </w:rPr>
        <w:t>.</w:t>
      </w:r>
      <w:r w:rsidR="008A1786" w:rsidRPr="00C4125D">
        <w:rPr>
          <w:spacing w:val="-2"/>
          <w:kern w:val="20"/>
          <w:szCs w:val="20"/>
        </w:rPr>
        <w:t xml:space="preserve"> </w:t>
      </w:r>
    </w:p>
    <w:p w14:paraId="03E74067" w14:textId="2B5EDC7A" w:rsidR="00D94667" w:rsidRPr="00C4125D" w:rsidRDefault="00F62635" w:rsidP="00721B1B">
      <w:pPr>
        <w:spacing w:after="120"/>
        <w:ind w:left="400"/>
        <w:rPr>
          <w:spacing w:val="-2"/>
          <w:kern w:val="20"/>
        </w:rPr>
      </w:pPr>
      <w:r w:rsidRPr="00C4125D">
        <w:rPr>
          <w:spacing w:val="-2"/>
          <w:kern w:val="20"/>
        </w:rPr>
        <w:t>For any activity or expense listed under Section III</w:t>
      </w:r>
      <w:r w:rsidR="00911062" w:rsidRPr="00C4125D">
        <w:rPr>
          <w:spacing w:val="-2"/>
          <w:kern w:val="20"/>
        </w:rPr>
        <w:t xml:space="preserve"> </w:t>
      </w:r>
      <w:r w:rsidRPr="00C4125D">
        <w:rPr>
          <w:spacing w:val="-2"/>
          <w:kern w:val="20"/>
        </w:rPr>
        <w:t>of this application</w:t>
      </w:r>
      <w:r w:rsidR="00F96B8E" w:rsidRPr="00C4125D">
        <w:rPr>
          <w:spacing w:val="-2"/>
          <w:kern w:val="20"/>
        </w:rPr>
        <w:t xml:space="preserve"> that</w:t>
      </w:r>
      <w:r w:rsidR="00523441" w:rsidRPr="00C4125D">
        <w:rPr>
          <w:spacing w:val="-2"/>
          <w:kern w:val="20"/>
        </w:rPr>
        <w:t xml:space="preserve"> </w:t>
      </w:r>
      <w:r w:rsidR="008F209C" w:rsidRPr="00C4125D">
        <w:rPr>
          <w:spacing w:val="-2"/>
          <w:kern w:val="20"/>
        </w:rPr>
        <w:t>is not covered by</w:t>
      </w:r>
      <w:r w:rsidR="002A0170" w:rsidRPr="00C4125D">
        <w:rPr>
          <w:spacing w:val="-2"/>
          <w:kern w:val="20"/>
        </w:rPr>
        <w:t xml:space="preserve"> the </w:t>
      </w:r>
      <w:r w:rsidR="00ED4F68">
        <w:rPr>
          <w:spacing w:val="-2"/>
          <w:kern w:val="20"/>
        </w:rPr>
        <w:t xml:space="preserve">2023 guidance and </w:t>
      </w:r>
      <w:r w:rsidR="00757F16" w:rsidRPr="00C4125D">
        <w:rPr>
          <w:spacing w:val="-2"/>
          <w:kern w:val="20"/>
        </w:rPr>
        <w:t xml:space="preserve">2019 </w:t>
      </w:r>
      <w:r w:rsidR="002A0170" w:rsidRPr="00C4125D">
        <w:rPr>
          <w:spacing w:val="-2"/>
          <w:kern w:val="20"/>
        </w:rPr>
        <w:t>FAQ</w:t>
      </w:r>
      <w:r w:rsidR="00757F16" w:rsidRPr="00C4125D">
        <w:rPr>
          <w:spacing w:val="-2"/>
          <w:kern w:val="20"/>
        </w:rPr>
        <w:t>s</w:t>
      </w:r>
      <w:r w:rsidR="002A0170" w:rsidRPr="00C4125D">
        <w:rPr>
          <w:spacing w:val="-2"/>
          <w:kern w:val="20"/>
        </w:rPr>
        <w:t xml:space="preserve"> and</w:t>
      </w:r>
      <w:r w:rsidR="0097202A" w:rsidRPr="00C4125D">
        <w:rPr>
          <w:spacing w:val="-2"/>
          <w:kern w:val="20"/>
        </w:rPr>
        <w:t xml:space="preserve"> requires OSEP prior approval, </w:t>
      </w:r>
      <w:r w:rsidR="00F96B8E" w:rsidRPr="00C4125D">
        <w:rPr>
          <w:spacing w:val="-2"/>
          <w:kern w:val="20"/>
        </w:rPr>
        <w:t>mark</w:t>
      </w:r>
      <w:r w:rsidR="00F26306" w:rsidRPr="00C4125D">
        <w:rPr>
          <w:spacing w:val="-2"/>
          <w:kern w:val="20"/>
        </w:rPr>
        <w:t xml:space="preserve"> an “X” </w:t>
      </w:r>
      <w:r w:rsidR="00D94667" w:rsidRPr="00C4125D">
        <w:rPr>
          <w:spacing w:val="-2"/>
          <w:kern w:val="20"/>
        </w:rPr>
        <w:t xml:space="preserve">in the </w:t>
      </w:r>
      <w:r w:rsidR="0097202A" w:rsidRPr="00C4125D">
        <w:rPr>
          <w:spacing w:val="-2"/>
          <w:kern w:val="20"/>
        </w:rPr>
        <w:t>chart below</w:t>
      </w:r>
      <w:r w:rsidR="00D33876">
        <w:rPr>
          <w:spacing w:val="-2"/>
          <w:kern w:val="20"/>
        </w:rPr>
        <w:t xml:space="preserve"> and submit supporting documentation. </w:t>
      </w:r>
      <w:r w:rsidR="00F96B8E" w:rsidRPr="00C4125D">
        <w:rPr>
          <w:spacing w:val="-2"/>
          <w:kern w:val="20"/>
        </w:rPr>
        <w:t xml:space="preserve">  </w:t>
      </w:r>
    </w:p>
    <w:p w14:paraId="03E74069" w14:textId="713CF714" w:rsidR="00556E3A" w:rsidRPr="00EC7464" w:rsidRDefault="445E0448" w:rsidP="00556E3A">
      <w:pPr>
        <w:spacing w:after="120"/>
        <w:ind w:left="400"/>
        <w:rPr>
          <w:i/>
          <w:iCs/>
          <w:kern w:val="2"/>
          <w:sz w:val="16"/>
        </w:rPr>
      </w:pPr>
      <w:r w:rsidRPr="62AD0331">
        <w:rPr>
          <w:b/>
          <w:bCs/>
          <w:kern w:val="2"/>
        </w:rPr>
        <w:t>Approval</w:t>
      </w:r>
      <w:r w:rsidR="6CB56A1D" w:rsidRPr="62AD0331">
        <w:rPr>
          <w:b/>
          <w:bCs/>
          <w:kern w:val="2"/>
        </w:rPr>
        <w:t xml:space="preserve"> of the State’s </w:t>
      </w:r>
      <w:r w:rsidRPr="62AD0331">
        <w:rPr>
          <w:b/>
          <w:bCs/>
          <w:kern w:val="2"/>
        </w:rPr>
        <w:t xml:space="preserve">FFY </w:t>
      </w:r>
      <w:r w:rsidR="041DF4F1" w:rsidRPr="62AD0331">
        <w:rPr>
          <w:b/>
          <w:bCs/>
          <w:kern w:val="2"/>
        </w:rPr>
        <w:t>2024</w:t>
      </w:r>
      <w:r w:rsidR="3FDC747C" w:rsidRPr="62AD0331">
        <w:rPr>
          <w:b/>
          <w:bCs/>
          <w:kern w:val="2"/>
        </w:rPr>
        <w:t xml:space="preserve"> </w:t>
      </w:r>
      <w:r w:rsidR="6CB56A1D" w:rsidRPr="62AD0331">
        <w:rPr>
          <w:b/>
          <w:bCs/>
          <w:kern w:val="2"/>
        </w:rPr>
        <w:t xml:space="preserve">application does not constitute </w:t>
      </w:r>
      <w:r w:rsidRPr="62AD0331">
        <w:rPr>
          <w:b/>
          <w:bCs/>
          <w:kern w:val="2"/>
        </w:rPr>
        <w:t xml:space="preserve">OSEP’s </w:t>
      </w:r>
      <w:r w:rsidR="6CB56A1D" w:rsidRPr="62AD0331">
        <w:rPr>
          <w:b/>
          <w:bCs/>
          <w:kern w:val="2"/>
        </w:rPr>
        <w:t>approval of these expenses</w:t>
      </w:r>
      <w:r w:rsidR="73C662DD" w:rsidRPr="62AD0331">
        <w:rPr>
          <w:b/>
          <w:bCs/>
          <w:kern w:val="2"/>
        </w:rPr>
        <w:t xml:space="preserve"> unless specifically referenced</w:t>
      </w:r>
      <w:r w:rsidR="6CB56A1D" w:rsidRPr="62AD0331">
        <w:rPr>
          <w:b/>
          <w:bCs/>
          <w:kern w:val="2"/>
        </w:rPr>
        <w:t xml:space="preserve">. </w:t>
      </w:r>
      <w:r w:rsidR="28B614D0" w:rsidRPr="62AD0331">
        <w:rPr>
          <w:b/>
          <w:bCs/>
          <w:kern w:val="2"/>
        </w:rPr>
        <w:t xml:space="preserve"> </w:t>
      </w:r>
      <w:r w:rsidR="53DED1BB" w:rsidRPr="62AD0331">
        <w:rPr>
          <w:i/>
          <w:iCs/>
          <w:kern w:val="2"/>
          <w:sz w:val="16"/>
          <w:szCs w:val="16"/>
        </w:rPr>
        <w:t xml:space="preserve">(Add </w:t>
      </w:r>
      <w:r w:rsidR="0029B60A" w:rsidRPr="62AD0331">
        <w:rPr>
          <w:i/>
          <w:iCs/>
          <w:kern w:val="2"/>
          <w:sz w:val="16"/>
          <w:szCs w:val="16"/>
        </w:rPr>
        <w:t>rows as needed</w:t>
      </w:r>
      <w:r w:rsidR="53DED1BB" w:rsidRPr="62AD0331">
        <w:rPr>
          <w:i/>
          <w:iCs/>
          <w:kern w:val="2"/>
          <w:sz w:val="16"/>
          <w:szCs w:val="16"/>
        </w:rPr>
        <w:t>)</w:t>
      </w:r>
    </w:p>
    <w:tbl>
      <w:tblPr>
        <w:tblW w:w="0" w:type="auto"/>
        <w:tblLayout w:type="fixed"/>
        <w:tblLook w:val="04A0" w:firstRow="1" w:lastRow="0" w:firstColumn="1" w:lastColumn="0" w:noHBand="0" w:noVBand="1"/>
      </w:tblPr>
      <w:tblGrid>
        <w:gridCol w:w="1840"/>
        <w:gridCol w:w="1440"/>
        <w:gridCol w:w="4720"/>
        <w:gridCol w:w="1360"/>
      </w:tblGrid>
      <w:tr w:rsidR="62AD0331" w14:paraId="4629CAF2" w14:textId="77777777" w:rsidTr="62AD0331">
        <w:trPr>
          <w:trHeight w:val="585"/>
        </w:trPr>
        <w:tc>
          <w:tcPr>
            <w:tcW w:w="18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7F4586F7" w14:textId="15C85B9C" w:rsidR="62AD0331" w:rsidRDefault="62AD0331" w:rsidP="62AD0331">
            <w:pPr>
              <w:jc w:val="center"/>
            </w:pPr>
            <w:r w:rsidRPr="62AD0331">
              <w:rPr>
                <w:rFonts w:eastAsia="Arial"/>
                <w:b/>
                <w:bCs/>
                <w:color w:val="000000" w:themeColor="text1"/>
                <w:szCs w:val="20"/>
              </w:rPr>
              <w:t>Major Activity/ Expense</w:t>
            </w:r>
          </w:p>
        </w:tc>
        <w:tc>
          <w:tcPr>
            <w:tcW w:w="14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717E6071" w14:textId="3EB6A357" w:rsidR="62AD0331" w:rsidRDefault="62AD0331" w:rsidP="62AD0331">
            <w:pPr>
              <w:jc w:val="center"/>
            </w:pPr>
            <w:r w:rsidRPr="62AD0331">
              <w:rPr>
                <w:rFonts w:eastAsia="Arial"/>
                <w:b/>
                <w:bCs/>
                <w:color w:val="000000" w:themeColor="text1"/>
                <w:szCs w:val="20"/>
              </w:rPr>
              <w:t>Part C Funds to be Spent</w:t>
            </w:r>
          </w:p>
        </w:tc>
        <w:tc>
          <w:tcPr>
            <w:tcW w:w="47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DC9132C" w14:textId="425F4299" w:rsidR="62AD0331" w:rsidRDefault="62AD0331" w:rsidP="62AD0331">
            <w:pPr>
              <w:jc w:val="center"/>
            </w:pPr>
            <w:r w:rsidRPr="62AD0331">
              <w:rPr>
                <w:rFonts w:eastAsia="Arial"/>
                <w:b/>
                <w:bCs/>
                <w:color w:val="000000" w:themeColor="text1"/>
                <w:szCs w:val="20"/>
              </w:rPr>
              <w:t>Description of Activities/Expenses (include whether it is for the Lead Agency or SICC)</w:t>
            </w:r>
          </w:p>
        </w:tc>
        <w:tc>
          <w:tcPr>
            <w:tcW w:w="13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59290BFC" w14:textId="2565FD7F" w:rsidR="62AD0331" w:rsidRDefault="62AD0331" w:rsidP="62AD0331">
            <w:pPr>
              <w:jc w:val="center"/>
            </w:pPr>
            <w:r w:rsidRPr="62AD0331">
              <w:rPr>
                <w:rFonts w:eastAsia="Arial"/>
                <w:b/>
                <w:bCs/>
                <w:color w:val="000000" w:themeColor="text1"/>
                <w:szCs w:val="20"/>
              </w:rPr>
              <w:t>Prior Approval Needed</w:t>
            </w:r>
          </w:p>
        </w:tc>
      </w:tr>
      <w:tr w:rsidR="62AD0331" w14:paraId="3CC310D4" w14:textId="77777777" w:rsidTr="62AD0331">
        <w:trPr>
          <w:trHeight w:val="870"/>
        </w:trPr>
        <w:tc>
          <w:tcPr>
            <w:tcW w:w="1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B650BD" w14:textId="539D684B" w:rsidR="62AD0331" w:rsidRDefault="62AD0331" w:rsidP="62AD0331">
            <w:pPr>
              <w:jc w:val="center"/>
            </w:pPr>
            <w:r w:rsidRPr="62AD0331">
              <w:rPr>
                <w:rFonts w:eastAsia="Arial"/>
                <w:color w:val="000000" w:themeColor="text1"/>
                <w:szCs w:val="20"/>
              </w:rPr>
              <w:t xml:space="preserve">NCSEAM Impact on Families survey </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DE4248" w14:textId="1D0E7210" w:rsidR="62AD0331" w:rsidRDefault="62AD0331" w:rsidP="62AD0331">
            <w:pPr>
              <w:jc w:val="right"/>
            </w:pPr>
            <w:r w:rsidRPr="62AD0331">
              <w:rPr>
                <w:rFonts w:eastAsia="Arial"/>
                <w:color w:val="000000" w:themeColor="text1"/>
                <w:szCs w:val="20"/>
              </w:rPr>
              <w:t xml:space="preserve">$150,000 </w:t>
            </w:r>
          </w:p>
        </w:tc>
        <w:tc>
          <w:tcPr>
            <w:tcW w:w="4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CEEF54" w14:textId="7C77B8FD" w:rsidR="62AD0331" w:rsidRDefault="62AD0331" w:rsidP="62AD0331">
            <w:r w:rsidRPr="62AD0331">
              <w:rPr>
                <w:rFonts w:eastAsia="Arial"/>
                <w:color w:val="000000" w:themeColor="text1"/>
                <w:szCs w:val="20"/>
              </w:rPr>
              <w:t>Funds for the design, dissemination, and analysis of the NCSEAM family survey which serves as the data source for Indicator 4 data.</w:t>
            </w:r>
          </w:p>
        </w:tc>
        <w:tc>
          <w:tcPr>
            <w:tcW w:w="13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E0644A" w14:textId="4ACFE3C9" w:rsidR="62AD0331" w:rsidRDefault="62AD0331" w:rsidP="62AD0331">
            <w:r w:rsidRPr="62AD0331">
              <w:rPr>
                <w:rFonts w:eastAsia="Arial"/>
                <w:color w:val="000000" w:themeColor="text1"/>
                <w:szCs w:val="20"/>
              </w:rPr>
              <w:t xml:space="preserve"> </w:t>
            </w:r>
          </w:p>
        </w:tc>
      </w:tr>
      <w:tr w:rsidR="62AD0331" w14:paraId="24662BBD" w14:textId="77777777" w:rsidTr="62AD0331">
        <w:trPr>
          <w:trHeight w:val="2145"/>
        </w:trPr>
        <w:tc>
          <w:tcPr>
            <w:tcW w:w="1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A5C34E" w14:textId="623EF97E" w:rsidR="62AD0331" w:rsidRDefault="62AD0331" w:rsidP="62AD0331">
            <w:pPr>
              <w:jc w:val="center"/>
            </w:pPr>
            <w:r w:rsidRPr="62AD0331">
              <w:rPr>
                <w:rFonts w:eastAsia="Arial"/>
                <w:color w:val="000000" w:themeColor="text1"/>
                <w:szCs w:val="20"/>
              </w:rPr>
              <w:lastRenderedPageBreak/>
              <w:t>Comprehensive System of Personnel Development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E25B76" w14:textId="204A830D" w:rsidR="62AD0331" w:rsidRDefault="62AD0331" w:rsidP="62AD0331">
            <w:pPr>
              <w:jc w:val="right"/>
            </w:pPr>
            <w:r w:rsidRPr="62AD0331">
              <w:rPr>
                <w:rFonts w:eastAsia="Arial"/>
                <w:color w:val="000000" w:themeColor="text1"/>
                <w:szCs w:val="20"/>
              </w:rPr>
              <w:t xml:space="preserve">$150,000 </w:t>
            </w:r>
          </w:p>
        </w:tc>
        <w:tc>
          <w:tcPr>
            <w:tcW w:w="4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48CF90" w14:textId="21C64616" w:rsidR="62AD0331" w:rsidRDefault="62AD0331" w:rsidP="62AD0331">
            <w:r w:rsidRPr="62AD0331">
              <w:rPr>
                <w:rFonts w:eastAsia="Arial"/>
                <w:color w:val="000000" w:themeColor="text1"/>
                <w:szCs w:val="20"/>
              </w:rPr>
              <w:t>These funds are used to operate the Lead Agency’s professional development unit, including development and delivery of personnel preparation and ongoing professional development related to the delivery of high-quality Part C services, project management consultants to support the timely revision of the Lead Agency’s personnel standards, and access to peer-reviewed journals and professional development opportunities for Lead Agency staff and EIS programs. (The Lead Agency has unexpended funds from FFY22 that will remain available for this major area)</w:t>
            </w:r>
          </w:p>
        </w:tc>
        <w:tc>
          <w:tcPr>
            <w:tcW w:w="13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A9784D" w14:textId="68F24670" w:rsidR="62AD0331" w:rsidRDefault="62AD0331" w:rsidP="62AD0331">
            <w:r w:rsidRPr="62AD0331">
              <w:rPr>
                <w:rFonts w:eastAsia="Arial"/>
                <w:color w:val="000000" w:themeColor="text1"/>
                <w:szCs w:val="20"/>
              </w:rPr>
              <w:t xml:space="preserve"> </w:t>
            </w:r>
          </w:p>
        </w:tc>
      </w:tr>
      <w:tr w:rsidR="62AD0331" w14:paraId="0680B43D" w14:textId="77777777" w:rsidTr="62AD0331">
        <w:trPr>
          <w:trHeight w:val="2505"/>
        </w:trPr>
        <w:tc>
          <w:tcPr>
            <w:tcW w:w="1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4B7A7C" w14:textId="3452C300" w:rsidR="62AD0331" w:rsidRDefault="62AD0331" w:rsidP="62AD0331">
            <w:pPr>
              <w:jc w:val="center"/>
            </w:pPr>
            <w:r w:rsidRPr="62AD0331">
              <w:rPr>
                <w:rFonts w:eastAsia="Arial"/>
                <w:color w:val="000000" w:themeColor="text1"/>
                <w:szCs w:val="20"/>
              </w:rPr>
              <w:t>Evaluation, Assessment, &amp; the Provision of Culturally and Linguistically Appropriate Services</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A7E3E4" w14:textId="64F94957" w:rsidR="62AD0331" w:rsidRDefault="62AD0331" w:rsidP="62AD0331">
            <w:pPr>
              <w:jc w:val="right"/>
            </w:pPr>
            <w:r w:rsidRPr="62AD0331">
              <w:rPr>
                <w:rFonts w:eastAsia="Arial"/>
                <w:color w:val="000000" w:themeColor="text1"/>
                <w:szCs w:val="20"/>
              </w:rPr>
              <w:t xml:space="preserve">$763,500 </w:t>
            </w:r>
          </w:p>
        </w:tc>
        <w:tc>
          <w:tcPr>
            <w:tcW w:w="4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F649FA" w14:textId="65551B9C" w:rsidR="62AD0331" w:rsidRDefault="62AD0331" w:rsidP="62AD0331">
            <w:r w:rsidRPr="62AD0331">
              <w:rPr>
                <w:rFonts w:eastAsia="Arial"/>
                <w:color w:val="000000" w:themeColor="text1"/>
                <w:szCs w:val="20"/>
              </w:rPr>
              <w:t>These funds are used to support the evaluation and assessment of infants and toddlers and the provision of culturally and linguistically appropriate services. Examples of expenses may include purchasing scoring protocols for EIS programs, interpretation services for families whose primary spoken language is different from their service providers, training in American Sign Language for families of infants and toddlers who are deaf/hard-of-hearing, access to assistive technology devices, and funding for nonbillable activities that are crucial to providing culturally appropriate services.</w:t>
            </w:r>
          </w:p>
        </w:tc>
        <w:tc>
          <w:tcPr>
            <w:tcW w:w="13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4BF742" w14:textId="1BB6CA4A" w:rsidR="62AD0331" w:rsidRDefault="62AD0331" w:rsidP="62AD0331">
            <w:r w:rsidRPr="62AD0331">
              <w:rPr>
                <w:rFonts w:eastAsia="Arial"/>
                <w:color w:val="000000" w:themeColor="text1"/>
                <w:szCs w:val="20"/>
              </w:rPr>
              <w:t xml:space="preserve"> </w:t>
            </w:r>
          </w:p>
        </w:tc>
      </w:tr>
      <w:tr w:rsidR="62AD0331" w14:paraId="184C0B76" w14:textId="77777777" w:rsidTr="62AD0331">
        <w:trPr>
          <w:trHeight w:val="3150"/>
        </w:trPr>
        <w:tc>
          <w:tcPr>
            <w:tcW w:w="1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552AE3" w14:textId="6CB48B9B" w:rsidR="62AD0331" w:rsidRDefault="62AD0331" w:rsidP="62AD0331">
            <w:pPr>
              <w:jc w:val="center"/>
            </w:pPr>
            <w:r w:rsidRPr="62AD0331">
              <w:rPr>
                <w:rFonts w:eastAsia="Arial"/>
                <w:color w:val="000000" w:themeColor="text1"/>
                <w:szCs w:val="20"/>
              </w:rPr>
              <w:t>Public Awareness Program</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133EBC" w14:textId="4E916BFB" w:rsidR="62AD0331" w:rsidRDefault="62AD0331" w:rsidP="62AD0331">
            <w:pPr>
              <w:jc w:val="right"/>
            </w:pPr>
            <w:r w:rsidRPr="62AD0331">
              <w:rPr>
                <w:rFonts w:eastAsia="Arial"/>
                <w:color w:val="000000" w:themeColor="text1"/>
                <w:szCs w:val="20"/>
              </w:rPr>
              <w:t xml:space="preserve">$512,067 </w:t>
            </w:r>
          </w:p>
        </w:tc>
        <w:tc>
          <w:tcPr>
            <w:tcW w:w="4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A68837" w14:textId="35ACD18C" w:rsidR="62AD0331" w:rsidRDefault="62AD0331" w:rsidP="62AD0331">
            <w:r w:rsidRPr="62AD0331">
              <w:rPr>
                <w:rFonts w:eastAsia="Arial"/>
                <w:color w:val="000000" w:themeColor="text1"/>
                <w:szCs w:val="20"/>
              </w:rPr>
              <w:t>These funds are used to support a public awareness program that provides information to the parents of infants and toddlers across the Commonwealth. Examples of activities may include developing outreach materials designed to educate parents about the Part C system and their rights, connecting families or other referral sources with EIS programs operating in their town or municipality, serving as the Lead Agency’s Central Directory, and technical assistance and education for EIS programs and families to access private insurance funding for services designed to remediate the symptoms of autism.</w:t>
            </w:r>
          </w:p>
        </w:tc>
        <w:tc>
          <w:tcPr>
            <w:tcW w:w="13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3BB19B" w14:textId="7C5EF62C" w:rsidR="62AD0331" w:rsidRDefault="62AD0331" w:rsidP="62AD0331">
            <w:r w:rsidRPr="62AD0331">
              <w:rPr>
                <w:rFonts w:eastAsia="Arial"/>
                <w:color w:val="000000" w:themeColor="text1"/>
                <w:szCs w:val="20"/>
              </w:rPr>
              <w:t xml:space="preserve"> </w:t>
            </w:r>
          </w:p>
        </w:tc>
      </w:tr>
      <w:tr w:rsidR="62AD0331" w14:paraId="5399DD9B" w14:textId="77777777" w:rsidTr="62AD0331">
        <w:trPr>
          <w:trHeight w:val="4200"/>
        </w:trPr>
        <w:tc>
          <w:tcPr>
            <w:tcW w:w="1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A7FCD" w14:textId="6478D64D" w:rsidR="62AD0331" w:rsidRDefault="62AD0331" w:rsidP="62AD0331">
            <w:pPr>
              <w:jc w:val="center"/>
            </w:pPr>
            <w:r w:rsidRPr="62AD0331">
              <w:rPr>
                <w:rFonts w:eastAsia="Arial"/>
                <w:color w:val="000000" w:themeColor="text1"/>
                <w:szCs w:val="20"/>
              </w:rPr>
              <w:lastRenderedPageBreak/>
              <w:t>Maintenance of Data System</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79F651" w14:textId="2FB0D966" w:rsidR="62AD0331" w:rsidRDefault="62AD0331" w:rsidP="62AD0331">
            <w:pPr>
              <w:jc w:val="right"/>
            </w:pPr>
            <w:r w:rsidRPr="62AD0331">
              <w:rPr>
                <w:rFonts w:eastAsia="Arial"/>
                <w:color w:val="000000" w:themeColor="text1"/>
                <w:szCs w:val="20"/>
              </w:rPr>
              <w:t>$1,544,599</w:t>
            </w:r>
          </w:p>
        </w:tc>
        <w:tc>
          <w:tcPr>
            <w:tcW w:w="4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688D6E" w14:textId="60C565CC" w:rsidR="62AD0331" w:rsidRDefault="62AD0331" w:rsidP="62AD0331">
            <w:r w:rsidRPr="62AD0331">
              <w:rPr>
                <w:rFonts w:eastAsia="Arial"/>
                <w:color w:val="000000" w:themeColor="text1"/>
                <w:szCs w:val="20"/>
              </w:rPr>
              <w:t>The Lead Agency is currently updating its state database. The Lead Agency is requesting prior approval for $1,051,051 to fund the ongoing maintenance of a database that exceeds $5000. This database is a web-based proprietary system that collects data for APR Indicators 1, 2, 3, 5, 6, 7, 8, and 11. Additionally, this database collects charge claims for services paid by the Lead Agency and information about other payor sources to assist the Lead Agency in its fiscal monitoring. Other expenses include project management consultants to ensure that the data system upgrade remains on-time and on-budget, retaining subject matter experts, and funds for financial auditors.</w:t>
            </w:r>
          </w:p>
        </w:tc>
        <w:tc>
          <w:tcPr>
            <w:tcW w:w="13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268074" w14:textId="134C115D" w:rsidR="62AD0331" w:rsidRDefault="62AD0331" w:rsidP="62AD0331">
            <w:r w:rsidRPr="62AD0331">
              <w:rPr>
                <w:rFonts w:eastAsia="Arial"/>
                <w:color w:val="000000" w:themeColor="text1"/>
                <w:szCs w:val="20"/>
              </w:rPr>
              <w:t>X</w:t>
            </w:r>
          </w:p>
        </w:tc>
      </w:tr>
      <w:tr w:rsidR="62AD0331" w14:paraId="3C0524F0" w14:textId="77777777" w:rsidTr="62AD0331">
        <w:trPr>
          <w:trHeight w:val="1005"/>
        </w:trPr>
        <w:tc>
          <w:tcPr>
            <w:tcW w:w="1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671D66" w14:textId="62C6E381" w:rsidR="62AD0331" w:rsidRDefault="62AD0331" w:rsidP="62AD0331">
            <w:pPr>
              <w:jc w:val="center"/>
            </w:pPr>
            <w:r w:rsidRPr="62AD0331">
              <w:rPr>
                <w:rFonts w:eastAsia="Arial"/>
                <w:color w:val="000000" w:themeColor="text1"/>
                <w:szCs w:val="20"/>
              </w:rPr>
              <w:t>ICC Meeting Costs</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A9DCD6" w14:textId="0463D2B0" w:rsidR="62AD0331" w:rsidRDefault="62AD0331" w:rsidP="62AD0331">
            <w:pPr>
              <w:jc w:val="right"/>
            </w:pPr>
            <w:r w:rsidRPr="62AD0331">
              <w:rPr>
                <w:rFonts w:eastAsia="Arial"/>
                <w:color w:val="000000" w:themeColor="text1"/>
                <w:szCs w:val="20"/>
              </w:rPr>
              <w:t xml:space="preserve">$15,000 </w:t>
            </w:r>
          </w:p>
        </w:tc>
        <w:tc>
          <w:tcPr>
            <w:tcW w:w="4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9B5364" w14:textId="00D7B57D" w:rsidR="62AD0331" w:rsidRDefault="62AD0331" w:rsidP="62AD0331">
            <w:r w:rsidRPr="62AD0331">
              <w:rPr>
                <w:rFonts w:eastAsia="Arial"/>
                <w:color w:val="000000" w:themeColor="text1"/>
                <w:szCs w:val="20"/>
              </w:rPr>
              <w:t>Funds to offset the costs of travel for members and to retain consultants to study issues related to the delivery of effective Part C Services</w:t>
            </w:r>
          </w:p>
        </w:tc>
        <w:tc>
          <w:tcPr>
            <w:tcW w:w="13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E96B46" w14:textId="69910CF7" w:rsidR="62AD0331" w:rsidRDefault="62AD0331" w:rsidP="62AD0331">
            <w:r w:rsidRPr="62AD0331">
              <w:rPr>
                <w:rFonts w:eastAsia="Arial"/>
                <w:color w:val="000000" w:themeColor="text1"/>
                <w:szCs w:val="20"/>
              </w:rPr>
              <w:t xml:space="preserve"> </w:t>
            </w:r>
          </w:p>
        </w:tc>
      </w:tr>
      <w:tr w:rsidR="62AD0331" w14:paraId="5023BD7F" w14:textId="77777777" w:rsidTr="62AD0331">
        <w:trPr>
          <w:trHeight w:val="945"/>
        </w:trPr>
        <w:tc>
          <w:tcPr>
            <w:tcW w:w="1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04D86D" w14:textId="2E7CD1D6" w:rsidR="62AD0331" w:rsidRDefault="62AD0331" w:rsidP="62AD0331">
            <w:pPr>
              <w:jc w:val="center"/>
            </w:pPr>
            <w:r w:rsidRPr="62AD0331">
              <w:rPr>
                <w:rFonts w:eastAsia="Arial"/>
                <w:color w:val="000000" w:themeColor="text1"/>
                <w:szCs w:val="20"/>
              </w:rPr>
              <w:t>IT equipment for Lead Agency Staff</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896A73" w14:textId="2F0BD37F" w:rsidR="62AD0331" w:rsidRDefault="62AD0331" w:rsidP="62AD0331">
            <w:pPr>
              <w:jc w:val="right"/>
            </w:pPr>
            <w:r w:rsidRPr="62AD0331">
              <w:rPr>
                <w:rFonts w:eastAsia="Arial"/>
                <w:color w:val="000000" w:themeColor="text1"/>
                <w:szCs w:val="20"/>
              </w:rPr>
              <w:t xml:space="preserve">$20,178 </w:t>
            </w:r>
          </w:p>
        </w:tc>
        <w:tc>
          <w:tcPr>
            <w:tcW w:w="4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107119" w14:textId="535917C2" w:rsidR="62AD0331" w:rsidRDefault="62AD0331" w:rsidP="62AD0331">
            <w:r w:rsidRPr="62AD0331">
              <w:rPr>
                <w:rFonts w:eastAsia="Arial"/>
                <w:color w:val="000000" w:themeColor="text1"/>
                <w:szCs w:val="20"/>
              </w:rPr>
              <w:t>Funds maintenance costs of Lead Agency IT equipment (e.g., computers, telephones, specialized applications)</w:t>
            </w:r>
          </w:p>
        </w:tc>
        <w:tc>
          <w:tcPr>
            <w:tcW w:w="13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118363" w14:textId="5DB016FB" w:rsidR="62AD0331" w:rsidRDefault="62AD0331" w:rsidP="62AD0331">
            <w:r w:rsidRPr="62AD0331">
              <w:rPr>
                <w:rFonts w:eastAsia="Arial"/>
                <w:color w:val="000000" w:themeColor="text1"/>
                <w:szCs w:val="20"/>
              </w:rPr>
              <w:t xml:space="preserve"> </w:t>
            </w:r>
          </w:p>
        </w:tc>
      </w:tr>
      <w:tr w:rsidR="62AD0331" w14:paraId="1AB5F9ED" w14:textId="77777777" w:rsidTr="62AD0331">
        <w:trPr>
          <w:trHeight w:val="300"/>
        </w:trPr>
        <w:tc>
          <w:tcPr>
            <w:tcW w:w="18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18390D08" w14:textId="0BBBCAA9" w:rsidR="62AD0331" w:rsidRDefault="62AD0331" w:rsidP="62AD0331">
            <w:pPr>
              <w:jc w:val="center"/>
            </w:pPr>
            <w:r w:rsidRPr="62AD0331">
              <w:rPr>
                <w:rFonts w:eastAsia="Arial"/>
                <w:b/>
                <w:bCs/>
                <w:color w:val="000000" w:themeColor="text1"/>
                <w:szCs w:val="20"/>
              </w:rPr>
              <w:t>Subtotal of amount under B:</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8741BD" w14:textId="7BA2896A" w:rsidR="62AD0331" w:rsidRDefault="62AD0331" w:rsidP="62AD0331">
            <w:pPr>
              <w:jc w:val="right"/>
            </w:pPr>
            <w:r w:rsidRPr="62AD0331">
              <w:rPr>
                <w:rFonts w:eastAsia="Arial"/>
                <w:color w:val="000000" w:themeColor="text1"/>
                <w:szCs w:val="20"/>
              </w:rPr>
              <w:t xml:space="preserve">$3,155,344 </w:t>
            </w:r>
          </w:p>
        </w:tc>
        <w:tc>
          <w:tcPr>
            <w:tcW w:w="4720"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left w:w="108" w:type="dxa"/>
              <w:right w:w="108" w:type="dxa"/>
            </w:tcMar>
            <w:vAlign w:val="center"/>
          </w:tcPr>
          <w:p w14:paraId="5F787949" w14:textId="1CBE2F2C" w:rsidR="62AD0331" w:rsidRDefault="62AD0331" w:rsidP="62AD0331">
            <w:pPr>
              <w:jc w:val="center"/>
            </w:pPr>
            <w:r w:rsidRPr="62AD0331">
              <w:rPr>
                <w:rFonts w:eastAsia="Arial"/>
                <w:color w:val="808080" w:themeColor="background1" w:themeShade="80"/>
                <w:szCs w:val="20"/>
              </w:rPr>
              <w:t>no entry</w:t>
            </w:r>
          </w:p>
        </w:tc>
        <w:tc>
          <w:tcPr>
            <w:tcW w:w="1360"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left w:w="108" w:type="dxa"/>
              <w:right w:w="108" w:type="dxa"/>
            </w:tcMar>
            <w:vAlign w:val="center"/>
          </w:tcPr>
          <w:p w14:paraId="6853E35E" w14:textId="268C21C2" w:rsidR="62AD0331" w:rsidRDefault="62AD0331" w:rsidP="62AD0331">
            <w:r w:rsidRPr="62AD0331">
              <w:rPr>
                <w:rFonts w:eastAsia="Arial"/>
                <w:color w:val="808080" w:themeColor="background1" w:themeShade="80"/>
                <w:szCs w:val="20"/>
              </w:rPr>
              <w:t>no entry</w:t>
            </w:r>
          </w:p>
        </w:tc>
      </w:tr>
    </w:tbl>
    <w:p w14:paraId="03E7408D" w14:textId="0A9440C1" w:rsidR="009B1938" w:rsidRPr="00C4125D" w:rsidRDefault="009B1938" w:rsidP="62AD0331">
      <w:pPr>
        <w:rPr>
          <w:kern w:val="2"/>
          <w:sz w:val="16"/>
          <w:szCs w:val="16"/>
        </w:rPr>
        <w:sectPr w:rsidR="009B1938" w:rsidRPr="00C4125D" w:rsidSect="00C4125D">
          <w:pgSz w:w="12240" w:h="15840" w:code="1"/>
          <w:pgMar w:top="1440" w:right="1440" w:bottom="1440" w:left="1440" w:header="720" w:footer="720" w:gutter="0"/>
          <w:cols w:space="720"/>
          <w:docGrid w:linePitch="360"/>
        </w:sectPr>
      </w:pPr>
    </w:p>
    <w:p w14:paraId="03E7408F" w14:textId="77777777" w:rsidR="009B1938" w:rsidRPr="00EC7464" w:rsidRDefault="00510956" w:rsidP="00A820A0">
      <w:pPr>
        <w:pStyle w:val="Heading2"/>
      </w:pPr>
      <w:r w:rsidRPr="00EC7464">
        <w:lastRenderedPageBreak/>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236EBD86" w:rsidR="00A754D3" w:rsidRPr="00EC7464" w:rsidRDefault="00A754D3" w:rsidP="00620A96">
      <w:pPr>
        <w:pStyle w:val="BodyTextIndent"/>
        <w:numPr>
          <w:ilvl w:val="0"/>
          <w:numId w:val="16"/>
        </w:numPr>
        <w:spacing w:before="120" w:after="6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w:t>
      </w:r>
      <w:r w:rsidR="001766F4" w:rsidRPr="00EC7464">
        <w:rPr>
          <w:kern w:val="2"/>
        </w:rPr>
        <w:t>funds.</w:t>
      </w:r>
    </w:p>
    <w:p w14:paraId="03E74092" w14:textId="4E3055E2" w:rsidR="00A754D3" w:rsidRPr="00EC7464" w:rsidRDefault="00A754D3" w:rsidP="00620A96">
      <w:pPr>
        <w:pStyle w:val="BodyTextIndent"/>
        <w:numPr>
          <w:ilvl w:val="0"/>
          <w:numId w:val="16"/>
        </w:numPr>
        <w:spacing w:after="6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5536A61F" w14:textId="5C01FA5C" w:rsidR="00895B28" w:rsidRDefault="00A754D3" w:rsidP="00053B25">
      <w:pPr>
        <w:pStyle w:val="BodyTextIndent"/>
        <w:numPr>
          <w:ilvl w:val="0"/>
          <w:numId w:val="16"/>
        </w:numPr>
        <w:spacing w:after="120"/>
        <w:rPr>
          <w:kern w:val="2"/>
        </w:rPr>
      </w:pPr>
      <w:r w:rsidRPr="00EC7464">
        <w:rPr>
          <w:kern w:val="2"/>
        </w:rPr>
        <w:t xml:space="preserve">A subtotal of the amount. </w:t>
      </w:r>
    </w:p>
    <w:p w14:paraId="70127302" w14:textId="485252C8" w:rsidR="00962112" w:rsidRDefault="00855F6F" w:rsidP="00855F6F">
      <w:pPr>
        <w:pStyle w:val="BodyTextIndent"/>
        <w:spacing w:before="120" w:after="120"/>
        <w:ind w:left="540" w:firstLine="0"/>
        <w:rPr>
          <w:kern w:val="2"/>
        </w:rPr>
      </w:pPr>
      <w:r>
        <w:rPr>
          <w:kern w:val="2"/>
        </w:rPr>
        <w:t xml:space="preserve">Special Note:  </w:t>
      </w:r>
      <w:r w:rsidR="00AD0BAE">
        <w:rPr>
          <w:kern w:val="2"/>
        </w:rPr>
        <w:t>Amounts for Costs Other Than Direct Services</w:t>
      </w:r>
    </w:p>
    <w:p w14:paraId="57CC1BCF" w14:textId="77777777" w:rsidR="008258E1" w:rsidRDefault="009448D5" w:rsidP="00B567F0">
      <w:pPr>
        <w:spacing w:before="120" w:after="120"/>
        <w:ind w:left="540"/>
        <w:rPr>
          <w:bCs/>
          <w:szCs w:val="20"/>
        </w:rPr>
      </w:pPr>
      <w:r>
        <w:rPr>
          <w:bCs/>
          <w:szCs w:val="20"/>
        </w:rPr>
        <w:t xml:space="preserve">If </w:t>
      </w:r>
      <w:r w:rsidR="00B567F0">
        <w:rPr>
          <w:bCs/>
          <w:szCs w:val="20"/>
        </w:rPr>
        <w:t>contracts with EIS providers include amounts for costs other than direct services, the State should</w:t>
      </w:r>
      <w:r w:rsidR="008258E1">
        <w:rPr>
          <w:bCs/>
          <w:szCs w:val="20"/>
        </w:rPr>
        <w:t xml:space="preserve">: </w:t>
      </w:r>
    </w:p>
    <w:p w14:paraId="3142150B" w14:textId="79B476B2" w:rsidR="00B567F0" w:rsidRPr="008258E1" w:rsidRDefault="00B567F0" w:rsidP="00DB4A4D">
      <w:pPr>
        <w:pStyle w:val="ListParagraph"/>
        <w:numPr>
          <w:ilvl w:val="0"/>
          <w:numId w:val="18"/>
        </w:numPr>
        <w:spacing w:before="120" w:after="120"/>
        <w:ind w:left="1080"/>
        <w:rPr>
          <w:bCs/>
          <w:szCs w:val="20"/>
        </w:rPr>
      </w:pPr>
      <w:r w:rsidRPr="008258E1">
        <w:rPr>
          <w:bCs/>
          <w:szCs w:val="20"/>
        </w:rPr>
        <w:t>report the amount and type of non-service expenses in Section III.B (along with all other maintenance and implementation activities for IDEA Part C incurred by the State lead agency and/or the SICC)</w:t>
      </w:r>
      <w:r w:rsidR="009C19D5">
        <w:rPr>
          <w:bCs/>
          <w:szCs w:val="20"/>
        </w:rPr>
        <w:t xml:space="preserve"> </w:t>
      </w:r>
      <w:r w:rsidR="009C19D5" w:rsidRPr="009C19D5">
        <w:rPr>
          <w:b/>
          <w:szCs w:val="20"/>
        </w:rPr>
        <w:t>or</w:t>
      </w:r>
      <w:r w:rsidR="009C19D5">
        <w:rPr>
          <w:bCs/>
          <w:szCs w:val="20"/>
        </w:rPr>
        <w:t xml:space="preserve"> </w:t>
      </w:r>
    </w:p>
    <w:p w14:paraId="3738D40A" w14:textId="67117C37" w:rsidR="00B567F0" w:rsidRPr="00573E3C" w:rsidRDefault="00B567F0" w:rsidP="00DB4A4D">
      <w:pPr>
        <w:pStyle w:val="ListParagraph"/>
        <w:numPr>
          <w:ilvl w:val="0"/>
          <w:numId w:val="18"/>
        </w:numPr>
        <w:spacing w:before="120" w:after="120"/>
        <w:ind w:left="1080"/>
        <w:rPr>
          <w:bCs/>
          <w:szCs w:val="20"/>
        </w:rPr>
      </w:pPr>
      <w:r w:rsidRPr="00573E3C">
        <w:rPr>
          <w:bCs/>
          <w:szCs w:val="20"/>
        </w:rPr>
        <w:t xml:space="preserve">report the entire amount in Section III.C and </w:t>
      </w:r>
      <w:r w:rsidR="00CD64B5" w:rsidRPr="00573E3C">
        <w:rPr>
          <w:bCs/>
          <w:szCs w:val="20"/>
        </w:rPr>
        <w:t xml:space="preserve">insert a </w:t>
      </w:r>
      <w:r w:rsidRPr="00573E3C">
        <w:rPr>
          <w:bCs/>
          <w:szCs w:val="20"/>
        </w:rPr>
        <w:t>footnote in Section III.C</w:t>
      </w:r>
      <w:r w:rsidR="00CD64B5" w:rsidRPr="00573E3C">
        <w:rPr>
          <w:bCs/>
          <w:szCs w:val="20"/>
        </w:rPr>
        <w:t xml:space="preserve"> to indicate </w:t>
      </w:r>
      <w:r w:rsidR="00A43288" w:rsidRPr="00573E3C">
        <w:rPr>
          <w:bCs/>
          <w:szCs w:val="20"/>
        </w:rPr>
        <w:t>t</w:t>
      </w:r>
      <w:r w:rsidRPr="00573E3C">
        <w:rPr>
          <w:bCs/>
          <w:szCs w:val="20"/>
        </w:rPr>
        <w:t xml:space="preserve">he estimated amounts listed in that section </w:t>
      </w:r>
      <w:r w:rsidR="00A43288" w:rsidRPr="00573E3C">
        <w:rPr>
          <w:bCs/>
          <w:szCs w:val="20"/>
        </w:rPr>
        <w:t xml:space="preserve">that </w:t>
      </w:r>
      <w:r w:rsidRPr="00573E3C">
        <w:rPr>
          <w:bCs/>
          <w:szCs w:val="20"/>
        </w:rPr>
        <w:t>include</w:t>
      </w:r>
      <w:r w:rsidR="00A43288" w:rsidRPr="00573E3C">
        <w:rPr>
          <w:bCs/>
          <w:szCs w:val="20"/>
        </w:rPr>
        <w:t>s</w:t>
      </w:r>
      <w:r w:rsidRPr="00573E3C">
        <w:rPr>
          <w:bCs/>
          <w:szCs w:val="20"/>
        </w:rPr>
        <w:t xml:space="preserve"> expenses for non-direct services. </w:t>
      </w:r>
      <w:r w:rsidR="00FE378C" w:rsidRPr="00573E3C">
        <w:rPr>
          <w:bCs/>
          <w:szCs w:val="20"/>
        </w:rPr>
        <w:t>(Example:  State contracts with EIS provider for occupational therapy (OT) services and training. Training amounts would be listed under Section III.B. and OT services under Section III.C</w:t>
      </w:r>
      <w:r w:rsidR="001853F7" w:rsidRPr="00573E3C">
        <w:rPr>
          <w:bCs/>
          <w:szCs w:val="20"/>
        </w:rPr>
        <w:t xml:space="preserve"> or the </w:t>
      </w:r>
      <w:r w:rsidR="00B2182B" w:rsidRPr="00573E3C">
        <w:rPr>
          <w:bCs/>
          <w:szCs w:val="20"/>
        </w:rPr>
        <w:t>entire amount would be placed in Section III.C</w:t>
      </w:r>
      <w:r w:rsidR="00C23470" w:rsidRPr="00573E3C">
        <w:rPr>
          <w:bCs/>
          <w:szCs w:val="20"/>
        </w:rPr>
        <w:t xml:space="preserve"> and a footnote would specify that the estimated amount also includes training expenses</w:t>
      </w:r>
      <w:r w:rsidR="00FE378C" w:rsidRPr="00573E3C">
        <w:rPr>
          <w:bCs/>
          <w:szCs w:val="20"/>
        </w:rPr>
        <w:t>.</w:t>
      </w:r>
      <w:r w:rsidR="00573E3C" w:rsidRPr="00573E3C">
        <w:rPr>
          <w:bCs/>
          <w:szCs w:val="20"/>
        </w:rPr>
        <w:t xml:space="preserve"> (This option may be helpful if the contractual amounts cannot be easily disaggregated.)</w:t>
      </w:r>
    </w:p>
    <w:p w14:paraId="03E74094" w14:textId="77777777" w:rsidR="006F33AE" w:rsidRPr="00EC7464" w:rsidRDefault="0029B60A" w:rsidP="00305BCB">
      <w:pPr>
        <w:spacing w:before="120" w:after="120"/>
        <w:ind w:left="400"/>
        <w:rPr>
          <w:i/>
          <w:iCs/>
          <w:kern w:val="2"/>
          <w:sz w:val="16"/>
        </w:rPr>
      </w:pPr>
      <w:r w:rsidRPr="62AD0331">
        <w:rPr>
          <w:i/>
          <w:iCs/>
          <w:kern w:val="2"/>
          <w:sz w:val="16"/>
          <w:szCs w:val="16"/>
        </w:rPr>
        <w:t>(Add rows as needed.)</w:t>
      </w:r>
    </w:p>
    <w:tbl>
      <w:tblPr>
        <w:tblW w:w="0" w:type="auto"/>
        <w:tblLayout w:type="fixed"/>
        <w:tblLook w:val="06A0" w:firstRow="1" w:lastRow="0" w:firstColumn="1" w:lastColumn="0" w:noHBand="1" w:noVBand="1"/>
      </w:tblPr>
      <w:tblGrid>
        <w:gridCol w:w="5753"/>
        <w:gridCol w:w="3607"/>
      </w:tblGrid>
      <w:tr w:rsidR="62AD0331" w14:paraId="25E5D31A" w14:textId="77777777" w:rsidTr="62AD0331">
        <w:trPr>
          <w:trHeight w:val="300"/>
        </w:trPr>
        <w:tc>
          <w:tcPr>
            <w:tcW w:w="5753"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tcMar>
              <w:left w:w="108" w:type="dxa"/>
              <w:right w:w="108" w:type="dxa"/>
            </w:tcMar>
            <w:vAlign w:val="bottom"/>
          </w:tcPr>
          <w:p w14:paraId="597D2FA8" w14:textId="4DDF8D5B" w:rsidR="62AD0331" w:rsidRDefault="62AD0331" w:rsidP="62AD0331">
            <w:pPr>
              <w:spacing w:before="120" w:after="120"/>
              <w:jc w:val="center"/>
            </w:pPr>
            <w:r w:rsidRPr="62AD0331">
              <w:rPr>
                <w:rFonts w:eastAsia="Arial"/>
                <w:b/>
                <w:bCs/>
                <w:color w:val="000000" w:themeColor="text1"/>
                <w:szCs w:val="20"/>
              </w:rPr>
              <w:t>Description of Each Direct Early Intervention Service</w:t>
            </w:r>
          </w:p>
        </w:tc>
        <w:tc>
          <w:tcPr>
            <w:tcW w:w="3607"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tcMar>
              <w:left w:w="108" w:type="dxa"/>
              <w:right w:w="108" w:type="dxa"/>
            </w:tcMar>
            <w:vAlign w:val="bottom"/>
          </w:tcPr>
          <w:p w14:paraId="36F774D1" w14:textId="7FEB7A94" w:rsidR="62AD0331" w:rsidRDefault="62AD0331" w:rsidP="62AD0331">
            <w:pPr>
              <w:spacing w:before="120" w:after="120"/>
              <w:jc w:val="center"/>
            </w:pPr>
            <w:r w:rsidRPr="62AD0331">
              <w:rPr>
                <w:rFonts w:eastAsia="Arial"/>
                <w:b/>
                <w:bCs/>
                <w:color w:val="000000" w:themeColor="text1"/>
                <w:szCs w:val="20"/>
              </w:rPr>
              <w:t xml:space="preserve">Approximate Amount of </w:t>
            </w:r>
            <w:r>
              <w:br/>
            </w:r>
            <w:r w:rsidRPr="62AD0331">
              <w:rPr>
                <w:rFonts w:eastAsia="Arial"/>
                <w:b/>
                <w:bCs/>
                <w:color w:val="000000" w:themeColor="text1"/>
                <w:szCs w:val="20"/>
              </w:rPr>
              <w:t>Federal IDEA Part C Funds to be Spent on Each Direct Service</w:t>
            </w:r>
          </w:p>
        </w:tc>
      </w:tr>
      <w:tr w:rsidR="62AD0331" w14:paraId="2B39125E" w14:textId="77777777" w:rsidTr="62AD0331">
        <w:trPr>
          <w:trHeight w:val="300"/>
        </w:trPr>
        <w:tc>
          <w:tcPr>
            <w:tcW w:w="5753" w:type="dxa"/>
            <w:tcBorders>
              <w:top w:val="single" w:sz="12" w:space="0" w:color="auto"/>
              <w:left w:val="single" w:sz="12" w:space="0" w:color="auto"/>
              <w:bottom w:val="single" w:sz="8" w:space="0" w:color="auto"/>
              <w:right w:val="single" w:sz="8" w:space="0" w:color="auto"/>
            </w:tcBorders>
            <w:tcMar>
              <w:left w:w="108" w:type="dxa"/>
              <w:right w:w="108" w:type="dxa"/>
            </w:tcMar>
          </w:tcPr>
          <w:p w14:paraId="0D0DC359" w14:textId="5FFA699C" w:rsidR="62AD0331" w:rsidRDefault="62AD0331" w:rsidP="62AD0331">
            <w:pPr>
              <w:spacing w:before="120" w:after="120"/>
            </w:pPr>
            <w:r w:rsidRPr="62AD0331">
              <w:rPr>
                <w:rFonts w:eastAsia="Arial"/>
                <w:szCs w:val="20"/>
              </w:rPr>
              <w:t>Audiology</w:t>
            </w:r>
          </w:p>
        </w:tc>
        <w:tc>
          <w:tcPr>
            <w:tcW w:w="3607" w:type="dxa"/>
            <w:tcBorders>
              <w:top w:val="single" w:sz="12" w:space="0" w:color="auto"/>
              <w:left w:val="single" w:sz="8" w:space="0" w:color="auto"/>
              <w:bottom w:val="single" w:sz="8" w:space="0" w:color="auto"/>
              <w:right w:val="single" w:sz="12" w:space="0" w:color="auto"/>
            </w:tcBorders>
            <w:tcMar>
              <w:left w:w="108" w:type="dxa"/>
              <w:right w:w="108" w:type="dxa"/>
            </w:tcMar>
          </w:tcPr>
          <w:p w14:paraId="080D566F" w14:textId="07BEB22E" w:rsidR="62AD0331" w:rsidRDefault="62AD0331" w:rsidP="62AD0331">
            <w:pPr>
              <w:spacing w:before="120" w:after="120"/>
            </w:pPr>
            <w:r w:rsidRPr="62AD0331">
              <w:rPr>
                <w:rFonts w:eastAsia="Arial"/>
                <w:szCs w:val="20"/>
              </w:rPr>
              <w:t>$6,044</w:t>
            </w:r>
          </w:p>
        </w:tc>
      </w:tr>
      <w:tr w:rsidR="62AD0331" w14:paraId="25913257"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3EEEEEC6" w14:textId="4D4CE853" w:rsidR="62AD0331" w:rsidRDefault="62AD0331" w:rsidP="62AD0331">
            <w:pPr>
              <w:spacing w:before="120" w:after="120"/>
            </w:pPr>
            <w:r w:rsidRPr="62AD0331">
              <w:rPr>
                <w:rFonts w:eastAsia="Arial"/>
                <w:szCs w:val="20"/>
              </w:rPr>
              <w:t>Family Coaching and Counseling</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7FBCE4ED" w14:textId="031150E6" w:rsidR="62AD0331" w:rsidRDefault="62AD0331" w:rsidP="62AD0331">
            <w:pPr>
              <w:spacing w:before="120" w:after="120"/>
            </w:pPr>
            <w:r w:rsidRPr="62AD0331">
              <w:rPr>
                <w:rFonts w:eastAsia="Arial"/>
                <w:szCs w:val="20"/>
              </w:rPr>
              <w:t>$402,258</w:t>
            </w:r>
          </w:p>
        </w:tc>
      </w:tr>
      <w:tr w:rsidR="62AD0331" w14:paraId="02A8F818"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7C66E861" w14:textId="6C92D55E" w:rsidR="62AD0331" w:rsidRDefault="62AD0331" w:rsidP="62AD0331">
            <w:pPr>
              <w:spacing w:before="120" w:after="120"/>
            </w:pPr>
            <w:r w:rsidRPr="62AD0331">
              <w:rPr>
                <w:rFonts w:eastAsia="Arial"/>
                <w:szCs w:val="20"/>
              </w:rPr>
              <w:t>Nursing Services</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34ED8D0B" w14:textId="5952FF51" w:rsidR="62AD0331" w:rsidRDefault="62AD0331" w:rsidP="62AD0331">
            <w:pPr>
              <w:spacing w:before="120" w:after="120"/>
            </w:pPr>
            <w:r w:rsidRPr="62AD0331">
              <w:rPr>
                <w:rFonts w:eastAsia="Arial"/>
                <w:szCs w:val="20"/>
              </w:rPr>
              <w:t>$176,855</w:t>
            </w:r>
          </w:p>
        </w:tc>
      </w:tr>
      <w:tr w:rsidR="62AD0331" w14:paraId="09A0795E"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322AACF7" w14:textId="550020B2" w:rsidR="62AD0331" w:rsidRDefault="62AD0331" w:rsidP="62AD0331">
            <w:pPr>
              <w:spacing w:before="120" w:after="120"/>
            </w:pPr>
            <w:r w:rsidRPr="62AD0331">
              <w:rPr>
                <w:rFonts w:eastAsia="Arial"/>
                <w:szCs w:val="20"/>
              </w:rPr>
              <w:t>Nutrition Services</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673A2E28" w14:textId="607AE2F0" w:rsidR="62AD0331" w:rsidRDefault="62AD0331" w:rsidP="62AD0331">
            <w:pPr>
              <w:spacing w:before="120" w:after="120"/>
            </w:pPr>
            <w:r w:rsidRPr="62AD0331">
              <w:rPr>
                <w:rFonts w:eastAsia="Arial"/>
                <w:szCs w:val="20"/>
              </w:rPr>
              <w:t>$2,853</w:t>
            </w:r>
          </w:p>
        </w:tc>
      </w:tr>
      <w:tr w:rsidR="62AD0331" w14:paraId="7C9C64EF"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6B3E988C" w14:textId="747B70FC" w:rsidR="62AD0331" w:rsidRDefault="62AD0331" w:rsidP="62AD0331">
            <w:pPr>
              <w:spacing w:before="120" w:after="120"/>
            </w:pPr>
            <w:r w:rsidRPr="62AD0331">
              <w:rPr>
                <w:rFonts w:eastAsia="Arial"/>
                <w:szCs w:val="20"/>
              </w:rPr>
              <w:t xml:space="preserve">Occupational Therapy </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5D943055" w14:textId="7ACE9340" w:rsidR="62AD0331" w:rsidRDefault="62AD0331" w:rsidP="62AD0331">
            <w:pPr>
              <w:spacing w:before="120" w:after="120"/>
            </w:pPr>
            <w:r w:rsidRPr="62AD0331">
              <w:rPr>
                <w:rFonts w:eastAsia="Arial"/>
                <w:szCs w:val="20"/>
              </w:rPr>
              <w:t>$314,353</w:t>
            </w:r>
          </w:p>
        </w:tc>
      </w:tr>
      <w:tr w:rsidR="62AD0331" w14:paraId="1676C7C7"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0C7DE8C2" w14:textId="7A796B6B" w:rsidR="62AD0331" w:rsidRDefault="62AD0331" w:rsidP="62AD0331">
            <w:pPr>
              <w:spacing w:before="120" w:after="120"/>
            </w:pPr>
            <w:r w:rsidRPr="62AD0331">
              <w:rPr>
                <w:rFonts w:eastAsia="Arial"/>
                <w:szCs w:val="20"/>
              </w:rPr>
              <w:t>Physical Therapy</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579B790C" w14:textId="17AE3A2B" w:rsidR="62AD0331" w:rsidRDefault="62AD0331" w:rsidP="62AD0331">
            <w:pPr>
              <w:spacing w:before="120" w:after="120"/>
            </w:pPr>
            <w:r w:rsidRPr="62AD0331">
              <w:rPr>
                <w:rFonts w:eastAsia="Arial"/>
                <w:szCs w:val="20"/>
              </w:rPr>
              <w:t>$280,327</w:t>
            </w:r>
          </w:p>
        </w:tc>
      </w:tr>
      <w:tr w:rsidR="62AD0331" w14:paraId="7BA05822"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464B3EAB" w14:textId="08D0C48E" w:rsidR="62AD0331" w:rsidRDefault="62AD0331" w:rsidP="62AD0331">
            <w:pPr>
              <w:spacing w:before="120" w:after="120"/>
            </w:pPr>
            <w:r w:rsidRPr="62AD0331">
              <w:rPr>
                <w:rFonts w:eastAsia="Arial"/>
                <w:szCs w:val="20"/>
              </w:rPr>
              <w:t>Psychological Services</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7910AAA0" w14:textId="36EB6B22" w:rsidR="62AD0331" w:rsidRDefault="62AD0331" w:rsidP="62AD0331">
            <w:pPr>
              <w:spacing w:before="120" w:after="120"/>
            </w:pPr>
            <w:r w:rsidRPr="62AD0331">
              <w:rPr>
                <w:rFonts w:eastAsia="Arial"/>
                <w:szCs w:val="20"/>
              </w:rPr>
              <w:t>$100,532</w:t>
            </w:r>
          </w:p>
        </w:tc>
      </w:tr>
      <w:tr w:rsidR="62AD0331" w14:paraId="179B88F5"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67A46B27" w14:textId="3BB46899" w:rsidR="62AD0331" w:rsidRDefault="62AD0331" w:rsidP="62AD0331">
            <w:pPr>
              <w:spacing w:before="120" w:after="120"/>
            </w:pPr>
            <w:r w:rsidRPr="62AD0331">
              <w:rPr>
                <w:rFonts w:eastAsia="Arial"/>
                <w:szCs w:val="20"/>
              </w:rPr>
              <w:t>Sign Language and Cued Speech</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3FC719B1" w14:textId="4632FD41" w:rsidR="62AD0331" w:rsidRDefault="62AD0331" w:rsidP="62AD0331">
            <w:pPr>
              <w:spacing w:before="120" w:after="120"/>
            </w:pPr>
            <w:r w:rsidRPr="62AD0331">
              <w:rPr>
                <w:rFonts w:eastAsia="Arial"/>
                <w:szCs w:val="20"/>
              </w:rPr>
              <w:t>$105,000</w:t>
            </w:r>
          </w:p>
        </w:tc>
      </w:tr>
      <w:tr w:rsidR="62AD0331" w14:paraId="0858EBC9"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56FF0E3C" w14:textId="0EF34B11" w:rsidR="62AD0331" w:rsidRDefault="62AD0331" w:rsidP="62AD0331">
            <w:r w:rsidRPr="62AD0331">
              <w:rPr>
                <w:rFonts w:eastAsia="Arial"/>
                <w:szCs w:val="20"/>
              </w:rPr>
              <w:t>Special Instruction</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2CC1E7E7" w14:textId="1C5D8310" w:rsidR="62AD0331" w:rsidRDefault="62AD0331" w:rsidP="62AD0331">
            <w:r w:rsidRPr="62AD0331">
              <w:rPr>
                <w:rFonts w:eastAsia="Arial"/>
                <w:szCs w:val="20"/>
              </w:rPr>
              <w:t>$29,593</w:t>
            </w:r>
          </w:p>
        </w:tc>
      </w:tr>
      <w:tr w:rsidR="62AD0331" w14:paraId="42CDEABA"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037CFEA9" w14:textId="0BAE6D94" w:rsidR="62AD0331" w:rsidRDefault="62AD0331" w:rsidP="62AD0331">
            <w:r w:rsidRPr="62AD0331">
              <w:rPr>
                <w:rFonts w:eastAsia="Arial"/>
                <w:szCs w:val="20"/>
              </w:rPr>
              <w:t>Speech-Language Pathology</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06E43295" w14:textId="5E833D8D" w:rsidR="62AD0331" w:rsidRDefault="62AD0331" w:rsidP="62AD0331">
            <w:r w:rsidRPr="62AD0331">
              <w:rPr>
                <w:rFonts w:eastAsia="Arial"/>
                <w:szCs w:val="20"/>
              </w:rPr>
              <w:t>$339,197</w:t>
            </w:r>
          </w:p>
        </w:tc>
      </w:tr>
      <w:tr w:rsidR="62AD0331" w14:paraId="5B987822"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7555CCBF" w14:textId="43D28554" w:rsidR="62AD0331" w:rsidRDefault="62AD0331" w:rsidP="62AD0331">
            <w:pPr>
              <w:spacing w:before="120" w:after="120"/>
            </w:pPr>
            <w:r w:rsidRPr="62AD0331">
              <w:rPr>
                <w:rFonts w:eastAsia="Arial"/>
                <w:szCs w:val="20"/>
              </w:rPr>
              <w:t>Social Work</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4CF9EA5E" w14:textId="3572FA52" w:rsidR="62AD0331" w:rsidRDefault="62AD0331" w:rsidP="62AD0331">
            <w:pPr>
              <w:spacing w:before="120" w:after="120"/>
            </w:pPr>
            <w:r w:rsidRPr="62AD0331">
              <w:rPr>
                <w:rFonts w:eastAsia="Arial"/>
                <w:szCs w:val="20"/>
              </w:rPr>
              <w:t>$266,589</w:t>
            </w:r>
          </w:p>
        </w:tc>
      </w:tr>
      <w:tr w:rsidR="62AD0331" w14:paraId="3B348245"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5A8C5178" w14:textId="6CB97A01" w:rsidR="62AD0331" w:rsidRDefault="62AD0331" w:rsidP="62AD0331">
            <w:pPr>
              <w:spacing w:before="120" w:after="120"/>
            </w:pPr>
            <w:r w:rsidRPr="62AD0331">
              <w:rPr>
                <w:rFonts w:eastAsia="Arial"/>
                <w:szCs w:val="20"/>
              </w:rPr>
              <w:t xml:space="preserve">Transportation </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4132B5DB" w14:textId="284819E3" w:rsidR="62AD0331" w:rsidRDefault="62AD0331" w:rsidP="62AD0331">
            <w:pPr>
              <w:spacing w:before="120" w:after="120"/>
            </w:pPr>
            <w:r w:rsidRPr="62AD0331">
              <w:rPr>
                <w:rFonts w:eastAsia="Arial"/>
                <w:szCs w:val="20"/>
              </w:rPr>
              <w:t>$100,000</w:t>
            </w:r>
          </w:p>
        </w:tc>
      </w:tr>
      <w:tr w:rsidR="62AD0331" w14:paraId="20C97581"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5E84314C" w14:textId="57BED0FE" w:rsidR="62AD0331" w:rsidRDefault="62AD0331" w:rsidP="62AD0331">
            <w:pPr>
              <w:spacing w:before="120" w:after="120"/>
            </w:pPr>
            <w:r w:rsidRPr="62AD0331">
              <w:rPr>
                <w:rFonts w:eastAsia="Arial"/>
                <w:szCs w:val="20"/>
              </w:rPr>
              <w:lastRenderedPageBreak/>
              <w:t>Vision Services</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2852E5A5" w14:textId="028F09F9" w:rsidR="62AD0331" w:rsidRDefault="62AD0331" w:rsidP="62AD0331">
            <w:pPr>
              <w:spacing w:before="120" w:after="120"/>
            </w:pPr>
            <w:r w:rsidRPr="62AD0331">
              <w:rPr>
                <w:rFonts w:eastAsia="Arial"/>
                <w:szCs w:val="20"/>
              </w:rPr>
              <w:t>$3,529</w:t>
            </w:r>
          </w:p>
        </w:tc>
      </w:tr>
      <w:tr w:rsidR="62AD0331" w14:paraId="6D799BED" w14:textId="77777777" w:rsidTr="62AD0331">
        <w:trPr>
          <w:trHeight w:val="300"/>
        </w:trPr>
        <w:tc>
          <w:tcPr>
            <w:tcW w:w="5753" w:type="dxa"/>
            <w:tcBorders>
              <w:top w:val="single" w:sz="8" w:space="0" w:color="auto"/>
              <w:left w:val="single" w:sz="12" w:space="0" w:color="auto"/>
              <w:bottom w:val="single" w:sz="8" w:space="0" w:color="auto"/>
              <w:right w:val="single" w:sz="8" w:space="0" w:color="auto"/>
            </w:tcBorders>
            <w:tcMar>
              <w:left w:w="108" w:type="dxa"/>
              <w:right w:w="108" w:type="dxa"/>
            </w:tcMar>
          </w:tcPr>
          <w:p w14:paraId="4B41012C" w14:textId="6E4903DE" w:rsidR="62AD0331" w:rsidRDefault="62AD0331" w:rsidP="62AD0331">
            <w:pPr>
              <w:spacing w:before="120" w:after="120"/>
            </w:pPr>
            <w:r w:rsidRPr="62AD0331">
              <w:rPr>
                <w:rFonts w:eastAsia="Arial"/>
                <w:szCs w:val="20"/>
              </w:rPr>
              <w:t>Respite Care</w:t>
            </w:r>
          </w:p>
        </w:tc>
        <w:tc>
          <w:tcPr>
            <w:tcW w:w="3607" w:type="dxa"/>
            <w:tcBorders>
              <w:top w:val="single" w:sz="8" w:space="0" w:color="auto"/>
              <w:left w:val="single" w:sz="8" w:space="0" w:color="auto"/>
              <w:bottom w:val="single" w:sz="8" w:space="0" w:color="auto"/>
              <w:right w:val="single" w:sz="12" w:space="0" w:color="auto"/>
            </w:tcBorders>
            <w:tcMar>
              <w:left w:w="108" w:type="dxa"/>
              <w:right w:w="108" w:type="dxa"/>
            </w:tcMar>
          </w:tcPr>
          <w:p w14:paraId="1807806A" w14:textId="3C08599B" w:rsidR="62AD0331" w:rsidRDefault="62AD0331" w:rsidP="62AD0331">
            <w:pPr>
              <w:spacing w:before="120" w:after="120"/>
            </w:pPr>
            <w:r w:rsidRPr="62AD0331">
              <w:rPr>
                <w:rFonts w:eastAsia="Arial"/>
                <w:szCs w:val="20"/>
              </w:rPr>
              <w:t>$8,350</w:t>
            </w:r>
          </w:p>
        </w:tc>
      </w:tr>
      <w:tr w:rsidR="62AD0331" w14:paraId="4B97AE0C" w14:textId="77777777" w:rsidTr="62AD0331">
        <w:trPr>
          <w:trHeight w:val="300"/>
        </w:trPr>
        <w:tc>
          <w:tcPr>
            <w:tcW w:w="5753" w:type="dxa"/>
            <w:tcBorders>
              <w:top w:val="single" w:sz="8" w:space="0" w:color="auto"/>
              <w:left w:val="single" w:sz="12" w:space="0" w:color="auto"/>
              <w:bottom w:val="single" w:sz="12" w:space="0" w:color="auto"/>
              <w:right w:val="single" w:sz="8" w:space="0" w:color="auto"/>
            </w:tcBorders>
            <w:tcMar>
              <w:left w:w="108" w:type="dxa"/>
              <w:right w:w="108" w:type="dxa"/>
            </w:tcMar>
          </w:tcPr>
          <w:p w14:paraId="55770A42" w14:textId="7AA23910" w:rsidR="62AD0331" w:rsidRDefault="62AD0331" w:rsidP="62AD0331">
            <w:pPr>
              <w:spacing w:before="120" w:after="120"/>
            </w:pPr>
            <w:r w:rsidRPr="62AD0331">
              <w:rPr>
                <w:rFonts w:eastAsia="Arial"/>
                <w:szCs w:val="20"/>
              </w:rPr>
              <w:t xml:space="preserve"> </w:t>
            </w:r>
          </w:p>
        </w:tc>
        <w:tc>
          <w:tcPr>
            <w:tcW w:w="3607" w:type="dxa"/>
            <w:tcBorders>
              <w:top w:val="single" w:sz="8" w:space="0" w:color="auto"/>
              <w:left w:val="single" w:sz="8" w:space="0" w:color="auto"/>
              <w:bottom w:val="single" w:sz="12" w:space="0" w:color="auto"/>
              <w:right w:val="single" w:sz="12" w:space="0" w:color="auto"/>
            </w:tcBorders>
            <w:tcMar>
              <w:left w:w="108" w:type="dxa"/>
              <w:right w:w="108" w:type="dxa"/>
            </w:tcMar>
          </w:tcPr>
          <w:p w14:paraId="2F5C3360" w14:textId="3982B6F1" w:rsidR="62AD0331" w:rsidRDefault="62AD0331" w:rsidP="62AD0331">
            <w:pPr>
              <w:spacing w:before="120" w:after="120"/>
            </w:pPr>
            <w:r w:rsidRPr="62AD0331">
              <w:rPr>
                <w:rFonts w:eastAsia="Arial"/>
                <w:szCs w:val="20"/>
              </w:rPr>
              <w:t xml:space="preserve"> </w:t>
            </w:r>
          </w:p>
        </w:tc>
      </w:tr>
      <w:tr w:rsidR="62AD0331" w14:paraId="2CDAB515" w14:textId="77777777" w:rsidTr="62AD0331">
        <w:trPr>
          <w:trHeight w:val="300"/>
        </w:trPr>
        <w:tc>
          <w:tcPr>
            <w:tcW w:w="5753"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tcMar>
              <w:left w:w="108" w:type="dxa"/>
              <w:right w:w="108" w:type="dxa"/>
            </w:tcMar>
          </w:tcPr>
          <w:p w14:paraId="37B4BA88" w14:textId="51DC9B8A" w:rsidR="62AD0331" w:rsidRDefault="62AD0331" w:rsidP="62AD0331">
            <w:pPr>
              <w:spacing w:before="120" w:after="120"/>
            </w:pPr>
            <w:r w:rsidRPr="62AD0331">
              <w:rPr>
                <w:rFonts w:eastAsia="Arial"/>
                <w:b/>
                <w:bCs/>
                <w:color w:val="000000" w:themeColor="text1"/>
                <w:szCs w:val="20"/>
              </w:rPr>
              <w:t>Subtotal of amount under C:</w:t>
            </w:r>
          </w:p>
        </w:tc>
        <w:tc>
          <w:tcPr>
            <w:tcW w:w="3607" w:type="dxa"/>
            <w:tcBorders>
              <w:top w:val="single" w:sz="12" w:space="0" w:color="auto"/>
              <w:left w:val="single" w:sz="8" w:space="0" w:color="auto"/>
              <w:bottom w:val="single" w:sz="12" w:space="0" w:color="auto"/>
              <w:right w:val="single" w:sz="12" w:space="0" w:color="auto"/>
            </w:tcBorders>
            <w:tcMar>
              <w:left w:w="108" w:type="dxa"/>
              <w:right w:w="108" w:type="dxa"/>
            </w:tcMar>
          </w:tcPr>
          <w:p w14:paraId="7F5082DD" w14:textId="1AD6DCBE" w:rsidR="62AD0331" w:rsidRDefault="62AD0331" w:rsidP="62AD0331">
            <w:pPr>
              <w:spacing w:before="120" w:after="120"/>
            </w:pPr>
            <w:r w:rsidRPr="62AD0331">
              <w:rPr>
                <w:rFonts w:eastAsia="Arial"/>
                <w:szCs w:val="20"/>
              </w:rPr>
              <w:t>$2,135,480</w:t>
            </w:r>
          </w:p>
        </w:tc>
      </w:tr>
    </w:tbl>
    <w:p w14:paraId="03E740B4" w14:textId="04C8CD4F" w:rsidR="00021E00" w:rsidRPr="00EC7464" w:rsidRDefault="00021E00" w:rsidP="62AD0331"/>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7" w14:textId="77777777" w:rsidR="006F33AE" w:rsidRPr="00EC7464" w:rsidRDefault="006F33AE" w:rsidP="00A820A0">
      <w:pPr>
        <w:pStyle w:val="Heading2"/>
      </w:pPr>
      <w:r w:rsidRPr="00EC7464">
        <w:lastRenderedPageBreak/>
        <w:t>D.</w:t>
      </w:r>
      <w:r w:rsidRPr="00EC7464">
        <w:tab/>
        <w:t xml:space="preserve">Activities by Other State Agencies </w:t>
      </w:r>
    </w:p>
    <w:p w14:paraId="03E740B8" w14:textId="77777777" w:rsidR="006F33AE" w:rsidRPr="00EC7464" w:rsidRDefault="006F33AE" w:rsidP="009F5BD2">
      <w:pPr>
        <w:pStyle w:val="BodyTextIndent"/>
        <w:spacing w:before="120" w:after="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427FE03D" w:rsidR="006F33AE" w:rsidRPr="00EC7464" w:rsidRDefault="006F33AE" w:rsidP="009F5BD2">
      <w:pPr>
        <w:pStyle w:val="BodyTextIndent"/>
        <w:numPr>
          <w:ilvl w:val="0"/>
          <w:numId w:val="16"/>
        </w:numPr>
        <w:rPr>
          <w:kern w:val="2"/>
        </w:rPr>
      </w:pPr>
      <w:r w:rsidRPr="00EC7464">
        <w:rPr>
          <w:kern w:val="2"/>
        </w:rPr>
        <w:t xml:space="preserve">The name of each State public agency expected to receive </w:t>
      </w:r>
      <w:r w:rsidR="00A06E46" w:rsidRPr="00EC7464">
        <w:rPr>
          <w:kern w:val="2"/>
        </w:rPr>
        <w:t>funds.</w:t>
      </w:r>
    </w:p>
    <w:p w14:paraId="03E740BA" w14:textId="77777777" w:rsidR="006F33AE" w:rsidRPr="00EC7464" w:rsidRDefault="006F33AE" w:rsidP="009F5BD2">
      <w:pPr>
        <w:pStyle w:val="BodyTextIndent"/>
        <w:numPr>
          <w:ilvl w:val="0"/>
          <w:numId w:val="16"/>
        </w:numPr>
        <w:rPr>
          <w:kern w:val="2"/>
        </w:rPr>
      </w:pPr>
      <w:r w:rsidRPr="00EC7464">
        <w:rPr>
          <w:kern w:val="2"/>
        </w:rPr>
        <w:t>The approximate amount of funds each State public agency will receive; and</w:t>
      </w:r>
    </w:p>
    <w:p w14:paraId="03E740BB" w14:textId="77777777" w:rsidR="00A754D3" w:rsidRPr="00EC7464" w:rsidRDefault="006F33AE" w:rsidP="009F5BD2">
      <w:pPr>
        <w:pStyle w:val="BodyTextIndent"/>
        <w:numPr>
          <w:ilvl w:val="0"/>
          <w:numId w:val="16"/>
        </w:numPr>
        <w:rPr>
          <w:kern w:val="2"/>
        </w:rPr>
      </w:pPr>
      <w:r w:rsidRPr="00EC7464">
        <w:rPr>
          <w:kern w:val="2"/>
        </w:rPr>
        <w:t>A summary of the purposes for which the funds will be used.</w:t>
      </w:r>
    </w:p>
    <w:p w14:paraId="03E740BC" w14:textId="77777777" w:rsidR="006F33AE" w:rsidRPr="00EC7464" w:rsidRDefault="0029B60A" w:rsidP="00305BCB">
      <w:pPr>
        <w:spacing w:before="120" w:after="120"/>
        <w:ind w:left="446"/>
        <w:rPr>
          <w:kern w:val="2"/>
        </w:rPr>
      </w:pPr>
      <w:r w:rsidRPr="00EC7464">
        <w:rPr>
          <w:kern w:val="2"/>
        </w:rPr>
        <w:t xml:space="preserve">Provide subtotal of amount.  </w:t>
      </w:r>
      <w:r w:rsidRPr="62AD0331">
        <w:rPr>
          <w:i/>
          <w:iCs/>
          <w:kern w:val="2"/>
          <w:sz w:val="16"/>
          <w:szCs w:val="16"/>
        </w:rPr>
        <w:t>(Add rows as needed.)</w:t>
      </w:r>
    </w:p>
    <w:tbl>
      <w:tblPr>
        <w:tblW w:w="0" w:type="auto"/>
        <w:tblLayout w:type="fixed"/>
        <w:tblLook w:val="00E0" w:firstRow="1" w:lastRow="1" w:firstColumn="1" w:lastColumn="0" w:noHBand="0" w:noVBand="0"/>
      </w:tblPr>
      <w:tblGrid>
        <w:gridCol w:w="3030"/>
        <w:gridCol w:w="2010"/>
        <w:gridCol w:w="4320"/>
      </w:tblGrid>
      <w:tr w:rsidR="62AD0331" w14:paraId="24C57436" w14:textId="77777777" w:rsidTr="62AD0331">
        <w:trPr>
          <w:trHeight w:val="300"/>
        </w:trPr>
        <w:tc>
          <w:tcPr>
            <w:tcW w:w="303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tcMar>
              <w:left w:w="108" w:type="dxa"/>
              <w:right w:w="108" w:type="dxa"/>
            </w:tcMar>
            <w:vAlign w:val="bottom"/>
          </w:tcPr>
          <w:p w14:paraId="4A7B393A" w14:textId="38CB2115" w:rsidR="62AD0331" w:rsidRDefault="62AD0331" w:rsidP="62AD0331">
            <w:pPr>
              <w:spacing w:before="120" w:after="120"/>
              <w:jc w:val="center"/>
            </w:pPr>
            <w:r w:rsidRPr="62AD0331">
              <w:rPr>
                <w:rFonts w:eastAsia="Arial"/>
                <w:b/>
                <w:bCs/>
                <w:color w:val="000000" w:themeColor="text1"/>
                <w:szCs w:val="20"/>
              </w:rPr>
              <w:t xml:space="preserve">State Agency </w:t>
            </w:r>
            <w:r>
              <w:br/>
            </w:r>
            <w:r w:rsidRPr="62AD0331">
              <w:rPr>
                <w:rFonts w:eastAsia="Arial"/>
                <w:b/>
                <w:bCs/>
                <w:color w:val="000000" w:themeColor="text1"/>
                <w:szCs w:val="20"/>
              </w:rPr>
              <w:t>Receiving Funds</w:t>
            </w:r>
          </w:p>
        </w:tc>
        <w:tc>
          <w:tcPr>
            <w:tcW w:w="201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tcMar>
              <w:left w:w="108" w:type="dxa"/>
              <w:right w:w="108" w:type="dxa"/>
            </w:tcMar>
            <w:vAlign w:val="bottom"/>
          </w:tcPr>
          <w:p w14:paraId="73F9A281" w14:textId="06034170" w:rsidR="62AD0331" w:rsidRDefault="62AD0331" w:rsidP="62AD0331">
            <w:pPr>
              <w:spacing w:before="120" w:after="120"/>
              <w:jc w:val="center"/>
            </w:pPr>
            <w:r w:rsidRPr="62AD0331">
              <w:rPr>
                <w:rFonts w:eastAsia="Arial"/>
                <w:b/>
                <w:bCs/>
                <w:color w:val="000000" w:themeColor="text1"/>
                <w:szCs w:val="20"/>
              </w:rPr>
              <w:t>Amount of Funds</w:t>
            </w:r>
          </w:p>
        </w:tc>
        <w:tc>
          <w:tcPr>
            <w:tcW w:w="4320"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tcMar>
              <w:left w:w="108" w:type="dxa"/>
              <w:right w:w="108" w:type="dxa"/>
            </w:tcMar>
            <w:vAlign w:val="bottom"/>
          </w:tcPr>
          <w:p w14:paraId="1BE6C40E" w14:textId="48E06921" w:rsidR="62AD0331" w:rsidRDefault="62AD0331" w:rsidP="62AD0331">
            <w:pPr>
              <w:spacing w:before="120" w:after="120"/>
              <w:jc w:val="center"/>
            </w:pPr>
            <w:r w:rsidRPr="62AD0331">
              <w:rPr>
                <w:rFonts w:eastAsia="Arial"/>
                <w:b/>
                <w:bCs/>
                <w:color w:val="000000" w:themeColor="text1"/>
                <w:szCs w:val="20"/>
              </w:rPr>
              <w:t>Purpose</w:t>
            </w:r>
          </w:p>
        </w:tc>
      </w:tr>
      <w:tr w:rsidR="62AD0331" w14:paraId="655CFB7D" w14:textId="77777777" w:rsidTr="62AD0331">
        <w:trPr>
          <w:trHeight w:val="300"/>
        </w:trPr>
        <w:tc>
          <w:tcPr>
            <w:tcW w:w="3030" w:type="dxa"/>
            <w:tcBorders>
              <w:top w:val="single" w:sz="12" w:space="0" w:color="auto"/>
              <w:left w:val="single" w:sz="12" w:space="0" w:color="auto"/>
              <w:bottom w:val="single" w:sz="8" w:space="0" w:color="auto"/>
              <w:right w:val="single" w:sz="8" w:space="0" w:color="auto"/>
            </w:tcBorders>
            <w:tcMar>
              <w:left w:w="108" w:type="dxa"/>
              <w:right w:w="108" w:type="dxa"/>
            </w:tcMar>
          </w:tcPr>
          <w:p w14:paraId="64265AF2" w14:textId="7B3AAED1" w:rsidR="62AD0331" w:rsidRDefault="62AD0331" w:rsidP="62AD0331">
            <w:pPr>
              <w:spacing w:before="120" w:after="120"/>
            </w:pPr>
            <w:r w:rsidRPr="62AD0331">
              <w:rPr>
                <w:rFonts w:eastAsia="Arial"/>
                <w:szCs w:val="20"/>
              </w:rPr>
              <w:t>DALA</w:t>
            </w:r>
          </w:p>
        </w:tc>
        <w:tc>
          <w:tcPr>
            <w:tcW w:w="2010" w:type="dxa"/>
            <w:tcBorders>
              <w:top w:val="single" w:sz="12" w:space="0" w:color="auto"/>
              <w:left w:val="single" w:sz="8" w:space="0" w:color="auto"/>
              <w:bottom w:val="single" w:sz="8" w:space="0" w:color="auto"/>
              <w:right w:val="single" w:sz="8" w:space="0" w:color="auto"/>
            </w:tcBorders>
            <w:tcMar>
              <w:left w:w="108" w:type="dxa"/>
              <w:right w:w="108" w:type="dxa"/>
            </w:tcMar>
          </w:tcPr>
          <w:p w14:paraId="06B5BF42" w14:textId="34EFC835" w:rsidR="62AD0331" w:rsidRDefault="62AD0331" w:rsidP="62AD0331">
            <w:pPr>
              <w:spacing w:before="120" w:after="120"/>
            </w:pPr>
            <w:r w:rsidRPr="62AD0331">
              <w:rPr>
                <w:rFonts w:eastAsia="Arial"/>
                <w:szCs w:val="20"/>
              </w:rPr>
              <w:t>$7,000</w:t>
            </w:r>
          </w:p>
        </w:tc>
        <w:tc>
          <w:tcPr>
            <w:tcW w:w="4320" w:type="dxa"/>
            <w:tcBorders>
              <w:top w:val="single" w:sz="12" w:space="0" w:color="auto"/>
              <w:left w:val="single" w:sz="8" w:space="0" w:color="auto"/>
              <w:bottom w:val="single" w:sz="8" w:space="0" w:color="auto"/>
              <w:right w:val="single" w:sz="12" w:space="0" w:color="auto"/>
            </w:tcBorders>
            <w:tcMar>
              <w:left w:w="108" w:type="dxa"/>
              <w:right w:w="108" w:type="dxa"/>
            </w:tcMar>
          </w:tcPr>
          <w:p w14:paraId="46D2F739" w14:textId="40FF9912" w:rsidR="62AD0331" w:rsidRDefault="62AD0331" w:rsidP="62AD0331">
            <w:r w:rsidRPr="62AD0331">
              <w:rPr>
                <w:rFonts w:eastAsia="Arial"/>
                <w:szCs w:val="20"/>
              </w:rPr>
              <w:t>The Division of Administrative Law Appeals is</w:t>
            </w:r>
          </w:p>
          <w:p w14:paraId="115D39B6" w14:textId="36AEB554" w:rsidR="62AD0331" w:rsidRDefault="62AD0331" w:rsidP="62AD0331">
            <w:r w:rsidRPr="62AD0331">
              <w:rPr>
                <w:rFonts w:eastAsia="Arial"/>
                <w:szCs w:val="20"/>
              </w:rPr>
              <w:t>in the Executive Office of Administration &amp;</w:t>
            </w:r>
          </w:p>
          <w:p w14:paraId="70D67E06" w14:textId="2BAC6023" w:rsidR="62AD0331" w:rsidRDefault="62AD0331" w:rsidP="62AD0331">
            <w:r w:rsidRPr="62AD0331">
              <w:rPr>
                <w:rFonts w:eastAsia="Arial"/>
                <w:szCs w:val="20"/>
              </w:rPr>
              <w:t>Finance (i.e., DALA is not part of the Lead</w:t>
            </w:r>
          </w:p>
          <w:p w14:paraId="7969B8C9" w14:textId="3BBBC58A" w:rsidR="62AD0331" w:rsidRDefault="62AD0331" w:rsidP="62AD0331">
            <w:r w:rsidRPr="62AD0331">
              <w:rPr>
                <w:rFonts w:eastAsia="Arial"/>
                <w:szCs w:val="20"/>
              </w:rPr>
              <w:t>Agency). These funds are provided to DALA</w:t>
            </w:r>
          </w:p>
          <w:p w14:paraId="15C3A69A" w14:textId="7ECA5D98" w:rsidR="62AD0331" w:rsidRDefault="62AD0331" w:rsidP="62AD0331">
            <w:r w:rsidRPr="62AD0331">
              <w:rPr>
                <w:rFonts w:eastAsia="Arial"/>
                <w:szCs w:val="20"/>
              </w:rPr>
              <w:t>from the Lead Agency and are a retainer for</w:t>
            </w:r>
          </w:p>
          <w:p w14:paraId="101EB463" w14:textId="362C59F1" w:rsidR="62AD0331" w:rsidRDefault="62AD0331" w:rsidP="62AD0331">
            <w:r w:rsidRPr="62AD0331">
              <w:rPr>
                <w:rFonts w:eastAsia="Arial"/>
                <w:szCs w:val="20"/>
              </w:rPr>
              <w:t>qualified individuals to serve as hearing</w:t>
            </w:r>
          </w:p>
          <w:p w14:paraId="18C3D518" w14:textId="38B363BF" w:rsidR="62AD0331" w:rsidRDefault="62AD0331" w:rsidP="62AD0331">
            <w:r w:rsidRPr="62AD0331">
              <w:rPr>
                <w:rFonts w:eastAsia="Arial"/>
                <w:szCs w:val="20"/>
              </w:rPr>
              <w:t>officers to perform due process hearings and provide mediation services.</w:t>
            </w:r>
          </w:p>
        </w:tc>
      </w:tr>
      <w:tr w:rsidR="62AD0331" w14:paraId="0FB9299D" w14:textId="77777777" w:rsidTr="62AD0331">
        <w:trPr>
          <w:trHeight w:val="300"/>
        </w:trPr>
        <w:tc>
          <w:tcPr>
            <w:tcW w:w="3030" w:type="dxa"/>
            <w:tcBorders>
              <w:top w:val="single" w:sz="8" w:space="0" w:color="auto"/>
              <w:left w:val="single" w:sz="12" w:space="0" w:color="auto"/>
              <w:bottom w:val="single" w:sz="8" w:space="0" w:color="auto"/>
              <w:right w:val="single" w:sz="8" w:space="0" w:color="auto"/>
            </w:tcBorders>
            <w:tcMar>
              <w:left w:w="108" w:type="dxa"/>
              <w:right w:w="108" w:type="dxa"/>
            </w:tcMar>
          </w:tcPr>
          <w:p w14:paraId="69983F1B" w14:textId="5CBB1CEF" w:rsidR="62AD0331" w:rsidRDefault="62AD0331" w:rsidP="62AD0331">
            <w:pPr>
              <w:spacing w:before="120" w:after="120"/>
            </w:pPr>
            <w:r w:rsidRPr="62AD0331">
              <w:rPr>
                <w:rFonts w:eastAsia="Arial"/>
                <w:szCs w:val="20"/>
              </w:rPr>
              <w:t>DESE</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3FBBC5B1" w14:textId="20690F16" w:rsidR="62AD0331" w:rsidRDefault="62AD0331" w:rsidP="62AD0331">
            <w:pPr>
              <w:spacing w:before="120" w:after="120"/>
            </w:pPr>
            <w:r w:rsidRPr="62AD0331">
              <w:rPr>
                <w:rFonts w:eastAsia="Arial"/>
                <w:szCs w:val="20"/>
              </w:rPr>
              <w:t>$100,00</w:t>
            </w:r>
            <w:r w:rsidR="00D917F8">
              <w:rPr>
                <w:rFonts w:eastAsia="Arial"/>
                <w:szCs w:val="20"/>
              </w:rPr>
              <w:t>0</w:t>
            </w:r>
          </w:p>
        </w:tc>
        <w:tc>
          <w:tcPr>
            <w:tcW w:w="4320" w:type="dxa"/>
            <w:tcBorders>
              <w:top w:val="single" w:sz="8" w:space="0" w:color="auto"/>
              <w:left w:val="single" w:sz="8" w:space="0" w:color="auto"/>
              <w:bottom w:val="single" w:sz="8" w:space="0" w:color="auto"/>
              <w:right w:val="single" w:sz="12" w:space="0" w:color="auto"/>
            </w:tcBorders>
            <w:tcMar>
              <w:left w:w="108" w:type="dxa"/>
              <w:right w:w="108" w:type="dxa"/>
            </w:tcMar>
          </w:tcPr>
          <w:p w14:paraId="2C5C478A" w14:textId="08EE4058" w:rsidR="62AD0331" w:rsidRDefault="62AD0331" w:rsidP="62AD0331">
            <w:r w:rsidRPr="62AD0331">
              <w:rPr>
                <w:rFonts w:eastAsia="Arial"/>
                <w:szCs w:val="20"/>
              </w:rPr>
              <w:t>The Department of Elementary and</w:t>
            </w:r>
          </w:p>
          <w:p w14:paraId="1E4D71FD" w14:textId="7E79B8F5" w:rsidR="62AD0331" w:rsidRDefault="62AD0331" w:rsidP="62AD0331">
            <w:r w:rsidRPr="62AD0331">
              <w:rPr>
                <w:rFonts w:eastAsia="Arial"/>
                <w:szCs w:val="20"/>
              </w:rPr>
              <w:t>Secondary Education is in the Executive</w:t>
            </w:r>
          </w:p>
          <w:p w14:paraId="7968E1AA" w14:textId="4740139A" w:rsidR="62AD0331" w:rsidRDefault="62AD0331" w:rsidP="62AD0331">
            <w:r w:rsidRPr="62AD0331">
              <w:rPr>
                <w:rFonts w:eastAsia="Arial"/>
                <w:szCs w:val="20"/>
              </w:rPr>
              <w:t>Office of Education (i.e., DESE is not part of</w:t>
            </w:r>
          </w:p>
          <w:p w14:paraId="3BBA429F" w14:textId="157E39BF" w:rsidR="62AD0331" w:rsidRDefault="62AD0331" w:rsidP="62AD0331">
            <w:r w:rsidRPr="62AD0331">
              <w:rPr>
                <w:rFonts w:eastAsia="Arial"/>
                <w:szCs w:val="20"/>
              </w:rPr>
              <w:t>the Lead Agency). These funds are provided</w:t>
            </w:r>
          </w:p>
          <w:p w14:paraId="15AC6192" w14:textId="32B1A6D4" w:rsidR="62AD0331" w:rsidRDefault="62AD0331" w:rsidP="62AD0331">
            <w:r w:rsidRPr="62AD0331">
              <w:rPr>
                <w:rFonts w:eastAsia="Arial"/>
                <w:szCs w:val="20"/>
              </w:rPr>
              <w:t>to DESE from the Lead Agency and are used</w:t>
            </w:r>
          </w:p>
          <w:p w14:paraId="1C1FCF99" w14:textId="69348BDF" w:rsidR="62AD0331" w:rsidRDefault="62AD0331" w:rsidP="62AD0331">
            <w:r w:rsidRPr="62AD0331">
              <w:rPr>
                <w:rFonts w:eastAsia="Arial"/>
                <w:szCs w:val="20"/>
              </w:rPr>
              <w:t>to fund statewide efforts to improve the transition from Part C to Part B programs.</w:t>
            </w:r>
          </w:p>
        </w:tc>
      </w:tr>
      <w:tr w:rsidR="62AD0331" w14:paraId="55CDBF7E" w14:textId="77777777" w:rsidTr="62AD0331">
        <w:trPr>
          <w:trHeight w:val="300"/>
        </w:trPr>
        <w:tc>
          <w:tcPr>
            <w:tcW w:w="3030" w:type="dxa"/>
            <w:tcBorders>
              <w:top w:val="single" w:sz="8" w:space="0" w:color="auto"/>
              <w:left w:val="single" w:sz="12" w:space="0" w:color="auto"/>
              <w:bottom w:val="single" w:sz="12" w:space="0" w:color="auto"/>
              <w:right w:val="single" w:sz="8" w:space="0" w:color="auto"/>
            </w:tcBorders>
            <w:shd w:val="clear" w:color="auto" w:fill="F2F2F2" w:themeFill="background1" w:themeFillShade="F2"/>
            <w:tcMar>
              <w:left w:w="108" w:type="dxa"/>
              <w:right w:w="108" w:type="dxa"/>
            </w:tcMar>
          </w:tcPr>
          <w:p w14:paraId="304266AD" w14:textId="3A3AB9FB" w:rsidR="62AD0331" w:rsidRDefault="62AD0331" w:rsidP="62AD0331">
            <w:pPr>
              <w:spacing w:before="120" w:after="120"/>
            </w:pPr>
            <w:r w:rsidRPr="62AD0331">
              <w:rPr>
                <w:rFonts w:eastAsia="Arial"/>
                <w:b/>
                <w:bCs/>
                <w:color w:val="000000" w:themeColor="text1"/>
                <w:szCs w:val="20"/>
              </w:rPr>
              <w:t>Subtotal of amount under D:</w:t>
            </w:r>
          </w:p>
        </w:tc>
        <w:tc>
          <w:tcPr>
            <w:tcW w:w="2010" w:type="dxa"/>
            <w:tcBorders>
              <w:top w:val="single" w:sz="8" w:space="0" w:color="auto"/>
              <w:left w:val="single" w:sz="8" w:space="0" w:color="auto"/>
              <w:bottom w:val="single" w:sz="12" w:space="0" w:color="auto"/>
              <w:right w:val="single" w:sz="8" w:space="0" w:color="auto"/>
            </w:tcBorders>
            <w:tcMar>
              <w:left w:w="108" w:type="dxa"/>
              <w:right w:w="108" w:type="dxa"/>
            </w:tcMar>
          </w:tcPr>
          <w:p w14:paraId="1AACB8F2" w14:textId="5CE9C968" w:rsidR="62AD0331" w:rsidRDefault="62AD0331" w:rsidP="62AD0331">
            <w:pPr>
              <w:spacing w:before="120" w:after="120"/>
            </w:pPr>
            <w:r w:rsidRPr="62AD0331">
              <w:rPr>
                <w:rFonts w:eastAsia="Arial"/>
                <w:szCs w:val="20"/>
              </w:rPr>
              <w:t>$107,000</w:t>
            </w:r>
          </w:p>
        </w:tc>
        <w:tc>
          <w:tcPr>
            <w:tcW w:w="4320" w:type="dxa"/>
            <w:tcBorders>
              <w:top w:val="single" w:sz="8" w:space="0" w:color="auto"/>
              <w:left w:val="single" w:sz="8" w:space="0" w:color="auto"/>
              <w:bottom w:val="single" w:sz="12" w:space="0" w:color="auto"/>
              <w:right w:val="single" w:sz="12" w:space="0" w:color="auto"/>
            </w:tcBorders>
            <w:shd w:val="clear" w:color="auto" w:fill="808080" w:themeFill="background1" w:themeFillShade="80"/>
            <w:tcMar>
              <w:left w:w="108" w:type="dxa"/>
              <w:right w:w="108" w:type="dxa"/>
            </w:tcMar>
            <w:vAlign w:val="center"/>
          </w:tcPr>
          <w:p w14:paraId="40F98ABA" w14:textId="684AAE3A" w:rsidR="62AD0331" w:rsidRDefault="62AD0331" w:rsidP="62AD0331">
            <w:pPr>
              <w:spacing w:before="120" w:after="120"/>
              <w:jc w:val="center"/>
            </w:pPr>
            <w:r w:rsidRPr="62AD0331">
              <w:rPr>
                <w:rFonts w:eastAsia="Arial"/>
                <w:color w:val="808080" w:themeColor="background1" w:themeShade="80"/>
                <w:szCs w:val="20"/>
              </w:rPr>
              <w:t>No entry</w:t>
            </w:r>
          </w:p>
        </w:tc>
      </w:tr>
    </w:tbl>
    <w:p w14:paraId="03E740D5" w14:textId="0C5F38E6" w:rsidR="006F33AE" w:rsidRPr="00EC7464" w:rsidRDefault="006F33AE" w:rsidP="62AD0331">
      <w:pPr>
        <w:sectPr w:rsidR="006F33AE" w:rsidRPr="00EC7464" w:rsidSect="009A0271">
          <w:pgSz w:w="12240" w:h="15840"/>
          <w:pgMar w:top="1440" w:right="1440" w:bottom="1440" w:left="1440" w:header="720" w:footer="720" w:gutter="0"/>
          <w:cols w:space="720"/>
          <w:docGrid w:linePitch="360"/>
        </w:sectPr>
      </w:pPr>
    </w:p>
    <w:p w14:paraId="03E740D7" w14:textId="77777777" w:rsidR="00682DC7" w:rsidRPr="00EC7464" w:rsidRDefault="00510956" w:rsidP="00A820A0">
      <w:pPr>
        <w:pStyle w:val="Heading2"/>
      </w:pPr>
      <w:r w:rsidRPr="00EC7464">
        <w:lastRenderedPageBreak/>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6363A4F9"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00EA77F0"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EE7F7D4" w:rsidP="00A754D3">
      <w:pPr>
        <w:spacing w:after="120"/>
        <w:rPr>
          <w:i/>
          <w:iCs/>
          <w:kern w:val="2"/>
          <w:sz w:val="16"/>
        </w:rPr>
      </w:pPr>
      <w:r w:rsidRPr="00EC7464">
        <w:rPr>
          <w:kern w:val="2"/>
        </w:rPr>
        <w:t xml:space="preserve">Provide subtotal of amount.  </w:t>
      </w:r>
      <w:r w:rsidRPr="62AD0331">
        <w:rPr>
          <w:i/>
          <w:iCs/>
          <w:kern w:val="2"/>
          <w:sz w:val="16"/>
          <w:szCs w:val="16"/>
        </w:rPr>
        <w:t>(Add rows as needed.)</w:t>
      </w:r>
    </w:p>
    <w:tbl>
      <w:tblPr>
        <w:tblW w:w="0" w:type="auto"/>
        <w:tblLayout w:type="fixed"/>
        <w:tblLook w:val="00E0" w:firstRow="1" w:lastRow="1" w:firstColumn="1" w:lastColumn="0" w:noHBand="0" w:noVBand="0"/>
      </w:tblPr>
      <w:tblGrid>
        <w:gridCol w:w="3030"/>
        <w:gridCol w:w="2010"/>
        <w:gridCol w:w="4320"/>
      </w:tblGrid>
      <w:tr w:rsidR="62AD0331" w14:paraId="6A9F6EEA" w14:textId="77777777" w:rsidTr="62AD0331">
        <w:trPr>
          <w:trHeight w:val="300"/>
        </w:trPr>
        <w:tc>
          <w:tcPr>
            <w:tcW w:w="303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tcMar>
              <w:left w:w="108" w:type="dxa"/>
              <w:right w:w="108" w:type="dxa"/>
            </w:tcMar>
            <w:vAlign w:val="bottom"/>
          </w:tcPr>
          <w:p w14:paraId="45BC4810" w14:textId="21BC6CCA" w:rsidR="62AD0331" w:rsidRDefault="62AD0331" w:rsidP="62AD0331">
            <w:pPr>
              <w:spacing w:before="120" w:after="120"/>
              <w:jc w:val="center"/>
            </w:pPr>
            <w:r w:rsidRPr="62AD0331">
              <w:rPr>
                <w:rFonts w:eastAsia="Arial"/>
                <w:b/>
                <w:bCs/>
                <w:color w:val="000000" w:themeColor="text1"/>
                <w:szCs w:val="20"/>
              </w:rPr>
              <w:t>Major Activity</w:t>
            </w:r>
          </w:p>
        </w:tc>
        <w:tc>
          <w:tcPr>
            <w:tcW w:w="201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tcMar>
              <w:left w:w="108" w:type="dxa"/>
              <w:right w:w="108" w:type="dxa"/>
            </w:tcMar>
            <w:vAlign w:val="bottom"/>
          </w:tcPr>
          <w:p w14:paraId="674F49D2" w14:textId="72908CD5" w:rsidR="62AD0331" w:rsidRDefault="62AD0331" w:rsidP="62AD0331">
            <w:pPr>
              <w:spacing w:before="120" w:after="120"/>
              <w:jc w:val="center"/>
            </w:pPr>
            <w:r w:rsidRPr="62AD0331">
              <w:rPr>
                <w:rFonts w:eastAsia="Arial"/>
                <w:b/>
                <w:bCs/>
                <w:color w:val="000000" w:themeColor="text1"/>
                <w:szCs w:val="20"/>
              </w:rPr>
              <w:t xml:space="preserve">Part C Funds </w:t>
            </w:r>
            <w:r>
              <w:br/>
            </w:r>
            <w:r w:rsidRPr="62AD0331">
              <w:rPr>
                <w:rFonts w:eastAsia="Arial"/>
                <w:b/>
                <w:bCs/>
                <w:color w:val="000000" w:themeColor="text1"/>
                <w:szCs w:val="20"/>
              </w:rPr>
              <w:t>to be Spent</w:t>
            </w:r>
          </w:p>
        </w:tc>
        <w:tc>
          <w:tcPr>
            <w:tcW w:w="4320"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tcMar>
              <w:left w:w="108" w:type="dxa"/>
              <w:right w:w="108" w:type="dxa"/>
            </w:tcMar>
            <w:vAlign w:val="bottom"/>
          </w:tcPr>
          <w:p w14:paraId="5ADE12F2" w14:textId="08DF4180" w:rsidR="62AD0331" w:rsidRDefault="62AD0331" w:rsidP="62AD0331">
            <w:pPr>
              <w:spacing w:before="120" w:after="120"/>
              <w:jc w:val="center"/>
            </w:pPr>
            <w:r w:rsidRPr="62AD0331">
              <w:rPr>
                <w:rFonts w:eastAsia="Arial"/>
                <w:b/>
                <w:bCs/>
                <w:color w:val="000000" w:themeColor="text1"/>
                <w:szCs w:val="20"/>
              </w:rPr>
              <w:t>Description of Activities</w:t>
            </w:r>
          </w:p>
        </w:tc>
      </w:tr>
      <w:tr w:rsidR="62AD0331" w14:paraId="0906287D" w14:textId="77777777" w:rsidTr="62AD0331">
        <w:trPr>
          <w:trHeight w:val="300"/>
        </w:trPr>
        <w:tc>
          <w:tcPr>
            <w:tcW w:w="3030" w:type="dxa"/>
            <w:tcBorders>
              <w:top w:val="single" w:sz="12" w:space="0" w:color="auto"/>
              <w:left w:val="single" w:sz="12" w:space="0" w:color="auto"/>
              <w:bottom w:val="single" w:sz="8" w:space="0" w:color="auto"/>
              <w:right w:val="single" w:sz="8" w:space="0" w:color="auto"/>
            </w:tcBorders>
            <w:tcMar>
              <w:left w:w="108" w:type="dxa"/>
              <w:right w:w="108" w:type="dxa"/>
            </w:tcMar>
          </w:tcPr>
          <w:p w14:paraId="3BC07A61" w14:textId="631371BC" w:rsidR="62AD0331" w:rsidRDefault="62AD0331" w:rsidP="62AD0331">
            <w:pPr>
              <w:spacing w:before="120" w:after="120"/>
            </w:pPr>
            <w:r w:rsidRPr="62AD0331">
              <w:rPr>
                <w:rFonts w:eastAsia="Arial"/>
                <w:szCs w:val="20"/>
              </w:rPr>
              <w:t>At-Risk Population, Child Find</w:t>
            </w:r>
          </w:p>
        </w:tc>
        <w:tc>
          <w:tcPr>
            <w:tcW w:w="2010" w:type="dxa"/>
            <w:tcBorders>
              <w:top w:val="single" w:sz="12" w:space="0" w:color="auto"/>
              <w:left w:val="single" w:sz="8" w:space="0" w:color="auto"/>
              <w:bottom w:val="single" w:sz="8" w:space="0" w:color="auto"/>
              <w:right w:val="single" w:sz="8" w:space="0" w:color="auto"/>
            </w:tcBorders>
            <w:tcMar>
              <w:left w:w="108" w:type="dxa"/>
              <w:right w:w="108" w:type="dxa"/>
            </w:tcMar>
          </w:tcPr>
          <w:p w14:paraId="62B76441" w14:textId="2D9739EC" w:rsidR="62AD0331" w:rsidRDefault="62AD0331" w:rsidP="62AD0331">
            <w:pPr>
              <w:spacing w:before="120" w:after="120"/>
            </w:pPr>
            <w:r w:rsidRPr="62AD0331">
              <w:rPr>
                <w:rFonts w:eastAsia="Arial"/>
                <w:szCs w:val="20"/>
              </w:rPr>
              <w:t>$100,000</w:t>
            </w:r>
          </w:p>
        </w:tc>
        <w:tc>
          <w:tcPr>
            <w:tcW w:w="4320" w:type="dxa"/>
            <w:tcBorders>
              <w:top w:val="single" w:sz="12" w:space="0" w:color="auto"/>
              <w:left w:val="single" w:sz="8" w:space="0" w:color="auto"/>
              <w:bottom w:val="single" w:sz="8" w:space="0" w:color="auto"/>
              <w:right w:val="single" w:sz="12" w:space="0" w:color="auto"/>
            </w:tcBorders>
            <w:tcMar>
              <w:left w:w="108" w:type="dxa"/>
              <w:right w:w="108" w:type="dxa"/>
            </w:tcMar>
          </w:tcPr>
          <w:p w14:paraId="11FBCC01" w14:textId="19F0CAD8" w:rsidR="62AD0331" w:rsidRDefault="62AD0331" w:rsidP="62AD0331">
            <w:pPr>
              <w:spacing w:before="120" w:after="120"/>
            </w:pPr>
            <w:r w:rsidRPr="62AD0331">
              <w:rPr>
                <w:rFonts w:eastAsia="Arial"/>
                <w:szCs w:val="20"/>
              </w:rPr>
              <w:t>These funds support the Early Intervention Parenting Partnership (EIPP) program. This evidence-based program provides direct services to families in communities of color that have been disproportionately affected by COVID-19 and has been shown to be an effective child find activity to identifying at-risk infants and toddlers.</w:t>
            </w:r>
          </w:p>
        </w:tc>
      </w:tr>
      <w:tr w:rsidR="62AD0331" w14:paraId="4CC15E5F" w14:textId="77777777" w:rsidTr="62AD0331">
        <w:trPr>
          <w:trHeight w:val="300"/>
        </w:trPr>
        <w:tc>
          <w:tcPr>
            <w:tcW w:w="3030" w:type="dxa"/>
            <w:tcBorders>
              <w:top w:val="single" w:sz="8" w:space="0" w:color="auto"/>
              <w:left w:val="single" w:sz="12" w:space="0" w:color="auto"/>
              <w:bottom w:val="single" w:sz="12" w:space="0" w:color="auto"/>
              <w:right w:val="single" w:sz="8" w:space="0" w:color="auto"/>
            </w:tcBorders>
            <w:shd w:val="clear" w:color="auto" w:fill="F2F2F2" w:themeFill="background1" w:themeFillShade="F2"/>
            <w:tcMar>
              <w:left w:w="108" w:type="dxa"/>
              <w:right w:w="108" w:type="dxa"/>
            </w:tcMar>
          </w:tcPr>
          <w:p w14:paraId="0D55DC98" w14:textId="27F05316" w:rsidR="62AD0331" w:rsidRDefault="62AD0331" w:rsidP="62AD0331">
            <w:pPr>
              <w:spacing w:before="120" w:after="120"/>
            </w:pPr>
            <w:r w:rsidRPr="62AD0331">
              <w:rPr>
                <w:rFonts w:eastAsia="Arial"/>
                <w:b/>
                <w:bCs/>
                <w:color w:val="000000" w:themeColor="text1"/>
                <w:szCs w:val="20"/>
              </w:rPr>
              <w:t>Subtotal of amount under E:</w:t>
            </w:r>
          </w:p>
        </w:tc>
        <w:tc>
          <w:tcPr>
            <w:tcW w:w="2010" w:type="dxa"/>
            <w:tcBorders>
              <w:top w:val="single" w:sz="8" w:space="0" w:color="auto"/>
              <w:left w:val="single" w:sz="8" w:space="0" w:color="auto"/>
              <w:bottom w:val="single" w:sz="12" w:space="0" w:color="auto"/>
              <w:right w:val="single" w:sz="8" w:space="0" w:color="auto"/>
            </w:tcBorders>
            <w:tcMar>
              <w:left w:w="108" w:type="dxa"/>
              <w:right w:w="108" w:type="dxa"/>
            </w:tcMar>
          </w:tcPr>
          <w:p w14:paraId="236D577A" w14:textId="46AE1D52" w:rsidR="62AD0331" w:rsidRDefault="62AD0331" w:rsidP="62AD0331">
            <w:pPr>
              <w:spacing w:before="120" w:after="120"/>
            </w:pPr>
            <w:r w:rsidRPr="62AD0331">
              <w:rPr>
                <w:rFonts w:eastAsia="Arial"/>
                <w:szCs w:val="20"/>
              </w:rPr>
              <w:t>$100,000</w:t>
            </w:r>
          </w:p>
        </w:tc>
        <w:tc>
          <w:tcPr>
            <w:tcW w:w="4320" w:type="dxa"/>
            <w:tcBorders>
              <w:top w:val="single" w:sz="8" w:space="0" w:color="auto"/>
              <w:left w:val="single" w:sz="8" w:space="0" w:color="auto"/>
              <w:bottom w:val="single" w:sz="12" w:space="0" w:color="auto"/>
              <w:right w:val="single" w:sz="12" w:space="0" w:color="auto"/>
            </w:tcBorders>
            <w:shd w:val="clear" w:color="auto" w:fill="808080" w:themeFill="background1" w:themeFillShade="80"/>
            <w:tcMar>
              <w:left w:w="108" w:type="dxa"/>
              <w:right w:w="108" w:type="dxa"/>
            </w:tcMar>
            <w:vAlign w:val="center"/>
          </w:tcPr>
          <w:p w14:paraId="2E034165" w14:textId="2405493E" w:rsidR="62AD0331" w:rsidRDefault="62AD0331" w:rsidP="62AD0331">
            <w:pPr>
              <w:spacing w:before="120" w:after="120"/>
              <w:jc w:val="center"/>
            </w:pPr>
            <w:r w:rsidRPr="62AD0331">
              <w:rPr>
                <w:rFonts w:eastAsia="Arial"/>
                <w:color w:val="808080" w:themeColor="background1" w:themeShade="80"/>
                <w:szCs w:val="20"/>
              </w:rPr>
              <w:t>No entry</w:t>
            </w:r>
          </w:p>
        </w:tc>
      </w:tr>
    </w:tbl>
    <w:p w14:paraId="03E740F7" w14:textId="2987349E" w:rsidR="00682DC7" w:rsidRPr="00EC7464" w:rsidRDefault="00682DC7" w:rsidP="62AD0331"/>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A" w14:textId="77777777" w:rsidR="009B1938" w:rsidRPr="00EC7464" w:rsidRDefault="0078752B" w:rsidP="00A820A0">
      <w:pPr>
        <w:pStyle w:val="Heading2"/>
      </w:pPr>
      <w:r w:rsidRPr="00EC7464">
        <w:lastRenderedPageBreak/>
        <w:t>F</w:t>
      </w:r>
      <w:r w:rsidR="009B1938" w:rsidRPr="00EC7464">
        <w:t>.</w:t>
      </w:r>
      <w:r w:rsidR="009B1938" w:rsidRPr="00EC7464">
        <w:tab/>
        <w:t>Totals</w:t>
      </w:r>
    </w:p>
    <w:p w14:paraId="03E740FB" w14:textId="255D2CE8" w:rsidR="009B1938" w:rsidRPr="00EC7464" w:rsidRDefault="69E76ADC" w:rsidP="009F5BD2">
      <w:pPr>
        <w:pStyle w:val="Header"/>
        <w:tabs>
          <w:tab w:val="clear" w:pos="4320"/>
          <w:tab w:val="clear" w:pos="8640"/>
        </w:tabs>
        <w:spacing w:after="240"/>
        <w:ind w:left="400"/>
        <w:rPr>
          <w:b/>
          <w:bCs/>
          <w:kern w:val="2"/>
        </w:rPr>
      </w:pPr>
      <w:r w:rsidRPr="62AD0331">
        <w:rPr>
          <w:kern w:val="2"/>
        </w:rPr>
        <w:t>Enter the subtotal amounts for Sub Sections A-</w:t>
      </w:r>
      <w:r w:rsidR="2CB0DDD6" w:rsidRPr="62AD0331">
        <w:rPr>
          <w:kern w:val="2"/>
        </w:rPr>
        <w:t>E</w:t>
      </w:r>
      <w:r w:rsidRPr="62AD0331">
        <w:rPr>
          <w:kern w:val="2"/>
        </w:rPr>
        <w:t xml:space="preserve"> found in Section III and any indirect costs charged as specified in Section IV.B. The subtotal amounts (Rows 1-</w:t>
      </w:r>
      <w:r w:rsidR="5E97BB4F" w:rsidRPr="62AD0331">
        <w:rPr>
          <w:kern w:val="2"/>
        </w:rPr>
        <w:t>6</w:t>
      </w:r>
      <w:r w:rsidRPr="62AD0331">
        <w:rPr>
          <w:kern w:val="2"/>
        </w:rPr>
        <w:t>) should total the estimated grant application amount. (A State may apply for less than the full estimated allotted amount.)</w:t>
      </w:r>
    </w:p>
    <w:tbl>
      <w:tblPr>
        <w:tblW w:w="0" w:type="auto"/>
        <w:tblLayout w:type="fixed"/>
        <w:tblLook w:val="00E0" w:firstRow="1" w:lastRow="1" w:firstColumn="1" w:lastColumn="0" w:noHBand="0" w:noVBand="0"/>
      </w:tblPr>
      <w:tblGrid>
        <w:gridCol w:w="1228"/>
        <w:gridCol w:w="1498"/>
        <w:gridCol w:w="6634"/>
      </w:tblGrid>
      <w:tr w:rsidR="62AD0331" w14:paraId="164CF7D8" w14:textId="77777777" w:rsidTr="62AD0331">
        <w:trPr>
          <w:trHeight w:val="300"/>
        </w:trPr>
        <w:tc>
          <w:tcPr>
            <w:tcW w:w="1228"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tcMar>
              <w:left w:w="108" w:type="dxa"/>
              <w:right w:w="108" w:type="dxa"/>
            </w:tcMar>
            <w:vAlign w:val="bottom"/>
          </w:tcPr>
          <w:p w14:paraId="01E6D315" w14:textId="70484F56" w:rsidR="62AD0331" w:rsidRDefault="62AD0331" w:rsidP="62AD0331">
            <w:pPr>
              <w:spacing w:before="120" w:after="120"/>
              <w:jc w:val="center"/>
            </w:pPr>
            <w:r w:rsidRPr="62AD0331">
              <w:rPr>
                <w:rFonts w:eastAsia="Arial"/>
                <w:b/>
                <w:bCs/>
                <w:color w:val="000000" w:themeColor="text1"/>
                <w:szCs w:val="20"/>
              </w:rPr>
              <w:t>Row No.</w:t>
            </w:r>
          </w:p>
        </w:tc>
        <w:tc>
          <w:tcPr>
            <w:tcW w:w="1498" w:type="dxa"/>
            <w:tcBorders>
              <w:top w:val="single" w:sz="12" w:space="0" w:color="auto"/>
              <w:left w:val="single" w:sz="8" w:space="0" w:color="auto"/>
              <w:bottom w:val="single" w:sz="12" w:space="0" w:color="auto"/>
              <w:right w:val="single" w:sz="8" w:space="0" w:color="auto"/>
            </w:tcBorders>
            <w:shd w:val="clear" w:color="auto" w:fill="F2F2F2" w:themeFill="background1" w:themeFillShade="F2"/>
            <w:tcMar>
              <w:left w:w="108" w:type="dxa"/>
              <w:right w:w="108" w:type="dxa"/>
            </w:tcMar>
            <w:vAlign w:val="bottom"/>
          </w:tcPr>
          <w:p w14:paraId="5DC09467" w14:textId="6BC772CF" w:rsidR="62AD0331" w:rsidRDefault="62AD0331" w:rsidP="62AD0331">
            <w:pPr>
              <w:spacing w:before="120" w:after="120"/>
              <w:jc w:val="center"/>
            </w:pPr>
            <w:r w:rsidRPr="62AD0331">
              <w:rPr>
                <w:rFonts w:eastAsia="Arial"/>
                <w:b/>
                <w:bCs/>
                <w:color w:val="000000" w:themeColor="text1"/>
                <w:szCs w:val="20"/>
              </w:rPr>
              <w:t>Section</w:t>
            </w:r>
          </w:p>
        </w:tc>
        <w:tc>
          <w:tcPr>
            <w:tcW w:w="6634"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tcMar>
              <w:left w:w="108" w:type="dxa"/>
              <w:right w:w="108" w:type="dxa"/>
            </w:tcMar>
            <w:vAlign w:val="bottom"/>
          </w:tcPr>
          <w:p w14:paraId="291194EA" w14:textId="493A1105" w:rsidR="62AD0331" w:rsidRDefault="62AD0331" w:rsidP="62AD0331">
            <w:pPr>
              <w:spacing w:before="120" w:after="120"/>
              <w:jc w:val="center"/>
            </w:pPr>
            <w:r w:rsidRPr="62AD0331">
              <w:rPr>
                <w:rFonts w:eastAsia="Arial"/>
                <w:b/>
                <w:bCs/>
                <w:color w:val="000000" w:themeColor="text1"/>
                <w:szCs w:val="20"/>
              </w:rPr>
              <w:t>Amount</w:t>
            </w:r>
          </w:p>
        </w:tc>
      </w:tr>
      <w:tr w:rsidR="62AD0331" w14:paraId="18D0D7EF" w14:textId="77777777" w:rsidTr="62AD0331">
        <w:trPr>
          <w:trHeight w:val="300"/>
        </w:trPr>
        <w:tc>
          <w:tcPr>
            <w:tcW w:w="9360" w:type="dxa"/>
            <w:gridSpan w:val="3"/>
            <w:tcBorders>
              <w:top w:val="single" w:sz="12" w:space="0" w:color="auto"/>
              <w:left w:val="single" w:sz="12" w:space="0" w:color="auto"/>
              <w:bottom w:val="single" w:sz="8" w:space="0" w:color="auto"/>
              <w:right w:val="single" w:sz="12" w:space="0" w:color="auto"/>
            </w:tcBorders>
            <w:shd w:val="clear" w:color="auto" w:fill="F2F2F2" w:themeFill="background1" w:themeFillShade="F2"/>
            <w:tcMar>
              <w:left w:w="108" w:type="dxa"/>
              <w:right w:w="108" w:type="dxa"/>
            </w:tcMar>
            <w:vAlign w:val="center"/>
          </w:tcPr>
          <w:p w14:paraId="6A3BFF7E" w14:textId="75F07027" w:rsidR="62AD0331" w:rsidRDefault="62AD0331" w:rsidP="62AD0331">
            <w:pPr>
              <w:spacing w:before="120" w:after="120"/>
            </w:pPr>
            <w:r w:rsidRPr="62AD0331">
              <w:rPr>
                <w:rFonts w:eastAsia="Arial"/>
                <w:b/>
                <w:bCs/>
                <w:color w:val="000000" w:themeColor="text1"/>
                <w:szCs w:val="20"/>
              </w:rPr>
              <w:t>Enter the subtotal amounts for Sub Sections A-E found in Section III of this application</w:t>
            </w:r>
            <w:r w:rsidRPr="62AD0331">
              <w:rPr>
                <w:rFonts w:eastAsia="Arial"/>
                <w:color w:val="000000" w:themeColor="text1"/>
                <w:szCs w:val="20"/>
              </w:rPr>
              <w:t>.</w:t>
            </w:r>
          </w:p>
        </w:tc>
      </w:tr>
      <w:tr w:rsidR="62AD0331" w14:paraId="437D4B9C" w14:textId="77777777" w:rsidTr="62AD0331">
        <w:trPr>
          <w:trHeight w:val="300"/>
        </w:trPr>
        <w:tc>
          <w:tcPr>
            <w:tcW w:w="1228"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Mar>
              <w:left w:w="108" w:type="dxa"/>
              <w:right w:w="108" w:type="dxa"/>
            </w:tcMar>
          </w:tcPr>
          <w:p w14:paraId="7E387700" w14:textId="2B031B50" w:rsidR="62AD0331" w:rsidRDefault="62AD0331" w:rsidP="62AD0331">
            <w:pPr>
              <w:spacing w:before="120" w:after="120"/>
              <w:jc w:val="center"/>
            </w:pPr>
            <w:r w:rsidRPr="62AD0331">
              <w:rPr>
                <w:rFonts w:eastAsia="Arial"/>
                <w:color w:val="000000" w:themeColor="text1"/>
                <w:szCs w:val="20"/>
              </w:rPr>
              <w:t>1.</w:t>
            </w:r>
          </w:p>
        </w:tc>
        <w:tc>
          <w:tcPr>
            <w:tcW w:w="1498"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EBF46BB" w14:textId="5CDF87D1" w:rsidR="62AD0331" w:rsidRDefault="62AD0331" w:rsidP="62AD0331">
            <w:pPr>
              <w:spacing w:before="120" w:after="120"/>
              <w:jc w:val="center"/>
            </w:pPr>
            <w:r w:rsidRPr="62AD0331">
              <w:rPr>
                <w:rFonts w:eastAsia="Arial"/>
                <w:color w:val="000000" w:themeColor="text1"/>
                <w:szCs w:val="20"/>
              </w:rPr>
              <w:t>III.A.</w:t>
            </w:r>
          </w:p>
        </w:tc>
        <w:tc>
          <w:tcPr>
            <w:tcW w:w="6634" w:type="dxa"/>
            <w:tcBorders>
              <w:top w:val="nil"/>
              <w:left w:val="single" w:sz="8" w:space="0" w:color="auto"/>
              <w:bottom w:val="single" w:sz="8" w:space="0" w:color="auto"/>
              <w:right w:val="single" w:sz="12" w:space="0" w:color="auto"/>
            </w:tcBorders>
            <w:tcMar>
              <w:left w:w="108" w:type="dxa"/>
              <w:right w:w="108" w:type="dxa"/>
            </w:tcMar>
          </w:tcPr>
          <w:p w14:paraId="29F776DC" w14:textId="652A7953" w:rsidR="62AD0331" w:rsidRDefault="62AD0331" w:rsidP="62AD0331">
            <w:pPr>
              <w:spacing w:before="120" w:after="120"/>
              <w:jc w:val="right"/>
            </w:pPr>
            <w:r w:rsidRPr="62AD0331">
              <w:rPr>
                <w:rFonts w:eastAsia="Arial"/>
                <w:szCs w:val="20"/>
              </w:rPr>
              <w:t xml:space="preserve"> $3,762,684.83 </w:t>
            </w:r>
          </w:p>
        </w:tc>
      </w:tr>
      <w:tr w:rsidR="62AD0331" w14:paraId="1E73698C" w14:textId="77777777" w:rsidTr="62AD0331">
        <w:trPr>
          <w:trHeight w:val="300"/>
        </w:trPr>
        <w:tc>
          <w:tcPr>
            <w:tcW w:w="1228"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Mar>
              <w:left w:w="108" w:type="dxa"/>
              <w:right w:w="108" w:type="dxa"/>
            </w:tcMar>
          </w:tcPr>
          <w:p w14:paraId="36505FEB" w14:textId="36814C61" w:rsidR="62AD0331" w:rsidRDefault="62AD0331" w:rsidP="62AD0331">
            <w:pPr>
              <w:spacing w:before="120" w:after="120"/>
              <w:jc w:val="center"/>
            </w:pPr>
            <w:r w:rsidRPr="62AD0331">
              <w:rPr>
                <w:rFonts w:eastAsia="Arial"/>
                <w:color w:val="000000" w:themeColor="text1"/>
                <w:szCs w:val="20"/>
              </w:rPr>
              <w:t>2.</w:t>
            </w:r>
          </w:p>
        </w:tc>
        <w:tc>
          <w:tcPr>
            <w:tcW w:w="149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7C79F72" w14:textId="5A3A8F11" w:rsidR="62AD0331" w:rsidRDefault="62AD0331" w:rsidP="62AD0331">
            <w:pPr>
              <w:spacing w:before="120" w:after="120"/>
              <w:jc w:val="center"/>
            </w:pPr>
            <w:r w:rsidRPr="62AD0331">
              <w:rPr>
                <w:rFonts w:eastAsia="Arial"/>
                <w:color w:val="000000" w:themeColor="text1"/>
                <w:szCs w:val="20"/>
              </w:rPr>
              <w:t>III.B.</w:t>
            </w:r>
          </w:p>
        </w:tc>
        <w:tc>
          <w:tcPr>
            <w:tcW w:w="6634" w:type="dxa"/>
            <w:tcBorders>
              <w:top w:val="single" w:sz="8" w:space="0" w:color="auto"/>
              <w:left w:val="single" w:sz="8" w:space="0" w:color="auto"/>
              <w:bottom w:val="single" w:sz="8" w:space="0" w:color="auto"/>
              <w:right w:val="single" w:sz="12" w:space="0" w:color="auto"/>
            </w:tcBorders>
            <w:tcMar>
              <w:left w:w="108" w:type="dxa"/>
              <w:right w:w="108" w:type="dxa"/>
            </w:tcMar>
          </w:tcPr>
          <w:p w14:paraId="76BF4303" w14:textId="7209CC72" w:rsidR="62AD0331" w:rsidRDefault="62AD0331" w:rsidP="62AD0331">
            <w:pPr>
              <w:spacing w:before="120" w:after="120"/>
              <w:jc w:val="right"/>
            </w:pPr>
            <w:r w:rsidRPr="62AD0331">
              <w:rPr>
                <w:rFonts w:eastAsia="Arial"/>
                <w:szCs w:val="20"/>
              </w:rPr>
              <w:t xml:space="preserve"> $3,155,344.17 </w:t>
            </w:r>
          </w:p>
        </w:tc>
      </w:tr>
      <w:tr w:rsidR="62AD0331" w14:paraId="7857B14A" w14:textId="77777777" w:rsidTr="62AD0331">
        <w:trPr>
          <w:trHeight w:val="300"/>
        </w:trPr>
        <w:tc>
          <w:tcPr>
            <w:tcW w:w="1228"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Mar>
              <w:left w:w="108" w:type="dxa"/>
              <w:right w:w="108" w:type="dxa"/>
            </w:tcMar>
          </w:tcPr>
          <w:p w14:paraId="63B14FC1" w14:textId="6C53663B" w:rsidR="62AD0331" w:rsidRDefault="62AD0331" w:rsidP="62AD0331">
            <w:pPr>
              <w:spacing w:before="120" w:after="120"/>
              <w:jc w:val="center"/>
            </w:pPr>
            <w:r w:rsidRPr="62AD0331">
              <w:rPr>
                <w:rFonts w:eastAsia="Arial"/>
                <w:color w:val="000000" w:themeColor="text1"/>
                <w:szCs w:val="20"/>
              </w:rPr>
              <w:t>3.</w:t>
            </w:r>
          </w:p>
        </w:tc>
        <w:tc>
          <w:tcPr>
            <w:tcW w:w="149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82F2B0E" w14:textId="2E6BBCA7" w:rsidR="62AD0331" w:rsidRDefault="62AD0331" w:rsidP="62AD0331">
            <w:pPr>
              <w:spacing w:before="120" w:after="120"/>
              <w:jc w:val="center"/>
            </w:pPr>
            <w:r w:rsidRPr="62AD0331">
              <w:rPr>
                <w:rFonts w:eastAsia="Arial"/>
                <w:color w:val="000000" w:themeColor="text1"/>
                <w:szCs w:val="20"/>
              </w:rPr>
              <w:t>III.C.</w:t>
            </w:r>
          </w:p>
        </w:tc>
        <w:tc>
          <w:tcPr>
            <w:tcW w:w="6634" w:type="dxa"/>
            <w:tcBorders>
              <w:top w:val="single" w:sz="8" w:space="0" w:color="auto"/>
              <w:left w:val="single" w:sz="8" w:space="0" w:color="auto"/>
              <w:bottom w:val="single" w:sz="8" w:space="0" w:color="auto"/>
              <w:right w:val="single" w:sz="12" w:space="0" w:color="auto"/>
            </w:tcBorders>
            <w:tcMar>
              <w:left w:w="108" w:type="dxa"/>
              <w:right w:w="108" w:type="dxa"/>
            </w:tcMar>
          </w:tcPr>
          <w:p w14:paraId="680E83EF" w14:textId="48880C0C" w:rsidR="62AD0331" w:rsidRDefault="62AD0331" w:rsidP="62AD0331">
            <w:pPr>
              <w:spacing w:before="120" w:after="120"/>
              <w:jc w:val="right"/>
            </w:pPr>
            <w:r w:rsidRPr="62AD0331">
              <w:rPr>
                <w:rFonts w:eastAsia="Arial"/>
                <w:szCs w:val="20"/>
              </w:rPr>
              <w:t xml:space="preserve"> $2,135,480.00 </w:t>
            </w:r>
          </w:p>
        </w:tc>
      </w:tr>
      <w:tr w:rsidR="62AD0331" w14:paraId="48B2EB5D" w14:textId="77777777" w:rsidTr="62AD0331">
        <w:trPr>
          <w:trHeight w:val="300"/>
        </w:trPr>
        <w:tc>
          <w:tcPr>
            <w:tcW w:w="1228"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Mar>
              <w:left w:w="108" w:type="dxa"/>
              <w:right w:w="108" w:type="dxa"/>
            </w:tcMar>
          </w:tcPr>
          <w:p w14:paraId="4D126815" w14:textId="76E15735" w:rsidR="62AD0331" w:rsidRDefault="62AD0331" w:rsidP="62AD0331">
            <w:pPr>
              <w:spacing w:before="120" w:after="120"/>
              <w:jc w:val="center"/>
            </w:pPr>
            <w:r w:rsidRPr="62AD0331">
              <w:rPr>
                <w:rFonts w:eastAsia="Arial"/>
                <w:color w:val="000000" w:themeColor="text1"/>
                <w:szCs w:val="20"/>
              </w:rPr>
              <w:t>4.</w:t>
            </w:r>
          </w:p>
        </w:tc>
        <w:tc>
          <w:tcPr>
            <w:tcW w:w="149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4306D6D" w14:textId="1057DFD2" w:rsidR="62AD0331" w:rsidRDefault="62AD0331" w:rsidP="62AD0331">
            <w:pPr>
              <w:spacing w:before="120" w:after="120"/>
              <w:jc w:val="center"/>
            </w:pPr>
            <w:r w:rsidRPr="62AD0331">
              <w:rPr>
                <w:rFonts w:eastAsia="Arial"/>
                <w:color w:val="000000" w:themeColor="text1"/>
                <w:szCs w:val="20"/>
              </w:rPr>
              <w:t>III.D.</w:t>
            </w:r>
          </w:p>
        </w:tc>
        <w:tc>
          <w:tcPr>
            <w:tcW w:w="6634" w:type="dxa"/>
            <w:tcBorders>
              <w:top w:val="single" w:sz="8" w:space="0" w:color="auto"/>
              <w:left w:val="single" w:sz="8" w:space="0" w:color="auto"/>
              <w:bottom w:val="single" w:sz="8" w:space="0" w:color="auto"/>
              <w:right w:val="single" w:sz="12" w:space="0" w:color="auto"/>
            </w:tcBorders>
            <w:tcMar>
              <w:left w:w="108" w:type="dxa"/>
              <w:right w:w="108" w:type="dxa"/>
            </w:tcMar>
          </w:tcPr>
          <w:p w14:paraId="46FE5A14" w14:textId="39B5BEA9" w:rsidR="62AD0331" w:rsidRDefault="62AD0331" w:rsidP="62AD0331">
            <w:pPr>
              <w:spacing w:before="120" w:after="120"/>
              <w:jc w:val="right"/>
            </w:pPr>
            <w:r w:rsidRPr="62AD0331">
              <w:rPr>
                <w:rFonts w:eastAsia="Arial"/>
                <w:szCs w:val="20"/>
              </w:rPr>
              <w:t xml:space="preserve"> $107,000.00 </w:t>
            </w:r>
          </w:p>
        </w:tc>
      </w:tr>
      <w:tr w:rsidR="62AD0331" w14:paraId="79EBBF92" w14:textId="77777777" w:rsidTr="62AD0331">
        <w:trPr>
          <w:trHeight w:val="240"/>
        </w:trPr>
        <w:tc>
          <w:tcPr>
            <w:tcW w:w="1228" w:type="dxa"/>
            <w:tcBorders>
              <w:top w:val="single" w:sz="8" w:space="0" w:color="auto"/>
              <w:left w:val="single" w:sz="12" w:space="0" w:color="auto"/>
              <w:bottom w:val="single" w:sz="12" w:space="0" w:color="auto"/>
              <w:right w:val="single" w:sz="8" w:space="0" w:color="auto"/>
            </w:tcBorders>
            <w:shd w:val="clear" w:color="auto" w:fill="F2F2F2" w:themeFill="background1" w:themeFillShade="F2"/>
            <w:tcMar>
              <w:left w:w="108" w:type="dxa"/>
              <w:right w:w="108" w:type="dxa"/>
            </w:tcMar>
          </w:tcPr>
          <w:p w14:paraId="0A69913C" w14:textId="7706BCC4" w:rsidR="62AD0331" w:rsidRDefault="62AD0331" w:rsidP="62AD0331">
            <w:pPr>
              <w:spacing w:before="120" w:after="120"/>
              <w:jc w:val="center"/>
            </w:pPr>
            <w:r w:rsidRPr="62AD0331">
              <w:rPr>
                <w:rFonts w:eastAsia="Arial"/>
                <w:color w:val="000000" w:themeColor="text1"/>
                <w:szCs w:val="20"/>
              </w:rPr>
              <w:t>5.</w:t>
            </w:r>
          </w:p>
        </w:tc>
        <w:tc>
          <w:tcPr>
            <w:tcW w:w="1498" w:type="dxa"/>
            <w:tcBorders>
              <w:top w:val="single" w:sz="8" w:space="0" w:color="auto"/>
              <w:left w:val="single" w:sz="8" w:space="0" w:color="auto"/>
              <w:bottom w:val="single" w:sz="12" w:space="0" w:color="auto"/>
              <w:right w:val="single" w:sz="8" w:space="0" w:color="auto"/>
            </w:tcBorders>
            <w:shd w:val="clear" w:color="auto" w:fill="F2F2F2" w:themeFill="background1" w:themeFillShade="F2"/>
            <w:tcMar>
              <w:left w:w="108" w:type="dxa"/>
              <w:right w:w="108" w:type="dxa"/>
            </w:tcMar>
          </w:tcPr>
          <w:p w14:paraId="61BC781A" w14:textId="5E5E11A6" w:rsidR="62AD0331" w:rsidRDefault="62AD0331" w:rsidP="62AD0331">
            <w:pPr>
              <w:spacing w:before="120" w:after="120"/>
              <w:jc w:val="center"/>
            </w:pPr>
            <w:r w:rsidRPr="62AD0331">
              <w:rPr>
                <w:rFonts w:eastAsia="Arial"/>
                <w:color w:val="000000" w:themeColor="text1"/>
                <w:szCs w:val="20"/>
              </w:rPr>
              <w:t>III.E.</w:t>
            </w:r>
          </w:p>
        </w:tc>
        <w:tc>
          <w:tcPr>
            <w:tcW w:w="6634" w:type="dxa"/>
            <w:tcBorders>
              <w:top w:val="single" w:sz="8" w:space="0" w:color="auto"/>
              <w:left w:val="single" w:sz="8" w:space="0" w:color="auto"/>
              <w:bottom w:val="single" w:sz="12" w:space="0" w:color="auto"/>
              <w:right w:val="single" w:sz="12" w:space="0" w:color="auto"/>
            </w:tcBorders>
            <w:tcMar>
              <w:left w:w="108" w:type="dxa"/>
              <w:right w:w="108" w:type="dxa"/>
            </w:tcMar>
          </w:tcPr>
          <w:p w14:paraId="65D123BF" w14:textId="49CC9E77" w:rsidR="62AD0331" w:rsidRDefault="62AD0331" w:rsidP="62AD0331">
            <w:pPr>
              <w:spacing w:before="120" w:after="120"/>
              <w:jc w:val="right"/>
            </w:pPr>
            <w:r w:rsidRPr="62AD0331">
              <w:rPr>
                <w:rFonts w:eastAsia="Arial"/>
                <w:szCs w:val="20"/>
              </w:rPr>
              <w:t xml:space="preserve"> $100,000.00 </w:t>
            </w:r>
          </w:p>
        </w:tc>
      </w:tr>
      <w:tr w:rsidR="62AD0331" w14:paraId="718D9981" w14:textId="77777777" w:rsidTr="62AD0331">
        <w:trPr>
          <w:trHeight w:val="300"/>
        </w:trPr>
        <w:tc>
          <w:tcPr>
            <w:tcW w:w="9360" w:type="dxa"/>
            <w:gridSpan w:val="3"/>
            <w:tcBorders>
              <w:top w:val="single" w:sz="12" w:space="0" w:color="auto"/>
              <w:left w:val="single" w:sz="12" w:space="0" w:color="auto"/>
              <w:bottom w:val="single" w:sz="8" w:space="0" w:color="auto"/>
              <w:right w:val="single" w:sz="12" w:space="0" w:color="auto"/>
            </w:tcBorders>
            <w:shd w:val="clear" w:color="auto" w:fill="F2F2F2" w:themeFill="background1" w:themeFillShade="F2"/>
            <w:tcMar>
              <w:left w:w="108" w:type="dxa"/>
              <w:right w:w="108" w:type="dxa"/>
            </w:tcMar>
            <w:vAlign w:val="center"/>
          </w:tcPr>
          <w:p w14:paraId="22057C40" w14:textId="15C1CE39" w:rsidR="62AD0331" w:rsidRDefault="62AD0331" w:rsidP="62AD0331">
            <w:pPr>
              <w:spacing w:before="120" w:after="120"/>
            </w:pPr>
            <w:r w:rsidRPr="62AD0331">
              <w:rPr>
                <w:rFonts w:eastAsia="Arial"/>
                <w:b/>
                <w:bCs/>
                <w:color w:val="000000" w:themeColor="text1"/>
                <w:szCs w:val="20"/>
              </w:rPr>
              <w:t>Enter any Indirect Costs to be Charged</w:t>
            </w:r>
            <w:r w:rsidRPr="62AD0331">
              <w:rPr>
                <w:rFonts w:eastAsia="Arial"/>
                <w:color w:val="000000" w:themeColor="text1"/>
                <w:szCs w:val="20"/>
              </w:rPr>
              <w:t xml:space="preserve"> (See Section IV.B of this application.)</w:t>
            </w:r>
          </w:p>
        </w:tc>
      </w:tr>
      <w:tr w:rsidR="62AD0331" w14:paraId="1A7F7624" w14:textId="77777777" w:rsidTr="62AD0331">
        <w:trPr>
          <w:trHeight w:val="300"/>
        </w:trPr>
        <w:tc>
          <w:tcPr>
            <w:tcW w:w="1228" w:type="dxa"/>
            <w:tcBorders>
              <w:top w:val="single" w:sz="8" w:space="0" w:color="auto"/>
              <w:left w:val="single" w:sz="12" w:space="0" w:color="auto"/>
              <w:bottom w:val="single" w:sz="12" w:space="0" w:color="auto"/>
              <w:right w:val="single" w:sz="8" w:space="0" w:color="auto"/>
            </w:tcBorders>
            <w:shd w:val="clear" w:color="auto" w:fill="F2F2F2" w:themeFill="background1" w:themeFillShade="F2"/>
            <w:tcMar>
              <w:left w:w="108" w:type="dxa"/>
              <w:right w:w="108" w:type="dxa"/>
            </w:tcMar>
          </w:tcPr>
          <w:p w14:paraId="45DA99F7" w14:textId="0BED53B0" w:rsidR="62AD0331" w:rsidRDefault="62AD0331" w:rsidP="62AD0331">
            <w:pPr>
              <w:spacing w:before="120" w:after="120"/>
              <w:jc w:val="center"/>
            </w:pPr>
            <w:r w:rsidRPr="62AD0331">
              <w:rPr>
                <w:rFonts w:eastAsia="Arial"/>
                <w:color w:val="000000" w:themeColor="text1"/>
                <w:szCs w:val="20"/>
              </w:rPr>
              <w:t>6.</w:t>
            </w:r>
          </w:p>
        </w:tc>
        <w:tc>
          <w:tcPr>
            <w:tcW w:w="1498" w:type="dxa"/>
            <w:tcBorders>
              <w:top w:val="nil"/>
              <w:left w:val="single" w:sz="8" w:space="0" w:color="auto"/>
              <w:bottom w:val="single" w:sz="12" w:space="0" w:color="auto"/>
              <w:right w:val="single" w:sz="8" w:space="0" w:color="auto"/>
            </w:tcBorders>
            <w:shd w:val="clear" w:color="auto" w:fill="F2F2F2" w:themeFill="background1" w:themeFillShade="F2"/>
            <w:tcMar>
              <w:left w:w="108" w:type="dxa"/>
              <w:right w:w="108" w:type="dxa"/>
            </w:tcMar>
          </w:tcPr>
          <w:p w14:paraId="102BC10F" w14:textId="567AC2E6" w:rsidR="62AD0331" w:rsidRDefault="62AD0331" w:rsidP="62AD0331">
            <w:pPr>
              <w:spacing w:before="120" w:after="120"/>
              <w:jc w:val="center"/>
            </w:pPr>
            <w:r w:rsidRPr="62AD0331">
              <w:rPr>
                <w:rFonts w:eastAsia="Arial"/>
                <w:color w:val="000000" w:themeColor="text1"/>
                <w:szCs w:val="20"/>
              </w:rPr>
              <w:t>IV.B</w:t>
            </w:r>
          </w:p>
        </w:tc>
        <w:tc>
          <w:tcPr>
            <w:tcW w:w="6634" w:type="dxa"/>
            <w:tcBorders>
              <w:top w:val="nil"/>
              <w:left w:val="single" w:sz="8" w:space="0" w:color="auto"/>
              <w:bottom w:val="single" w:sz="12" w:space="0" w:color="auto"/>
              <w:right w:val="single" w:sz="12" w:space="0" w:color="auto"/>
            </w:tcBorders>
            <w:tcMar>
              <w:left w:w="108" w:type="dxa"/>
              <w:right w:w="108" w:type="dxa"/>
            </w:tcMar>
          </w:tcPr>
          <w:p w14:paraId="410D7030" w14:textId="377B3318" w:rsidR="62AD0331" w:rsidRDefault="62AD0331" w:rsidP="62AD0331">
            <w:pPr>
              <w:spacing w:before="120" w:after="120"/>
              <w:jc w:val="right"/>
            </w:pPr>
            <w:r w:rsidRPr="62AD0331">
              <w:rPr>
                <w:rFonts w:eastAsia="Arial"/>
                <w:szCs w:val="20"/>
              </w:rPr>
              <w:t>$0</w:t>
            </w:r>
          </w:p>
        </w:tc>
      </w:tr>
      <w:tr w:rsidR="62AD0331" w14:paraId="1BE363E0" w14:textId="77777777" w:rsidTr="62AD0331">
        <w:trPr>
          <w:trHeight w:val="300"/>
        </w:trPr>
        <w:tc>
          <w:tcPr>
            <w:tcW w:w="1228"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tcMar>
              <w:left w:w="108" w:type="dxa"/>
              <w:right w:w="108" w:type="dxa"/>
            </w:tcMar>
          </w:tcPr>
          <w:p w14:paraId="36BA3026" w14:textId="587ADD0D" w:rsidR="62AD0331" w:rsidRDefault="62AD0331" w:rsidP="62AD0331">
            <w:pPr>
              <w:spacing w:before="120" w:after="120"/>
              <w:jc w:val="center"/>
            </w:pPr>
            <w:r w:rsidRPr="62AD0331">
              <w:rPr>
                <w:rFonts w:eastAsia="Arial"/>
                <w:b/>
                <w:bCs/>
                <w:color w:val="000000" w:themeColor="text1"/>
                <w:szCs w:val="20"/>
              </w:rPr>
              <w:t>Total</w:t>
            </w:r>
            <w:r w:rsidRPr="62AD0331">
              <w:rPr>
                <w:rFonts w:eastAsia="Arial"/>
                <w:color w:val="000000" w:themeColor="text1"/>
                <w:szCs w:val="20"/>
              </w:rPr>
              <w:t xml:space="preserve"> (Rows 1-6)</w:t>
            </w:r>
          </w:p>
        </w:tc>
        <w:tc>
          <w:tcPr>
            <w:tcW w:w="1498" w:type="dxa"/>
            <w:tcBorders>
              <w:top w:val="single" w:sz="12" w:space="0" w:color="auto"/>
              <w:left w:val="single" w:sz="8" w:space="0" w:color="auto"/>
              <w:bottom w:val="single" w:sz="12" w:space="0" w:color="auto"/>
              <w:right w:val="single" w:sz="8" w:space="0" w:color="auto"/>
            </w:tcBorders>
            <w:shd w:val="clear" w:color="auto" w:fill="808080" w:themeFill="background1" w:themeFillShade="80"/>
            <w:tcMar>
              <w:left w:w="108" w:type="dxa"/>
              <w:right w:w="108" w:type="dxa"/>
            </w:tcMar>
            <w:vAlign w:val="center"/>
          </w:tcPr>
          <w:p w14:paraId="215D81BC" w14:textId="6C4C7A0F" w:rsidR="62AD0331" w:rsidRDefault="62AD0331" w:rsidP="62AD0331">
            <w:pPr>
              <w:spacing w:before="120" w:after="120"/>
              <w:jc w:val="center"/>
            </w:pPr>
            <w:r w:rsidRPr="62AD0331">
              <w:rPr>
                <w:rFonts w:eastAsia="Arial"/>
                <w:color w:val="808080" w:themeColor="background1" w:themeShade="80"/>
                <w:szCs w:val="20"/>
              </w:rPr>
              <w:t>No entry</w:t>
            </w:r>
          </w:p>
        </w:tc>
        <w:tc>
          <w:tcPr>
            <w:tcW w:w="6634" w:type="dxa"/>
            <w:tcBorders>
              <w:top w:val="single" w:sz="12" w:space="0" w:color="auto"/>
              <w:left w:val="single" w:sz="8" w:space="0" w:color="auto"/>
              <w:bottom w:val="single" w:sz="12" w:space="0" w:color="auto"/>
              <w:right w:val="single" w:sz="12" w:space="0" w:color="auto"/>
            </w:tcBorders>
            <w:tcMar>
              <w:left w:w="108" w:type="dxa"/>
              <w:right w:w="108" w:type="dxa"/>
            </w:tcMar>
          </w:tcPr>
          <w:p w14:paraId="56731832" w14:textId="23811C51" w:rsidR="62AD0331" w:rsidRDefault="62AD0331" w:rsidP="62AD0331">
            <w:pPr>
              <w:spacing w:before="120" w:after="120"/>
              <w:jc w:val="right"/>
            </w:pPr>
            <w:r w:rsidRPr="62AD0331">
              <w:rPr>
                <w:rFonts w:eastAsia="Arial"/>
                <w:szCs w:val="20"/>
              </w:rPr>
              <w:t>$9,260,509.00</w:t>
            </w:r>
          </w:p>
        </w:tc>
      </w:tr>
    </w:tbl>
    <w:p w14:paraId="03E74120" w14:textId="3FCC7C5E" w:rsidR="009B1938" w:rsidRPr="00EC7464" w:rsidRDefault="009B1938" w:rsidP="62AD0331"/>
    <w:p w14:paraId="0C5F9FCB" w14:textId="77777777" w:rsidR="00471ABF" w:rsidRDefault="00471ABF">
      <w:pPr>
        <w:rPr>
          <w:b/>
          <w:bCs/>
          <w:kern w:val="2"/>
        </w:rPr>
      </w:pPr>
    </w:p>
    <w:p w14:paraId="62487F7F" w14:textId="5F1BB716" w:rsidR="00083CF7" w:rsidRDefault="00106A1D" w:rsidP="00B36113">
      <w:pPr>
        <w:tabs>
          <w:tab w:val="left" w:pos="7110"/>
          <w:tab w:val="left" w:pos="7380"/>
          <w:tab w:val="left" w:pos="8280"/>
        </w:tabs>
        <w:rPr>
          <w:szCs w:val="20"/>
        </w:rPr>
      </w:pPr>
      <w:r w:rsidRPr="00B1495B">
        <w:rPr>
          <w:szCs w:val="20"/>
        </w:rPr>
        <w:t>Will you</w:t>
      </w:r>
      <w:r w:rsidR="00471ABF" w:rsidRPr="00B1495B">
        <w:rPr>
          <w:szCs w:val="20"/>
        </w:rPr>
        <w:t>r lead agency</w:t>
      </w:r>
      <w:r w:rsidR="00AE3ECE" w:rsidRPr="00B1495B">
        <w:rPr>
          <w:szCs w:val="20"/>
        </w:rPr>
        <w:t xml:space="preserve"> use FFY 2024 </w:t>
      </w:r>
      <w:r w:rsidR="00FD36C0" w:rsidRPr="00B1495B">
        <w:rPr>
          <w:szCs w:val="20"/>
        </w:rPr>
        <w:t xml:space="preserve">federal IDEA </w:t>
      </w:r>
      <w:r w:rsidR="000A56D6">
        <w:rPr>
          <w:szCs w:val="20"/>
        </w:rPr>
        <w:t xml:space="preserve">Part C </w:t>
      </w:r>
      <w:r w:rsidR="00AE3ECE" w:rsidRPr="00B1495B">
        <w:rPr>
          <w:szCs w:val="20"/>
        </w:rPr>
        <w:t xml:space="preserve">funds for </w:t>
      </w:r>
      <w:r w:rsidR="00471ABF" w:rsidRPr="00B1495B">
        <w:rPr>
          <w:szCs w:val="20"/>
        </w:rPr>
        <w:t>subgrants</w:t>
      </w:r>
      <w:r w:rsidRPr="00B1495B">
        <w:rPr>
          <w:szCs w:val="20"/>
        </w:rPr>
        <w:t>?</w:t>
      </w:r>
      <w:r w:rsidR="00F978B0">
        <w:rPr>
          <w:szCs w:val="20"/>
        </w:rPr>
        <w:tab/>
      </w:r>
      <w:r w:rsidR="00B36113">
        <w:rPr>
          <w:szCs w:val="20"/>
        </w:rPr>
        <w:t>Yes: _</w:t>
      </w:r>
      <w:r w:rsidR="00F978B0">
        <w:rPr>
          <w:szCs w:val="20"/>
        </w:rPr>
        <w:t>____</w:t>
      </w:r>
      <w:r w:rsidR="00F978B0">
        <w:rPr>
          <w:szCs w:val="20"/>
        </w:rPr>
        <w:tab/>
        <w:t>No</w:t>
      </w:r>
      <w:r w:rsidR="00B36113">
        <w:rPr>
          <w:szCs w:val="20"/>
        </w:rPr>
        <w:t>: _</w:t>
      </w:r>
      <w:r w:rsidR="00781211">
        <w:rPr>
          <w:szCs w:val="20"/>
        </w:rPr>
        <w:t>X</w:t>
      </w:r>
      <w:r w:rsidR="00F978B0">
        <w:rPr>
          <w:szCs w:val="20"/>
        </w:rPr>
        <w:t>_</w:t>
      </w:r>
      <w:r w:rsidR="00573A5A" w:rsidRPr="00B1495B">
        <w:rPr>
          <w:szCs w:val="20"/>
        </w:rPr>
        <w:tab/>
      </w:r>
    </w:p>
    <w:p w14:paraId="47FFAB78" w14:textId="77777777" w:rsidR="00161F1E" w:rsidRDefault="00083CF7">
      <w:pPr>
        <w:rPr>
          <w:szCs w:val="20"/>
        </w:rPr>
        <w:sectPr w:rsidR="00161F1E" w:rsidSect="00E77A07">
          <w:headerReference w:type="even" r:id="rId24"/>
          <w:headerReference w:type="default" r:id="rId25"/>
          <w:footerReference w:type="default" r:id="rId26"/>
          <w:headerReference w:type="first" r:id="rId27"/>
          <w:pgSz w:w="12240" w:h="15840"/>
          <w:pgMar w:top="720" w:right="1440" w:bottom="720" w:left="1440" w:header="720" w:footer="720" w:gutter="0"/>
          <w:pgNumType w:start="1"/>
          <w:cols w:space="720"/>
          <w:docGrid w:linePitch="360"/>
        </w:sectPr>
      </w:pPr>
      <w:r>
        <w:rPr>
          <w:szCs w:val="20"/>
        </w:rPr>
        <w:br w:type="page"/>
      </w:r>
    </w:p>
    <w:p w14:paraId="62823FA9" w14:textId="77777777" w:rsidR="00083CF7" w:rsidRDefault="00083CF7">
      <w:pPr>
        <w:rPr>
          <w:szCs w:val="20"/>
        </w:rPr>
      </w:pPr>
    </w:p>
    <w:p w14:paraId="03E74122" w14:textId="1250226D" w:rsidR="009B1938" w:rsidRPr="00083CF7" w:rsidRDefault="009B1938" w:rsidP="00064D2C">
      <w:pPr>
        <w:spacing w:after="120"/>
        <w:rPr>
          <w:b/>
          <w:bCs/>
          <w:sz w:val="22"/>
          <w:szCs w:val="22"/>
        </w:rPr>
      </w:pPr>
      <w:r w:rsidRPr="00083CF7">
        <w:rPr>
          <w:b/>
          <w:bCs/>
          <w:sz w:val="22"/>
          <w:szCs w:val="22"/>
        </w:rPr>
        <w:t>Section IV</w:t>
      </w:r>
    </w:p>
    <w:p w14:paraId="03E74123" w14:textId="23FC6FE4"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074125F2" w:rsidR="009B1938" w:rsidRPr="00EC7464" w:rsidRDefault="009B1938">
      <w:pPr>
        <w:spacing w:after="120"/>
        <w:rPr>
          <w:kern w:val="2"/>
        </w:rPr>
      </w:pPr>
      <w:r w:rsidRPr="00EC7464">
        <w:rPr>
          <w:kern w:val="2"/>
        </w:rPr>
        <w:t>__</w:t>
      </w:r>
      <w:r w:rsidR="00F129D0">
        <w:rPr>
          <w:kern w:val="2"/>
        </w:rPr>
        <w:t>X</w:t>
      </w:r>
      <w:r w:rsidRPr="00EC7464">
        <w:rPr>
          <w:kern w:val="2"/>
        </w:rPr>
        <w:t>___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3.a</w:t>
      </w:r>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695970DB" w:rsidR="00510956" w:rsidRPr="00EC7464" w:rsidRDefault="00510956" w:rsidP="004861E6">
      <w:pPr>
        <w:spacing w:before="120"/>
        <w:ind w:left="720" w:hanging="720"/>
        <w:rPr>
          <w:kern w:val="2"/>
        </w:rPr>
      </w:pPr>
      <w:r w:rsidRPr="00EC7464">
        <w:rPr>
          <w:kern w:val="2"/>
        </w:rPr>
        <w:t>___</w:t>
      </w:r>
      <w:r w:rsidR="00F129D0">
        <w:rPr>
          <w:kern w:val="2"/>
        </w:rPr>
        <w:t>X</w:t>
      </w:r>
      <w:r w:rsidRPr="00EC7464">
        <w:rPr>
          <w:kern w:val="2"/>
        </w:rPr>
        <w:t>__</w:t>
      </w:r>
      <w:r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5D07C273"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F15393">
        <w:rPr>
          <w:kern w:val="2"/>
        </w:rPr>
        <w:t>2025</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48BD0FB6" w14:textId="77777777" w:rsidR="00161F1E" w:rsidRDefault="009B1938" w:rsidP="004861E6">
      <w:pPr>
        <w:spacing w:before="120"/>
        <w:ind w:left="720" w:hanging="720"/>
        <w:rPr>
          <w:kern w:val="2"/>
        </w:rPr>
        <w:sectPr w:rsidR="00161F1E" w:rsidSect="00E77A07">
          <w:headerReference w:type="even" r:id="rId28"/>
          <w:headerReference w:type="default" r:id="rId29"/>
          <w:footerReference w:type="default" r:id="rId30"/>
          <w:headerReference w:type="first" r:id="rId31"/>
          <w:pgSz w:w="12240" w:h="15840"/>
          <w:pgMar w:top="720" w:right="1440" w:bottom="720" w:left="1440" w:header="720" w:footer="720" w:gutter="0"/>
          <w:pgNumType w:start="1"/>
          <w:cols w:space="720"/>
          <w:docGrid w:linePitch="360"/>
        </w:sect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w:t>
      </w:r>
    </w:p>
    <w:p w14:paraId="03E7412F" w14:textId="33E99E94" w:rsidR="009B1938" w:rsidRPr="00EC7464" w:rsidRDefault="009B1938" w:rsidP="00161F1E">
      <w:pPr>
        <w:spacing w:before="120"/>
        <w:ind w:left="720"/>
        <w:rPr>
          <w:kern w:val="2"/>
        </w:rPr>
      </w:pP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18BB5668" w14:textId="02B2DEC3" w:rsidR="00E13CAC"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4A2D30">
        <w:rPr>
          <w:kern w:val="2"/>
        </w:rPr>
        <w:t>2025</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p w14:paraId="6F9FF167" w14:textId="559BDE52" w:rsidR="00E13CAC" w:rsidRPr="00EC7464" w:rsidRDefault="00E13CAC" w:rsidP="00083CF7">
      <w:pPr>
        <w:spacing w:before="120"/>
        <w:ind w:left="720" w:hanging="720"/>
        <w:rPr>
          <w:kern w:val="2"/>
        </w:rPr>
      </w:pPr>
    </w:p>
    <w:sectPr w:rsidR="00E13CAC" w:rsidRPr="00EC7464" w:rsidSect="00E77A07">
      <w:headerReference w:type="even" r:id="rId32"/>
      <w:headerReference w:type="default" r:id="rId33"/>
      <w:footerReference w:type="default" r:id="rId34"/>
      <w:headerReference w:type="first" r:id="rId35"/>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C586" w14:textId="77777777" w:rsidR="00107B50" w:rsidRDefault="00107B50">
      <w:r>
        <w:separator/>
      </w:r>
    </w:p>
  </w:endnote>
  <w:endnote w:type="continuationSeparator" w:id="0">
    <w:p w14:paraId="797AB144" w14:textId="77777777" w:rsidR="00107B50" w:rsidRDefault="0010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8" w14:textId="164015B7" w:rsidR="00DF0AF1" w:rsidRDefault="00DF0AF1">
    <w:pPr>
      <w:pStyle w:val="Footer"/>
      <w:tabs>
        <w:tab w:val="clear" w:pos="4320"/>
        <w:tab w:val="clear" w:pos="8640"/>
        <w:tab w:val="right" w:pos="9300"/>
      </w:tabs>
      <w:rPr>
        <w:sz w:val="16"/>
      </w:rPr>
    </w:pPr>
    <w:r>
      <w:rPr>
        <w:sz w:val="16"/>
      </w:rPr>
      <w:t xml:space="preserve">Part C Annual State Application:  FFY </w:t>
    </w:r>
    <w:r w:rsidR="00D21DEC">
      <w:rPr>
        <w:sz w:val="16"/>
      </w:rPr>
      <w:t>2024</w:t>
    </w:r>
    <w:r>
      <w:rPr>
        <w:sz w:val="16"/>
      </w:rPr>
      <w:tab/>
      <w:t>Section I-</w:t>
    </w:r>
    <w:r w:rsidRPr="00DF0AF1">
      <w:rPr>
        <w:sz w:val="16"/>
      </w:rPr>
      <w:fldChar w:fldCharType="begin"/>
    </w:r>
    <w:r w:rsidRPr="00DF0AF1">
      <w:rPr>
        <w:sz w:val="16"/>
      </w:rPr>
      <w:instrText xml:space="preserve"> PAGE   \* MERGEFORMAT </w:instrText>
    </w:r>
    <w:r w:rsidRPr="00DF0AF1">
      <w:rPr>
        <w:sz w:val="16"/>
      </w:rPr>
      <w:fldChar w:fldCharType="separate"/>
    </w:r>
    <w:r w:rsidRPr="00DF0AF1">
      <w:rPr>
        <w:noProof/>
        <w:sz w:val="16"/>
      </w:rPr>
      <w:t>1</w:t>
    </w:r>
    <w:r w:rsidRPr="00DF0AF1">
      <w:rPr>
        <w:noProof/>
        <w:sz w:val="16"/>
      </w:rPr>
      <w:fldChar w:fldCharType="end"/>
    </w:r>
  </w:p>
  <w:p w14:paraId="03E74139" w14:textId="1D814855" w:rsidR="00DF0AF1" w:rsidRDefault="00DF0AF1">
    <w:pPr>
      <w:pStyle w:val="Footer"/>
      <w:tabs>
        <w:tab w:val="clear" w:pos="4320"/>
        <w:tab w:val="clear" w:pos="8640"/>
        <w:tab w:val="right" w:pos="9300"/>
      </w:tabs>
      <w:rPr>
        <w:sz w:val="16"/>
      </w:rPr>
    </w:pPr>
    <w:r>
      <w:rPr>
        <w:sz w:val="16"/>
      </w:rPr>
      <w:t xml:space="preserve">OMB No. 1820-0550/Expiration Date:  </w:t>
    </w:r>
    <w:r w:rsidR="009F5BD2">
      <w:rPr>
        <w:sz w:val="16"/>
      </w:rPr>
      <w:t>02/28/2027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A" w14:textId="303DAF8F" w:rsidR="00DF0AF1" w:rsidRDefault="00DF0AF1">
    <w:pPr>
      <w:pStyle w:val="Footer"/>
      <w:tabs>
        <w:tab w:val="clear" w:pos="4320"/>
        <w:tab w:val="clear" w:pos="8640"/>
        <w:tab w:val="right" w:pos="9300"/>
      </w:tabs>
      <w:rPr>
        <w:sz w:val="16"/>
      </w:rPr>
    </w:pPr>
    <w:r>
      <w:rPr>
        <w:sz w:val="16"/>
      </w:rPr>
      <w:t xml:space="preserve">Part C Annual State Application:  FFY </w:t>
    </w:r>
    <w:r w:rsidR="003D48BC">
      <w:rPr>
        <w:sz w:val="16"/>
      </w:rPr>
      <w:t>2024</w:t>
    </w:r>
    <w:r>
      <w:rPr>
        <w:sz w:val="16"/>
      </w:rPr>
      <w:tab/>
      <w:t>Section 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3600F4B2" w:rsidR="00DF0AF1" w:rsidRDefault="00DF0AF1">
    <w:pPr>
      <w:pStyle w:val="Footer"/>
      <w:tabs>
        <w:tab w:val="clear" w:pos="4320"/>
        <w:tab w:val="clear" w:pos="8640"/>
        <w:tab w:val="right" w:pos="9300"/>
      </w:tabs>
      <w:rPr>
        <w:sz w:val="16"/>
      </w:rPr>
    </w:pPr>
    <w:r>
      <w:rPr>
        <w:sz w:val="16"/>
      </w:rPr>
      <w:t xml:space="preserve">OMB No. 1820-0550/Expiration Date:  </w:t>
    </w:r>
    <w:r w:rsidR="009F5BD2">
      <w:rPr>
        <w:sz w:val="16"/>
      </w:rPr>
      <w:t>02/28/2027</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8A53" w14:textId="63650FC1" w:rsidR="00DF0AF1" w:rsidRDefault="00DF0AF1" w:rsidP="00DF0AF1">
    <w:pPr>
      <w:pStyle w:val="Footer"/>
      <w:tabs>
        <w:tab w:val="clear" w:pos="4320"/>
        <w:tab w:val="clear" w:pos="8640"/>
        <w:tab w:val="right" w:pos="9300"/>
      </w:tabs>
      <w:spacing w:before="240"/>
      <w:rPr>
        <w:sz w:val="16"/>
      </w:rPr>
    </w:pPr>
    <w:r>
      <w:rPr>
        <w:sz w:val="16"/>
      </w:rPr>
      <w:t xml:space="preserve">Part C Annual State Application:  FFY </w:t>
    </w:r>
    <w:r w:rsidR="000226E3">
      <w:rPr>
        <w:sz w:val="16"/>
      </w:rPr>
      <w:t>2024</w:t>
    </w:r>
    <w:r>
      <w:rPr>
        <w:sz w:val="16"/>
      </w:rPr>
      <w:tab/>
      <w:t>Section III-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7ABB8743" w14:textId="43F2E7E2" w:rsidR="00DF0AF1" w:rsidRDefault="00DF0AF1">
    <w:pPr>
      <w:pStyle w:val="Footer"/>
      <w:tabs>
        <w:tab w:val="clear" w:pos="4320"/>
        <w:tab w:val="clear" w:pos="8640"/>
        <w:tab w:val="right" w:pos="9300"/>
      </w:tabs>
      <w:rPr>
        <w:sz w:val="16"/>
      </w:rPr>
    </w:pPr>
    <w:r>
      <w:rPr>
        <w:sz w:val="16"/>
      </w:rPr>
      <w:t xml:space="preserve">OMB No. 1820-0550/Expiration Date:  </w:t>
    </w:r>
    <w:r w:rsidR="009F5BD2">
      <w:rPr>
        <w:sz w:val="16"/>
      </w:rPr>
      <w:t>02/28/2027</w:t>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E" w14:textId="01E088ED" w:rsidR="00DF0AF1" w:rsidRDefault="00DF0AF1">
    <w:pPr>
      <w:pStyle w:val="Footer"/>
      <w:tabs>
        <w:tab w:val="clear" w:pos="8640"/>
        <w:tab w:val="right" w:pos="9300"/>
      </w:tabs>
      <w:rPr>
        <w:sz w:val="16"/>
      </w:rPr>
    </w:pPr>
    <w:r>
      <w:rPr>
        <w:sz w:val="16"/>
      </w:rPr>
      <w:t xml:space="preserve">Part C Annual State Application:  FFY </w:t>
    </w:r>
    <w:r w:rsidR="009D0261">
      <w:rPr>
        <w:sz w:val="16"/>
      </w:rPr>
      <w:t>2024</w:t>
    </w:r>
    <w:r>
      <w:rPr>
        <w:sz w:val="16"/>
      </w:rPr>
      <w:tab/>
    </w:r>
    <w:r>
      <w:rPr>
        <w:sz w:val="16"/>
      </w:rPr>
      <w:tab/>
      <w:t xml:space="preserve">Section </w:t>
    </w:r>
    <w:r w:rsidR="00EE4798">
      <w:rPr>
        <w:sz w:val="16"/>
      </w:rPr>
      <w:t>I</w:t>
    </w:r>
    <w:r w:rsidR="00161F1E">
      <w:rPr>
        <w:sz w:val="16"/>
      </w:rPr>
      <w:t>II-6</w:t>
    </w:r>
  </w:p>
  <w:p w14:paraId="03E7413F" w14:textId="09E5CFC0" w:rsidR="00DF0AF1" w:rsidRDefault="00DF0AF1">
    <w:pPr>
      <w:pStyle w:val="Footer"/>
      <w:tabs>
        <w:tab w:val="clear" w:pos="4320"/>
        <w:tab w:val="clear" w:pos="8640"/>
        <w:tab w:val="right" w:pos="9300"/>
      </w:tabs>
      <w:rPr>
        <w:sz w:val="16"/>
      </w:rPr>
    </w:pPr>
    <w:r>
      <w:rPr>
        <w:sz w:val="16"/>
      </w:rPr>
      <w:t xml:space="preserve">OMB No. 1820-0550/Expiration Date:  </w:t>
    </w:r>
    <w:r w:rsidR="00975A59">
      <w:rPr>
        <w:sz w:val="16"/>
      </w:rPr>
      <w:t>02/28/2027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94A5" w14:textId="33F2C9D1" w:rsidR="00161F1E" w:rsidRDefault="00161F1E">
    <w:pPr>
      <w:pStyle w:val="Footer"/>
      <w:tabs>
        <w:tab w:val="clear" w:pos="8640"/>
        <w:tab w:val="right" w:pos="9300"/>
      </w:tabs>
      <w:rPr>
        <w:sz w:val="16"/>
      </w:rPr>
    </w:pPr>
    <w:r>
      <w:rPr>
        <w:sz w:val="16"/>
      </w:rPr>
      <w:t>Part C Annual State Application:  FFY 2024</w:t>
    </w:r>
    <w:r>
      <w:rPr>
        <w:sz w:val="16"/>
      </w:rPr>
      <w:tab/>
    </w:r>
    <w:r>
      <w:rPr>
        <w:sz w:val="16"/>
      </w:rPr>
      <w:tab/>
      <w:t>Section IV-1</w:t>
    </w:r>
  </w:p>
  <w:p w14:paraId="43804C77" w14:textId="77777777" w:rsidR="00161F1E" w:rsidRDefault="00161F1E">
    <w:pPr>
      <w:pStyle w:val="Footer"/>
      <w:tabs>
        <w:tab w:val="clear" w:pos="4320"/>
        <w:tab w:val="clear" w:pos="8640"/>
        <w:tab w:val="right" w:pos="9300"/>
      </w:tabs>
      <w:rPr>
        <w:sz w:val="16"/>
      </w:rPr>
    </w:pPr>
    <w:r>
      <w:rPr>
        <w:sz w:val="16"/>
      </w:rPr>
      <w:t>OMB No. 1820-0550/Expiration Date:  02/28/2027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168D" w14:textId="7D9B6A76" w:rsidR="00161F1E" w:rsidRDefault="00161F1E">
    <w:pPr>
      <w:pStyle w:val="Footer"/>
      <w:tabs>
        <w:tab w:val="clear" w:pos="8640"/>
        <w:tab w:val="right" w:pos="9300"/>
      </w:tabs>
      <w:rPr>
        <w:sz w:val="16"/>
      </w:rPr>
    </w:pPr>
    <w:r>
      <w:rPr>
        <w:sz w:val="16"/>
      </w:rPr>
      <w:t>Part C Annual State Application:  FFY 2024</w:t>
    </w:r>
    <w:r>
      <w:rPr>
        <w:sz w:val="16"/>
      </w:rPr>
      <w:tab/>
    </w:r>
    <w:r>
      <w:rPr>
        <w:sz w:val="16"/>
      </w:rPr>
      <w:tab/>
      <w:t>Section IV-2</w:t>
    </w:r>
  </w:p>
  <w:p w14:paraId="64D4F0D1" w14:textId="77777777" w:rsidR="00161F1E" w:rsidRDefault="00161F1E">
    <w:pPr>
      <w:pStyle w:val="Footer"/>
      <w:tabs>
        <w:tab w:val="clear" w:pos="4320"/>
        <w:tab w:val="clear" w:pos="8640"/>
        <w:tab w:val="right" w:pos="9300"/>
      </w:tabs>
      <w:rPr>
        <w:sz w:val="16"/>
      </w:rPr>
    </w:pPr>
    <w:r>
      <w:rPr>
        <w:sz w:val="16"/>
      </w:rPr>
      <w:t>OMB No. 1820-0550/Expiration Date:  02/28/2027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A683" w14:textId="77777777" w:rsidR="00107B50" w:rsidRDefault="00107B50">
      <w:r>
        <w:separator/>
      </w:r>
    </w:p>
  </w:footnote>
  <w:footnote w:type="continuationSeparator" w:id="0">
    <w:p w14:paraId="41E32953" w14:textId="77777777" w:rsidR="00107B50" w:rsidRDefault="00107B50">
      <w:r>
        <w:continuationSeparator/>
      </w:r>
    </w:p>
  </w:footnote>
  <w:footnote w:id="1">
    <w:p w14:paraId="03E74140" w14:textId="7EC8D63F"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sidR="00D21DEC">
        <w:rPr>
          <w:sz w:val="16"/>
          <w:szCs w:val="16"/>
        </w:rPr>
        <w:t>2025</w:t>
      </w:r>
      <w:r w:rsidRPr="004861E6">
        <w:rPr>
          <w:sz w:val="16"/>
          <w:szCs w:val="16"/>
        </w:rPr>
        <w:t xml:space="preserve">. </w:t>
      </w:r>
    </w:p>
  </w:footnote>
  <w:footnote w:id="2">
    <w:p w14:paraId="03E74141"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DF0AF1" w:rsidRPr="00A235CE" w:rsidRDefault="00DF0AF1" w:rsidP="00061387">
      <w:pPr>
        <w:pStyle w:val="FootnoteText"/>
        <w:spacing w:after="12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CC4F5CE" w14:textId="66576DA7" w:rsidR="00DF0AF1" w:rsidRDefault="00DF0AF1">
      <w:pPr>
        <w:pStyle w:val="FootnoteText"/>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footnote>
  <w:footnote w:id="5">
    <w:p w14:paraId="03E74143"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DF0AF1" w:rsidRPr="004861E6" w:rsidRDefault="00DF0AF1"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DF0AF1" w:rsidRPr="004861E6" w:rsidRDefault="00DF0AF1"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7" w14:textId="231AEF5D" w:rsidR="00DF0AF1" w:rsidRPr="008B4B43" w:rsidRDefault="00781211" w:rsidP="00E92632">
    <w:pPr>
      <w:pStyle w:val="Header"/>
      <w:tabs>
        <w:tab w:val="clear" w:pos="4320"/>
        <w:tab w:val="clear" w:pos="8640"/>
        <w:tab w:val="left" w:pos="7200"/>
        <w:tab w:val="right" w:leader="underscore" w:pos="9360"/>
      </w:tabs>
    </w:pPr>
    <w:sdt>
      <w:sdtPr>
        <w:id w:val="-1229302091"/>
        <w:docPartObj>
          <w:docPartGallery w:val="Watermarks"/>
          <w:docPartUnique/>
        </w:docPartObj>
      </w:sdtPr>
      <w:sdtEndPr/>
      <w:sdtContent>
        <w:r>
          <w:rPr>
            <w:noProof/>
          </w:rPr>
          <w:pict w14:anchorId="71335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986064" o:spid="_x0000_s1025" type="#_x0000_t136" style="position:absolute;margin-left:0;margin-top:0;width:412.4pt;height:247.4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r w:rsidR="00DF0AF1">
      <w:tab/>
    </w:r>
    <w:r w:rsidR="00E92632">
      <w:t>Massachusetts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E312" w14:textId="77777777" w:rsidR="00554C8A" w:rsidRDefault="00554C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DEEB" w14:textId="77777777" w:rsidR="00554C8A" w:rsidRDefault="00554C8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D5EC" w14:textId="6BADC9F6" w:rsidR="00161F1E" w:rsidRDefault="00161F1E" w:rsidP="008B4B43">
    <w:pPr>
      <w:pStyle w:val="Header"/>
      <w:tabs>
        <w:tab w:val="clear" w:pos="4320"/>
        <w:tab w:val="clear" w:pos="8640"/>
        <w:tab w:val="left" w:pos="7200"/>
        <w:tab w:val="right" w:leader="underscore" w:pos="9360"/>
      </w:tabs>
    </w:pPr>
    <w:r>
      <w:tab/>
    </w:r>
    <w:r w:rsidR="00781211">
      <w:t>Massachusetts</w:t>
    </w:r>
  </w:p>
  <w:p w14:paraId="35EF8518" w14:textId="77777777" w:rsidR="00161F1E" w:rsidRPr="008B4B43" w:rsidRDefault="00161F1E" w:rsidP="008B4B43">
    <w:pPr>
      <w:pStyle w:val="Header"/>
      <w:tabs>
        <w:tab w:val="clear" w:pos="4320"/>
        <w:tab w:val="clear" w:pos="8640"/>
        <w:tab w:val="center" w:pos="8280"/>
      </w:tabs>
    </w:pPr>
    <w:r>
      <w:tab/>
      <w:t>State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A145" w14:textId="77777777" w:rsidR="00554C8A" w:rsidRDefault="00554C8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BD2E" w14:textId="77777777" w:rsidR="00554C8A" w:rsidRDefault="00554C8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CBF9" w14:textId="77777777" w:rsidR="00554C8A" w:rsidRDefault="00554C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BA46" w14:textId="77777777" w:rsidR="00554C8A" w:rsidRDefault="00554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6263" w14:textId="77777777" w:rsidR="00554C8A" w:rsidRDefault="00554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3EB5" w14:textId="77777777" w:rsidR="00554C8A" w:rsidRDefault="00554C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9218" w14:textId="77777777" w:rsidR="00554C8A" w:rsidRDefault="00554C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86A0" w14:textId="77777777" w:rsidR="00554C8A" w:rsidRDefault="00554C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BCF5" w14:textId="77777777" w:rsidR="00554C8A" w:rsidRDefault="00554C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0988" w14:textId="77777777" w:rsidR="00554C8A" w:rsidRDefault="00554C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FEC9" w14:textId="77777777" w:rsidR="00554C8A" w:rsidRDefault="00554C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E23" w14:textId="77777777" w:rsidR="00554C8A" w:rsidRDefault="00554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7E037B5"/>
    <w:multiLevelType w:val="hybridMultilevel"/>
    <w:tmpl w:val="9F5E44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0475585">
    <w:abstractNumId w:val="6"/>
  </w:num>
  <w:num w:numId="2" w16cid:durableId="1144618030">
    <w:abstractNumId w:val="17"/>
  </w:num>
  <w:num w:numId="3" w16cid:durableId="2127652335">
    <w:abstractNumId w:val="3"/>
  </w:num>
  <w:num w:numId="4" w16cid:durableId="86118645">
    <w:abstractNumId w:val="14"/>
  </w:num>
  <w:num w:numId="5" w16cid:durableId="1095176348">
    <w:abstractNumId w:val="9"/>
  </w:num>
  <w:num w:numId="6" w16cid:durableId="864975339">
    <w:abstractNumId w:val="1"/>
  </w:num>
  <w:num w:numId="7" w16cid:durableId="329648067">
    <w:abstractNumId w:val="13"/>
  </w:num>
  <w:num w:numId="8" w16cid:durableId="1577587474">
    <w:abstractNumId w:val="7"/>
  </w:num>
  <w:num w:numId="9" w16cid:durableId="1444961155">
    <w:abstractNumId w:val="12"/>
  </w:num>
  <w:num w:numId="10" w16cid:durableId="214199591">
    <w:abstractNumId w:val="16"/>
  </w:num>
  <w:num w:numId="11" w16cid:durableId="1358194686">
    <w:abstractNumId w:val="2"/>
  </w:num>
  <w:num w:numId="12" w16cid:durableId="890075589">
    <w:abstractNumId w:val="10"/>
  </w:num>
  <w:num w:numId="13" w16cid:durableId="1653680896">
    <w:abstractNumId w:val="11"/>
  </w:num>
  <w:num w:numId="14" w16cid:durableId="225724193">
    <w:abstractNumId w:val="8"/>
  </w:num>
  <w:num w:numId="15" w16cid:durableId="1477212837">
    <w:abstractNumId w:val="0"/>
  </w:num>
  <w:num w:numId="16" w16cid:durableId="1998147619">
    <w:abstractNumId w:val="4"/>
  </w:num>
  <w:num w:numId="17" w16cid:durableId="689529729">
    <w:abstractNumId w:val="5"/>
  </w:num>
  <w:num w:numId="18" w16cid:durableId="1357585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26E3"/>
    <w:rsid w:val="00026EB1"/>
    <w:rsid w:val="000273CD"/>
    <w:rsid w:val="00033EE2"/>
    <w:rsid w:val="00035E64"/>
    <w:rsid w:val="0004004F"/>
    <w:rsid w:val="00042474"/>
    <w:rsid w:val="00042C2E"/>
    <w:rsid w:val="0004586A"/>
    <w:rsid w:val="0005066D"/>
    <w:rsid w:val="00053B25"/>
    <w:rsid w:val="000541D6"/>
    <w:rsid w:val="00061387"/>
    <w:rsid w:val="00062700"/>
    <w:rsid w:val="00064D2C"/>
    <w:rsid w:val="00072F9F"/>
    <w:rsid w:val="00074B5D"/>
    <w:rsid w:val="00081966"/>
    <w:rsid w:val="00083CF7"/>
    <w:rsid w:val="00084795"/>
    <w:rsid w:val="0009487A"/>
    <w:rsid w:val="000A276F"/>
    <w:rsid w:val="000A5190"/>
    <w:rsid w:val="000A56D6"/>
    <w:rsid w:val="000B16B4"/>
    <w:rsid w:val="000C0682"/>
    <w:rsid w:val="000C1BC9"/>
    <w:rsid w:val="000C1EFB"/>
    <w:rsid w:val="000D313F"/>
    <w:rsid w:val="000D71EF"/>
    <w:rsid w:val="000D7214"/>
    <w:rsid w:val="000D7CFF"/>
    <w:rsid w:val="000E7CA0"/>
    <w:rsid w:val="000E7CCB"/>
    <w:rsid w:val="000F5948"/>
    <w:rsid w:val="000F75A7"/>
    <w:rsid w:val="000F7729"/>
    <w:rsid w:val="00106A1D"/>
    <w:rsid w:val="00107452"/>
    <w:rsid w:val="00107B50"/>
    <w:rsid w:val="001110D5"/>
    <w:rsid w:val="00111F53"/>
    <w:rsid w:val="00115102"/>
    <w:rsid w:val="001154DF"/>
    <w:rsid w:val="00122121"/>
    <w:rsid w:val="00122640"/>
    <w:rsid w:val="00124D05"/>
    <w:rsid w:val="001325DA"/>
    <w:rsid w:val="001347C7"/>
    <w:rsid w:val="001349C0"/>
    <w:rsid w:val="00142974"/>
    <w:rsid w:val="00143757"/>
    <w:rsid w:val="00147C60"/>
    <w:rsid w:val="00151C5D"/>
    <w:rsid w:val="00152BF5"/>
    <w:rsid w:val="00161A51"/>
    <w:rsid w:val="00161F1E"/>
    <w:rsid w:val="00163E30"/>
    <w:rsid w:val="00165EE0"/>
    <w:rsid w:val="001766F4"/>
    <w:rsid w:val="001829DB"/>
    <w:rsid w:val="001853F7"/>
    <w:rsid w:val="001A0A1E"/>
    <w:rsid w:val="001A2242"/>
    <w:rsid w:val="001A33FB"/>
    <w:rsid w:val="001C0683"/>
    <w:rsid w:val="001D2A05"/>
    <w:rsid w:val="001D455D"/>
    <w:rsid w:val="001E4746"/>
    <w:rsid w:val="001F4383"/>
    <w:rsid w:val="001F47B9"/>
    <w:rsid w:val="002020A4"/>
    <w:rsid w:val="00207EB3"/>
    <w:rsid w:val="00211563"/>
    <w:rsid w:val="002161E7"/>
    <w:rsid w:val="002173E4"/>
    <w:rsid w:val="00217670"/>
    <w:rsid w:val="00225169"/>
    <w:rsid w:val="00225E47"/>
    <w:rsid w:val="00231A57"/>
    <w:rsid w:val="002321AA"/>
    <w:rsid w:val="0023675E"/>
    <w:rsid w:val="00241C64"/>
    <w:rsid w:val="00244ACD"/>
    <w:rsid w:val="00247F89"/>
    <w:rsid w:val="0026070A"/>
    <w:rsid w:val="00263DD4"/>
    <w:rsid w:val="002643B6"/>
    <w:rsid w:val="00266BD0"/>
    <w:rsid w:val="002723FF"/>
    <w:rsid w:val="0027627E"/>
    <w:rsid w:val="0028212F"/>
    <w:rsid w:val="00292E8B"/>
    <w:rsid w:val="0029B60A"/>
    <w:rsid w:val="002A0170"/>
    <w:rsid w:val="002A31C0"/>
    <w:rsid w:val="002A6932"/>
    <w:rsid w:val="002B65BF"/>
    <w:rsid w:val="002B6F86"/>
    <w:rsid w:val="002C4679"/>
    <w:rsid w:val="002D0DF6"/>
    <w:rsid w:val="002D648C"/>
    <w:rsid w:val="002D74E0"/>
    <w:rsid w:val="002D7D6A"/>
    <w:rsid w:val="002E5295"/>
    <w:rsid w:val="002E7BC0"/>
    <w:rsid w:val="002F3308"/>
    <w:rsid w:val="002F5A1D"/>
    <w:rsid w:val="00303ED1"/>
    <w:rsid w:val="0030451C"/>
    <w:rsid w:val="003053CD"/>
    <w:rsid w:val="00305BCB"/>
    <w:rsid w:val="00311734"/>
    <w:rsid w:val="003148F1"/>
    <w:rsid w:val="00320282"/>
    <w:rsid w:val="0032421A"/>
    <w:rsid w:val="00325573"/>
    <w:rsid w:val="00330029"/>
    <w:rsid w:val="003327B2"/>
    <w:rsid w:val="00333A54"/>
    <w:rsid w:val="00345825"/>
    <w:rsid w:val="0034593D"/>
    <w:rsid w:val="00347170"/>
    <w:rsid w:val="0035124D"/>
    <w:rsid w:val="00354B8B"/>
    <w:rsid w:val="00364946"/>
    <w:rsid w:val="00376A29"/>
    <w:rsid w:val="0037781F"/>
    <w:rsid w:val="0038154D"/>
    <w:rsid w:val="00387E88"/>
    <w:rsid w:val="003903E4"/>
    <w:rsid w:val="003921BF"/>
    <w:rsid w:val="00394784"/>
    <w:rsid w:val="00397451"/>
    <w:rsid w:val="003A05F1"/>
    <w:rsid w:val="003A2F7A"/>
    <w:rsid w:val="003A4775"/>
    <w:rsid w:val="003A53F3"/>
    <w:rsid w:val="003A54E1"/>
    <w:rsid w:val="003A5924"/>
    <w:rsid w:val="003A6C02"/>
    <w:rsid w:val="003A7A75"/>
    <w:rsid w:val="003B0388"/>
    <w:rsid w:val="003B04F5"/>
    <w:rsid w:val="003D23CF"/>
    <w:rsid w:val="003D48BC"/>
    <w:rsid w:val="003E0B5A"/>
    <w:rsid w:val="003E2F91"/>
    <w:rsid w:val="003E49F6"/>
    <w:rsid w:val="003E7BDD"/>
    <w:rsid w:val="003F643E"/>
    <w:rsid w:val="004020F3"/>
    <w:rsid w:val="0040315A"/>
    <w:rsid w:val="0040361B"/>
    <w:rsid w:val="00404678"/>
    <w:rsid w:val="00405535"/>
    <w:rsid w:val="0040579F"/>
    <w:rsid w:val="00410817"/>
    <w:rsid w:val="00415D64"/>
    <w:rsid w:val="004161FB"/>
    <w:rsid w:val="00417AA0"/>
    <w:rsid w:val="0042067B"/>
    <w:rsid w:val="00421EAC"/>
    <w:rsid w:val="00424182"/>
    <w:rsid w:val="00425CE7"/>
    <w:rsid w:val="0043091F"/>
    <w:rsid w:val="00431D87"/>
    <w:rsid w:val="00435599"/>
    <w:rsid w:val="00441B77"/>
    <w:rsid w:val="00444727"/>
    <w:rsid w:val="00450876"/>
    <w:rsid w:val="00454FB5"/>
    <w:rsid w:val="00471ABF"/>
    <w:rsid w:val="00473258"/>
    <w:rsid w:val="00473B52"/>
    <w:rsid w:val="00480B9F"/>
    <w:rsid w:val="004861E6"/>
    <w:rsid w:val="00487FA3"/>
    <w:rsid w:val="00490D2F"/>
    <w:rsid w:val="00492AB3"/>
    <w:rsid w:val="004A1288"/>
    <w:rsid w:val="004A248F"/>
    <w:rsid w:val="004A2D30"/>
    <w:rsid w:val="004A3FC8"/>
    <w:rsid w:val="004A43CF"/>
    <w:rsid w:val="004B3566"/>
    <w:rsid w:val="004B5B75"/>
    <w:rsid w:val="004B6FF1"/>
    <w:rsid w:val="004C0035"/>
    <w:rsid w:val="004C079D"/>
    <w:rsid w:val="004C2AA4"/>
    <w:rsid w:val="004D51F1"/>
    <w:rsid w:val="004E7892"/>
    <w:rsid w:val="004F214E"/>
    <w:rsid w:val="00505150"/>
    <w:rsid w:val="00505C98"/>
    <w:rsid w:val="00510956"/>
    <w:rsid w:val="0051198C"/>
    <w:rsid w:val="00512769"/>
    <w:rsid w:val="00516472"/>
    <w:rsid w:val="00516708"/>
    <w:rsid w:val="005206DD"/>
    <w:rsid w:val="00521B38"/>
    <w:rsid w:val="00522FDA"/>
    <w:rsid w:val="00523441"/>
    <w:rsid w:val="0052505E"/>
    <w:rsid w:val="00526628"/>
    <w:rsid w:val="005319B8"/>
    <w:rsid w:val="00533E0E"/>
    <w:rsid w:val="00536DBA"/>
    <w:rsid w:val="0054349B"/>
    <w:rsid w:val="00543ABC"/>
    <w:rsid w:val="00547D50"/>
    <w:rsid w:val="00554C8A"/>
    <w:rsid w:val="00556E3A"/>
    <w:rsid w:val="00562099"/>
    <w:rsid w:val="00573A5A"/>
    <w:rsid w:val="00573E3C"/>
    <w:rsid w:val="00575307"/>
    <w:rsid w:val="00576F88"/>
    <w:rsid w:val="00581A3D"/>
    <w:rsid w:val="00594039"/>
    <w:rsid w:val="00597742"/>
    <w:rsid w:val="005A28A4"/>
    <w:rsid w:val="005B1A04"/>
    <w:rsid w:val="005B555E"/>
    <w:rsid w:val="005B5E9B"/>
    <w:rsid w:val="005B74A1"/>
    <w:rsid w:val="005C75AC"/>
    <w:rsid w:val="005D16C2"/>
    <w:rsid w:val="005D19CD"/>
    <w:rsid w:val="005D2775"/>
    <w:rsid w:val="005D4A96"/>
    <w:rsid w:val="005D58F8"/>
    <w:rsid w:val="005E03BB"/>
    <w:rsid w:val="005E1C6C"/>
    <w:rsid w:val="005E3141"/>
    <w:rsid w:val="005E4006"/>
    <w:rsid w:val="005E5742"/>
    <w:rsid w:val="005E651F"/>
    <w:rsid w:val="005E7888"/>
    <w:rsid w:val="005E7A3F"/>
    <w:rsid w:val="005F10A3"/>
    <w:rsid w:val="005F2853"/>
    <w:rsid w:val="005F2ED7"/>
    <w:rsid w:val="005F4B01"/>
    <w:rsid w:val="005F7CD7"/>
    <w:rsid w:val="006109A0"/>
    <w:rsid w:val="00611100"/>
    <w:rsid w:val="00620A96"/>
    <w:rsid w:val="00624009"/>
    <w:rsid w:val="00631225"/>
    <w:rsid w:val="006349F5"/>
    <w:rsid w:val="00635661"/>
    <w:rsid w:val="0063776A"/>
    <w:rsid w:val="00641B24"/>
    <w:rsid w:val="00647B85"/>
    <w:rsid w:val="006512B7"/>
    <w:rsid w:val="00682DC7"/>
    <w:rsid w:val="00685412"/>
    <w:rsid w:val="00691D78"/>
    <w:rsid w:val="00692F5A"/>
    <w:rsid w:val="00693560"/>
    <w:rsid w:val="00693AAF"/>
    <w:rsid w:val="00694730"/>
    <w:rsid w:val="00694C18"/>
    <w:rsid w:val="006A1E65"/>
    <w:rsid w:val="006B5514"/>
    <w:rsid w:val="006B5C04"/>
    <w:rsid w:val="006C75C3"/>
    <w:rsid w:val="006D5914"/>
    <w:rsid w:val="006E36F9"/>
    <w:rsid w:val="006E5EEA"/>
    <w:rsid w:val="006E6666"/>
    <w:rsid w:val="006E7CF0"/>
    <w:rsid w:val="006F1A7A"/>
    <w:rsid w:val="006F31AF"/>
    <w:rsid w:val="006F33AE"/>
    <w:rsid w:val="00705057"/>
    <w:rsid w:val="00712994"/>
    <w:rsid w:val="007147D0"/>
    <w:rsid w:val="00715450"/>
    <w:rsid w:val="007160F3"/>
    <w:rsid w:val="00721B1B"/>
    <w:rsid w:val="00723B0F"/>
    <w:rsid w:val="00730384"/>
    <w:rsid w:val="007305A2"/>
    <w:rsid w:val="007324F4"/>
    <w:rsid w:val="00737A3C"/>
    <w:rsid w:val="007471C4"/>
    <w:rsid w:val="0074747C"/>
    <w:rsid w:val="007479AA"/>
    <w:rsid w:val="00752703"/>
    <w:rsid w:val="00752FC3"/>
    <w:rsid w:val="007547C5"/>
    <w:rsid w:val="00754823"/>
    <w:rsid w:val="00757F16"/>
    <w:rsid w:val="007610EF"/>
    <w:rsid w:val="0076440F"/>
    <w:rsid w:val="007651D4"/>
    <w:rsid w:val="00780B58"/>
    <w:rsid w:val="00781211"/>
    <w:rsid w:val="00781D5E"/>
    <w:rsid w:val="00782D67"/>
    <w:rsid w:val="00786B02"/>
    <w:rsid w:val="0078752B"/>
    <w:rsid w:val="00791CCC"/>
    <w:rsid w:val="00793893"/>
    <w:rsid w:val="007964CC"/>
    <w:rsid w:val="00796524"/>
    <w:rsid w:val="007A3C93"/>
    <w:rsid w:val="007A4382"/>
    <w:rsid w:val="007B3CA1"/>
    <w:rsid w:val="007B68AD"/>
    <w:rsid w:val="007B7018"/>
    <w:rsid w:val="007C0706"/>
    <w:rsid w:val="007C25C1"/>
    <w:rsid w:val="007C5AC1"/>
    <w:rsid w:val="007C7AF7"/>
    <w:rsid w:val="007C7E63"/>
    <w:rsid w:val="007D1551"/>
    <w:rsid w:val="007D3479"/>
    <w:rsid w:val="007D45E8"/>
    <w:rsid w:val="007D5986"/>
    <w:rsid w:val="007E66E1"/>
    <w:rsid w:val="007F1C99"/>
    <w:rsid w:val="007F6016"/>
    <w:rsid w:val="008103EF"/>
    <w:rsid w:val="0081339B"/>
    <w:rsid w:val="00813CA8"/>
    <w:rsid w:val="00820705"/>
    <w:rsid w:val="00825547"/>
    <w:rsid w:val="008258E1"/>
    <w:rsid w:val="008321EA"/>
    <w:rsid w:val="00835EFE"/>
    <w:rsid w:val="00835F45"/>
    <w:rsid w:val="00837040"/>
    <w:rsid w:val="00837F00"/>
    <w:rsid w:val="00844626"/>
    <w:rsid w:val="00844F32"/>
    <w:rsid w:val="00847342"/>
    <w:rsid w:val="00855F6F"/>
    <w:rsid w:val="008561D3"/>
    <w:rsid w:val="00864FBD"/>
    <w:rsid w:val="008742B1"/>
    <w:rsid w:val="0088643F"/>
    <w:rsid w:val="00890377"/>
    <w:rsid w:val="00895574"/>
    <w:rsid w:val="00895B28"/>
    <w:rsid w:val="00895B83"/>
    <w:rsid w:val="0089775C"/>
    <w:rsid w:val="008A1786"/>
    <w:rsid w:val="008A2D60"/>
    <w:rsid w:val="008A6C85"/>
    <w:rsid w:val="008B11AF"/>
    <w:rsid w:val="008B2F7C"/>
    <w:rsid w:val="008B3283"/>
    <w:rsid w:val="008B4B43"/>
    <w:rsid w:val="008B4D9F"/>
    <w:rsid w:val="008C153A"/>
    <w:rsid w:val="008C4354"/>
    <w:rsid w:val="008D379C"/>
    <w:rsid w:val="008D4A8E"/>
    <w:rsid w:val="008D6F31"/>
    <w:rsid w:val="008E151C"/>
    <w:rsid w:val="008F0057"/>
    <w:rsid w:val="008F209C"/>
    <w:rsid w:val="008F2CFD"/>
    <w:rsid w:val="008F3CCF"/>
    <w:rsid w:val="009000B8"/>
    <w:rsid w:val="00900D16"/>
    <w:rsid w:val="00903B39"/>
    <w:rsid w:val="0090714A"/>
    <w:rsid w:val="00911062"/>
    <w:rsid w:val="009171D7"/>
    <w:rsid w:val="00920ACA"/>
    <w:rsid w:val="00921341"/>
    <w:rsid w:val="009343B4"/>
    <w:rsid w:val="009357AE"/>
    <w:rsid w:val="00937004"/>
    <w:rsid w:val="0094127D"/>
    <w:rsid w:val="009448D5"/>
    <w:rsid w:val="00952142"/>
    <w:rsid w:val="00962112"/>
    <w:rsid w:val="0096280B"/>
    <w:rsid w:val="00964DF9"/>
    <w:rsid w:val="0097202A"/>
    <w:rsid w:val="00975A59"/>
    <w:rsid w:val="00991025"/>
    <w:rsid w:val="0099313E"/>
    <w:rsid w:val="00994012"/>
    <w:rsid w:val="00996061"/>
    <w:rsid w:val="0099679F"/>
    <w:rsid w:val="00996FE1"/>
    <w:rsid w:val="009A0271"/>
    <w:rsid w:val="009A1303"/>
    <w:rsid w:val="009A51F0"/>
    <w:rsid w:val="009A7108"/>
    <w:rsid w:val="009B0264"/>
    <w:rsid w:val="009B1938"/>
    <w:rsid w:val="009B5559"/>
    <w:rsid w:val="009B5F7A"/>
    <w:rsid w:val="009B7374"/>
    <w:rsid w:val="009C19D5"/>
    <w:rsid w:val="009C2152"/>
    <w:rsid w:val="009C766A"/>
    <w:rsid w:val="009D0261"/>
    <w:rsid w:val="009D02A6"/>
    <w:rsid w:val="009D32F6"/>
    <w:rsid w:val="009D7E57"/>
    <w:rsid w:val="009E1673"/>
    <w:rsid w:val="009E1A7F"/>
    <w:rsid w:val="009E384A"/>
    <w:rsid w:val="009F5BD2"/>
    <w:rsid w:val="009F678E"/>
    <w:rsid w:val="00A005F8"/>
    <w:rsid w:val="00A03A3C"/>
    <w:rsid w:val="00A06E46"/>
    <w:rsid w:val="00A074F0"/>
    <w:rsid w:val="00A1259D"/>
    <w:rsid w:val="00A2261D"/>
    <w:rsid w:val="00A235CE"/>
    <w:rsid w:val="00A24D60"/>
    <w:rsid w:val="00A36AED"/>
    <w:rsid w:val="00A37245"/>
    <w:rsid w:val="00A43288"/>
    <w:rsid w:val="00A435B8"/>
    <w:rsid w:val="00A45202"/>
    <w:rsid w:val="00A52790"/>
    <w:rsid w:val="00A54898"/>
    <w:rsid w:val="00A54C5E"/>
    <w:rsid w:val="00A621E9"/>
    <w:rsid w:val="00A63BD8"/>
    <w:rsid w:val="00A654E0"/>
    <w:rsid w:val="00A665D1"/>
    <w:rsid w:val="00A754D3"/>
    <w:rsid w:val="00A761A2"/>
    <w:rsid w:val="00A77BA6"/>
    <w:rsid w:val="00A820A0"/>
    <w:rsid w:val="00A835F4"/>
    <w:rsid w:val="00A91263"/>
    <w:rsid w:val="00A93C1E"/>
    <w:rsid w:val="00AA3D9B"/>
    <w:rsid w:val="00AB1261"/>
    <w:rsid w:val="00AB127F"/>
    <w:rsid w:val="00AC0396"/>
    <w:rsid w:val="00AC1DCB"/>
    <w:rsid w:val="00AC2CFF"/>
    <w:rsid w:val="00AC3B73"/>
    <w:rsid w:val="00AC4B9D"/>
    <w:rsid w:val="00AC763A"/>
    <w:rsid w:val="00AD0BAE"/>
    <w:rsid w:val="00AD1991"/>
    <w:rsid w:val="00AE08A1"/>
    <w:rsid w:val="00AE3ECE"/>
    <w:rsid w:val="00AE7A53"/>
    <w:rsid w:val="00AF0C24"/>
    <w:rsid w:val="00AF7515"/>
    <w:rsid w:val="00AF7BD0"/>
    <w:rsid w:val="00B02E94"/>
    <w:rsid w:val="00B07286"/>
    <w:rsid w:val="00B1136F"/>
    <w:rsid w:val="00B11532"/>
    <w:rsid w:val="00B1322C"/>
    <w:rsid w:val="00B1495B"/>
    <w:rsid w:val="00B215E9"/>
    <w:rsid w:val="00B2182B"/>
    <w:rsid w:val="00B24FB2"/>
    <w:rsid w:val="00B30E74"/>
    <w:rsid w:val="00B3302E"/>
    <w:rsid w:val="00B3415C"/>
    <w:rsid w:val="00B359F2"/>
    <w:rsid w:val="00B36113"/>
    <w:rsid w:val="00B37BDF"/>
    <w:rsid w:val="00B465B2"/>
    <w:rsid w:val="00B51969"/>
    <w:rsid w:val="00B53810"/>
    <w:rsid w:val="00B53A4A"/>
    <w:rsid w:val="00B567F0"/>
    <w:rsid w:val="00B6335C"/>
    <w:rsid w:val="00B82D95"/>
    <w:rsid w:val="00B87030"/>
    <w:rsid w:val="00B922D9"/>
    <w:rsid w:val="00B941D8"/>
    <w:rsid w:val="00BA0A83"/>
    <w:rsid w:val="00BA2981"/>
    <w:rsid w:val="00BA3E2D"/>
    <w:rsid w:val="00BB1BFE"/>
    <w:rsid w:val="00BB3EC9"/>
    <w:rsid w:val="00BB4511"/>
    <w:rsid w:val="00BB7E5C"/>
    <w:rsid w:val="00BC0FA8"/>
    <w:rsid w:val="00BD5C32"/>
    <w:rsid w:val="00BD6F0C"/>
    <w:rsid w:val="00BD7053"/>
    <w:rsid w:val="00BE1E0C"/>
    <w:rsid w:val="00BE400D"/>
    <w:rsid w:val="00BE4686"/>
    <w:rsid w:val="00BE71D1"/>
    <w:rsid w:val="00BF3E0D"/>
    <w:rsid w:val="00C0532F"/>
    <w:rsid w:val="00C070ED"/>
    <w:rsid w:val="00C230F2"/>
    <w:rsid w:val="00C23470"/>
    <w:rsid w:val="00C31F42"/>
    <w:rsid w:val="00C342DF"/>
    <w:rsid w:val="00C35923"/>
    <w:rsid w:val="00C37CEC"/>
    <w:rsid w:val="00C4125D"/>
    <w:rsid w:val="00C42852"/>
    <w:rsid w:val="00C52592"/>
    <w:rsid w:val="00C54DC0"/>
    <w:rsid w:val="00C71B6D"/>
    <w:rsid w:val="00C73F8F"/>
    <w:rsid w:val="00C7619A"/>
    <w:rsid w:val="00C76EAA"/>
    <w:rsid w:val="00C876EB"/>
    <w:rsid w:val="00C919AF"/>
    <w:rsid w:val="00C95A4F"/>
    <w:rsid w:val="00C95ABA"/>
    <w:rsid w:val="00CA2006"/>
    <w:rsid w:val="00CA66D4"/>
    <w:rsid w:val="00CB2DA4"/>
    <w:rsid w:val="00CB6E46"/>
    <w:rsid w:val="00CC23CF"/>
    <w:rsid w:val="00CC3169"/>
    <w:rsid w:val="00CC665A"/>
    <w:rsid w:val="00CD12A5"/>
    <w:rsid w:val="00CD2C31"/>
    <w:rsid w:val="00CD2F8E"/>
    <w:rsid w:val="00CD64B5"/>
    <w:rsid w:val="00CD7E29"/>
    <w:rsid w:val="00CF39CC"/>
    <w:rsid w:val="00D04551"/>
    <w:rsid w:val="00D058B7"/>
    <w:rsid w:val="00D126E0"/>
    <w:rsid w:val="00D13BA8"/>
    <w:rsid w:val="00D1430E"/>
    <w:rsid w:val="00D16F89"/>
    <w:rsid w:val="00D21DEC"/>
    <w:rsid w:val="00D223C1"/>
    <w:rsid w:val="00D22511"/>
    <w:rsid w:val="00D328C3"/>
    <w:rsid w:val="00D33876"/>
    <w:rsid w:val="00D41B6D"/>
    <w:rsid w:val="00D45D73"/>
    <w:rsid w:val="00D463C5"/>
    <w:rsid w:val="00D52C27"/>
    <w:rsid w:val="00D54AFA"/>
    <w:rsid w:val="00D60AAE"/>
    <w:rsid w:val="00D642FF"/>
    <w:rsid w:val="00D6579F"/>
    <w:rsid w:val="00D67001"/>
    <w:rsid w:val="00D73E89"/>
    <w:rsid w:val="00D77D04"/>
    <w:rsid w:val="00D846E4"/>
    <w:rsid w:val="00D90978"/>
    <w:rsid w:val="00D917F8"/>
    <w:rsid w:val="00D92F4F"/>
    <w:rsid w:val="00D93934"/>
    <w:rsid w:val="00D94667"/>
    <w:rsid w:val="00D94AEC"/>
    <w:rsid w:val="00D97911"/>
    <w:rsid w:val="00DA1526"/>
    <w:rsid w:val="00DA18BA"/>
    <w:rsid w:val="00DA1D64"/>
    <w:rsid w:val="00DA4354"/>
    <w:rsid w:val="00DA5A7B"/>
    <w:rsid w:val="00DA63BC"/>
    <w:rsid w:val="00DB4A4D"/>
    <w:rsid w:val="00DB58A2"/>
    <w:rsid w:val="00DB6D4A"/>
    <w:rsid w:val="00DC07BB"/>
    <w:rsid w:val="00DC0BFE"/>
    <w:rsid w:val="00DC11AF"/>
    <w:rsid w:val="00DC6349"/>
    <w:rsid w:val="00DE6A5A"/>
    <w:rsid w:val="00DF0AF1"/>
    <w:rsid w:val="00DF3283"/>
    <w:rsid w:val="00DF39E2"/>
    <w:rsid w:val="00DF4C32"/>
    <w:rsid w:val="00DF75FD"/>
    <w:rsid w:val="00E01984"/>
    <w:rsid w:val="00E05BA6"/>
    <w:rsid w:val="00E13CAC"/>
    <w:rsid w:val="00E14D28"/>
    <w:rsid w:val="00E23FC9"/>
    <w:rsid w:val="00E32B3C"/>
    <w:rsid w:val="00E33D21"/>
    <w:rsid w:val="00E365D0"/>
    <w:rsid w:val="00E401E3"/>
    <w:rsid w:val="00E4045F"/>
    <w:rsid w:val="00E4245E"/>
    <w:rsid w:val="00E434C1"/>
    <w:rsid w:val="00E475A3"/>
    <w:rsid w:val="00E53F08"/>
    <w:rsid w:val="00E54CA4"/>
    <w:rsid w:val="00E54D93"/>
    <w:rsid w:val="00E552EF"/>
    <w:rsid w:val="00E55CFF"/>
    <w:rsid w:val="00E57DBE"/>
    <w:rsid w:val="00E6584E"/>
    <w:rsid w:val="00E67A50"/>
    <w:rsid w:val="00E72D66"/>
    <w:rsid w:val="00E768CC"/>
    <w:rsid w:val="00E776DF"/>
    <w:rsid w:val="00E77A07"/>
    <w:rsid w:val="00E807CA"/>
    <w:rsid w:val="00E84059"/>
    <w:rsid w:val="00E92632"/>
    <w:rsid w:val="00E947A4"/>
    <w:rsid w:val="00EA5429"/>
    <w:rsid w:val="00EA77F0"/>
    <w:rsid w:val="00EB30E6"/>
    <w:rsid w:val="00EB3719"/>
    <w:rsid w:val="00EB70D4"/>
    <w:rsid w:val="00EC0F95"/>
    <w:rsid w:val="00EC49BF"/>
    <w:rsid w:val="00EC51E3"/>
    <w:rsid w:val="00EC7464"/>
    <w:rsid w:val="00ED2B99"/>
    <w:rsid w:val="00ED4F68"/>
    <w:rsid w:val="00EE4798"/>
    <w:rsid w:val="00EE49E6"/>
    <w:rsid w:val="00EF4A18"/>
    <w:rsid w:val="00F054F2"/>
    <w:rsid w:val="00F129D0"/>
    <w:rsid w:val="00F15393"/>
    <w:rsid w:val="00F168A9"/>
    <w:rsid w:val="00F25A4F"/>
    <w:rsid w:val="00F26306"/>
    <w:rsid w:val="00F30D8F"/>
    <w:rsid w:val="00F31E6E"/>
    <w:rsid w:val="00F32D84"/>
    <w:rsid w:val="00F435DB"/>
    <w:rsid w:val="00F45FDA"/>
    <w:rsid w:val="00F47F96"/>
    <w:rsid w:val="00F52982"/>
    <w:rsid w:val="00F62635"/>
    <w:rsid w:val="00F63586"/>
    <w:rsid w:val="00F7035B"/>
    <w:rsid w:val="00F71ABC"/>
    <w:rsid w:val="00F73879"/>
    <w:rsid w:val="00F80ECC"/>
    <w:rsid w:val="00F831E0"/>
    <w:rsid w:val="00F83528"/>
    <w:rsid w:val="00F877B0"/>
    <w:rsid w:val="00F90A91"/>
    <w:rsid w:val="00F96B8E"/>
    <w:rsid w:val="00F96D5B"/>
    <w:rsid w:val="00F978B0"/>
    <w:rsid w:val="00FB4DD2"/>
    <w:rsid w:val="00FB6411"/>
    <w:rsid w:val="00FB67D3"/>
    <w:rsid w:val="00FC0D12"/>
    <w:rsid w:val="00FC25FC"/>
    <w:rsid w:val="00FC5D93"/>
    <w:rsid w:val="00FD0262"/>
    <w:rsid w:val="00FD0590"/>
    <w:rsid w:val="00FD36C0"/>
    <w:rsid w:val="00FD63BF"/>
    <w:rsid w:val="00FE2DD2"/>
    <w:rsid w:val="00FE378C"/>
    <w:rsid w:val="00FE474F"/>
    <w:rsid w:val="00FF14A3"/>
    <w:rsid w:val="00FF1C67"/>
    <w:rsid w:val="00FF1F92"/>
    <w:rsid w:val="00FF636C"/>
    <w:rsid w:val="00FF756D"/>
    <w:rsid w:val="041DF4F1"/>
    <w:rsid w:val="0EE7F7D4"/>
    <w:rsid w:val="1D432F34"/>
    <w:rsid w:val="2238B15E"/>
    <w:rsid w:val="2742D3F1"/>
    <w:rsid w:val="28B614D0"/>
    <w:rsid w:val="2CB0DDD6"/>
    <w:rsid w:val="38724DC7"/>
    <w:rsid w:val="396EDBE9"/>
    <w:rsid w:val="3FDC747C"/>
    <w:rsid w:val="41B607C5"/>
    <w:rsid w:val="445E0448"/>
    <w:rsid w:val="48FE11C5"/>
    <w:rsid w:val="507A3D9E"/>
    <w:rsid w:val="53DED1BB"/>
    <w:rsid w:val="5E97BB4F"/>
    <w:rsid w:val="61E12DED"/>
    <w:rsid w:val="62AD0331"/>
    <w:rsid w:val="67DF35B0"/>
    <w:rsid w:val="69E76ADC"/>
    <w:rsid w:val="6B16D672"/>
    <w:rsid w:val="6CB2A6D3"/>
    <w:rsid w:val="6CB56A1D"/>
    <w:rsid w:val="73C662DD"/>
    <w:rsid w:val="74F6943C"/>
    <w:rsid w:val="774D4C0C"/>
    <w:rsid w:val="7C20B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2050"/>
    <o:shapelayout v:ext="edit">
      <o:idmap v:ext="edit" data="2"/>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DF0AF1"/>
    <w:pPr>
      <w:keepNext/>
      <w:pBdr>
        <w:bottom w:val="single" w:sz="12" w:space="1" w:color="auto"/>
      </w:pBdr>
      <w:spacing w:after="240"/>
      <w:outlineLvl w:val="0"/>
    </w:pPr>
    <w:rPr>
      <w:b/>
      <w:bCs/>
      <w:smallCaps/>
      <w:kern w:val="2"/>
      <w:sz w:val="28"/>
      <w:szCs w:val="28"/>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DF0AF1"/>
    <w:rPr>
      <w:rFonts w:ascii="Arial" w:hAnsi="Arial" w:cs="Arial"/>
      <w:b/>
      <w:bCs/>
      <w:smallCaps/>
      <w:kern w:val="2"/>
      <w:sz w:val="28"/>
      <w:szCs w:val="28"/>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 w:type="character" w:styleId="FollowedHyperlink">
    <w:name w:val="FollowedHyperlink"/>
    <w:basedOn w:val="DefaultParagraphFont"/>
    <w:semiHidden/>
    <w:unhideWhenUsed/>
    <w:rsid w:val="00907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262254266">
      <w:bodyDiv w:val="1"/>
      <w:marLeft w:val="0"/>
      <w:marRight w:val="0"/>
      <w:marTop w:val="0"/>
      <w:marBottom w:val="0"/>
      <w:divBdr>
        <w:top w:val="none" w:sz="0" w:space="0" w:color="auto"/>
        <w:left w:val="none" w:sz="0" w:space="0" w:color="auto"/>
        <w:bottom w:val="none" w:sz="0" w:space="0" w:color="auto"/>
        <w:right w:val="none" w:sz="0" w:space="0" w:color="auto"/>
      </w:divBdr>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744790703">
      <w:bodyDiv w:val="1"/>
      <w:marLeft w:val="0"/>
      <w:marRight w:val="0"/>
      <w:marTop w:val="0"/>
      <w:marBottom w:val="0"/>
      <w:divBdr>
        <w:top w:val="none" w:sz="0" w:space="0" w:color="auto"/>
        <w:left w:val="none" w:sz="0" w:space="0" w:color="auto"/>
        <w:bottom w:val="none" w:sz="0" w:space="0" w:color="auto"/>
        <w:right w:val="none" w:sz="0" w:space="0" w:color="auto"/>
      </w:divBdr>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20/" TargetMode="Externa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2.ed.gov/policy/speced/guid/faq-prior-approval-10-29-2019.pdf" TargetMode="Externa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ites.ed.gov/idea/files/OSEP-Prior-Approval-Guidance-Policy-Support-22-03.pdf" TargetMode="External"/><Relationship Id="rId27" Type="http://schemas.openxmlformats.org/officeDocument/2006/relationships/header" Target="header10.xml"/><Relationship Id="rId30" Type="http://schemas.openxmlformats.org/officeDocument/2006/relationships/footer" Target="footer5.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0a2ca50b-76a1-425c-9a92-ebfe671e12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5" ma:contentTypeDescription="Create a new document." ma:contentTypeScope="" ma:versionID="f2786d37b30bcf3d675aedfb380e0329">
  <xsd:schema xmlns:xsd="http://www.w3.org/2001/XMLSchema" xmlns:xs="http://www.w3.org/2001/XMLSchema" xmlns:p="http://schemas.microsoft.com/office/2006/metadata/properties" xmlns:ns3="eb2efcdc-2936-4e30-89b4-1eab780719d7" xmlns:ns4="0a2ca50b-76a1-425c-9a92-ebfe671e129a" targetNamespace="http://schemas.microsoft.com/office/2006/metadata/properties" ma:root="true" ma:fieldsID="55ff55b5b1411db2723f53b57241c9ab" ns3:_="" ns4:_="">
    <xsd:import namespace="eb2efcdc-2936-4e30-89b4-1eab780719d7"/>
    <xsd:import namespace="0a2ca50b-76a1-425c-9a92-ebfe671e12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2.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customXml/itemProps3.xml><?xml version="1.0" encoding="utf-8"?>
<ds:datastoreItem xmlns:ds="http://schemas.openxmlformats.org/officeDocument/2006/customXml" ds:itemID="{98961EC0-8B90-4B18-ACC6-B6EE8900FC08}">
  <ds:schemaRefs>
    <ds:schemaRef ds:uri="http://schemas.microsoft.com/office/2006/documentManagement/types"/>
    <ds:schemaRef ds:uri="eb2efcdc-2936-4e30-89b4-1eab780719d7"/>
    <ds:schemaRef ds:uri="http://purl.org/dc/elements/1.1/"/>
    <ds:schemaRef ds:uri="http://schemas.microsoft.com/office/2006/metadata/properties"/>
    <ds:schemaRef ds:uri="0a2ca50b-76a1-425c-9a92-ebfe671e129a"/>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28ED5E7-47CA-4220-9A5E-68351010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efcdc-2936-4e30-89b4-1eab780719d7"/>
    <ds:schemaRef ds:uri="0a2ca50b-76a1-425c-9a92-ebfe671e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10742</Words>
  <Characters>57916</Characters>
  <Application>Microsoft Office Word</Application>
  <DocSecurity>4</DocSecurity>
  <Lines>482</Lines>
  <Paragraphs>137</Paragraphs>
  <ScaleCrop>false</ScaleCrop>
  <Company>DoED</Company>
  <LinksUpToDate>false</LinksUpToDate>
  <CharactersWithSpaces>68521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C of the Individuals with Disabilities Education Act as Amended in 2004 for Federal Fiscal Year (FFY) 2021. CFDA No. 84.181A. ED FORM No. 1 B20—26P</dc:title>
  <dc:creator>rex.shipp</dc:creator>
  <dc:description>Annual State Application Under Part C of the Individuals with Disabilities Education Act as Amended in 2004 for Federal Fiscal Year (FFY) 2021. CFDA No. 84.181A. ED FORM No. 1 B20—26P</dc:description>
  <cp:lastModifiedBy>White, Emily A (DPH)</cp:lastModifiedBy>
  <cp:revision>2</cp:revision>
  <cp:lastPrinted>2017-05-30T17:47:00Z</cp:lastPrinted>
  <dcterms:created xsi:type="dcterms:W3CDTF">2024-03-26T13:10:00Z</dcterms:created>
  <dcterms:modified xsi:type="dcterms:W3CDTF">2024-03-26T13:10:00Z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y fmtid="{D5CDD505-2E9C-101B-9397-08002B2CF9AE}" pid="3" name="Order">
    <vt:r8>100</vt:r8>
  </property>
  <property fmtid="{D5CDD505-2E9C-101B-9397-08002B2CF9AE}" pid="4" name="MediaServiceImageTags">
    <vt:lpwstr/>
  </property>
</Properties>
</file>