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EC43" w14:textId="77777777" w:rsidR="00F62AD6" w:rsidRDefault="00F62AD6"/>
    <w:p w14:paraId="63D54ABF" w14:textId="77777777" w:rsidR="002A2AD2" w:rsidRDefault="002A2AD2"/>
    <w:p w14:paraId="33ED3272" w14:textId="77777777" w:rsidR="002A2AD2" w:rsidRDefault="002A2AD2"/>
    <w:p w14:paraId="178B24CE" w14:textId="77777777" w:rsidR="002A2AD2" w:rsidRDefault="002A2AD2"/>
    <w:p w14:paraId="05D34110" w14:textId="77777777" w:rsidR="002A2AD2" w:rsidRDefault="002A2AD2"/>
    <w:p w14:paraId="3625068E" w14:textId="77777777" w:rsidR="002A2AD2" w:rsidRDefault="002A2AD2"/>
    <w:p w14:paraId="59D79B0B" w14:textId="77777777" w:rsidR="002A2AD2" w:rsidRDefault="002A2AD2"/>
    <w:p w14:paraId="76A60F82" w14:textId="77777777" w:rsidR="002A2AD2" w:rsidRDefault="002A2AD2"/>
    <w:p w14:paraId="3BAEF78D" w14:textId="77777777" w:rsidR="002A2AD2" w:rsidRDefault="002A2AD2"/>
    <w:p w14:paraId="53CEB0B3" w14:textId="77777777" w:rsidR="002A2AD2" w:rsidRDefault="002A2AD2"/>
    <w:p w14:paraId="386DFC9D" w14:textId="77777777" w:rsidR="002A2AD2" w:rsidRDefault="002A2AD2"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DUA ADVISORY COUNCIL MEETING</w:t>
      </w:r>
      <w:r>
        <w:rPr>
          <w:rStyle w:val="normaltextrun"/>
          <w:rFonts w:ascii="Arial" w:hAnsi="Arial" w:cs="Arial"/>
          <w:sz w:val="22"/>
          <w:szCs w:val="22"/>
        </w:rPr>
        <w:t> </w:t>
      </w:r>
      <w:r>
        <w:rPr>
          <w:rStyle w:val="eop"/>
          <w:rFonts w:ascii="Arial" w:hAnsi="Arial" w:cs="Arial"/>
          <w:sz w:val="22"/>
          <w:szCs w:val="22"/>
        </w:rPr>
        <w:t> </w:t>
      </w:r>
    </w:p>
    <w:p w14:paraId="6E80E77A" w14:textId="25E29E63" w:rsidR="002A2AD2" w:rsidRDefault="00AD6E8E"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B0F0"/>
          <w:sz w:val="20"/>
          <w:szCs w:val="20"/>
        </w:rPr>
        <w:t>Thursday</w:t>
      </w:r>
      <w:r w:rsidR="002A2AD2">
        <w:rPr>
          <w:rStyle w:val="normaltextrun"/>
          <w:rFonts w:ascii="Arial" w:hAnsi="Arial" w:cs="Arial"/>
          <w:color w:val="00B0F0"/>
          <w:sz w:val="20"/>
          <w:szCs w:val="20"/>
        </w:rPr>
        <w:t>,</w:t>
      </w:r>
      <w:r w:rsidR="009B4B40">
        <w:rPr>
          <w:rStyle w:val="normaltextrun"/>
          <w:rFonts w:ascii="Arial" w:hAnsi="Arial" w:cs="Arial"/>
          <w:color w:val="00B0F0"/>
          <w:sz w:val="20"/>
          <w:szCs w:val="20"/>
        </w:rPr>
        <w:t xml:space="preserve"> </w:t>
      </w:r>
      <w:r w:rsidR="004757E1">
        <w:rPr>
          <w:rStyle w:val="normaltextrun"/>
          <w:rFonts w:ascii="Arial" w:hAnsi="Arial" w:cs="Arial"/>
          <w:color w:val="00B0F0"/>
          <w:sz w:val="20"/>
          <w:szCs w:val="20"/>
        </w:rPr>
        <w:t>April 17</w:t>
      </w:r>
      <w:r w:rsidR="003E5A36">
        <w:rPr>
          <w:rStyle w:val="normaltextrun"/>
          <w:rFonts w:ascii="Arial" w:hAnsi="Arial" w:cs="Arial"/>
          <w:color w:val="00B0F0"/>
          <w:sz w:val="20"/>
          <w:szCs w:val="20"/>
        </w:rPr>
        <w:t>, 2025</w:t>
      </w:r>
      <w:r w:rsidR="002A2AD2">
        <w:rPr>
          <w:rStyle w:val="eop"/>
          <w:rFonts w:ascii="Arial" w:hAnsi="Arial" w:cs="Arial"/>
          <w:color w:val="00B0F0"/>
          <w:sz w:val="20"/>
          <w:szCs w:val="20"/>
        </w:rPr>
        <w:t> </w:t>
      </w:r>
    </w:p>
    <w:p w14:paraId="623D285B" w14:textId="77777777" w:rsidR="002A2AD2" w:rsidRDefault="002A2AD2"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B0F0"/>
          <w:sz w:val="20"/>
          <w:szCs w:val="20"/>
        </w:rPr>
        <w:t>Meeting Minutes </w:t>
      </w:r>
      <w:r>
        <w:rPr>
          <w:rStyle w:val="eop"/>
          <w:rFonts w:ascii="Arial" w:hAnsi="Arial" w:cs="Arial"/>
          <w:color w:val="00B0F0"/>
          <w:sz w:val="20"/>
          <w:szCs w:val="20"/>
        </w:rPr>
        <w:t> </w:t>
      </w:r>
    </w:p>
    <w:p w14:paraId="5F4220C5" w14:textId="77777777" w:rsidR="002A2AD2" w:rsidRDefault="002A2AD2" w:rsidP="002A2A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6F00D1F" w14:textId="1BBE3F0D" w:rsidR="002A2AD2" w:rsidRDefault="002A2AD2" w:rsidP="002A2AD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B0F0"/>
          <w:sz w:val="22"/>
          <w:szCs w:val="22"/>
        </w:rPr>
        <w:t>Council Attendees</w:t>
      </w:r>
      <w:r>
        <w:rPr>
          <w:rStyle w:val="normaltextrun"/>
          <w:rFonts w:ascii="Calibri" w:hAnsi="Calibri" w:cs="Calibri"/>
          <w:color w:val="00B0F0"/>
          <w:sz w:val="22"/>
          <w:szCs w:val="22"/>
        </w:rPr>
        <w:t xml:space="preserve">: </w:t>
      </w:r>
      <w:r>
        <w:rPr>
          <w:rStyle w:val="normaltextrun"/>
          <w:rFonts w:ascii="Calibri" w:hAnsi="Calibri" w:cs="Calibri"/>
          <w:sz w:val="22"/>
          <w:szCs w:val="22"/>
        </w:rPr>
        <w:t xml:space="preserve">Richard Marlin, </w:t>
      </w:r>
      <w:r w:rsidR="007C7783">
        <w:rPr>
          <w:rStyle w:val="normaltextrun"/>
          <w:rFonts w:ascii="Calibri" w:hAnsi="Calibri" w:cs="Calibri"/>
          <w:sz w:val="22"/>
          <w:szCs w:val="22"/>
        </w:rPr>
        <w:t xml:space="preserve">John Drinkwater, </w:t>
      </w:r>
      <w:r w:rsidR="008569AD">
        <w:rPr>
          <w:rStyle w:val="normaltextrun"/>
          <w:rFonts w:ascii="Calibri" w:hAnsi="Calibri" w:cs="Calibri"/>
          <w:sz w:val="22"/>
          <w:szCs w:val="22"/>
        </w:rPr>
        <w:t>Sam Larson</w:t>
      </w:r>
      <w:r>
        <w:rPr>
          <w:rStyle w:val="normaltextrun"/>
          <w:rFonts w:ascii="Calibri" w:hAnsi="Calibri" w:cs="Calibri"/>
          <w:sz w:val="22"/>
          <w:szCs w:val="22"/>
        </w:rPr>
        <w:t>,</w:t>
      </w:r>
      <w:r w:rsidR="00E70D88">
        <w:rPr>
          <w:rStyle w:val="normaltextrun"/>
          <w:rFonts w:ascii="Calibri" w:hAnsi="Calibri" w:cs="Calibri"/>
          <w:sz w:val="22"/>
          <w:szCs w:val="22"/>
        </w:rPr>
        <w:t xml:space="preserve"> </w:t>
      </w:r>
      <w:r w:rsidR="00AD0F39">
        <w:rPr>
          <w:rStyle w:val="normaltextrun"/>
          <w:rFonts w:ascii="Calibri" w:hAnsi="Calibri" w:cs="Calibri"/>
          <w:sz w:val="22"/>
          <w:szCs w:val="22"/>
        </w:rPr>
        <w:t>Chris Carlozzi</w:t>
      </w:r>
      <w:r w:rsidR="00646D55">
        <w:rPr>
          <w:rStyle w:val="normaltextrun"/>
          <w:rFonts w:ascii="Calibri" w:hAnsi="Calibri" w:cs="Calibri"/>
          <w:sz w:val="22"/>
          <w:szCs w:val="22"/>
        </w:rPr>
        <w:t>, Renee Harper</w:t>
      </w:r>
    </w:p>
    <w:p w14:paraId="62C18F85" w14:textId="4A135CAB" w:rsidR="002A2AD2" w:rsidRDefault="002A2AD2" w:rsidP="005247D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color w:val="00B0F0"/>
          <w:sz w:val="22"/>
          <w:szCs w:val="22"/>
        </w:rPr>
        <w:t>EOLWD/DWD/DUA/Public Attendees:</w:t>
      </w:r>
      <w:r>
        <w:rPr>
          <w:rStyle w:val="normaltextrun"/>
          <w:rFonts w:ascii="Calibri" w:hAnsi="Calibri" w:cs="Calibri"/>
          <w:color w:val="00B0F0"/>
          <w:sz w:val="22"/>
          <w:szCs w:val="22"/>
        </w:rPr>
        <w:t xml:space="preserve"> </w:t>
      </w:r>
      <w:r>
        <w:rPr>
          <w:rStyle w:val="normaltextrun"/>
          <w:rFonts w:ascii="Calibri" w:hAnsi="Calibri" w:cs="Calibri"/>
          <w:sz w:val="22"/>
          <w:szCs w:val="22"/>
        </w:rPr>
        <w:t xml:space="preserve">Katie </w:t>
      </w:r>
      <w:r>
        <w:rPr>
          <w:rStyle w:val="spellingerror"/>
          <w:rFonts w:ascii="Calibri" w:hAnsi="Calibri" w:cs="Calibri"/>
          <w:sz w:val="22"/>
          <w:szCs w:val="22"/>
        </w:rPr>
        <w:t>Dishnica</w:t>
      </w:r>
      <w:r>
        <w:rPr>
          <w:rStyle w:val="normaltextrun"/>
          <w:rFonts w:ascii="Calibri" w:hAnsi="Calibri" w:cs="Calibri"/>
          <w:sz w:val="22"/>
          <w:szCs w:val="22"/>
        </w:rPr>
        <w:t>,</w:t>
      </w:r>
      <w:r w:rsidR="00B44486">
        <w:rPr>
          <w:rStyle w:val="normaltextrun"/>
          <w:rFonts w:ascii="Calibri" w:hAnsi="Calibri" w:cs="Calibri"/>
          <w:sz w:val="22"/>
          <w:szCs w:val="22"/>
        </w:rPr>
        <w:t xml:space="preserve"> </w:t>
      </w:r>
      <w:r w:rsidR="005804FB" w:rsidRPr="005804FB">
        <w:rPr>
          <w:rStyle w:val="normaltextrun"/>
          <w:rFonts w:ascii="Calibri" w:hAnsi="Calibri" w:cs="Calibri"/>
          <w:sz w:val="22"/>
          <w:szCs w:val="22"/>
        </w:rPr>
        <w:t xml:space="preserve">David Gold, </w:t>
      </w:r>
      <w:r w:rsidR="00BF23B8">
        <w:rPr>
          <w:rStyle w:val="normaltextrun"/>
          <w:rFonts w:ascii="Calibri" w:hAnsi="Calibri" w:cs="Calibri"/>
          <w:sz w:val="22"/>
          <w:szCs w:val="22"/>
        </w:rPr>
        <w:t xml:space="preserve">Richard Jeffers, Corey Mescon, Ashley Thompson, Lisa Hemmerle, Josh Cutler, </w:t>
      </w:r>
      <w:r>
        <w:rPr>
          <w:rStyle w:val="normaltextrun"/>
          <w:rFonts w:ascii="Calibri" w:hAnsi="Calibri" w:cs="Calibri"/>
          <w:sz w:val="22"/>
          <w:szCs w:val="22"/>
        </w:rPr>
        <w:t xml:space="preserve">John Saulnier, Jeannie Pena, Jason Salgado, </w:t>
      </w:r>
      <w:r w:rsidR="00757EDB">
        <w:rPr>
          <w:rStyle w:val="eop"/>
          <w:rFonts w:ascii="Calibri" w:hAnsi="Calibri" w:cs="Calibri"/>
          <w:sz w:val="22"/>
          <w:szCs w:val="22"/>
        </w:rPr>
        <w:t>Mark Costello</w:t>
      </w:r>
      <w:r w:rsidR="00D95EB5">
        <w:rPr>
          <w:rStyle w:val="eop"/>
          <w:rFonts w:ascii="Calibri" w:hAnsi="Calibri" w:cs="Calibri"/>
          <w:sz w:val="22"/>
          <w:szCs w:val="22"/>
        </w:rPr>
        <w:t>,</w:t>
      </w:r>
      <w:r w:rsidR="00721801">
        <w:rPr>
          <w:rStyle w:val="eop"/>
          <w:rFonts w:ascii="Calibri" w:hAnsi="Calibri" w:cs="Calibri"/>
          <w:sz w:val="22"/>
          <w:szCs w:val="22"/>
        </w:rPr>
        <w:t xml:space="preserve"> Laura Santiago,</w:t>
      </w:r>
      <w:r w:rsidR="00D95EB5">
        <w:rPr>
          <w:rStyle w:val="eop"/>
          <w:rFonts w:ascii="Calibri" w:hAnsi="Calibri" w:cs="Calibri"/>
          <w:sz w:val="22"/>
          <w:szCs w:val="22"/>
        </w:rPr>
        <w:t xml:space="preserve"> </w:t>
      </w:r>
      <w:r w:rsidR="002A0595">
        <w:rPr>
          <w:rStyle w:val="eop"/>
          <w:rFonts w:ascii="Calibri" w:hAnsi="Calibri" w:cs="Calibri"/>
          <w:sz w:val="22"/>
          <w:szCs w:val="22"/>
        </w:rPr>
        <w:t xml:space="preserve">Paolo </w:t>
      </w:r>
      <w:r w:rsidR="00531E41">
        <w:rPr>
          <w:rStyle w:val="eop"/>
          <w:rFonts w:ascii="Calibri" w:hAnsi="Calibri" w:cs="Calibri"/>
          <w:sz w:val="22"/>
          <w:szCs w:val="22"/>
        </w:rPr>
        <w:t>Franzese</w:t>
      </w:r>
      <w:r w:rsidR="005247DD">
        <w:rPr>
          <w:rStyle w:val="eop"/>
          <w:rFonts w:ascii="Calibri" w:hAnsi="Calibri" w:cs="Calibri"/>
          <w:sz w:val="22"/>
          <w:szCs w:val="22"/>
        </w:rPr>
        <w:t xml:space="preserve">, </w:t>
      </w:r>
      <w:r w:rsidR="00BF23B8">
        <w:rPr>
          <w:rStyle w:val="eop"/>
          <w:rFonts w:ascii="Calibri" w:hAnsi="Calibri" w:cs="Calibri"/>
          <w:sz w:val="22"/>
          <w:szCs w:val="22"/>
        </w:rPr>
        <w:t xml:space="preserve">Rena Kottcamp, </w:t>
      </w:r>
      <w:r w:rsidR="005247DD">
        <w:rPr>
          <w:rStyle w:val="eop"/>
          <w:rFonts w:ascii="Calibri" w:hAnsi="Calibri" w:cs="Calibri"/>
          <w:sz w:val="22"/>
          <w:szCs w:val="22"/>
        </w:rPr>
        <w:t>Wendy Filosi,</w:t>
      </w:r>
      <w:r w:rsidR="00511B94">
        <w:rPr>
          <w:rStyle w:val="eop"/>
          <w:rFonts w:ascii="Calibri" w:hAnsi="Calibri" w:cs="Calibri"/>
          <w:sz w:val="22"/>
          <w:szCs w:val="22"/>
        </w:rPr>
        <w:t xml:space="preserve"> </w:t>
      </w:r>
      <w:r w:rsidR="00DA0F25">
        <w:rPr>
          <w:rStyle w:val="eop"/>
          <w:rFonts w:ascii="Calibri" w:hAnsi="Calibri" w:cs="Calibri"/>
          <w:sz w:val="22"/>
          <w:szCs w:val="22"/>
        </w:rPr>
        <w:t xml:space="preserve">Rory </w:t>
      </w:r>
      <w:r w:rsidR="006425D7">
        <w:rPr>
          <w:rStyle w:val="eop"/>
          <w:rFonts w:ascii="Calibri" w:hAnsi="Calibri" w:cs="Calibri"/>
          <w:sz w:val="22"/>
          <w:szCs w:val="22"/>
        </w:rPr>
        <w:t>McAnaney</w:t>
      </w:r>
    </w:p>
    <w:p w14:paraId="6D162182" w14:textId="77777777" w:rsidR="005247DD" w:rsidRDefault="005247DD" w:rsidP="005247DD">
      <w:pPr>
        <w:pStyle w:val="paragraph"/>
        <w:spacing w:before="0" w:beforeAutospacing="0" w:after="0" w:afterAutospacing="0"/>
        <w:textAlignment w:val="baseline"/>
        <w:rPr>
          <w:rFonts w:ascii="Segoe UI" w:hAnsi="Segoe UI" w:cs="Segoe UI"/>
          <w:sz w:val="18"/>
          <w:szCs w:val="18"/>
        </w:rPr>
      </w:pPr>
    </w:p>
    <w:p w14:paraId="36ABCDBD" w14:textId="3F124880" w:rsidR="002A2AD2" w:rsidRDefault="002A2AD2" w:rsidP="002A2AD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 virtual meeting was held via </w:t>
      </w:r>
      <w:r w:rsidR="00DA5D30">
        <w:rPr>
          <w:rStyle w:val="normaltextrun"/>
          <w:rFonts w:ascii="Calibri" w:hAnsi="Calibri" w:cs="Calibri"/>
          <w:sz w:val="22"/>
          <w:szCs w:val="22"/>
        </w:rPr>
        <w:t>Zoom</w:t>
      </w:r>
      <w:r>
        <w:rPr>
          <w:rStyle w:val="normaltextrun"/>
          <w:rFonts w:ascii="Calibri" w:hAnsi="Calibri" w:cs="Calibri"/>
          <w:sz w:val="22"/>
          <w:szCs w:val="22"/>
        </w:rPr>
        <w:t>. </w:t>
      </w:r>
      <w:r>
        <w:rPr>
          <w:rStyle w:val="eop"/>
          <w:rFonts w:ascii="Calibri" w:hAnsi="Calibri" w:cs="Calibri"/>
          <w:sz w:val="22"/>
          <w:szCs w:val="22"/>
        </w:rPr>
        <w:t> </w:t>
      </w:r>
    </w:p>
    <w:p w14:paraId="1B405950" w14:textId="77777777" w:rsidR="00556BA3" w:rsidRDefault="00556BA3" w:rsidP="002A2AD2">
      <w:pPr>
        <w:pStyle w:val="paragraph"/>
        <w:spacing w:before="0" w:beforeAutospacing="0" w:after="0" w:afterAutospacing="0"/>
        <w:textAlignment w:val="baseline"/>
        <w:rPr>
          <w:rFonts w:ascii="Segoe UI" w:hAnsi="Segoe UI" w:cs="Segoe UI"/>
          <w:sz w:val="18"/>
          <w:szCs w:val="18"/>
        </w:rPr>
      </w:pPr>
    </w:p>
    <w:p w14:paraId="4005D9B5" w14:textId="647DDA5D" w:rsidR="00556BA3" w:rsidRDefault="004D5FC6" w:rsidP="00556BA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 motion</w:t>
      </w:r>
      <w:r w:rsidR="002A2AD2">
        <w:rPr>
          <w:rStyle w:val="normaltextrun"/>
          <w:rFonts w:ascii="Calibri" w:hAnsi="Calibri" w:cs="Calibri"/>
          <w:sz w:val="22"/>
          <w:szCs w:val="22"/>
        </w:rPr>
        <w:t xml:space="preserve"> was proposed to approve the </w:t>
      </w:r>
      <w:r w:rsidR="00E229A1">
        <w:rPr>
          <w:rStyle w:val="normaltextrun"/>
          <w:rFonts w:ascii="Calibri" w:hAnsi="Calibri" w:cs="Calibri"/>
          <w:sz w:val="22"/>
          <w:szCs w:val="22"/>
        </w:rPr>
        <w:t xml:space="preserve">February </w:t>
      </w:r>
      <w:r w:rsidR="009B4B40">
        <w:rPr>
          <w:rStyle w:val="normaltextrun"/>
          <w:rFonts w:ascii="Calibri" w:hAnsi="Calibri" w:cs="Calibri"/>
          <w:sz w:val="22"/>
          <w:szCs w:val="22"/>
        </w:rPr>
        <w:t>202</w:t>
      </w:r>
      <w:r w:rsidR="007C7783">
        <w:rPr>
          <w:rStyle w:val="normaltextrun"/>
          <w:rFonts w:ascii="Calibri" w:hAnsi="Calibri" w:cs="Calibri"/>
          <w:sz w:val="22"/>
          <w:szCs w:val="22"/>
        </w:rPr>
        <w:t>5</w:t>
      </w:r>
      <w:r w:rsidR="002A2AD2">
        <w:rPr>
          <w:rStyle w:val="normaltextrun"/>
          <w:rFonts w:ascii="Calibri" w:hAnsi="Calibri" w:cs="Calibri"/>
          <w:sz w:val="22"/>
          <w:szCs w:val="22"/>
        </w:rPr>
        <w:t xml:space="preserve"> meeting minutes</w:t>
      </w:r>
      <w:r w:rsidR="00556BA3">
        <w:rPr>
          <w:rStyle w:val="normaltextrun"/>
          <w:rFonts w:ascii="Calibri" w:hAnsi="Calibri" w:cs="Calibri"/>
          <w:sz w:val="22"/>
          <w:szCs w:val="22"/>
        </w:rPr>
        <w:t>.</w:t>
      </w:r>
    </w:p>
    <w:p w14:paraId="4AE59C2A" w14:textId="1E3DB2EC" w:rsidR="002A2AD2" w:rsidRDefault="002A2AD2" w:rsidP="00556BA3">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Motion was seconded. </w:t>
      </w:r>
      <w:r>
        <w:rPr>
          <w:rStyle w:val="eop"/>
          <w:rFonts w:ascii="Calibri" w:hAnsi="Calibri" w:cs="Calibri"/>
          <w:sz w:val="22"/>
          <w:szCs w:val="22"/>
        </w:rPr>
        <w:t> </w:t>
      </w:r>
    </w:p>
    <w:p w14:paraId="68697704" w14:textId="26054030" w:rsidR="00721801" w:rsidRPr="00835CE3" w:rsidRDefault="002A2AD2" w:rsidP="00831DFA">
      <w:pPr>
        <w:pStyle w:val="paragraph"/>
        <w:numPr>
          <w:ilvl w:val="0"/>
          <w:numId w:val="24"/>
        </w:numPr>
        <w:spacing w:before="0" w:beforeAutospacing="0" w:after="0" w:afterAutospacing="0"/>
        <w:textAlignment w:val="baseline"/>
        <w:rPr>
          <w:rStyle w:val="normaltextrun"/>
          <w:rFonts w:ascii="Calibri" w:hAnsi="Calibri" w:cs="Calibri"/>
          <w:sz w:val="22"/>
          <w:szCs w:val="22"/>
        </w:rPr>
      </w:pPr>
      <w:r w:rsidRPr="00835CE3">
        <w:rPr>
          <w:rStyle w:val="normaltextrun"/>
          <w:rFonts w:ascii="Calibri" w:hAnsi="Calibri" w:cs="Calibri"/>
          <w:sz w:val="22"/>
          <w:szCs w:val="22"/>
        </w:rPr>
        <w:t>Vote on Motion – all in favor to approve.</w:t>
      </w:r>
    </w:p>
    <w:p w14:paraId="2ED2679E" w14:textId="77777777" w:rsidR="0002163C" w:rsidRPr="00831D1B" w:rsidRDefault="0002163C" w:rsidP="0002163C">
      <w:pPr>
        <w:pStyle w:val="paragraph"/>
        <w:rPr>
          <w:rFonts w:asciiTheme="majorHAnsi" w:hAnsiTheme="majorHAnsi" w:cstheme="majorHAnsi"/>
          <w:b/>
          <w:bCs/>
          <w:sz w:val="28"/>
          <w:szCs w:val="28"/>
        </w:rPr>
      </w:pPr>
      <w:r w:rsidRPr="00831D1B">
        <w:rPr>
          <w:rFonts w:asciiTheme="majorHAnsi" w:hAnsiTheme="majorHAnsi" w:cstheme="majorHAnsi"/>
          <w:b/>
          <w:bCs/>
          <w:iCs/>
          <w:sz w:val="28"/>
          <w:szCs w:val="28"/>
        </w:rPr>
        <w:t>UI</w:t>
      </w:r>
      <w:r w:rsidRPr="00831D1B">
        <w:rPr>
          <w:rFonts w:asciiTheme="majorHAnsi" w:hAnsiTheme="majorHAnsi" w:cstheme="majorHAnsi"/>
          <w:b/>
          <w:bCs/>
          <w:sz w:val="28"/>
          <w:szCs w:val="28"/>
        </w:rPr>
        <w:t xml:space="preserve"> Trust Fund Update</w:t>
      </w:r>
    </w:p>
    <w:p w14:paraId="1DAD2D1C" w14:textId="706768E5" w:rsidR="00E229A1" w:rsidRPr="00E229A1" w:rsidRDefault="00E229A1" w:rsidP="00E229A1">
      <w:pPr>
        <w:pStyle w:val="paragraph"/>
        <w:rPr>
          <w:rFonts w:asciiTheme="majorHAnsi" w:hAnsiTheme="majorHAnsi" w:cstheme="majorHAnsi"/>
          <w:sz w:val="22"/>
          <w:szCs w:val="22"/>
        </w:rPr>
      </w:pPr>
      <w:r w:rsidRPr="00E229A1">
        <w:rPr>
          <w:rFonts w:asciiTheme="majorHAnsi" w:hAnsiTheme="majorHAnsi" w:cstheme="majorHAnsi"/>
          <w:sz w:val="22"/>
          <w:szCs w:val="22"/>
        </w:rPr>
        <w:t>Lisa Hemmmerle, Director of Economic Research</w:t>
      </w:r>
      <w:r>
        <w:rPr>
          <w:rFonts w:asciiTheme="majorHAnsi" w:hAnsiTheme="majorHAnsi" w:cstheme="majorHAnsi"/>
          <w:sz w:val="22"/>
          <w:szCs w:val="22"/>
        </w:rPr>
        <w:t>,</w:t>
      </w:r>
      <w:r w:rsidRPr="00E229A1">
        <w:rPr>
          <w:rFonts w:asciiTheme="majorHAnsi" w:hAnsiTheme="majorHAnsi" w:cstheme="majorHAnsi"/>
          <w:sz w:val="22"/>
          <w:szCs w:val="22"/>
        </w:rPr>
        <w:t xml:space="preserve"> provided the UI Trust Fund report. The UI trust fund report </w:t>
      </w:r>
      <w:r>
        <w:rPr>
          <w:rFonts w:asciiTheme="majorHAnsi" w:hAnsiTheme="majorHAnsi" w:cstheme="majorHAnsi"/>
          <w:sz w:val="22"/>
          <w:szCs w:val="22"/>
        </w:rPr>
        <w:t>is for</w:t>
      </w:r>
      <w:r w:rsidRPr="00E229A1">
        <w:rPr>
          <w:rFonts w:asciiTheme="majorHAnsi" w:hAnsiTheme="majorHAnsi" w:cstheme="majorHAnsi"/>
          <w:sz w:val="22"/>
          <w:szCs w:val="22"/>
        </w:rPr>
        <w:t xml:space="preserve"> April</w:t>
      </w:r>
      <w:r>
        <w:rPr>
          <w:rFonts w:asciiTheme="majorHAnsi" w:hAnsiTheme="majorHAnsi" w:cstheme="majorHAnsi"/>
          <w:sz w:val="22"/>
          <w:szCs w:val="22"/>
        </w:rPr>
        <w:t xml:space="preserve"> and the </w:t>
      </w:r>
      <w:r w:rsidRPr="00E229A1">
        <w:rPr>
          <w:rFonts w:asciiTheme="majorHAnsi" w:hAnsiTheme="majorHAnsi" w:cstheme="majorHAnsi"/>
          <w:sz w:val="22"/>
          <w:szCs w:val="22"/>
        </w:rPr>
        <w:t>quarterly report</w:t>
      </w:r>
      <w:r>
        <w:rPr>
          <w:rFonts w:asciiTheme="majorHAnsi" w:hAnsiTheme="majorHAnsi" w:cstheme="majorHAnsi"/>
          <w:sz w:val="22"/>
          <w:szCs w:val="22"/>
        </w:rPr>
        <w:t>.</w:t>
      </w:r>
    </w:p>
    <w:p w14:paraId="17A8410C" w14:textId="77777777" w:rsidR="00E229A1" w:rsidRPr="00E229A1" w:rsidRDefault="00E229A1" w:rsidP="00E229A1">
      <w:pPr>
        <w:pStyle w:val="paragraph"/>
        <w:numPr>
          <w:ilvl w:val="0"/>
          <w:numId w:val="41"/>
        </w:numPr>
        <w:rPr>
          <w:rFonts w:asciiTheme="majorHAnsi" w:hAnsiTheme="majorHAnsi" w:cstheme="majorHAnsi"/>
          <w:sz w:val="22"/>
          <w:szCs w:val="22"/>
        </w:rPr>
      </w:pPr>
      <w:r w:rsidRPr="00E229A1">
        <w:rPr>
          <w:rFonts w:asciiTheme="majorHAnsi" w:hAnsiTheme="majorHAnsi" w:cstheme="majorHAnsi"/>
          <w:sz w:val="22"/>
          <w:szCs w:val="22"/>
        </w:rPr>
        <w:t>1</w:t>
      </w:r>
      <w:r w:rsidRPr="00E229A1">
        <w:rPr>
          <w:rFonts w:asciiTheme="majorHAnsi" w:hAnsiTheme="majorHAnsi" w:cstheme="majorHAnsi"/>
          <w:sz w:val="22"/>
          <w:szCs w:val="22"/>
          <w:vertAlign w:val="superscript"/>
        </w:rPr>
        <w:t>st</w:t>
      </w:r>
      <w:r w:rsidRPr="00E229A1">
        <w:rPr>
          <w:rFonts w:asciiTheme="majorHAnsi" w:hAnsiTheme="majorHAnsi" w:cstheme="majorHAnsi"/>
          <w:sz w:val="22"/>
          <w:szCs w:val="22"/>
        </w:rPr>
        <w:t xml:space="preserve"> quarter 2025 employer contributions through March were $100M, with a year-end estimated balance of $1.63B.</w:t>
      </w:r>
    </w:p>
    <w:p w14:paraId="2CD433D7" w14:textId="77777777" w:rsidR="00E229A1" w:rsidRPr="00E229A1" w:rsidRDefault="00E229A1" w:rsidP="00E229A1">
      <w:pPr>
        <w:pStyle w:val="paragraph"/>
        <w:numPr>
          <w:ilvl w:val="0"/>
          <w:numId w:val="41"/>
        </w:numPr>
        <w:rPr>
          <w:rFonts w:asciiTheme="majorHAnsi" w:hAnsiTheme="majorHAnsi" w:cstheme="majorHAnsi"/>
          <w:sz w:val="22"/>
          <w:szCs w:val="22"/>
        </w:rPr>
      </w:pPr>
      <w:r w:rsidRPr="00E229A1">
        <w:rPr>
          <w:rFonts w:asciiTheme="majorHAnsi" w:hAnsiTheme="majorHAnsi" w:cstheme="majorHAnsi"/>
          <w:sz w:val="22"/>
          <w:szCs w:val="22"/>
        </w:rPr>
        <w:t>The 1st quarter benefits paid through March 31, 2025, were approximately $655M. The year-end balance is estimated to be $2.43B, with the balance of the trust fund estimated to be $1.66B on a cash basis.</w:t>
      </w:r>
    </w:p>
    <w:p w14:paraId="2A72B494" w14:textId="613BADCD" w:rsidR="0002163C" w:rsidRPr="00835CE3" w:rsidRDefault="00E229A1" w:rsidP="00E82033">
      <w:pPr>
        <w:pStyle w:val="paragraph"/>
        <w:numPr>
          <w:ilvl w:val="0"/>
          <w:numId w:val="41"/>
        </w:numPr>
        <w:rPr>
          <w:rFonts w:asciiTheme="majorHAnsi" w:hAnsiTheme="majorHAnsi" w:cstheme="majorHAnsi"/>
          <w:sz w:val="22"/>
          <w:szCs w:val="22"/>
        </w:rPr>
      </w:pPr>
      <w:r w:rsidRPr="00E229A1">
        <w:rPr>
          <w:rFonts w:asciiTheme="majorHAnsi" w:hAnsiTheme="majorHAnsi" w:cstheme="majorHAnsi"/>
          <w:sz w:val="22"/>
          <w:szCs w:val="22"/>
        </w:rPr>
        <w:t>The model was updated but still at Schedule D for 2025, and Schedule E for 2026.</w:t>
      </w:r>
      <w:r w:rsidR="00835CE3">
        <w:rPr>
          <w:rFonts w:asciiTheme="majorHAnsi" w:hAnsiTheme="majorHAnsi" w:cstheme="majorHAnsi"/>
          <w:sz w:val="22"/>
          <w:szCs w:val="22"/>
        </w:rPr>
        <w:t xml:space="preserve"> </w:t>
      </w:r>
      <w:hyperlink r:id="rId11" w:history="1">
        <w:r w:rsidR="0002163C" w:rsidRPr="00835CE3">
          <w:rPr>
            <w:rStyle w:val="Hyperlink"/>
            <w:rFonts w:asciiTheme="majorHAnsi" w:hAnsiTheme="majorHAnsi" w:cstheme="majorHAnsi"/>
          </w:rPr>
          <w:t>https://mass.gov/uitrustfund</w:t>
        </w:r>
      </w:hyperlink>
    </w:p>
    <w:p w14:paraId="2585D452" w14:textId="0BC933B2" w:rsidR="008569AD" w:rsidRPr="00831D1B" w:rsidRDefault="008569AD" w:rsidP="008569AD">
      <w:pPr>
        <w:pStyle w:val="paragraph"/>
        <w:textAlignment w:val="baseline"/>
        <w:rPr>
          <w:rFonts w:asciiTheme="majorHAnsi" w:hAnsiTheme="majorHAnsi" w:cstheme="majorHAnsi"/>
          <w:b/>
          <w:bCs/>
          <w:sz w:val="28"/>
          <w:szCs w:val="28"/>
        </w:rPr>
      </w:pPr>
      <w:bookmarkStart w:id="0" w:name="_Hlk192682019"/>
      <w:r w:rsidRPr="00831D1B">
        <w:rPr>
          <w:rFonts w:asciiTheme="majorHAnsi" w:hAnsiTheme="majorHAnsi" w:cstheme="majorHAnsi"/>
          <w:b/>
          <w:bCs/>
          <w:sz w:val="28"/>
          <w:szCs w:val="28"/>
        </w:rPr>
        <w:t>Questions/Discussion</w:t>
      </w:r>
    </w:p>
    <w:p w14:paraId="0845652B" w14:textId="77777777" w:rsidR="00E229A1" w:rsidRPr="00E229A1" w:rsidRDefault="00E229A1" w:rsidP="00E229A1">
      <w:pPr>
        <w:spacing w:after="160" w:line="278" w:lineRule="auto"/>
        <w:rPr>
          <w:rFonts w:asciiTheme="majorHAnsi" w:eastAsia="Aptos" w:hAnsiTheme="majorHAnsi" w:cstheme="majorHAnsi"/>
          <w:i w:val="0"/>
          <w:kern w:val="2"/>
          <w:szCs w:val="24"/>
          <w14:ligatures w14:val="standardContextual"/>
        </w:rPr>
      </w:pPr>
      <w:r w:rsidRPr="00E229A1">
        <w:rPr>
          <w:rFonts w:asciiTheme="majorHAnsi" w:eastAsia="Aptos" w:hAnsiTheme="majorHAnsi" w:cstheme="majorHAnsi"/>
          <w:b/>
          <w:bCs/>
          <w:i w:val="0"/>
          <w:color w:val="FF0000"/>
          <w:kern w:val="2"/>
          <w:szCs w:val="24"/>
          <w14:ligatures w14:val="standardContextual"/>
        </w:rPr>
        <w:t>Question Chris Carlozzi:</w:t>
      </w:r>
      <w:r w:rsidRPr="00E229A1">
        <w:rPr>
          <w:rFonts w:asciiTheme="majorHAnsi" w:eastAsia="Aptos" w:hAnsiTheme="majorHAnsi" w:cstheme="majorHAnsi"/>
          <w:i w:val="0"/>
          <w:color w:val="FF0000"/>
          <w:kern w:val="2"/>
          <w:szCs w:val="24"/>
          <w14:ligatures w14:val="standardContextual"/>
        </w:rPr>
        <w:t xml:space="preserve"> </w:t>
      </w:r>
      <w:r w:rsidRPr="00E229A1">
        <w:rPr>
          <w:rFonts w:asciiTheme="majorHAnsi" w:eastAsia="Aptos" w:hAnsiTheme="majorHAnsi" w:cstheme="majorHAnsi"/>
          <w:i w:val="0"/>
          <w:kern w:val="2"/>
          <w:szCs w:val="24"/>
          <w14:ligatures w14:val="standardContextual"/>
        </w:rPr>
        <w:t>I noticed in the past couple reports that DOL keeps track of improper payment. Our percentage rate is 22%. Is that tracked as well in these annual reports on the state level?</w:t>
      </w:r>
    </w:p>
    <w:p w14:paraId="6946E7ED" w14:textId="3C8CEE02" w:rsidR="00E229A1" w:rsidRPr="00E229A1" w:rsidRDefault="00E229A1" w:rsidP="00E229A1">
      <w:pPr>
        <w:spacing w:after="160" w:line="278" w:lineRule="auto"/>
        <w:rPr>
          <w:rFonts w:asciiTheme="majorHAnsi" w:eastAsia="Aptos" w:hAnsiTheme="majorHAnsi" w:cstheme="majorHAnsi"/>
          <w:i w:val="0"/>
          <w:kern w:val="2"/>
          <w:szCs w:val="24"/>
          <w14:ligatures w14:val="standardContextual"/>
        </w:rPr>
      </w:pPr>
      <w:r w:rsidRPr="00E229A1">
        <w:rPr>
          <w:rFonts w:asciiTheme="majorHAnsi" w:eastAsia="Aptos" w:hAnsiTheme="majorHAnsi" w:cstheme="majorHAnsi"/>
          <w:b/>
          <w:bCs/>
          <w:i w:val="0"/>
          <w:kern w:val="2"/>
          <w:szCs w:val="24"/>
          <w14:ligatures w14:val="standardContextual"/>
        </w:rPr>
        <w:lastRenderedPageBreak/>
        <w:t>Answer by Katie Dishnica:</w:t>
      </w:r>
      <w:r w:rsidRPr="00E229A1">
        <w:rPr>
          <w:rFonts w:asciiTheme="majorHAnsi" w:eastAsia="Aptos" w:hAnsiTheme="majorHAnsi" w:cstheme="majorHAnsi"/>
          <w:i w:val="0"/>
          <w:kern w:val="2"/>
          <w:szCs w:val="24"/>
          <w14:ligatures w14:val="standardContextual"/>
        </w:rPr>
        <w:t xml:space="preserve"> We do track it however I don’t</w:t>
      </w:r>
      <w:r w:rsidR="00705372">
        <w:rPr>
          <w:rFonts w:asciiTheme="majorHAnsi" w:eastAsia="Aptos" w:hAnsiTheme="majorHAnsi" w:cstheme="majorHAnsi"/>
          <w:i w:val="0"/>
          <w:kern w:val="2"/>
          <w:szCs w:val="24"/>
          <w14:ligatures w14:val="standardContextual"/>
        </w:rPr>
        <w:t xml:space="preserve"> </w:t>
      </w:r>
      <w:r w:rsidRPr="00E229A1">
        <w:rPr>
          <w:rFonts w:asciiTheme="majorHAnsi" w:eastAsia="Aptos" w:hAnsiTheme="majorHAnsi" w:cstheme="majorHAnsi"/>
          <w:i w:val="0"/>
          <w:kern w:val="2"/>
          <w:szCs w:val="24"/>
          <w14:ligatures w14:val="standardContextual"/>
        </w:rPr>
        <w:t>know if it is tracked for what Lisa is reporting on. I did get your request for information and hope to have it for the next meeting.</w:t>
      </w:r>
    </w:p>
    <w:p w14:paraId="603C6FF9" w14:textId="77777777" w:rsidR="00E229A1" w:rsidRPr="00E229A1" w:rsidRDefault="00E229A1" w:rsidP="00E229A1">
      <w:pPr>
        <w:spacing w:after="160" w:line="278" w:lineRule="auto"/>
        <w:rPr>
          <w:rFonts w:asciiTheme="majorHAnsi" w:eastAsia="Aptos" w:hAnsiTheme="majorHAnsi" w:cstheme="majorHAnsi"/>
          <w:i w:val="0"/>
          <w:kern w:val="2"/>
          <w:szCs w:val="24"/>
          <w14:ligatures w14:val="standardContextual"/>
        </w:rPr>
      </w:pPr>
      <w:r w:rsidRPr="00E229A1">
        <w:rPr>
          <w:rFonts w:asciiTheme="majorHAnsi" w:eastAsia="Aptos" w:hAnsiTheme="majorHAnsi" w:cstheme="majorHAnsi"/>
          <w:b/>
          <w:bCs/>
          <w:i w:val="0"/>
          <w:color w:val="FF0000"/>
          <w:kern w:val="2"/>
          <w:szCs w:val="24"/>
          <w14:ligatures w14:val="standardContextual"/>
        </w:rPr>
        <w:t>Chris Carlozzi:</w:t>
      </w:r>
      <w:r w:rsidRPr="00E229A1">
        <w:rPr>
          <w:rFonts w:asciiTheme="majorHAnsi" w:eastAsia="Aptos" w:hAnsiTheme="majorHAnsi" w:cstheme="majorHAnsi"/>
          <w:i w:val="0"/>
          <w:color w:val="FF0000"/>
          <w:kern w:val="2"/>
          <w:szCs w:val="24"/>
          <w14:ligatures w14:val="standardContextual"/>
        </w:rPr>
        <w:t xml:space="preserve"> </w:t>
      </w:r>
      <w:r w:rsidRPr="00E229A1">
        <w:rPr>
          <w:rFonts w:asciiTheme="majorHAnsi" w:eastAsia="Aptos" w:hAnsiTheme="majorHAnsi" w:cstheme="majorHAnsi"/>
          <w:i w:val="0"/>
          <w:kern w:val="2"/>
          <w:szCs w:val="24"/>
          <w14:ligatures w14:val="standardContextual"/>
        </w:rPr>
        <w:t>I was curious since DOL targets under 10% for improper payments. We seem to be higher than that. The inspector general released a report looking at recovery of overpayments and surveyed all the other states as well, but MA did not respond. Was there a reason we did not respond to the survey?</w:t>
      </w:r>
    </w:p>
    <w:p w14:paraId="1A5D161A" w14:textId="019AF863" w:rsidR="00E229A1" w:rsidRDefault="00E229A1" w:rsidP="00E229A1">
      <w:pPr>
        <w:spacing w:after="160" w:line="278" w:lineRule="auto"/>
        <w:rPr>
          <w:rFonts w:asciiTheme="majorHAnsi" w:eastAsia="Aptos" w:hAnsiTheme="majorHAnsi" w:cstheme="majorHAnsi"/>
          <w:i w:val="0"/>
          <w:kern w:val="2"/>
          <w:szCs w:val="24"/>
          <w14:ligatures w14:val="standardContextual"/>
        </w:rPr>
      </w:pPr>
      <w:r w:rsidRPr="00E229A1">
        <w:rPr>
          <w:rFonts w:asciiTheme="majorHAnsi" w:eastAsia="Aptos" w:hAnsiTheme="majorHAnsi" w:cstheme="majorHAnsi"/>
          <w:b/>
          <w:bCs/>
          <w:i w:val="0"/>
          <w:kern w:val="2"/>
          <w:szCs w:val="24"/>
          <w14:ligatures w14:val="standardContextual"/>
        </w:rPr>
        <w:t>Answer by Katie Dishnica:</w:t>
      </w:r>
      <w:r w:rsidRPr="00E229A1">
        <w:rPr>
          <w:rFonts w:asciiTheme="majorHAnsi" w:eastAsia="Aptos" w:hAnsiTheme="majorHAnsi" w:cstheme="majorHAnsi"/>
          <w:i w:val="0"/>
          <w:kern w:val="2"/>
          <w:szCs w:val="24"/>
          <w14:ligatures w14:val="standardContextual"/>
        </w:rPr>
        <w:t xml:space="preserve"> I believe REGIS was the company that conducted the survey. I found that we responded to everything that came from them. This specific survey on recovery I don’t have a record of. Only sixteen states responded. I don’t know why we didn’t respond and I’m curious to know why so many other states didn’t either. I don’t have a record of us not responding. We can talk more about the improper payments at the next meeting.</w:t>
      </w:r>
      <w:bookmarkEnd w:id="0"/>
    </w:p>
    <w:p w14:paraId="27805A29" w14:textId="77777777" w:rsidR="00831D1B" w:rsidRPr="00831D1B" w:rsidRDefault="00831D1B" w:rsidP="00831D1B">
      <w:pPr>
        <w:spacing w:after="160" w:line="278" w:lineRule="auto"/>
        <w:rPr>
          <w:rFonts w:asciiTheme="majorHAnsi" w:eastAsia="Aptos" w:hAnsiTheme="majorHAnsi" w:cstheme="majorHAnsi"/>
          <w:b/>
          <w:bCs/>
          <w:i w:val="0"/>
          <w:kern w:val="2"/>
          <w:sz w:val="28"/>
          <w:szCs w:val="28"/>
          <w14:ligatures w14:val="standardContextual"/>
        </w:rPr>
      </w:pPr>
      <w:r w:rsidRPr="00831D1B">
        <w:rPr>
          <w:rFonts w:asciiTheme="majorHAnsi" w:eastAsia="Aptos" w:hAnsiTheme="majorHAnsi" w:cstheme="majorHAnsi"/>
          <w:b/>
          <w:bCs/>
          <w:i w:val="0"/>
          <w:kern w:val="2"/>
          <w:sz w:val="28"/>
          <w:szCs w:val="28"/>
          <w14:ligatures w14:val="standardContextual"/>
        </w:rPr>
        <w:t>Presentation by Rick Jeffers, Executive Sponsor of EMT</w:t>
      </w:r>
    </w:p>
    <w:p w14:paraId="020F95EA" w14:textId="51CCA02C" w:rsidR="00831D1B" w:rsidRPr="00831D1B" w:rsidRDefault="00831D1B" w:rsidP="00831D1B">
      <w:pPr>
        <w:spacing w:after="160" w:line="278" w:lineRule="auto"/>
        <w:rPr>
          <w:rFonts w:asciiTheme="majorHAnsi" w:eastAsia="Aptos" w:hAnsiTheme="majorHAnsi" w:cstheme="majorHAnsi"/>
          <w:i w:val="0"/>
          <w:kern w:val="2"/>
          <w:szCs w:val="24"/>
          <w14:ligatures w14:val="standardContextual"/>
        </w:rPr>
      </w:pPr>
      <w:r w:rsidRPr="00831D1B">
        <w:rPr>
          <w:rFonts w:asciiTheme="majorHAnsi" w:eastAsia="Aptos" w:hAnsiTheme="majorHAnsi" w:cstheme="majorHAnsi"/>
          <w:i w:val="0"/>
          <w:kern w:val="2"/>
          <w:szCs w:val="24"/>
          <w14:ligatures w14:val="standardContextual"/>
        </w:rPr>
        <w:t xml:space="preserve">The EMT project kicked off in July of 2022. The first release was for employers in September of 2023. The second release for claimants is in May of 2025. The EMT system has had updates to make it more user friendly and accessible to employers and claimants. For example, a person who is visually impaired can still navigate the system using a screen reader. A full review and rewrite of DUA correspondence was done to improve clarity and understanding. Online portals, correspondence, claim applications, and requests for additional information have been rewritten in plain language to reduce unnecessary questions, eliminate confusing jargon, and streamline customer interactions.  The online portal will support English and Spanish to improve customer access. Claimant correspondence will be translated into twelve of the most common spoken languages in the Commonwealth. The new system will also be mobile-friendly.  </w:t>
      </w:r>
    </w:p>
    <w:p w14:paraId="2AF6DC45" w14:textId="77777777" w:rsidR="00831D1B" w:rsidRPr="00831D1B" w:rsidRDefault="00831D1B" w:rsidP="00831D1B">
      <w:pPr>
        <w:spacing w:after="160" w:line="278" w:lineRule="auto"/>
        <w:rPr>
          <w:rFonts w:asciiTheme="majorHAnsi" w:eastAsia="Aptos" w:hAnsiTheme="majorHAnsi" w:cstheme="majorHAnsi"/>
          <w:i w:val="0"/>
          <w:kern w:val="2"/>
          <w:szCs w:val="24"/>
          <w14:ligatures w14:val="standardContextual"/>
        </w:rPr>
      </w:pPr>
      <w:r w:rsidRPr="00831D1B">
        <w:rPr>
          <w:rFonts w:asciiTheme="majorHAnsi" w:eastAsia="Aptos" w:hAnsiTheme="majorHAnsi" w:cstheme="majorHAnsi"/>
          <w:i w:val="0"/>
          <w:kern w:val="2"/>
          <w:szCs w:val="24"/>
          <w14:ligatures w14:val="standardContextual"/>
        </w:rPr>
        <w:t>DUA has done extensive testing of the new system. During the first phase of testing, thirty-nine DUA business testers were brought in to confirm functionality. Over 10,660 scenarios were tested, passed, and defects resolved. End-to-end testing was done in the second phase to make sure the system functions the way it should from start to finish, and letters and reports are generated correctly. Performance testing was done in the third phase. This involved stress testing the system to confirm capacity and to test high volumes of critical functions. Security and penetration testing was then conducted. This involved preventative vulnerability testing and tests user security roles and permissions.</w:t>
      </w:r>
    </w:p>
    <w:p w14:paraId="73448660" w14:textId="77777777" w:rsidR="00831D1B" w:rsidRPr="00831D1B" w:rsidRDefault="00831D1B" w:rsidP="00831D1B">
      <w:pPr>
        <w:spacing w:after="160" w:line="278" w:lineRule="auto"/>
        <w:rPr>
          <w:rFonts w:asciiTheme="majorHAnsi" w:eastAsia="Aptos" w:hAnsiTheme="majorHAnsi" w:cstheme="majorHAnsi"/>
          <w:i w:val="0"/>
          <w:kern w:val="2"/>
          <w:szCs w:val="24"/>
          <w14:ligatures w14:val="standardContextual"/>
        </w:rPr>
      </w:pPr>
      <w:r w:rsidRPr="00831D1B">
        <w:rPr>
          <w:rFonts w:asciiTheme="majorHAnsi" w:eastAsia="Aptos" w:hAnsiTheme="majorHAnsi" w:cstheme="majorHAnsi"/>
          <w:i w:val="0"/>
          <w:kern w:val="2"/>
          <w:szCs w:val="24"/>
          <w14:ligatures w14:val="standardContextual"/>
        </w:rPr>
        <w:t xml:space="preserve">When the new online portal goes live in May, UI Online will be fully decommissioned. Employers and TPAs will use the new system for all self-service functions. Employers and </w:t>
      </w:r>
      <w:r w:rsidRPr="00831D1B">
        <w:rPr>
          <w:rFonts w:asciiTheme="majorHAnsi" w:eastAsia="Aptos" w:hAnsiTheme="majorHAnsi" w:cstheme="majorHAnsi"/>
          <w:i w:val="0"/>
          <w:kern w:val="2"/>
          <w:szCs w:val="24"/>
          <w14:ligatures w14:val="standardContextual"/>
        </w:rPr>
        <w:lastRenderedPageBreak/>
        <w:t>TPAs will use the Commonwealth’s sign on solution MyMassGov and multi factor authentication or MFA to access their accounts. Employers can respond to Fact-Finding online. All employers the claimant worked for in the last year will be notified when a new claim is filed.</w:t>
      </w:r>
    </w:p>
    <w:p w14:paraId="5377B098" w14:textId="77777777" w:rsidR="00831D1B" w:rsidRPr="00831D1B" w:rsidRDefault="00831D1B" w:rsidP="00831D1B">
      <w:pPr>
        <w:spacing w:after="160" w:line="278" w:lineRule="auto"/>
        <w:rPr>
          <w:rFonts w:asciiTheme="majorHAnsi" w:eastAsia="Aptos" w:hAnsiTheme="majorHAnsi" w:cstheme="majorHAnsi"/>
          <w:i w:val="0"/>
          <w:kern w:val="2"/>
          <w:szCs w:val="24"/>
          <w14:ligatures w14:val="standardContextual"/>
        </w:rPr>
      </w:pPr>
      <w:r w:rsidRPr="00831D1B">
        <w:rPr>
          <w:rFonts w:asciiTheme="majorHAnsi" w:eastAsia="Aptos" w:hAnsiTheme="majorHAnsi" w:cstheme="majorHAnsi"/>
          <w:i w:val="0"/>
          <w:kern w:val="2"/>
          <w:szCs w:val="24"/>
          <w14:ligatures w14:val="standardContextual"/>
        </w:rPr>
        <w:t>The new system will now be available 24 hours a day, 7 days a week, 365 days a year. Claimants will be able to file a claim, check the status of their claim, correct or report wages, track and report work searches, respond to eligibility questions, apply for the Training Opportunities program, and file an appeal and submit appeal related documents.  A customized chatbot will be able to answer questions. If a claimant has the UI Online website “bookmarked” or “added as a favorite”, they will automatically be redirected to the new website at go-live.</w:t>
      </w:r>
    </w:p>
    <w:p w14:paraId="31BE885E" w14:textId="77777777" w:rsidR="00831D1B" w:rsidRPr="00831D1B" w:rsidRDefault="00831D1B" w:rsidP="00831D1B">
      <w:pPr>
        <w:spacing w:after="160" w:line="278" w:lineRule="auto"/>
        <w:rPr>
          <w:rFonts w:asciiTheme="majorHAnsi" w:eastAsia="Aptos" w:hAnsiTheme="majorHAnsi" w:cstheme="majorHAnsi"/>
          <w:i w:val="0"/>
          <w:kern w:val="2"/>
          <w:szCs w:val="24"/>
          <w14:ligatures w14:val="standardContextual"/>
        </w:rPr>
      </w:pPr>
      <w:r w:rsidRPr="00831D1B">
        <w:rPr>
          <w:rFonts w:asciiTheme="majorHAnsi" w:eastAsia="Aptos" w:hAnsiTheme="majorHAnsi" w:cstheme="majorHAnsi"/>
          <w:i w:val="0"/>
          <w:kern w:val="2"/>
          <w:szCs w:val="24"/>
          <w14:ligatures w14:val="standardContextual"/>
        </w:rPr>
        <w:t>DUA has launched a new website within mass.gov to communicate changes and information to claimants and employers. Short videos of common tasks will be available on the site in English and Spanish. DUA has held meetings and given demonstrations to employers and TPAs. Claimants have been sent email communication about the new system and DUA has partnered with MassHire and provided additional how-to guides. There will be more to come before the new system goes live. Claimants will have resources for any questions.</w:t>
      </w:r>
    </w:p>
    <w:p w14:paraId="3259A6F9" w14:textId="42C04DB3" w:rsidR="00831D1B" w:rsidRPr="00831D1B" w:rsidRDefault="00831D1B" w:rsidP="00831D1B">
      <w:pPr>
        <w:spacing w:after="160" w:line="278" w:lineRule="auto"/>
        <w:rPr>
          <w:rFonts w:asciiTheme="majorHAnsi" w:hAnsiTheme="majorHAnsi" w:cstheme="majorHAnsi"/>
          <w:b/>
          <w:bCs/>
          <w:i w:val="0"/>
          <w:sz w:val="28"/>
          <w:szCs w:val="28"/>
        </w:rPr>
      </w:pPr>
      <w:r w:rsidRPr="00831D1B">
        <w:rPr>
          <w:rFonts w:asciiTheme="majorHAnsi" w:hAnsiTheme="majorHAnsi" w:cstheme="majorHAnsi"/>
          <w:b/>
          <w:bCs/>
          <w:i w:val="0"/>
          <w:sz w:val="28"/>
          <w:szCs w:val="28"/>
        </w:rPr>
        <w:t xml:space="preserve">Discussion on open items from the previous meeting </w:t>
      </w:r>
    </w:p>
    <w:p w14:paraId="34675FDF" w14:textId="77777777" w:rsidR="00831D1B" w:rsidRPr="00831D1B" w:rsidRDefault="00831D1B" w:rsidP="00831D1B">
      <w:pPr>
        <w:spacing w:after="160" w:line="278" w:lineRule="auto"/>
        <w:rPr>
          <w:rFonts w:asciiTheme="majorHAnsi" w:hAnsiTheme="majorHAnsi" w:cstheme="majorHAnsi"/>
          <w:i w:val="0"/>
          <w:szCs w:val="24"/>
        </w:rPr>
      </w:pPr>
      <w:r w:rsidRPr="00831D1B">
        <w:rPr>
          <w:rFonts w:asciiTheme="majorHAnsi" w:hAnsiTheme="majorHAnsi" w:cstheme="majorHAnsi"/>
          <w:i w:val="0"/>
          <w:szCs w:val="24"/>
        </w:rPr>
        <w:t xml:space="preserve">DUA is responsible for repaying the settlement installment payments of $2.034B, and the Covid assessment collections. As of January 2025, DUA collected $1.396B in assessments. The total repayment is just over $3B with an estimate of $1.6B to $1.8B due, with just over eight years remaining for the recovery assessment.  The settlement installment payments are being paid out of the UI Trust Fund. Annual interest payments which amount to $70M in the first year are not paid out of the UI Trust Fund. A&amp;F will decide how to repay that. </w:t>
      </w:r>
    </w:p>
    <w:p w14:paraId="7CD5B770" w14:textId="77777777" w:rsidR="00831D1B" w:rsidRPr="00831D1B" w:rsidRDefault="00831D1B" w:rsidP="00831D1B">
      <w:pPr>
        <w:spacing w:after="160" w:line="278" w:lineRule="auto"/>
        <w:rPr>
          <w:rFonts w:asciiTheme="majorHAnsi" w:hAnsiTheme="majorHAnsi" w:cstheme="majorHAnsi"/>
          <w:i w:val="0"/>
          <w:szCs w:val="24"/>
        </w:rPr>
      </w:pPr>
      <w:r w:rsidRPr="00831D1B">
        <w:rPr>
          <w:rFonts w:asciiTheme="majorHAnsi" w:hAnsiTheme="majorHAnsi" w:cstheme="majorHAnsi"/>
          <w:b/>
          <w:bCs/>
          <w:i w:val="0"/>
          <w:color w:val="FF0000"/>
          <w:szCs w:val="24"/>
        </w:rPr>
        <w:t>Question by Chris Carlozzi:</w:t>
      </w:r>
      <w:r w:rsidRPr="00831D1B">
        <w:rPr>
          <w:rFonts w:asciiTheme="majorHAnsi" w:hAnsiTheme="majorHAnsi" w:cstheme="majorHAnsi"/>
          <w:i w:val="0"/>
          <w:color w:val="FF0000"/>
          <w:szCs w:val="24"/>
        </w:rPr>
        <w:t xml:space="preserve"> </w:t>
      </w:r>
      <w:r w:rsidRPr="00831D1B">
        <w:rPr>
          <w:rFonts w:asciiTheme="majorHAnsi" w:hAnsiTheme="majorHAnsi" w:cstheme="majorHAnsi"/>
          <w:i w:val="0"/>
          <w:szCs w:val="24"/>
        </w:rPr>
        <w:t>Future years as well are not coming out of the UI Trust Fund?</w:t>
      </w:r>
    </w:p>
    <w:p w14:paraId="2DEB4431" w14:textId="77777777" w:rsidR="00831D1B" w:rsidRPr="00831D1B" w:rsidRDefault="00831D1B" w:rsidP="00831D1B">
      <w:pPr>
        <w:spacing w:after="160" w:line="278" w:lineRule="auto"/>
        <w:rPr>
          <w:rFonts w:asciiTheme="majorHAnsi" w:hAnsiTheme="majorHAnsi" w:cstheme="majorHAnsi"/>
          <w:i w:val="0"/>
          <w:szCs w:val="24"/>
        </w:rPr>
      </w:pPr>
      <w:r w:rsidRPr="00831D1B">
        <w:rPr>
          <w:rFonts w:asciiTheme="majorHAnsi" w:hAnsiTheme="majorHAnsi" w:cstheme="majorHAnsi"/>
          <w:b/>
          <w:bCs/>
          <w:i w:val="0"/>
          <w:szCs w:val="24"/>
        </w:rPr>
        <w:t>Answer by Katie Dishnica:</w:t>
      </w:r>
      <w:r w:rsidRPr="00831D1B">
        <w:rPr>
          <w:rFonts w:asciiTheme="majorHAnsi" w:hAnsiTheme="majorHAnsi" w:cstheme="majorHAnsi"/>
          <w:i w:val="0"/>
          <w:szCs w:val="24"/>
        </w:rPr>
        <w:t xml:space="preserve"> It is not. I have a chart with the full schedule.</w:t>
      </w:r>
    </w:p>
    <w:p w14:paraId="35A3D30F" w14:textId="043E67EE" w:rsidR="00831D1B" w:rsidRPr="00831D1B" w:rsidRDefault="00831D1B" w:rsidP="00831D1B">
      <w:pPr>
        <w:spacing w:after="160" w:line="278" w:lineRule="auto"/>
        <w:rPr>
          <w:rFonts w:asciiTheme="majorHAnsi" w:hAnsiTheme="majorHAnsi" w:cstheme="majorHAnsi"/>
          <w:i w:val="0"/>
          <w:szCs w:val="24"/>
        </w:rPr>
      </w:pPr>
      <w:r>
        <w:rPr>
          <w:rFonts w:asciiTheme="majorHAnsi" w:hAnsiTheme="majorHAnsi" w:cstheme="majorHAnsi"/>
          <w:b/>
          <w:bCs/>
          <w:i w:val="0"/>
          <w:color w:val="FF0000"/>
          <w:szCs w:val="24"/>
        </w:rPr>
        <w:t xml:space="preserve">Question by </w:t>
      </w:r>
      <w:r w:rsidRPr="00831D1B">
        <w:rPr>
          <w:rFonts w:asciiTheme="majorHAnsi" w:hAnsiTheme="majorHAnsi" w:cstheme="majorHAnsi"/>
          <w:b/>
          <w:bCs/>
          <w:i w:val="0"/>
          <w:color w:val="FF0000"/>
          <w:szCs w:val="24"/>
        </w:rPr>
        <w:t>Chris Carlozzi:</w:t>
      </w:r>
      <w:r w:rsidRPr="00831D1B">
        <w:rPr>
          <w:rFonts w:asciiTheme="majorHAnsi" w:hAnsiTheme="majorHAnsi" w:cstheme="majorHAnsi"/>
          <w:i w:val="0"/>
          <w:color w:val="FF0000"/>
          <w:szCs w:val="24"/>
        </w:rPr>
        <w:t xml:space="preserve"> </w:t>
      </w:r>
      <w:r w:rsidRPr="00831D1B">
        <w:rPr>
          <w:rFonts w:asciiTheme="majorHAnsi" w:hAnsiTheme="majorHAnsi" w:cstheme="majorHAnsi"/>
          <w:i w:val="0"/>
          <w:szCs w:val="24"/>
        </w:rPr>
        <w:t>$400M or so over ten years?</w:t>
      </w:r>
    </w:p>
    <w:p w14:paraId="0E4F38F2" w14:textId="68E4B652" w:rsidR="00831D1B" w:rsidRPr="00831D1B" w:rsidRDefault="00831D1B" w:rsidP="00831D1B">
      <w:pPr>
        <w:spacing w:after="160" w:line="278" w:lineRule="auto"/>
        <w:rPr>
          <w:rFonts w:asciiTheme="majorHAnsi" w:hAnsiTheme="majorHAnsi" w:cstheme="majorHAnsi"/>
          <w:i w:val="0"/>
          <w:szCs w:val="24"/>
        </w:rPr>
      </w:pPr>
      <w:r w:rsidRPr="00831D1B">
        <w:rPr>
          <w:rFonts w:asciiTheme="majorHAnsi" w:hAnsiTheme="majorHAnsi" w:cstheme="majorHAnsi"/>
          <w:b/>
          <w:bCs/>
          <w:i w:val="0"/>
          <w:szCs w:val="24"/>
        </w:rPr>
        <w:t>Answer by Katie Dishnica:</w:t>
      </w:r>
      <w:r w:rsidRPr="00831D1B">
        <w:rPr>
          <w:rFonts w:asciiTheme="majorHAnsi" w:hAnsiTheme="majorHAnsi" w:cstheme="majorHAnsi"/>
          <w:i w:val="0"/>
          <w:szCs w:val="24"/>
        </w:rPr>
        <w:t xml:space="preserve"> Yes, that’s correct</w:t>
      </w:r>
    </w:p>
    <w:p w14:paraId="3FF3BB8F" w14:textId="77777777" w:rsidR="001328FD" w:rsidRDefault="001328FD" w:rsidP="00E229A1">
      <w:pPr>
        <w:pStyle w:val="paragraph"/>
        <w:spacing w:before="0" w:beforeAutospacing="0" w:after="0" w:afterAutospacing="0"/>
        <w:textAlignment w:val="baseline"/>
        <w:rPr>
          <w:rStyle w:val="normaltextrun"/>
          <w:rFonts w:asciiTheme="majorHAnsi" w:hAnsiTheme="majorHAnsi" w:cstheme="majorHAnsi"/>
          <w:b/>
          <w:bCs/>
          <w:sz w:val="28"/>
          <w:szCs w:val="28"/>
        </w:rPr>
      </w:pPr>
    </w:p>
    <w:p w14:paraId="389BA04F" w14:textId="77777777" w:rsidR="001328FD" w:rsidRDefault="001328FD" w:rsidP="00E229A1">
      <w:pPr>
        <w:pStyle w:val="paragraph"/>
        <w:spacing w:before="0" w:beforeAutospacing="0" w:after="0" w:afterAutospacing="0"/>
        <w:textAlignment w:val="baseline"/>
        <w:rPr>
          <w:rStyle w:val="normaltextrun"/>
          <w:rFonts w:asciiTheme="majorHAnsi" w:hAnsiTheme="majorHAnsi" w:cstheme="majorHAnsi"/>
          <w:b/>
          <w:bCs/>
          <w:sz w:val="28"/>
          <w:szCs w:val="28"/>
        </w:rPr>
      </w:pPr>
    </w:p>
    <w:p w14:paraId="7560BDA9" w14:textId="046F3046" w:rsidR="00E229A1" w:rsidRDefault="00E229A1" w:rsidP="00E229A1">
      <w:pPr>
        <w:pStyle w:val="paragraph"/>
        <w:spacing w:before="0" w:beforeAutospacing="0" w:after="0" w:afterAutospacing="0"/>
        <w:textAlignment w:val="baseline"/>
        <w:rPr>
          <w:rStyle w:val="normaltextrun"/>
          <w:rFonts w:asciiTheme="majorHAnsi" w:hAnsiTheme="majorHAnsi" w:cstheme="majorHAnsi"/>
          <w:b/>
          <w:bCs/>
          <w:sz w:val="28"/>
          <w:szCs w:val="28"/>
        </w:rPr>
      </w:pPr>
      <w:r w:rsidRPr="00831D1B">
        <w:rPr>
          <w:rStyle w:val="normaltextrun"/>
          <w:rFonts w:asciiTheme="majorHAnsi" w:hAnsiTheme="majorHAnsi" w:cstheme="majorHAnsi"/>
          <w:b/>
          <w:bCs/>
          <w:sz w:val="28"/>
          <w:szCs w:val="28"/>
        </w:rPr>
        <w:lastRenderedPageBreak/>
        <w:t>Executive Update</w:t>
      </w:r>
    </w:p>
    <w:p w14:paraId="1C35AB6E" w14:textId="77777777" w:rsidR="006F7F2D" w:rsidRPr="00831D1B" w:rsidRDefault="006F7F2D" w:rsidP="00E229A1">
      <w:pPr>
        <w:pStyle w:val="paragraph"/>
        <w:spacing w:before="0" w:beforeAutospacing="0" w:after="0" w:afterAutospacing="0"/>
        <w:textAlignment w:val="baseline"/>
        <w:rPr>
          <w:rStyle w:val="normaltextrun"/>
          <w:rFonts w:asciiTheme="majorHAnsi" w:hAnsiTheme="majorHAnsi" w:cstheme="majorHAnsi"/>
          <w:b/>
          <w:bCs/>
          <w:sz w:val="28"/>
          <w:szCs w:val="28"/>
        </w:rPr>
      </w:pPr>
    </w:p>
    <w:p w14:paraId="26D430AD" w14:textId="3A9945CF" w:rsidR="006F7F2D" w:rsidRDefault="00E229A1" w:rsidP="006F7F2D">
      <w:pPr>
        <w:rPr>
          <w:rFonts w:asciiTheme="majorHAnsi" w:hAnsiTheme="majorHAnsi" w:cstheme="majorHAnsi"/>
          <w:i w:val="0"/>
          <w:iCs/>
          <w:szCs w:val="24"/>
        </w:rPr>
      </w:pPr>
      <w:r w:rsidRPr="006F7F2D">
        <w:rPr>
          <w:rFonts w:asciiTheme="majorHAnsi" w:hAnsiTheme="majorHAnsi" w:cstheme="majorHAnsi"/>
          <w:i w:val="0"/>
          <w:iCs/>
          <w:szCs w:val="24"/>
        </w:rPr>
        <w:t xml:space="preserve">Katie Dishnica, Director of DUA, provided an executive update. </w:t>
      </w:r>
    </w:p>
    <w:p w14:paraId="233257DE" w14:textId="77777777" w:rsidR="004757E1" w:rsidRPr="006F7F2D" w:rsidRDefault="004757E1" w:rsidP="006F7F2D">
      <w:pPr>
        <w:rPr>
          <w:rFonts w:ascii="Aptos" w:eastAsia="Aptos" w:hAnsi="Aptos"/>
          <w:i w:val="0"/>
          <w:iCs/>
          <w:kern w:val="2"/>
          <w:szCs w:val="24"/>
          <w14:ligatures w14:val="standardContextual"/>
        </w:rPr>
      </w:pPr>
    </w:p>
    <w:p w14:paraId="4773CE8E" w14:textId="581D3035" w:rsidR="006F7F2D" w:rsidRPr="006F7F2D" w:rsidRDefault="006F7F2D" w:rsidP="006F7F2D">
      <w:pPr>
        <w:spacing w:after="160" w:line="278" w:lineRule="auto"/>
        <w:rPr>
          <w:rFonts w:asciiTheme="majorHAnsi" w:eastAsia="Aptos" w:hAnsiTheme="majorHAnsi" w:cstheme="majorHAnsi"/>
          <w:i w:val="0"/>
          <w:kern w:val="2"/>
          <w:szCs w:val="24"/>
          <w14:ligatures w14:val="standardContextual"/>
        </w:rPr>
      </w:pPr>
      <w:r w:rsidRPr="006F7F2D">
        <w:rPr>
          <w:rFonts w:asciiTheme="majorHAnsi" w:eastAsia="Aptos" w:hAnsiTheme="majorHAnsi" w:cstheme="majorHAnsi"/>
          <w:i w:val="0"/>
          <w:kern w:val="2"/>
          <w:szCs w:val="24"/>
          <w14:ligatures w14:val="standardContextual"/>
        </w:rPr>
        <w:t>The</w:t>
      </w:r>
      <w:r>
        <w:rPr>
          <w:rFonts w:asciiTheme="majorHAnsi" w:eastAsia="Aptos" w:hAnsiTheme="majorHAnsi" w:cstheme="majorHAnsi"/>
          <w:i w:val="0"/>
          <w:kern w:val="2"/>
          <w:szCs w:val="24"/>
          <w14:ligatures w14:val="standardContextual"/>
        </w:rPr>
        <w:t xml:space="preserve"> first update is regarding the Board of Review. The</w:t>
      </w:r>
      <w:r w:rsidRPr="006F7F2D">
        <w:rPr>
          <w:rFonts w:asciiTheme="majorHAnsi" w:eastAsia="Aptos" w:hAnsiTheme="majorHAnsi" w:cstheme="majorHAnsi"/>
          <w:i w:val="0"/>
          <w:kern w:val="2"/>
          <w:szCs w:val="24"/>
          <w14:ligatures w14:val="standardContextual"/>
        </w:rPr>
        <w:t xml:space="preserve"> Board of Review positions should be posted by Monday, April 21</w:t>
      </w:r>
      <w:r w:rsidRPr="006F7F2D">
        <w:rPr>
          <w:rFonts w:asciiTheme="majorHAnsi" w:eastAsia="Aptos" w:hAnsiTheme="majorHAnsi" w:cstheme="majorHAnsi"/>
          <w:i w:val="0"/>
          <w:kern w:val="2"/>
          <w:szCs w:val="24"/>
          <w:vertAlign w:val="superscript"/>
          <w14:ligatures w14:val="standardContextual"/>
        </w:rPr>
        <w:t>st</w:t>
      </w:r>
      <w:r w:rsidRPr="006F7F2D">
        <w:rPr>
          <w:rFonts w:asciiTheme="majorHAnsi" w:eastAsia="Aptos" w:hAnsiTheme="majorHAnsi" w:cstheme="majorHAnsi"/>
          <w:i w:val="0"/>
          <w:kern w:val="2"/>
          <w:szCs w:val="24"/>
          <w14:ligatures w14:val="standardContextual"/>
        </w:rPr>
        <w:t xml:space="preserve">, at the latest and then we can start the subcommittee. </w:t>
      </w:r>
    </w:p>
    <w:p w14:paraId="40C7ED3C" w14:textId="6A10B6C1" w:rsidR="006F7F2D" w:rsidRPr="006F7F2D" w:rsidRDefault="006F7F2D" w:rsidP="006F7F2D">
      <w:pPr>
        <w:spacing w:after="160" w:line="278" w:lineRule="auto"/>
        <w:rPr>
          <w:rFonts w:asciiTheme="majorHAnsi" w:eastAsia="Aptos" w:hAnsiTheme="majorHAnsi" w:cstheme="majorHAnsi"/>
          <w:i w:val="0"/>
          <w:kern w:val="2"/>
          <w:szCs w:val="24"/>
          <w14:ligatures w14:val="standardContextual"/>
        </w:rPr>
      </w:pPr>
      <w:r w:rsidRPr="006F7F2D">
        <w:rPr>
          <w:rFonts w:asciiTheme="majorHAnsi" w:eastAsia="Aptos" w:hAnsiTheme="majorHAnsi" w:cstheme="majorHAnsi"/>
          <w:i w:val="0"/>
          <w:kern w:val="2"/>
          <w:szCs w:val="24"/>
          <w14:ligatures w14:val="standardContextual"/>
        </w:rPr>
        <w:t>The next update is regarding service levels. One of the ways claimants can get their questions answered is by calling our call center.  It was previously discussed that we struggled with service levels. DUA has hired one hundred forty temporary vendor staff for the implementation of EMT. On February 20</w:t>
      </w:r>
      <w:r w:rsidR="00E140A6" w:rsidRPr="006F7F2D">
        <w:rPr>
          <w:rFonts w:asciiTheme="majorHAnsi" w:eastAsia="Aptos" w:hAnsiTheme="majorHAnsi" w:cstheme="majorHAnsi"/>
          <w:i w:val="0"/>
          <w:kern w:val="2"/>
          <w:szCs w:val="24"/>
          <w:vertAlign w:val="superscript"/>
          <w14:ligatures w14:val="standardContextual"/>
        </w:rPr>
        <w:t>th</w:t>
      </w:r>
      <w:r w:rsidR="00E140A6">
        <w:rPr>
          <w:rFonts w:asciiTheme="majorHAnsi" w:eastAsia="Aptos" w:hAnsiTheme="majorHAnsi" w:cstheme="majorHAnsi"/>
          <w:i w:val="0"/>
          <w:kern w:val="2"/>
          <w:szCs w:val="24"/>
          <w14:ligatures w14:val="standardContextual"/>
        </w:rPr>
        <w:t xml:space="preserve">, </w:t>
      </w:r>
      <w:r w:rsidR="00E140A6" w:rsidRPr="006F7F2D">
        <w:rPr>
          <w:rFonts w:asciiTheme="majorHAnsi" w:eastAsia="Aptos" w:hAnsiTheme="majorHAnsi" w:cstheme="majorHAnsi"/>
          <w:i w:val="0"/>
          <w:kern w:val="2"/>
          <w:szCs w:val="24"/>
          <w14:ligatures w14:val="standardContextual"/>
        </w:rPr>
        <w:t>DUA</w:t>
      </w:r>
      <w:r w:rsidRPr="006F7F2D">
        <w:rPr>
          <w:rFonts w:asciiTheme="majorHAnsi" w:eastAsia="Aptos" w:hAnsiTheme="majorHAnsi" w:cstheme="majorHAnsi"/>
          <w:i w:val="0"/>
          <w:kern w:val="2"/>
          <w:szCs w:val="24"/>
          <w14:ligatures w14:val="standardContextual"/>
        </w:rPr>
        <w:t xml:space="preserve"> entered into an emergency contract. DUA </w:t>
      </w:r>
      <w:r w:rsidR="00250EF2">
        <w:rPr>
          <w:rFonts w:asciiTheme="majorHAnsi" w:eastAsia="Aptos" w:hAnsiTheme="majorHAnsi" w:cstheme="majorHAnsi"/>
          <w:i w:val="0"/>
          <w:kern w:val="2"/>
          <w:szCs w:val="24"/>
          <w14:ligatures w14:val="standardContextual"/>
        </w:rPr>
        <w:t>will be</w:t>
      </w:r>
      <w:r w:rsidR="00250EF2" w:rsidRPr="006F7F2D">
        <w:rPr>
          <w:rFonts w:asciiTheme="majorHAnsi" w:eastAsia="Aptos" w:hAnsiTheme="majorHAnsi" w:cstheme="majorHAnsi"/>
          <w:i w:val="0"/>
          <w:kern w:val="2"/>
          <w:szCs w:val="24"/>
          <w14:ligatures w14:val="standardContextual"/>
        </w:rPr>
        <w:t xml:space="preserve"> </w:t>
      </w:r>
      <w:r w:rsidRPr="006F7F2D">
        <w:rPr>
          <w:rFonts w:asciiTheme="majorHAnsi" w:eastAsia="Aptos" w:hAnsiTheme="majorHAnsi" w:cstheme="majorHAnsi"/>
          <w:i w:val="0"/>
          <w:kern w:val="2"/>
          <w:szCs w:val="24"/>
          <w14:ligatures w14:val="standardContextual"/>
        </w:rPr>
        <w:t>extend</w:t>
      </w:r>
      <w:r w:rsidR="00250EF2">
        <w:rPr>
          <w:rFonts w:asciiTheme="majorHAnsi" w:eastAsia="Aptos" w:hAnsiTheme="majorHAnsi" w:cstheme="majorHAnsi"/>
          <w:i w:val="0"/>
          <w:kern w:val="2"/>
          <w:szCs w:val="24"/>
          <w14:ligatures w14:val="standardContextual"/>
        </w:rPr>
        <w:t>ing</w:t>
      </w:r>
      <w:r w:rsidRPr="006F7F2D">
        <w:rPr>
          <w:rFonts w:asciiTheme="majorHAnsi" w:eastAsia="Aptos" w:hAnsiTheme="majorHAnsi" w:cstheme="majorHAnsi"/>
          <w:i w:val="0"/>
          <w:kern w:val="2"/>
          <w:szCs w:val="24"/>
          <w14:ligatures w14:val="standardContextual"/>
        </w:rPr>
        <w:t xml:space="preserve"> this </w:t>
      </w:r>
      <w:r w:rsidR="00E140A6">
        <w:rPr>
          <w:rFonts w:asciiTheme="majorHAnsi" w:eastAsia="Aptos" w:hAnsiTheme="majorHAnsi" w:cstheme="majorHAnsi"/>
          <w:i w:val="0"/>
          <w:kern w:val="2"/>
          <w:szCs w:val="24"/>
          <w14:ligatures w14:val="standardContextual"/>
        </w:rPr>
        <w:t xml:space="preserve">contract </w:t>
      </w:r>
      <w:r w:rsidRPr="006F7F2D">
        <w:rPr>
          <w:rFonts w:asciiTheme="majorHAnsi" w:eastAsia="Aptos" w:hAnsiTheme="majorHAnsi" w:cstheme="majorHAnsi"/>
          <w:i w:val="0"/>
          <w:kern w:val="2"/>
          <w:szCs w:val="24"/>
          <w14:ligatures w14:val="standardContextual"/>
        </w:rPr>
        <w:t>for an additional six months to offer additional support for go live of EMT.  This brings DUA to one hundred ninety call center representatives. The waiting time for callers has improved and ranges from a thirty-second wait time to up to seven minutes when representatives are off the phones doing training for EMT. DUA has also seen an improvement to the queue full disconnects, which is when the queue is at full capacity and callers are unable to speak to a representative. In January during the peak season, DUA lost about 10,000 calls per day. Currently, DUA loses between five hundred and six hundred calls per day. In comparison, in February when the new contract started, there were 6,100 disconnected calls per day and in March, 646 disconnected calls per day. DUA is continuing to improve our service levels.</w:t>
      </w:r>
    </w:p>
    <w:p w14:paraId="50E4F3DB" w14:textId="77777777" w:rsidR="006F7F2D" w:rsidRPr="006F7F2D" w:rsidRDefault="006F7F2D" w:rsidP="006F7F2D">
      <w:pPr>
        <w:spacing w:after="160" w:line="278" w:lineRule="auto"/>
        <w:rPr>
          <w:rFonts w:asciiTheme="majorHAnsi" w:eastAsia="Aptos" w:hAnsiTheme="majorHAnsi" w:cstheme="majorHAnsi"/>
          <w:i w:val="0"/>
          <w:kern w:val="2"/>
          <w:szCs w:val="24"/>
          <w14:ligatures w14:val="standardContextual"/>
        </w:rPr>
      </w:pPr>
      <w:r w:rsidRPr="006F7F2D">
        <w:rPr>
          <w:rFonts w:asciiTheme="majorHAnsi" w:eastAsia="Aptos" w:hAnsiTheme="majorHAnsi" w:cstheme="majorHAnsi"/>
          <w:i w:val="0"/>
          <w:kern w:val="2"/>
          <w:szCs w:val="24"/>
          <w14:ligatures w14:val="standardContextual"/>
        </w:rPr>
        <w:t>The next update is regarding personnel changes. During the pandemic DUA hired hundreds of extra staff, or limited duration full-time employees. As of March 2025, those employees have been converted to DUA full-time employees. Training during the pandemic was shortened. Recently, DUA has been training those employees on a more in-depth level to better prepare them for their roles. In addition, DUA has increased the number of days in the office for employees hired after 2020 and focused on coaching and mentoring employees. The increase in representatives on the phones has allowed DUA to remove adjusters who were previously answering phones due to the disconnected calls and allow them to work on adjudicating issues. This has helped reduce the adjudication backlog.</w:t>
      </w:r>
    </w:p>
    <w:p w14:paraId="7A6C0953" w14:textId="77777777" w:rsidR="006F7F2D" w:rsidRPr="006F7F2D" w:rsidRDefault="006F7F2D" w:rsidP="006F7F2D">
      <w:pPr>
        <w:spacing w:after="160" w:line="278" w:lineRule="auto"/>
        <w:rPr>
          <w:rFonts w:asciiTheme="majorHAnsi" w:eastAsia="Aptos" w:hAnsiTheme="majorHAnsi" w:cstheme="majorHAnsi"/>
          <w:b/>
          <w:bCs/>
          <w:i w:val="0"/>
          <w:kern w:val="2"/>
          <w:sz w:val="28"/>
          <w:szCs w:val="28"/>
          <w14:ligatures w14:val="standardContextual"/>
        </w:rPr>
      </w:pPr>
      <w:r w:rsidRPr="006F7F2D">
        <w:rPr>
          <w:rFonts w:asciiTheme="majorHAnsi" w:eastAsia="Aptos" w:hAnsiTheme="majorHAnsi" w:cstheme="majorHAnsi"/>
          <w:b/>
          <w:bCs/>
          <w:i w:val="0"/>
          <w:kern w:val="2"/>
          <w:sz w:val="28"/>
          <w:szCs w:val="28"/>
          <w14:ligatures w14:val="standardContextual"/>
        </w:rPr>
        <w:t>Discussion/Questions</w:t>
      </w:r>
    </w:p>
    <w:p w14:paraId="1DAE9D28" w14:textId="77777777" w:rsidR="006F7F2D" w:rsidRPr="006F7F2D" w:rsidRDefault="006F7F2D" w:rsidP="006F7F2D">
      <w:pPr>
        <w:spacing w:after="160" w:line="278" w:lineRule="auto"/>
        <w:rPr>
          <w:rFonts w:asciiTheme="majorHAnsi" w:eastAsia="Aptos" w:hAnsiTheme="majorHAnsi" w:cstheme="majorHAnsi"/>
          <w:i w:val="0"/>
          <w:kern w:val="2"/>
          <w:szCs w:val="24"/>
          <w14:ligatures w14:val="standardContextual"/>
        </w:rPr>
      </w:pPr>
      <w:r w:rsidRPr="006F7F2D">
        <w:rPr>
          <w:rFonts w:asciiTheme="majorHAnsi" w:eastAsia="Aptos" w:hAnsiTheme="majorHAnsi" w:cstheme="majorHAnsi"/>
          <w:b/>
          <w:bCs/>
          <w:i w:val="0"/>
          <w:color w:val="FF0000"/>
          <w:kern w:val="2"/>
          <w:szCs w:val="24"/>
          <w14:ligatures w14:val="standardContextual"/>
        </w:rPr>
        <w:t>Question by Rich Marlin:</w:t>
      </w:r>
      <w:r w:rsidRPr="006F7F2D">
        <w:rPr>
          <w:rFonts w:asciiTheme="majorHAnsi" w:eastAsia="Aptos" w:hAnsiTheme="majorHAnsi" w:cstheme="majorHAnsi"/>
          <w:i w:val="0"/>
          <w:color w:val="FF0000"/>
          <w:kern w:val="2"/>
          <w:szCs w:val="24"/>
          <w14:ligatures w14:val="standardContextual"/>
        </w:rPr>
        <w:t xml:space="preserve"> </w:t>
      </w:r>
      <w:r w:rsidRPr="006F7F2D">
        <w:rPr>
          <w:rFonts w:asciiTheme="majorHAnsi" w:eastAsia="Aptos" w:hAnsiTheme="majorHAnsi" w:cstheme="majorHAnsi"/>
          <w:i w:val="0"/>
          <w:kern w:val="2"/>
          <w:szCs w:val="24"/>
          <w14:ligatures w14:val="standardContextual"/>
        </w:rPr>
        <w:t>The week of May 4</w:t>
      </w:r>
      <w:r w:rsidRPr="006F7F2D">
        <w:rPr>
          <w:rFonts w:asciiTheme="majorHAnsi" w:eastAsia="Aptos" w:hAnsiTheme="majorHAnsi" w:cstheme="majorHAnsi"/>
          <w:i w:val="0"/>
          <w:kern w:val="2"/>
          <w:szCs w:val="24"/>
          <w:vertAlign w:val="superscript"/>
          <w14:ligatures w14:val="standardContextual"/>
        </w:rPr>
        <w:t>th</w:t>
      </w:r>
      <w:r w:rsidRPr="006F7F2D">
        <w:rPr>
          <w:rFonts w:asciiTheme="majorHAnsi" w:eastAsia="Aptos" w:hAnsiTheme="majorHAnsi" w:cstheme="majorHAnsi"/>
          <w:i w:val="0"/>
          <w:kern w:val="2"/>
          <w:szCs w:val="24"/>
          <w14:ligatures w14:val="standardContextual"/>
        </w:rPr>
        <w:t xml:space="preserve"> people are going to get paid on Thursday instead of Tuesday? I’m assuming you have blanketed people with notifications.</w:t>
      </w:r>
    </w:p>
    <w:p w14:paraId="4ECFBF81" w14:textId="6412A09F" w:rsidR="006F7F2D" w:rsidRPr="006F7F2D" w:rsidRDefault="006F7F2D" w:rsidP="006F7F2D">
      <w:pPr>
        <w:spacing w:after="160" w:line="278" w:lineRule="auto"/>
        <w:rPr>
          <w:rFonts w:asciiTheme="majorHAnsi" w:eastAsia="Aptos" w:hAnsiTheme="majorHAnsi" w:cstheme="majorHAnsi"/>
          <w:i w:val="0"/>
          <w:kern w:val="2"/>
          <w:szCs w:val="24"/>
          <w14:ligatures w14:val="standardContextual"/>
        </w:rPr>
      </w:pPr>
      <w:r w:rsidRPr="006F7F2D">
        <w:rPr>
          <w:rFonts w:asciiTheme="majorHAnsi" w:eastAsia="Aptos" w:hAnsiTheme="majorHAnsi" w:cstheme="majorHAnsi"/>
          <w:b/>
          <w:bCs/>
          <w:i w:val="0"/>
          <w:kern w:val="2"/>
          <w:szCs w:val="24"/>
          <w14:ligatures w14:val="standardContextual"/>
        </w:rPr>
        <w:lastRenderedPageBreak/>
        <w:t>Answer by Katie Dishnica:</w:t>
      </w:r>
      <w:r w:rsidRPr="006F7F2D">
        <w:rPr>
          <w:rFonts w:asciiTheme="majorHAnsi" w:eastAsia="Aptos" w:hAnsiTheme="majorHAnsi" w:cstheme="majorHAnsi"/>
          <w:i w:val="0"/>
          <w:kern w:val="2"/>
          <w:szCs w:val="24"/>
          <w14:ligatures w14:val="standardContextual"/>
        </w:rPr>
        <w:t xml:space="preserve"> DUA ha</w:t>
      </w:r>
      <w:r w:rsidR="00755C9B">
        <w:rPr>
          <w:rFonts w:asciiTheme="majorHAnsi" w:eastAsia="Aptos" w:hAnsiTheme="majorHAnsi" w:cstheme="majorHAnsi"/>
          <w:i w:val="0"/>
          <w:kern w:val="2"/>
          <w:szCs w:val="24"/>
          <w14:ligatures w14:val="standardContextual"/>
        </w:rPr>
        <w:t>s</w:t>
      </w:r>
      <w:r w:rsidRPr="006F7F2D">
        <w:rPr>
          <w:rFonts w:asciiTheme="majorHAnsi" w:eastAsia="Aptos" w:hAnsiTheme="majorHAnsi" w:cstheme="majorHAnsi"/>
          <w:i w:val="0"/>
          <w:kern w:val="2"/>
          <w:szCs w:val="24"/>
          <w14:ligatures w14:val="standardContextual"/>
        </w:rPr>
        <w:t xml:space="preserve"> a communications plan in place that includes messages in the system, banners, and get ready emails to make them aware of the delay. This is similar to when there is a bank holiday. </w:t>
      </w:r>
    </w:p>
    <w:p w14:paraId="12F285A4" w14:textId="77777777" w:rsidR="006F7F2D" w:rsidRPr="006F7F2D" w:rsidRDefault="006F7F2D" w:rsidP="006F7F2D">
      <w:pPr>
        <w:spacing w:after="160" w:line="278" w:lineRule="auto"/>
        <w:rPr>
          <w:rFonts w:asciiTheme="majorHAnsi" w:eastAsia="Aptos" w:hAnsiTheme="majorHAnsi" w:cstheme="majorHAnsi"/>
          <w:i w:val="0"/>
          <w:kern w:val="2"/>
          <w:szCs w:val="24"/>
          <w14:ligatures w14:val="standardContextual"/>
        </w:rPr>
      </w:pPr>
      <w:r w:rsidRPr="006F7F2D">
        <w:rPr>
          <w:rFonts w:asciiTheme="majorHAnsi" w:eastAsia="Aptos" w:hAnsiTheme="majorHAnsi" w:cstheme="majorHAnsi"/>
          <w:b/>
          <w:bCs/>
          <w:i w:val="0"/>
          <w:color w:val="FF0000"/>
          <w:kern w:val="2"/>
          <w:szCs w:val="24"/>
          <w14:ligatures w14:val="standardContextual"/>
        </w:rPr>
        <w:t>Question by Chris Carlozzi:</w:t>
      </w:r>
      <w:r w:rsidRPr="006F7F2D">
        <w:rPr>
          <w:rFonts w:asciiTheme="majorHAnsi" w:eastAsia="Aptos" w:hAnsiTheme="majorHAnsi" w:cstheme="majorHAnsi"/>
          <w:i w:val="0"/>
          <w:color w:val="FF0000"/>
          <w:kern w:val="2"/>
          <w:szCs w:val="24"/>
          <w14:ligatures w14:val="standardContextual"/>
        </w:rPr>
        <w:t xml:space="preserve"> </w:t>
      </w:r>
      <w:r w:rsidRPr="006F7F2D">
        <w:rPr>
          <w:rFonts w:asciiTheme="majorHAnsi" w:eastAsia="Aptos" w:hAnsiTheme="majorHAnsi" w:cstheme="majorHAnsi"/>
          <w:i w:val="0"/>
          <w:kern w:val="2"/>
          <w:szCs w:val="24"/>
          <w14:ligatures w14:val="standardContextual"/>
        </w:rPr>
        <w:t>Do you keep data or records of the percentage of attendance-based cases that are adjudicated?</w:t>
      </w:r>
    </w:p>
    <w:p w14:paraId="7CFDACE1" w14:textId="25F6A169" w:rsidR="006F7F2D" w:rsidRPr="006F7F2D" w:rsidRDefault="006F7F2D" w:rsidP="006F7F2D">
      <w:pPr>
        <w:spacing w:after="160" w:line="278" w:lineRule="auto"/>
        <w:rPr>
          <w:rFonts w:asciiTheme="majorHAnsi" w:eastAsia="Aptos" w:hAnsiTheme="majorHAnsi" w:cstheme="majorHAnsi"/>
          <w:i w:val="0"/>
          <w:kern w:val="2"/>
          <w:szCs w:val="24"/>
          <w14:ligatures w14:val="standardContextual"/>
        </w:rPr>
      </w:pPr>
      <w:r w:rsidRPr="006F7F2D">
        <w:rPr>
          <w:rFonts w:asciiTheme="majorHAnsi" w:eastAsia="Aptos" w:hAnsiTheme="majorHAnsi" w:cstheme="majorHAnsi"/>
          <w:b/>
          <w:bCs/>
          <w:i w:val="0"/>
          <w:kern w:val="2"/>
          <w:szCs w:val="24"/>
          <w14:ligatures w14:val="standardContextual"/>
        </w:rPr>
        <w:t>Answer by Katie Dishnica:</w:t>
      </w:r>
      <w:r w:rsidRPr="006F7F2D">
        <w:rPr>
          <w:rFonts w:asciiTheme="majorHAnsi" w:eastAsia="Aptos" w:hAnsiTheme="majorHAnsi" w:cstheme="majorHAnsi"/>
          <w:i w:val="0"/>
          <w:kern w:val="2"/>
          <w:szCs w:val="24"/>
          <w14:ligatures w14:val="standardContextual"/>
        </w:rPr>
        <w:t xml:space="preserve"> Let me get those numbers for you. To be clear, they were terminated due to not showing up for work. Are you interested in the number of approvals?</w:t>
      </w:r>
    </w:p>
    <w:p w14:paraId="2ADE3ECF" w14:textId="77777777" w:rsidR="006F7F2D" w:rsidRPr="006F7F2D" w:rsidRDefault="006F7F2D" w:rsidP="006F7F2D">
      <w:pPr>
        <w:spacing w:after="160" w:line="278" w:lineRule="auto"/>
        <w:rPr>
          <w:rFonts w:asciiTheme="majorHAnsi" w:eastAsia="Aptos" w:hAnsiTheme="majorHAnsi" w:cstheme="majorHAnsi"/>
          <w:i w:val="0"/>
          <w:kern w:val="2"/>
          <w:szCs w:val="24"/>
          <w14:ligatures w14:val="standardContextual"/>
        </w:rPr>
      </w:pPr>
      <w:r w:rsidRPr="006F7F2D">
        <w:rPr>
          <w:rFonts w:asciiTheme="majorHAnsi" w:eastAsia="Aptos" w:hAnsiTheme="majorHAnsi" w:cstheme="majorHAnsi"/>
          <w:b/>
          <w:bCs/>
          <w:i w:val="0"/>
          <w:color w:val="FF0000"/>
          <w:kern w:val="2"/>
          <w:szCs w:val="24"/>
          <w14:ligatures w14:val="standardContextual"/>
        </w:rPr>
        <w:t>Chris Carlozzi:</w:t>
      </w:r>
      <w:r w:rsidRPr="006F7F2D">
        <w:rPr>
          <w:rFonts w:asciiTheme="majorHAnsi" w:eastAsia="Aptos" w:hAnsiTheme="majorHAnsi" w:cstheme="majorHAnsi"/>
          <w:i w:val="0"/>
          <w:color w:val="FF0000"/>
          <w:kern w:val="2"/>
          <w:szCs w:val="24"/>
          <w14:ligatures w14:val="standardContextual"/>
        </w:rPr>
        <w:t xml:space="preserve"> </w:t>
      </w:r>
      <w:r w:rsidRPr="006F7F2D">
        <w:rPr>
          <w:rFonts w:asciiTheme="majorHAnsi" w:eastAsia="Aptos" w:hAnsiTheme="majorHAnsi" w:cstheme="majorHAnsi"/>
          <w:i w:val="0"/>
          <w:kern w:val="2"/>
          <w:szCs w:val="24"/>
          <w14:ligatures w14:val="standardContextual"/>
        </w:rPr>
        <w:t xml:space="preserve">Yes. </w:t>
      </w:r>
    </w:p>
    <w:p w14:paraId="14E7B5B7" w14:textId="377A3713" w:rsidR="003E3B59" w:rsidRPr="00A500D8" w:rsidRDefault="006F7F2D" w:rsidP="00C41E95">
      <w:pPr>
        <w:spacing w:after="160" w:line="278" w:lineRule="auto"/>
        <w:rPr>
          <w:rFonts w:asciiTheme="majorHAnsi" w:hAnsiTheme="majorHAnsi" w:cstheme="majorHAnsi"/>
          <w:b/>
          <w:bCs/>
          <w:sz w:val="22"/>
          <w:szCs w:val="22"/>
        </w:rPr>
      </w:pPr>
      <w:bookmarkStart w:id="1" w:name="_Hlk198114506"/>
      <w:r w:rsidRPr="006F7F2D">
        <w:rPr>
          <w:rFonts w:asciiTheme="majorHAnsi" w:eastAsia="Aptos" w:hAnsiTheme="majorHAnsi" w:cstheme="majorHAnsi"/>
          <w:b/>
          <w:bCs/>
          <w:i w:val="0"/>
          <w:kern w:val="2"/>
          <w:szCs w:val="24"/>
          <w14:ligatures w14:val="standardContextual"/>
        </w:rPr>
        <w:t>Katie Dishnica:</w:t>
      </w:r>
      <w:r w:rsidRPr="006F7F2D">
        <w:rPr>
          <w:rFonts w:asciiTheme="majorHAnsi" w:eastAsia="Aptos" w:hAnsiTheme="majorHAnsi" w:cstheme="majorHAnsi"/>
          <w:i w:val="0"/>
          <w:kern w:val="2"/>
          <w:szCs w:val="24"/>
          <w14:ligatures w14:val="standardContextual"/>
        </w:rPr>
        <w:t xml:space="preserve"> The two open items I have for the next meeting are a deep dive of the improper payments and the data regarding approvals of discharge issues due to attendance. </w:t>
      </w:r>
      <w:r w:rsidRPr="006F7F2D">
        <w:rPr>
          <w:rFonts w:asciiTheme="majorHAnsi" w:eastAsia="Aptos" w:hAnsiTheme="majorHAnsi" w:cstheme="majorHAnsi"/>
          <w:b/>
          <w:bCs/>
          <w:i w:val="0"/>
          <w:kern w:val="2"/>
          <w:szCs w:val="24"/>
          <w14:ligatures w14:val="standardContextual"/>
        </w:rPr>
        <w:t>Next meeting May 15, 2025, 9:30am. Please let Katie or Sara know if you are unable to attend.</w:t>
      </w:r>
      <w:bookmarkEnd w:id="1"/>
    </w:p>
    <w:sectPr w:rsidR="003E3B59" w:rsidRPr="00A500D8" w:rsidSect="003B64EF">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A781" w14:textId="77777777" w:rsidR="00DE06FD" w:rsidRDefault="00DE06FD">
      <w:r>
        <w:separator/>
      </w:r>
    </w:p>
  </w:endnote>
  <w:endnote w:type="continuationSeparator" w:id="0">
    <w:p w14:paraId="74FAD3E7" w14:textId="77777777" w:rsidR="00DE06FD" w:rsidRDefault="00DE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4A63" w14:textId="77777777" w:rsidR="00AB4100" w:rsidRDefault="00AB4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EDBA" w14:textId="77777777" w:rsidR="00AB4100" w:rsidRDefault="00AB4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D5A2" w14:textId="77777777" w:rsidR="00AB4100" w:rsidRDefault="00AB4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7C2C" w14:textId="77777777" w:rsidR="00DE06FD" w:rsidRDefault="00DE06FD">
      <w:r>
        <w:separator/>
      </w:r>
    </w:p>
  </w:footnote>
  <w:footnote w:type="continuationSeparator" w:id="0">
    <w:p w14:paraId="55659A19" w14:textId="77777777" w:rsidR="00DE06FD" w:rsidRDefault="00DE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C370" w14:textId="77777777" w:rsidR="00AB4100" w:rsidRDefault="00AB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DE8B" w14:textId="77777777" w:rsidR="00AB4100" w:rsidRDefault="00AB4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3B65" w14:textId="77777777" w:rsidR="004869D6" w:rsidRDefault="004869D6" w:rsidP="002C66B4">
    <w:pPr>
      <w:pStyle w:val="Header"/>
      <w:tabs>
        <w:tab w:val="clear" w:pos="4320"/>
        <w:tab w:val="clear" w:pos="8640"/>
        <w:tab w:val="left" w:pos="5067"/>
      </w:tabs>
      <w:rPr>
        <w:noProof/>
      </w:rPr>
    </w:pPr>
  </w:p>
  <w:p w14:paraId="13E44C8E" w14:textId="77777777" w:rsidR="004869D6" w:rsidRDefault="004869D6" w:rsidP="002C66B4">
    <w:pPr>
      <w:pStyle w:val="Header"/>
      <w:tabs>
        <w:tab w:val="clear" w:pos="4320"/>
        <w:tab w:val="clear" w:pos="8640"/>
        <w:tab w:val="left" w:pos="5067"/>
      </w:tabs>
    </w:pPr>
  </w:p>
  <w:p w14:paraId="5D1EBA70" w14:textId="4E52B1EE" w:rsidR="00F62AD6" w:rsidRDefault="005C43C1" w:rsidP="002C66B4">
    <w:pPr>
      <w:pStyle w:val="Header"/>
      <w:tabs>
        <w:tab w:val="clear" w:pos="4320"/>
        <w:tab w:val="clear" w:pos="8640"/>
        <w:tab w:val="left" w:pos="5067"/>
      </w:tabs>
    </w:pPr>
    <w:r>
      <w:rPr>
        <w:noProof/>
      </w:rPr>
      <w:drawing>
        <wp:anchor distT="0" distB="0" distL="114300" distR="114300" simplePos="0" relativeHeight="251658240" behindDoc="1" locked="1" layoutInCell="1" allowOverlap="1" wp14:anchorId="5580C636" wp14:editId="2FB677AB">
          <wp:simplePos x="0" y="0"/>
          <wp:positionH relativeFrom="page">
            <wp:align>center</wp:align>
          </wp:positionH>
          <wp:positionV relativeFrom="page">
            <wp:align>center</wp:align>
          </wp:positionV>
          <wp:extent cx="7726680" cy="10003536"/>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6680" cy="10003536"/>
                  </a:xfrm>
                  <a:prstGeom prst="rect">
                    <a:avLst/>
                  </a:prstGeom>
                </pic:spPr>
              </pic:pic>
            </a:graphicData>
          </a:graphic>
          <wp14:sizeRelH relativeFrom="margin">
            <wp14:pctWidth>0</wp14:pctWidth>
          </wp14:sizeRelH>
          <wp14:sizeRelV relativeFrom="margin">
            <wp14:pctHeight>0</wp14:pctHeight>
          </wp14:sizeRelV>
        </wp:anchor>
      </w:drawing>
    </w:r>
    <w:r w:rsidR="002C66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D23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FE13E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25017B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EECDB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04196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F188C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7327BD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39E914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33015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DB08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1F6564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993449"/>
    <w:multiLevelType w:val="hybridMultilevel"/>
    <w:tmpl w:val="071A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F6014F"/>
    <w:multiLevelType w:val="hybridMultilevel"/>
    <w:tmpl w:val="85B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7F22E3"/>
    <w:multiLevelType w:val="hybridMultilevel"/>
    <w:tmpl w:val="375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364B2"/>
    <w:multiLevelType w:val="hybridMultilevel"/>
    <w:tmpl w:val="B606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10B54"/>
    <w:multiLevelType w:val="hybridMultilevel"/>
    <w:tmpl w:val="9CFC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72D42"/>
    <w:multiLevelType w:val="hybridMultilevel"/>
    <w:tmpl w:val="DCD4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9B35B1"/>
    <w:multiLevelType w:val="hybridMultilevel"/>
    <w:tmpl w:val="67D6F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9461C4"/>
    <w:multiLevelType w:val="hybridMultilevel"/>
    <w:tmpl w:val="ACB2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76739"/>
    <w:multiLevelType w:val="hybridMultilevel"/>
    <w:tmpl w:val="64C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33689"/>
    <w:multiLevelType w:val="multilevel"/>
    <w:tmpl w:val="CA2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C82927"/>
    <w:multiLevelType w:val="hybridMultilevel"/>
    <w:tmpl w:val="CCAE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D500E"/>
    <w:multiLevelType w:val="hybridMultilevel"/>
    <w:tmpl w:val="6ACC76CE"/>
    <w:lvl w:ilvl="0" w:tplc="04090001">
      <w:start w:val="1"/>
      <w:numFmt w:val="bullet"/>
      <w:lvlText w:val=""/>
      <w:lvlJc w:val="left"/>
      <w:pPr>
        <w:ind w:left="720" w:hanging="360"/>
      </w:pPr>
      <w:rPr>
        <w:rFonts w:ascii="Symbol" w:hAnsi="Symbol" w:hint="default"/>
      </w:rPr>
    </w:lvl>
    <w:lvl w:ilvl="1" w:tplc="5686D6BE">
      <w:start w:val="2023"/>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A1768"/>
    <w:multiLevelType w:val="hybridMultilevel"/>
    <w:tmpl w:val="34E4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10179"/>
    <w:multiLevelType w:val="hybridMultilevel"/>
    <w:tmpl w:val="6262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4357D"/>
    <w:multiLevelType w:val="hybridMultilevel"/>
    <w:tmpl w:val="2728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926D3"/>
    <w:multiLevelType w:val="hybridMultilevel"/>
    <w:tmpl w:val="DFB4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215F4"/>
    <w:multiLevelType w:val="hybridMultilevel"/>
    <w:tmpl w:val="F068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33AD5"/>
    <w:multiLevelType w:val="hybridMultilevel"/>
    <w:tmpl w:val="5F1C2F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82A1A57"/>
    <w:multiLevelType w:val="hybridMultilevel"/>
    <w:tmpl w:val="D88C0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B95F2A"/>
    <w:multiLevelType w:val="hybridMultilevel"/>
    <w:tmpl w:val="4F1C5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B66BB6"/>
    <w:multiLevelType w:val="hybridMultilevel"/>
    <w:tmpl w:val="ED1E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E0928"/>
    <w:multiLevelType w:val="hybridMultilevel"/>
    <w:tmpl w:val="C5C6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50A7E"/>
    <w:multiLevelType w:val="hybridMultilevel"/>
    <w:tmpl w:val="460C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B6B34"/>
    <w:multiLevelType w:val="hybridMultilevel"/>
    <w:tmpl w:val="2E98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C1E2B"/>
    <w:multiLevelType w:val="hybridMultilevel"/>
    <w:tmpl w:val="6C18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501D7D"/>
    <w:multiLevelType w:val="hybridMultilevel"/>
    <w:tmpl w:val="A9940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BB75F7"/>
    <w:multiLevelType w:val="hybridMultilevel"/>
    <w:tmpl w:val="C3FC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30C65"/>
    <w:multiLevelType w:val="hybridMultilevel"/>
    <w:tmpl w:val="62CCA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972833"/>
    <w:multiLevelType w:val="hybridMultilevel"/>
    <w:tmpl w:val="B518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281829"/>
    <w:multiLevelType w:val="hybridMultilevel"/>
    <w:tmpl w:val="D590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624488">
    <w:abstractNumId w:val="10"/>
  </w:num>
  <w:num w:numId="2" w16cid:durableId="1581987564">
    <w:abstractNumId w:val="8"/>
  </w:num>
  <w:num w:numId="3" w16cid:durableId="1294481553">
    <w:abstractNumId w:val="7"/>
  </w:num>
  <w:num w:numId="4" w16cid:durableId="1386175288">
    <w:abstractNumId w:val="6"/>
  </w:num>
  <w:num w:numId="5" w16cid:durableId="986282922">
    <w:abstractNumId w:val="5"/>
  </w:num>
  <w:num w:numId="6" w16cid:durableId="970785579">
    <w:abstractNumId w:val="9"/>
  </w:num>
  <w:num w:numId="7" w16cid:durableId="202795940">
    <w:abstractNumId w:val="4"/>
  </w:num>
  <w:num w:numId="8" w16cid:durableId="1790316013">
    <w:abstractNumId w:val="3"/>
  </w:num>
  <w:num w:numId="9" w16cid:durableId="1769346886">
    <w:abstractNumId w:val="2"/>
  </w:num>
  <w:num w:numId="10" w16cid:durableId="910694062">
    <w:abstractNumId w:val="1"/>
  </w:num>
  <w:num w:numId="11" w16cid:durableId="1770151642">
    <w:abstractNumId w:val="0"/>
  </w:num>
  <w:num w:numId="12" w16cid:durableId="300506191">
    <w:abstractNumId w:val="20"/>
  </w:num>
  <w:num w:numId="13" w16cid:durableId="1326670416">
    <w:abstractNumId w:val="31"/>
  </w:num>
  <w:num w:numId="14" w16cid:durableId="2078429785">
    <w:abstractNumId w:val="23"/>
  </w:num>
  <w:num w:numId="15" w16cid:durableId="1115249744">
    <w:abstractNumId w:val="26"/>
  </w:num>
  <w:num w:numId="16" w16cid:durableId="4406463">
    <w:abstractNumId w:val="16"/>
  </w:num>
  <w:num w:numId="17" w16cid:durableId="2136944904">
    <w:abstractNumId w:val="25"/>
  </w:num>
  <w:num w:numId="18" w16cid:durableId="850610123">
    <w:abstractNumId w:val="35"/>
  </w:num>
  <w:num w:numId="19" w16cid:durableId="2116900797">
    <w:abstractNumId w:val="22"/>
  </w:num>
  <w:num w:numId="20" w16cid:durableId="281041053">
    <w:abstractNumId w:val="30"/>
  </w:num>
  <w:num w:numId="21" w16cid:durableId="747462479">
    <w:abstractNumId w:val="19"/>
  </w:num>
  <w:num w:numId="22" w16cid:durableId="1246837753">
    <w:abstractNumId w:val="37"/>
  </w:num>
  <w:num w:numId="23" w16cid:durableId="130829949">
    <w:abstractNumId w:val="28"/>
  </w:num>
  <w:num w:numId="24" w16cid:durableId="344095756">
    <w:abstractNumId w:val="21"/>
  </w:num>
  <w:num w:numId="25" w16cid:durableId="1354459114">
    <w:abstractNumId w:val="27"/>
  </w:num>
  <w:num w:numId="26" w16cid:durableId="1268005543">
    <w:abstractNumId w:val="24"/>
  </w:num>
  <w:num w:numId="27" w16cid:durableId="1669164263">
    <w:abstractNumId w:val="14"/>
  </w:num>
  <w:num w:numId="28" w16cid:durableId="2021421889">
    <w:abstractNumId w:val="32"/>
  </w:num>
  <w:num w:numId="29" w16cid:durableId="1073090527">
    <w:abstractNumId w:val="12"/>
  </w:num>
  <w:num w:numId="30" w16cid:durableId="427502172">
    <w:abstractNumId w:val="29"/>
  </w:num>
  <w:num w:numId="31" w16cid:durableId="2027630428">
    <w:abstractNumId w:val="17"/>
  </w:num>
  <w:num w:numId="32" w16cid:durableId="615721745">
    <w:abstractNumId w:val="38"/>
  </w:num>
  <w:num w:numId="33" w16cid:durableId="2092465403">
    <w:abstractNumId w:val="36"/>
  </w:num>
  <w:num w:numId="34" w16cid:durableId="1900046813">
    <w:abstractNumId w:val="13"/>
  </w:num>
  <w:num w:numId="35" w16cid:durableId="2127692769">
    <w:abstractNumId w:val="39"/>
  </w:num>
  <w:num w:numId="36" w16cid:durableId="191186970">
    <w:abstractNumId w:val="33"/>
  </w:num>
  <w:num w:numId="37" w16cid:durableId="491337967">
    <w:abstractNumId w:val="34"/>
  </w:num>
  <w:num w:numId="38" w16cid:durableId="322897246">
    <w:abstractNumId w:val="15"/>
  </w:num>
  <w:num w:numId="39" w16cid:durableId="678313947">
    <w:abstractNumId w:val="40"/>
  </w:num>
  <w:num w:numId="40" w16cid:durableId="751199986">
    <w:abstractNumId w:val="18"/>
  </w:num>
  <w:num w:numId="41" w16cid:durableId="1915622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E5"/>
    <w:rsid w:val="00001D2D"/>
    <w:rsid w:val="000059A7"/>
    <w:rsid w:val="00005B6A"/>
    <w:rsid w:val="00006596"/>
    <w:rsid w:val="00006F7B"/>
    <w:rsid w:val="00007E02"/>
    <w:rsid w:val="00014071"/>
    <w:rsid w:val="00020F60"/>
    <w:rsid w:val="0002163C"/>
    <w:rsid w:val="00023959"/>
    <w:rsid w:val="00026092"/>
    <w:rsid w:val="00030D0B"/>
    <w:rsid w:val="00031516"/>
    <w:rsid w:val="000355A7"/>
    <w:rsid w:val="00036890"/>
    <w:rsid w:val="00037A51"/>
    <w:rsid w:val="00040AAB"/>
    <w:rsid w:val="00051706"/>
    <w:rsid w:val="00051F56"/>
    <w:rsid w:val="00052D8B"/>
    <w:rsid w:val="000567CA"/>
    <w:rsid w:val="00066757"/>
    <w:rsid w:val="0007057B"/>
    <w:rsid w:val="000736C2"/>
    <w:rsid w:val="00074406"/>
    <w:rsid w:val="000750DE"/>
    <w:rsid w:val="00083852"/>
    <w:rsid w:val="00087591"/>
    <w:rsid w:val="00094CD8"/>
    <w:rsid w:val="0009745F"/>
    <w:rsid w:val="000A128E"/>
    <w:rsid w:val="000A3938"/>
    <w:rsid w:val="000A7312"/>
    <w:rsid w:val="000B568B"/>
    <w:rsid w:val="000B7ACA"/>
    <w:rsid w:val="000C08D1"/>
    <w:rsid w:val="000C09AE"/>
    <w:rsid w:val="000C2575"/>
    <w:rsid w:val="000C30B5"/>
    <w:rsid w:val="000D1ABF"/>
    <w:rsid w:val="000D576F"/>
    <w:rsid w:val="000D639A"/>
    <w:rsid w:val="000D67C3"/>
    <w:rsid w:val="000E0333"/>
    <w:rsid w:val="000E2716"/>
    <w:rsid w:val="000E3F67"/>
    <w:rsid w:val="000E406F"/>
    <w:rsid w:val="000E55F4"/>
    <w:rsid w:val="000E6F29"/>
    <w:rsid w:val="000F4C5A"/>
    <w:rsid w:val="000F5D05"/>
    <w:rsid w:val="000F7AEA"/>
    <w:rsid w:val="001007CC"/>
    <w:rsid w:val="00101A97"/>
    <w:rsid w:val="00104B79"/>
    <w:rsid w:val="00104DD5"/>
    <w:rsid w:val="00106073"/>
    <w:rsid w:val="00110E01"/>
    <w:rsid w:val="00111C15"/>
    <w:rsid w:val="00111D3F"/>
    <w:rsid w:val="0011479F"/>
    <w:rsid w:val="00116637"/>
    <w:rsid w:val="00120777"/>
    <w:rsid w:val="0012385D"/>
    <w:rsid w:val="00125059"/>
    <w:rsid w:val="00126B75"/>
    <w:rsid w:val="00127209"/>
    <w:rsid w:val="0013176A"/>
    <w:rsid w:val="00131AB5"/>
    <w:rsid w:val="0013239E"/>
    <w:rsid w:val="001328FD"/>
    <w:rsid w:val="00133080"/>
    <w:rsid w:val="001330AF"/>
    <w:rsid w:val="00136BE9"/>
    <w:rsid w:val="00137135"/>
    <w:rsid w:val="00144FE6"/>
    <w:rsid w:val="001468AE"/>
    <w:rsid w:val="00146C76"/>
    <w:rsid w:val="00147129"/>
    <w:rsid w:val="0014793B"/>
    <w:rsid w:val="00153E52"/>
    <w:rsid w:val="00155E04"/>
    <w:rsid w:val="00157FD7"/>
    <w:rsid w:val="00160191"/>
    <w:rsid w:val="00172899"/>
    <w:rsid w:val="001749D5"/>
    <w:rsid w:val="00176BD2"/>
    <w:rsid w:val="0018031B"/>
    <w:rsid w:val="00185544"/>
    <w:rsid w:val="00192D3E"/>
    <w:rsid w:val="0019317A"/>
    <w:rsid w:val="00194D30"/>
    <w:rsid w:val="00196149"/>
    <w:rsid w:val="001A2C8E"/>
    <w:rsid w:val="001B3367"/>
    <w:rsid w:val="001B46D9"/>
    <w:rsid w:val="001B5625"/>
    <w:rsid w:val="001B5645"/>
    <w:rsid w:val="001C5AF5"/>
    <w:rsid w:val="001D02D3"/>
    <w:rsid w:val="001D1520"/>
    <w:rsid w:val="001D4478"/>
    <w:rsid w:val="001D6993"/>
    <w:rsid w:val="001F150D"/>
    <w:rsid w:val="001F1582"/>
    <w:rsid w:val="001F642E"/>
    <w:rsid w:val="001F64F5"/>
    <w:rsid w:val="001F770F"/>
    <w:rsid w:val="001F7820"/>
    <w:rsid w:val="00203191"/>
    <w:rsid w:val="0020481D"/>
    <w:rsid w:val="002056E5"/>
    <w:rsid w:val="0021280D"/>
    <w:rsid w:val="00220198"/>
    <w:rsid w:val="00222FEC"/>
    <w:rsid w:val="00225DDE"/>
    <w:rsid w:val="00232215"/>
    <w:rsid w:val="002349C9"/>
    <w:rsid w:val="00237A1F"/>
    <w:rsid w:val="002417A5"/>
    <w:rsid w:val="00243A2E"/>
    <w:rsid w:val="00246E4C"/>
    <w:rsid w:val="00250EF2"/>
    <w:rsid w:val="002525B4"/>
    <w:rsid w:val="0025645A"/>
    <w:rsid w:val="00257BAC"/>
    <w:rsid w:val="00260A7C"/>
    <w:rsid w:val="00261E40"/>
    <w:rsid w:val="00262621"/>
    <w:rsid w:val="00265F3C"/>
    <w:rsid w:val="002720D7"/>
    <w:rsid w:val="00272AA1"/>
    <w:rsid w:val="00282E35"/>
    <w:rsid w:val="00284B6D"/>
    <w:rsid w:val="00285069"/>
    <w:rsid w:val="002857EC"/>
    <w:rsid w:val="00285891"/>
    <w:rsid w:val="002859A6"/>
    <w:rsid w:val="00285F51"/>
    <w:rsid w:val="002901A6"/>
    <w:rsid w:val="00290EDA"/>
    <w:rsid w:val="002A0141"/>
    <w:rsid w:val="002A0595"/>
    <w:rsid w:val="002A2AD2"/>
    <w:rsid w:val="002A35F1"/>
    <w:rsid w:val="002A3FD2"/>
    <w:rsid w:val="002A7E59"/>
    <w:rsid w:val="002B316B"/>
    <w:rsid w:val="002C1978"/>
    <w:rsid w:val="002C66B4"/>
    <w:rsid w:val="002D1F77"/>
    <w:rsid w:val="002D6440"/>
    <w:rsid w:val="002F278F"/>
    <w:rsid w:val="002F3649"/>
    <w:rsid w:val="002F37E4"/>
    <w:rsid w:val="003001C8"/>
    <w:rsid w:val="0030343D"/>
    <w:rsid w:val="00315CC0"/>
    <w:rsid w:val="00315E3F"/>
    <w:rsid w:val="00333FE0"/>
    <w:rsid w:val="003343DE"/>
    <w:rsid w:val="00335CD8"/>
    <w:rsid w:val="003424C2"/>
    <w:rsid w:val="00345157"/>
    <w:rsid w:val="00345F86"/>
    <w:rsid w:val="00351E7B"/>
    <w:rsid w:val="00353736"/>
    <w:rsid w:val="00355767"/>
    <w:rsid w:val="00355C19"/>
    <w:rsid w:val="003665D8"/>
    <w:rsid w:val="0037131A"/>
    <w:rsid w:val="00380C85"/>
    <w:rsid w:val="0038231A"/>
    <w:rsid w:val="00391571"/>
    <w:rsid w:val="00393E7C"/>
    <w:rsid w:val="003A2479"/>
    <w:rsid w:val="003A38AD"/>
    <w:rsid w:val="003A4FA7"/>
    <w:rsid w:val="003A54C8"/>
    <w:rsid w:val="003A5E06"/>
    <w:rsid w:val="003A714B"/>
    <w:rsid w:val="003B15C8"/>
    <w:rsid w:val="003B1977"/>
    <w:rsid w:val="003B25C2"/>
    <w:rsid w:val="003B64EF"/>
    <w:rsid w:val="003C618B"/>
    <w:rsid w:val="003D0178"/>
    <w:rsid w:val="003D052A"/>
    <w:rsid w:val="003D18FA"/>
    <w:rsid w:val="003E3B59"/>
    <w:rsid w:val="003E5A36"/>
    <w:rsid w:val="003E7AC7"/>
    <w:rsid w:val="003F0E62"/>
    <w:rsid w:val="003F178E"/>
    <w:rsid w:val="004117E6"/>
    <w:rsid w:val="004121DF"/>
    <w:rsid w:val="0042357A"/>
    <w:rsid w:val="004242AB"/>
    <w:rsid w:val="004360EB"/>
    <w:rsid w:val="00445325"/>
    <w:rsid w:val="00445934"/>
    <w:rsid w:val="00447F41"/>
    <w:rsid w:val="00450443"/>
    <w:rsid w:val="00450AEB"/>
    <w:rsid w:val="00451756"/>
    <w:rsid w:val="00454877"/>
    <w:rsid w:val="004561FB"/>
    <w:rsid w:val="00460F3B"/>
    <w:rsid w:val="00465180"/>
    <w:rsid w:val="00467977"/>
    <w:rsid w:val="004757E1"/>
    <w:rsid w:val="004764C4"/>
    <w:rsid w:val="00477826"/>
    <w:rsid w:val="00482B29"/>
    <w:rsid w:val="004842CE"/>
    <w:rsid w:val="004869D6"/>
    <w:rsid w:val="0049303A"/>
    <w:rsid w:val="004A5C01"/>
    <w:rsid w:val="004B23AB"/>
    <w:rsid w:val="004C064E"/>
    <w:rsid w:val="004C3137"/>
    <w:rsid w:val="004C32E5"/>
    <w:rsid w:val="004C3B35"/>
    <w:rsid w:val="004C70B5"/>
    <w:rsid w:val="004C7899"/>
    <w:rsid w:val="004D5972"/>
    <w:rsid w:val="004D5FC6"/>
    <w:rsid w:val="004E7907"/>
    <w:rsid w:val="00500C76"/>
    <w:rsid w:val="005052FB"/>
    <w:rsid w:val="00506075"/>
    <w:rsid w:val="00511B94"/>
    <w:rsid w:val="00515D3A"/>
    <w:rsid w:val="00517C5D"/>
    <w:rsid w:val="005247DD"/>
    <w:rsid w:val="005305F9"/>
    <w:rsid w:val="005316AD"/>
    <w:rsid w:val="00531E41"/>
    <w:rsid w:val="00535FE1"/>
    <w:rsid w:val="005365FC"/>
    <w:rsid w:val="00546962"/>
    <w:rsid w:val="005471CA"/>
    <w:rsid w:val="00550C2C"/>
    <w:rsid w:val="00556BA3"/>
    <w:rsid w:val="00567952"/>
    <w:rsid w:val="005804FB"/>
    <w:rsid w:val="00580510"/>
    <w:rsid w:val="00580C52"/>
    <w:rsid w:val="00584B1A"/>
    <w:rsid w:val="005857DD"/>
    <w:rsid w:val="00585DD7"/>
    <w:rsid w:val="005941F1"/>
    <w:rsid w:val="0059458D"/>
    <w:rsid w:val="005A08BE"/>
    <w:rsid w:val="005A56FA"/>
    <w:rsid w:val="005B0605"/>
    <w:rsid w:val="005C43C1"/>
    <w:rsid w:val="005C5AAE"/>
    <w:rsid w:val="005D0360"/>
    <w:rsid w:val="005D3374"/>
    <w:rsid w:val="005D68CC"/>
    <w:rsid w:val="005E3443"/>
    <w:rsid w:val="005E4C1D"/>
    <w:rsid w:val="005F1719"/>
    <w:rsid w:val="005F312D"/>
    <w:rsid w:val="005F7090"/>
    <w:rsid w:val="0061222C"/>
    <w:rsid w:val="006132F3"/>
    <w:rsid w:val="00622771"/>
    <w:rsid w:val="006243AD"/>
    <w:rsid w:val="00632320"/>
    <w:rsid w:val="0063461D"/>
    <w:rsid w:val="006401C0"/>
    <w:rsid w:val="006425D7"/>
    <w:rsid w:val="0064262E"/>
    <w:rsid w:val="006433BC"/>
    <w:rsid w:val="006463A3"/>
    <w:rsid w:val="00646D55"/>
    <w:rsid w:val="00650EB1"/>
    <w:rsid w:val="0065199C"/>
    <w:rsid w:val="006562BD"/>
    <w:rsid w:val="00660F38"/>
    <w:rsid w:val="00667C89"/>
    <w:rsid w:val="0067636A"/>
    <w:rsid w:val="006855A8"/>
    <w:rsid w:val="006857EA"/>
    <w:rsid w:val="00686BF4"/>
    <w:rsid w:val="006917AD"/>
    <w:rsid w:val="00696BDC"/>
    <w:rsid w:val="006A2E67"/>
    <w:rsid w:val="006A5C88"/>
    <w:rsid w:val="006A7081"/>
    <w:rsid w:val="006B2F03"/>
    <w:rsid w:val="006B520D"/>
    <w:rsid w:val="006B5432"/>
    <w:rsid w:val="006B6D0E"/>
    <w:rsid w:val="006B6DA8"/>
    <w:rsid w:val="006B7C07"/>
    <w:rsid w:val="006C1775"/>
    <w:rsid w:val="006C4555"/>
    <w:rsid w:val="006C5112"/>
    <w:rsid w:val="006D15FE"/>
    <w:rsid w:val="006E1D87"/>
    <w:rsid w:val="006E24DC"/>
    <w:rsid w:val="006E6E23"/>
    <w:rsid w:val="006E7367"/>
    <w:rsid w:val="006F4F4A"/>
    <w:rsid w:val="006F79D3"/>
    <w:rsid w:val="006F7F2D"/>
    <w:rsid w:val="00705372"/>
    <w:rsid w:val="00706A26"/>
    <w:rsid w:val="0071529A"/>
    <w:rsid w:val="00716F98"/>
    <w:rsid w:val="00720833"/>
    <w:rsid w:val="00721801"/>
    <w:rsid w:val="00722518"/>
    <w:rsid w:val="007236FC"/>
    <w:rsid w:val="00733C7C"/>
    <w:rsid w:val="007346A1"/>
    <w:rsid w:val="00736EE4"/>
    <w:rsid w:val="0074063C"/>
    <w:rsid w:val="007438BC"/>
    <w:rsid w:val="0075361A"/>
    <w:rsid w:val="00754572"/>
    <w:rsid w:val="00755C9B"/>
    <w:rsid w:val="00755D3A"/>
    <w:rsid w:val="00757EDB"/>
    <w:rsid w:val="00761BB0"/>
    <w:rsid w:val="007644F8"/>
    <w:rsid w:val="00767B62"/>
    <w:rsid w:val="00772F9A"/>
    <w:rsid w:val="00774069"/>
    <w:rsid w:val="0077560F"/>
    <w:rsid w:val="00775BDB"/>
    <w:rsid w:val="0078210C"/>
    <w:rsid w:val="007831CD"/>
    <w:rsid w:val="007838FE"/>
    <w:rsid w:val="00787145"/>
    <w:rsid w:val="0079332F"/>
    <w:rsid w:val="00793F57"/>
    <w:rsid w:val="007940D6"/>
    <w:rsid w:val="00794376"/>
    <w:rsid w:val="0079710F"/>
    <w:rsid w:val="007A059E"/>
    <w:rsid w:val="007A11D5"/>
    <w:rsid w:val="007A471F"/>
    <w:rsid w:val="007A5236"/>
    <w:rsid w:val="007B607B"/>
    <w:rsid w:val="007C2909"/>
    <w:rsid w:val="007C51C8"/>
    <w:rsid w:val="007C5523"/>
    <w:rsid w:val="007C7783"/>
    <w:rsid w:val="007D094B"/>
    <w:rsid w:val="007D5414"/>
    <w:rsid w:val="007D7A43"/>
    <w:rsid w:val="007E1389"/>
    <w:rsid w:val="007F521E"/>
    <w:rsid w:val="008015A4"/>
    <w:rsid w:val="0080194C"/>
    <w:rsid w:val="00806130"/>
    <w:rsid w:val="00811FD2"/>
    <w:rsid w:val="008122D1"/>
    <w:rsid w:val="00814B5C"/>
    <w:rsid w:val="00815A01"/>
    <w:rsid w:val="008178C8"/>
    <w:rsid w:val="008205A3"/>
    <w:rsid w:val="008206C6"/>
    <w:rsid w:val="00820BDD"/>
    <w:rsid w:val="0082597E"/>
    <w:rsid w:val="00831AD3"/>
    <w:rsid w:val="00831D1B"/>
    <w:rsid w:val="008321DB"/>
    <w:rsid w:val="008325D3"/>
    <w:rsid w:val="00835CE3"/>
    <w:rsid w:val="00845CF8"/>
    <w:rsid w:val="00853D70"/>
    <w:rsid w:val="008569AD"/>
    <w:rsid w:val="00860046"/>
    <w:rsid w:val="008603AE"/>
    <w:rsid w:val="0086760C"/>
    <w:rsid w:val="0087200E"/>
    <w:rsid w:val="008740D9"/>
    <w:rsid w:val="008774A8"/>
    <w:rsid w:val="00880C59"/>
    <w:rsid w:val="008817F3"/>
    <w:rsid w:val="00887671"/>
    <w:rsid w:val="008905EF"/>
    <w:rsid w:val="008920F5"/>
    <w:rsid w:val="00894589"/>
    <w:rsid w:val="00897DC3"/>
    <w:rsid w:val="008A4DB1"/>
    <w:rsid w:val="008A6758"/>
    <w:rsid w:val="008B3914"/>
    <w:rsid w:val="008B5E4C"/>
    <w:rsid w:val="008B6014"/>
    <w:rsid w:val="008C13C7"/>
    <w:rsid w:val="008C50B9"/>
    <w:rsid w:val="008D3001"/>
    <w:rsid w:val="008D4330"/>
    <w:rsid w:val="008E1598"/>
    <w:rsid w:val="008E71E5"/>
    <w:rsid w:val="008F00C3"/>
    <w:rsid w:val="008F1154"/>
    <w:rsid w:val="008F3448"/>
    <w:rsid w:val="008F430F"/>
    <w:rsid w:val="008F5B11"/>
    <w:rsid w:val="009036D1"/>
    <w:rsid w:val="00905613"/>
    <w:rsid w:val="00906C07"/>
    <w:rsid w:val="0091134E"/>
    <w:rsid w:val="00912952"/>
    <w:rsid w:val="0091407E"/>
    <w:rsid w:val="00917179"/>
    <w:rsid w:val="00932B69"/>
    <w:rsid w:val="00933B25"/>
    <w:rsid w:val="0094010C"/>
    <w:rsid w:val="00942861"/>
    <w:rsid w:val="00947966"/>
    <w:rsid w:val="00951153"/>
    <w:rsid w:val="00953674"/>
    <w:rsid w:val="009601C1"/>
    <w:rsid w:val="00961297"/>
    <w:rsid w:val="00964589"/>
    <w:rsid w:val="00965ADB"/>
    <w:rsid w:val="00981B2C"/>
    <w:rsid w:val="00983530"/>
    <w:rsid w:val="0098550F"/>
    <w:rsid w:val="009873D5"/>
    <w:rsid w:val="00990C9B"/>
    <w:rsid w:val="00990DA9"/>
    <w:rsid w:val="00991BC3"/>
    <w:rsid w:val="009924DA"/>
    <w:rsid w:val="0099367C"/>
    <w:rsid w:val="009A0CCB"/>
    <w:rsid w:val="009A2CD9"/>
    <w:rsid w:val="009B4B40"/>
    <w:rsid w:val="009B4D0B"/>
    <w:rsid w:val="009B65B2"/>
    <w:rsid w:val="009C0786"/>
    <w:rsid w:val="009C0AA3"/>
    <w:rsid w:val="009C1A4E"/>
    <w:rsid w:val="009C25BB"/>
    <w:rsid w:val="009C40FC"/>
    <w:rsid w:val="009D2059"/>
    <w:rsid w:val="009D69AC"/>
    <w:rsid w:val="009E1B14"/>
    <w:rsid w:val="009E2243"/>
    <w:rsid w:val="009E2578"/>
    <w:rsid w:val="009E26C3"/>
    <w:rsid w:val="009E2A2C"/>
    <w:rsid w:val="009E2D07"/>
    <w:rsid w:val="009E335F"/>
    <w:rsid w:val="009F56C3"/>
    <w:rsid w:val="00A018BD"/>
    <w:rsid w:val="00A0573D"/>
    <w:rsid w:val="00A1193F"/>
    <w:rsid w:val="00A15B32"/>
    <w:rsid w:val="00A304D8"/>
    <w:rsid w:val="00A326C7"/>
    <w:rsid w:val="00A32DD1"/>
    <w:rsid w:val="00A37502"/>
    <w:rsid w:val="00A37B26"/>
    <w:rsid w:val="00A500D8"/>
    <w:rsid w:val="00A56776"/>
    <w:rsid w:val="00A6454D"/>
    <w:rsid w:val="00A733F2"/>
    <w:rsid w:val="00A74FAC"/>
    <w:rsid w:val="00A75584"/>
    <w:rsid w:val="00A756FC"/>
    <w:rsid w:val="00A75870"/>
    <w:rsid w:val="00A77AB8"/>
    <w:rsid w:val="00A82FC5"/>
    <w:rsid w:val="00A8382E"/>
    <w:rsid w:val="00A87496"/>
    <w:rsid w:val="00A92AEB"/>
    <w:rsid w:val="00A9395E"/>
    <w:rsid w:val="00A958BB"/>
    <w:rsid w:val="00A965CC"/>
    <w:rsid w:val="00AA32D7"/>
    <w:rsid w:val="00AB01A6"/>
    <w:rsid w:val="00AB163F"/>
    <w:rsid w:val="00AB164A"/>
    <w:rsid w:val="00AB4100"/>
    <w:rsid w:val="00AB5C0F"/>
    <w:rsid w:val="00AB61B2"/>
    <w:rsid w:val="00AC068F"/>
    <w:rsid w:val="00AC06EA"/>
    <w:rsid w:val="00AC0723"/>
    <w:rsid w:val="00AC11C5"/>
    <w:rsid w:val="00AC12D1"/>
    <w:rsid w:val="00AC4B00"/>
    <w:rsid w:val="00AD0F39"/>
    <w:rsid w:val="00AD24BB"/>
    <w:rsid w:val="00AD2F5C"/>
    <w:rsid w:val="00AD3080"/>
    <w:rsid w:val="00AD352B"/>
    <w:rsid w:val="00AD6E8E"/>
    <w:rsid w:val="00AE16A1"/>
    <w:rsid w:val="00AE2C94"/>
    <w:rsid w:val="00AE62CC"/>
    <w:rsid w:val="00AE77C9"/>
    <w:rsid w:val="00AF2484"/>
    <w:rsid w:val="00AF28C0"/>
    <w:rsid w:val="00B01F86"/>
    <w:rsid w:val="00B03BA7"/>
    <w:rsid w:val="00B0418D"/>
    <w:rsid w:val="00B07018"/>
    <w:rsid w:val="00B13863"/>
    <w:rsid w:val="00B142CA"/>
    <w:rsid w:val="00B147EB"/>
    <w:rsid w:val="00B14D8A"/>
    <w:rsid w:val="00B20F9C"/>
    <w:rsid w:val="00B34AE2"/>
    <w:rsid w:val="00B37249"/>
    <w:rsid w:val="00B4351A"/>
    <w:rsid w:val="00B4380C"/>
    <w:rsid w:val="00B44486"/>
    <w:rsid w:val="00B4711A"/>
    <w:rsid w:val="00B504E9"/>
    <w:rsid w:val="00B554AB"/>
    <w:rsid w:val="00B56A22"/>
    <w:rsid w:val="00B62ACC"/>
    <w:rsid w:val="00B63240"/>
    <w:rsid w:val="00B63247"/>
    <w:rsid w:val="00B66176"/>
    <w:rsid w:val="00B66BF9"/>
    <w:rsid w:val="00B67B93"/>
    <w:rsid w:val="00B72145"/>
    <w:rsid w:val="00B76DCD"/>
    <w:rsid w:val="00B8049D"/>
    <w:rsid w:val="00B8121D"/>
    <w:rsid w:val="00B83126"/>
    <w:rsid w:val="00BB680A"/>
    <w:rsid w:val="00BC1F2D"/>
    <w:rsid w:val="00BC4D20"/>
    <w:rsid w:val="00BC55DC"/>
    <w:rsid w:val="00BC6AE0"/>
    <w:rsid w:val="00BE0790"/>
    <w:rsid w:val="00BE272E"/>
    <w:rsid w:val="00BE3B31"/>
    <w:rsid w:val="00BE5284"/>
    <w:rsid w:val="00BF186A"/>
    <w:rsid w:val="00BF23B8"/>
    <w:rsid w:val="00BF7EFD"/>
    <w:rsid w:val="00C033F6"/>
    <w:rsid w:val="00C0441C"/>
    <w:rsid w:val="00C106D9"/>
    <w:rsid w:val="00C10D41"/>
    <w:rsid w:val="00C10DC6"/>
    <w:rsid w:val="00C13218"/>
    <w:rsid w:val="00C13AF4"/>
    <w:rsid w:val="00C2543A"/>
    <w:rsid w:val="00C36459"/>
    <w:rsid w:val="00C41E95"/>
    <w:rsid w:val="00C42657"/>
    <w:rsid w:val="00C540D7"/>
    <w:rsid w:val="00C61870"/>
    <w:rsid w:val="00C640D1"/>
    <w:rsid w:val="00C655B1"/>
    <w:rsid w:val="00C67CAA"/>
    <w:rsid w:val="00C73F89"/>
    <w:rsid w:val="00C76B7B"/>
    <w:rsid w:val="00C9221D"/>
    <w:rsid w:val="00C952E6"/>
    <w:rsid w:val="00C957B1"/>
    <w:rsid w:val="00CA28A1"/>
    <w:rsid w:val="00CA4D70"/>
    <w:rsid w:val="00CA62EC"/>
    <w:rsid w:val="00CB4892"/>
    <w:rsid w:val="00CB55ED"/>
    <w:rsid w:val="00CB6453"/>
    <w:rsid w:val="00CB72F6"/>
    <w:rsid w:val="00CC032C"/>
    <w:rsid w:val="00CC2C96"/>
    <w:rsid w:val="00CC31DA"/>
    <w:rsid w:val="00CC38E2"/>
    <w:rsid w:val="00CD3BEA"/>
    <w:rsid w:val="00CD4D24"/>
    <w:rsid w:val="00CE5028"/>
    <w:rsid w:val="00CE5C72"/>
    <w:rsid w:val="00CE6291"/>
    <w:rsid w:val="00CF23BC"/>
    <w:rsid w:val="00CF5522"/>
    <w:rsid w:val="00D01566"/>
    <w:rsid w:val="00D16548"/>
    <w:rsid w:val="00D212B2"/>
    <w:rsid w:val="00D22A02"/>
    <w:rsid w:val="00D22B1B"/>
    <w:rsid w:val="00D27BE3"/>
    <w:rsid w:val="00D3761C"/>
    <w:rsid w:val="00D4058A"/>
    <w:rsid w:val="00D4085C"/>
    <w:rsid w:val="00D429AE"/>
    <w:rsid w:val="00D46432"/>
    <w:rsid w:val="00D4773F"/>
    <w:rsid w:val="00D50207"/>
    <w:rsid w:val="00D5341C"/>
    <w:rsid w:val="00D543E4"/>
    <w:rsid w:val="00D54621"/>
    <w:rsid w:val="00D5724B"/>
    <w:rsid w:val="00D641A2"/>
    <w:rsid w:val="00D6713F"/>
    <w:rsid w:val="00D72B27"/>
    <w:rsid w:val="00D74C71"/>
    <w:rsid w:val="00D75999"/>
    <w:rsid w:val="00D86866"/>
    <w:rsid w:val="00D90E52"/>
    <w:rsid w:val="00D92D85"/>
    <w:rsid w:val="00D93761"/>
    <w:rsid w:val="00D93A56"/>
    <w:rsid w:val="00D95EB5"/>
    <w:rsid w:val="00DA0F25"/>
    <w:rsid w:val="00DA24CF"/>
    <w:rsid w:val="00DA541C"/>
    <w:rsid w:val="00DA5D30"/>
    <w:rsid w:val="00DA63D0"/>
    <w:rsid w:val="00DB0E27"/>
    <w:rsid w:val="00DB2D7F"/>
    <w:rsid w:val="00DB472F"/>
    <w:rsid w:val="00DC04B5"/>
    <w:rsid w:val="00DC42B6"/>
    <w:rsid w:val="00DC6948"/>
    <w:rsid w:val="00DD045E"/>
    <w:rsid w:val="00DE06FD"/>
    <w:rsid w:val="00DE2975"/>
    <w:rsid w:val="00DE35B4"/>
    <w:rsid w:val="00DE4F05"/>
    <w:rsid w:val="00DF0E77"/>
    <w:rsid w:val="00DF10D7"/>
    <w:rsid w:val="00DF298A"/>
    <w:rsid w:val="00DF5D58"/>
    <w:rsid w:val="00DF604A"/>
    <w:rsid w:val="00E106C1"/>
    <w:rsid w:val="00E122D7"/>
    <w:rsid w:val="00E140A6"/>
    <w:rsid w:val="00E203B3"/>
    <w:rsid w:val="00E229A1"/>
    <w:rsid w:val="00E264BD"/>
    <w:rsid w:val="00E266DD"/>
    <w:rsid w:val="00E31CCA"/>
    <w:rsid w:val="00E328C6"/>
    <w:rsid w:val="00E354ED"/>
    <w:rsid w:val="00E42551"/>
    <w:rsid w:val="00E513B7"/>
    <w:rsid w:val="00E52C2B"/>
    <w:rsid w:val="00E5580A"/>
    <w:rsid w:val="00E56DD3"/>
    <w:rsid w:val="00E61AB1"/>
    <w:rsid w:val="00E64E1E"/>
    <w:rsid w:val="00E70D88"/>
    <w:rsid w:val="00E7134E"/>
    <w:rsid w:val="00E76599"/>
    <w:rsid w:val="00E866D0"/>
    <w:rsid w:val="00E86DC4"/>
    <w:rsid w:val="00E93DA9"/>
    <w:rsid w:val="00E93E9F"/>
    <w:rsid w:val="00E94859"/>
    <w:rsid w:val="00E96813"/>
    <w:rsid w:val="00E97D1D"/>
    <w:rsid w:val="00EA17DE"/>
    <w:rsid w:val="00EA268E"/>
    <w:rsid w:val="00EC19BC"/>
    <w:rsid w:val="00EC52B0"/>
    <w:rsid w:val="00EC6B4C"/>
    <w:rsid w:val="00EC6CDA"/>
    <w:rsid w:val="00ED5336"/>
    <w:rsid w:val="00EE2923"/>
    <w:rsid w:val="00EE5622"/>
    <w:rsid w:val="00EE6FE7"/>
    <w:rsid w:val="00EF343A"/>
    <w:rsid w:val="00F02094"/>
    <w:rsid w:val="00F03872"/>
    <w:rsid w:val="00F06768"/>
    <w:rsid w:val="00F06944"/>
    <w:rsid w:val="00F06CCA"/>
    <w:rsid w:val="00F078BD"/>
    <w:rsid w:val="00F07972"/>
    <w:rsid w:val="00F101A9"/>
    <w:rsid w:val="00F10230"/>
    <w:rsid w:val="00F124DB"/>
    <w:rsid w:val="00F13BD0"/>
    <w:rsid w:val="00F23843"/>
    <w:rsid w:val="00F25D27"/>
    <w:rsid w:val="00F30D94"/>
    <w:rsid w:val="00F33B3E"/>
    <w:rsid w:val="00F344F9"/>
    <w:rsid w:val="00F37AC1"/>
    <w:rsid w:val="00F40F4F"/>
    <w:rsid w:val="00F4259C"/>
    <w:rsid w:val="00F42612"/>
    <w:rsid w:val="00F56AB0"/>
    <w:rsid w:val="00F60CB2"/>
    <w:rsid w:val="00F616E1"/>
    <w:rsid w:val="00F62AD6"/>
    <w:rsid w:val="00F62C7F"/>
    <w:rsid w:val="00F6340D"/>
    <w:rsid w:val="00F713E0"/>
    <w:rsid w:val="00F76DE5"/>
    <w:rsid w:val="00F77A2D"/>
    <w:rsid w:val="00F90637"/>
    <w:rsid w:val="00F90B8D"/>
    <w:rsid w:val="00F930FF"/>
    <w:rsid w:val="00FB0041"/>
    <w:rsid w:val="00FB09E4"/>
    <w:rsid w:val="00FB4755"/>
    <w:rsid w:val="00FB4ABB"/>
    <w:rsid w:val="00FB62CB"/>
    <w:rsid w:val="00FC0396"/>
    <w:rsid w:val="00FD3342"/>
    <w:rsid w:val="00FD6BFC"/>
    <w:rsid w:val="00FE2291"/>
    <w:rsid w:val="00FE4417"/>
    <w:rsid w:val="00FE62E4"/>
    <w:rsid w:val="00FF2980"/>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0F5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46A1"/>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6A1"/>
    <w:pPr>
      <w:tabs>
        <w:tab w:val="center" w:pos="4320"/>
        <w:tab w:val="right" w:pos="8640"/>
      </w:tabs>
    </w:pPr>
  </w:style>
  <w:style w:type="paragraph" w:styleId="Footer">
    <w:name w:val="footer"/>
    <w:basedOn w:val="Normal"/>
    <w:rsid w:val="007346A1"/>
    <w:pPr>
      <w:tabs>
        <w:tab w:val="center" w:pos="4320"/>
        <w:tab w:val="right" w:pos="8640"/>
      </w:tabs>
    </w:pPr>
  </w:style>
  <w:style w:type="paragraph" w:customStyle="1" w:styleId="paragraph">
    <w:name w:val="paragraph"/>
    <w:basedOn w:val="Normal"/>
    <w:rsid w:val="002A2AD2"/>
    <w:pPr>
      <w:spacing w:before="100" w:beforeAutospacing="1" w:after="100" w:afterAutospacing="1"/>
    </w:pPr>
    <w:rPr>
      <w:i w:val="0"/>
      <w:szCs w:val="24"/>
    </w:rPr>
  </w:style>
  <w:style w:type="character" w:customStyle="1" w:styleId="normaltextrun">
    <w:name w:val="normaltextrun"/>
    <w:basedOn w:val="DefaultParagraphFont"/>
    <w:rsid w:val="002A2AD2"/>
  </w:style>
  <w:style w:type="character" w:customStyle="1" w:styleId="eop">
    <w:name w:val="eop"/>
    <w:basedOn w:val="DefaultParagraphFont"/>
    <w:rsid w:val="002A2AD2"/>
  </w:style>
  <w:style w:type="character" w:customStyle="1" w:styleId="spellingerror">
    <w:name w:val="spellingerror"/>
    <w:basedOn w:val="DefaultParagraphFont"/>
    <w:rsid w:val="002A2AD2"/>
  </w:style>
  <w:style w:type="character" w:customStyle="1" w:styleId="tabchar">
    <w:name w:val="tabchar"/>
    <w:basedOn w:val="DefaultParagraphFont"/>
    <w:rsid w:val="002A2AD2"/>
  </w:style>
  <w:style w:type="character" w:customStyle="1" w:styleId="contextualspellingandgrammarerror">
    <w:name w:val="contextualspellingandgrammarerror"/>
    <w:basedOn w:val="DefaultParagraphFont"/>
    <w:rsid w:val="002A2AD2"/>
  </w:style>
  <w:style w:type="character" w:styleId="Hyperlink">
    <w:name w:val="Hyperlink"/>
    <w:basedOn w:val="DefaultParagraphFont"/>
    <w:uiPriority w:val="99"/>
    <w:unhideWhenUsed/>
    <w:rsid w:val="00E866D0"/>
    <w:rPr>
      <w:color w:val="0000FF" w:themeColor="hyperlink"/>
      <w:u w:val="single"/>
    </w:rPr>
  </w:style>
  <w:style w:type="character" w:styleId="UnresolvedMention">
    <w:name w:val="Unresolved Mention"/>
    <w:basedOn w:val="DefaultParagraphFont"/>
    <w:uiPriority w:val="99"/>
    <w:rsid w:val="00E866D0"/>
    <w:rPr>
      <w:color w:val="605E5C"/>
      <w:shd w:val="clear" w:color="auto" w:fill="E1DFDD"/>
    </w:rPr>
  </w:style>
  <w:style w:type="paragraph" w:styleId="Revision">
    <w:name w:val="Revision"/>
    <w:hidden/>
    <w:uiPriority w:val="99"/>
    <w:semiHidden/>
    <w:rsid w:val="00261E40"/>
    <w:rPr>
      <w:i/>
      <w:sz w:val="24"/>
    </w:rPr>
  </w:style>
  <w:style w:type="character" w:styleId="CommentReference">
    <w:name w:val="annotation reference"/>
    <w:basedOn w:val="DefaultParagraphFont"/>
    <w:uiPriority w:val="99"/>
    <w:semiHidden/>
    <w:unhideWhenUsed/>
    <w:rsid w:val="002F3649"/>
    <w:rPr>
      <w:sz w:val="16"/>
      <w:szCs w:val="16"/>
    </w:rPr>
  </w:style>
  <w:style w:type="paragraph" w:styleId="CommentText">
    <w:name w:val="annotation text"/>
    <w:basedOn w:val="Normal"/>
    <w:link w:val="CommentTextChar"/>
    <w:uiPriority w:val="99"/>
    <w:unhideWhenUsed/>
    <w:rsid w:val="002F3649"/>
    <w:rPr>
      <w:sz w:val="20"/>
    </w:rPr>
  </w:style>
  <w:style w:type="character" w:customStyle="1" w:styleId="CommentTextChar">
    <w:name w:val="Comment Text Char"/>
    <w:basedOn w:val="DefaultParagraphFont"/>
    <w:link w:val="CommentText"/>
    <w:uiPriority w:val="99"/>
    <w:rsid w:val="002F3649"/>
    <w:rPr>
      <w:i/>
    </w:rPr>
  </w:style>
  <w:style w:type="paragraph" w:styleId="CommentSubject">
    <w:name w:val="annotation subject"/>
    <w:basedOn w:val="CommentText"/>
    <w:next w:val="CommentText"/>
    <w:link w:val="CommentSubjectChar"/>
    <w:uiPriority w:val="99"/>
    <w:semiHidden/>
    <w:unhideWhenUsed/>
    <w:rsid w:val="002F3649"/>
    <w:rPr>
      <w:b/>
      <w:bCs/>
    </w:rPr>
  </w:style>
  <w:style w:type="character" w:customStyle="1" w:styleId="CommentSubjectChar">
    <w:name w:val="Comment Subject Char"/>
    <w:basedOn w:val="CommentTextChar"/>
    <w:link w:val="CommentSubject"/>
    <w:uiPriority w:val="99"/>
    <w:semiHidden/>
    <w:rsid w:val="002F3649"/>
    <w:rPr>
      <w:b/>
      <w:bCs/>
      <w:i/>
    </w:rPr>
  </w:style>
  <w:style w:type="paragraph" w:styleId="ListParagraph">
    <w:name w:val="List Paragraph"/>
    <w:basedOn w:val="Normal"/>
    <w:uiPriority w:val="34"/>
    <w:qFormat/>
    <w:rsid w:val="00536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04128">
      <w:bodyDiv w:val="1"/>
      <w:marLeft w:val="0"/>
      <w:marRight w:val="0"/>
      <w:marTop w:val="0"/>
      <w:marBottom w:val="0"/>
      <w:divBdr>
        <w:top w:val="none" w:sz="0" w:space="0" w:color="auto"/>
        <w:left w:val="none" w:sz="0" w:space="0" w:color="auto"/>
        <w:bottom w:val="none" w:sz="0" w:space="0" w:color="auto"/>
        <w:right w:val="none" w:sz="0" w:space="0" w:color="auto"/>
      </w:divBdr>
      <w:divsChild>
        <w:div w:id="1443455300">
          <w:marLeft w:val="0"/>
          <w:marRight w:val="0"/>
          <w:marTop w:val="0"/>
          <w:marBottom w:val="0"/>
          <w:divBdr>
            <w:top w:val="none" w:sz="0" w:space="0" w:color="auto"/>
            <w:left w:val="none" w:sz="0" w:space="0" w:color="auto"/>
            <w:bottom w:val="none" w:sz="0" w:space="0" w:color="auto"/>
            <w:right w:val="none" w:sz="0" w:space="0" w:color="auto"/>
          </w:divBdr>
        </w:div>
        <w:div w:id="215165577">
          <w:marLeft w:val="0"/>
          <w:marRight w:val="0"/>
          <w:marTop w:val="0"/>
          <w:marBottom w:val="0"/>
          <w:divBdr>
            <w:top w:val="none" w:sz="0" w:space="0" w:color="auto"/>
            <w:left w:val="none" w:sz="0" w:space="0" w:color="auto"/>
            <w:bottom w:val="none" w:sz="0" w:space="0" w:color="auto"/>
            <w:right w:val="none" w:sz="0" w:space="0" w:color="auto"/>
          </w:divBdr>
        </w:div>
        <w:div w:id="1330131962">
          <w:marLeft w:val="0"/>
          <w:marRight w:val="0"/>
          <w:marTop w:val="0"/>
          <w:marBottom w:val="0"/>
          <w:divBdr>
            <w:top w:val="none" w:sz="0" w:space="0" w:color="auto"/>
            <w:left w:val="none" w:sz="0" w:space="0" w:color="auto"/>
            <w:bottom w:val="none" w:sz="0" w:space="0" w:color="auto"/>
            <w:right w:val="none" w:sz="0" w:space="0" w:color="auto"/>
          </w:divBdr>
        </w:div>
        <w:div w:id="96566890">
          <w:marLeft w:val="0"/>
          <w:marRight w:val="0"/>
          <w:marTop w:val="0"/>
          <w:marBottom w:val="0"/>
          <w:divBdr>
            <w:top w:val="none" w:sz="0" w:space="0" w:color="auto"/>
            <w:left w:val="none" w:sz="0" w:space="0" w:color="auto"/>
            <w:bottom w:val="none" w:sz="0" w:space="0" w:color="auto"/>
            <w:right w:val="none" w:sz="0" w:space="0" w:color="auto"/>
          </w:divBdr>
        </w:div>
        <w:div w:id="1560089445">
          <w:marLeft w:val="0"/>
          <w:marRight w:val="0"/>
          <w:marTop w:val="0"/>
          <w:marBottom w:val="0"/>
          <w:divBdr>
            <w:top w:val="none" w:sz="0" w:space="0" w:color="auto"/>
            <w:left w:val="none" w:sz="0" w:space="0" w:color="auto"/>
            <w:bottom w:val="none" w:sz="0" w:space="0" w:color="auto"/>
            <w:right w:val="none" w:sz="0" w:space="0" w:color="auto"/>
          </w:divBdr>
        </w:div>
        <w:div w:id="188177498">
          <w:marLeft w:val="0"/>
          <w:marRight w:val="0"/>
          <w:marTop w:val="0"/>
          <w:marBottom w:val="0"/>
          <w:divBdr>
            <w:top w:val="none" w:sz="0" w:space="0" w:color="auto"/>
            <w:left w:val="none" w:sz="0" w:space="0" w:color="auto"/>
            <w:bottom w:val="none" w:sz="0" w:space="0" w:color="auto"/>
            <w:right w:val="none" w:sz="0" w:space="0" w:color="auto"/>
          </w:divBdr>
        </w:div>
        <w:div w:id="334962677">
          <w:marLeft w:val="0"/>
          <w:marRight w:val="0"/>
          <w:marTop w:val="0"/>
          <w:marBottom w:val="0"/>
          <w:divBdr>
            <w:top w:val="none" w:sz="0" w:space="0" w:color="auto"/>
            <w:left w:val="none" w:sz="0" w:space="0" w:color="auto"/>
            <w:bottom w:val="none" w:sz="0" w:space="0" w:color="auto"/>
            <w:right w:val="none" w:sz="0" w:space="0" w:color="auto"/>
          </w:divBdr>
        </w:div>
        <w:div w:id="17120373">
          <w:marLeft w:val="0"/>
          <w:marRight w:val="0"/>
          <w:marTop w:val="0"/>
          <w:marBottom w:val="0"/>
          <w:divBdr>
            <w:top w:val="none" w:sz="0" w:space="0" w:color="auto"/>
            <w:left w:val="none" w:sz="0" w:space="0" w:color="auto"/>
            <w:bottom w:val="none" w:sz="0" w:space="0" w:color="auto"/>
            <w:right w:val="none" w:sz="0" w:space="0" w:color="auto"/>
          </w:divBdr>
        </w:div>
        <w:div w:id="1975331274">
          <w:marLeft w:val="0"/>
          <w:marRight w:val="0"/>
          <w:marTop w:val="0"/>
          <w:marBottom w:val="0"/>
          <w:divBdr>
            <w:top w:val="none" w:sz="0" w:space="0" w:color="auto"/>
            <w:left w:val="none" w:sz="0" w:space="0" w:color="auto"/>
            <w:bottom w:val="none" w:sz="0" w:space="0" w:color="auto"/>
            <w:right w:val="none" w:sz="0" w:space="0" w:color="auto"/>
          </w:divBdr>
        </w:div>
        <w:div w:id="1617715800">
          <w:marLeft w:val="0"/>
          <w:marRight w:val="0"/>
          <w:marTop w:val="0"/>
          <w:marBottom w:val="0"/>
          <w:divBdr>
            <w:top w:val="none" w:sz="0" w:space="0" w:color="auto"/>
            <w:left w:val="none" w:sz="0" w:space="0" w:color="auto"/>
            <w:bottom w:val="none" w:sz="0" w:space="0" w:color="auto"/>
            <w:right w:val="none" w:sz="0" w:space="0" w:color="auto"/>
          </w:divBdr>
          <w:divsChild>
            <w:div w:id="2040466501">
              <w:marLeft w:val="0"/>
              <w:marRight w:val="0"/>
              <w:marTop w:val="0"/>
              <w:marBottom w:val="0"/>
              <w:divBdr>
                <w:top w:val="none" w:sz="0" w:space="0" w:color="auto"/>
                <w:left w:val="none" w:sz="0" w:space="0" w:color="auto"/>
                <w:bottom w:val="none" w:sz="0" w:space="0" w:color="auto"/>
                <w:right w:val="none" w:sz="0" w:space="0" w:color="auto"/>
              </w:divBdr>
            </w:div>
            <w:div w:id="1321618180">
              <w:marLeft w:val="0"/>
              <w:marRight w:val="0"/>
              <w:marTop w:val="0"/>
              <w:marBottom w:val="0"/>
              <w:divBdr>
                <w:top w:val="none" w:sz="0" w:space="0" w:color="auto"/>
                <w:left w:val="none" w:sz="0" w:space="0" w:color="auto"/>
                <w:bottom w:val="none" w:sz="0" w:space="0" w:color="auto"/>
                <w:right w:val="none" w:sz="0" w:space="0" w:color="auto"/>
              </w:divBdr>
            </w:div>
            <w:div w:id="1824850054">
              <w:marLeft w:val="0"/>
              <w:marRight w:val="0"/>
              <w:marTop w:val="0"/>
              <w:marBottom w:val="0"/>
              <w:divBdr>
                <w:top w:val="none" w:sz="0" w:space="0" w:color="auto"/>
                <w:left w:val="none" w:sz="0" w:space="0" w:color="auto"/>
                <w:bottom w:val="none" w:sz="0" w:space="0" w:color="auto"/>
                <w:right w:val="none" w:sz="0" w:space="0" w:color="auto"/>
              </w:divBdr>
            </w:div>
            <w:div w:id="551962615">
              <w:marLeft w:val="0"/>
              <w:marRight w:val="0"/>
              <w:marTop w:val="0"/>
              <w:marBottom w:val="0"/>
              <w:divBdr>
                <w:top w:val="none" w:sz="0" w:space="0" w:color="auto"/>
                <w:left w:val="none" w:sz="0" w:space="0" w:color="auto"/>
                <w:bottom w:val="none" w:sz="0" w:space="0" w:color="auto"/>
                <w:right w:val="none" w:sz="0" w:space="0" w:color="auto"/>
              </w:divBdr>
            </w:div>
          </w:divsChild>
        </w:div>
        <w:div w:id="1783719547">
          <w:marLeft w:val="0"/>
          <w:marRight w:val="0"/>
          <w:marTop w:val="0"/>
          <w:marBottom w:val="0"/>
          <w:divBdr>
            <w:top w:val="none" w:sz="0" w:space="0" w:color="auto"/>
            <w:left w:val="none" w:sz="0" w:space="0" w:color="auto"/>
            <w:bottom w:val="none" w:sz="0" w:space="0" w:color="auto"/>
            <w:right w:val="none" w:sz="0" w:space="0" w:color="auto"/>
          </w:divBdr>
        </w:div>
        <w:div w:id="368187229">
          <w:marLeft w:val="0"/>
          <w:marRight w:val="0"/>
          <w:marTop w:val="0"/>
          <w:marBottom w:val="0"/>
          <w:divBdr>
            <w:top w:val="none" w:sz="0" w:space="0" w:color="auto"/>
            <w:left w:val="none" w:sz="0" w:space="0" w:color="auto"/>
            <w:bottom w:val="none" w:sz="0" w:space="0" w:color="auto"/>
            <w:right w:val="none" w:sz="0" w:space="0" w:color="auto"/>
          </w:divBdr>
        </w:div>
        <w:div w:id="1268345937">
          <w:marLeft w:val="0"/>
          <w:marRight w:val="0"/>
          <w:marTop w:val="0"/>
          <w:marBottom w:val="0"/>
          <w:divBdr>
            <w:top w:val="none" w:sz="0" w:space="0" w:color="auto"/>
            <w:left w:val="none" w:sz="0" w:space="0" w:color="auto"/>
            <w:bottom w:val="none" w:sz="0" w:space="0" w:color="auto"/>
            <w:right w:val="none" w:sz="0" w:space="0" w:color="auto"/>
          </w:divBdr>
        </w:div>
        <w:div w:id="211696500">
          <w:marLeft w:val="0"/>
          <w:marRight w:val="0"/>
          <w:marTop w:val="0"/>
          <w:marBottom w:val="0"/>
          <w:divBdr>
            <w:top w:val="none" w:sz="0" w:space="0" w:color="auto"/>
            <w:left w:val="none" w:sz="0" w:space="0" w:color="auto"/>
            <w:bottom w:val="none" w:sz="0" w:space="0" w:color="auto"/>
            <w:right w:val="none" w:sz="0" w:space="0" w:color="auto"/>
          </w:divBdr>
        </w:div>
        <w:div w:id="1690250640">
          <w:marLeft w:val="0"/>
          <w:marRight w:val="0"/>
          <w:marTop w:val="0"/>
          <w:marBottom w:val="0"/>
          <w:divBdr>
            <w:top w:val="none" w:sz="0" w:space="0" w:color="auto"/>
            <w:left w:val="none" w:sz="0" w:space="0" w:color="auto"/>
            <w:bottom w:val="none" w:sz="0" w:space="0" w:color="auto"/>
            <w:right w:val="none" w:sz="0" w:space="0" w:color="auto"/>
          </w:divBdr>
        </w:div>
        <w:div w:id="33889100">
          <w:marLeft w:val="0"/>
          <w:marRight w:val="0"/>
          <w:marTop w:val="0"/>
          <w:marBottom w:val="0"/>
          <w:divBdr>
            <w:top w:val="none" w:sz="0" w:space="0" w:color="auto"/>
            <w:left w:val="none" w:sz="0" w:space="0" w:color="auto"/>
            <w:bottom w:val="none" w:sz="0" w:space="0" w:color="auto"/>
            <w:right w:val="none" w:sz="0" w:space="0" w:color="auto"/>
          </w:divBdr>
        </w:div>
        <w:div w:id="1280338730">
          <w:marLeft w:val="0"/>
          <w:marRight w:val="0"/>
          <w:marTop w:val="0"/>
          <w:marBottom w:val="0"/>
          <w:divBdr>
            <w:top w:val="none" w:sz="0" w:space="0" w:color="auto"/>
            <w:left w:val="none" w:sz="0" w:space="0" w:color="auto"/>
            <w:bottom w:val="none" w:sz="0" w:space="0" w:color="auto"/>
            <w:right w:val="none" w:sz="0" w:space="0" w:color="auto"/>
          </w:divBdr>
        </w:div>
        <w:div w:id="1207375493">
          <w:marLeft w:val="0"/>
          <w:marRight w:val="0"/>
          <w:marTop w:val="0"/>
          <w:marBottom w:val="0"/>
          <w:divBdr>
            <w:top w:val="none" w:sz="0" w:space="0" w:color="auto"/>
            <w:left w:val="none" w:sz="0" w:space="0" w:color="auto"/>
            <w:bottom w:val="none" w:sz="0" w:space="0" w:color="auto"/>
            <w:right w:val="none" w:sz="0" w:space="0" w:color="auto"/>
          </w:divBdr>
        </w:div>
        <w:div w:id="235282535">
          <w:marLeft w:val="0"/>
          <w:marRight w:val="0"/>
          <w:marTop w:val="0"/>
          <w:marBottom w:val="0"/>
          <w:divBdr>
            <w:top w:val="none" w:sz="0" w:space="0" w:color="auto"/>
            <w:left w:val="none" w:sz="0" w:space="0" w:color="auto"/>
            <w:bottom w:val="none" w:sz="0" w:space="0" w:color="auto"/>
            <w:right w:val="none" w:sz="0" w:space="0" w:color="auto"/>
          </w:divBdr>
        </w:div>
        <w:div w:id="377358642">
          <w:marLeft w:val="0"/>
          <w:marRight w:val="0"/>
          <w:marTop w:val="0"/>
          <w:marBottom w:val="0"/>
          <w:divBdr>
            <w:top w:val="none" w:sz="0" w:space="0" w:color="auto"/>
            <w:left w:val="none" w:sz="0" w:space="0" w:color="auto"/>
            <w:bottom w:val="none" w:sz="0" w:space="0" w:color="auto"/>
            <w:right w:val="none" w:sz="0" w:space="0" w:color="auto"/>
          </w:divBdr>
        </w:div>
        <w:div w:id="1472093636">
          <w:marLeft w:val="0"/>
          <w:marRight w:val="0"/>
          <w:marTop w:val="0"/>
          <w:marBottom w:val="0"/>
          <w:divBdr>
            <w:top w:val="none" w:sz="0" w:space="0" w:color="auto"/>
            <w:left w:val="none" w:sz="0" w:space="0" w:color="auto"/>
            <w:bottom w:val="none" w:sz="0" w:space="0" w:color="auto"/>
            <w:right w:val="none" w:sz="0" w:space="0" w:color="auto"/>
          </w:divBdr>
        </w:div>
        <w:div w:id="1360858461">
          <w:marLeft w:val="0"/>
          <w:marRight w:val="0"/>
          <w:marTop w:val="0"/>
          <w:marBottom w:val="0"/>
          <w:divBdr>
            <w:top w:val="none" w:sz="0" w:space="0" w:color="auto"/>
            <w:left w:val="none" w:sz="0" w:space="0" w:color="auto"/>
            <w:bottom w:val="none" w:sz="0" w:space="0" w:color="auto"/>
            <w:right w:val="none" w:sz="0" w:space="0" w:color="auto"/>
          </w:divBdr>
        </w:div>
        <w:div w:id="746734904">
          <w:marLeft w:val="0"/>
          <w:marRight w:val="0"/>
          <w:marTop w:val="0"/>
          <w:marBottom w:val="0"/>
          <w:divBdr>
            <w:top w:val="none" w:sz="0" w:space="0" w:color="auto"/>
            <w:left w:val="none" w:sz="0" w:space="0" w:color="auto"/>
            <w:bottom w:val="none" w:sz="0" w:space="0" w:color="auto"/>
            <w:right w:val="none" w:sz="0" w:space="0" w:color="auto"/>
          </w:divBdr>
        </w:div>
        <w:div w:id="493839841">
          <w:marLeft w:val="0"/>
          <w:marRight w:val="0"/>
          <w:marTop w:val="0"/>
          <w:marBottom w:val="0"/>
          <w:divBdr>
            <w:top w:val="none" w:sz="0" w:space="0" w:color="auto"/>
            <w:left w:val="none" w:sz="0" w:space="0" w:color="auto"/>
            <w:bottom w:val="none" w:sz="0" w:space="0" w:color="auto"/>
            <w:right w:val="none" w:sz="0" w:space="0" w:color="auto"/>
          </w:divBdr>
        </w:div>
        <w:div w:id="30157020">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1017654662">
          <w:marLeft w:val="0"/>
          <w:marRight w:val="0"/>
          <w:marTop w:val="0"/>
          <w:marBottom w:val="0"/>
          <w:divBdr>
            <w:top w:val="none" w:sz="0" w:space="0" w:color="auto"/>
            <w:left w:val="none" w:sz="0" w:space="0" w:color="auto"/>
            <w:bottom w:val="none" w:sz="0" w:space="0" w:color="auto"/>
            <w:right w:val="none" w:sz="0" w:space="0" w:color="auto"/>
          </w:divBdr>
        </w:div>
        <w:div w:id="115999191">
          <w:marLeft w:val="0"/>
          <w:marRight w:val="0"/>
          <w:marTop w:val="0"/>
          <w:marBottom w:val="0"/>
          <w:divBdr>
            <w:top w:val="none" w:sz="0" w:space="0" w:color="auto"/>
            <w:left w:val="none" w:sz="0" w:space="0" w:color="auto"/>
            <w:bottom w:val="none" w:sz="0" w:space="0" w:color="auto"/>
            <w:right w:val="none" w:sz="0" w:space="0" w:color="auto"/>
          </w:divBdr>
        </w:div>
        <w:div w:id="670107621">
          <w:marLeft w:val="0"/>
          <w:marRight w:val="0"/>
          <w:marTop w:val="0"/>
          <w:marBottom w:val="0"/>
          <w:divBdr>
            <w:top w:val="none" w:sz="0" w:space="0" w:color="auto"/>
            <w:left w:val="none" w:sz="0" w:space="0" w:color="auto"/>
            <w:bottom w:val="none" w:sz="0" w:space="0" w:color="auto"/>
            <w:right w:val="none" w:sz="0" w:space="0" w:color="auto"/>
          </w:divBdr>
        </w:div>
        <w:div w:id="1918897238">
          <w:marLeft w:val="0"/>
          <w:marRight w:val="0"/>
          <w:marTop w:val="0"/>
          <w:marBottom w:val="0"/>
          <w:divBdr>
            <w:top w:val="none" w:sz="0" w:space="0" w:color="auto"/>
            <w:left w:val="none" w:sz="0" w:space="0" w:color="auto"/>
            <w:bottom w:val="none" w:sz="0" w:space="0" w:color="auto"/>
            <w:right w:val="none" w:sz="0" w:space="0" w:color="auto"/>
          </w:divBdr>
        </w:div>
        <w:div w:id="1556551590">
          <w:marLeft w:val="0"/>
          <w:marRight w:val="0"/>
          <w:marTop w:val="0"/>
          <w:marBottom w:val="0"/>
          <w:divBdr>
            <w:top w:val="none" w:sz="0" w:space="0" w:color="auto"/>
            <w:left w:val="none" w:sz="0" w:space="0" w:color="auto"/>
            <w:bottom w:val="none" w:sz="0" w:space="0" w:color="auto"/>
            <w:right w:val="none" w:sz="0" w:space="0" w:color="auto"/>
          </w:divBdr>
        </w:div>
        <w:div w:id="1498113557">
          <w:marLeft w:val="0"/>
          <w:marRight w:val="0"/>
          <w:marTop w:val="0"/>
          <w:marBottom w:val="0"/>
          <w:divBdr>
            <w:top w:val="none" w:sz="0" w:space="0" w:color="auto"/>
            <w:left w:val="none" w:sz="0" w:space="0" w:color="auto"/>
            <w:bottom w:val="none" w:sz="0" w:space="0" w:color="auto"/>
            <w:right w:val="none" w:sz="0" w:space="0" w:color="auto"/>
          </w:divBdr>
        </w:div>
        <w:div w:id="1229614600">
          <w:marLeft w:val="0"/>
          <w:marRight w:val="0"/>
          <w:marTop w:val="0"/>
          <w:marBottom w:val="0"/>
          <w:divBdr>
            <w:top w:val="none" w:sz="0" w:space="0" w:color="auto"/>
            <w:left w:val="none" w:sz="0" w:space="0" w:color="auto"/>
            <w:bottom w:val="none" w:sz="0" w:space="0" w:color="auto"/>
            <w:right w:val="none" w:sz="0" w:space="0" w:color="auto"/>
          </w:divBdr>
        </w:div>
        <w:div w:id="1466695698">
          <w:marLeft w:val="0"/>
          <w:marRight w:val="0"/>
          <w:marTop w:val="0"/>
          <w:marBottom w:val="0"/>
          <w:divBdr>
            <w:top w:val="none" w:sz="0" w:space="0" w:color="auto"/>
            <w:left w:val="none" w:sz="0" w:space="0" w:color="auto"/>
            <w:bottom w:val="none" w:sz="0" w:space="0" w:color="auto"/>
            <w:right w:val="none" w:sz="0" w:space="0" w:color="auto"/>
          </w:divBdr>
        </w:div>
        <w:div w:id="673265536">
          <w:marLeft w:val="0"/>
          <w:marRight w:val="0"/>
          <w:marTop w:val="0"/>
          <w:marBottom w:val="0"/>
          <w:divBdr>
            <w:top w:val="none" w:sz="0" w:space="0" w:color="auto"/>
            <w:left w:val="none" w:sz="0" w:space="0" w:color="auto"/>
            <w:bottom w:val="none" w:sz="0" w:space="0" w:color="auto"/>
            <w:right w:val="none" w:sz="0" w:space="0" w:color="auto"/>
          </w:divBdr>
        </w:div>
        <w:div w:id="977954392">
          <w:marLeft w:val="0"/>
          <w:marRight w:val="0"/>
          <w:marTop w:val="0"/>
          <w:marBottom w:val="0"/>
          <w:divBdr>
            <w:top w:val="none" w:sz="0" w:space="0" w:color="auto"/>
            <w:left w:val="none" w:sz="0" w:space="0" w:color="auto"/>
            <w:bottom w:val="none" w:sz="0" w:space="0" w:color="auto"/>
            <w:right w:val="none" w:sz="0" w:space="0" w:color="auto"/>
          </w:divBdr>
        </w:div>
        <w:div w:id="1898473753">
          <w:marLeft w:val="0"/>
          <w:marRight w:val="0"/>
          <w:marTop w:val="0"/>
          <w:marBottom w:val="0"/>
          <w:divBdr>
            <w:top w:val="none" w:sz="0" w:space="0" w:color="auto"/>
            <w:left w:val="none" w:sz="0" w:space="0" w:color="auto"/>
            <w:bottom w:val="none" w:sz="0" w:space="0" w:color="auto"/>
            <w:right w:val="none" w:sz="0" w:space="0" w:color="auto"/>
          </w:divBdr>
        </w:div>
        <w:div w:id="5132328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gov/uitrustfun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5" ma:contentTypeDescription="Create a new document." ma:contentTypeScope="" ma:versionID="ca8a26588dcadf2c953cf85e51b1ac25">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ad04cf7b3e78ed2550ed4f4ed049a6e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DateTake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Props1.xml><?xml version="1.0" encoding="utf-8"?>
<ds:datastoreItem xmlns:ds="http://schemas.openxmlformats.org/officeDocument/2006/customXml" ds:itemID="{DA7B54DB-4846-41D7-8B4D-2B1A8309196F}">
  <ds:schemaRefs>
    <ds:schemaRef ds:uri="http://schemas.openxmlformats.org/officeDocument/2006/bibliography"/>
  </ds:schemaRefs>
</ds:datastoreItem>
</file>

<file path=customXml/itemProps2.xml><?xml version="1.0" encoding="utf-8"?>
<ds:datastoreItem xmlns:ds="http://schemas.openxmlformats.org/officeDocument/2006/customXml" ds:itemID="{8BDF5861-71A7-42B6-A657-3080F80DE687}">
  <ds:schemaRefs>
    <ds:schemaRef ds:uri="http://schemas.microsoft.com/sharepoint/v3/contenttype/forms"/>
  </ds:schemaRefs>
</ds:datastoreItem>
</file>

<file path=customXml/itemProps3.xml><?xml version="1.0" encoding="utf-8"?>
<ds:datastoreItem xmlns:ds="http://schemas.openxmlformats.org/officeDocument/2006/customXml" ds:itemID="{B2DBA3EC-E5F5-4332-8EC2-EC3612D6F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5CF1D-DA39-4F65-BCA1-11D10244301E}">
  <ds:schemaRefs>
    <ds:schemaRef ds:uri="http://schemas.microsoft.com/office/2006/metadata/properties"/>
    <ds:schemaRef ds:uri="http://schemas.microsoft.com/office/infopath/2007/PartnerControls"/>
    <ds:schemaRef ds:uri="6d1ab2f6-91f9-4f14-952a-3f3eb0d683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Massachusetts Division of Employment and Training</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Pinkham</dc:creator>
  <cp:keywords/>
  <cp:lastModifiedBy>Bahrehmand, Sara D (DUA)</cp:lastModifiedBy>
  <cp:revision>5</cp:revision>
  <dcterms:created xsi:type="dcterms:W3CDTF">2025-05-14T19:06:00Z</dcterms:created>
  <dcterms:modified xsi:type="dcterms:W3CDTF">2025-05-14T19:08:00Z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Order">
    <vt:r8>8085500</vt:r8>
  </property>
</Properties>
</file>