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9382" w14:textId="08245E36" w:rsidR="00283A75" w:rsidRPr="00CB54EA" w:rsidRDefault="00283A75" w:rsidP="0049224D">
      <w:pPr>
        <w:pStyle w:val="Heading1"/>
        <w:rPr>
          <w:rFonts w:asciiTheme="minorHAnsi" w:hAnsiTheme="minorHAnsi" w:cstheme="minorHAnsi"/>
          <w:sz w:val="22"/>
          <w:szCs w:val="22"/>
        </w:rPr>
      </w:pPr>
      <w:r w:rsidRPr="00CB54EA">
        <w:rPr>
          <w:rFonts w:asciiTheme="minorHAnsi" w:hAnsiTheme="minorHAnsi" w:cs="Calibri"/>
          <w:sz w:val="22"/>
          <w:szCs w:val="22"/>
        </w:rPr>
        <w:t xml:space="preserve">MassHealth, in conjunction with the Centers for Medicare </w:t>
      </w:r>
      <w:r w:rsidR="00233FE6" w:rsidRPr="00CB54EA">
        <w:rPr>
          <w:rFonts w:asciiTheme="minorHAnsi" w:hAnsiTheme="minorHAnsi" w:cs="Calibri"/>
          <w:sz w:val="22"/>
          <w:szCs w:val="22"/>
        </w:rPr>
        <w:t>&amp;</w:t>
      </w:r>
      <w:r w:rsidRPr="00CB54EA">
        <w:rPr>
          <w:rFonts w:asciiTheme="minorHAnsi" w:hAnsiTheme="minorHAnsi" w:cs="Calibri"/>
          <w:sz w:val="22"/>
          <w:szCs w:val="22"/>
        </w:rPr>
        <w:t xml:space="preserve"> Medicaid Services (CMS), is releasing </w:t>
      </w:r>
      <w:r w:rsidR="00A63C95" w:rsidRPr="00CB54EA">
        <w:rPr>
          <w:rFonts w:asciiTheme="minorHAnsi" w:hAnsiTheme="minorHAnsi" w:cs="Calibri"/>
          <w:sz w:val="22"/>
          <w:szCs w:val="22"/>
        </w:rPr>
        <w:t>the</w:t>
      </w:r>
      <w:r w:rsidR="00F14C12" w:rsidRPr="00CB54EA">
        <w:rPr>
          <w:rFonts w:asciiTheme="minorHAnsi" w:hAnsiTheme="minorHAnsi" w:cs="Calibri"/>
          <w:sz w:val="22"/>
          <w:szCs w:val="22"/>
        </w:rPr>
        <w:t xml:space="preserve"> </w:t>
      </w:r>
      <w:r w:rsidR="00351B9F" w:rsidRPr="00CB54EA">
        <w:rPr>
          <w:rFonts w:asciiTheme="minorHAnsi" w:hAnsiTheme="minorHAnsi" w:cs="Calibri"/>
          <w:sz w:val="22"/>
          <w:szCs w:val="22"/>
        </w:rPr>
        <w:t>final Medicaid and</w:t>
      </w:r>
      <w:r w:rsidR="0019706C" w:rsidRPr="00CB54EA">
        <w:rPr>
          <w:rFonts w:asciiTheme="minorHAnsi" w:hAnsiTheme="minorHAnsi" w:cs="Calibri"/>
          <w:sz w:val="22"/>
          <w:szCs w:val="22"/>
        </w:rPr>
        <w:t xml:space="preserve"> </w:t>
      </w:r>
      <w:r w:rsidR="00A63C95" w:rsidRPr="00CB54EA">
        <w:rPr>
          <w:rFonts w:asciiTheme="minorHAnsi" w:hAnsiTheme="minorHAnsi" w:cs="Calibri"/>
          <w:sz w:val="22"/>
          <w:szCs w:val="22"/>
        </w:rPr>
        <w:t>Medicare component</w:t>
      </w:r>
      <w:r w:rsidR="00D5634D">
        <w:rPr>
          <w:rFonts w:asciiTheme="minorHAnsi" w:hAnsiTheme="minorHAnsi" w:cs="Calibri"/>
          <w:sz w:val="22"/>
          <w:szCs w:val="22"/>
        </w:rPr>
        <w:t>s</w:t>
      </w:r>
      <w:r w:rsidR="00A63C95" w:rsidRPr="00CB54EA">
        <w:rPr>
          <w:rFonts w:asciiTheme="minorHAnsi" w:hAnsiTheme="minorHAnsi" w:cs="Calibri"/>
          <w:sz w:val="22"/>
          <w:szCs w:val="22"/>
        </w:rPr>
        <w:t xml:space="preserve"> of the </w:t>
      </w:r>
      <w:r w:rsidRPr="00CB54EA">
        <w:rPr>
          <w:rFonts w:asciiTheme="minorHAnsi" w:hAnsiTheme="minorHAnsi" w:cs="Calibri"/>
          <w:sz w:val="22"/>
          <w:szCs w:val="22"/>
        </w:rPr>
        <w:t xml:space="preserve">CY </w:t>
      </w:r>
      <w:r w:rsidR="00301E09" w:rsidRPr="00CB54EA">
        <w:rPr>
          <w:rFonts w:asciiTheme="minorHAnsi" w:hAnsiTheme="minorHAnsi" w:cs="Calibri"/>
          <w:sz w:val="22"/>
          <w:szCs w:val="22"/>
        </w:rPr>
        <w:t>201</w:t>
      </w:r>
      <w:r w:rsidR="0019706C" w:rsidRPr="00CB54EA">
        <w:rPr>
          <w:rFonts w:asciiTheme="minorHAnsi" w:hAnsiTheme="minorHAnsi" w:cs="Calibri"/>
          <w:sz w:val="22"/>
          <w:szCs w:val="22"/>
        </w:rPr>
        <w:t>8</w:t>
      </w:r>
      <w:r w:rsidR="00301E09" w:rsidRPr="00CB54EA">
        <w:rPr>
          <w:rFonts w:asciiTheme="minorHAnsi" w:hAnsiTheme="minorHAnsi" w:cs="Calibri"/>
          <w:sz w:val="22"/>
          <w:szCs w:val="22"/>
        </w:rPr>
        <w:t xml:space="preserve"> </w:t>
      </w:r>
      <w:r w:rsidRPr="00CB54EA">
        <w:rPr>
          <w:rFonts w:asciiTheme="minorHAnsi" w:hAnsiTheme="minorHAnsi" w:cs="Calibri"/>
          <w:sz w:val="22"/>
          <w:szCs w:val="22"/>
        </w:rPr>
        <w:t xml:space="preserve">rates for the Massachusetts Demonstration to Integrate Care for Dual Eligible Individuals (One Care). </w:t>
      </w:r>
      <w:r w:rsidR="00351B9F" w:rsidRPr="00CB54EA">
        <w:rPr>
          <w:rFonts w:asciiTheme="minorHAnsi" w:hAnsiTheme="minorHAnsi" w:cstheme="minorHAnsi"/>
          <w:sz w:val="22"/>
          <w:szCs w:val="22"/>
        </w:rPr>
        <w:t>Effective January 1, 2018, these rates replace the Demonstration rates included in the CY 2017 rate report.</w:t>
      </w:r>
    </w:p>
    <w:p w14:paraId="3C93BB8B" w14:textId="77777777" w:rsidR="00283A75" w:rsidRPr="00CB54EA" w:rsidRDefault="00283A75" w:rsidP="00140363">
      <w:pPr>
        <w:rPr>
          <w:rFonts w:asciiTheme="minorHAnsi" w:hAnsiTheme="minorHAnsi" w:cs="Calibri"/>
          <w:sz w:val="22"/>
          <w:szCs w:val="22"/>
        </w:rPr>
      </w:pPr>
    </w:p>
    <w:p w14:paraId="0A8E8AC2" w14:textId="39C037B8" w:rsidR="00283A75" w:rsidRPr="00CB54EA" w:rsidRDefault="00283A75" w:rsidP="00C01D88">
      <w:pPr>
        <w:tabs>
          <w:tab w:val="left" w:pos="4140"/>
        </w:tabs>
        <w:rPr>
          <w:rFonts w:asciiTheme="minorHAnsi" w:hAnsiTheme="minorHAnsi" w:cs="Calibri"/>
          <w:sz w:val="22"/>
          <w:szCs w:val="22"/>
        </w:rPr>
      </w:pPr>
      <w:r w:rsidRPr="00CB54EA">
        <w:rPr>
          <w:rFonts w:asciiTheme="minorHAnsi" w:hAnsiTheme="minorHAnsi" w:cs="Calibri"/>
          <w:sz w:val="22"/>
          <w:szCs w:val="22"/>
        </w:rPr>
        <w:t xml:space="preserve">The general principles of the rate development process for the Demonstration have been outlined in the three-way contract </w:t>
      </w:r>
      <w:r w:rsidR="00450449" w:rsidRPr="00CB54EA">
        <w:rPr>
          <w:rFonts w:asciiTheme="minorHAnsi" w:hAnsiTheme="minorHAnsi" w:cs="Calibri"/>
          <w:sz w:val="22"/>
          <w:szCs w:val="22"/>
        </w:rPr>
        <w:t xml:space="preserve">and contract amendments </w:t>
      </w:r>
      <w:r w:rsidRPr="00CB54EA">
        <w:rPr>
          <w:rFonts w:asciiTheme="minorHAnsi" w:hAnsiTheme="minorHAnsi" w:cs="Calibri"/>
          <w:sz w:val="22"/>
          <w:szCs w:val="22"/>
        </w:rPr>
        <w:t xml:space="preserve">between CMS, the Commonwealth of Massachusetts, and the One Care plans (Medicare-Medicaid </w:t>
      </w:r>
      <w:r w:rsidR="0063226D" w:rsidRPr="00CB54EA">
        <w:rPr>
          <w:rFonts w:asciiTheme="minorHAnsi" w:hAnsiTheme="minorHAnsi" w:cs="Calibri"/>
          <w:sz w:val="22"/>
          <w:szCs w:val="22"/>
        </w:rPr>
        <w:t>P</w:t>
      </w:r>
      <w:r w:rsidRPr="00CB54EA">
        <w:rPr>
          <w:rFonts w:asciiTheme="minorHAnsi" w:hAnsiTheme="minorHAnsi" w:cs="Calibri"/>
          <w:sz w:val="22"/>
          <w:szCs w:val="22"/>
        </w:rPr>
        <w:t>lans).</w:t>
      </w:r>
    </w:p>
    <w:p w14:paraId="196DDDFD" w14:textId="77777777" w:rsidR="00283A75" w:rsidRPr="00CB54EA" w:rsidRDefault="00283A75" w:rsidP="00C01D88">
      <w:pPr>
        <w:tabs>
          <w:tab w:val="left" w:pos="4140"/>
        </w:tabs>
        <w:rPr>
          <w:rFonts w:asciiTheme="minorHAnsi" w:hAnsiTheme="minorHAnsi" w:cs="Calibri"/>
          <w:sz w:val="22"/>
          <w:szCs w:val="22"/>
        </w:rPr>
      </w:pPr>
    </w:p>
    <w:p w14:paraId="32CE0472" w14:textId="0E5E339E" w:rsidR="00351B9F" w:rsidRPr="00CB54EA" w:rsidRDefault="00283A75" w:rsidP="00351B9F">
      <w:pPr>
        <w:tabs>
          <w:tab w:val="left" w:pos="4140"/>
        </w:tabs>
        <w:rPr>
          <w:rFonts w:asciiTheme="minorHAnsi" w:hAnsiTheme="minorHAnsi" w:cs="Calibri"/>
          <w:sz w:val="22"/>
          <w:szCs w:val="22"/>
        </w:rPr>
      </w:pPr>
      <w:r w:rsidRPr="00CB54EA">
        <w:rPr>
          <w:rFonts w:asciiTheme="minorHAnsi" w:hAnsiTheme="minorHAnsi" w:cs="Calibri"/>
          <w:sz w:val="22"/>
          <w:szCs w:val="22"/>
        </w:rPr>
        <w:t xml:space="preserve">Included in this report are </w:t>
      </w:r>
      <w:r w:rsidR="0019706C" w:rsidRPr="00CB54EA">
        <w:rPr>
          <w:rFonts w:asciiTheme="minorHAnsi" w:hAnsiTheme="minorHAnsi" w:cs="Calibri"/>
          <w:sz w:val="22"/>
          <w:szCs w:val="22"/>
        </w:rPr>
        <w:t xml:space="preserve">the </w:t>
      </w:r>
      <w:r w:rsidR="00351B9F" w:rsidRPr="00CB54EA">
        <w:rPr>
          <w:rFonts w:asciiTheme="minorHAnsi" w:hAnsiTheme="minorHAnsi" w:cs="Calibri"/>
          <w:sz w:val="22"/>
          <w:szCs w:val="22"/>
        </w:rPr>
        <w:t xml:space="preserve">final </w:t>
      </w:r>
      <w:r w:rsidR="004E06A0" w:rsidRPr="00CB54EA">
        <w:rPr>
          <w:rFonts w:asciiTheme="minorHAnsi" w:hAnsiTheme="minorHAnsi" w:cs="Calibri"/>
          <w:sz w:val="22"/>
          <w:szCs w:val="22"/>
        </w:rPr>
        <w:t xml:space="preserve">CY </w:t>
      </w:r>
      <w:r w:rsidR="00301E09" w:rsidRPr="00CB54EA">
        <w:rPr>
          <w:rFonts w:asciiTheme="minorHAnsi" w:hAnsiTheme="minorHAnsi" w:cs="Calibri"/>
          <w:sz w:val="22"/>
          <w:szCs w:val="22"/>
        </w:rPr>
        <w:t>201</w:t>
      </w:r>
      <w:r w:rsidR="0019706C" w:rsidRPr="00CB54EA">
        <w:rPr>
          <w:rFonts w:asciiTheme="minorHAnsi" w:hAnsiTheme="minorHAnsi" w:cs="Calibri"/>
          <w:sz w:val="22"/>
          <w:szCs w:val="22"/>
        </w:rPr>
        <w:t>8</w:t>
      </w:r>
      <w:r w:rsidR="00301E09" w:rsidRPr="00CB54EA">
        <w:rPr>
          <w:rFonts w:asciiTheme="minorHAnsi" w:hAnsiTheme="minorHAnsi" w:cs="Calibri"/>
          <w:sz w:val="22"/>
          <w:szCs w:val="22"/>
        </w:rPr>
        <w:t xml:space="preserve"> </w:t>
      </w:r>
      <w:r w:rsidR="00351B9F" w:rsidRPr="00CB54EA">
        <w:rPr>
          <w:rFonts w:asciiTheme="minorHAnsi" w:hAnsiTheme="minorHAnsi" w:cs="Calibri"/>
          <w:sz w:val="22"/>
          <w:szCs w:val="22"/>
        </w:rPr>
        <w:t xml:space="preserve">Medicaid rates and </w:t>
      </w:r>
      <w:r w:rsidRPr="00CB54EA">
        <w:rPr>
          <w:rFonts w:asciiTheme="minorHAnsi" w:hAnsiTheme="minorHAnsi" w:cs="Calibri"/>
          <w:sz w:val="22"/>
          <w:szCs w:val="22"/>
        </w:rPr>
        <w:t>Medicare county base rates</w:t>
      </w:r>
      <w:r w:rsidR="00351B9F" w:rsidRPr="00CB54EA">
        <w:rPr>
          <w:rFonts w:asciiTheme="minorHAnsi" w:hAnsiTheme="minorHAnsi" w:cs="Calibri"/>
          <w:sz w:val="22"/>
          <w:szCs w:val="22"/>
        </w:rPr>
        <w:t xml:space="preserve"> and information supporting the estimation of risk adjusted Medicare components of the rate. </w:t>
      </w:r>
    </w:p>
    <w:p w14:paraId="26E9FE84" w14:textId="69936ADD" w:rsidR="00283A75" w:rsidRPr="00CB54EA" w:rsidRDefault="00BC4FFC" w:rsidP="001C2B70">
      <w:pPr>
        <w:tabs>
          <w:tab w:val="left" w:pos="4140"/>
        </w:tabs>
        <w:rPr>
          <w:rFonts w:asciiTheme="minorHAnsi" w:hAnsiTheme="minorHAnsi" w:cs="Calibri"/>
          <w:sz w:val="22"/>
          <w:szCs w:val="22"/>
        </w:rPr>
      </w:pPr>
      <w:r w:rsidRPr="00CB54EA">
        <w:rPr>
          <w:rFonts w:asciiTheme="minorHAnsi" w:hAnsiTheme="minorHAnsi" w:cs="Calibri"/>
          <w:sz w:val="22"/>
          <w:szCs w:val="22"/>
        </w:rPr>
        <w:t xml:space="preserve"> </w:t>
      </w:r>
    </w:p>
    <w:p w14:paraId="79D5CBFE" w14:textId="77777777" w:rsidR="00F14C12" w:rsidRPr="00CB54EA" w:rsidRDefault="00F14C12" w:rsidP="00387FDC">
      <w:pPr>
        <w:autoSpaceDE w:val="0"/>
        <w:autoSpaceDN w:val="0"/>
        <w:adjustRightInd w:val="0"/>
        <w:rPr>
          <w:rFonts w:asciiTheme="minorHAnsi" w:hAnsiTheme="minorHAnsi" w:cs="Calibri"/>
          <w:sz w:val="22"/>
          <w:szCs w:val="22"/>
        </w:rPr>
      </w:pPr>
    </w:p>
    <w:p w14:paraId="19FFB867" w14:textId="77777777" w:rsidR="00F14C12" w:rsidRPr="00CB54EA" w:rsidRDefault="00F14C12" w:rsidP="00387FDC">
      <w:pPr>
        <w:autoSpaceDE w:val="0"/>
        <w:autoSpaceDN w:val="0"/>
        <w:adjustRightInd w:val="0"/>
        <w:rPr>
          <w:rFonts w:asciiTheme="minorHAnsi" w:hAnsiTheme="minorHAnsi" w:cs="Calibri"/>
          <w:sz w:val="22"/>
          <w:szCs w:val="22"/>
        </w:rPr>
      </w:pPr>
    </w:p>
    <w:p w14:paraId="0251F4E7" w14:textId="77777777"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t>Components of the Capitation Rate</w:t>
      </w:r>
    </w:p>
    <w:p w14:paraId="1D2CFF36" w14:textId="77777777" w:rsidR="00283A75" w:rsidRPr="00CB54EA" w:rsidRDefault="00283A75" w:rsidP="00C01D88">
      <w:pPr>
        <w:rPr>
          <w:rFonts w:asciiTheme="minorHAnsi" w:hAnsiTheme="minorHAnsi" w:cs="Calibri"/>
          <w:sz w:val="22"/>
          <w:szCs w:val="22"/>
        </w:rPr>
      </w:pPr>
    </w:p>
    <w:p w14:paraId="6247846C" w14:textId="77777777" w:rsidR="00283A75" w:rsidRPr="00CB54EA" w:rsidRDefault="00283A75" w:rsidP="00C01D88">
      <w:pPr>
        <w:pStyle w:val="RFR-Level3-A-Text"/>
        <w:ind w:left="0"/>
        <w:rPr>
          <w:rFonts w:asciiTheme="minorHAnsi" w:hAnsiTheme="minorHAnsi" w:cs="Calibri"/>
          <w:sz w:val="22"/>
          <w:szCs w:val="22"/>
        </w:rPr>
      </w:pPr>
      <w:r w:rsidRPr="00CB54EA">
        <w:rPr>
          <w:rFonts w:asciiTheme="minorHAnsi" w:hAnsiTheme="minorHAnsi" w:cs="Calibri"/>
          <w:sz w:val="22"/>
          <w:szCs w:val="22"/>
        </w:rPr>
        <w:t xml:space="preserve">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 coverage of Medicaid services. </w:t>
      </w:r>
    </w:p>
    <w:p w14:paraId="6CB010DA" w14:textId="77777777" w:rsidR="00283A75" w:rsidRPr="00CB54EA" w:rsidRDefault="00283A75" w:rsidP="00C01D88">
      <w:pPr>
        <w:rPr>
          <w:rFonts w:asciiTheme="minorHAnsi" w:hAnsiTheme="minorHAnsi" w:cs="Calibri"/>
          <w:sz w:val="22"/>
          <w:szCs w:val="22"/>
        </w:rPr>
      </w:pPr>
    </w:p>
    <w:p w14:paraId="3983716F" w14:textId="77777777" w:rsidR="00283A75" w:rsidRPr="00CB54EA" w:rsidRDefault="00283A75" w:rsidP="00C01D88">
      <w:pPr>
        <w:pStyle w:val="RFR-Level3-A-Text"/>
        <w:ind w:left="0"/>
        <w:rPr>
          <w:rFonts w:asciiTheme="minorHAnsi" w:hAnsiTheme="minorHAnsi" w:cs="Calibri"/>
          <w:sz w:val="22"/>
          <w:szCs w:val="22"/>
        </w:rPr>
      </w:pPr>
      <w:r w:rsidRPr="00CB54EA">
        <w:rPr>
          <w:rFonts w:asciiTheme="minorHAnsi" w:hAnsiTheme="minorHAnsi" w:cs="Calibri"/>
          <w:sz w:val="22"/>
          <w:szCs w:val="22"/>
        </w:rPr>
        <w:t xml:space="preserve">The Medicare Parts A/B rate component will be risk adjusted using the Medicare Advantage CMS-HCC and CMS HCC-ESRD models. The Medicare Part D payment will be risk adjusted using the Part D RxHCC model.  To adjust the Medicaid component, MassHealth’s methodology assigns each enrollee to a rating category (RC) according to the individual enrollee’s clinical status and setting of care.  </w:t>
      </w:r>
    </w:p>
    <w:p w14:paraId="02A37B15" w14:textId="77777777" w:rsidR="00283A75" w:rsidRPr="00CB54EA" w:rsidRDefault="00283A75" w:rsidP="00C01D88">
      <w:pPr>
        <w:rPr>
          <w:rFonts w:asciiTheme="minorHAnsi" w:hAnsiTheme="minorHAnsi"/>
        </w:rPr>
      </w:pPr>
    </w:p>
    <w:p w14:paraId="54B57A3E" w14:textId="3A8FB799" w:rsidR="00283A75" w:rsidRPr="00CB54EA" w:rsidRDefault="00283A75" w:rsidP="00C01D88">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Section II of this report provides information on the MassHealth component of the capitation rate. Section III includes the Medicare Parts A/B and Medicare Part D components of the rate.</w:t>
      </w:r>
      <w:r w:rsidR="00F07402" w:rsidRPr="00CB54EA">
        <w:rPr>
          <w:rFonts w:asciiTheme="minorHAnsi" w:hAnsiTheme="minorHAnsi" w:cstheme="minorHAnsi"/>
          <w:color w:val="000000"/>
          <w:sz w:val="22"/>
          <w:szCs w:val="22"/>
        </w:rPr>
        <w:t xml:space="preserve"> Section IV includes information on the savings percentages and quality withholds.  Section V includes information on risk mitigation.</w:t>
      </w:r>
      <w:r w:rsidR="00351B9F" w:rsidRPr="00CB54EA">
        <w:rPr>
          <w:rFonts w:asciiTheme="minorHAnsi" w:hAnsiTheme="minorHAnsi" w:cstheme="minorHAnsi"/>
          <w:color w:val="000000"/>
          <w:sz w:val="22"/>
          <w:szCs w:val="22"/>
        </w:rPr>
        <w:t xml:space="preserve">  Section VI provides summaries of the MassHealth base data.</w:t>
      </w:r>
    </w:p>
    <w:p w14:paraId="511F7D68" w14:textId="77777777"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401AEA4E" w14:textId="3D5CF146"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lastRenderedPageBreak/>
        <w:t>MassHealth Component of the Rate</w:t>
      </w:r>
      <w:r w:rsidR="00972C61" w:rsidRPr="00CB54EA">
        <w:rPr>
          <w:rFonts w:asciiTheme="minorHAnsi" w:hAnsiTheme="minorHAnsi" w:cs="Calibri"/>
          <w:b/>
          <w:sz w:val="22"/>
          <w:szCs w:val="22"/>
        </w:rPr>
        <w:t xml:space="preserve"> – CY </w:t>
      </w:r>
      <w:r w:rsidR="00D827F3" w:rsidRPr="00CB54EA">
        <w:rPr>
          <w:rFonts w:asciiTheme="minorHAnsi" w:hAnsiTheme="minorHAnsi" w:cs="Calibri"/>
          <w:b/>
          <w:sz w:val="22"/>
          <w:szCs w:val="22"/>
        </w:rPr>
        <w:t>201</w:t>
      </w:r>
      <w:r w:rsidR="000D32ED" w:rsidRPr="00CB54EA">
        <w:rPr>
          <w:rFonts w:asciiTheme="minorHAnsi" w:hAnsiTheme="minorHAnsi" w:cs="Calibri"/>
          <w:b/>
          <w:sz w:val="22"/>
          <w:szCs w:val="22"/>
        </w:rPr>
        <w:t>8</w:t>
      </w:r>
    </w:p>
    <w:p w14:paraId="57F15744" w14:textId="527D9B34" w:rsidR="00AE15BE" w:rsidRPr="00CB54EA" w:rsidRDefault="00AE15BE" w:rsidP="00AE15BE">
      <w:pPr>
        <w:spacing w:after="200" w:line="276" w:lineRule="auto"/>
        <w:rPr>
          <w:rFonts w:asciiTheme="minorHAnsi" w:hAnsiTheme="minorHAnsi" w:cs="Calibri"/>
          <w:i/>
          <w:sz w:val="22"/>
          <w:szCs w:val="22"/>
        </w:rPr>
      </w:pPr>
    </w:p>
    <w:p w14:paraId="60ADB679" w14:textId="77777777"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033E39F2" w14:textId="77777777" w:rsidR="00AE15BE" w:rsidRPr="00CB54EA" w:rsidRDefault="00AE15BE" w:rsidP="00AE15BE">
      <w:pPr>
        <w:rPr>
          <w:rFonts w:asciiTheme="minorHAnsi" w:hAnsiTheme="minorHAnsi" w:cs="Arial"/>
        </w:rPr>
      </w:pPr>
    </w:p>
    <w:p w14:paraId="0541A14E" w14:textId="77777777" w:rsidR="00AE15BE" w:rsidRPr="00CB54EA" w:rsidRDefault="00AE15BE" w:rsidP="00AE15BE">
      <w:pPr>
        <w:rPr>
          <w:rFonts w:asciiTheme="minorHAnsi" w:hAnsiTheme="minorHAnsi" w:cs="Arial"/>
        </w:rPr>
      </w:pPr>
    </w:p>
    <w:p w14:paraId="41D5DD25" w14:textId="77777777" w:rsidR="00AE15BE" w:rsidRPr="00CB54EA" w:rsidRDefault="00AE15BE" w:rsidP="00AE15BE">
      <w:pPr>
        <w:rPr>
          <w:rFonts w:asciiTheme="minorHAnsi" w:hAnsiTheme="minorHAnsi" w:cstheme="minorHAnsi"/>
          <w:b/>
          <w:sz w:val="22"/>
          <w:szCs w:val="22"/>
          <w:u w:val="single"/>
        </w:rPr>
      </w:pPr>
      <w:r w:rsidRPr="00CB54EA">
        <w:rPr>
          <w:rFonts w:asciiTheme="minorHAnsi" w:hAnsiTheme="minorHAnsi" w:cstheme="minorHAnsi"/>
          <w:b/>
          <w:sz w:val="22"/>
          <w:szCs w:val="22"/>
          <w:u w:val="single"/>
        </w:rPr>
        <w:t>MassHealth Component of Rate:</w:t>
      </w:r>
    </w:p>
    <w:p w14:paraId="44919A91" w14:textId="432799FB"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 xml:space="preserve">MassHealth rates for CY 2018 effective January 1, 2018 through December 31, 2018 are listed below, by Massachusetts county and MassHealth rating category for the Demonstration. The rates below do not include application of the 1.5% quality withhold (see Section IV). The rates below do include the savings percentage of 0.5% (see Section IV) for Demonstration Year 5. </w:t>
      </w:r>
    </w:p>
    <w:p w14:paraId="603C4988" w14:textId="77777777" w:rsidR="00AE15BE" w:rsidRPr="00CB54EA" w:rsidRDefault="00AE15BE">
      <w:pPr>
        <w:spacing w:after="200" w:line="276" w:lineRule="auto"/>
        <w:rPr>
          <w:rFonts w:asciiTheme="minorHAnsi" w:hAnsiTheme="minorHAnsi" w:cs="Calibri"/>
          <w:b/>
          <w:sz w:val="22"/>
          <w:szCs w:val="22"/>
        </w:rPr>
      </w:pPr>
    </w:p>
    <w:p w14:paraId="62CDF0BD" w14:textId="142F68C5" w:rsidR="00AE15BE" w:rsidRPr="00CB54EA" w:rsidRDefault="00AE15BE">
      <w:pPr>
        <w:rPr>
          <w:rFonts w:asciiTheme="minorHAnsi" w:hAnsiTheme="minorHAnsi" w:cs="Calibri"/>
          <w:b/>
          <w:sz w:val="22"/>
          <w:szCs w:val="22"/>
        </w:rPr>
      </w:pPr>
    </w:p>
    <w:tbl>
      <w:tblPr>
        <w:tblW w:w="10062"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262"/>
        <w:gridCol w:w="1240"/>
        <w:gridCol w:w="1260"/>
        <w:gridCol w:w="1260"/>
        <w:gridCol w:w="1260"/>
        <w:gridCol w:w="1260"/>
        <w:gridCol w:w="1260"/>
        <w:gridCol w:w="1260"/>
      </w:tblGrid>
      <w:tr w:rsidR="00FE01C4" w:rsidRPr="00CB54EA" w14:paraId="19165299" w14:textId="77777777" w:rsidTr="00505EDB">
        <w:trPr>
          <w:cantSplit/>
          <w:tblHeader/>
        </w:trPr>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70D8B" w14:textId="77777777" w:rsidR="00FE01C4" w:rsidRPr="00CB54EA" w:rsidRDefault="00FE01C4" w:rsidP="006B25A2">
            <w:pPr>
              <w:pStyle w:val="TableHeadingText"/>
              <w:spacing w:before="0"/>
              <w:jc w:val="center"/>
              <w:rPr>
                <w:rFonts w:asciiTheme="minorHAnsi" w:hAnsiTheme="minorHAnsi"/>
                <w:sz w:val="22"/>
                <w:szCs w:val="22"/>
              </w:rPr>
            </w:pPr>
          </w:p>
        </w:tc>
        <w:tc>
          <w:tcPr>
            <w:tcW w:w="880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96126" w14:textId="69C6C316"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MassHealth Component of County Rate</w:t>
            </w:r>
          </w:p>
          <w:p w14:paraId="4430A427" w14:textId="109C3D0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Effective January 1, 2018 through December 31, 2018</w:t>
            </w:r>
          </w:p>
        </w:tc>
      </w:tr>
      <w:tr w:rsidR="003A6AD3" w:rsidRPr="00CB54EA" w14:paraId="11C749B8" w14:textId="77777777" w:rsidTr="00505EDB">
        <w:trPr>
          <w:cantSplit/>
          <w:tblHeader/>
        </w:trPr>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6B76AD"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County</w:t>
            </w:r>
          </w:p>
        </w:tc>
        <w:tc>
          <w:tcPr>
            <w:tcW w:w="1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B47C14"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C1 – Community Other</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08CBB5"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C2A – Community High Behavioral Health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7B9A52"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C2B – Community Very High Behavioral Health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C2524"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C3A – High Community Need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899863"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C3B – Very High Community Need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B8EBC" w14:textId="0472DE5A"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 xml:space="preserve">C3C </w:t>
            </w:r>
            <w:r w:rsidR="00305569" w:rsidRPr="00CB54EA">
              <w:rPr>
                <w:rFonts w:asciiTheme="minorHAnsi" w:hAnsiTheme="minorHAnsi"/>
                <w:sz w:val="22"/>
                <w:szCs w:val="22"/>
              </w:rPr>
              <w:t>– Transitional Living Program</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A804A6" w14:textId="200F4C3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F1 – Facility-based Care</w:t>
            </w:r>
          </w:p>
        </w:tc>
      </w:tr>
      <w:tr w:rsidR="003A6AD3" w:rsidRPr="00CB54EA" w14:paraId="36A8372B" w14:textId="77777777" w:rsidTr="00505EDB">
        <w:trPr>
          <w:cantSplit/>
        </w:trPr>
        <w:tc>
          <w:tcPr>
            <w:tcW w:w="1262" w:type="dxa"/>
            <w:tcBorders>
              <w:left w:val="single" w:sz="4" w:space="0" w:color="auto"/>
              <w:right w:val="single" w:sz="4" w:space="0" w:color="auto"/>
            </w:tcBorders>
            <w:shd w:val="clear" w:color="auto" w:fill="auto"/>
          </w:tcPr>
          <w:p w14:paraId="2563E386" w14:textId="77777777" w:rsidR="00FE01C4" w:rsidRPr="00CB54EA" w:rsidRDefault="00FE01C4" w:rsidP="006B25A2">
            <w:pPr>
              <w:pStyle w:val="TableText"/>
              <w:rPr>
                <w:rFonts w:asciiTheme="minorHAnsi" w:hAnsiTheme="minorHAnsi"/>
                <w:sz w:val="22"/>
                <w:szCs w:val="22"/>
              </w:rPr>
            </w:pPr>
            <w:r w:rsidRPr="00CB54EA">
              <w:rPr>
                <w:rFonts w:asciiTheme="minorHAnsi" w:hAnsiTheme="minorHAnsi"/>
                <w:sz w:val="22"/>
                <w:szCs w:val="22"/>
              </w:rPr>
              <w:t>Essex</w:t>
            </w:r>
          </w:p>
        </w:tc>
        <w:tc>
          <w:tcPr>
            <w:tcW w:w="1240" w:type="dxa"/>
            <w:tcBorders>
              <w:left w:val="single" w:sz="4" w:space="0" w:color="auto"/>
              <w:right w:val="single" w:sz="4" w:space="0" w:color="auto"/>
            </w:tcBorders>
            <w:shd w:val="clear" w:color="auto" w:fill="auto"/>
            <w:vAlign w:val="bottom"/>
          </w:tcPr>
          <w:p w14:paraId="041C50B1" w14:textId="61E203BC" w:rsidR="00FE01C4" w:rsidRPr="00CB54EA" w:rsidRDefault="00FE01C4" w:rsidP="00440FBB">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440FBB"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4D5054F1" w14:textId="36B62CF2"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1DD775B3" w14:textId="05E71E1A"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6DCB06D4" w14:textId="0E7A8B4A"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0D1D2B4" w14:textId="32034841"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092E06E2" w14:textId="3DBD0A75"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2C8CF538" w14:textId="052CB022" w:rsidR="00FE01C4"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541A882C" w14:textId="77777777" w:rsidTr="00505EDB">
        <w:trPr>
          <w:cantSplit/>
        </w:trPr>
        <w:tc>
          <w:tcPr>
            <w:tcW w:w="1262" w:type="dxa"/>
            <w:tcBorders>
              <w:left w:val="single" w:sz="4" w:space="0" w:color="auto"/>
              <w:right w:val="single" w:sz="4" w:space="0" w:color="auto"/>
            </w:tcBorders>
            <w:shd w:val="clear" w:color="auto" w:fill="auto"/>
          </w:tcPr>
          <w:p w14:paraId="6E592D95" w14:textId="77777777" w:rsidR="00FE01C4" w:rsidRPr="00CB54EA" w:rsidRDefault="00FE01C4" w:rsidP="006B25A2">
            <w:pPr>
              <w:pStyle w:val="TableText"/>
              <w:rPr>
                <w:rFonts w:asciiTheme="minorHAnsi" w:hAnsiTheme="minorHAnsi"/>
                <w:sz w:val="22"/>
                <w:szCs w:val="22"/>
              </w:rPr>
            </w:pPr>
            <w:r w:rsidRPr="00CB54EA">
              <w:rPr>
                <w:rFonts w:asciiTheme="minorHAnsi" w:hAnsiTheme="minorHAnsi"/>
                <w:sz w:val="22"/>
                <w:szCs w:val="22"/>
              </w:rPr>
              <w:t>Franklin</w:t>
            </w:r>
          </w:p>
        </w:tc>
        <w:tc>
          <w:tcPr>
            <w:tcW w:w="1240" w:type="dxa"/>
            <w:tcBorders>
              <w:left w:val="single" w:sz="4" w:space="0" w:color="auto"/>
              <w:right w:val="single" w:sz="4" w:space="0" w:color="auto"/>
            </w:tcBorders>
            <w:shd w:val="clear" w:color="auto" w:fill="auto"/>
            <w:vAlign w:val="bottom"/>
          </w:tcPr>
          <w:p w14:paraId="6E369979" w14:textId="1E6DC7AB"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3FAAA9F9" w14:textId="7491B140"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11478868" w14:textId="1449E50E"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0048B42F" w14:textId="71E506DA"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00351D9C" w14:textId="7A44BEF2"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D5B2B7E" w14:textId="635DD2CA"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10BD956F" w14:textId="3A5E3D87"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2BBDC623" w14:textId="77777777" w:rsidTr="00505EDB">
        <w:trPr>
          <w:cantSplit/>
        </w:trPr>
        <w:tc>
          <w:tcPr>
            <w:tcW w:w="1262" w:type="dxa"/>
            <w:tcBorders>
              <w:left w:val="single" w:sz="4" w:space="0" w:color="auto"/>
              <w:right w:val="single" w:sz="4" w:space="0" w:color="auto"/>
            </w:tcBorders>
            <w:shd w:val="clear" w:color="auto" w:fill="auto"/>
          </w:tcPr>
          <w:p w14:paraId="18E6D16A"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Hampden</w:t>
            </w:r>
          </w:p>
        </w:tc>
        <w:tc>
          <w:tcPr>
            <w:tcW w:w="1240" w:type="dxa"/>
            <w:tcBorders>
              <w:left w:val="single" w:sz="4" w:space="0" w:color="auto"/>
              <w:right w:val="single" w:sz="4" w:space="0" w:color="auto"/>
            </w:tcBorders>
            <w:shd w:val="clear" w:color="auto" w:fill="auto"/>
            <w:vAlign w:val="bottom"/>
          </w:tcPr>
          <w:p w14:paraId="69FC9BDC" w14:textId="4C6B485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1AF42449" w14:textId="4AC446A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2320C46F" w14:textId="66D7E60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3B1CADD7" w14:textId="039FDD6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5645F0F0" w14:textId="26FD89D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8ECAB4D" w14:textId="067F9CD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54390D3D" w14:textId="679ECE21" w:rsidR="003A6AD3"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5B102E96" w14:textId="77777777" w:rsidTr="00505EDB">
        <w:trPr>
          <w:cantSplit/>
        </w:trPr>
        <w:tc>
          <w:tcPr>
            <w:tcW w:w="1262" w:type="dxa"/>
            <w:tcBorders>
              <w:left w:val="single" w:sz="4" w:space="0" w:color="auto"/>
              <w:right w:val="single" w:sz="4" w:space="0" w:color="auto"/>
            </w:tcBorders>
            <w:shd w:val="clear" w:color="auto" w:fill="auto"/>
          </w:tcPr>
          <w:p w14:paraId="2A66F28D"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Hampshire</w:t>
            </w:r>
          </w:p>
        </w:tc>
        <w:tc>
          <w:tcPr>
            <w:tcW w:w="1240" w:type="dxa"/>
            <w:tcBorders>
              <w:left w:val="single" w:sz="4" w:space="0" w:color="auto"/>
              <w:right w:val="single" w:sz="4" w:space="0" w:color="auto"/>
            </w:tcBorders>
            <w:shd w:val="clear" w:color="auto" w:fill="auto"/>
            <w:vAlign w:val="bottom"/>
          </w:tcPr>
          <w:p w14:paraId="4A73C9CA" w14:textId="5256C8F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5711178F" w14:textId="6667902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45C1A63C" w14:textId="2E130B4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31132B1B" w14:textId="2BA38E96"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47698672" w14:textId="3CA1DF6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5D67754F" w14:textId="5499305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3657A2E0" w14:textId="2903E36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76764BCE" w14:textId="77777777" w:rsidTr="00505EDB">
        <w:trPr>
          <w:cantSplit/>
        </w:trPr>
        <w:tc>
          <w:tcPr>
            <w:tcW w:w="1262" w:type="dxa"/>
            <w:tcBorders>
              <w:left w:val="single" w:sz="4" w:space="0" w:color="auto"/>
              <w:right w:val="single" w:sz="4" w:space="0" w:color="auto"/>
            </w:tcBorders>
            <w:shd w:val="clear" w:color="auto" w:fill="auto"/>
          </w:tcPr>
          <w:p w14:paraId="16D807B6"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Middlesex</w:t>
            </w:r>
          </w:p>
        </w:tc>
        <w:tc>
          <w:tcPr>
            <w:tcW w:w="1240" w:type="dxa"/>
            <w:tcBorders>
              <w:left w:val="single" w:sz="4" w:space="0" w:color="auto"/>
              <w:right w:val="single" w:sz="4" w:space="0" w:color="auto"/>
            </w:tcBorders>
            <w:shd w:val="clear" w:color="auto" w:fill="auto"/>
            <w:vAlign w:val="bottom"/>
          </w:tcPr>
          <w:p w14:paraId="78AC9513" w14:textId="2900464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0FDFF071" w14:textId="42F279A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1D17E051" w14:textId="6B31FD3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38053EEB" w14:textId="77CC295A"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3C4B9FC1" w14:textId="42F7BD4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2305A814" w14:textId="2D90A80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3C3C758C" w14:textId="431802A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28900533" w14:textId="77777777" w:rsidTr="00505EDB">
        <w:trPr>
          <w:cantSplit/>
        </w:trPr>
        <w:tc>
          <w:tcPr>
            <w:tcW w:w="1262" w:type="dxa"/>
            <w:tcBorders>
              <w:left w:val="single" w:sz="4" w:space="0" w:color="auto"/>
              <w:right w:val="single" w:sz="4" w:space="0" w:color="auto"/>
            </w:tcBorders>
            <w:shd w:val="clear" w:color="auto" w:fill="auto"/>
          </w:tcPr>
          <w:p w14:paraId="334716C5"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Norfolk</w:t>
            </w:r>
          </w:p>
        </w:tc>
        <w:tc>
          <w:tcPr>
            <w:tcW w:w="1240" w:type="dxa"/>
            <w:tcBorders>
              <w:left w:val="single" w:sz="4" w:space="0" w:color="auto"/>
              <w:right w:val="single" w:sz="4" w:space="0" w:color="auto"/>
            </w:tcBorders>
            <w:shd w:val="clear" w:color="auto" w:fill="auto"/>
            <w:vAlign w:val="bottom"/>
          </w:tcPr>
          <w:p w14:paraId="49416400" w14:textId="2F076A8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6CA62512" w14:textId="25A5E48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3CE911E9" w14:textId="683D0DE5"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5460E08D" w14:textId="094AF7E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39350F3" w14:textId="35253A9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4B84FCE1" w14:textId="397A2EF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659537F1" w14:textId="5CD71C2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28EFE492" w14:textId="77777777" w:rsidTr="00505EDB">
        <w:trPr>
          <w:cantSplit/>
        </w:trPr>
        <w:tc>
          <w:tcPr>
            <w:tcW w:w="1262" w:type="dxa"/>
            <w:tcBorders>
              <w:left w:val="single" w:sz="4" w:space="0" w:color="auto"/>
              <w:right w:val="single" w:sz="4" w:space="0" w:color="auto"/>
            </w:tcBorders>
            <w:shd w:val="clear" w:color="auto" w:fill="auto"/>
          </w:tcPr>
          <w:p w14:paraId="3824378A"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Plymouth</w:t>
            </w:r>
          </w:p>
        </w:tc>
        <w:tc>
          <w:tcPr>
            <w:tcW w:w="1240" w:type="dxa"/>
            <w:tcBorders>
              <w:left w:val="single" w:sz="4" w:space="0" w:color="auto"/>
              <w:right w:val="single" w:sz="4" w:space="0" w:color="auto"/>
            </w:tcBorders>
            <w:shd w:val="clear" w:color="auto" w:fill="auto"/>
            <w:vAlign w:val="bottom"/>
          </w:tcPr>
          <w:p w14:paraId="607383F2" w14:textId="4360F57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$173.82</w:t>
            </w:r>
          </w:p>
        </w:tc>
        <w:tc>
          <w:tcPr>
            <w:tcW w:w="1260" w:type="dxa"/>
            <w:tcBorders>
              <w:left w:val="single" w:sz="4" w:space="0" w:color="auto"/>
              <w:right w:val="single" w:sz="4" w:space="0" w:color="auto"/>
            </w:tcBorders>
            <w:shd w:val="clear" w:color="auto" w:fill="auto"/>
            <w:vAlign w:val="bottom"/>
          </w:tcPr>
          <w:p w14:paraId="4A99BA73" w14:textId="79B6A20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$613.33</w:t>
            </w:r>
          </w:p>
        </w:tc>
        <w:tc>
          <w:tcPr>
            <w:tcW w:w="1260" w:type="dxa"/>
            <w:tcBorders>
              <w:left w:val="single" w:sz="4" w:space="0" w:color="auto"/>
              <w:right w:val="single" w:sz="4" w:space="0" w:color="auto"/>
            </w:tcBorders>
            <w:vAlign w:val="bottom"/>
          </w:tcPr>
          <w:p w14:paraId="069297F6" w14:textId="6E72329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$859.51</w:t>
            </w:r>
          </w:p>
        </w:tc>
        <w:tc>
          <w:tcPr>
            <w:tcW w:w="1260" w:type="dxa"/>
            <w:tcBorders>
              <w:left w:val="single" w:sz="4" w:space="0" w:color="auto"/>
              <w:right w:val="single" w:sz="4" w:space="0" w:color="auto"/>
            </w:tcBorders>
            <w:vAlign w:val="bottom"/>
          </w:tcPr>
          <w:p w14:paraId="40DC651A" w14:textId="2E0CB60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$3,153.42</w:t>
            </w:r>
          </w:p>
        </w:tc>
        <w:tc>
          <w:tcPr>
            <w:tcW w:w="1260" w:type="dxa"/>
            <w:tcBorders>
              <w:left w:val="single" w:sz="4" w:space="0" w:color="auto"/>
              <w:right w:val="single" w:sz="4" w:space="0" w:color="auto"/>
            </w:tcBorders>
            <w:vAlign w:val="bottom"/>
          </w:tcPr>
          <w:p w14:paraId="621F5AC7" w14:textId="38B03AA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$6,685.21</w:t>
            </w:r>
          </w:p>
        </w:tc>
        <w:tc>
          <w:tcPr>
            <w:tcW w:w="1260" w:type="dxa"/>
            <w:tcBorders>
              <w:left w:val="single" w:sz="4" w:space="0" w:color="auto"/>
              <w:right w:val="single" w:sz="4" w:space="0" w:color="auto"/>
            </w:tcBorders>
          </w:tcPr>
          <w:p w14:paraId="65456331" w14:textId="20DC1B35"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$7,534.88</w:t>
            </w:r>
          </w:p>
        </w:tc>
        <w:tc>
          <w:tcPr>
            <w:tcW w:w="1260" w:type="dxa"/>
            <w:tcBorders>
              <w:left w:val="single" w:sz="4" w:space="0" w:color="auto"/>
              <w:right w:val="single" w:sz="4" w:space="0" w:color="auto"/>
            </w:tcBorders>
            <w:vAlign w:val="bottom"/>
          </w:tcPr>
          <w:p w14:paraId="67EA774E" w14:textId="5BC617A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$8,182.39</w:t>
            </w:r>
          </w:p>
        </w:tc>
      </w:tr>
      <w:tr w:rsidR="003A6AD3" w:rsidRPr="00CB54EA" w14:paraId="64D20296" w14:textId="77777777" w:rsidTr="00505EDB">
        <w:trPr>
          <w:cantSplit/>
        </w:trPr>
        <w:tc>
          <w:tcPr>
            <w:tcW w:w="1262" w:type="dxa"/>
            <w:tcBorders>
              <w:left w:val="single" w:sz="4" w:space="0" w:color="auto"/>
              <w:right w:val="single" w:sz="4" w:space="0" w:color="auto"/>
            </w:tcBorders>
            <w:shd w:val="clear" w:color="auto" w:fill="auto"/>
          </w:tcPr>
          <w:p w14:paraId="16208AD6"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Suffolk</w:t>
            </w:r>
          </w:p>
        </w:tc>
        <w:tc>
          <w:tcPr>
            <w:tcW w:w="1240" w:type="dxa"/>
            <w:tcBorders>
              <w:left w:val="single" w:sz="4" w:space="0" w:color="auto"/>
              <w:right w:val="single" w:sz="4" w:space="0" w:color="auto"/>
            </w:tcBorders>
            <w:shd w:val="clear" w:color="auto" w:fill="auto"/>
            <w:vAlign w:val="bottom"/>
          </w:tcPr>
          <w:p w14:paraId="797AE664" w14:textId="70B3DA6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7AE5826F" w14:textId="7DA2B45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51C9E31F" w14:textId="65EC67D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491AED69" w14:textId="3959341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912A41F" w14:textId="7044841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0B9DA9E4" w14:textId="1C56F52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4B2EFDF8" w14:textId="6B563DA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46F0DA4E" w14:textId="77777777" w:rsidTr="00505EDB">
        <w:trPr>
          <w:cantSplit/>
        </w:trPr>
        <w:tc>
          <w:tcPr>
            <w:tcW w:w="1262" w:type="dxa"/>
            <w:tcBorders>
              <w:left w:val="single" w:sz="4" w:space="0" w:color="auto"/>
              <w:right w:val="single" w:sz="4" w:space="0" w:color="auto"/>
            </w:tcBorders>
            <w:shd w:val="clear" w:color="auto" w:fill="auto"/>
          </w:tcPr>
          <w:p w14:paraId="67BA191E"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Worcester</w:t>
            </w:r>
          </w:p>
        </w:tc>
        <w:tc>
          <w:tcPr>
            <w:tcW w:w="1240" w:type="dxa"/>
            <w:tcBorders>
              <w:left w:val="single" w:sz="4" w:space="0" w:color="auto"/>
              <w:right w:val="single" w:sz="4" w:space="0" w:color="auto"/>
            </w:tcBorders>
            <w:shd w:val="clear" w:color="auto" w:fill="auto"/>
            <w:vAlign w:val="bottom"/>
          </w:tcPr>
          <w:p w14:paraId="696291ED" w14:textId="66886BE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05851EDF" w14:textId="1A9FC81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5EFE0875" w14:textId="7ECC186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52975A3A" w14:textId="76D0555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136D483A" w14:textId="3167FB66"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CC14C14" w14:textId="1F98CFD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627894C9" w14:textId="7D24427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5DE3F154" w14:textId="77777777" w:rsidTr="00505EDB">
        <w:trPr>
          <w:cantSplit/>
        </w:trPr>
        <w:tc>
          <w:tcPr>
            <w:tcW w:w="1262" w:type="dxa"/>
            <w:tcBorders>
              <w:left w:val="single" w:sz="4" w:space="0" w:color="auto"/>
              <w:right w:val="single" w:sz="4" w:space="0" w:color="auto"/>
            </w:tcBorders>
            <w:shd w:val="clear" w:color="auto" w:fill="auto"/>
          </w:tcPr>
          <w:p w14:paraId="20F3C2C5"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Statewide*</w:t>
            </w:r>
          </w:p>
        </w:tc>
        <w:tc>
          <w:tcPr>
            <w:tcW w:w="1240" w:type="dxa"/>
            <w:tcBorders>
              <w:left w:val="single" w:sz="4" w:space="0" w:color="auto"/>
              <w:right w:val="single" w:sz="4" w:space="0" w:color="auto"/>
            </w:tcBorders>
            <w:shd w:val="clear" w:color="auto" w:fill="auto"/>
            <w:vAlign w:val="bottom"/>
          </w:tcPr>
          <w:p w14:paraId="4283D0A4" w14:textId="0F8D82F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w:t>
            </w:r>
            <w:r w:rsidR="00506C47" w:rsidRPr="00CB54EA">
              <w:rPr>
                <w:rFonts w:asciiTheme="minorHAnsi" w:hAnsiTheme="minorHAnsi" w:cstheme="minorHAnsi"/>
                <w:noProof w:val="0"/>
                <w:sz w:val="22"/>
                <w:szCs w:val="22"/>
              </w:rPr>
              <w:t>8</w:t>
            </w:r>
            <w:r w:rsidRPr="00CB54EA">
              <w:rPr>
                <w:rFonts w:asciiTheme="minorHAnsi" w:hAnsiTheme="minorHAnsi" w:cstheme="minorHAnsi"/>
                <w:noProof w:val="0"/>
                <w:sz w:val="22"/>
                <w:szCs w:val="22"/>
              </w:rPr>
              <w:t>.08</w:t>
            </w:r>
          </w:p>
        </w:tc>
        <w:tc>
          <w:tcPr>
            <w:tcW w:w="1260" w:type="dxa"/>
            <w:tcBorders>
              <w:left w:val="single" w:sz="4" w:space="0" w:color="auto"/>
              <w:right w:val="single" w:sz="4" w:space="0" w:color="auto"/>
            </w:tcBorders>
            <w:shd w:val="clear" w:color="auto" w:fill="auto"/>
            <w:vAlign w:val="bottom"/>
          </w:tcPr>
          <w:p w14:paraId="55E7EB95" w14:textId="3E00B53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$545.96</w:t>
            </w:r>
          </w:p>
        </w:tc>
        <w:tc>
          <w:tcPr>
            <w:tcW w:w="1260" w:type="dxa"/>
            <w:tcBorders>
              <w:left w:val="single" w:sz="4" w:space="0" w:color="auto"/>
              <w:right w:val="single" w:sz="4" w:space="0" w:color="auto"/>
            </w:tcBorders>
            <w:vAlign w:val="bottom"/>
          </w:tcPr>
          <w:p w14:paraId="3D45A253" w14:textId="3C34336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$761.88</w:t>
            </w:r>
          </w:p>
        </w:tc>
        <w:tc>
          <w:tcPr>
            <w:tcW w:w="1260" w:type="dxa"/>
            <w:tcBorders>
              <w:left w:val="single" w:sz="4" w:space="0" w:color="auto"/>
              <w:right w:val="single" w:sz="4" w:space="0" w:color="auto"/>
            </w:tcBorders>
            <w:vAlign w:val="bottom"/>
          </w:tcPr>
          <w:p w14:paraId="337112E9" w14:textId="39A3DF8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$2,850.31</w:t>
            </w:r>
          </w:p>
        </w:tc>
        <w:tc>
          <w:tcPr>
            <w:tcW w:w="1260" w:type="dxa"/>
            <w:tcBorders>
              <w:left w:val="single" w:sz="4" w:space="0" w:color="auto"/>
              <w:right w:val="single" w:sz="4" w:space="0" w:color="auto"/>
            </w:tcBorders>
            <w:vAlign w:val="bottom"/>
          </w:tcPr>
          <w:p w14:paraId="13EF366F" w14:textId="5EC2852C"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$6.069.64</w:t>
            </w:r>
          </w:p>
        </w:tc>
        <w:tc>
          <w:tcPr>
            <w:tcW w:w="1260" w:type="dxa"/>
            <w:tcBorders>
              <w:left w:val="single" w:sz="4" w:space="0" w:color="auto"/>
              <w:right w:val="single" w:sz="4" w:space="0" w:color="auto"/>
            </w:tcBorders>
          </w:tcPr>
          <w:p w14:paraId="3293D067" w14:textId="234B897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$8,320.49</w:t>
            </w:r>
          </w:p>
        </w:tc>
        <w:tc>
          <w:tcPr>
            <w:tcW w:w="1260" w:type="dxa"/>
            <w:tcBorders>
              <w:left w:val="single" w:sz="4" w:space="0" w:color="auto"/>
              <w:right w:val="single" w:sz="4" w:space="0" w:color="auto"/>
            </w:tcBorders>
            <w:vAlign w:val="bottom"/>
          </w:tcPr>
          <w:p w14:paraId="5B08063B" w14:textId="677BC7F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$9,241.58</w:t>
            </w:r>
          </w:p>
        </w:tc>
      </w:tr>
    </w:tbl>
    <w:p w14:paraId="0D19387D" w14:textId="77777777"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 xml:space="preserve">* Rate applies to eligible One Care members living in one of the five counties excluded from the One Care service area (Barnstable, Berkshire, Bristol, Dukes, and Nantucket).  </w:t>
      </w:r>
    </w:p>
    <w:p w14:paraId="2D05C834" w14:textId="77777777" w:rsidR="006B25A2" w:rsidRDefault="006B25A2" w:rsidP="006B25A2">
      <w:pPr>
        <w:spacing w:after="200" w:line="276" w:lineRule="auto"/>
        <w:rPr>
          <w:rFonts w:asciiTheme="minorHAnsi" w:hAnsiTheme="minorHAnsi" w:cs="Calibri"/>
          <w:b/>
          <w:sz w:val="22"/>
          <w:szCs w:val="22"/>
        </w:rPr>
      </w:pPr>
    </w:p>
    <w:p w14:paraId="79D31964" w14:textId="77777777" w:rsidR="00C51926" w:rsidRDefault="00C51926" w:rsidP="006B25A2">
      <w:pPr>
        <w:spacing w:after="200" w:line="276" w:lineRule="auto"/>
        <w:rPr>
          <w:rFonts w:asciiTheme="minorHAnsi" w:hAnsiTheme="minorHAnsi" w:cs="Calibri"/>
          <w:b/>
          <w:sz w:val="22"/>
          <w:szCs w:val="22"/>
        </w:rPr>
      </w:pPr>
    </w:p>
    <w:p w14:paraId="32820AA3" w14:textId="77777777" w:rsidR="00C51926" w:rsidRPr="00CB54EA" w:rsidRDefault="00C51926" w:rsidP="006B25A2">
      <w:pPr>
        <w:spacing w:after="200" w:line="276" w:lineRule="auto"/>
        <w:rPr>
          <w:rFonts w:asciiTheme="minorHAnsi" w:hAnsiTheme="minorHAnsi" w:cs="Calibri"/>
          <w:b/>
          <w:sz w:val="22"/>
          <w:szCs w:val="22"/>
        </w:rPr>
      </w:pPr>
    </w:p>
    <w:p w14:paraId="51DE3700" w14:textId="77777777" w:rsidR="006B25A2" w:rsidRPr="00CB54EA" w:rsidRDefault="006B25A2" w:rsidP="006B25A2">
      <w:pPr>
        <w:rPr>
          <w:rFonts w:asciiTheme="minorHAnsi" w:hAnsiTheme="minorHAnsi" w:cstheme="minorHAnsi"/>
          <w:b/>
          <w:sz w:val="22"/>
          <w:szCs w:val="22"/>
          <w:u w:val="single"/>
        </w:rPr>
      </w:pPr>
      <w:r w:rsidRPr="00CB54EA">
        <w:rPr>
          <w:rFonts w:asciiTheme="minorHAnsi" w:hAnsiTheme="minorHAnsi" w:cstheme="minorHAnsi"/>
          <w:b/>
          <w:sz w:val="22"/>
          <w:szCs w:val="22"/>
          <w:u w:val="single"/>
        </w:rPr>
        <w:lastRenderedPageBreak/>
        <w:t>Historical Base Data Development:</w:t>
      </w:r>
    </w:p>
    <w:p w14:paraId="54F0D91C" w14:textId="1AFCD670"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historical Medicaid and Medicare-Medicaid crossover expenditures for CY</w:t>
      </w:r>
      <w:r w:rsidR="00505EDB" w:rsidRPr="00CB54EA">
        <w:rPr>
          <w:rFonts w:asciiTheme="minorHAnsi" w:hAnsiTheme="minorHAnsi" w:cstheme="minorHAnsi"/>
          <w:sz w:val="22"/>
          <w:szCs w:val="22"/>
        </w:rPr>
        <w:t xml:space="preserve"> </w:t>
      </w:r>
      <w:r w:rsidRPr="00CB54EA">
        <w:rPr>
          <w:rFonts w:asciiTheme="minorHAnsi" w:hAnsiTheme="minorHAnsi" w:cstheme="minorHAnsi"/>
          <w:sz w:val="22"/>
          <w:szCs w:val="22"/>
        </w:rPr>
        <w:t>2015 and CY</w:t>
      </w:r>
      <w:r w:rsidR="00505EDB" w:rsidRPr="00CB54EA">
        <w:rPr>
          <w:rFonts w:asciiTheme="minorHAnsi" w:hAnsiTheme="minorHAnsi" w:cstheme="minorHAnsi"/>
          <w:sz w:val="22"/>
          <w:szCs w:val="22"/>
        </w:rPr>
        <w:t xml:space="preserve"> </w:t>
      </w:r>
      <w:r w:rsidRPr="00CB54EA">
        <w:rPr>
          <w:rFonts w:asciiTheme="minorHAnsi" w:hAnsiTheme="minorHAnsi" w:cstheme="minorHAnsi"/>
          <w:sz w:val="22"/>
          <w:szCs w:val="22"/>
        </w:rPr>
        <w:t>2016, with incurred but not reported (IBNR) completion adjustments applied, formed the historical base data used to develop the MassHealth component of the rates.</w:t>
      </w:r>
    </w:p>
    <w:p w14:paraId="36C5E668" w14:textId="77777777" w:rsidR="006B25A2" w:rsidRPr="00CB54EA" w:rsidRDefault="006B25A2" w:rsidP="006B25A2">
      <w:pPr>
        <w:rPr>
          <w:rFonts w:asciiTheme="minorHAnsi" w:hAnsiTheme="minorHAnsi" w:cstheme="minorHAnsi"/>
          <w:sz w:val="22"/>
          <w:szCs w:val="22"/>
        </w:rPr>
      </w:pPr>
    </w:p>
    <w:p w14:paraId="6124F87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CB54EA">
        <w:rPr>
          <w:rFonts w:asciiTheme="minorHAnsi" w:hAnsiTheme="minorHAnsi" w:cstheme="minorHAnsi"/>
          <w:i/>
          <w:sz w:val="22"/>
          <w:szCs w:val="22"/>
        </w:rPr>
        <w:t>Counties and Regions</w:t>
      </w:r>
      <w:r w:rsidRPr="00CB54EA">
        <w:rPr>
          <w:rFonts w:asciiTheme="minorHAnsi" w:hAnsiTheme="minorHAnsi" w:cstheme="minorHAnsi"/>
          <w:sz w:val="22"/>
          <w:szCs w:val="22"/>
        </w:rPr>
        <w:t xml:space="preserve"> subsection), and applying the completion factors included below. For convenience, per member per month (PMPM) expenditures with IBNR are provided at the end of this report in Section VI for Medicaid and crossover claims by calendar year, region, rating category and category of service.</w:t>
      </w:r>
    </w:p>
    <w:p w14:paraId="625C375B" w14:textId="77777777" w:rsidR="006B25A2" w:rsidRPr="00CB54EA" w:rsidRDefault="006B25A2" w:rsidP="006B25A2">
      <w:pPr>
        <w:rPr>
          <w:rFonts w:asciiTheme="minorHAnsi" w:hAnsiTheme="minorHAnsi" w:cstheme="minorHAnsi"/>
          <w:sz w:val="22"/>
          <w:szCs w:val="22"/>
        </w:rPr>
      </w:pPr>
    </w:p>
    <w:p w14:paraId="06C4874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bCs/>
          <w:i/>
          <w:iCs/>
          <w:sz w:val="22"/>
          <w:szCs w:val="22"/>
        </w:rPr>
        <w:t>Rating Categories</w:t>
      </w:r>
      <w:r w:rsidRPr="00CB54EA">
        <w:rPr>
          <w:rFonts w:asciiTheme="minorHAnsi" w:hAnsiTheme="minorHAnsi" w:cstheme="minorHAnsi"/>
          <w:sz w:val="22"/>
          <w:szCs w:val="22"/>
        </w:rPr>
        <w:t>:</w:t>
      </w:r>
    </w:p>
    <w:p w14:paraId="3C85C9B7" w14:textId="77777777"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method, which is summarized in the table below. </w:t>
      </w:r>
    </w:p>
    <w:p w14:paraId="73984A0B" w14:textId="77777777" w:rsidR="006B25A2" w:rsidRPr="00CB54EA" w:rsidRDefault="006B25A2" w:rsidP="006B25A2">
      <w:pPr>
        <w:rPr>
          <w:rFonts w:asciiTheme="minorHAnsi" w:hAnsiTheme="minorHAnsi" w:cs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6B25A2" w:rsidRPr="00CB54EA" w14:paraId="478650A0" w14:textId="77777777" w:rsidTr="006B25A2">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345D7CA9" w14:textId="77777777" w:rsidR="006B25A2" w:rsidRPr="00CB54EA" w:rsidRDefault="006B25A2" w:rsidP="006B25A2">
            <w:pPr>
              <w:pStyle w:val="TableHeadingText"/>
              <w:rPr>
                <w:rFonts w:asciiTheme="minorHAnsi" w:hAnsiTheme="minorHAnsi"/>
                <w:sz w:val="22"/>
                <w:szCs w:val="22"/>
              </w:rPr>
            </w:pPr>
            <w:r w:rsidRPr="00CB54EA">
              <w:rPr>
                <w:rFonts w:asciiTheme="minorHAnsi" w:hAnsiTheme="minorHAnsi"/>
                <w:sz w:val="22"/>
                <w:szCs w:val="22"/>
              </w:rPr>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01843232" w14:textId="77777777" w:rsidR="006B25A2" w:rsidRPr="00CB54EA" w:rsidRDefault="006B25A2" w:rsidP="006B25A2">
            <w:pPr>
              <w:pStyle w:val="TableHeadingText"/>
              <w:rPr>
                <w:rFonts w:asciiTheme="minorHAnsi" w:hAnsiTheme="minorHAnsi"/>
                <w:sz w:val="22"/>
                <w:szCs w:val="22"/>
              </w:rPr>
            </w:pPr>
            <w:r w:rsidRPr="00CB54EA">
              <w:rPr>
                <w:rFonts w:asciiTheme="minorHAnsi" w:hAnsiTheme="minorHAnsi"/>
                <w:sz w:val="22"/>
                <w:szCs w:val="22"/>
              </w:rPr>
              <w:t>Description</w:t>
            </w:r>
          </w:p>
        </w:tc>
      </w:tr>
      <w:tr w:rsidR="00BD69E0" w:rsidRPr="00CB54EA" w14:paraId="445E6FCB" w14:textId="77777777" w:rsidTr="006B25A2">
        <w:trPr>
          <w:cantSplit/>
        </w:trPr>
        <w:tc>
          <w:tcPr>
            <w:tcW w:w="2250" w:type="dxa"/>
            <w:tcBorders>
              <w:top w:val="single" w:sz="8" w:space="0" w:color="auto"/>
            </w:tcBorders>
            <w:shd w:val="clear" w:color="auto" w:fill="auto"/>
          </w:tcPr>
          <w:p w14:paraId="042087D1" w14:textId="515DBADE"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F1: Facility-Based Care</w:t>
            </w:r>
          </w:p>
        </w:tc>
        <w:tc>
          <w:tcPr>
            <w:tcW w:w="6480" w:type="dxa"/>
            <w:tcBorders>
              <w:top w:val="single" w:sz="8" w:space="0" w:color="auto"/>
            </w:tcBorders>
            <w:shd w:val="clear" w:color="auto" w:fill="auto"/>
          </w:tcPr>
          <w:p w14:paraId="70E7D22C" w14:textId="1CD11EE0"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0876E437" w14:textId="1D9A3A5D"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541DB9C4" w14:textId="40BDC419"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136C7F5B" w14:textId="53BBB782" w:rsidR="00BD69E0" w:rsidRPr="00CB54EA" w:rsidRDefault="00BD69E0" w:rsidP="00C96519">
            <w:pPr>
              <w:pStyle w:val="TableText"/>
              <w:rPr>
                <w:rFonts w:asciiTheme="minorHAnsi" w:hAnsiTheme="minorHAnsi"/>
                <w:sz w:val="22"/>
                <w:szCs w:val="22"/>
              </w:rPr>
            </w:pPr>
            <w:r w:rsidRPr="00CB54EA">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BD69E0" w:rsidRPr="00CB54EA" w14:paraId="5E278FC8" w14:textId="77777777" w:rsidTr="00BD69E0">
        <w:trPr>
          <w:cantSplit/>
        </w:trPr>
        <w:tc>
          <w:tcPr>
            <w:tcW w:w="2250" w:type="dxa"/>
            <w:tcBorders>
              <w:top w:val="single" w:sz="8" w:space="0" w:color="auto"/>
            </w:tcBorders>
            <w:shd w:val="clear" w:color="auto" w:fill="auto"/>
          </w:tcPr>
          <w:p w14:paraId="037FE071" w14:textId="11D0C1BF" w:rsidR="00BD69E0" w:rsidRPr="00CB54EA" w:rsidRDefault="00BD69E0" w:rsidP="00BD69E0">
            <w:pPr>
              <w:rPr>
                <w:rFonts w:asciiTheme="minorHAnsi" w:hAnsiTheme="minorHAnsi"/>
              </w:rPr>
            </w:pPr>
            <w:r w:rsidRPr="00CB54EA">
              <w:rPr>
                <w:rFonts w:asciiTheme="minorHAnsi" w:hAnsiTheme="minorHAnsi"/>
                <w:sz w:val="22"/>
                <w:szCs w:val="22"/>
              </w:rPr>
              <w:lastRenderedPageBreak/>
              <w:t xml:space="preserve">C3C: Community Tier 3 – Transitional Living Need </w:t>
            </w:r>
          </w:p>
        </w:tc>
        <w:tc>
          <w:tcPr>
            <w:tcW w:w="6480" w:type="dxa"/>
            <w:tcBorders>
              <w:top w:val="single" w:sz="8" w:space="0" w:color="auto"/>
            </w:tcBorders>
            <w:shd w:val="clear" w:color="auto" w:fill="auto"/>
          </w:tcPr>
          <w:p w14:paraId="5298FC01" w14:textId="77777777" w:rsidR="00BD69E0" w:rsidRPr="00CB54EA" w:rsidRDefault="00BD69E0" w:rsidP="00BD69E0">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520889CE" w14:textId="530C68C7"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 xml:space="preserve">Includes individuals who do not meet F1 criteria, have a type of residence equal to a board and care/assisted living/group home, and for whom a MDS-HC assessment indicates: </w:t>
            </w:r>
          </w:p>
          <w:p w14:paraId="2C9B7CB4" w14:textId="45E7BF48"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Have a daily skilled need, or daily chronic and stable routine need, for which the individual requires assistance.</w:t>
            </w:r>
          </w:p>
          <w:p w14:paraId="640BC933" w14:textId="6F77C761"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two or more activities of daily living (ADL) limitations requiring limited asisstance to total dependence. </w:t>
            </w:r>
          </w:p>
          <w:p w14:paraId="33329221" w14:textId="6128B485"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Have one or more of the traumatic brain injury diagnoses as defined by the following diagnosis codes:</w:t>
            </w:r>
          </w:p>
          <w:p w14:paraId="71A23BE3"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S06.1x.</w:t>
            </w:r>
          </w:p>
          <w:p w14:paraId="785D9D51"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S06.2x.</w:t>
            </w:r>
          </w:p>
          <w:p w14:paraId="13FAB92F" w14:textId="46421779"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S06.3x.</w:t>
            </w:r>
          </w:p>
          <w:p w14:paraId="6E71FEC9" w14:textId="50ACE5DA"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S06.4x.</w:t>
            </w:r>
          </w:p>
          <w:p w14:paraId="708B481C"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S06.5x.</w:t>
            </w:r>
          </w:p>
          <w:p w14:paraId="2A5A3B21"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S06.6x.</w:t>
            </w:r>
          </w:p>
          <w:p w14:paraId="7871A595" w14:textId="450E86AF"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S06.8x.</w:t>
            </w:r>
          </w:p>
          <w:p w14:paraId="361CC558" w14:textId="77777777" w:rsidR="00BD69E0" w:rsidRPr="00CB54EA" w:rsidRDefault="00BD69E0" w:rsidP="00BD69E0">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508D7753" w14:textId="072C16C1"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The base data for this rating category  included claim and eligibility data for members not in F1 for months in which the member has claims indicating residence in a Transition Living Program (TLP) facility as of the first of that month.</w:t>
            </w:r>
          </w:p>
        </w:tc>
      </w:tr>
      <w:tr w:rsidR="00BD69E0" w:rsidRPr="00CB54EA" w14:paraId="540EF087" w14:textId="77777777" w:rsidTr="00BD69E0">
        <w:trPr>
          <w:cantSplit/>
        </w:trPr>
        <w:tc>
          <w:tcPr>
            <w:tcW w:w="2250" w:type="dxa"/>
            <w:shd w:val="clear" w:color="auto" w:fill="auto"/>
          </w:tcPr>
          <w:p w14:paraId="2EC3C353" w14:textId="3AEA2EB4"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 xml:space="preserve">C3: Community Tier 3  </w:t>
            </w:r>
          </w:p>
        </w:tc>
        <w:tc>
          <w:tcPr>
            <w:tcW w:w="6480" w:type="dxa"/>
            <w:shd w:val="clear" w:color="auto" w:fill="auto"/>
          </w:tcPr>
          <w:p w14:paraId="3F2EBD70"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7F265530" w14:textId="77777777"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Includes individuals who do not meet F1 criteria and for whom a </w:t>
            </w:r>
            <w:r w:rsidRPr="00CB54EA">
              <w:rPr>
                <w:rFonts w:asciiTheme="minorHAnsi" w:hAnsiTheme="minorHAnsi"/>
                <w:sz w:val="22"/>
                <w:szCs w:val="22"/>
              </w:rPr>
              <w:br/>
              <w:t xml:space="preserve">MDS-HC assessment indicates: </w:t>
            </w:r>
          </w:p>
          <w:p w14:paraId="7C9F1B07"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a skilled nursing need to be met by the One Care plan seven days a week. </w:t>
            </w:r>
          </w:p>
          <w:p w14:paraId="7EDCE0D6"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two or more activities of daily living (ADL) limitations, and three or more days a week of skilled nursing needs to be met by the One Care plan. </w:t>
            </w:r>
          </w:p>
          <w:p w14:paraId="7AAA7756"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Have four or more ADL limitations.</w:t>
            </w:r>
          </w:p>
          <w:p w14:paraId="78B11959"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32F74B42" w14:textId="21F0FA91" w:rsidR="00BD69E0" w:rsidRPr="00CB54EA" w:rsidRDefault="00BD69E0" w:rsidP="00713FEA">
            <w:pPr>
              <w:pStyle w:val="TableText"/>
              <w:rPr>
                <w:rFonts w:asciiTheme="minorHAnsi" w:hAnsiTheme="minorHAnsi"/>
                <w:sz w:val="22"/>
                <w:szCs w:val="22"/>
              </w:rPr>
            </w:pPr>
            <w:r w:rsidRPr="00CB54EA">
              <w:rPr>
                <w:rFonts w:asciiTheme="minorHAnsi" w:hAnsiTheme="minorHAnsi"/>
                <w:sz w:val="22"/>
                <w:szCs w:val="22"/>
              </w:rPr>
              <w:t xml:space="preserve">The base data for this rating category </w:t>
            </w:r>
            <w:r w:rsidR="00713FEA" w:rsidRPr="00CB54EA">
              <w:rPr>
                <w:rFonts w:asciiTheme="minorHAnsi" w:hAnsiTheme="minorHAnsi"/>
                <w:sz w:val="22"/>
                <w:szCs w:val="22"/>
              </w:rPr>
              <w:t>included claim and eligibility data for members not in</w:t>
            </w:r>
            <w:r w:rsidRPr="00CB54EA">
              <w:rPr>
                <w:rFonts w:asciiTheme="minorHAnsi" w:hAnsiTheme="minorHAnsi"/>
                <w:sz w:val="22"/>
                <w:szCs w:val="22"/>
              </w:rPr>
              <w:t xml:space="preserve"> F1</w:t>
            </w:r>
            <w:r w:rsidR="00713FEA" w:rsidRPr="00CB54EA">
              <w:rPr>
                <w:rFonts w:asciiTheme="minorHAnsi" w:hAnsiTheme="minorHAnsi"/>
                <w:sz w:val="22"/>
                <w:szCs w:val="22"/>
              </w:rPr>
              <w:t xml:space="preserve"> or C3C</w:t>
            </w:r>
            <w:r w:rsidRPr="00CB54EA">
              <w:rPr>
                <w:rFonts w:asciiTheme="minorHAnsi" w:hAnsiTheme="minorHAnsi"/>
                <w:sz w:val="22"/>
                <w:szCs w:val="22"/>
              </w:rPr>
              <w:t xml:space="preserve"> th</w:t>
            </w:r>
            <w:r w:rsidR="00713FEA" w:rsidRPr="00CB54EA">
              <w:rPr>
                <w:rFonts w:asciiTheme="minorHAnsi" w:hAnsiTheme="minorHAnsi"/>
                <w:sz w:val="22"/>
                <w:szCs w:val="22"/>
              </w:rPr>
              <w:t>at are within episodes of three-</w:t>
            </w:r>
            <w:r w:rsidRPr="00CB54EA">
              <w:rPr>
                <w:rFonts w:asciiTheme="minorHAnsi" w:hAnsiTheme="minorHAnsi"/>
                <w:sz w:val="22"/>
                <w:szCs w:val="22"/>
              </w:rPr>
              <w:t>plus consecutive months in which a member is in a facility and/or using more than $700 in community-based long-term services and supports (LTSS).</w:t>
            </w:r>
          </w:p>
        </w:tc>
      </w:tr>
      <w:tr w:rsidR="00BD69E0" w:rsidRPr="00CB54EA" w14:paraId="4E85CECB" w14:textId="77777777" w:rsidTr="006B25A2">
        <w:trPr>
          <w:cantSplit/>
        </w:trPr>
        <w:tc>
          <w:tcPr>
            <w:tcW w:w="2250" w:type="dxa"/>
            <w:shd w:val="clear" w:color="auto" w:fill="auto"/>
          </w:tcPr>
          <w:p w14:paraId="75F39F40" w14:textId="42E6E2C6"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lastRenderedPageBreak/>
              <w:t xml:space="preserve">C2: Community Tier 2 </w:t>
            </w:r>
          </w:p>
        </w:tc>
        <w:tc>
          <w:tcPr>
            <w:tcW w:w="6480" w:type="dxa"/>
            <w:shd w:val="clear" w:color="auto" w:fill="auto"/>
          </w:tcPr>
          <w:p w14:paraId="1A7BEC19"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1F1D4111" w14:textId="3DE4AE80" w:rsidR="00BD69E0" w:rsidRPr="00CB54EA" w:rsidRDefault="00BD69E0" w:rsidP="006B25A2">
            <w:pPr>
              <w:pStyle w:val="CommentText"/>
              <w:spacing w:after="240"/>
              <w:rPr>
                <w:rFonts w:asciiTheme="minorHAnsi" w:hAnsiTheme="minorHAnsi"/>
              </w:rPr>
            </w:pPr>
            <w:r w:rsidRPr="00CB54EA">
              <w:rPr>
                <w:rFonts w:asciiTheme="minorHAnsi" w:hAnsiTheme="minorHAnsi"/>
                <w:sz w:val="22"/>
                <w:szCs w:val="22"/>
              </w:rPr>
              <w:t>Includes i</w:t>
            </w:r>
            <w:r w:rsidR="00713FEA" w:rsidRPr="00CB54EA">
              <w:rPr>
                <w:rFonts w:asciiTheme="minorHAnsi" w:hAnsiTheme="minorHAnsi"/>
                <w:sz w:val="22"/>
                <w:szCs w:val="22"/>
              </w:rPr>
              <w:t>ndividuals who do not meet F1, C3C</w:t>
            </w:r>
            <w:r w:rsidR="00A64B49" w:rsidRPr="00CB54EA">
              <w:rPr>
                <w:rFonts w:asciiTheme="minorHAnsi" w:hAnsiTheme="minorHAnsi"/>
                <w:sz w:val="22"/>
                <w:szCs w:val="22"/>
              </w:rPr>
              <w:t>,</w:t>
            </w:r>
            <w:r w:rsidR="00713FEA" w:rsidRPr="00CB54EA">
              <w:rPr>
                <w:rFonts w:asciiTheme="minorHAnsi" w:hAnsiTheme="minorHAnsi"/>
                <w:sz w:val="22"/>
                <w:szCs w:val="22"/>
              </w:rPr>
              <w:t xml:space="preserve"> or</w:t>
            </w:r>
            <w:r w:rsidRPr="00CB54EA">
              <w:rPr>
                <w:rFonts w:asciiTheme="minorHAnsi" w:hAnsiTheme="minorHAnsi"/>
                <w:sz w:val="22"/>
                <w:szCs w:val="22"/>
              </w:rPr>
              <w:t xml:space="preserve"> C3 criteria</w:t>
            </w:r>
            <w:r w:rsidR="00713FEA" w:rsidRPr="00CB54EA">
              <w:rPr>
                <w:rFonts w:asciiTheme="minorHAnsi" w:hAnsiTheme="minorHAnsi"/>
                <w:sz w:val="22"/>
                <w:szCs w:val="22"/>
              </w:rPr>
              <w:t>,</w:t>
            </w:r>
            <w:r w:rsidRPr="00CB54EA">
              <w:rPr>
                <w:rFonts w:asciiTheme="minorHAnsi" w:hAnsiTheme="minorHAnsi"/>
                <w:sz w:val="22"/>
                <w:szCs w:val="22"/>
              </w:rPr>
              <w:t xml:space="preserve"> and who have one or more of the following behavioral health diagnoses listed by ICD-10 code, validated by medical records, reflecting an ongoing, chronic condition such as schizophrenia or episodic mood disorders, psychosis, or alcohol/drug dependence, not in remission: </w:t>
            </w:r>
          </w:p>
          <w:p w14:paraId="4055F5AE"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F10.20-F10.29, excluding F10.21.</w:t>
            </w:r>
          </w:p>
          <w:p w14:paraId="3CBED925"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F11.20-F11.29, excluding F11.21.</w:t>
            </w:r>
          </w:p>
          <w:p w14:paraId="009D3E7B"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F12.20-F12.29, excluding F12.21.</w:t>
            </w:r>
          </w:p>
          <w:p w14:paraId="2B72A69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F13.20-F13.29, excluding F13.21.</w:t>
            </w:r>
          </w:p>
          <w:p w14:paraId="686DA148"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F14.20-F14.29, excluding F14.21.</w:t>
            </w:r>
          </w:p>
          <w:p w14:paraId="50D135DD"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F15.20-F15.29, excluding F15.21.</w:t>
            </w:r>
          </w:p>
          <w:p w14:paraId="050C3442"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F16.20-F16.29, excluding F16.21.</w:t>
            </w:r>
          </w:p>
          <w:p w14:paraId="403D7AB4"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F18.20-F18.29, excluding F18.21.</w:t>
            </w:r>
          </w:p>
          <w:p w14:paraId="1199241C"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F19.20-F19.29, excluding F19.21.</w:t>
            </w:r>
          </w:p>
          <w:p w14:paraId="3B0AFC0C"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F20.0-F20.9, F25.0-F25.9 (schizophrenia).</w:t>
            </w:r>
          </w:p>
          <w:p w14:paraId="2F7422D7"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F28, F9 (other psychosis).</w:t>
            </w:r>
          </w:p>
          <w:p w14:paraId="15695AB7"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F30.0-F30.9 (bipolar).</w:t>
            </w:r>
          </w:p>
          <w:p w14:paraId="05C9D25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F31.0-F31.9 (bipolar).</w:t>
            </w:r>
          </w:p>
          <w:p w14:paraId="2A96D508"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F32.0-F32.9 (major depression).</w:t>
            </w:r>
          </w:p>
          <w:p w14:paraId="777758B0"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F33.0-F33.9 (major depression).</w:t>
            </w:r>
          </w:p>
          <w:p w14:paraId="38924E6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F34.8, F34.9, F39 (mood disorders).</w:t>
            </w:r>
          </w:p>
          <w:p w14:paraId="5FD67FA3" w14:textId="77777777" w:rsidR="00BD69E0" w:rsidRPr="00CB54EA" w:rsidRDefault="00BD69E0" w:rsidP="006B25A2">
            <w:pPr>
              <w:pStyle w:val="TableBullet1"/>
              <w:numPr>
                <w:ilvl w:val="0"/>
                <w:numId w:val="0"/>
              </w:numPr>
              <w:rPr>
                <w:rFonts w:asciiTheme="minorHAnsi" w:hAnsiTheme="minorHAnsi"/>
                <w:sz w:val="22"/>
                <w:szCs w:val="22"/>
                <w:u w:val="single"/>
              </w:rPr>
            </w:pPr>
            <w:r w:rsidRPr="00CB54EA">
              <w:rPr>
                <w:rFonts w:asciiTheme="minorHAnsi" w:hAnsiTheme="minorHAnsi"/>
                <w:sz w:val="22"/>
                <w:szCs w:val="22"/>
                <w:u w:val="single"/>
              </w:rPr>
              <w:t>Proxy Method</w:t>
            </w:r>
          </w:p>
          <w:p w14:paraId="64DB5CD9" w14:textId="7BF9BBE3"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The base data for this rating category was developed based on member month</w:t>
            </w:r>
            <w:r w:rsidR="00713FEA" w:rsidRPr="00CB54EA">
              <w:rPr>
                <w:rFonts w:asciiTheme="minorHAnsi" w:hAnsiTheme="minorHAnsi"/>
                <w:sz w:val="22"/>
                <w:szCs w:val="22"/>
              </w:rPr>
              <w:t>s and expenditures not in F1, C3C</w:t>
            </w:r>
            <w:r w:rsidR="00F40699" w:rsidRPr="00CB54EA">
              <w:rPr>
                <w:rFonts w:asciiTheme="minorHAnsi" w:hAnsiTheme="minorHAnsi"/>
                <w:sz w:val="22"/>
                <w:szCs w:val="22"/>
              </w:rPr>
              <w:t>,</w:t>
            </w:r>
            <w:r w:rsidR="00713FEA" w:rsidRPr="00CB54EA">
              <w:rPr>
                <w:rFonts w:asciiTheme="minorHAnsi" w:hAnsiTheme="minorHAnsi"/>
                <w:sz w:val="22"/>
                <w:szCs w:val="22"/>
              </w:rPr>
              <w:t xml:space="preserve"> or C3</w:t>
            </w:r>
            <w:r w:rsidRPr="00CB54EA">
              <w:rPr>
                <w:rFonts w:asciiTheme="minorHAnsi" w:hAnsiTheme="minorHAnsi"/>
                <w:sz w:val="22"/>
                <w:szCs w:val="22"/>
              </w:rPr>
              <w:t xml:space="preserve"> who had any claims in the Medicaid FFS data with a qualifying diagnosis (listed above) and/or non-outpatient claims in the Medicare–Medicaid crossover or Medicare FFS data with a qualifying diagnosis (listed above). </w:t>
            </w:r>
          </w:p>
        </w:tc>
      </w:tr>
      <w:tr w:rsidR="00BD69E0" w:rsidRPr="00CB54EA" w14:paraId="319EEED7" w14:textId="77777777" w:rsidTr="006B25A2">
        <w:trPr>
          <w:cantSplit/>
        </w:trPr>
        <w:tc>
          <w:tcPr>
            <w:tcW w:w="2250" w:type="dxa"/>
            <w:shd w:val="clear" w:color="auto" w:fill="auto"/>
          </w:tcPr>
          <w:p w14:paraId="7E5B130A" w14:textId="297C7BDC"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lastRenderedPageBreak/>
              <w:t>C1: Community Tier 1 — Community Other</w:t>
            </w:r>
          </w:p>
        </w:tc>
        <w:tc>
          <w:tcPr>
            <w:tcW w:w="6480" w:type="dxa"/>
            <w:shd w:val="clear" w:color="auto" w:fill="auto"/>
          </w:tcPr>
          <w:p w14:paraId="36C55B1B"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4C44F984" w14:textId="4DE9B95D"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Includes individuals in the community who do not meet the F1, </w:t>
            </w:r>
            <w:r w:rsidR="00713FEA" w:rsidRPr="00CB54EA">
              <w:rPr>
                <w:rFonts w:asciiTheme="minorHAnsi" w:hAnsiTheme="minorHAnsi"/>
                <w:sz w:val="22"/>
                <w:szCs w:val="22"/>
              </w:rPr>
              <w:t xml:space="preserve">C3C, </w:t>
            </w:r>
            <w:r w:rsidRPr="00CB54EA">
              <w:rPr>
                <w:rFonts w:asciiTheme="minorHAnsi" w:hAnsiTheme="minorHAnsi"/>
                <w:sz w:val="22"/>
                <w:szCs w:val="22"/>
              </w:rPr>
              <w:t>C3, or C2 criteria.</w:t>
            </w:r>
          </w:p>
          <w:p w14:paraId="0D252D93"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72CCB093" w14:textId="392474A1"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The base data for this rating category </w:t>
            </w:r>
            <w:r w:rsidR="00713FEA" w:rsidRPr="00CB54EA">
              <w:rPr>
                <w:rFonts w:asciiTheme="minorHAnsi" w:hAnsiTheme="minorHAnsi"/>
                <w:sz w:val="22"/>
                <w:szCs w:val="22"/>
              </w:rPr>
              <w:t xml:space="preserve">included claim an eligibility data for members </w:t>
            </w:r>
            <w:r w:rsidRPr="00CB54EA">
              <w:rPr>
                <w:rFonts w:asciiTheme="minorHAnsi" w:hAnsiTheme="minorHAnsi"/>
                <w:sz w:val="22"/>
                <w:szCs w:val="22"/>
              </w:rPr>
              <w:t xml:space="preserve">not in F1, C3, or C2. </w:t>
            </w:r>
          </w:p>
        </w:tc>
      </w:tr>
    </w:tbl>
    <w:p w14:paraId="3E391FB3" w14:textId="77777777" w:rsidR="006076D0" w:rsidRPr="00CB54EA" w:rsidRDefault="006076D0" w:rsidP="006B25A2">
      <w:pPr>
        <w:rPr>
          <w:rFonts w:asciiTheme="minorHAnsi" w:hAnsiTheme="minorHAnsi" w:cstheme="minorHAnsi"/>
          <w:sz w:val="22"/>
          <w:szCs w:val="22"/>
        </w:rPr>
      </w:pPr>
    </w:p>
    <w:p w14:paraId="22CB44B8" w14:textId="5D6B4982"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CB54EA">
        <w:rPr>
          <w:rFonts w:asciiTheme="minorHAnsi" w:hAnsiTheme="minorHAnsi" w:cs="Arial"/>
          <w:sz w:val="20"/>
          <w:szCs w:val="20"/>
        </w:rPr>
        <w:t xml:space="preserve"> </w:t>
      </w:r>
      <w:r w:rsidRPr="00CB54EA">
        <w:rPr>
          <w:rFonts w:asciiTheme="minorHAnsi" w:hAnsiTheme="minorHAnsi" w:cs="Arial"/>
          <w:sz w:val="22"/>
          <w:szCs w:val="22"/>
        </w:rPr>
        <w:t>compensating plans for up to 3 months of difference between assessed and proxied rating categories. </w:t>
      </w:r>
    </w:p>
    <w:p w14:paraId="6B180C9A" w14:textId="77777777" w:rsidR="006B25A2" w:rsidRPr="00CB54EA" w:rsidRDefault="006B25A2" w:rsidP="006B25A2">
      <w:pPr>
        <w:pStyle w:val="Heading2"/>
        <w:rPr>
          <w:rFonts w:asciiTheme="minorHAnsi" w:hAnsiTheme="minorHAnsi"/>
          <w:sz w:val="22"/>
          <w:szCs w:val="22"/>
        </w:rPr>
      </w:pPr>
    </w:p>
    <w:p w14:paraId="14A84DE9" w14:textId="77777777" w:rsidR="006B25A2" w:rsidRPr="00CB54EA" w:rsidRDefault="006B25A2" w:rsidP="006B25A2">
      <w:pPr>
        <w:pStyle w:val="Heading2"/>
        <w:rPr>
          <w:rFonts w:asciiTheme="minorHAnsi" w:hAnsiTheme="minorHAnsi"/>
          <w:sz w:val="22"/>
          <w:szCs w:val="22"/>
        </w:rPr>
      </w:pPr>
      <w:r w:rsidRPr="00CB54EA">
        <w:rPr>
          <w:rFonts w:asciiTheme="minorHAnsi" w:hAnsiTheme="minorHAnsi"/>
          <w:sz w:val="22"/>
          <w:szCs w:val="22"/>
        </w:rPr>
        <w:t>C2 Rating Category Split</w:t>
      </w:r>
    </w:p>
    <w:p w14:paraId="17C18EBB" w14:textId="53C8DA81"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MassHealth further </w:t>
      </w:r>
      <w:r w:rsidR="00440FBB" w:rsidRPr="00CB54EA">
        <w:rPr>
          <w:rFonts w:asciiTheme="minorHAnsi" w:hAnsiTheme="minorHAnsi"/>
          <w:sz w:val="22"/>
          <w:szCs w:val="22"/>
        </w:rPr>
        <w:t xml:space="preserve">classifies C2 </w:t>
      </w:r>
      <w:r w:rsidRPr="00CB54EA">
        <w:rPr>
          <w:rFonts w:asciiTheme="minorHAnsi" w:hAnsiTheme="minorHAnsi"/>
          <w:sz w:val="22"/>
          <w:szCs w:val="22"/>
        </w:rPr>
        <w:t>enrollees into:</w:t>
      </w:r>
    </w:p>
    <w:p w14:paraId="778D606A"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 xml:space="preserve">C2A: Community Tier 2 – Community High Behavioral Health </w:t>
      </w:r>
    </w:p>
    <w:p w14:paraId="05B8C377"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 xml:space="preserve">C2B: Community Tier 2 – Community Very High Behavioral Health </w:t>
      </w:r>
    </w:p>
    <w:p w14:paraId="1C2F5093" w14:textId="77777777" w:rsidR="006B25A2" w:rsidRPr="00CB54EA" w:rsidRDefault="006B25A2" w:rsidP="006B25A2">
      <w:pPr>
        <w:rPr>
          <w:rFonts w:asciiTheme="minorHAnsi" w:hAnsiTheme="minorHAnsi" w:cstheme="minorHAnsi"/>
          <w:sz w:val="22"/>
          <w:szCs w:val="22"/>
        </w:rPr>
      </w:pPr>
    </w:p>
    <w:p w14:paraId="5E32CE8C" w14:textId="4CBE7304"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C2B rating category includes all the requirements of the C2-Community High Behavioral Health rating category, but also includes criteria related to specific co-morbid behavioral health and substance abuse conditions. The C2B rating category include</w:t>
      </w:r>
      <w:r w:rsidR="00440FBB" w:rsidRPr="00CB54EA">
        <w:rPr>
          <w:rFonts w:asciiTheme="minorHAnsi" w:hAnsiTheme="minorHAnsi" w:cstheme="minorHAnsi"/>
          <w:sz w:val="22"/>
          <w:szCs w:val="22"/>
        </w:rPr>
        <w:t>s</w:t>
      </w:r>
      <w:r w:rsidRPr="00CB54EA">
        <w:rPr>
          <w:rFonts w:asciiTheme="minorHAnsi" w:hAnsiTheme="minorHAnsi" w:cstheme="minorHAnsi"/>
          <w:sz w:val="22"/>
          <w:szCs w:val="22"/>
        </w:rPr>
        <w:t xml:space="preserve"> individuals with at least one mental health diagnosis (ICD-10 </w:t>
      </w:r>
      <w:r w:rsidRPr="00CB54EA">
        <w:rPr>
          <w:rFonts w:asciiTheme="minorHAnsi" w:hAnsiTheme="minorHAnsi" w:cs="Arial"/>
          <w:sz w:val="22"/>
          <w:szCs w:val="22"/>
          <w:lang w:eastAsia="ja-JP"/>
        </w:rPr>
        <w:t>F20.0-F20.9</w:t>
      </w:r>
      <w:r w:rsidRPr="00CB54EA">
        <w:rPr>
          <w:rFonts w:asciiTheme="minorHAnsi" w:hAnsiTheme="minorHAnsi" w:cs="Arial"/>
          <w:sz w:val="22"/>
          <w:szCs w:val="22"/>
        </w:rPr>
        <w:t>,</w:t>
      </w:r>
      <w:r w:rsidRPr="00CB54EA">
        <w:rPr>
          <w:rFonts w:asciiTheme="minorHAnsi" w:hAnsiTheme="minorHAnsi" w:cs="Arial"/>
          <w:sz w:val="22"/>
          <w:szCs w:val="22"/>
          <w:lang w:eastAsia="ja-JP"/>
        </w:rPr>
        <w:t xml:space="preserve"> F25.0-F25.9, </w:t>
      </w:r>
      <w:r w:rsidR="00713FEA" w:rsidRPr="00CB54EA">
        <w:rPr>
          <w:rFonts w:asciiTheme="minorHAnsi" w:hAnsiTheme="minorHAnsi" w:cs="Arial"/>
          <w:sz w:val="22"/>
          <w:szCs w:val="22"/>
          <w:lang w:eastAsia="ja-JP"/>
        </w:rPr>
        <w:t xml:space="preserve">F28, F9, </w:t>
      </w:r>
      <w:r w:rsidRPr="00CB54EA">
        <w:rPr>
          <w:rFonts w:asciiTheme="minorHAnsi" w:hAnsiTheme="minorHAnsi" w:cs="Arial"/>
          <w:sz w:val="22"/>
          <w:szCs w:val="22"/>
          <w:lang w:eastAsia="ja-JP"/>
        </w:rPr>
        <w:t>F30.0-F30.9, F31.0-F31.9, F32.0-F32.9, F33.0-F33.9</w:t>
      </w:r>
      <w:r w:rsidRPr="00CB54EA">
        <w:rPr>
          <w:rFonts w:asciiTheme="minorHAnsi" w:hAnsiTheme="minorHAnsi" w:cs="Arial"/>
          <w:sz w:val="22"/>
          <w:szCs w:val="22"/>
        </w:rPr>
        <w:t>, F34.8, F34.9, or F39</w:t>
      </w:r>
      <w:r w:rsidRPr="00CB54EA">
        <w:rPr>
          <w:rFonts w:asciiTheme="minorHAnsi" w:hAnsiTheme="minorHAnsi" w:cstheme="minorHAnsi"/>
          <w:sz w:val="22"/>
          <w:szCs w:val="22"/>
        </w:rPr>
        <w:t xml:space="preserve">), </w:t>
      </w:r>
      <w:r w:rsidRPr="00CB54EA">
        <w:rPr>
          <w:rStyle w:val="Strong"/>
          <w:rFonts w:asciiTheme="minorHAnsi" w:hAnsiTheme="minorHAnsi" w:cstheme="minorHAnsi"/>
          <w:i/>
          <w:sz w:val="22"/>
          <w:szCs w:val="22"/>
        </w:rPr>
        <w:t>and</w:t>
      </w:r>
      <w:r w:rsidRPr="00CB54EA">
        <w:rPr>
          <w:rFonts w:asciiTheme="minorHAnsi" w:hAnsiTheme="minorHAnsi" w:cstheme="minorHAnsi"/>
          <w:sz w:val="22"/>
          <w:szCs w:val="22"/>
        </w:rPr>
        <w:t xml:space="preserve"> at least one substance abuse diagnosis (ICD-10 </w:t>
      </w:r>
      <w:r w:rsidRPr="00CB54EA">
        <w:rPr>
          <w:rFonts w:asciiTheme="minorHAnsi" w:hAnsiTheme="minorHAnsi" w:cs="Arial"/>
          <w:sz w:val="22"/>
          <w:szCs w:val="22"/>
          <w:lang w:eastAsia="ja-JP"/>
        </w:rPr>
        <w:t>F10.20-F10.29</w:t>
      </w:r>
      <w:r w:rsidR="00713FEA" w:rsidRPr="00CB54EA">
        <w:rPr>
          <w:rFonts w:asciiTheme="minorHAnsi" w:hAnsiTheme="minorHAnsi" w:cs="Arial"/>
          <w:sz w:val="22"/>
          <w:szCs w:val="22"/>
          <w:lang w:eastAsia="ja-JP"/>
        </w:rPr>
        <w:t xml:space="preserve"> excluding F10.21</w:t>
      </w:r>
      <w:r w:rsidRPr="00CB54EA">
        <w:rPr>
          <w:rFonts w:asciiTheme="minorHAnsi" w:hAnsiTheme="minorHAnsi" w:cs="Arial"/>
          <w:sz w:val="22"/>
          <w:szCs w:val="22"/>
          <w:lang w:eastAsia="ja-JP"/>
        </w:rPr>
        <w:t>, F11.20-F11.29</w:t>
      </w:r>
      <w:r w:rsidR="00713FEA" w:rsidRPr="00CB54EA">
        <w:rPr>
          <w:rFonts w:asciiTheme="minorHAnsi" w:hAnsiTheme="minorHAnsi" w:cs="Arial"/>
          <w:sz w:val="22"/>
          <w:szCs w:val="22"/>
          <w:lang w:eastAsia="ja-JP"/>
        </w:rPr>
        <w:t xml:space="preserve"> excluding F11.21</w:t>
      </w:r>
      <w:r w:rsidRPr="00CB54EA">
        <w:rPr>
          <w:rFonts w:asciiTheme="minorHAnsi" w:hAnsiTheme="minorHAnsi" w:cs="Arial"/>
          <w:sz w:val="22"/>
          <w:szCs w:val="22"/>
          <w:lang w:eastAsia="ja-JP"/>
        </w:rPr>
        <w:t>, F12.20-F12.29</w:t>
      </w:r>
      <w:r w:rsidR="00713FEA" w:rsidRPr="00CB54EA">
        <w:rPr>
          <w:rFonts w:asciiTheme="minorHAnsi" w:hAnsiTheme="minorHAnsi" w:cs="Arial"/>
          <w:sz w:val="22"/>
          <w:szCs w:val="22"/>
          <w:lang w:eastAsia="ja-JP"/>
        </w:rPr>
        <w:t xml:space="preserve"> excluding F12.21</w:t>
      </w:r>
      <w:r w:rsidRPr="00CB54EA">
        <w:rPr>
          <w:rFonts w:asciiTheme="minorHAnsi" w:hAnsiTheme="minorHAnsi" w:cs="Arial"/>
          <w:sz w:val="22"/>
          <w:szCs w:val="22"/>
          <w:lang w:eastAsia="ja-JP"/>
        </w:rPr>
        <w:t>, F13.20-F13.29</w:t>
      </w:r>
      <w:r w:rsidR="00713FEA" w:rsidRPr="00CB54EA">
        <w:rPr>
          <w:rFonts w:asciiTheme="minorHAnsi" w:hAnsiTheme="minorHAnsi" w:cs="Arial"/>
          <w:sz w:val="22"/>
          <w:szCs w:val="22"/>
          <w:lang w:eastAsia="ja-JP"/>
        </w:rPr>
        <w:t xml:space="preserve"> excluding F13.21</w:t>
      </w:r>
      <w:r w:rsidRPr="00CB54EA">
        <w:rPr>
          <w:rFonts w:asciiTheme="minorHAnsi" w:hAnsiTheme="minorHAnsi" w:cs="Arial"/>
          <w:sz w:val="22"/>
          <w:szCs w:val="22"/>
          <w:lang w:eastAsia="ja-JP"/>
        </w:rPr>
        <w:t>, F14.20-F14.29</w:t>
      </w:r>
      <w:r w:rsidR="00713FEA" w:rsidRPr="00CB54EA">
        <w:rPr>
          <w:rFonts w:asciiTheme="minorHAnsi" w:hAnsiTheme="minorHAnsi" w:cs="Arial"/>
          <w:sz w:val="22"/>
          <w:szCs w:val="22"/>
          <w:lang w:eastAsia="ja-JP"/>
        </w:rPr>
        <w:t xml:space="preserve"> excluding F14.21</w:t>
      </w:r>
      <w:r w:rsidRPr="00CB54EA">
        <w:rPr>
          <w:rFonts w:asciiTheme="minorHAnsi" w:hAnsiTheme="minorHAnsi" w:cs="Arial"/>
          <w:sz w:val="22"/>
          <w:szCs w:val="22"/>
          <w:lang w:eastAsia="ja-JP"/>
        </w:rPr>
        <w:t>, F15.20-F15.29</w:t>
      </w:r>
      <w:r w:rsidR="00713FEA" w:rsidRPr="00CB54EA">
        <w:rPr>
          <w:rFonts w:asciiTheme="minorHAnsi" w:hAnsiTheme="minorHAnsi" w:cs="Arial"/>
          <w:sz w:val="22"/>
          <w:szCs w:val="22"/>
          <w:lang w:eastAsia="ja-JP"/>
        </w:rPr>
        <w:t xml:space="preserve"> excluding F15.21</w:t>
      </w:r>
      <w:r w:rsidRPr="00CB54EA">
        <w:rPr>
          <w:rFonts w:asciiTheme="minorHAnsi" w:hAnsiTheme="minorHAnsi" w:cs="Arial"/>
          <w:sz w:val="22"/>
          <w:szCs w:val="22"/>
          <w:lang w:eastAsia="ja-JP"/>
        </w:rPr>
        <w:t>, F16.20-F16.29</w:t>
      </w:r>
      <w:r w:rsidR="00713FEA" w:rsidRPr="00CB54EA">
        <w:rPr>
          <w:rFonts w:asciiTheme="minorHAnsi" w:hAnsiTheme="minorHAnsi" w:cs="Arial"/>
          <w:sz w:val="22"/>
          <w:szCs w:val="22"/>
          <w:lang w:eastAsia="ja-JP"/>
        </w:rPr>
        <w:t xml:space="preserve"> excluding F16.21</w:t>
      </w:r>
      <w:r w:rsidRPr="00CB54EA">
        <w:rPr>
          <w:rFonts w:asciiTheme="minorHAnsi" w:hAnsiTheme="minorHAnsi" w:cs="Arial"/>
          <w:sz w:val="22"/>
          <w:szCs w:val="22"/>
          <w:lang w:eastAsia="ja-JP"/>
        </w:rPr>
        <w:t>, F18.20-F18.29</w:t>
      </w:r>
      <w:r w:rsidR="00713FEA" w:rsidRPr="00CB54EA">
        <w:rPr>
          <w:rFonts w:asciiTheme="minorHAnsi" w:hAnsiTheme="minorHAnsi" w:cs="Arial"/>
          <w:sz w:val="22"/>
          <w:szCs w:val="22"/>
          <w:lang w:eastAsia="ja-JP"/>
        </w:rPr>
        <w:t xml:space="preserve"> excluding F18.21</w:t>
      </w:r>
      <w:r w:rsidRPr="00CB54EA">
        <w:rPr>
          <w:rFonts w:asciiTheme="minorHAnsi" w:hAnsiTheme="minorHAnsi" w:cs="Arial"/>
          <w:sz w:val="22"/>
          <w:szCs w:val="22"/>
          <w:lang w:eastAsia="ja-JP"/>
        </w:rPr>
        <w:t>, or F19.20-F19.29</w:t>
      </w:r>
      <w:r w:rsidR="00713FEA" w:rsidRPr="00CB54EA">
        <w:rPr>
          <w:rFonts w:asciiTheme="minorHAnsi" w:hAnsiTheme="minorHAnsi" w:cs="Arial"/>
          <w:sz w:val="22"/>
          <w:szCs w:val="22"/>
          <w:lang w:eastAsia="ja-JP"/>
        </w:rPr>
        <w:t xml:space="preserve"> excluding F19.21</w:t>
      </w:r>
      <w:r w:rsidRPr="00CB54EA">
        <w:rPr>
          <w:rFonts w:asciiTheme="minorHAnsi" w:hAnsiTheme="minorHAnsi" w:cstheme="minorHAnsi"/>
          <w:sz w:val="22"/>
          <w:szCs w:val="22"/>
        </w:rPr>
        <w:t>). Any individual that meets the overall C2 criteria, but does not meet the C2B criteria, would be classified as C2A.</w:t>
      </w:r>
    </w:p>
    <w:p w14:paraId="5E2AC512" w14:textId="77777777" w:rsidR="006B25A2" w:rsidRPr="00CB54EA" w:rsidRDefault="006B25A2" w:rsidP="006B25A2">
      <w:pPr>
        <w:rPr>
          <w:rFonts w:asciiTheme="minorHAnsi" w:hAnsiTheme="minorHAnsi" w:cstheme="minorHAnsi"/>
          <w:sz w:val="22"/>
          <w:szCs w:val="22"/>
        </w:rPr>
      </w:pPr>
    </w:p>
    <w:p w14:paraId="29D7392E" w14:textId="77777777" w:rsidR="006B25A2" w:rsidRPr="00CB54EA" w:rsidRDefault="006B25A2" w:rsidP="006B25A2">
      <w:pPr>
        <w:rPr>
          <w:rFonts w:asciiTheme="minorHAnsi" w:hAnsiTheme="minorHAnsi"/>
          <w:b/>
          <w:sz w:val="22"/>
          <w:szCs w:val="22"/>
        </w:rPr>
      </w:pPr>
      <w:r w:rsidRPr="00CB54EA">
        <w:rPr>
          <w:rFonts w:asciiTheme="minorHAnsi" w:hAnsiTheme="minorHAnsi"/>
          <w:b/>
          <w:sz w:val="22"/>
          <w:szCs w:val="22"/>
        </w:rPr>
        <w:t>C3 Rating Category Split</w:t>
      </w:r>
    </w:p>
    <w:p w14:paraId="40B953EE" w14:textId="3833B30B"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In order to further mitigate risk of adverse risk selection to One Care plans, MassHealth further </w:t>
      </w:r>
      <w:r w:rsidR="00440FBB" w:rsidRPr="00CB54EA">
        <w:rPr>
          <w:rFonts w:asciiTheme="minorHAnsi" w:hAnsiTheme="minorHAnsi"/>
          <w:sz w:val="22"/>
          <w:szCs w:val="22"/>
        </w:rPr>
        <w:t xml:space="preserve">classifies C3 </w:t>
      </w:r>
      <w:r w:rsidRPr="00CB54EA">
        <w:rPr>
          <w:rFonts w:asciiTheme="minorHAnsi" w:hAnsiTheme="minorHAnsi"/>
          <w:sz w:val="22"/>
          <w:szCs w:val="22"/>
        </w:rPr>
        <w:t>enrollees into:</w:t>
      </w:r>
    </w:p>
    <w:p w14:paraId="20D5B079" w14:textId="77777777" w:rsidR="006B25A2" w:rsidRPr="00CB54EA" w:rsidRDefault="006B25A2" w:rsidP="006B25A2">
      <w:pPr>
        <w:rPr>
          <w:rFonts w:asciiTheme="minorHAnsi" w:hAnsiTheme="minorHAnsi" w:cstheme="minorHAnsi"/>
          <w:sz w:val="22"/>
          <w:szCs w:val="22"/>
        </w:rPr>
      </w:pPr>
    </w:p>
    <w:p w14:paraId="40DFD1B9"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C3A: Community Tier 3 – High Community Need</w:t>
      </w:r>
    </w:p>
    <w:p w14:paraId="657D6FC9"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C3B: Community Tier 3 – Very High Community Need</w:t>
      </w:r>
    </w:p>
    <w:p w14:paraId="18365A19" w14:textId="77777777" w:rsidR="006B25A2" w:rsidRPr="00CB54EA" w:rsidRDefault="006B25A2" w:rsidP="006B25A2">
      <w:pPr>
        <w:ind w:left="1080"/>
        <w:rPr>
          <w:rFonts w:asciiTheme="minorHAnsi" w:hAnsiTheme="minorHAnsi" w:cstheme="minorHAnsi"/>
          <w:sz w:val="22"/>
          <w:szCs w:val="22"/>
        </w:rPr>
      </w:pPr>
    </w:p>
    <w:p w14:paraId="782B3005" w14:textId="6E5A394D"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C3B rating category includes all the requirements of the C3-High Community Needs rating category, but also includes criteria related to specific diagnoses.  The C3B rating category include</w:t>
      </w:r>
      <w:r w:rsidR="00440FBB" w:rsidRPr="00CB54EA">
        <w:rPr>
          <w:rFonts w:asciiTheme="minorHAnsi" w:hAnsiTheme="minorHAnsi" w:cstheme="minorHAnsi"/>
          <w:sz w:val="22"/>
          <w:szCs w:val="22"/>
        </w:rPr>
        <w:t>s</w:t>
      </w:r>
      <w:r w:rsidRPr="00CB54EA">
        <w:rPr>
          <w:rFonts w:asciiTheme="minorHAnsi" w:hAnsiTheme="minorHAnsi" w:cstheme="minorHAnsi"/>
          <w:sz w:val="22"/>
          <w:szCs w:val="22"/>
        </w:rPr>
        <w:t xml:space="preserve"> individuals with a diagnosis of Quadriplegia (ICD-10 </w:t>
      </w:r>
      <w:r w:rsidRPr="00CB54EA">
        <w:rPr>
          <w:rFonts w:asciiTheme="minorHAnsi" w:hAnsiTheme="minorHAnsi" w:cs="Arial"/>
          <w:sz w:val="22"/>
          <w:szCs w:val="22"/>
        </w:rPr>
        <w:t>G80.0 or G82.50-G82.54</w:t>
      </w:r>
      <w:r w:rsidRPr="00CB54EA">
        <w:rPr>
          <w:rFonts w:asciiTheme="minorHAnsi" w:hAnsiTheme="minorHAnsi" w:cstheme="minorHAnsi"/>
          <w:sz w:val="22"/>
          <w:szCs w:val="22"/>
        </w:rPr>
        <w:t xml:space="preserve">), ALS (ICD-10 </w:t>
      </w:r>
      <w:r w:rsidRPr="00CB54EA">
        <w:rPr>
          <w:rFonts w:asciiTheme="minorHAnsi" w:hAnsiTheme="minorHAnsi" w:cs="Arial"/>
          <w:sz w:val="22"/>
          <w:szCs w:val="22"/>
        </w:rPr>
        <w:t>G12.21</w:t>
      </w:r>
      <w:r w:rsidRPr="00CB54EA">
        <w:rPr>
          <w:rFonts w:asciiTheme="minorHAnsi" w:hAnsiTheme="minorHAnsi" w:cstheme="minorHAnsi"/>
          <w:sz w:val="22"/>
          <w:szCs w:val="22"/>
        </w:rPr>
        <w:t xml:space="preserve">), Muscular Dystrophy (ICD-10 </w:t>
      </w:r>
      <w:r w:rsidRPr="00CB54EA">
        <w:rPr>
          <w:rFonts w:asciiTheme="minorHAnsi" w:hAnsiTheme="minorHAnsi" w:cs="Arial"/>
          <w:sz w:val="22"/>
          <w:szCs w:val="22"/>
        </w:rPr>
        <w:t>G71.0 or G71.2</w:t>
      </w:r>
      <w:r w:rsidRPr="00CB54EA">
        <w:rPr>
          <w:rFonts w:asciiTheme="minorHAnsi" w:hAnsiTheme="minorHAnsi" w:cstheme="minorHAnsi"/>
          <w:sz w:val="22"/>
          <w:szCs w:val="22"/>
        </w:rPr>
        <w:t xml:space="preserve">), and/or Respirator Dependence (ICD-10 </w:t>
      </w:r>
      <w:r w:rsidRPr="00CB54EA">
        <w:rPr>
          <w:rFonts w:asciiTheme="minorHAnsi" w:hAnsiTheme="minorHAnsi" w:cs="Arial"/>
          <w:sz w:val="22"/>
          <w:szCs w:val="22"/>
        </w:rPr>
        <w:t>Z99.11 or Z99.12</w:t>
      </w:r>
      <w:r w:rsidRPr="00CB54EA">
        <w:rPr>
          <w:rFonts w:asciiTheme="minorHAnsi" w:hAnsiTheme="minorHAnsi" w:cstheme="minorHAnsi"/>
          <w:sz w:val="22"/>
          <w:szCs w:val="22"/>
        </w:rPr>
        <w:t>).  Any individual that meets the overall C3 criteria, but does not meet the C3B criteria, would be classified as C3A.</w:t>
      </w:r>
    </w:p>
    <w:p w14:paraId="2BDE1FD6" w14:textId="77777777" w:rsidR="006B25A2" w:rsidRPr="00CB54EA" w:rsidRDefault="006B25A2" w:rsidP="006B25A2">
      <w:pPr>
        <w:rPr>
          <w:rFonts w:asciiTheme="minorHAnsi" w:hAnsiTheme="minorHAnsi" w:cstheme="minorHAnsi"/>
          <w:sz w:val="22"/>
          <w:szCs w:val="22"/>
        </w:rPr>
      </w:pPr>
    </w:p>
    <w:p w14:paraId="03781D80" w14:textId="77777777" w:rsidR="006B25A2" w:rsidRPr="00CB54EA" w:rsidRDefault="006B25A2" w:rsidP="006B25A2">
      <w:pPr>
        <w:pStyle w:val="PlainText"/>
        <w:tabs>
          <w:tab w:val="num" w:pos="1800"/>
        </w:tabs>
        <w:rPr>
          <w:rFonts w:asciiTheme="minorHAnsi" w:hAnsiTheme="minorHAnsi" w:cstheme="minorHAnsi"/>
          <w:b/>
          <w:sz w:val="22"/>
          <w:szCs w:val="22"/>
        </w:rPr>
      </w:pPr>
      <w:r w:rsidRPr="00CB54EA">
        <w:rPr>
          <w:rFonts w:asciiTheme="minorHAnsi" w:hAnsiTheme="minorHAnsi" w:cstheme="minorHAnsi"/>
          <w:b/>
          <w:sz w:val="22"/>
          <w:szCs w:val="22"/>
        </w:rPr>
        <w:lastRenderedPageBreak/>
        <w:t>Rate Relativity Factors</w:t>
      </w:r>
    </w:p>
    <w:p w14:paraId="3210794A" w14:textId="77777777" w:rsidR="006B25A2" w:rsidRPr="00CB54EA" w:rsidRDefault="006B25A2" w:rsidP="006B25A2">
      <w:pPr>
        <w:pStyle w:val="PlainText"/>
        <w:tabs>
          <w:tab w:val="num" w:pos="1800"/>
        </w:tabs>
        <w:rPr>
          <w:rFonts w:asciiTheme="minorHAnsi" w:hAnsiTheme="minorHAnsi" w:cstheme="minorHAnsi"/>
          <w:b/>
          <w:sz w:val="22"/>
          <w:szCs w:val="22"/>
        </w:rPr>
      </w:pPr>
      <w:r w:rsidRPr="00CB54EA">
        <w:rPr>
          <w:rFonts w:asciiTheme="minorHAnsi" w:hAnsiTheme="minorHAnsi" w:cstheme="minorHAnsi"/>
          <w:sz w:val="22"/>
          <w:szCs w:val="22"/>
        </w:rPr>
        <w:t>The rate relativity process used to develop the capitation rates for the C2A/C2B and C3A/C3B rating categories can be described at a high level as:</w:t>
      </w:r>
    </w:p>
    <w:p w14:paraId="3D09D1CB"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Relative total costs of C2A/C2B and C3A/C3B to the overall C2 and C3 rating categories, respectively, were developed using the base data.</w:t>
      </w:r>
    </w:p>
    <w:p w14:paraId="3CC21E48" w14:textId="46D249B9"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 xml:space="preserve">Projected costs for the C2 and C3 rating categories were developed by region </w:t>
      </w:r>
    </w:p>
    <w:p w14:paraId="7E107935"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5906EA47"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Adjustments for administration, seasonality, savings and enrollee contribution to care were applied to produce the final capitation rates.</w:t>
      </w:r>
    </w:p>
    <w:p w14:paraId="795681BA" w14:textId="77777777" w:rsidR="006B25A2" w:rsidRPr="00CB54EA" w:rsidRDefault="006B25A2" w:rsidP="006B25A2">
      <w:pPr>
        <w:rPr>
          <w:rFonts w:asciiTheme="minorHAnsi" w:hAnsiTheme="minorHAnsi" w:cstheme="minorHAnsi"/>
          <w:sz w:val="22"/>
          <w:szCs w:val="22"/>
        </w:rPr>
      </w:pPr>
    </w:p>
    <w:p w14:paraId="06BBB7E8"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C2A and C2B rate relativity factors applied to the C2 projected expenditures are:</w:t>
      </w:r>
    </w:p>
    <w:tbl>
      <w:tblPr>
        <w:tblW w:w="4855" w:type="dxa"/>
        <w:tblInd w:w="2808" w:type="dxa"/>
        <w:tblLook w:val="04A0" w:firstRow="1" w:lastRow="0" w:firstColumn="1" w:lastColumn="0" w:noHBand="0" w:noVBand="1"/>
      </w:tblPr>
      <w:tblGrid>
        <w:gridCol w:w="1054"/>
        <w:gridCol w:w="1267"/>
        <w:gridCol w:w="1267"/>
        <w:gridCol w:w="1267"/>
      </w:tblGrid>
      <w:tr w:rsidR="006B25A2" w:rsidRPr="00CB54EA" w14:paraId="37ACB200" w14:textId="77777777" w:rsidTr="00505EDB">
        <w:trPr>
          <w:trHeight w:val="326"/>
        </w:trPr>
        <w:tc>
          <w:tcPr>
            <w:tcW w:w="1054"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6A8AF228"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 </w:t>
            </w:r>
          </w:p>
        </w:tc>
        <w:tc>
          <w:tcPr>
            <w:tcW w:w="1267"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6F78CF2E"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Eastern</w:t>
            </w:r>
          </w:p>
        </w:tc>
        <w:tc>
          <w:tcPr>
            <w:tcW w:w="1267"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08B11213"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Western</w:t>
            </w:r>
          </w:p>
        </w:tc>
        <w:tc>
          <w:tcPr>
            <w:tcW w:w="126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0C0F07D8"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The Cape</w:t>
            </w:r>
          </w:p>
        </w:tc>
      </w:tr>
      <w:tr w:rsidR="006B25A2" w:rsidRPr="00CB54EA" w14:paraId="1EB33D8A" w14:textId="77777777" w:rsidTr="00505EDB">
        <w:trPr>
          <w:trHeight w:val="326"/>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14:paraId="77357D3E"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C2A</w:t>
            </w:r>
          </w:p>
        </w:tc>
        <w:tc>
          <w:tcPr>
            <w:tcW w:w="1267" w:type="dxa"/>
            <w:tcBorders>
              <w:top w:val="nil"/>
              <w:left w:val="nil"/>
              <w:bottom w:val="single" w:sz="4" w:space="0" w:color="auto"/>
              <w:right w:val="single" w:sz="4" w:space="0" w:color="auto"/>
            </w:tcBorders>
            <w:shd w:val="clear" w:color="auto" w:fill="auto"/>
            <w:noWrap/>
            <w:vAlign w:val="center"/>
          </w:tcPr>
          <w:p w14:paraId="5A12AC28" w14:textId="0C6312A8"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5.7</w:t>
            </w:r>
            <w:r w:rsidRPr="00CB54EA">
              <w:rPr>
                <w:rFonts w:asciiTheme="minorHAnsi" w:hAnsiTheme="minorHAnsi" w:cstheme="minorHAnsi"/>
                <w:sz w:val="22"/>
                <w:szCs w:val="22"/>
              </w:rPr>
              <w:t>%</w:t>
            </w:r>
          </w:p>
        </w:tc>
        <w:tc>
          <w:tcPr>
            <w:tcW w:w="1267" w:type="dxa"/>
            <w:tcBorders>
              <w:top w:val="nil"/>
              <w:left w:val="nil"/>
              <w:bottom w:val="single" w:sz="4" w:space="0" w:color="auto"/>
              <w:right w:val="single" w:sz="4" w:space="0" w:color="auto"/>
            </w:tcBorders>
            <w:shd w:val="clear" w:color="auto" w:fill="auto"/>
            <w:noWrap/>
            <w:vAlign w:val="center"/>
          </w:tcPr>
          <w:p w14:paraId="19636575" w14:textId="4FCF5F58"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6.6</w:t>
            </w:r>
            <w:r w:rsidRPr="00CB54EA">
              <w:rPr>
                <w:rFonts w:asciiTheme="minorHAnsi" w:hAnsiTheme="minorHAnsi" w:cstheme="minorHAnsi"/>
                <w:sz w:val="22"/>
                <w:szCs w:val="22"/>
              </w:rPr>
              <w:t>%</w:t>
            </w:r>
          </w:p>
        </w:tc>
        <w:tc>
          <w:tcPr>
            <w:tcW w:w="1267" w:type="dxa"/>
            <w:tcBorders>
              <w:top w:val="nil"/>
              <w:left w:val="nil"/>
              <w:bottom w:val="single" w:sz="4" w:space="0" w:color="auto"/>
              <w:right w:val="single" w:sz="8" w:space="0" w:color="auto"/>
            </w:tcBorders>
            <w:shd w:val="clear" w:color="auto" w:fill="auto"/>
            <w:noWrap/>
            <w:vAlign w:val="center"/>
          </w:tcPr>
          <w:p w14:paraId="1537F4B3" w14:textId="6189822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8.7</w:t>
            </w:r>
            <w:r w:rsidRPr="00CB54EA">
              <w:rPr>
                <w:rFonts w:asciiTheme="minorHAnsi" w:hAnsiTheme="minorHAnsi" w:cstheme="minorHAnsi"/>
                <w:sz w:val="22"/>
                <w:szCs w:val="22"/>
              </w:rPr>
              <w:t>%</w:t>
            </w:r>
          </w:p>
        </w:tc>
      </w:tr>
      <w:tr w:rsidR="006B25A2" w:rsidRPr="00CB54EA" w14:paraId="56956CAA" w14:textId="77777777" w:rsidTr="00505EDB">
        <w:trPr>
          <w:trHeight w:val="326"/>
        </w:trPr>
        <w:tc>
          <w:tcPr>
            <w:tcW w:w="1054" w:type="dxa"/>
            <w:tcBorders>
              <w:top w:val="nil"/>
              <w:left w:val="single" w:sz="8" w:space="0" w:color="auto"/>
              <w:bottom w:val="single" w:sz="8" w:space="0" w:color="auto"/>
              <w:right w:val="single" w:sz="4" w:space="0" w:color="auto"/>
            </w:tcBorders>
            <w:shd w:val="clear" w:color="auto" w:fill="auto"/>
            <w:noWrap/>
            <w:vAlign w:val="bottom"/>
            <w:hideMark/>
          </w:tcPr>
          <w:p w14:paraId="5D4C87AF"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C2B</w:t>
            </w:r>
          </w:p>
        </w:tc>
        <w:tc>
          <w:tcPr>
            <w:tcW w:w="1267" w:type="dxa"/>
            <w:tcBorders>
              <w:top w:val="nil"/>
              <w:left w:val="nil"/>
              <w:bottom w:val="single" w:sz="8" w:space="0" w:color="auto"/>
              <w:right w:val="single" w:sz="4" w:space="0" w:color="auto"/>
            </w:tcBorders>
            <w:shd w:val="clear" w:color="auto" w:fill="auto"/>
            <w:noWrap/>
            <w:vAlign w:val="center"/>
          </w:tcPr>
          <w:p w14:paraId="5BFE3963" w14:textId="7353853C"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33.8</w:t>
            </w:r>
            <w:r w:rsidR="006B25A2" w:rsidRPr="00CB54EA">
              <w:rPr>
                <w:rFonts w:asciiTheme="minorHAnsi" w:hAnsiTheme="minorHAnsi" w:cstheme="minorHAnsi"/>
                <w:sz w:val="22"/>
                <w:szCs w:val="22"/>
              </w:rPr>
              <w:t>%</w:t>
            </w:r>
          </w:p>
        </w:tc>
        <w:tc>
          <w:tcPr>
            <w:tcW w:w="1267" w:type="dxa"/>
            <w:tcBorders>
              <w:top w:val="nil"/>
              <w:left w:val="nil"/>
              <w:bottom w:val="single" w:sz="8" w:space="0" w:color="auto"/>
              <w:right w:val="single" w:sz="4" w:space="0" w:color="auto"/>
            </w:tcBorders>
            <w:shd w:val="clear" w:color="auto" w:fill="auto"/>
            <w:noWrap/>
            <w:vAlign w:val="center"/>
          </w:tcPr>
          <w:p w14:paraId="42EC6B9F" w14:textId="662B31E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32.4</w:t>
            </w:r>
            <w:r w:rsidR="006B25A2" w:rsidRPr="00CB54EA">
              <w:rPr>
                <w:rFonts w:asciiTheme="minorHAnsi" w:hAnsiTheme="minorHAnsi" w:cstheme="minorHAnsi"/>
                <w:sz w:val="22"/>
                <w:szCs w:val="22"/>
              </w:rPr>
              <w:t>%</w:t>
            </w:r>
          </w:p>
        </w:tc>
        <w:tc>
          <w:tcPr>
            <w:tcW w:w="1267" w:type="dxa"/>
            <w:tcBorders>
              <w:top w:val="nil"/>
              <w:left w:val="nil"/>
              <w:bottom w:val="single" w:sz="8" w:space="0" w:color="auto"/>
              <w:right w:val="single" w:sz="8" w:space="0" w:color="auto"/>
            </w:tcBorders>
            <w:shd w:val="clear" w:color="auto" w:fill="auto"/>
            <w:noWrap/>
            <w:vAlign w:val="center"/>
          </w:tcPr>
          <w:p w14:paraId="02E998BE" w14:textId="222736E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29.5</w:t>
            </w:r>
            <w:r w:rsidR="006B25A2" w:rsidRPr="00CB54EA">
              <w:rPr>
                <w:rFonts w:asciiTheme="minorHAnsi" w:hAnsiTheme="minorHAnsi" w:cstheme="minorHAnsi"/>
                <w:sz w:val="22"/>
                <w:szCs w:val="22"/>
              </w:rPr>
              <w:t>%</w:t>
            </w:r>
          </w:p>
        </w:tc>
      </w:tr>
    </w:tbl>
    <w:p w14:paraId="3D76A614" w14:textId="77777777" w:rsidR="006B25A2" w:rsidRPr="00CB54EA" w:rsidRDefault="006B25A2" w:rsidP="006B25A2">
      <w:pPr>
        <w:rPr>
          <w:rFonts w:asciiTheme="minorHAnsi" w:hAnsiTheme="minorHAnsi" w:cstheme="minorHAnsi"/>
          <w:sz w:val="22"/>
          <w:szCs w:val="22"/>
        </w:rPr>
      </w:pPr>
    </w:p>
    <w:p w14:paraId="0BCE2276"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C3A and C3B rate relativity factors applied to the C3 projected expenditures are:</w:t>
      </w:r>
    </w:p>
    <w:p w14:paraId="7E0CD07F" w14:textId="77777777" w:rsidR="006B25A2" w:rsidRPr="00CB54EA" w:rsidRDefault="006B25A2" w:rsidP="006B25A2">
      <w:pPr>
        <w:rPr>
          <w:rFonts w:asciiTheme="minorHAnsi" w:hAnsiTheme="minorHAnsi" w:cstheme="minorHAnsi"/>
          <w:sz w:val="22"/>
          <w:szCs w:val="22"/>
        </w:rPr>
      </w:pPr>
    </w:p>
    <w:tbl>
      <w:tblPr>
        <w:tblW w:w="4861" w:type="dxa"/>
        <w:tblInd w:w="2808" w:type="dxa"/>
        <w:tblLook w:val="04A0" w:firstRow="1" w:lastRow="0" w:firstColumn="1" w:lastColumn="0" w:noHBand="0" w:noVBand="1"/>
      </w:tblPr>
      <w:tblGrid>
        <w:gridCol w:w="982"/>
        <w:gridCol w:w="1293"/>
        <w:gridCol w:w="1293"/>
        <w:gridCol w:w="1293"/>
      </w:tblGrid>
      <w:tr w:rsidR="006B25A2" w:rsidRPr="00CB54EA" w14:paraId="5C079082" w14:textId="77777777" w:rsidTr="00505EDB">
        <w:trPr>
          <w:trHeight w:val="313"/>
        </w:trPr>
        <w:tc>
          <w:tcPr>
            <w:tcW w:w="982"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4CA78ADA"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 </w:t>
            </w:r>
          </w:p>
        </w:tc>
        <w:tc>
          <w:tcPr>
            <w:tcW w:w="129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5286AAA1"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Eastern</w:t>
            </w:r>
          </w:p>
        </w:tc>
        <w:tc>
          <w:tcPr>
            <w:tcW w:w="129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34CCFBD"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Western</w:t>
            </w:r>
          </w:p>
        </w:tc>
        <w:tc>
          <w:tcPr>
            <w:tcW w:w="1293"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04CA32B2"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The Cape</w:t>
            </w:r>
          </w:p>
        </w:tc>
      </w:tr>
      <w:tr w:rsidR="006B25A2" w:rsidRPr="00CB54EA" w14:paraId="2C357F62" w14:textId="77777777" w:rsidTr="00505EDB">
        <w:trPr>
          <w:trHeight w:val="313"/>
        </w:trPr>
        <w:tc>
          <w:tcPr>
            <w:tcW w:w="982" w:type="dxa"/>
            <w:tcBorders>
              <w:top w:val="nil"/>
              <w:left w:val="single" w:sz="8" w:space="0" w:color="auto"/>
              <w:bottom w:val="single" w:sz="4" w:space="0" w:color="auto"/>
              <w:right w:val="single" w:sz="4" w:space="0" w:color="auto"/>
            </w:tcBorders>
            <w:shd w:val="clear" w:color="auto" w:fill="auto"/>
            <w:noWrap/>
            <w:vAlign w:val="bottom"/>
            <w:hideMark/>
          </w:tcPr>
          <w:p w14:paraId="293FADC2"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C3A</w:t>
            </w:r>
          </w:p>
        </w:tc>
        <w:tc>
          <w:tcPr>
            <w:tcW w:w="1293" w:type="dxa"/>
            <w:tcBorders>
              <w:top w:val="nil"/>
              <w:left w:val="nil"/>
              <w:bottom w:val="single" w:sz="4" w:space="0" w:color="auto"/>
              <w:right w:val="single" w:sz="4" w:space="0" w:color="auto"/>
            </w:tcBorders>
            <w:shd w:val="clear" w:color="auto" w:fill="auto"/>
            <w:noWrap/>
            <w:vAlign w:val="center"/>
          </w:tcPr>
          <w:p w14:paraId="0AF9BFD9" w14:textId="5572F62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4.1</w:t>
            </w:r>
            <w:r w:rsidRPr="00CB54EA">
              <w:rPr>
                <w:rFonts w:asciiTheme="minorHAnsi" w:hAnsiTheme="minorHAnsi" w:cstheme="minorHAnsi"/>
                <w:sz w:val="22"/>
                <w:szCs w:val="22"/>
              </w:rPr>
              <w:t>%</w:t>
            </w:r>
          </w:p>
        </w:tc>
        <w:tc>
          <w:tcPr>
            <w:tcW w:w="1293" w:type="dxa"/>
            <w:tcBorders>
              <w:top w:val="nil"/>
              <w:left w:val="nil"/>
              <w:bottom w:val="single" w:sz="4" w:space="0" w:color="auto"/>
              <w:right w:val="single" w:sz="4" w:space="0" w:color="auto"/>
            </w:tcBorders>
            <w:shd w:val="clear" w:color="auto" w:fill="auto"/>
            <w:noWrap/>
            <w:vAlign w:val="center"/>
          </w:tcPr>
          <w:p w14:paraId="2A41AF8A" w14:textId="365AA1D1"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1.4</w:t>
            </w:r>
            <w:r w:rsidRPr="00CB54EA">
              <w:rPr>
                <w:rFonts w:asciiTheme="minorHAnsi" w:hAnsiTheme="minorHAnsi" w:cstheme="minorHAnsi"/>
                <w:sz w:val="22"/>
                <w:szCs w:val="22"/>
              </w:rPr>
              <w:t>%</w:t>
            </w:r>
          </w:p>
        </w:tc>
        <w:tc>
          <w:tcPr>
            <w:tcW w:w="1293" w:type="dxa"/>
            <w:tcBorders>
              <w:top w:val="nil"/>
              <w:left w:val="nil"/>
              <w:bottom w:val="single" w:sz="4" w:space="0" w:color="auto"/>
              <w:right w:val="single" w:sz="8" w:space="0" w:color="auto"/>
            </w:tcBorders>
            <w:shd w:val="clear" w:color="auto" w:fill="auto"/>
            <w:noWrap/>
            <w:vAlign w:val="center"/>
          </w:tcPr>
          <w:p w14:paraId="34F81474" w14:textId="4DFEB2B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1.7</w:t>
            </w:r>
            <w:r w:rsidRPr="00CB54EA">
              <w:rPr>
                <w:rFonts w:asciiTheme="minorHAnsi" w:hAnsiTheme="minorHAnsi" w:cstheme="minorHAnsi"/>
                <w:sz w:val="22"/>
                <w:szCs w:val="22"/>
              </w:rPr>
              <w:t>%</w:t>
            </w:r>
          </w:p>
        </w:tc>
      </w:tr>
      <w:tr w:rsidR="006B25A2" w:rsidRPr="00CB54EA" w14:paraId="0947AD21" w14:textId="77777777" w:rsidTr="00505EDB">
        <w:trPr>
          <w:trHeight w:val="313"/>
        </w:trPr>
        <w:tc>
          <w:tcPr>
            <w:tcW w:w="982" w:type="dxa"/>
            <w:tcBorders>
              <w:top w:val="nil"/>
              <w:left w:val="single" w:sz="8" w:space="0" w:color="auto"/>
              <w:bottom w:val="single" w:sz="8" w:space="0" w:color="auto"/>
              <w:right w:val="single" w:sz="4" w:space="0" w:color="auto"/>
            </w:tcBorders>
            <w:shd w:val="clear" w:color="auto" w:fill="auto"/>
            <w:noWrap/>
            <w:vAlign w:val="bottom"/>
            <w:hideMark/>
          </w:tcPr>
          <w:p w14:paraId="1B6492E5"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C3B</w:t>
            </w:r>
          </w:p>
        </w:tc>
        <w:tc>
          <w:tcPr>
            <w:tcW w:w="1293" w:type="dxa"/>
            <w:tcBorders>
              <w:top w:val="nil"/>
              <w:left w:val="nil"/>
              <w:bottom w:val="single" w:sz="8" w:space="0" w:color="auto"/>
              <w:right w:val="single" w:sz="4" w:space="0" w:color="auto"/>
            </w:tcBorders>
            <w:shd w:val="clear" w:color="auto" w:fill="auto"/>
            <w:noWrap/>
            <w:vAlign w:val="center"/>
          </w:tcPr>
          <w:p w14:paraId="7C6408D2" w14:textId="3F1B87A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104.2</w:t>
            </w:r>
            <w:r w:rsidR="006B25A2" w:rsidRPr="00CB54EA">
              <w:rPr>
                <w:rFonts w:asciiTheme="minorHAnsi" w:hAnsiTheme="minorHAnsi" w:cstheme="minorHAnsi"/>
                <w:sz w:val="22"/>
                <w:szCs w:val="22"/>
              </w:rPr>
              <w:t>%</w:t>
            </w:r>
          </w:p>
        </w:tc>
        <w:tc>
          <w:tcPr>
            <w:tcW w:w="1293" w:type="dxa"/>
            <w:tcBorders>
              <w:top w:val="nil"/>
              <w:left w:val="nil"/>
              <w:bottom w:val="single" w:sz="8" w:space="0" w:color="auto"/>
              <w:right w:val="single" w:sz="4" w:space="0" w:color="auto"/>
            </w:tcBorders>
            <w:shd w:val="clear" w:color="auto" w:fill="auto"/>
            <w:noWrap/>
            <w:vAlign w:val="center"/>
          </w:tcPr>
          <w:p w14:paraId="24B351E2" w14:textId="1E30C63A"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109.9</w:t>
            </w:r>
            <w:r w:rsidR="006B25A2" w:rsidRPr="00CB54EA">
              <w:rPr>
                <w:rFonts w:asciiTheme="minorHAnsi" w:hAnsiTheme="minorHAnsi" w:cstheme="minorHAnsi"/>
                <w:sz w:val="22"/>
                <w:szCs w:val="22"/>
              </w:rPr>
              <w:t>%</w:t>
            </w:r>
          </w:p>
        </w:tc>
        <w:tc>
          <w:tcPr>
            <w:tcW w:w="1293" w:type="dxa"/>
            <w:tcBorders>
              <w:top w:val="nil"/>
              <w:left w:val="nil"/>
              <w:bottom w:val="single" w:sz="8" w:space="0" w:color="auto"/>
              <w:right w:val="single" w:sz="8" w:space="0" w:color="auto"/>
            </w:tcBorders>
            <w:shd w:val="clear" w:color="auto" w:fill="auto"/>
            <w:noWrap/>
            <w:vAlign w:val="center"/>
          </w:tcPr>
          <w:p w14:paraId="0E590CAB" w14:textId="50315265"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109.2</w:t>
            </w:r>
            <w:r w:rsidR="006B25A2" w:rsidRPr="00CB54EA">
              <w:rPr>
                <w:rFonts w:asciiTheme="minorHAnsi" w:hAnsiTheme="minorHAnsi" w:cstheme="minorHAnsi"/>
                <w:sz w:val="22"/>
                <w:szCs w:val="22"/>
              </w:rPr>
              <w:t>%</w:t>
            </w:r>
          </w:p>
        </w:tc>
      </w:tr>
    </w:tbl>
    <w:p w14:paraId="1DC97686" w14:textId="77777777" w:rsidR="006B25A2" w:rsidRPr="00CB54EA" w:rsidRDefault="006B25A2" w:rsidP="006B25A2">
      <w:pPr>
        <w:rPr>
          <w:rFonts w:asciiTheme="minorHAnsi" w:hAnsiTheme="minorHAnsi" w:cstheme="minorHAnsi"/>
          <w:sz w:val="22"/>
          <w:szCs w:val="22"/>
        </w:rPr>
      </w:pPr>
    </w:p>
    <w:p w14:paraId="4736915D" w14:textId="22C88093" w:rsidR="000F1077" w:rsidRPr="00CB54EA" w:rsidRDefault="000F1077" w:rsidP="000F1077">
      <w:pPr>
        <w:rPr>
          <w:rFonts w:asciiTheme="minorHAnsi" w:hAnsiTheme="minorHAnsi"/>
          <w:b/>
          <w:sz w:val="22"/>
          <w:szCs w:val="22"/>
        </w:rPr>
      </w:pPr>
      <w:r w:rsidRPr="00CB54EA">
        <w:rPr>
          <w:rFonts w:asciiTheme="minorHAnsi" w:hAnsiTheme="minorHAnsi"/>
          <w:b/>
          <w:sz w:val="22"/>
          <w:szCs w:val="22"/>
        </w:rPr>
        <w:t>C3</w:t>
      </w:r>
      <w:r w:rsidR="003332C9" w:rsidRPr="00CB54EA">
        <w:rPr>
          <w:rFonts w:asciiTheme="minorHAnsi" w:hAnsiTheme="minorHAnsi"/>
          <w:b/>
          <w:sz w:val="22"/>
          <w:szCs w:val="22"/>
        </w:rPr>
        <w:t>C</w:t>
      </w:r>
      <w:r w:rsidRPr="00CB54EA">
        <w:rPr>
          <w:rFonts w:asciiTheme="minorHAnsi" w:hAnsiTheme="minorHAnsi"/>
          <w:b/>
          <w:sz w:val="22"/>
          <w:szCs w:val="22"/>
        </w:rPr>
        <w:t xml:space="preserve"> Rating Category </w:t>
      </w:r>
    </w:p>
    <w:p w14:paraId="30085DEA" w14:textId="34A1110B" w:rsidR="000F1077" w:rsidRPr="00CB54EA" w:rsidRDefault="000F1077" w:rsidP="000F1077">
      <w:pPr>
        <w:rPr>
          <w:rFonts w:asciiTheme="minorHAnsi" w:hAnsiTheme="minorHAnsi"/>
          <w:sz w:val="22"/>
          <w:szCs w:val="22"/>
        </w:rPr>
      </w:pPr>
      <w:r w:rsidRPr="00CB54EA">
        <w:rPr>
          <w:rFonts w:asciiTheme="minorHAnsi" w:hAnsiTheme="minorHAnsi"/>
          <w:sz w:val="22"/>
          <w:szCs w:val="22"/>
        </w:rPr>
        <w:t xml:space="preserve">MassHealth is adding an additional RC — C3C — for members with a traumatic brain injury (TBI) (ICD-10 S06.1, S06.2, S06.3, S06.4, S06.5, S06.6, and S06.8) in the </w:t>
      </w:r>
      <w:r w:rsidR="00440FBB" w:rsidRPr="00CB54EA">
        <w:rPr>
          <w:rFonts w:asciiTheme="minorHAnsi" w:hAnsiTheme="minorHAnsi"/>
          <w:sz w:val="22"/>
          <w:szCs w:val="22"/>
        </w:rPr>
        <w:t>Transitional Living Program (</w:t>
      </w:r>
      <w:r w:rsidRPr="00CB54EA">
        <w:rPr>
          <w:rFonts w:asciiTheme="minorHAnsi" w:hAnsiTheme="minorHAnsi"/>
          <w:sz w:val="22"/>
          <w:szCs w:val="22"/>
        </w:rPr>
        <w:t>TLP</w:t>
      </w:r>
      <w:r w:rsidR="00440FBB" w:rsidRPr="00CB54EA">
        <w:rPr>
          <w:rFonts w:asciiTheme="minorHAnsi" w:hAnsiTheme="minorHAnsi"/>
          <w:sz w:val="22"/>
          <w:szCs w:val="22"/>
        </w:rPr>
        <w:t>)</w:t>
      </w:r>
      <w:r w:rsidRPr="00CB54EA">
        <w:rPr>
          <w:rFonts w:asciiTheme="minorHAnsi" w:hAnsiTheme="minorHAnsi"/>
          <w:sz w:val="22"/>
          <w:szCs w:val="22"/>
        </w:rPr>
        <w:t>. Unlike C3A and C3B, C3C is treated as a standalone RC and is not developed through the relativity process. Members are identified as C3C through their use of TLP services and an assessment indicating a TBI diagnosis. Due to the small nature of this population</w:t>
      </w:r>
      <w:r w:rsidR="00440FBB" w:rsidRPr="00CB54EA">
        <w:rPr>
          <w:rFonts w:asciiTheme="minorHAnsi" w:hAnsiTheme="minorHAnsi"/>
          <w:sz w:val="22"/>
          <w:szCs w:val="22"/>
        </w:rPr>
        <w:t>,</w:t>
      </w:r>
      <w:r w:rsidRPr="00CB54EA">
        <w:rPr>
          <w:rFonts w:asciiTheme="minorHAnsi" w:hAnsiTheme="minorHAnsi"/>
          <w:sz w:val="22"/>
          <w:szCs w:val="22"/>
        </w:rPr>
        <w:t xml:space="preserve"> an additional year of data</w:t>
      </w:r>
      <w:r w:rsidR="00440FBB" w:rsidRPr="00CB54EA">
        <w:rPr>
          <w:rFonts w:asciiTheme="minorHAnsi" w:hAnsiTheme="minorHAnsi"/>
          <w:sz w:val="22"/>
          <w:szCs w:val="22"/>
        </w:rPr>
        <w:t xml:space="preserve"> (</w:t>
      </w:r>
      <w:r w:rsidRPr="00CB54EA">
        <w:rPr>
          <w:rFonts w:asciiTheme="minorHAnsi" w:hAnsiTheme="minorHAnsi"/>
          <w:sz w:val="22"/>
          <w:szCs w:val="22"/>
        </w:rPr>
        <w:t>CY</w:t>
      </w:r>
      <w:r w:rsidR="00505EDB" w:rsidRPr="00CB54EA">
        <w:rPr>
          <w:rFonts w:asciiTheme="minorHAnsi" w:hAnsiTheme="minorHAnsi"/>
          <w:sz w:val="22"/>
          <w:szCs w:val="22"/>
        </w:rPr>
        <w:t xml:space="preserve"> </w:t>
      </w:r>
      <w:r w:rsidRPr="00CB54EA">
        <w:rPr>
          <w:rFonts w:asciiTheme="minorHAnsi" w:hAnsiTheme="minorHAnsi"/>
          <w:sz w:val="22"/>
          <w:szCs w:val="22"/>
        </w:rPr>
        <w:t>2014</w:t>
      </w:r>
      <w:r w:rsidR="00440FBB" w:rsidRPr="00CB54EA">
        <w:rPr>
          <w:rFonts w:asciiTheme="minorHAnsi" w:hAnsiTheme="minorHAnsi"/>
          <w:sz w:val="22"/>
          <w:szCs w:val="22"/>
        </w:rPr>
        <w:t>)</w:t>
      </w:r>
      <w:r w:rsidRPr="00CB54EA">
        <w:rPr>
          <w:rFonts w:asciiTheme="minorHAnsi" w:hAnsiTheme="minorHAnsi"/>
          <w:sz w:val="22"/>
          <w:szCs w:val="22"/>
        </w:rPr>
        <w:t xml:space="preserve"> was included in the rate development process. Rates were developed at the statewide level, with region-specific adjustments applied for the unit cost of TLP services, which vary by TLP site.</w:t>
      </w:r>
    </w:p>
    <w:p w14:paraId="0C58E676" w14:textId="77777777" w:rsidR="000F1077" w:rsidRPr="00CB54EA" w:rsidRDefault="000F1077" w:rsidP="006B25A2">
      <w:pPr>
        <w:rPr>
          <w:rFonts w:asciiTheme="minorHAnsi" w:hAnsiTheme="minorHAnsi" w:cstheme="minorHAnsi"/>
          <w:sz w:val="22"/>
          <w:szCs w:val="22"/>
        </w:rPr>
      </w:pPr>
    </w:p>
    <w:p w14:paraId="54D4BA9C" w14:textId="77777777" w:rsidR="006B25A2" w:rsidRPr="00CB54EA" w:rsidRDefault="006B25A2" w:rsidP="006B25A2">
      <w:pPr>
        <w:rPr>
          <w:rFonts w:asciiTheme="minorHAnsi" w:hAnsiTheme="minorHAnsi" w:cstheme="minorHAnsi"/>
          <w:sz w:val="22"/>
          <w:szCs w:val="22"/>
          <w:u w:val="single"/>
        </w:rPr>
      </w:pPr>
      <w:r w:rsidRPr="00CB54EA">
        <w:rPr>
          <w:rFonts w:asciiTheme="minorHAnsi" w:hAnsiTheme="minorHAnsi" w:cstheme="minorHAnsi"/>
          <w:b/>
          <w:i/>
          <w:sz w:val="22"/>
          <w:szCs w:val="22"/>
        </w:rPr>
        <w:t>Category of Service Mapping:</w:t>
      </w:r>
    </w:p>
    <w:p w14:paraId="0007DAE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following is a category of service mapping between the services reflected in the MassHealth base data and the service categories used in the rate development process. Descriptions of the MassHealth detailed categories of service can be found in Section 3 of the MassHealth Information Sharing Package, “Base Data Detail.”</w:t>
      </w:r>
    </w:p>
    <w:p w14:paraId="4865766E" w14:textId="77777777" w:rsidR="006B25A2" w:rsidRPr="00CB54EA" w:rsidRDefault="006B25A2" w:rsidP="006B25A2">
      <w:pPr>
        <w:spacing w:after="200" w:line="276" w:lineRule="auto"/>
        <w:rPr>
          <w:rFonts w:asciiTheme="minorHAnsi" w:hAnsiTheme="minorHAnsi" w:cs="Calibri"/>
          <w:b/>
          <w:sz w:val="22"/>
          <w:szCs w:val="22"/>
        </w:rPr>
      </w:pPr>
    </w:p>
    <w:p w14:paraId="33E8A136" w14:textId="77777777" w:rsidR="006076D0" w:rsidRPr="00CB54EA" w:rsidRDefault="006076D0" w:rsidP="006B25A2">
      <w:pPr>
        <w:spacing w:after="200" w:line="276" w:lineRule="auto"/>
        <w:rPr>
          <w:rFonts w:asciiTheme="minorHAnsi" w:hAnsiTheme="minorHAnsi" w:cs="Calibri"/>
          <w:b/>
          <w:sz w:val="22"/>
          <w:szCs w:val="22"/>
        </w:rPr>
      </w:pPr>
    </w:p>
    <w:p w14:paraId="7E7D64F0" w14:textId="77777777" w:rsidR="006076D0" w:rsidRPr="00CB54EA" w:rsidRDefault="006076D0" w:rsidP="006B25A2">
      <w:pPr>
        <w:spacing w:after="200" w:line="276" w:lineRule="auto"/>
        <w:rPr>
          <w:rFonts w:asciiTheme="minorHAnsi" w:hAnsiTheme="minorHAnsi" w:cs="Calibri"/>
          <w:b/>
          <w:sz w:val="22"/>
          <w:szCs w:val="22"/>
        </w:rPr>
      </w:pPr>
    </w:p>
    <w:p w14:paraId="777D41BC" w14:textId="77777777" w:rsidR="006B25A2" w:rsidRPr="00CB54EA" w:rsidRDefault="006B25A2" w:rsidP="006B25A2">
      <w:pPr>
        <w:keepLines/>
        <w:spacing w:line="360" w:lineRule="auto"/>
        <w:rPr>
          <w:rFonts w:asciiTheme="minorHAnsi" w:hAnsiTheme="minorHAnsi" w:cstheme="minorHAnsi"/>
          <w:sz w:val="22"/>
          <w:szCs w:val="22"/>
        </w:rPr>
      </w:pPr>
      <w:r w:rsidRPr="00CB54EA">
        <w:rPr>
          <w:rFonts w:asciiTheme="minorHAnsi" w:hAnsiTheme="minorHAnsi" w:cstheme="minorHAnsi"/>
          <w:sz w:val="22"/>
          <w:szCs w:val="22"/>
        </w:rPr>
        <w:lastRenderedPageBreak/>
        <w:t>Medicaid Claims:</w:t>
      </w:r>
    </w:p>
    <w:tbl>
      <w:tblPr>
        <w:tblW w:w="6360" w:type="dxa"/>
        <w:jc w:val="center"/>
        <w:tblLook w:val="0000" w:firstRow="0" w:lastRow="0" w:firstColumn="0" w:lastColumn="0" w:noHBand="0" w:noVBand="0"/>
      </w:tblPr>
      <w:tblGrid>
        <w:gridCol w:w="2500"/>
        <w:gridCol w:w="3860"/>
      </w:tblGrid>
      <w:tr w:rsidR="006B25A2" w:rsidRPr="00CB54EA" w14:paraId="1595B42A" w14:textId="77777777" w:rsidTr="006B25A2">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1B4FC6BB" w14:textId="77777777" w:rsidR="006B25A2" w:rsidRPr="00CB54EA" w:rsidRDefault="006B25A2" w:rsidP="006B25A2">
            <w:pPr>
              <w:keepLines/>
              <w:jc w:val="center"/>
              <w:rPr>
                <w:rFonts w:asciiTheme="minorHAnsi" w:hAnsiTheme="minorHAnsi" w:cstheme="minorHAnsi"/>
                <w:b/>
                <w:bCs/>
                <w:sz w:val="22"/>
                <w:szCs w:val="22"/>
              </w:rPr>
            </w:pPr>
            <w:r w:rsidRPr="00CB54EA">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5E87AA1B" w14:textId="77777777" w:rsidR="006B25A2" w:rsidRPr="00CB54EA" w:rsidRDefault="006B25A2" w:rsidP="006B25A2">
            <w:pPr>
              <w:keepLines/>
              <w:jc w:val="center"/>
              <w:rPr>
                <w:rFonts w:asciiTheme="minorHAnsi" w:hAnsiTheme="minorHAnsi" w:cstheme="minorHAnsi"/>
                <w:b/>
                <w:bCs/>
                <w:sz w:val="22"/>
                <w:szCs w:val="22"/>
              </w:rPr>
            </w:pPr>
            <w:r w:rsidRPr="00CB54EA">
              <w:rPr>
                <w:rFonts w:asciiTheme="minorHAnsi" w:hAnsiTheme="minorHAnsi" w:cstheme="minorHAnsi"/>
                <w:b/>
                <w:bCs/>
                <w:sz w:val="22"/>
                <w:szCs w:val="22"/>
              </w:rPr>
              <w:t>MassHealth Base Data</w:t>
            </w:r>
            <w:r w:rsidRPr="00CB54EA">
              <w:rPr>
                <w:rFonts w:asciiTheme="minorHAnsi" w:hAnsiTheme="minorHAnsi" w:cstheme="minorHAnsi"/>
                <w:b/>
                <w:bCs/>
                <w:sz w:val="22"/>
                <w:szCs w:val="22"/>
              </w:rPr>
              <w:br/>
              <w:t>Detailed Category of Service</w:t>
            </w:r>
          </w:p>
        </w:tc>
      </w:tr>
      <w:tr w:rsidR="006B25A2" w:rsidRPr="00CB54EA" w14:paraId="49AD83B4"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B2D676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07E3CFF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IP – Non-Behavioral Health</w:t>
            </w:r>
          </w:p>
        </w:tc>
      </w:tr>
      <w:tr w:rsidR="006B25A2" w:rsidRPr="00CB54EA" w14:paraId="0B6EA14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0A275D9"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138FB710"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IP – Behavioral Health</w:t>
            </w:r>
          </w:p>
        </w:tc>
      </w:tr>
      <w:tr w:rsidR="006B25A2" w:rsidRPr="00CB54EA" w14:paraId="5EC0241F"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E2CF62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0DED2C10"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Hospital Outpatient</w:t>
            </w:r>
          </w:p>
        </w:tc>
      </w:tr>
      <w:tr w:rsidR="006B25A2" w:rsidRPr="00CB54EA" w14:paraId="51937E3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36AFF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2908CC5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Outpatient BH</w:t>
            </w:r>
          </w:p>
        </w:tc>
      </w:tr>
      <w:tr w:rsidR="006B25A2" w:rsidRPr="00CB54EA" w14:paraId="375FDB0E"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25D092D"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6635C1FC"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Professional</w:t>
            </w:r>
          </w:p>
        </w:tc>
      </w:tr>
      <w:tr w:rsidR="006B25A2" w:rsidRPr="00CB54EA" w14:paraId="163AD005"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363813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4B6253E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Community LTSS</w:t>
            </w:r>
          </w:p>
        </w:tc>
      </w:tr>
      <w:tr w:rsidR="006B25A2" w:rsidRPr="00CB54EA" w14:paraId="37AF3F76"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94AFB46"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7C9693C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LTC</w:t>
            </w:r>
          </w:p>
        </w:tc>
      </w:tr>
      <w:tr w:rsidR="006B25A2" w:rsidRPr="00CB54EA" w14:paraId="5001F23B"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9225E85"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1690E73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Non-Part D Pharmacy</w:t>
            </w:r>
          </w:p>
        </w:tc>
      </w:tr>
      <w:tr w:rsidR="006B25A2" w:rsidRPr="00CB54EA" w14:paraId="0D0A981E"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5B69A72"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794FFF85"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DME and Supplies</w:t>
            </w:r>
          </w:p>
        </w:tc>
      </w:tr>
      <w:tr w:rsidR="006B25A2" w:rsidRPr="00CB54EA" w14:paraId="1632F6EF"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A7A61AE"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7402458C"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Transportation</w:t>
            </w:r>
          </w:p>
        </w:tc>
      </w:tr>
      <w:tr w:rsidR="006B25A2" w:rsidRPr="00CB54EA" w14:paraId="23FF08A0" w14:textId="77777777" w:rsidTr="006B25A2">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3C37F808"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4A33102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Other Services</w:t>
            </w:r>
          </w:p>
        </w:tc>
      </w:tr>
    </w:tbl>
    <w:p w14:paraId="09FAA9E9" w14:textId="77777777" w:rsidR="006B25A2" w:rsidRPr="00CB54EA" w:rsidRDefault="006B25A2" w:rsidP="006B25A2">
      <w:pPr>
        <w:rPr>
          <w:rFonts w:asciiTheme="minorHAnsi" w:hAnsiTheme="minorHAnsi" w:cstheme="minorHAnsi"/>
          <w:sz w:val="22"/>
          <w:szCs w:val="22"/>
        </w:rPr>
      </w:pPr>
    </w:p>
    <w:p w14:paraId="70550391" w14:textId="77777777" w:rsidR="006B25A2" w:rsidRPr="00CB54EA" w:rsidRDefault="006B25A2" w:rsidP="006B25A2">
      <w:pPr>
        <w:spacing w:line="360" w:lineRule="auto"/>
        <w:rPr>
          <w:rFonts w:asciiTheme="minorHAnsi" w:hAnsiTheme="minorHAnsi" w:cstheme="minorHAnsi"/>
          <w:sz w:val="22"/>
          <w:szCs w:val="22"/>
        </w:rPr>
      </w:pPr>
      <w:r w:rsidRPr="00CB54EA">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6B25A2" w:rsidRPr="00CB54EA" w14:paraId="0C9D646D" w14:textId="77777777" w:rsidTr="006B25A2">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0876CD29"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50A95E8F"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 xml:space="preserve">MassHealth Base Data </w:t>
            </w:r>
            <w:r w:rsidRPr="00CB54EA">
              <w:rPr>
                <w:rFonts w:asciiTheme="minorHAnsi" w:hAnsiTheme="minorHAnsi" w:cstheme="minorHAnsi"/>
                <w:b/>
                <w:bCs/>
                <w:sz w:val="22"/>
                <w:szCs w:val="22"/>
              </w:rPr>
              <w:br/>
              <w:t>Detailed Category of Service</w:t>
            </w:r>
          </w:p>
        </w:tc>
      </w:tr>
      <w:tr w:rsidR="006B25A2" w:rsidRPr="00CB54EA" w14:paraId="6C410733"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D22603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7AD22E2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Non-Behavioral Health</w:t>
            </w:r>
          </w:p>
        </w:tc>
      </w:tr>
      <w:tr w:rsidR="006B25A2" w:rsidRPr="00CB54EA" w14:paraId="2780576E"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5BE0D9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371B25A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Mental Health</w:t>
            </w:r>
          </w:p>
        </w:tc>
      </w:tr>
      <w:tr w:rsidR="006B25A2" w:rsidRPr="00CB54EA" w14:paraId="260F2329"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1A6CFB0"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77A334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Substance Abuse</w:t>
            </w:r>
          </w:p>
        </w:tc>
      </w:tr>
      <w:tr w:rsidR="006B25A2" w:rsidRPr="00CB54EA" w14:paraId="7A280731"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DC4A99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6CAB13E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ER / Urgent Care</w:t>
            </w:r>
          </w:p>
        </w:tc>
      </w:tr>
      <w:tr w:rsidR="006B25A2" w:rsidRPr="00CB54EA" w14:paraId="1149370C"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CA8E77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26C5E75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Lab / Rad</w:t>
            </w:r>
          </w:p>
        </w:tc>
      </w:tr>
      <w:tr w:rsidR="006B25A2" w:rsidRPr="00CB54EA" w14:paraId="09FDAEE4"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0D188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41703DB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Other</w:t>
            </w:r>
          </w:p>
        </w:tc>
      </w:tr>
      <w:tr w:rsidR="006B25A2" w:rsidRPr="00CB54EA" w14:paraId="4A0DA900"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42B26E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67FA5E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Pharmacy</w:t>
            </w:r>
          </w:p>
        </w:tc>
      </w:tr>
      <w:tr w:rsidR="006B25A2" w:rsidRPr="00CB54EA" w14:paraId="7A3BDA02"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919436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293BE7E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PT/OT/ST</w:t>
            </w:r>
          </w:p>
        </w:tc>
      </w:tr>
      <w:tr w:rsidR="006B25A2" w:rsidRPr="00CB54EA" w14:paraId="6163D736"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5278A2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38EC6EC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Behavioral Health</w:t>
            </w:r>
          </w:p>
        </w:tc>
      </w:tr>
      <w:tr w:rsidR="006B25A2" w:rsidRPr="00CB54EA" w14:paraId="2A734AAD"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E440E8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23EF328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Behavioral Health</w:t>
            </w:r>
          </w:p>
        </w:tc>
      </w:tr>
      <w:tr w:rsidR="006B25A2" w:rsidRPr="00CB54EA" w14:paraId="6336BAB3"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404A79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619D1B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HIP Visits</w:t>
            </w:r>
          </w:p>
        </w:tc>
      </w:tr>
      <w:tr w:rsidR="006B25A2" w:rsidRPr="00CB54EA" w14:paraId="3B2F7459"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5A553F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29437D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Lab / Rad</w:t>
            </w:r>
          </w:p>
        </w:tc>
      </w:tr>
      <w:tr w:rsidR="006B25A2" w:rsidRPr="00CB54EA" w14:paraId="79524E08"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68F3F3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07811D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OP Visits</w:t>
            </w:r>
          </w:p>
        </w:tc>
      </w:tr>
      <w:tr w:rsidR="006B25A2" w:rsidRPr="00CB54EA" w14:paraId="03EC03F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58887A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41CA2B4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Other</w:t>
            </w:r>
          </w:p>
        </w:tc>
      </w:tr>
      <w:tr w:rsidR="006B25A2" w:rsidRPr="00CB54EA" w14:paraId="0EE47CB5"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05FD54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478686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Home Health</w:t>
            </w:r>
          </w:p>
        </w:tc>
      </w:tr>
      <w:tr w:rsidR="006B25A2" w:rsidRPr="00CB54EA" w14:paraId="1F189A30"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E90E90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48493B2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SNF</w:t>
            </w:r>
          </w:p>
          <w:p w14:paraId="3C6F90F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Hospice</w:t>
            </w:r>
          </w:p>
        </w:tc>
      </w:tr>
      <w:tr w:rsidR="006B25A2" w:rsidRPr="00CB54EA" w14:paraId="2D3EF09D"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DDFEA1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62247F9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r>
      <w:tr w:rsidR="006B25A2" w:rsidRPr="00CB54EA" w14:paraId="7AB8ABAF" w14:textId="77777777" w:rsidTr="006B25A2">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2A1721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66A2483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r>
    </w:tbl>
    <w:p w14:paraId="199F4CA4" w14:textId="77777777" w:rsidR="006B25A2" w:rsidRPr="00CB54EA" w:rsidRDefault="006B25A2" w:rsidP="006B25A2">
      <w:pPr>
        <w:rPr>
          <w:rFonts w:asciiTheme="minorHAnsi" w:hAnsiTheme="minorHAnsi" w:cstheme="minorHAnsi"/>
          <w:b/>
          <w:i/>
          <w:sz w:val="22"/>
          <w:szCs w:val="22"/>
        </w:rPr>
      </w:pPr>
    </w:p>
    <w:p w14:paraId="2B96409A" w14:textId="77777777" w:rsidR="006076D0" w:rsidRDefault="006076D0" w:rsidP="006B25A2">
      <w:pPr>
        <w:rPr>
          <w:rFonts w:asciiTheme="minorHAnsi" w:hAnsiTheme="minorHAnsi" w:cstheme="minorHAnsi"/>
          <w:b/>
          <w:i/>
          <w:sz w:val="22"/>
          <w:szCs w:val="22"/>
        </w:rPr>
      </w:pPr>
    </w:p>
    <w:p w14:paraId="46AECAC3" w14:textId="77777777" w:rsidR="00255262" w:rsidRDefault="00255262" w:rsidP="006B25A2">
      <w:pPr>
        <w:rPr>
          <w:rFonts w:asciiTheme="minorHAnsi" w:hAnsiTheme="minorHAnsi" w:cstheme="minorHAnsi"/>
          <w:b/>
          <w:i/>
          <w:sz w:val="22"/>
          <w:szCs w:val="22"/>
        </w:rPr>
      </w:pPr>
    </w:p>
    <w:p w14:paraId="3AA56C83" w14:textId="77777777" w:rsidR="00255262" w:rsidRDefault="00255262" w:rsidP="006B25A2">
      <w:pPr>
        <w:rPr>
          <w:rFonts w:asciiTheme="minorHAnsi" w:hAnsiTheme="minorHAnsi" w:cstheme="minorHAnsi"/>
          <w:b/>
          <w:i/>
          <w:sz w:val="22"/>
          <w:szCs w:val="22"/>
        </w:rPr>
      </w:pPr>
    </w:p>
    <w:p w14:paraId="7740B6FA" w14:textId="77777777" w:rsidR="00255262" w:rsidRDefault="00255262" w:rsidP="006B25A2">
      <w:pPr>
        <w:rPr>
          <w:rFonts w:asciiTheme="minorHAnsi" w:hAnsiTheme="minorHAnsi" w:cstheme="minorHAnsi"/>
          <w:b/>
          <w:i/>
          <w:sz w:val="22"/>
          <w:szCs w:val="22"/>
        </w:rPr>
      </w:pPr>
    </w:p>
    <w:p w14:paraId="08B8896A" w14:textId="77777777" w:rsidR="00255262" w:rsidRPr="00CB54EA" w:rsidRDefault="00255262" w:rsidP="006B25A2">
      <w:pPr>
        <w:rPr>
          <w:rFonts w:asciiTheme="minorHAnsi" w:hAnsiTheme="minorHAnsi" w:cstheme="minorHAnsi"/>
          <w:b/>
          <w:i/>
          <w:sz w:val="22"/>
          <w:szCs w:val="22"/>
        </w:rPr>
      </w:pPr>
    </w:p>
    <w:p w14:paraId="0F4BF0FE" w14:textId="77777777" w:rsidR="006B25A2" w:rsidRPr="00CB54EA" w:rsidRDefault="006B25A2" w:rsidP="006B25A2">
      <w:pPr>
        <w:rPr>
          <w:rFonts w:asciiTheme="minorHAnsi" w:hAnsiTheme="minorHAnsi" w:cstheme="minorHAnsi"/>
          <w:sz w:val="22"/>
          <w:szCs w:val="22"/>
          <w:u w:val="single"/>
        </w:rPr>
      </w:pPr>
      <w:r w:rsidRPr="00CB54EA">
        <w:rPr>
          <w:rFonts w:asciiTheme="minorHAnsi" w:hAnsiTheme="minorHAnsi" w:cstheme="minorHAnsi"/>
          <w:b/>
          <w:i/>
          <w:sz w:val="22"/>
          <w:szCs w:val="22"/>
        </w:rPr>
        <w:lastRenderedPageBreak/>
        <w:t>Counties and Regions</w:t>
      </w:r>
      <w:r w:rsidRPr="00CB54EA">
        <w:rPr>
          <w:rFonts w:asciiTheme="minorHAnsi" w:hAnsiTheme="minorHAnsi" w:cstheme="minorHAnsi"/>
          <w:sz w:val="22"/>
          <w:szCs w:val="22"/>
        </w:rPr>
        <w:t>:</w:t>
      </w:r>
    </w:p>
    <w:p w14:paraId="6F6909B3" w14:textId="77777777" w:rsidR="006B25A2" w:rsidRPr="00CB54EA" w:rsidRDefault="006B25A2" w:rsidP="006B25A2">
      <w:pPr>
        <w:pStyle w:val="ListBullet"/>
        <w:numPr>
          <w:ilvl w:val="0"/>
          <w:numId w:val="0"/>
        </w:numPr>
        <w:rPr>
          <w:rFonts w:asciiTheme="minorHAnsi" w:hAnsiTheme="minorHAnsi" w:cstheme="minorHAnsi"/>
        </w:rPr>
      </w:pPr>
      <w:r w:rsidRPr="00CB54EA">
        <w:rPr>
          <w:rFonts w:asciiTheme="minorHAnsi" w:hAnsiTheme="minorHAnsi" w:cstheme="minorHAnsi"/>
        </w:rPr>
        <w:t>Rates will be paid on a Massachusetts county and MassHealth rating category basis. Rates, however, have been developed regionally. Five counties are not included in any of the One Care plan service areas:</w:t>
      </w:r>
    </w:p>
    <w:p w14:paraId="2BA61888" w14:textId="77777777" w:rsidR="006B25A2" w:rsidRPr="00CB54EA" w:rsidRDefault="006B25A2" w:rsidP="006B25A2">
      <w:pPr>
        <w:pStyle w:val="ListBullet"/>
        <w:numPr>
          <w:ilvl w:val="0"/>
          <w:numId w:val="0"/>
        </w:numPr>
        <w:rPr>
          <w:rFonts w:asciiTheme="minorHAnsi" w:hAnsiTheme="minorHAnsi" w:cstheme="minorHAnsi"/>
        </w:rPr>
      </w:pPr>
    </w:p>
    <w:p w14:paraId="1E07E0AA"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Barnstable. </w:t>
      </w:r>
    </w:p>
    <w:p w14:paraId="1E6C2A7F" w14:textId="77777777" w:rsidR="00A9221E" w:rsidRPr="00CB54EA" w:rsidRDefault="00A9221E" w:rsidP="00A9221E">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Berkshire.</w:t>
      </w:r>
    </w:p>
    <w:p w14:paraId="2F42A9A2"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Bristol. </w:t>
      </w:r>
    </w:p>
    <w:p w14:paraId="615D818B"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Dukes. </w:t>
      </w:r>
    </w:p>
    <w:p w14:paraId="5B3F9A9F"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Nantucket.</w:t>
      </w:r>
    </w:p>
    <w:p w14:paraId="321B9988" w14:textId="77777777" w:rsidR="006B25A2" w:rsidRPr="00CB54EA" w:rsidRDefault="006B25A2" w:rsidP="006B25A2">
      <w:pPr>
        <w:pStyle w:val="ListBullet"/>
        <w:numPr>
          <w:ilvl w:val="0"/>
          <w:numId w:val="0"/>
        </w:numPr>
        <w:ind w:left="360" w:hanging="360"/>
        <w:rPr>
          <w:rFonts w:asciiTheme="minorHAnsi" w:hAnsiTheme="minorHAnsi" w:cstheme="minorHAnsi"/>
          <w:color w:val="000080"/>
        </w:rPr>
      </w:pPr>
    </w:p>
    <w:p w14:paraId="67DDD317" w14:textId="77777777" w:rsidR="006B25A2" w:rsidRPr="00CB54EA" w:rsidRDefault="006B25A2" w:rsidP="006B25A2">
      <w:pPr>
        <w:pStyle w:val="ListBullet"/>
        <w:numPr>
          <w:ilvl w:val="0"/>
          <w:numId w:val="0"/>
        </w:numPr>
        <w:rPr>
          <w:rFonts w:asciiTheme="minorHAnsi" w:hAnsiTheme="minorHAnsi" w:cstheme="minorHAnsi"/>
        </w:rPr>
      </w:pPr>
      <w:r w:rsidRPr="00CB54EA">
        <w:rPr>
          <w:rFonts w:asciiTheme="minorHAnsi" w:hAnsiTheme="minorHAnsi" w:cstheme="minorHAnsi"/>
        </w:rPr>
        <w:t>As the Demonstration does not currently operate in these counties, any applicable claims and eligibility data for these counties has been removed from the base data.  The resulting geographic classifications are as follows:</w:t>
      </w:r>
    </w:p>
    <w:p w14:paraId="43F80DA5" w14:textId="77777777" w:rsidR="006B25A2" w:rsidRPr="00CB54EA" w:rsidRDefault="006B25A2" w:rsidP="006B25A2">
      <w:pPr>
        <w:rPr>
          <w:rFonts w:asciiTheme="minorHAnsi" w:hAnsiTheme="minorHAnsi" w:cstheme="minorHAnsi"/>
          <w:sz w:val="22"/>
          <w:szCs w:val="22"/>
        </w:rPr>
      </w:pPr>
    </w:p>
    <w:p w14:paraId="1E304930"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Eastern:</w:t>
      </w:r>
      <w:r w:rsidRPr="00CB54EA">
        <w:rPr>
          <w:rFonts w:asciiTheme="minorHAnsi" w:hAnsiTheme="minorHAnsi" w:cstheme="minorHAnsi"/>
          <w:sz w:val="22"/>
          <w:szCs w:val="22"/>
        </w:rPr>
        <w:tab/>
        <w:t>Essex, Middlesex, Norfolk and Suffolk counties</w:t>
      </w:r>
    </w:p>
    <w:p w14:paraId="3D746C8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Western:</w:t>
      </w:r>
      <w:r w:rsidRPr="00CB54EA">
        <w:rPr>
          <w:rFonts w:asciiTheme="minorHAnsi" w:hAnsiTheme="minorHAnsi" w:cstheme="minorHAnsi"/>
          <w:sz w:val="22"/>
          <w:szCs w:val="22"/>
        </w:rPr>
        <w:tab/>
        <w:t>Franklin, Hampden, Hampshire and Worcester counties</w:t>
      </w:r>
    </w:p>
    <w:p w14:paraId="3674A327" w14:textId="1B0D5842"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Cape: </w:t>
      </w:r>
      <w:r w:rsidRPr="00CB54EA">
        <w:rPr>
          <w:rFonts w:asciiTheme="minorHAnsi" w:hAnsiTheme="minorHAnsi" w:cstheme="minorHAnsi"/>
          <w:sz w:val="22"/>
          <w:szCs w:val="22"/>
        </w:rPr>
        <w:tab/>
        <w:t>Plymouth County</w:t>
      </w:r>
    </w:p>
    <w:p w14:paraId="33A3F1C6" w14:textId="77777777" w:rsidR="006B25A2" w:rsidRPr="00CB54EA" w:rsidRDefault="006B25A2" w:rsidP="006B25A2">
      <w:pPr>
        <w:rPr>
          <w:rFonts w:asciiTheme="minorHAnsi" w:hAnsiTheme="minorHAnsi" w:cstheme="minorHAnsi"/>
          <w:sz w:val="22"/>
          <w:szCs w:val="22"/>
        </w:rPr>
      </w:pPr>
    </w:p>
    <w:p w14:paraId="337F1445" w14:textId="69FFAACD" w:rsidR="006B25A2" w:rsidRPr="00CB54EA" w:rsidRDefault="006B25A2" w:rsidP="006B25A2">
      <w:pPr>
        <w:rPr>
          <w:rFonts w:asciiTheme="minorHAnsi" w:hAnsiTheme="minorHAnsi" w:cstheme="minorHAnsi"/>
          <w:sz w:val="22"/>
          <w:szCs w:val="20"/>
        </w:rPr>
      </w:pPr>
      <w:r w:rsidRPr="00CB54EA">
        <w:rPr>
          <w:rFonts w:asciiTheme="minorHAnsi" w:hAnsiTheme="minorHAnsi" w:cstheme="minorHAnsi"/>
          <w:sz w:val="22"/>
          <w:szCs w:val="20"/>
        </w:rPr>
        <w:t xml:space="preserve">It is possible for a One Care member to move to one of the five counties excluded from the One Care service area and maintain One Care eligibility. For Demonstration Year </w:t>
      </w:r>
      <w:r w:rsidR="00305569" w:rsidRPr="00CB54EA">
        <w:rPr>
          <w:rFonts w:asciiTheme="minorHAnsi" w:hAnsiTheme="minorHAnsi" w:cstheme="minorHAnsi"/>
          <w:sz w:val="22"/>
          <w:szCs w:val="20"/>
        </w:rPr>
        <w:t>5</w:t>
      </w:r>
      <w:r w:rsidRPr="00CB54EA">
        <w:rPr>
          <w:rFonts w:asciiTheme="minorHAnsi" w:hAnsiTheme="minorHAnsi" w:cstheme="minorHAnsi"/>
          <w:sz w:val="22"/>
          <w:szCs w:val="20"/>
        </w:rPr>
        <w:t xml:space="preserve">, a “statewide”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2D395EA7" w14:textId="77777777" w:rsidR="006B25A2" w:rsidRPr="00CB54EA" w:rsidRDefault="006B25A2" w:rsidP="006B25A2">
      <w:pPr>
        <w:rPr>
          <w:rFonts w:asciiTheme="minorHAnsi" w:hAnsiTheme="minorHAnsi" w:cstheme="minorHAnsi"/>
          <w:sz w:val="22"/>
          <w:szCs w:val="20"/>
        </w:rPr>
      </w:pPr>
    </w:p>
    <w:p w14:paraId="0CF1005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Adjustment information below is provided by geographic region.</w:t>
      </w:r>
    </w:p>
    <w:p w14:paraId="14A7C582" w14:textId="77777777" w:rsidR="006B25A2" w:rsidRPr="00CB54EA" w:rsidRDefault="006B25A2" w:rsidP="006B25A2">
      <w:pPr>
        <w:rPr>
          <w:rFonts w:asciiTheme="minorHAnsi" w:hAnsiTheme="minorHAnsi" w:cstheme="minorHAnsi"/>
          <w:sz w:val="22"/>
          <w:szCs w:val="22"/>
        </w:rPr>
      </w:pPr>
    </w:p>
    <w:p w14:paraId="0350B7EA" w14:textId="77777777" w:rsidR="006B25A2" w:rsidRPr="00CB54EA" w:rsidRDefault="006B25A2" w:rsidP="006B25A2">
      <w:pPr>
        <w:rPr>
          <w:rFonts w:asciiTheme="minorHAnsi" w:hAnsiTheme="minorHAnsi" w:cstheme="minorHAnsi"/>
          <w:b/>
          <w:sz w:val="22"/>
          <w:szCs w:val="22"/>
          <w:u w:val="single"/>
        </w:rPr>
      </w:pPr>
      <w:r w:rsidRPr="00CB54EA">
        <w:rPr>
          <w:rFonts w:asciiTheme="minorHAnsi" w:hAnsiTheme="minorHAnsi" w:cstheme="minorHAnsi"/>
          <w:b/>
          <w:sz w:val="22"/>
          <w:szCs w:val="22"/>
          <w:u w:val="single"/>
        </w:rPr>
        <w:t>Adjustments to Historical Base Data:</w:t>
      </w:r>
    </w:p>
    <w:p w14:paraId="4AAC3B83" w14:textId="733F4958"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As detailed in Section 4 of the three-way contract, rates have been developed based on expected costs for this population had the Demonstration not existed. The adjustments included below have been made to the historical base data to reflect the benefits and </w:t>
      </w:r>
      <w:r w:rsidR="00C00698" w:rsidRPr="00CB54EA">
        <w:rPr>
          <w:rFonts w:asciiTheme="minorHAnsi" w:hAnsiTheme="minorHAnsi" w:cstheme="minorHAnsi"/>
          <w:sz w:val="22"/>
          <w:szCs w:val="22"/>
        </w:rPr>
        <w:t>costs that will apply in CY 2018</w:t>
      </w:r>
      <w:r w:rsidRPr="00CB54EA">
        <w:rPr>
          <w:rFonts w:asciiTheme="minorHAnsi" w:hAnsiTheme="minorHAnsi" w:cstheme="minorHAnsi"/>
          <w:sz w:val="22"/>
          <w:szCs w:val="22"/>
        </w:rPr>
        <w:t xml:space="preserve"> to fee-for-service dual eligible individuals. As described above, most adjustments specific to the C2 and C3 rating categories are made prior to the application of C2A/C2B and C3A/C3B relativity factors to the projected rates.</w:t>
      </w:r>
    </w:p>
    <w:p w14:paraId="4C73F093" w14:textId="77777777" w:rsidR="006B25A2" w:rsidRPr="00CB54EA" w:rsidRDefault="006B25A2" w:rsidP="006B25A2">
      <w:pPr>
        <w:rPr>
          <w:rFonts w:asciiTheme="minorHAnsi" w:hAnsiTheme="minorHAnsi" w:cstheme="minorHAnsi"/>
          <w:sz w:val="22"/>
          <w:szCs w:val="22"/>
        </w:rPr>
      </w:pPr>
    </w:p>
    <w:p w14:paraId="16E11C09" w14:textId="77777777" w:rsidR="006B25A2" w:rsidRPr="00CB54EA" w:rsidRDefault="006B25A2" w:rsidP="006B25A2">
      <w:pPr>
        <w:rPr>
          <w:rFonts w:asciiTheme="minorHAnsi" w:hAnsiTheme="minorHAnsi" w:cstheme="minorHAnsi"/>
          <w:sz w:val="22"/>
          <w:szCs w:val="22"/>
          <w:u w:val="single"/>
        </w:rPr>
      </w:pPr>
      <w:bookmarkStart w:id="0" w:name="_Toc433815084"/>
      <w:bookmarkStart w:id="1" w:name="_Toc468975788"/>
      <w:r w:rsidRPr="00CB54EA">
        <w:rPr>
          <w:rFonts w:asciiTheme="minorHAnsi" w:hAnsiTheme="minorHAnsi" w:cstheme="minorHAnsi"/>
          <w:b/>
          <w:i/>
          <w:sz w:val="22"/>
          <w:szCs w:val="22"/>
        </w:rPr>
        <w:t>Historical Base Data Completion Factors</w:t>
      </w:r>
      <w:r w:rsidRPr="00CB54EA">
        <w:rPr>
          <w:rFonts w:asciiTheme="minorHAnsi" w:hAnsiTheme="minorHAnsi" w:cstheme="minorHAnsi"/>
          <w:sz w:val="22"/>
          <w:szCs w:val="22"/>
        </w:rPr>
        <w:t>:</w:t>
      </w:r>
    </w:p>
    <w:p w14:paraId="54FD3692" w14:textId="2F18FF4F" w:rsidR="006B25A2" w:rsidRPr="00CB54EA" w:rsidRDefault="006B25A2" w:rsidP="006B25A2">
      <w:pPr>
        <w:pStyle w:val="ListBullet"/>
        <w:numPr>
          <w:ilvl w:val="0"/>
          <w:numId w:val="0"/>
        </w:numPr>
        <w:rPr>
          <w:rFonts w:asciiTheme="minorHAnsi" w:hAnsiTheme="minorHAnsi" w:cstheme="minorHAnsi"/>
          <w:szCs w:val="22"/>
        </w:rPr>
      </w:pPr>
      <w:r w:rsidRPr="00CB54EA">
        <w:rPr>
          <w:rFonts w:asciiTheme="minorHAnsi" w:hAnsiTheme="minorHAnsi" w:cstheme="minorHAnsi"/>
          <w:szCs w:val="22"/>
        </w:rPr>
        <w:t xml:space="preserve">The MassHealth base data do not reflect an estimate for IBNR expenditures. Medicaid and crossover claims processed by MassHealth through </w:t>
      </w:r>
      <w:r w:rsidRPr="00CB54EA">
        <w:rPr>
          <w:rFonts w:asciiTheme="minorHAnsi" w:hAnsiTheme="minorHAnsi"/>
        </w:rPr>
        <w:t xml:space="preserve">April </w:t>
      </w:r>
      <w:r w:rsidR="00890BEE" w:rsidRPr="00CB54EA">
        <w:rPr>
          <w:rFonts w:asciiTheme="minorHAnsi" w:hAnsiTheme="minorHAnsi"/>
        </w:rPr>
        <w:t>14</w:t>
      </w:r>
      <w:r w:rsidRPr="00CB54EA">
        <w:rPr>
          <w:rFonts w:asciiTheme="minorHAnsi" w:hAnsiTheme="minorHAnsi"/>
        </w:rPr>
        <w:t xml:space="preserve">, </w:t>
      </w:r>
      <w:r w:rsidR="00890BEE" w:rsidRPr="00CB54EA">
        <w:rPr>
          <w:rFonts w:asciiTheme="minorHAnsi" w:hAnsiTheme="minorHAnsi"/>
        </w:rPr>
        <w:t xml:space="preserve">2017 </w:t>
      </w:r>
      <w:r w:rsidRPr="00CB54EA">
        <w:rPr>
          <w:rFonts w:asciiTheme="minorHAnsi" w:hAnsiTheme="minorHAnsi" w:cstheme="minorHAnsi"/>
          <w:szCs w:val="22"/>
        </w:rPr>
        <w:t xml:space="preserve">are reported in the MassHealth base data. To construct the historical base data, the following completion factors have been applied to both the Medicaid data and the crossover data reported in the Data Book. </w:t>
      </w:r>
    </w:p>
    <w:p w14:paraId="11236CD0" w14:textId="77777777" w:rsidR="006B25A2" w:rsidRDefault="006B25A2" w:rsidP="006B25A2">
      <w:pPr>
        <w:spacing w:after="200" w:line="276" w:lineRule="auto"/>
        <w:rPr>
          <w:rFonts w:asciiTheme="minorHAnsi" w:hAnsiTheme="minorHAnsi" w:cs="Calibri"/>
          <w:b/>
          <w:sz w:val="22"/>
          <w:szCs w:val="22"/>
        </w:rPr>
      </w:pPr>
    </w:p>
    <w:p w14:paraId="2A7C4CE6" w14:textId="77777777" w:rsidR="00255262" w:rsidRDefault="00255262" w:rsidP="006B25A2">
      <w:pPr>
        <w:spacing w:after="200" w:line="276" w:lineRule="auto"/>
        <w:rPr>
          <w:rFonts w:asciiTheme="minorHAnsi" w:hAnsiTheme="minorHAnsi" w:cs="Calibri"/>
          <w:b/>
          <w:sz w:val="22"/>
          <w:szCs w:val="22"/>
        </w:rPr>
      </w:pPr>
    </w:p>
    <w:p w14:paraId="7D9EDF87" w14:textId="77777777" w:rsidR="00255262" w:rsidRPr="00CB54EA" w:rsidRDefault="00255262" w:rsidP="006B25A2">
      <w:pPr>
        <w:spacing w:after="200" w:line="276" w:lineRule="auto"/>
        <w:rPr>
          <w:rFonts w:asciiTheme="minorHAnsi" w:hAnsiTheme="minorHAnsi" w:cs="Calibri"/>
          <w:b/>
          <w:sz w:val="22"/>
          <w:szCs w:val="22"/>
        </w:rPr>
      </w:pPr>
    </w:p>
    <w:tbl>
      <w:tblPr>
        <w:tblW w:w="7087" w:type="dxa"/>
        <w:jc w:val="center"/>
        <w:tblLook w:val="0000" w:firstRow="0" w:lastRow="0" w:firstColumn="0" w:lastColumn="0" w:noHBand="0" w:noVBand="0"/>
      </w:tblPr>
      <w:tblGrid>
        <w:gridCol w:w="2875"/>
        <w:gridCol w:w="1053"/>
        <w:gridCol w:w="1053"/>
        <w:gridCol w:w="1053"/>
        <w:gridCol w:w="1053"/>
      </w:tblGrid>
      <w:tr w:rsidR="006B25A2" w:rsidRPr="00CB54EA" w14:paraId="5EB22D8A" w14:textId="77777777" w:rsidTr="00821D6E">
        <w:trPr>
          <w:trHeight w:val="255"/>
          <w:jc w:val="center"/>
        </w:trPr>
        <w:tc>
          <w:tcPr>
            <w:tcW w:w="2875" w:type="dxa"/>
            <w:tcBorders>
              <w:top w:val="nil"/>
              <w:left w:val="nil"/>
              <w:bottom w:val="nil"/>
              <w:right w:val="nil"/>
            </w:tcBorders>
            <w:shd w:val="clear" w:color="auto" w:fill="auto"/>
            <w:noWrap/>
            <w:vAlign w:val="bottom"/>
          </w:tcPr>
          <w:p w14:paraId="17121F03" w14:textId="77777777" w:rsidR="006B25A2" w:rsidRPr="00CB54EA" w:rsidRDefault="006B25A2" w:rsidP="006B25A2">
            <w:pPr>
              <w:rPr>
                <w:rFonts w:asciiTheme="minorHAnsi" w:hAnsiTheme="minorHAnsi" w:cstheme="minorHAnsi"/>
                <w:sz w:val="22"/>
                <w:szCs w:val="22"/>
              </w:rPr>
            </w:pPr>
          </w:p>
        </w:tc>
        <w:tc>
          <w:tcPr>
            <w:tcW w:w="2106"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14:paraId="2D3C7974"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Medicaid Claims Completion Factors</w:t>
            </w:r>
          </w:p>
        </w:tc>
        <w:tc>
          <w:tcPr>
            <w:tcW w:w="2106"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040C15EF"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Crossover Claims Completion Factors</w:t>
            </w:r>
          </w:p>
        </w:tc>
      </w:tr>
      <w:tr w:rsidR="006B25A2" w:rsidRPr="00CB54EA" w14:paraId="3B058800" w14:textId="77777777" w:rsidTr="00821D6E">
        <w:trPr>
          <w:trHeight w:val="255"/>
          <w:jc w:val="center"/>
        </w:trPr>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89FE6A" w14:textId="77777777" w:rsidR="006B25A2" w:rsidRPr="00CB54EA" w:rsidRDefault="006B25A2" w:rsidP="006B25A2">
            <w:pPr>
              <w:rPr>
                <w:rFonts w:asciiTheme="minorHAnsi" w:hAnsiTheme="minorHAnsi" w:cstheme="minorHAnsi"/>
                <w:b/>
                <w:bCs/>
                <w:sz w:val="22"/>
                <w:szCs w:val="22"/>
              </w:rPr>
            </w:pPr>
            <w:r w:rsidRPr="00CB54EA">
              <w:rPr>
                <w:rFonts w:asciiTheme="minorHAnsi" w:hAnsiTheme="minorHAnsi" w:cstheme="minorHAnsi"/>
                <w:b/>
                <w:bCs/>
                <w:sz w:val="22"/>
                <w:szCs w:val="22"/>
              </w:rPr>
              <w:t>Category of Service</w:t>
            </w:r>
          </w:p>
        </w:tc>
        <w:tc>
          <w:tcPr>
            <w:tcW w:w="1053" w:type="dxa"/>
            <w:tcBorders>
              <w:top w:val="nil"/>
              <w:left w:val="nil"/>
              <w:bottom w:val="single" w:sz="4" w:space="0" w:color="auto"/>
              <w:right w:val="single" w:sz="4" w:space="0" w:color="auto"/>
            </w:tcBorders>
            <w:shd w:val="clear" w:color="auto" w:fill="BFBFBF" w:themeFill="background1" w:themeFillShade="BF"/>
            <w:noWrap/>
            <w:vAlign w:val="center"/>
          </w:tcPr>
          <w:p w14:paraId="6CF22F4D" w14:textId="70D27F60" w:rsidR="006B25A2" w:rsidRPr="00CB54EA" w:rsidRDefault="00CB399E"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5</w:t>
            </w:r>
          </w:p>
        </w:tc>
        <w:tc>
          <w:tcPr>
            <w:tcW w:w="1053" w:type="dxa"/>
            <w:tcBorders>
              <w:top w:val="nil"/>
              <w:left w:val="nil"/>
              <w:bottom w:val="single" w:sz="4" w:space="0" w:color="auto"/>
              <w:right w:val="single" w:sz="4" w:space="0" w:color="auto"/>
            </w:tcBorders>
            <w:shd w:val="clear" w:color="auto" w:fill="BFBFBF" w:themeFill="background1" w:themeFillShade="BF"/>
            <w:noWrap/>
            <w:vAlign w:val="center"/>
          </w:tcPr>
          <w:p w14:paraId="220D947C" w14:textId="2078BDEC" w:rsidR="006B25A2" w:rsidRPr="00CB54EA" w:rsidRDefault="00CB399E"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6</w:t>
            </w:r>
          </w:p>
        </w:tc>
        <w:tc>
          <w:tcPr>
            <w:tcW w:w="1053" w:type="dxa"/>
            <w:tcBorders>
              <w:top w:val="nil"/>
              <w:left w:val="nil"/>
              <w:bottom w:val="single" w:sz="4" w:space="0" w:color="auto"/>
              <w:right w:val="single" w:sz="4" w:space="0" w:color="auto"/>
            </w:tcBorders>
            <w:shd w:val="clear" w:color="auto" w:fill="BFBFBF" w:themeFill="background1" w:themeFillShade="BF"/>
            <w:vAlign w:val="center"/>
          </w:tcPr>
          <w:p w14:paraId="7E062818" w14:textId="48A1FF06" w:rsidR="006B25A2" w:rsidRPr="00CB54EA" w:rsidRDefault="00CB399E" w:rsidP="006B25A2">
            <w:pPr>
              <w:jc w:val="center"/>
              <w:rPr>
                <w:rFonts w:asciiTheme="minorHAnsi" w:hAnsiTheme="minorHAnsi" w:cstheme="minorHAnsi"/>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5</w:t>
            </w:r>
          </w:p>
        </w:tc>
        <w:tc>
          <w:tcPr>
            <w:tcW w:w="1053" w:type="dxa"/>
            <w:tcBorders>
              <w:top w:val="nil"/>
              <w:left w:val="nil"/>
              <w:bottom w:val="single" w:sz="4" w:space="0" w:color="auto"/>
              <w:right w:val="single" w:sz="4" w:space="0" w:color="auto"/>
            </w:tcBorders>
            <w:shd w:val="clear" w:color="auto" w:fill="BFBFBF" w:themeFill="background1" w:themeFillShade="BF"/>
            <w:vAlign w:val="center"/>
          </w:tcPr>
          <w:p w14:paraId="4D3D12C2" w14:textId="5A990D25" w:rsidR="006B25A2" w:rsidRPr="00CB54EA" w:rsidRDefault="00CB399E" w:rsidP="006B25A2">
            <w:pPr>
              <w:jc w:val="center"/>
              <w:rPr>
                <w:rFonts w:asciiTheme="minorHAnsi" w:hAnsiTheme="minorHAnsi" w:cstheme="minorHAnsi"/>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6</w:t>
            </w:r>
          </w:p>
        </w:tc>
      </w:tr>
      <w:tr w:rsidR="006B25A2" w:rsidRPr="00CB54EA" w14:paraId="5AB38A9B" w14:textId="77777777" w:rsidTr="00821D6E">
        <w:trPr>
          <w:trHeight w:val="255"/>
          <w:jc w:val="center"/>
        </w:trPr>
        <w:tc>
          <w:tcPr>
            <w:tcW w:w="2875" w:type="dxa"/>
            <w:tcBorders>
              <w:top w:val="single" w:sz="4" w:space="0" w:color="auto"/>
              <w:left w:val="single" w:sz="4" w:space="0" w:color="auto"/>
              <w:right w:val="single" w:sz="4" w:space="0" w:color="auto"/>
            </w:tcBorders>
            <w:shd w:val="clear" w:color="auto" w:fill="FFFFFF" w:themeFill="background1"/>
            <w:noWrap/>
            <w:vAlign w:val="center"/>
          </w:tcPr>
          <w:p w14:paraId="5E3F349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Inpatient-Non-MH/SA</w:t>
            </w:r>
          </w:p>
        </w:tc>
        <w:tc>
          <w:tcPr>
            <w:tcW w:w="1053" w:type="dxa"/>
            <w:tcBorders>
              <w:top w:val="single" w:sz="4" w:space="0" w:color="auto"/>
              <w:left w:val="single" w:sz="4" w:space="0" w:color="C0C0C0"/>
              <w:right w:val="single" w:sz="4" w:space="0" w:color="auto"/>
            </w:tcBorders>
            <w:shd w:val="clear" w:color="auto" w:fill="FFFFFF" w:themeFill="background1"/>
            <w:noWrap/>
            <w:vAlign w:val="bottom"/>
          </w:tcPr>
          <w:p w14:paraId="39D0DDAB" w14:textId="3C9A18BC"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3</w:t>
            </w:r>
            <w:r w:rsidRPr="00CB54EA">
              <w:rPr>
                <w:rFonts w:asciiTheme="minorHAnsi" w:hAnsiTheme="minorHAnsi" w:cstheme="minorHAnsi"/>
                <w:sz w:val="22"/>
                <w:szCs w:val="22"/>
              </w:rPr>
              <w:t>0</w:t>
            </w:r>
          </w:p>
        </w:tc>
        <w:tc>
          <w:tcPr>
            <w:tcW w:w="1053" w:type="dxa"/>
            <w:tcBorders>
              <w:top w:val="single" w:sz="4" w:space="0" w:color="auto"/>
              <w:left w:val="single" w:sz="4" w:space="0" w:color="C0C0C0"/>
              <w:right w:val="single" w:sz="4" w:space="0" w:color="auto"/>
            </w:tcBorders>
            <w:shd w:val="clear" w:color="auto" w:fill="FFFFFF" w:themeFill="background1"/>
            <w:noWrap/>
            <w:vAlign w:val="bottom"/>
          </w:tcPr>
          <w:p w14:paraId="1CD4C30A" w14:textId="7EB3CB6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8</w:t>
            </w:r>
            <w:r w:rsidRPr="00CB54EA">
              <w:rPr>
                <w:rFonts w:asciiTheme="minorHAnsi" w:hAnsiTheme="minorHAnsi" w:cstheme="minorHAnsi"/>
                <w:sz w:val="22"/>
                <w:szCs w:val="22"/>
              </w:rPr>
              <w:t>9</w:t>
            </w:r>
          </w:p>
        </w:tc>
        <w:tc>
          <w:tcPr>
            <w:tcW w:w="1053" w:type="dxa"/>
            <w:tcBorders>
              <w:top w:val="single" w:sz="4" w:space="0" w:color="auto"/>
              <w:left w:val="single" w:sz="4" w:space="0" w:color="C0C0C0"/>
              <w:right w:val="single" w:sz="4" w:space="0" w:color="auto"/>
            </w:tcBorders>
            <w:shd w:val="clear" w:color="auto" w:fill="FFFFFF" w:themeFill="background1"/>
            <w:vAlign w:val="bottom"/>
          </w:tcPr>
          <w:p w14:paraId="294B08E9" w14:textId="528EDF7F"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0.999</w:t>
            </w:r>
          </w:p>
        </w:tc>
        <w:tc>
          <w:tcPr>
            <w:tcW w:w="1053" w:type="dxa"/>
            <w:tcBorders>
              <w:top w:val="single" w:sz="4" w:space="0" w:color="auto"/>
              <w:left w:val="single" w:sz="4" w:space="0" w:color="C0C0C0"/>
              <w:right w:val="single" w:sz="4" w:space="0" w:color="auto"/>
            </w:tcBorders>
            <w:shd w:val="clear" w:color="auto" w:fill="FFFFFF" w:themeFill="background1"/>
            <w:vAlign w:val="bottom"/>
          </w:tcPr>
          <w:p w14:paraId="3EA1A7EA" w14:textId="4E20E413"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62</w:t>
            </w:r>
          </w:p>
        </w:tc>
      </w:tr>
      <w:tr w:rsidR="006B25A2" w:rsidRPr="00CB54EA" w14:paraId="18B16345"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4D94AE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1053" w:type="dxa"/>
            <w:tcBorders>
              <w:left w:val="single" w:sz="4" w:space="0" w:color="C0C0C0"/>
              <w:right w:val="single" w:sz="4" w:space="0" w:color="auto"/>
            </w:tcBorders>
            <w:shd w:val="clear" w:color="auto" w:fill="FFFFFF" w:themeFill="background1"/>
            <w:noWrap/>
            <w:vAlign w:val="bottom"/>
          </w:tcPr>
          <w:p w14:paraId="0F1B5DA8" w14:textId="5EDA9E0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3</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noWrap/>
            <w:vAlign w:val="bottom"/>
          </w:tcPr>
          <w:p w14:paraId="27E4B26D" w14:textId="03EDF07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94</w:t>
            </w:r>
          </w:p>
        </w:tc>
        <w:tc>
          <w:tcPr>
            <w:tcW w:w="1053" w:type="dxa"/>
            <w:tcBorders>
              <w:left w:val="single" w:sz="4" w:space="0" w:color="C0C0C0"/>
              <w:right w:val="single" w:sz="4" w:space="0" w:color="auto"/>
            </w:tcBorders>
            <w:shd w:val="clear" w:color="auto" w:fill="FFFFFF" w:themeFill="background1"/>
            <w:vAlign w:val="bottom"/>
          </w:tcPr>
          <w:p w14:paraId="0B9DC283" w14:textId="5A2F420C"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0.999</w:t>
            </w:r>
          </w:p>
        </w:tc>
        <w:tc>
          <w:tcPr>
            <w:tcW w:w="1053" w:type="dxa"/>
            <w:tcBorders>
              <w:left w:val="single" w:sz="4" w:space="0" w:color="C0C0C0"/>
              <w:right w:val="single" w:sz="4" w:space="0" w:color="auto"/>
            </w:tcBorders>
            <w:shd w:val="clear" w:color="auto" w:fill="FFFFFF" w:themeFill="background1"/>
            <w:vAlign w:val="bottom"/>
          </w:tcPr>
          <w:p w14:paraId="3E3BD6EF" w14:textId="6205BC5F"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55</w:t>
            </w:r>
          </w:p>
        </w:tc>
      </w:tr>
      <w:tr w:rsidR="006B25A2" w:rsidRPr="00CB54EA" w14:paraId="74AC55B9"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83A1CB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1053" w:type="dxa"/>
            <w:tcBorders>
              <w:left w:val="single" w:sz="4" w:space="0" w:color="C0C0C0"/>
              <w:right w:val="single" w:sz="4" w:space="0" w:color="auto"/>
            </w:tcBorders>
            <w:shd w:val="clear" w:color="auto" w:fill="FFFFFF" w:themeFill="background1"/>
            <w:noWrap/>
            <w:vAlign w:val="bottom"/>
          </w:tcPr>
          <w:p w14:paraId="186D743A"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A108852" w14:textId="11186593"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7</w:t>
            </w:r>
          </w:p>
        </w:tc>
        <w:tc>
          <w:tcPr>
            <w:tcW w:w="1053" w:type="dxa"/>
            <w:tcBorders>
              <w:left w:val="single" w:sz="4" w:space="0" w:color="C0C0C0"/>
              <w:right w:val="single" w:sz="4" w:space="0" w:color="auto"/>
            </w:tcBorders>
            <w:shd w:val="clear" w:color="auto" w:fill="FFFFFF" w:themeFill="background1"/>
            <w:vAlign w:val="bottom"/>
          </w:tcPr>
          <w:p w14:paraId="274A94EC"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733FE11F" w14:textId="6FFD82CE"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r>
      <w:tr w:rsidR="006B25A2" w:rsidRPr="00CB54EA" w14:paraId="2FBBD609"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26196F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1053" w:type="dxa"/>
            <w:tcBorders>
              <w:left w:val="single" w:sz="4" w:space="0" w:color="C0C0C0"/>
              <w:right w:val="single" w:sz="4" w:space="0" w:color="auto"/>
            </w:tcBorders>
            <w:shd w:val="clear" w:color="auto" w:fill="FFFFFF" w:themeFill="background1"/>
            <w:noWrap/>
            <w:vAlign w:val="bottom"/>
          </w:tcPr>
          <w:p w14:paraId="44E945D7"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44292737" w14:textId="6B9000D6"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79D2483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13293AA7" w14:textId="0E7CF01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r>
      <w:tr w:rsidR="006B25A2" w:rsidRPr="00CB54EA" w14:paraId="6CF41C3F"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40EE80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1053" w:type="dxa"/>
            <w:tcBorders>
              <w:left w:val="single" w:sz="4" w:space="0" w:color="C0C0C0"/>
              <w:right w:val="single" w:sz="4" w:space="0" w:color="auto"/>
            </w:tcBorders>
            <w:shd w:val="clear" w:color="auto" w:fill="FFFFFF" w:themeFill="background1"/>
            <w:noWrap/>
            <w:vAlign w:val="bottom"/>
          </w:tcPr>
          <w:p w14:paraId="5AE8C07E"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2E2D7B17" w14:textId="6A12FD1D"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21D7E89D"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73039EE8"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1.006</w:t>
            </w:r>
          </w:p>
        </w:tc>
      </w:tr>
      <w:tr w:rsidR="006B25A2" w:rsidRPr="00CB54EA" w14:paraId="7BCF2560"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BEC815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1053" w:type="dxa"/>
            <w:tcBorders>
              <w:left w:val="single" w:sz="4" w:space="0" w:color="C0C0C0"/>
              <w:right w:val="single" w:sz="4" w:space="0" w:color="auto"/>
            </w:tcBorders>
            <w:shd w:val="clear" w:color="auto" w:fill="FFFFFF" w:themeFill="background1"/>
            <w:noWrap/>
            <w:vAlign w:val="bottom"/>
          </w:tcPr>
          <w:p w14:paraId="6B2BBCF3"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07FCB356" w14:textId="7585372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2</w:t>
            </w:r>
          </w:p>
        </w:tc>
        <w:tc>
          <w:tcPr>
            <w:tcW w:w="1053" w:type="dxa"/>
            <w:tcBorders>
              <w:left w:val="single" w:sz="4" w:space="0" w:color="C0C0C0"/>
              <w:right w:val="single" w:sz="4" w:space="0" w:color="auto"/>
            </w:tcBorders>
            <w:shd w:val="clear" w:color="auto" w:fill="FFFFFF" w:themeFill="background1"/>
            <w:vAlign w:val="bottom"/>
          </w:tcPr>
          <w:p w14:paraId="0478A3DE" w14:textId="12A27392"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233322EA" w14:textId="7D3860C2"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7AF47F4D"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4D9C0D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1053" w:type="dxa"/>
            <w:tcBorders>
              <w:left w:val="single" w:sz="4" w:space="0" w:color="C0C0C0"/>
              <w:right w:val="single" w:sz="4" w:space="0" w:color="auto"/>
            </w:tcBorders>
            <w:shd w:val="clear" w:color="auto" w:fill="FFFFFF" w:themeFill="background1"/>
            <w:noWrap/>
            <w:vAlign w:val="bottom"/>
          </w:tcPr>
          <w:p w14:paraId="40C71653"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0B0466B" w14:textId="76E4DF92"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758A4FA8"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561EE999" w14:textId="4561CFDC"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11</w:t>
            </w:r>
          </w:p>
        </w:tc>
      </w:tr>
      <w:tr w:rsidR="006B25A2" w:rsidRPr="00CB54EA" w14:paraId="5F943474"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0C49C5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Pharmacy (Non</w:t>
            </w:r>
            <w:r w:rsidRPr="00CB54EA">
              <w:rPr>
                <w:rFonts w:asciiTheme="minorHAnsi" w:hAnsiTheme="minorHAnsi" w:cstheme="minorHAnsi"/>
                <w:sz w:val="22"/>
                <w:szCs w:val="22"/>
              </w:rPr>
              <w:noBreakHyphen/>
              <w:t>Part D)</w:t>
            </w:r>
          </w:p>
        </w:tc>
        <w:tc>
          <w:tcPr>
            <w:tcW w:w="1053" w:type="dxa"/>
            <w:tcBorders>
              <w:left w:val="single" w:sz="4" w:space="0" w:color="C0C0C0"/>
              <w:right w:val="single" w:sz="4" w:space="0" w:color="auto"/>
            </w:tcBorders>
            <w:shd w:val="clear" w:color="auto" w:fill="FFFFFF" w:themeFill="background1"/>
            <w:noWrap/>
            <w:vAlign w:val="bottom"/>
          </w:tcPr>
          <w:p w14:paraId="61ADA644"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5DD06C8C" w14:textId="54701372"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c>
          <w:tcPr>
            <w:tcW w:w="1053" w:type="dxa"/>
            <w:tcBorders>
              <w:left w:val="single" w:sz="4" w:space="0" w:color="C0C0C0"/>
              <w:right w:val="single" w:sz="4" w:space="0" w:color="auto"/>
            </w:tcBorders>
            <w:shd w:val="clear" w:color="auto" w:fill="FFFFFF" w:themeFill="background1"/>
            <w:vAlign w:val="bottom"/>
          </w:tcPr>
          <w:p w14:paraId="1FE11BA4" w14:textId="6AA6E529"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19EE21D2" w14:textId="1FB2538D"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40E35B7B"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3AD24B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1053" w:type="dxa"/>
            <w:tcBorders>
              <w:left w:val="single" w:sz="4" w:space="0" w:color="C0C0C0"/>
              <w:right w:val="single" w:sz="4" w:space="0" w:color="auto"/>
            </w:tcBorders>
            <w:shd w:val="clear" w:color="auto" w:fill="FFFFFF" w:themeFill="background1"/>
            <w:noWrap/>
            <w:vAlign w:val="bottom"/>
          </w:tcPr>
          <w:p w14:paraId="3465C9B5"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FF8070F" w14:textId="173C132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c>
          <w:tcPr>
            <w:tcW w:w="1053" w:type="dxa"/>
            <w:tcBorders>
              <w:left w:val="single" w:sz="4" w:space="0" w:color="C0C0C0"/>
              <w:right w:val="single" w:sz="4" w:space="0" w:color="auto"/>
            </w:tcBorders>
            <w:shd w:val="clear" w:color="auto" w:fill="FFFFFF" w:themeFill="background1"/>
            <w:vAlign w:val="bottom"/>
          </w:tcPr>
          <w:p w14:paraId="2933B047" w14:textId="76B78B38"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3EFE67DD" w14:textId="7A64CB31"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26</w:t>
            </w:r>
          </w:p>
        </w:tc>
      </w:tr>
      <w:tr w:rsidR="006B25A2" w:rsidRPr="00CB54EA" w14:paraId="3B3976D2"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D39617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1053" w:type="dxa"/>
            <w:tcBorders>
              <w:left w:val="single" w:sz="4" w:space="0" w:color="C0C0C0"/>
              <w:right w:val="single" w:sz="4" w:space="0" w:color="auto"/>
            </w:tcBorders>
            <w:shd w:val="clear" w:color="auto" w:fill="FFFFFF" w:themeFill="background1"/>
            <w:noWrap/>
            <w:vAlign w:val="bottom"/>
          </w:tcPr>
          <w:p w14:paraId="4D5DD027"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2307369F" w14:textId="07D40DB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66C72C0E" w14:textId="6D1EE32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01F1FB11" w14:textId="54FCEF16"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13</w:t>
            </w:r>
          </w:p>
        </w:tc>
      </w:tr>
      <w:tr w:rsidR="006B25A2" w:rsidRPr="00CB54EA" w14:paraId="0D44160C"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2690203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All Other</w:t>
            </w:r>
          </w:p>
        </w:tc>
        <w:tc>
          <w:tcPr>
            <w:tcW w:w="1053" w:type="dxa"/>
            <w:tcBorders>
              <w:left w:val="single" w:sz="4" w:space="0" w:color="C0C0C0"/>
              <w:right w:val="single" w:sz="4" w:space="0" w:color="auto"/>
            </w:tcBorders>
            <w:shd w:val="clear" w:color="auto" w:fill="FFFFFF" w:themeFill="background1"/>
            <w:noWrap/>
            <w:vAlign w:val="bottom"/>
          </w:tcPr>
          <w:p w14:paraId="0231E61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4F547B42" w14:textId="066D078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770985B1" w14:textId="1FC63BB5"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435ACBAA" w14:textId="12ED3FAF"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79CCB04A" w14:textId="77777777" w:rsidTr="00821D6E">
        <w:trPr>
          <w:trHeight w:val="255"/>
          <w:jc w:val="center"/>
        </w:trPr>
        <w:tc>
          <w:tcPr>
            <w:tcW w:w="2875" w:type="dxa"/>
            <w:tcBorders>
              <w:left w:val="single" w:sz="4" w:space="0" w:color="auto"/>
              <w:bottom w:val="single" w:sz="4" w:space="0" w:color="auto"/>
              <w:right w:val="single" w:sz="4" w:space="0" w:color="auto"/>
            </w:tcBorders>
            <w:shd w:val="clear" w:color="auto" w:fill="FFFFFF" w:themeFill="background1"/>
            <w:noWrap/>
            <w:vAlign w:val="center"/>
          </w:tcPr>
          <w:p w14:paraId="080E834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All Services</w:t>
            </w:r>
          </w:p>
        </w:tc>
        <w:tc>
          <w:tcPr>
            <w:tcW w:w="1053" w:type="dxa"/>
            <w:tcBorders>
              <w:left w:val="single" w:sz="4" w:space="0" w:color="C0C0C0"/>
              <w:bottom w:val="single" w:sz="4" w:space="0" w:color="auto"/>
              <w:right w:val="single" w:sz="4" w:space="0" w:color="auto"/>
            </w:tcBorders>
            <w:shd w:val="clear" w:color="auto" w:fill="FFFFFF" w:themeFill="background1"/>
            <w:noWrap/>
            <w:vAlign w:val="bottom"/>
          </w:tcPr>
          <w:p w14:paraId="2FD022F9" w14:textId="32B0E781"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3</w:t>
            </w:r>
          </w:p>
        </w:tc>
        <w:tc>
          <w:tcPr>
            <w:tcW w:w="1053" w:type="dxa"/>
            <w:tcBorders>
              <w:left w:val="single" w:sz="4" w:space="0" w:color="C0C0C0"/>
              <w:bottom w:val="single" w:sz="4" w:space="0" w:color="auto"/>
              <w:right w:val="single" w:sz="4" w:space="0" w:color="auto"/>
            </w:tcBorders>
            <w:shd w:val="clear" w:color="auto" w:fill="FFFFFF" w:themeFill="background1"/>
            <w:noWrap/>
            <w:vAlign w:val="bottom"/>
          </w:tcPr>
          <w:p w14:paraId="5EDA89EA" w14:textId="47AE0BEA"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12</w:t>
            </w:r>
          </w:p>
        </w:tc>
        <w:tc>
          <w:tcPr>
            <w:tcW w:w="1053" w:type="dxa"/>
            <w:tcBorders>
              <w:left w:val="single" w:sz="4" w:space="0" w:color="C0C0C0"/>
              <w:bottom w:val="single" w:sz="4" w:space="0" w:color="auto"/>
              <w:right w:val="single" w:sz="4" w:space="0" w:color="auto"/>
            </w:tcBorders>
            <w:shd w:val="clear" w:color="auto" w:fill="FFFFFF" w:themeFill="background1"/>
            <w:vAlign w:val="bottom"/>
          </w:tcPr>
          <w:p w14:paraId="00E9BF9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bottom w:val="single" w:sz="4" w:space="0" w:color="auto"/>
              <w:right w:val="single" w:sz="4" w:space="0" w:color="auto"/>
            </w:tcBorders>
            <w:shd w:val="clear" w:color="auto" w:fill="FFFFFF" w:themeFill="background1"/>
            <w:vAlign w:val="bottom"/>
          </w:tcPr>
          <w:p w14:paraId="22678E59" w14:textId="7B0BF7D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22</w:t>
            </w:r>
          </w:p>
        </w:tc>
      </w:tr>
    </w:tbl>
    <w:p w14:paraId="0AEB504E" w14:textId="77777777" w:rsidR="000F1077" w:rsidRPr="00CB54EA" w:rsidRDefault="000F1077" w:rsidP="000F1077">
      <w:pPr>
        <w:rPr>
          <w:rFonts w:asciiTheme="minorHAnsi" w:hAnsiTheme="minorHAnsi"/>
          <w:sz w:val="22"/>
          <w:szCs w:val="22"/>
        </w:rPr>
      </w:pPr>
    </w:p>
    <w:p w14:paraId="3C9408EC" w14:textId="761A611A" w:rsidR="006B25A2" w:rsidRPr="00CB54EA" w:rsidRDefault="000F1077" w:rsidP="006B25A2">
      <w:pPr>
        <w:rPr>
          <w:rFonts w:asciiTheme="minorHAnsi" w:hAnsiTheme="minorHAnsi"/>
          <w:sz w:val="22"/>
          <w:szCs w:val="22"/>
        </w:rPr>
      </w:pPr>
      <w:r w:rsidRPr="00CB54EA">
        <w:rPr>
          <w:rFonts w:asciiTheme="minorHAnsi" w:hAnsiTheme="minorHAnsi"/>
          <w:sz w:val="22"/>
          <w:szCs w:val="22"/>
        </w:rPr>
        <w:t>The HCBS/Home Health factors were applied to TLP services included in the development of the C3C rates. All claims occurring in CY</w:t>
      </w:r>
      <w:r w:rsidR="00505EDB" w:rsidRPr="00CB54EA">
        <w:rPr>
          <w:rFonts w:asciiTheme="minorHAnsi" w:hAnsiTheme="minorHAnsi"/>
          <w:sz w:val="22"/>
          <w:szCs w:val="22"/>
        </w:rPr>
        <w:t xml:space="preserve"> </w:t>
      </w:r>
      <w:r w:rsidRPr="00CB54EA">
        <w:rPr>
          <w:rFonts w:asciiTheme="minorHAnsi" w:hAnsiTheme="minorHAnsi"/>
          <w:sz w:val="22"/>
          <w:szCs w:val="22"/>
        </w:rPr>
        <w:t>2014 were considered complete.</w:t>
      </w:r>
    </w:p>
    <w:p w14:paraId="43E8312A" w14:textId="77777777" w:rsidR="006B25A2" w:rsidRPr="00CB54EA" w:rsidRDefault="006B25A2" w:rsidP="006B25A2">
      <w:pPr>
        <w:rPr>
          <w:rFonts w:asciiTheme="minorHAnsi" w:hAnsiTheme="minorHAnsi" w:cs="Arial"/>
          <w:b/>
          <w:i/>
          <w:sz w:val="22"/>
          <w:szCs w:val="22"/>
        </w:rPr>
      </w:pPr>
    </w:p>
    <w:p w14:paraId="3FBB271B" w14:textId="065D8343" w:rsidR="00C37D91" w:rsidRPr="00CB54EA" w:rsidRDefault="00C37D91" w:rsidP="00C37D91">
      <w:pPr>
        <w:pStyle w:val="Heading2"/>
        <w:rPr>
          <w:rFonts w:asciiTheme="minorHAnsi" w:hAnsiTheme="minorHAnsi"/>
          <w:i/>
          <w:sz w:val="22"/>
          <w:szCs w:val="22"/>
        </w:rPr>
      </w:pPr>
      <w:r w:rsidRPr="00CB54EA">
        <w:rPr>
          <w:rFonts w:asciiTheme="minorHAnsi" w:hAnsiTheme="minorHAnsi"/>
          <w:i/>
          <w:sz w:val="22"/>
          <w:szCs w:val="22"/>
        </w:rPr>
        <w:t>Pharma</w:t>
      </w:r>
      <w:r w:rsidR="00505EDB" w:rsidRPr="00CB54EA">
        <w:rPr>
          <w:rFonts w:asciiTheme="minorHAnsi" w:hAnsiTheme="minorHAnsi"/>
          <w:i/>
          <w:sz w:val="22"/>
          <w:szCs w:val="22"/>
        </w:rPr>
        <w:t>cy</w:t>
      </w:r>
      <w:r w:rsidRPr="00CB54EA">
        <w:rPr>
          <w:rFonts w:asciiTheme="minorHAnsi" w:hAnsiTheme="minorHAnsi"/>
          <w:i/>
          <w:sz w:val="22"/>
          <w:szCs w:val="22"/>
        </w:rPr>
        <w:t xml:space="preserve"> Rebates:</w:t>
      </w:r>
    </w:p>
    <w:p w14:paraId="09D80B42" w14:textId="5EE391E0" w:rsidR="00C37D91" w:rsidRPr="00CB54EA" w:rsidRDefault="00C37D91" w:rsidP="00C37D91">
      <w:pPr>
        <w:rPr>
          <w:rFonts w:asciiTheme="minorHAnsi" w:hAnsiTheme="minorHAnsi"/>
          <w:sz w:val="22"/>
          <w:szCs w:val="22"/>
        </w:rPr>
      </w:pPr>
      <w:r w:rsidRPr="00CB54EA">
        <w:rPr>
          <w:rFonts w:asciiTheme="minorHAnsi" w:hAnsiTheme="minorHAnsi"/>
          <w:sz w:val="22"/>
          <w:szCs w:val="22"/>
        </w:rPr>
        <w:t>The historical base data does not reflect potential Federal Omnibus Budget Reconciliation Act (OBRA) rebates. Potential OBRA rebates on non-Part D drugs comprise an estimated 18.4% of total pharmacy spending for the entire state. This rebate percentage is based on forecasts developed by MassHealth for all dual eligible members (including partial duals and waiver participants) in the state under the age of 65 during CY</w:t>
      </w:r>
      <w:r w:rsidR="00505EDB" w:rsidRPr="00CB54EA">
        <w:rPr>
          <w:rFonts w:asciiTheme="minorHAnsi" w:hAnsiTheme="minorHAnsi"/>
          <w:sz w:val="22"/>
          <w:szCs w:val="22"/>
        </w:rPr>
        <w:t xml:space="preserve"> </w:t>
      </w:r>
      <w:r w:rsidRPr="00CB54EA">
        <w:rPr>
          <w:rFonts w:asciiTheme="minorHAnsi" w:hAnsiTheme="minorHAnsi"/>
          <w:sz w:val="22"/>
          <w:szCs w:val="22"/>
        </w:rPr>
        <w:t>2015 and CY</w:t>
      </w:r>
      <w:r w:rsidR="00505EDB" w:rsidRPr="00CB54EA">
        <w:rPr>
          <w:rFonts w:asciiTheme="minorHAnsi" w:hAnsiTheme="minorHAnsi"/>
          <w:sz w:val="22"/>
          <w:szCs w:val="22"/>
        </w:rPr>
        <w:t xml:space="preserve"> </w:t>
      </w:r>
      <w:r w:rsidRPr="00CB54EA">
        <w:rPr>
          <w:rFonts w:asciiTheme="minorHAnsi" w:hAnsiTheme="minorHAnsi"/>
          <w:sz w:val="22"/>
          <w:szCs w:val="22"/>
        </w:rPr>
        <w:t>2016. This percentage was then applied to the base data reflecting the excluded counties. In addition, MassHealth has an agreement in place for supplemental rebates on diabetic test strips. MassHealth estimated that there is approximately $0.3M in potential rebates in CY</w:t>
      </w:r>
      <w:r w:rsidR="00505EDB" w:rsidRPr="00CB54EA">
        <w:rPr>
          <w:rFonts w:asciiTheme="minorHAnsi" w:hAnsiTheme="minorHAnsi"/>
          <w:sz w:val="22"/>
          <w:szCs w:val="22"/>
        </w:rPr>
        <w:t xml:space="preserve"> </w:t>
      </w:r>
      <w:r w:rsidRPr="00CB54EA">
        <w:rPr>
          <w:rFonts w:asciiTheme="minorHAnsi" w:hAnsiTheme="minorHAnsi"/>
          <w:sz w:val="22"/>
          <w:szCs w:val="22"/>
        </w:rPr>
        <w:t>2015 and CY</w:t>
      </w:r>
      <w:r w:rsidR="00505EDB" w:rsidRPr="00CB54EA">
        <w:rPr>
          <w:rFonts w:asciiTheme="minorHAnsi" w:hAnsiTheme="minorHAnsi"/>
          <w:sz w:val="22"/>
          <w:szCs w:val="22"/>
        </w:rPr>
        <w:t xml:space="preserve"> </w:t>
      </w:r>
      <w:r w:rsidRPr="00CB54EA">
        <w:rPr>
          <w:rFonts w:asciiTheme="minorHAnsi" w:hAnsiTheme="minorHAnsi"/>
          <w:sz w:val="22"/>
          <w:szCs w:val="22"/>
        </w:rPr>
        <w:t>2016 on diabetic test strips for the entire dual eligible population. This number was adjusted to reflect the target duals population and is expected to produce an extra 3.4% in pharmacy rebates for this population.</w:t>
      </w:r>
    </w:p>
    <w:p w14:paraId="4F360A12" w14:textId="77777777" w:rsidR="006B25A2" w:rsidRPr="00CB54EA" w:rsidRDefault="006B25A2" w:rsidP="006B25A2">
      <w:pPr>
        <w:rPr>
          <w:rFonts w:asciiTheme="minorHAnsi" w:hAnsiTheme="minorHAnsi" w:cs="Arial"/>
          <w:b/>
          <w:i/>
          <w:sz w:val="22"/>
          <w:szCs w:val="22"/>
        </w:rPr>
      </w:pPr>
    </w:p>
    <w:p w14:paraId="6EDADD9E" w14:textId="77777777" w:rsidR="00232DB2" w:rsidRPr="00CB54EA" w:rsidRDefault="00232DB2" w:rsidP="00232DB2">
      <w:pPr>
        <w:pStyle w:val="Heading3"/>
        <w:rPr>
          <w:rFonts w:asciiTheme="minorHAnsi" w:hAnsiTheme="minorHAnsi"/>
          <w:sz w:val="22"/>
          <w:szCs w:val="22"/>
        </w:rPr>
      </w:pPr>
      <w:r w:rsidRPr="00CB54EA">
        <w:rPr>
          <w:rFonts w:asciiTheme="minorHAnsi" w:hAnsiTheme="minorHAnsi"/>
          <w:sz w:val="22"/>
          <w:szCs w:val="22"/>
        </w:rPr>
        <w:t>Acuity Adjustment</w:t>
      </w:r>
    </w:p>
    <w:p w14:paraId="5D74ED9C" w14:textId="134B281A" w:rsidR="00232DB2" w:rsidRPr="00CB54EA" w:rsidRDefault="00232DB2" w:rsidP="00232DB2">
      <w:pPr>
        <w:rPr>
          <w:rFonts w:asciiTheme="minorHAnsi" w:hAnsiTheme="minorHAnsi"/>
          <w:sz w:val="22"/>
          <w:szCs w:val="22"/>
        </w:rPr>
      </w:pPr>
      <w:r w:rsidRPr="00CB54EA">
        <w:rPr>
          <w:rFonts w:asciiTheme="minorHAnsi" w:hAnsiTheme="minorHAnsi"/>
          <w:sz w:val="22"/>
          <w:szCs w:val="22"/>
        </w:rPr>
        <w:t xml:space="preserve">The base FFS data represents both members who eventually enrolled in One Care and those that did not. </w:t>
      </w:r>
      <w:r w:rsidR="00CA7469" w:rsidRPr="00CB54EA">
        <w:rPr>
          <w:rFonts w:asciiTheme="minorHAnsi" w:hAnsiTheme="minorHAnsi"/>
          <w:sz w:val="22"/>
          <w:szCs w:val="22"/>
        </w:rPr>
        <w:t xml:space="preserve">MassHealth </w:t>
      </w:r>
      <w:r w:rsidRPr="00CB54EA">
        <w:rPr>
          <w:rFonts w:asciiTheme="minorHAnsi" w:hAnsiTheme="minorHAnsi"/>
          <w:sz w:val="22"/>
          <w:szCs w:val="22"/>
        </w:rPr>
        <w:t xml:space="preserve">evaluated historical data from multiple years that separately identified members who enrolled in One Care, and compared those PMPMs to the overall base. Through this analysis, </w:t>
      </w:r>
      <w:r w:rsidR="00CA7469" w:rsidRPr="00CB54EA">
        <w:rPr>
          <w:rFonts w:asciiTheme="minorHAnsi" w:hAnsiTheme="minorHAnsi"/>
          <w:sz w:val="22"/>
          <w:szCs w:val="22"/>
        </w:rPr>
        <w:t xml:space="preserve">it was </w:t>
      </w:r>
      <w:r w:rsidRPr="00CB54EA">
        <w:rPr>
          <w:rFonts w:asciiTheme="minorHAnsi" w:hAnsiTheme="minorHAnsi"/>
          <w:sz w:val="22"/>
          <w:szCs w:val="22"/>
        </w:rPr>
        <w:t>determined that there were several RCs where the acuity of the eventual enrollees differed materially from the overall base. An adjustment was created at the aggregate to reflect this differential, and then converted to be applied at the COS level. In aggregate, the adjustments below have been applied to reflect differences in the acuity level of the One Care enrollees.</w:t>
      </w:r>
    </w:p>
    <w:bookmarkEnd w:id="0"/>
    <w:bookmarkEnd w:id="1"/>
    <w:p w14:paraId="0F9684ED" w14:textId="77777777" w:rsidR="006B25A2" w:rsidRPr="00CB54EA" w:rsidRDefault="006B25A2" w:rsidP="006B25A2">
      <w:pPr>
        <w:pStyle w:val="Heading2"/>
        <w:rPr>
          <w:rFonts w:asciiTheme="minorHAnsi" w:hAnsiTheme="minorHAnsi" w:cs="Times New Roman"/>
          <w:b w:val="0"/>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61BA8" w:rsidRPr="00CB54EA" w14:paraId="3EB9A40E" w14:textId="77777777" w:rsidTr="00505E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C762EB9" w14:textId="77777777" w:rsidR="00232DB2" w:rsidRPr="00CB54EA" w:rsidRDefault="00232DB2" w:rsidP="00E61BA8">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CEB32A4"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602A9B3"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F351611"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F7E6A7D" w14:textId="06F9F487" w:rsidR="00232DB2" w:rsidRPr="00CB54EA" w:rsidRDefault="00E61BA8"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29C3C15" w14:textId="6453D77B"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61BA8" w:rsidRPr="00CB54EA" w14:paraId="2B797C69" w14:textId="77777777" w:rsidTr="00505EDB">
        <w:trPr>
          <w:cantSplit/>
          <w:trHeight w:val="298"/>
        </w:trPr>
        <w:tc>
          <w:tcPr>
            <w:tcW w:w="793" w:type="pct"/>
            <w:tcBorders>
              <w:top w:val="single" w:sz="8" w:space="0" w:color="auto"/>
            </w:tcBorders>
            <w:shd w:val="clear" w:color="auto" w:fill="auto"/>
          </w:tcPr>
          <w:p w14:paraId="72D7904A"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52C76A9B" w14:textId="5234F4F6"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7.8</w:t>
            </w:r>
            <w:r w:rsidR="00232DB2"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4751A2BC" w14:textId="54A66B9D"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16.0</w:t>
            </w:r>
            <w:r w:rsidR="00232DB2"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21DCEBC0" w14:textId="0F7B559B" w:rsidR="00232DB2" w:rsidRPr="00CB54EA" w:rsidRDefault="00232DB2" w:rsidP="00E61BA8">
            <w:pPr>
              <w:jc w:val="right"/>
              <w:rPr>
                <w:rFonts w:asciiTheme="minorHAnsi" w:hAnsiTheme="minorHAnsi" w:cstheme="minorHAnsi"/>
                <w:sz w:val="22"/>
                <w:szCs w:val="22"/>
              </w:rPr>
            </w:pPr>
            <w:r w:rsidRPr="00CB54EA">
              <w:rPr>
                <w:rFonts w:asciiTheme="minorHAnsi" w:hAnsiTheme="minorHAnsi" w:cstheme="minorHAnsi"/>
                <w:sz w:val="22"/>
                <w:szCs w:val="22"/>
              </w:rPr>
              <w:t>-</w:t>
            </w:r>
            <w:r w:rsidR="00E61BA8" w:rsidRPr="00CB54EA">
              <w:rPr>
                <w:rFonts w:asciiTheme="minorHAnsi" w:hAnsiTheme="minorHAnsi" w:cstheme="minorHAnsi"/>
                <w:sz w:val="22"/>
                <w:szCs w:val="22"/>
              </w:rPr>
              <w:t>3.7</w:t>
            </w:r>
            <w:r w:rsidRPr="00CB54EA">
              <w:rPr>
                <w:rFonts w:asciiTheme="minorHAnsi" w:hAnsiTheme="minorHAnsi" w:cstheme="minorHAnsi"/>
                <w:sz w:val="22"/>
                <w:szCs w:val="22"/>
              </w:rPr>
              <w:t>%</w:t>
            </w:r>
          </w:p>
        </w:tc>
        <w:tc>
          <w:tcPr>
            <w:tcW w:w="841" w:type="pct"/>
            <w:tcBorders>
              <w:top w:val="single" w:sz="8" w:space="0" w:color="auto"/>
            </w:tcBorders>
            <w:vAlign w:val="bottom"/>
          </w:tcPr>
          <w:p w14:paraId="2E1916FE" w14:textId="684F4074"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334CFC58" w14:textId="098FE08C"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r>
      <w:tr w:rsidR="00E61BA8" w:rsidRPr="00CB54EA" w14:paraId="0719C540" w14:textId="77777777" w:rsidTr="00505EDB">
        <w:trPr>
          <w:cantSplit/>
          <w:trHeight w:val="298"/>
        </w:trPr>
        <w:tc>
          <w:tcPr>
            <w:tcW w:w="793" w:type="pct"/>
            <w:shd w:val="clear" w:color="auto" w:fill="auto"/>
          </w:tcPr>
          <w:p w14:paraId="6EA683B6"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517C678" w14:textId="6FA6080A"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c>
          <w:tcPr>
            <w:tcW w:w="842" w:type="pct"/>
            <w:shd w:val="clear" w:color="auto" w:fill="auto"/>
            <w:vAlign w:val="bottom"/>
          </w:tcPr>
          <w:p w14:paraId="7C25AC0D" w14:textId="4F8F55C7"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4.4</w:t>
            </w:r>
            <w:r w:rsidR="00232DB2" w:rsidRPr="00CB54EA">
              <w:rPr>
                <w:rFonts w:asciiTheme="minorHAnsi" w:hAnsiTheme="minorHAnsi" w:cstheme="minorHAnsi"/>
                <w:sz w:val="22"/>
                <w:szCs w:val="22"/>
              </w:rPr>
              <w:t>%</w:t>
            </w:r>
          </w:p>
        </w:tc>
        <w:tc>
          <w:tcPr>
            <w:tcW w:w="842" w:type="pct"/>
            <w:shd w:val="clear" w:color="auto" w:fill="auto"/>
            <w:vAlign w:val="bottom"/>
          </w:tcPr>
          <w:p w14:paraId="4C467358" w14:textId="48DA8DBB"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-2.4</w:t>
            </w:r>
            <w:r w:rsidR="00232DB2" w:rsidRPr="00CB54EA">
              <w:rPr>
                <w:rFonts w:asciiTheme="minorHAnsi" w:hAnsiTheme="minorHAnsi" w:cstheme="minorHAnsi"/>
                <w:sz w:val="22"/>
                <w:szCs w:val="22"/>
              </w:rPr>
              <w:t>%</w:t>
            </w:r>
          </w:p>
        </w:tc>
        <w:tc>
          <w:tcPr>
            <w:tcW w:w="841" w:type="pct"/>
            <w:vAlign w:val="bottom"/>
          </w:tcPr>
          <w:p w14:paraId="2B03204E" w14:textId="281D924F"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5C3E44A" w14:textId="037C21FE"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r>
      <w:tr w:rsidR="00E61BA8" w:rsidRPr="00CB54EA" w14:paraId="094CE2D5" w14:textId="77777777" w:rsidTr="00505EDB">
        <w:trPr>
          <w:cantSplit/>
          <w:trHeight w:val="315"/>
        </w:trPr>
        <w:tc>
          <w:tcPr>
            <w:tcW w:w="793" w:type="pct"/>
            <w:shd w:val="clear" w:color="auto" w:fill="auto"/>
          </w:tcPr>
          <w:p w14:paraId="02B0DDFA"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6407C5D" w14:textId="4C30C5B2"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c>
          <w:tcPr>
            <w:tcW w:w="842" w:type="pct"/>
            <w:shd w:val="clear" w:color="auto" w:fill="auto"/>
            <w:vAlign w:val="bottom"/>
          </w:tcPr>
          <w:p w14:paraId="02EFCCA4" w14:textId="061D0EE4"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4.6</w:t>
            </w:r>
            <w:r w:rsidR="00232DB2" w:rsidRPr="00CB54EA">
              <w:rPr>
                <w:rFonts w:asciiTheme="minorHAnsi" w:hAnsiTheme="minorHAnsi" w:cstheme="minorHAnsi"/>
                <w:sz w:val="22"/>
                <w:szCs w:val="22"/>
              </w:rPr>
              <w:t>%</w:t>
            </w:r>
          </w:p>
        </w:tc>
        <w:tc>
          <w:tcPr>
            <w:tcW w:w="842" w:type="pct"/>
            <w:shd w:val="clear" w:color="auto" w:fill="auto"/>
            <w:vAlign w:val="bottom"/>
          </w:tcPr>
          <w:p w14:paraId="448A5352" w14:textId="23D0F069"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-5.0</w:t>
            </w:r>
            <w:r w:rsidR="00232DB2" w:rsidRPr="00CB54EA">
              <w:rPr>
                <w:rFonts w:asciiTheme="minorHAnsi" w:hAnsiTheme="minorHAnsi" w:cstheme="minorHAnsi"/>
                <w:sz w:val="22"/>
                <w:szCs w:val="22"/>
              </w:rPr>
              <w:t>%</w:t>
            </w:r>
          </w:p>
        </w:tc>
        <w:tc>
          <w:tcPr>
            <w:tcW w:w="841" w:type="pct"/>
            <w:vAlign w:val="bottom"/>
          </w:tcPr>
          <w:p w14:paraId="09D04612" w14:textId="118295C1"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9AB3CEC" w14:textId="31FB1E90" w:rsidR="00232DB2" w:rsidRPr="00CB54EA" w:rsidRDefault="00232DB2"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645D3CDC" w14:textId="21A3ACBC" w:rsidR="006B25A2" w:rsidRPr="00CB54EA" w:rsidRDefault="006B25A2" w:rsidP="00505EDB">
      <w:pPr>
        <w:rPr>
          <w:rFonts w:asciiTheme="minorHAnsi" w:hAnsiTheme="minorHAnsi"/>
        </w:rPr>
      </w:pPr>
      <w:r w:rsidRPr="00CB54EA">
        <w:rPr>
          <w:rFonts w:asciiTheme="minorHAnsi" w:hAnsiTheme="minorHAnsi" w:cstheme="minorHAnsi"/>
          <w:b/>
          <w:sz w:val="22"/>
          <w:szCs w:val="22"/>
          <w:u w:val="single"/>
        </w:rPr>
        <w:lastRenderedPageBreak/>
        <w:t>Other Rate Adjustments:</w:t>
      </w:r>
    </w:p>
    <w:p w14:paraId="201F58F4" w14:textId="77777777" w:rsidR="006B25A2" w:rsidRPr="00CB54EA" w:rsidRDefault="006B25A2" w:rsidP="006B25A2">
      <w:pPr>
        <w:rPr>
          <w:rFonts w:asciiTheme="minorHAnsi" w:hAnsiTheme="minorHAnsi"/>
          <w:sz w:val="22"/>
          <w:szCs w:val="22"/>
          <w:highlight w:val="yellow"/>
        </w:rPr>
      </w:pPr>
    </w:p>
    <w:p w14:paraId="53358025" w14:textId="6E6D33AD" w:rsidR="006B25A2" w:rsidRPr="00CB54EA" w:rsidRDefault="006B25A2" w:rsidP="00505EDB">
      <w:pPr>
        <w:pStyle w:val="Heading2"/>
        <w:numPr>
          <w:ilvl w:val="0"/>
          <w:numId w:val="0"/>
        </w:numPr>
        <w:rPr>
          <w:rFonts w:asciiTheme="minorHAnsi" w:hAnsiTheme="minorHAnsi"/>
          <w:i/>
          <w:sz w:val="22"/>
          <w:szCs w:val="22"/>
        </w:rPr>
      </w:pPr>
      <w:r w:rsidRPr="00CB54EA">
        <w:rPr>
          <w:rFonts w:asciiTheme="minorHAnsi" w:hAnsiTheme="minorHAnsi"/>
          <w:i/>
          <w:sz w:val="22"/>
          <w:szCs w:val="22"/>
        </w:rPr>
        <w:t>Dental Benefit Changes</w:t>
      </w:r>
      <w:r w:rsidR="0087680E" w:rsidRPr="00CB54EA">
        <w:rPr>
          <w:rFonts w:asciiTheme="minorHAnsi" w:hAnsiTheme="minorHAnsi"/>
          <w:i/>
          <w:sz w:val="22"/>
          <w:szCs w:val="22"/>
        </w:rPr>
        <w:t xml:space="preserve"> and HSN Dental Wrap</w:t>
      </w:r>
      <w:r w:rsidRPr="00CB54EA">
        <w:rPr>
          <w:rFonts w:asciiTheme="minorHAnsi" w:hAnsiTheme="minorHAnsi"/>
          <w:i/>
          <w:sz w:val="22"/>
          <w:szCs w:val="22"/>
        </w:rPr>
        <w:t>:</w:t>
      </w:r>
    </w:p>
    <w:p w14:paraId="4681DB17" w14:textId="418E2B1A" w:rsidR="006B25A2" w:rsidRPr="00CB54EA" w:rsidRDefault="006B25A2">
      <w:pPr>
        <w:rPr>
          <w:rFonts w:asciiTheme="minorHAnsi" w:hAnsiTheme="minorHAnsi"/>
          <w:sz w:val="22"/>
          <w:szCs w:val="22"/>
        </w:rPr>
      </w:pPr>
      <w:r w:rsidRPr="00CB54EA">
        <w:rPr>
          <w:rFonts w:asciiTheme="minorHAnsi" w:hAnsiTheme="minorHAnsi"/>
          <w:sz w:val="22"/>
          <w:szCs w:val="22"/>
        </w:rPr>
        <w:t>The MassHealth dental benefit for adults was reduced effective July 2010</w:t>
      </w:r>
      <w:r w:rsidR="00890BEE" w:rsidRPr="00CB54EA">
        <w:rPr>
          <w:rFonts w:asciiTheme="minorHAnsi" w:hAnsiTheme="minorHAnsi"/>
          <w:sz w:val="22"/>
          <w:szCs w:val="22"/>
        </w:rPr>
        <w:t>; coverage was restored for fillings prior to the base data period</w:t>
      </w:r>
      <w:r w:rsidR="002E3857" w:rsidRPr="00CB54EA">
        <w:rPr>
          <w:rFonts w:asciiTheme="minorHAnsi" w:hAnsiTheme="minorHAnsi"/>
          <w:sz w:val="22"/>
          <w:szCs w:val="22"/>
        </w:rPr>
        <w:t>. Effective May 15, 2015, MassHealth restored its denture benefits to include:</w:t>
      </w:r>
      <w:r w:rsidRPr="00CB54EA">
        <w:rPr>
          <w:rFonts w:asciiTheme="minorHAnsi" w:hAnsiTheme="minorHAnsi"/>
          <w:sz w:val="22"/>
          <w:szCs w:val="22"/>
        </w:rPr>
        <w:t xml:space="preserve"> </w:t>
      </w:r>
    </w:p>
    <w:p w14:paraId="5BAE8538" w14:textId="77777777" w:rsidR="006B25A2" w:rsidRPr="00CB54EA" w:rsidRDefault="006B25A2" w:rsidP="006B25A2">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6B25A2" w:rsidRPr="00CB54EA" w14:paraId="2A0B5AAB" w14:textId="77777777" w:rsidTr="006B25A2">
        <w:trPr>
          <w:cantSplit/>
          <w:tblHeader/>
        </w:trPr>
        <w:tc>
          <w:tcPr>
            <w:tcW w:w="7842" w:type="dxa"/>
            <w:tcBorders>
              <w:top w:val="single" w:sz="8" w:space="0" w:color="auto"/>
              <w:bottom w:val="single" w:sz="8" w:space="0" w:color="auto"/>
            </w:tcBorders>
            <w:shd w:val="clear" w:color="auto" w:fill="FFFFFF"/>
            <w:noWrap/>
            <w:vAlign w:val="bottom"/>
          </w:tcPr>
          <w:p w14:paraId="51399B65" w14:textId="77777777" w:rsidR="006B25A2" w:rsidRPr="00CB54EA" w:rsidRDefault="006B25A2" w:rsidP="006B25A2">
            <w:pPr>
              <w:pStyle w:val="TableHeadingText"/>
              <w:rPr>
                <w:rFonts w:asciiTheme="minorHAnsi" w:eastAsia="MS Mincho" w:hAnsiTheme="minorHAnsi"/>
                <w:b w:val="0"/>
                <w:sz w:val="20"/>
                <w:lang w:eastAsia="ja-JP"/>
              </w:rPr>
            </w:pPr>
            <w:r w:rsidRPr="00CB54EA">
              <w:rPr>
                <w:rFonts w:asciiTheme="minorHAnsi" w:eastAsia="MS Mincho" w:hAnsiTheme="minorHAnsi"/>
                <w:b w:val="0"/>
                <w:sz w:val="20"/>
                <w:lang w:eastAsia="ja-JP"/>
              </w:rPr>
              <w:t>D5110 – COMPLETE DENTURES (INCLUDING ROUTINE POST-DELIVERY CARE)</w:t>
            </w:r>
          </w:p>
        </w:tc>
      </w:tr>
      <w:tr w:rsidR="006B25A2" w:rsidRPr="00CB54EA" w14:paraId="357DD092" w14:textId="77777777" w:rsidTr="006B25A2">
        <w:trPr>
          <w:cantSplit/>
        </w:trPr>
        <w:tc>
          <w:tcPr>
            <w:tcW w:w="7842" w:type="dxa"/>
            <w:tcBorders>
              <w:top w:val="single" w:sz="8" w:space="0" w:color="auto"/>
            </w:tcBorders>
            <w:shd w:val="clear" w:color="auto" w:fill="FFFFFF"/>
            <w:noWrap/>
          </w:tcPr>
          <w:p w14:paraId="10A217F5"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D5120 – COMPLETE DENTURES (INCLUDING ROUTINE POST-DELIVERY CARE)</w:t>
            </w:r>
          </w:p>
        </w:tc>
      </w:tr>
      <w:tr w:rsidR="006B25A2" w:rsidRPr="00CB54EA" w14:paraId="2EDAA144" w14:textId="77777777" w:rsidTr="006B25A2">
        <w:trPr>
          <w:cantSplit/>
        </w:trPr>
        <w:tc>
          <w:tcPr>
            <w:tcW w:w="7842" w:type="dxa"/>
            <w:shd w:val="clear" w:color="auto" w:fill="FFFFFF"/>
            <w:noWrap/>
          </w:tcPr>
          <w:p w14:paraId="36B73E37"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D5211 – PARTIAL DENTURES (INCLUDING ANY CONVENTIONAL CLASPS, RESTS, AND TEETH)</w:t>
            </w:r>
          </w:p>
        </w:tc>
      </w:tr>
      <w:tr w:rsidR="006B25A2" w:rsidRPr="00CB54EA" w14:paraId="305387BA" w14:textId="77777777" w:rsidTr="006B25A2">
        <w:trPr>
          <w:cantSplit/>
        </w:trPr>
        <w:tc>
          <w:tcPr>
            <w:tcW w:w="7842" w:type="dxa"/>
            <w:shd w:val="clear" w:color="auto" w:fill="FFFFFF"/>
            <w:noWrap/>
          </w:tcPr>
          <w:p w14:paraId="14698D04"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D5212 - PARTIAL DENTURES (INCLUDING ANY CONVENTIONAL CLASPS, RESTS, AND TEETH)</w:t>
            </w:r>
          </w:p>
        </w:tc>
      </w:tr>
    </w:tbl>
    <w:p w14:paraId="0F8ACA08" w14:textId="77777777" w:rsidR="006B25A2" w:rsidRPr="00CB54EA" w:rsidRDefault="006B25A2" w:rsidP="006B25A2">
      <w:pPr>
        <w:rPr>
          <w:rFonts w:asciiTheme="minorHAnsi" w:hAnsiTheme="minorHAnsi" w:cstheme="minorHAnsi"/>
          <w:sz w:val="22"/>
          <w:szCs w:val="22"/>
        </w:rPr>
      </w:pPr>
    </w:p>
    <w:p w14:paraId="5A75581E" w14:textId="1C57F3D9"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The adjustments below have been applied to the All Other COS historical base data to reflect </w:t>
      </w:r>
      <w:r w:rsidR="00890BEE" w:rsidRPr="00CB54EA">
        <w:rPr>
          <w:rFonts w:asciiTheme="minorHAnsi" w:hAnsiTheme="minorHAnsi"/>
          <w:sz w:val="22"/>
          <w:szCs w:val="22"/>
        </w:rPr>
        <w:t xml:space="preserve">this </w:t>
      </w:r>
      <w:r w:rsidRPr="00CB54EA">
        <w:rPr>
          <w:rFonts w:asciiTheme="minorHAnsi" w:hAnsiTheme="minorHAnsi"/>
          <w:sz w:val="22"/>
          <w:szCs w:val="22"/>
        </w:rPr>
        <w:t>benefit change:</w:t>
      </w:r>
    </w:p>
    <w:p w14:paraId="62C24E1D" w14:textId="77777777" w:rsidR="006B25A2" w:rsidRPr="00CB54EA" w:rsidRDefault="006B25A2" w:rsidP="006B25A2">
      <w:pPr>
        <w:rPr>
          <w:rFonts w:asciiTheme="minorHAnsi" w:hAnsiTheme="minorHAnsi"/>
          <w:sz w:val="22"/>
          <w:szCs w:val="22"/>
        </w:rPr>
      </w:pPr>
    </w:p>
    <w:tbl>
      <w:tblPr>
        <w:tblW w:w="9504"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10"/>
        <w:gridCol w:w="1924"/>
        <w:gridCol w:w="1924"/>
        <w:gridCol w:w="1924"/>
        <w:gridCol w:w="1922"/>
      </w:tblGrid>
      <w:tr w:rsidR="006B25A2" w:rsidRPr="00CB54EA" w14:paraId="6CC1354B" w14:textId="77777777" w:rsidTr="00505EDB">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33B98DC" w14:textId="77777777" w:rsidR="006B25A2" w:rsidRPr="00CB54EA" w:rsidRDefault="006B25A2"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30640019"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07648033"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596D216"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76065A40"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6B25A2" w:rsidRPr="00CB54EA" w14:paraId="3244E835" w14:textId="77777777" w:rsidTr="00505EDB">
        <w:trPr>
          <w:cantSplit/>
        </w:trPr>
        <w:tc>
          <w:tcPr>
            <w:tcW w:w="952" w:type="pct"/>
            <w:tcBorders>
              <w:top w:val="single" w:sz="8" w:space="0" w:color="auto"/>
            </w:tcBorders>
            <w:shd w:val="clear" w:color="auto" w:fill="auto"/>
          </w:tcPr>
          <w:p w14:paraId="4B267BC0"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E66582F" w14:textId="75328AC5"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2.9</w:t>
            </w:r>
            <w:r w:rsidR="006B25A2" w:rsidRPr="00CB54EA">
              <w:rPr>
                <w:rFonts w:asciiTheme="minorHAnsi" w:hAnsiTheme="minorHAnsi" w:cstheme="minorHAnsi"/>
                <w:bCs/>
                <w:sz w:val="22"/>
                <w:szCs w:val="22"/>
              </w:rPr>
              <w:t>%</w:t>
            </w:r>
          </w:p>
        </w:tc>
        <w:tc>
          <w:tcPr>
            <w:tcW w:w="1012" w:type="pct"/>
            <w:tcBorders>
              <w:top w:val="single" w:sz="8" w:space="0" w:color="auto"/>
            </w:tcBorders>
            <w:shd w:val="clear" w:color="auto" w:fill="auto"/>
            <w:vAlign w:val="bottom"/>
          </w:tcPr>
          <w:p w14:paraId="5751B7F9" w14:textId="2F02979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2.4</w:t>
            </w:r>
            <w:r w:rsidR="006B25A2" w:rsidRPr="00CB54EA">
              <w:rPr>
                <w:rFonts w:asciiTheme="minorHAnsi" w:hAnsiTheme="minorHAnsi" w:cstheme="minorHAnsi"/>
                <w:bCs/>
                <w:sz w:val="22"/>
                <w:szCs w:val="22"/>
              </w:rPr>
              <w:t>%</w:t>
            </w:r>
          </w:p>
        </w:tc>
        <w:tc>
          <w:tcPr>
            <w:tcW w:w="1012" w:type="pct"/>
            <w:tcBorders>
              <w:top w:val="single" w:sz="8" w:space="0" w:color="auto"/>
            </w:tcBorders>
            <w:shd w:val="clear" w:color="auto" w:fill="auto"/>
            <w:vAlign w:val="bottom"/>
          </w:tcPr>
          <w:p w14:paraId="750BAE6F" w14:textId="117E1E40"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0.6</w:t>
            </w:r>
            <w:r w:rsidR="006B25A2" w:rsidRPr="00CB54EA">
              <w:rPr>
                <w:rFonts w:asciiTheme="minorHAnsi" w:hAnsiTheme="minorHAnsi" w:cstheme="minorHAnsi"/>
                <w:bCs/>
                <w:sz w:val="22"/>
                <w:szCs w:val="22"/>
              </w:rPr>
              <w:t>%</w:t>
            </w:r>
          </w:p>
        </w:tc>
        <w:tc>
          <w:tcPr>
            <w:tcW w:w="1011" w:type="pct"/>
            <w:tcBorders>
              <w:top w:val="single" w:sz="8" w:space="0" w:color="auto"/>
            </w:tcBorders>
            <w:shd w:val="clear" w:color="auto" w:fill="auto"/>
            <w:vAlign w:val="bottom"/>
          </w:tcPr>
          <w:p w14:paraId="5C2FD681" w14:textId="2E5B3F0A"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2.2</w:t>
            </w:r>
            <w:r w:rsidR="006B25A2" w:rsidRPr="00CB54EA">
              <w:rPr>
                <w:rFonts w:asciiTheme="minorHAnsi" w:hAnsiTheme="minorHAnsi" w:cstheme="minorHAnsi"/>
                <w:bCs/>
                <w:sz w:val="22"/>
                <w:szCs w:val="22"/>
              </w:rPr>
              <w:t>%</w:t>
            </w:r>
          </w:p>
        </w:tc>
      </w:tr>
      <w:tr w:rsidR="006B25A2" w:rsidRPr="00CB54EA" w14:paraId="258A3C6E" w14:textId="77777777" w:rsidTr="00505EDB">
        <w:trPr>
          <w:cantSplit/>
        </w:trPr>
        <w:tc>
          <w:tcPr>
            <w:tcW w:w="952" w:type="pct"/>
            <w:shd w:val="clear" w:color="auto" w:fill="auto"/>
          </w:tcPr>
          <w:p w14:paraId="188D0ED3"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1012" w:type="pct"/>
            <w:shd w:val="clear" w:color="auto" w:fill="auto"/>
            <w:vAlign w:val="bottom"/>
          </w:tcPr>
          <w:p w14:paraId="767E78C2" w14:textId="7D8E288A"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2.8</w:t>
            </w:r>
            <w:r w:rsidR="006B25A2" w:rsidRPr="00CB54EA">
              <w:rPr>
                <w:rFonts w:asciiTheme="minorHAnsi" w:hAnsiTheme="minorHAnsi" w:cstheme="minorHAnsi"/>
                <w:bCs/>
                <w:sz w:val="22"/>
                <w:szCs w:val="22"/>
              </w:rPr>
              <w:t>%</w:t>
            </w:r>
          </w:p>
        </w:tc>
        <w:tc>
          <w:tcPr>
            <w:tcW w:w="1012" w:type="pct"/>
            <w:shd w:val="clear" w:color="auto" w:fill="auto"/>
            <w:vAlign w:val="bottom"/>
          </w:tcPr>
          <w:p w14:paraId="6CEBAEF3" w14:textId="51B62207"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3.0</w:t>
            </w:r>
            <w:r w:rsidR="006B25A2" w:rsidRPr="00CB54EA">
              <w:rPr>
                <w:rFonts w:asciiTheme="minorHAnsi" w:hAnsiTheme="minorHAnsi" w:cstheme="minorHAnsi"/>
                <w:bCs/>
                <w:sz w:val="22"/>
                <w:szCs w:val="22"/>
              </w:rPr>
              <w:t>%</w:t>
            </w:r>
          </w:p>
        </w:tc>
        <w:tc>
          <w:tcPr>
            <w:tcW w:w="1012" w:type="pct"/>
            <w:shd w:val="clear" w:color="auto" w:fill="auto"/>
            <w:vAlign w:val="bottom"/>
          </w:tcPr>
          <w:p w14:paraId="28A37F83" w14:textId="534455F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2.0</w:t>
            </w:r>
            <w:r w:rsidR="006B25A2" w:rsidRPr="00CB54EA">
              <w:rPr>
                <w:rFonts w:asciiTheme="minorHAnsi" w:hAnsiTheme="minorHAnsi" w:cstheme="minorHAnsi"/>
                <w:bCs/>
                <w:sz w:val="22"/>
                <w:szCs w:val="22"/>
              </w:rPr>
              <w:t>%</w:t>
            </w:r>
          </w:p>
        </w:tc>
        <w:tc>
          <w:tcPr>
            <w:tcW w:w="1011" w:type="pct"/>
            <w:shd w:val="clear" w:color="auto" w:fill="auto"/>
            <w:vAlign w:val="bottom"/>
          </w:tcPr>
          <w:p w14:paraId="235F9956" w14:textId="7FA29C0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4.3</w:t>
            </w:r>
            <w:r w:rsidR="006B25A2" w:rsidRPr="00CB54EA">
              <w:rPr>
                <w:rFonts w:asciiTheme="minorHAnsi" w:hAnsiTheme="minorHAnsi" w:cstheme="minorHAnsi"/>
                <w:bCs/>
                <w:sz w:val="22"/>
                <w:szCs w:val="22"/>
              </w:rPr>
              <w:t>%</w:t>
            </w:r>
          </w:p>
        </w:tc>
      </w:tr>
      <w:tr w:rsidR="006B25A2" w:rsidRPr="00CB54EA" w14:paraId="27822FA9" w14:textId="77777777" w:rsidTr="00505EDB">
        <w:trPr>
          <w:cantSplit/>
        </w:trPr>
        <w:tc>
          <w:tcPr>
            <w:tcW w:w="952" w:type="pct"/>
            <w:shd w:val="clear" w:color="auto" w:fill="auto"/>
          </w:tcPr>
          <w:p w14:paraId="433D06AD"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1012" w:type="pct"/>
            <w:shd w:val="clear" w:color="auto" w:fill="auto"/>
            <w:vAlign w:val="bottom"/>
          </w:tcPr>
          <w:p w14:paraId="1735F5F7" w14:textId="1C489455"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3.2</w:t>
            </w:r>
            <w:r w:rsidR="006B25A2" w:rsidRPr="00CB54EA">
              <w:rPr>
                <w:rFonts w:asciiTheme="minorHAnsi" w:hAnsiTheme="minorHAnsi" w:cstheme="minorHAnsi"/>
                <w:bCs/>
                <w:sz w:val="22"/>
                <w:szCs w:val="22"/>
              </w:rPr>
              <w:t>%</w:t>
            </w:r>
          </w:p>
        </w:tc>
        <w:tc>
          <w:tcPr>
            <w:tcW w:w="1012" w:type="pct"/>
            <w:shd w:val="clear" w:color="auto" w:fill="auto"/>
            <w:vAlign w:val="bottom"/>
          </w:tcPr>
          <w:p w14:paraId="0C29B36A" w14:textId="276F47FD"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3.6</w:t>
            </w:r>
            <w:r w:rsidR="006B25A2" w:rsidRPr="00CB54EA">
              <w:rPr>
                <w:rFonts w:asciiTheme="minorHAnsi" w:hAnsiTheme="minorHAnsi" w:cstheme="minorHAnsi"/>
                <w:bCs/>
                <w:sz w:val="22"/>
                <w:szCs w:val="22"/>
              </w:rPr>
              <w:t>%</w:t>
            </w:r>
          </w:p>
        </w:tc>
        <w:tc>
          <w:tcPr>
            <w:tcW w:w="1012" w:type="pct"/>
            <w:shd w:val="clear" w:color="auto" w:fill="auto"/>
            <w:vAlign w:val="bottom"/>
          </w:tcPr>
          <w:p w14:paraId="36D4A334" w14:textId="732976D8"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2.7</w:t>
            </w:r>
            <w:r w:rsidR="006B25A2" w:rsidRPr="00CB54EA">
              <w:rPr>
                <w:rFonts w:asciiTheme="minorHAnsi" w:hAnsiTheme="minorHAnsi" w:cstheme="minorHAnsi"/>
                <w:bCs/>
                <w:sz w:val="22"/>
                <w:szCs w:val="22"/>
              </w:rPr>
              <w:t>%</w:t>
            </w:r>
          </w:p>
        </w:tc>
        <w:tc>
          <w:tcPr>
            <w:tcW w:w="1011" w:type="pct"/>
            <w:shd w:val="clear" w:color="auto" w:fill="auto"/>
            <w:vAlign w:val="bottom"/>
          </w:tcPr>
          <w:p w14:paraId="1685D67D" w14:textId="18C136AE"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5.0</w:t>
            </w:r>
            <w:r w:rsidR="006B25A2" w:rsidRPr="00CB54EA">
              <w:rPr>
                <w:rFonts w:asciiTheme="minorHAnsi" w:hAnsiTheme="minorHAnsi" w:cstheme="minorHAnsi"/>
                <w:bCs/>
                <w:sz w:val="22"/>
                <w:szCs w:val="22"/>
              </w:rPr>
              <w:t>%</w:t>
            </w:r>
          </w:p>
        </w:tc>
      </w:tr>
    </w:tbl>
    <w:p w14:paraId="6BEA0B89" w14:textId="77777777" w:rsidR="006B25A2" w:rsidRPr="00CB54EA" w:rsidRDefault="006B25A2" w:rsidP="006076D0">
      <w:pPr>
        <w:pStyle w:val="Heading2"/>
        <w:numPr>
          <w:ilvl w:val="0"/>
          <w:numId w:val="0"/>
        </w:numPr>
        <w:rPr>
          <w:rFonts w:asciiTheme="minorHAnsi" w:hAnsiTheme="minorHAnsi"/>
          <w:i/>
          <w:sz w:val="22"/>
          <w:szCs w:val="22"/>
          <w:highlight w:val="yellow"/>
        </w:rPr>
      </w:pPr>
    </w:p>
    <w:p w14:paraId="2A95B92F" w14:textId="06184B8E" w:rsidR="009C66C2" w:rsidRPr="00CB54EA" w:rsidRDefault="0087680E" w:rsidP="009C66C2">
      <w:pPr>
        <w:rPr>
          <w:rFonts w:asciiTheme="minorHAnsi" w:hAnsiTheme="minorHAnsi"/>
          <w:sz w:val="22"/>
          <w:szCs w:val="22"/>
        </w:rPr>
      </w:pPr>
      <w:r w:rsidRPr="00CB54EA">
        <w:rPr>
          <w:rFonts w:asciiTheme="minorHAnsi" w:hAnsiTheme="minorHAnsi"/>
          <w:sz w:val="22"/>
          <w:szCs w:val="22"/>
        </w:rPr>
        <w:t xml:space="preserve">In addition, </w:t>
      </w:r>
      <w:r w:rsidR="004C1C93" w:rsidRPr="00CB54EA">
        <w:rPr>
          <w:rFonts w:asciiTheme="minorHAnsi" w:hAnsiTheme="minorHAnsi"/>
          <w:sz w:val="22"/>
          <w:szCs w:val="22"/>
        </w:rPr>
        <w:t xml:space="preserve">adult </w:t>
      </w:r>
      <w:r w:rsidR="009C66C2" w:rsidRPr="00CB54EA">
        <w:rPr>
          <w:rFonts w:asciiTheme="minorHAnsi" w:hAnsiTheme="minorHAnsi"/>
          <w:sz w:val="22"/>
          <w:szCs w:val="22"/>
        </w:rPr>
        <w:t xml:space="preserve">MassHealth members can receive </w:t>
      </w:r>
      <w:r w:rsidR="004C1C93" w:rsidRPr="00CB54EA">
        <w:rPr>
          <w:rFonts w:asciiTheme="minorHAnsi" w:hAnsiTheme="minorHAnsi"/>
          <w:sz w:val="22"/>
          <w:szCs w:val="22"/>
        </w:rPr>
        <w:t xml:space="preserve">coverage for </w:t>
      </w:r>
      <w:r w:rsidR="009C66C2" w:rsidRPr="00CB54EA">
        <w:rPr>
          <w:rFonts w:asciiTheme="minorHAnsi" w:hAnsiTheme="minorHAnsi"/>
          <w:sz w:val="22"/>
          <w:szCs w:val="22"/>
        </w:rPr>
        <w:t>the full scope of dental services prior to July 2010 benefit reductions through hospitals and Community Health Centers (CHCs) through the Commonwealth’s Health Safety Net. These costs are not included in the FFS base data and therefore must be added into the rates. A 0.9% adjustment was made to the All Other COS for most RCs to account for these added services. Due to the inclusion of CY</w:t>
      </w:r>
      <w:r w:rsidR="00505EDB" w:rsidRPr="00CB54EA">
        <w:rPr>
          <w:rFonts w:asciiTheme="minorHAnsi" w:hAnsiTheme="minorHAnsi"/>
          <w:sz w:val="22"/>
          <w:szCs w:val="22"/>
        </w:rPr>
        <w:t xml:space="preserve"> </w:t>
      </w:r>
      <w:r w:rsidR="009C66C2" w:rsidRPr="00CB54EA">
        <w:rPr>
          <w:rFonts w:asciiTheme="minorHAnsi" w:hAnsiTheme="minorHAnsi"/>
          <w:sz w:val="22"/>
          <w:szCs w:val="22"/>
        </w:rPr>
        <w:t>2014 in the base data, this analysis was replicated for the C3C RC, and the result is a 0.8% adjustment to the All Other COS.</w:t>
      </w:r>
    </w:p>
    <w:p w14:paraId="5B429B95" w14:textId="77777777" w:rsidR="006B25A2" w:rsidRPr="00CB54EA" w:rsidRDefault="006B25A2" w:rsidP="006B25A2">
      <w:pPr>
        <w:rPr>
          <w:rFonts w:asciiTheme="minorHAnsi" w:hAnsiTheme="minorHAnsi"/>
          <w:sz w:val="22"/>
          <w:szCs w:val="22"/>
          <w:highlight w:val="yellow"/>
        </w:rPr>
      </w:pPr>
    </w:p>
    <w:p w14:paraId="25578C7B" w14:textId="77777777" w:rsidR="006B25A2" w:rsidRPr="00CB54EA" w:rsidRDefault="006B25A2" w:rsidP="006B25A2">
      <w:pPr>
        <w:pStyle w:val="Heading2"/>
        <w:rPr>
          <w:rFonts w:asciiTheme="minorHAnsi" w:hAnsiTheme="minorHAnsi"/>
          <w:i/>
          <w:sz w:val="22"/>
          <w:szCs w:val="22"/>
        </w:rPr>
      </w:pPr>
      <w:bookmarkStart w:id="2" w:name="_Toc433714570"/>
      <w:bookmarkStart w:id="3" w:name="_Toc433720527"/>
      <w:bookmarkStart w:id="4" w:name="_Toc433815093"/>
      <w:r w:rsidRPr="00CB54EA">
        <w:rPr>
          <w:rFonts w:asciiTheme="minorHAnsi" w:hAnsiTheme="minorHAnsi"/>
          <w:i/>
          <w:sz w:val="22"/>
          <w:szCs w:val="22"/>
        </w:rPr>
        <w:t>Elder Affairs Home Care Program</w:t>
      </w:r>
      <w:bookmarkEnd w:id="2"/>
      <w:bookmarkEnd w:id="3"/>
      <w:bookmarkEnd w:id="4"/>
      <w:r w:rsidRPr="00CB54EA">
        <w:rPr>
          <w:rFonts w:asciiTheme="minorHAnsi" w:hAnsiTheme="minorHAnsi"/>
          <w:i/>
          <w:sz w:val="22"/>
          <w:szCs w:val="22"/>
        </w:rPr>
        <w:t>:</w:t>
      </w:r>
    </w:p>
    <w:p w14:paraId="2AB50CFF" w14:textId="690C0D29" w:rsidR="006B25A2" w:rsidRPr="00CB54EA" w:rsidRDefault="006B25A2" w:rsidP="006B25A2">
      <w:pPr>
        <w:rPr>
          <w:rFonts w:asciiTheme="minorHAnsi" w:hAnsiTheme="minorHAnsi"/>
          <w:sz w:val="22"/>
          <w:szCs w:val="22"/>
          <w:highlight w:val="yellow"/>
        </w:rPr>
      </w:pPr>
      <w:r w:rsidRPr="00CB54EA">
        <w:rPr>
          <w:rFonts w:asciiTheme="minorHAnsi" w:hAnsiTheme="minorHAnsi"/>
          <w:sz w:val="22"/>
          <w:szCs w:val="22"/>
        </w:rPr>
        <w:t>The Home Care Program is a state-funded benefit for individuals ages 60+ that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MassHealth members who are eligible for these services and who have been receiving them from Elder Affairs enroll in One Care, they are disenrolled from the Home Care program. The CY 201</w:t>
      </w:r>
      <w:r w:rsidR="00373E0C" w:rsidRPr="00CB54EA">
        <w:rPr>
          <w:rFonts w:asciiTheme="minorHAnsi" w:hAnsiTheme="minorHAnsi"/>
          <w:sz w:val="22"/>
          <w:szCs w:val="22"/>
        </w:rPr>
        <w:t>8</w:t>
      </w:r>
      <w:r w:rsidRPr="00CB54EA">
        <w:rPr>
          <w:rFonts w:asciiTheme="minorHAnsi" w:hAnsiTheme="minorHAnsi"/>
          <w:sz w:val="22"/>
          <w:szCs w:val="22"/>
        </w:rPr>
        <w:t xml:space="preserve"> One Care capitation rates include </w:t>
      </w:r>
      <w:r w:rsidR="00373E0C" w:rsidRPr="00CB54EA">
        <w:rPr>
          <w:rFonts w:asciiTheme="minorHAnsi" w:hAnsiTheme="minorHAnsi"/>
          <w:sz w:val="22"/>
          <w:szCs w:val="22"/>
        </w:rPr>
        <w:t>the costs of providing the Elder Affairs Home Care Program, including the Basic and Enhanced Community Options Program levels</w:t>
      </w:r>
      <w:r w:rsidRPr="00CB54EA">
        <w:rPr>
          <w:rFonts w:asciiTheme="minorHAnsi" w:hAnsiTheme="minorHAnsi"/>
          <w:sz w:val="22"/>
          <w:szCs w:val="22"/>
        </w:rPr>
        <w:t xml:space="preserve">. </w:t>
      </w:r>
    </w:p>
    <w:p w14:paraId="7EC062F5" w14:textId="77777777" w:rsidR="006B25A2" w:rsidRPr="00CB54EA" w:rsidRDefault="006B25A2" w:rsidP="006B25A2">
      <w:pPr>
        <w:rPr>
          <w:rFonts w:asciiTheme="minorHAnsi" w:hAnsiTheme="minorHAnsi"/>
          <w:sz w:val="22"/>
          <w:szCs w:val="22"/>
          <w:highlight w:val="yellow"/>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373E0C" w:rsidRPr="00CB54EA" w14:paraId="6BD8A213" w14:textId="77777777" w:rsidTr="00373E0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20C62DE1" w14:textId="77777777" w:rsidR="00373E0C" w:rsidRPr="00CB54EA" w:rsidRDefault="00373E0C" w:rsidP="00373E0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6DDADC6A"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46B9E2"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3455D1D1"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5B5F1A0A"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A76D50F"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373E0C" w:rsidRPr="00CB54EA" w14:paraId="7FF9D3EA" w14:textId="77777777" w:rsidTr="00373E0C">
        <w:trPr>
          <w:cantSplit/>
          <w:trHeight w:val="298"/>
        </w:trPr>
        <w:tc>
          <w:tcPr>
            <w:tcW w:w="793" w:type="pct"/>
            <w:tcBorders>
              <w:top w:val="single" w:sz="8" w:space="0" w:color="auto"/>
            </w:tcBorders>
            <w:shd w:val="clear" w:color="auto" w:fill="auto"/>
          </w:tcPr>
          <w:p w14:paraId="70CE95E1"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4058D6F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tcBorders>
              <w:top w:val="single" w:sz="8" w:space="0" w:color="auto"/>
            </w:tcBorders>
            <w:shd w:val="clear" w:color="auto" w:fill="auto"/>
            <w:vAlign w:val="bottom"/>
          </w:tcPr>
          <w:p w14:paraId="2B3CAAA9"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tcBorders>
              <w:top w:val="single" w:sz="8" w:space="0" w:color="auto"/>
            </w:tcBorders>
            <w:shd w:val="clear" w:color="auto" w:fill="auto"/>
            <w:vAlign w:val="bottom"/>
          </w:tcPr>
          <w:p w14:paraId="516BEDC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1.8%</w:t>
            </w:r>
          </w:p>
        </w:tc>
        <w:tc>
          <w:tcPr>
            <w:tcW w:w="841" w:type="pct"/>
            <w:tcBorders>
              <w:top w:val="single" w:sz="8" w:space="0" w:color="auto"/>
            </w:tcBorders>
            <w:vAlign w:val="bottom"/>
          </w:tcPr>
          <w:p w14:paraId="348F04ED"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6DBCD30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r w:rsidR="00373E0C" w:rsidRPr="00CB54EA" w14:paraId="004F8623" w14:textId="77777777" w:rsidTr="00373E0C">
        <w:trPr>
          <w:cantSplit/>
          <w:trHeight w:val="298"/>
        </w:trPr>
        <w:tc>
          <w:tcPr>
            <w:tcW w:w="793" w:type="pct"/>
            <w:shd w:val="clear" w:color="auto" w:fill="auto"/>
          </w:tcPr>
          <w:p w14:paraId="2E43C6BF"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792C6846"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37A92BE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700735E1"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1.7%</w:t>
            </w:r>
          </w:p>
        </w:tc>
        <w:tc>
          <w:tcPr>
            <w:tcW w:w="841" w:type="pct"/>
            <w:vAlign w:val="bottom"/>
          </w:tcPr>
          <w:p w14:paraId="5FAAF292"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3C28B25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r w:rsidR="00373E0C" w:rsidRPr="00CB54EA" w14:paraId="7794AFEF" w14:textId="77777777" w:rsidTr="00373E0C">
        <w:trPr>
          <w:cantSplit/>
          <w:trHeight w:val="315"/>
        </w:trPr>
        <w:tc>
          <w:tcPr>
            <w:tcW w:w="793" w:type="pct"/>
            <w:shd w:val="clear" w:color="auto" w:fill="auto"/>
          </w:tcPr>
          <w:p w14:paraId="05D992DB"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06E3A07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6590EE2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040E3DA8"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1.6%</w:t>
            </w:r>
          </w:p>
        </w:tc>
        <w:tc>
          <w:tcPr>
            <w:tcW w:w="841" w:type="pct"/>
            <w:vAlign w:val="bottom"/>
          </w:tcPr>
          <w:p w14:paraId="31601738"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679A3B"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bl>
    <w:p w14:paraId="35A1466B" w14:textId="77777777" w:rsidR="006B25A2" w:rsidRPr="00CB54EA" w:rsidRDefault="006B25A2" w:rsidP="00255262">
      <w:pPr>
        <w:pStyle w:val="Heading2"/>
        <w:numPr>
          <w:ilvl w:val="0"/>
          <w:numId w:val="0"/>
        </w:numPr>
        <w:rPr>
          <w:rFonts w:asciiTheme="minorHAnsi" w:hAnsiTheme="minorHAnsi"/>
          <w:i/>
          <w:sz w:val="22"/>
          <w:szCs w:val="22"/>
        </w:rPr>
      </w:pPr>
      <w:bookmarkStart w:id="5" w:name="_Toc433714572"/>
      <w:bookmarkStart w:id="6" w:name="_Toc433720529"/>
      <w:bookmarkStart w:id="7" w:name="_Toc433815095"/>
      <w:r w:rsidRPr="00CB54EA">
        <w:rPr>
          <w:rFonts w:asciiTheme="minorHAnsi" w:hAnsiTheme="minorHAnsi"/>
          <w:i/>
          <w:sz w:val="22"/>
          <w:szCs w:val="22"/>
        </w:rPr>
        <w:lastRenderedPageBreak/>
        <w:t>Department of Mental Health Psychiatric Claims</w:t>
      </w:r>
      <w:bookmarkEnd w:id="5"/>
      <w:bookmarkEnd w:id="6"/>
      <w:bookmarkEnd w:id="7"/>
      <w:r w:rsidRPr="00CB54EA">
        <w:rPr>
          <w:rFonts w:asciiTheme="minorHAnsi" w:hAnsiTheme="minorHAnsi"/>
          <w:i/>
          <w:sz w:val="22"/>
          <w:szCs w:val="22"/>
        </w:rPr>
        <w:t>:</w:t>
      </w:r>
    </w:p>
    <w:p w14:paraId="071742A1" w14:textId="57BE02DA"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The One Care program covers inpatient and outpatient psychiatric claims costs from Department of Mental Health facilities, but not all costs are reflected in the historical base data. To account for these costs, the following adjustments were applied for Inpatient MH/SA and Outpatient MH/SA COS: </w:t>
      </w:r>
    </w:p>
    <w:p w14:paraId="3081E202" w14:textId="77777777" w:rsidR="006076D0" w:rsidRPr="00CB54EA" w:rsidRDefault="006076D0" w:rsidP="006B25A2">
      <w:pPr>
        <w:rPr>
          <w:rFonts w:asciiTheme="minorHAnsi" w:hAnsiTheme="minorHAnsi"/>
          <w:sz w:val="22"/>
          <w:szCs w:val="22"/>
        </w:rPr>
      </w:pPr>
    </w:p>
    <w:p w14:paraId="04DEB525" w14:textId="7D9213AC" w:rsidR="00C24332" w:rsidRPr="00CB54EA" w:rsidRDefault="007B0A86" w:rsidP="006B25A2">
      <w:pPr>
        <w:rPr>
          <w:rFonts w:asciiTheme="minorHAnsi" w:hAnsiTheme="minorHAnsi"/>
          <w:sz w:val="22"/>
          <w:szCs w:val="22"/>
        </w:rPr>
      </w:pPr>
      <w:r w:rsidRPr="00CB54EA">
        <w:rPr>
          <w:rFonts w:asciiTheme="minorHAnsi" w:hAnsiTheme="minorHAnsi"/>
          <w:sz w:val="22"/>
          <w:szCs w:val="22"/>
        </w:rPr>
        <w:t>DMH Psychiatric C</w:t>
      </w:r>
      <w:r w:rsidR="00C24332" w:rsidRPr="00CB54EA">
        <w:rPr>
          <w:rFonts w:asciiTheme="minorHAnsi" w:hAnsiTheme="minorHAnsi"/>
          <w:sz w:val="22"/>
          <w:szCs w:val="22"/>
        </w:rPr>
        <w:t>laims (Inpatient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609E8EA8"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0C910DD"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C98D5D6"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1E504DA2"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9BEFFF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F6F7954"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728E8559"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18340089" w14:textId="77777777" w:rsidTr="00C24332">
        <w:trPr>
          <w:cantSplit/>
          <w:trHeight w:val="298"/>
        </w:trPr>
        <w:tc>
          <w:tcPr>
            <w:tcW w:w="793" w:type="pct"/>
            <w:tcBorders>
              <w:top w:val="single" w:sz="8" w:space="0" w:color="auto"/>
            </w:tcBorders>
            <w:shd w:val="clear" w:color="auto" w:fill="auto"/>
          </w:tcPr>
          <w:p w14:paraId="3DD3AF74"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CFEC89B" w14:textId="3C7548D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72.4%</w:t>
            </w:r>
          </w:p>
        </w:tc>
        <w:tc>
          <w:tcPr>
            <w:tcW w:w="842" w:type="pct"/>
            <w:tcBorders>
              <w:top w:val="single" w:sz="8" w:space="0" w:color="auto"/>
            </w:tcBorders>
            <w:shd w:val="clear" w:color="auto" w:fill="auto"/>
            <w:vAlign w:val="bottom"/>
          </w:tcPr>
          <w:p w14:paraId="5562EFD9" w14:textId="3F994BF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65.8%</w:t>
            </w:r>
          </w:p>
        </w:tc>
        <w:tc>
          <w:tcPr>
            <w:tcW w:w="842" w:type="pct"/>
            <w:tcBorders>
              <w:top w:val="single" w:sz="8" w:space="0" w:color="auto"/>
            </w:tcBorders>
            <w:shd w:val="clear" w:color="auto" w:fill="auto"/>
            <w:vAlign w:val="bottom"/>
          </w:tcPr>
          <w:p w14:paraId="4F983651" w14:textId="71E59C2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79.0%</w:t>
            </w:r>
          </w:p>
        </w:tc>
        <w:tc>
          <w:tcPr>
            <w:tcW w:w="841" w:type="pct"/>
            <w:tcBorders>
              <w:top w:val="single" w:sz="8" w:space="0" w:color="auto"/>
            </w:tcBorders>
            <w:vAlign w:val="bottom"/>
          </w:tcPr>
          <w:p w14:paraId="1D689D24"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51612E24" w14:textId="6462AF95"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11.9%</w:t>
            </w:r>
          </w:p>
        </w:tc>
      </w:tr>
      <w:tr w:rsidR="00C24332" w:rsidRPr="00CB54EA" w14:paraId="69C57CC3" w14:textId="77777777" w:rsidTr="00C24332">
        <w:trPr>
          <w:cantSplit/>
          <w:trHeight w:val="298"/>
        </w:trPr>
        <w:tc>
          <w:tcPr>
            <w:tcW w:w="793" w:type="pct"/>
            <w:shd w:val="clear" w:color="auto" w:fill="auto"/>
          </w:tcPr>
          <w:p w14:paraId="1E053900"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49687570" w14:textId="778F7589"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337.9%</w:t>
            </w:r>
          </w:p>
        </w:tc>
        <w:tc>
          <w:tcPr>
            <w:tcW w:w="842" w:type="pct"/>
            <w:shd w:val="clear" w:color="auto" w:fill="auto"/>
            <w:vAlign w:val="bottom"/>
          </w:tcPr>
          <w:p w14:paraId="476E2B9E" w14:textId="7659609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123.0%</w:t>
            </w:r>
          </w:p>
        </w:tc>
        <w:tc>
          <w:tcPr>
            <w:tcW w:w="842" w:type="pct"/>
            <w:shd w:val="clear" w:color="auto" w:fill="auto"/>
            <w:vAlign w:val="bottom"/>
          </w:tcPr>
          <w:p w14:paraId="688C35BF" w14:textId="454E186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215.9%</w:t>
            </w:r>
          </w:p>
        </w:tc>
        <w:tc>
          <w:tcPr>
            <w:tcW w:w="841" w:type="pct"/>
            <w:vAlign w:val="bottom"/>
          </w:tcPr>
          <w:p w14:paraId="65F6C90F"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78C3B23" w14:textId="0A8340BA"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213.6%</w:t>
            </w:r>
          </w:p>
        </w:tc>
      </w:tr>
      <w:tr w:rsidR="00C24332" w:rsidRPr="00CB54EA" w14:paraId="4827D921" w14:textId="77777777" w:rsidTr="00C24332">
        <w:trPr>
          <w:cantSplit/>
          <w:trHeight w:val="315"/>
        </w:trPr>
        <w:tc>
          <w:tcPr>
            <w:tcW w:w="793" w:type="pct"/>
            <w:shd w:val="clear" w:color="auto" w:fill="auto"/>
          </w:tcPr>
          <w:p w14:paraId="585036E1"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1856411D" w14:textId="3040C0A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00CB42D" w14:textId="5118BA6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127.8%</w:t>
            </w:r>
          </w:p>
        </w:tc>
        <w:tc>
          <w:tcPr>
            <w:tcW w:w="842" w:type="pct"/>
            <w:shd w:val="clear" w:color="auto" w:fill="auto"/>
            <w:vAlign w:val="bottom"/>
          </w:tcPr>
          <w:p w14:paraId="4268F67E" w14:textId="7780F31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105.5%</w:t>
            </w:r>
          </w:p>
        </w:tc>
        <w:tc>
          <w:tcPr>
            <w:tcW w:w="841" w:type="pct"/>
            <w:vAlign w:val="bottom"/>
          </w:tcPr>
          <w:p w14:paraId="4FC518F0"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575A8EDF" w14:textId="0583FEF4"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464.6%</w:t>
            </w:r>
          </w:p>
        </w:tc>
      </w:tr>
    </w:tbl>
    <w:p w14:paraId="23F6C7FB" w14:textId="77777777" w:rsidR="006B25A2" w:rsidRPr="00CB54EA" w:rsidRDefault="006B25A2" w:rsidP="006B25A2">
      <w:pPr>
        <w:rPr>
          <w:rFonts w:asciiTheme="minorHAnsi" w:hAnsiTheme="minorHAnsi"/>
          <w:sz w:val="22"/>
          <w:szCs w:val="22"/>
        </w:rPr>
      </w:pPr>
    </w:p>
    <w:p w14:paraId="12A93BF5" w14:textId="0F907000" w:rsidR="00C24332" w:rsidRPr="00CB54EA" w:rsidRDefault="00C24332" w:rsidP="006B25A2">
      <w:pPr>
        <w:rPr>
          <w:rFonts w:asciiTheme="minorHAnsi" w:hAnsiTheme="minorHAnsi"/>
          <w:sz w:val="22"/>
          <w:szCs w:val="22"/>
        </w:rPr>
      </w:pPr>
      <w:r w:rsidRPr="00CB54EA">
        <w:rPr>
          <w:rFonts w:asciiTheme="minorHAnsi" w:hAnsiTheme="minorHAnsi"/>
          <w:sz w:val="22"/>
          <w:szCs w:val="22"/>
        </w:rPr>
        <w:t>DMH Psychiatric Claims (Outpatient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23A2D9AD"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3325705D"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E547AC0"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9F5DEDB"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8735FDB"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D314EC3"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7A798E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69E62C94" w14:textId="77777777" w:rsidTr="00C24332">
        <w:trPr>
          <w:cantSplit/>
          <w:trHeight w:val="298"/>
        </w:trPr>
        <w:tc>
          <w:tcPr>
            <w:tcW w:w="793" w:type="pct"/>
            <w:tcBorders>
              <w:top w:val="single" w:sz="8" w:space="0" w:color="auto"/>
            </w:tcBorders>
            <w:shd w:val="clear" w:color="auto" w:fill="auto"/>
          </w:tcPr>
          <w:p w14:paraId="398574F3"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4FE46378" w14:textId="0A5FA81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tcBorders>
              <w:top w:val="single" w:sz="8" w:space="0" w:color="auto"/>
            </w:tcBorders>
            <w:shd w:val="clear" w:color="auto" w:fill="auto"/>
            <w:vAlign w:val="bottom"/>
          </w:tcPr>
          <w:p w14:paraId="07C8E098" w14:textId="092650C4"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0.4%</w:t>
            </w:r>
          </w:p>
        </w:tc>
        <w:tc>
          <w:tcPr>
            <w:tcW w:w="842" w:type="pct"/>
            <w:tcBorders>
              <w:top w:val="single" w:sz="8" w:space="0" w:color="auto"/>
            </w:tcBorders>
            <w:shd w:val="clear" w:color="auto" w:fill="auto"/>
            <w:vAlign w:val="bottom"/>
          </w:tcPr>
          <w:p w14:paraId="405CCD35" w14:textId="057034C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0.7%</w:t>
            </w:r>
          </w:p>
        </w:tc>
        <w:tc>
          <w:tcPr>
            <w:tcW w:w="841" w:type="pct"/>
            <w:tcBorders>
              <w:top w:val="single" w:sz="8" w:space="0" w:color="auto"/>
            </w:tcBorders>
            <w:vAlign w:val="bottom"/>
          </w:tcPr>
          <w:p w14:paraId="4339479D"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077D3851" w14:textId="673CA95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6DE55EBD" w14:textId="77777777" w:rsidTr="00C24332">
        <w:trPr>
          <w:cantSplit/>
          <w:trHeight w:val="298"/>
        </w:trPr>
        <w:tc>
          <w:tcPr>
            <w:tcW w:w="793" w:type="pct"/>
            <w:shd w:val="clear" w:color="auto" w:fill="auto"/>
          </w:tcPr>
          <w:p w14:paraId="3E49099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30218A3" w14:textId="16D77D7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277E7D3" w14:textId="2BC2619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D0575D9" w14:textId="332E25E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1" w:type="pct"/>
            <w:vAlign w:val="bottom"/>
          </w:tcPr>
          <w:p w14:paraId="3586EAC3"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3E90805" w14:textId="534B075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4A3DE205" w14:textId="77777777" w:rsidTr="00C24332">
        <w:trPr>
          <w:cantSplit/>
          <w:trHeight w:val="315"/>
        </w:trPr>
        <w:tc>
          <w:tcPr>
            <w:tcW w:w="793" w:type="pct"/>
            <w:shd w:val="clear" w:color="auto" w:fill="auto"/>
          </w:tcPr>
          <w:p w14:paraId="137057F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7EBA0BB" w14:textId="0244D7B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2" w:type="pct"/>
            <w:shd w:val="clear" w:color="auto" w:fill="auto"/>
            <w:vAlign w:val="bottom"/>
          </w:tcPr>
          <w:p w14:paraId="05820565" w14:textId="00AB70F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1.3%</w:t>
            </w:r>
          </w:p>
        </w:tc>
        <w:tc>
          <w:tcPr>
            <w:tcW w:w="842" w:type="pct"/>
            <w:shd w:val="clear" w:color="auto" w:fill="auto"/>
            <w:vAlign w:val="bottom"/>
          </w:tcPr>
          <w:p w14:paraId="6815B6E6" w14:textId="3F2C921C"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4.5%</w:t>
            </w:r>
          </w:p>
        </w:tc>
        <w:tc>
          <w:tcPr>
            <w:tcW w:w="841" w:type="pct"/>
            <w:vAlign w:val="bottom"/>
          </w:tcPr>
          <w:p w14:paraId="24169323"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11769AE" w14:textId="500B34A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24C0B299" w14:textId="77777777" w:rsidR="00C24332" w:rsidRPr="00CB54EA" w:rsidRDefault="00C24332" w:rsidP="006B25A2">
      <w:pPr>
        <w:rPr>
          <w:rFonts w:asciiTheme="minorHAnsi" w:hAnsiTheme="minorHAnsi"/>
          <w:sz w:val="22"/>
          <w:szCs w:val="22"/>
        </w:rPr>
      </w:pPr>
    </w:p>
    <w:p w14:paraId="4D62B6A2" w14:textId="77777777" w:rsidR="006B25A2" w:rsidRPr="00CB54EA" w:rsidRDefault="006B25A2" w:rsidP="006B25A2">
      <w:pPr>
        <w:pStyle w:val="Heading2"/>
        <w:rPr>
          <w:rFonts w:asciiTheme="minorHAnsi" w:hAnsiTheme="minorHAnsi" w:cstheme="minorHAnsi"/>
          <w:i/>
          <w:sz w:val="22"/>
          <w:szCs w:val="22"/>
        </w:rPr>
      </w:pPr>
      <w:bookmarkStart w:id="8" w:name="_Toc433714569"/>
      <w:bookmarkStart w:id="9" w:name="_Toc433720526"/>
      <w:bookmarkStart w:id="10" w:name="_Toc433815092"/>
      <w:r w:rsidRPr="00CB54EA">
        <w:rPr>
          <w:rFonts w:asciiTheme="minorHAnsi" w:hAnsiTheme="minorHAnsi" w:cstheme="minorHAnsi"/>
          <w:i/>
          <w:sz w:val="22"/>
          <w:szCs w:val="22"/>
        </w:rPr>
        <w:t>Diversionary Behavioral Health</w:t>
      </w:r>
      <w:bookmarkEnd w:id="8"/>
      <w:bookmarkEnd w:id="9"/>
      <w:bookmarkEnd w:id="10"/>
      <w:r w:rsidRPr="00CB54EA">
        <w:rPr>
          <w:rFonts w:asciiTheme="minorHAnsi" w:hAnsiTheme="minorHAnsi" w:cstheme="minorHAnsi"/>
          <w:i/>
          <w:sz w:val="22"/>
          <w:szCs w:val="22"/>
        </w:rPr>
        <w:t>:</w:t>
      </w:r>
    </w:p>
    <w:p w14:paraId="5F054582" w14:textId="3676057A"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C</w:t>
      </w:r>
      <w:r w:rsidR="003E5EB1" w:rsidRPr="00CB54EA">
        <w:rPr>
          <w:rFonts w:asciiTheme="minorHAnsi" w:hAnsiTheme="minorHAnsi" w:cstheme="minorHAnsi"/>
          <w:sz w:val="22"/>
          <w:szCs w:val="22"/>
        </w:rPr>
        <w:t>osts for c</w:t>
      </w:r>
      <w:r w:rsidRPr="00CB54EA">
        <w:rPr>
          <w:rFonts w:asciiTheme="minorHAnsi" w:hAnsiTheme="minorHAnsi" w:cstheme="minorHAnsi"/>
          <w:sz w:val="22"/>
          <w:szCs w:val="22"/>
        </w:rPr>
        <w:t xml:space="preserve">ertain diversionary behavioral health services that are covered under the One Care program for non-institutionalized members are not included in the FFS base data. The </w:t>
      </w:r>
      <w:r w:rsidR="0087680E" w:rsidRPr="00CB54EA">
        <w:rPr>
          <w:rFonts w:asciiTheme="minorHAnsi" w:hAnsiTheme="minorHAnsi" w:cstheme="minorHAnsi"/>
          <w:sz w:val="22"/>
          <w:szCs w:val="22"/>
        </w:rPr>
        <w:t>CY</w:t>
      </w:r>
      <w:r w:rsidR="00505EDB" w:rsidRPr="00CB54EA">
        <w:rPr>
          <w:rFonts w:asciiTheme="minorHAnsi" w:hAnsiTheme="minorHAnsi" w:cstheme="minorHAnsi"/>
          <w:sz w:val="22"/>
          <w:szCs w:val="22"/>
        </w:rPr>
        <w:t xml:space="preserve"> </w:t>
      </w:r>
      <w:r w:rsidR="0087680E" w:rsidRPr="00CB54EA">
        <w:rPr>
          <w:rFonts w:asciiTheme="minorHAnsi" w:hAnsiTheme="minorHAnsi" w:cstheme="minorHAnsi"/>
          <w:sz w:val="22"/>
          <w:szCs w:val="22"/>
        </w:rPr>
        <w:t xml:space="preserve">2018 </w:t>
      </w:r>
      <w:r w:rsidRPr="00CB54EA">
        <w:rPr>
          <w:rFonts w:asciiTheme="minorHAnsi" w:hAnsiTheme="minorHAnsi" w:cstheme="minorHAnsi"/>
          <w:sz w:val="22"/>
          <w:szCs w:val="22"/>
        </w:rPr>
        <w:t>rates include adjustment</w:t>
      </w:r>
      <w:r w:rsidR="00C24332" w:rsidRPr="00CB54EA">
        <w:rPr>
          <w:rFonts w:asciiTheme="minorHAnsi" w:hAnsiTheme="minorHAnsi" w:cstheme="minorHAnsi"/>
          <w:sz w:val="22"/>
          <w:szCs w:val="22"/>
        </w:rPr>
        <w:t>s</w:t>
      </w:r>
      <w:r w:rsidRPr="00CB54EA">
        <w:rPr>
          <w:rFonts w:asciiTheme="minorHAnsi" w:hAnsiTheme="minorHAnsi" w:cstheme="minorHAnsi"/>
          <w:sz w:val="22"/>
          <w:szCs w:val="22"/>
        </w:rPr>
        <w:t xml:space="preserve"> to the Outpatient MH/SA</w:t>
      </w:r>
      <w:r w:rsidRPr="00CB54EA" w:rsidDel="00384D09">
        <w:rPr>
          <w:rFonts w:asciiTheme="minorHAnsi" w:hAnsiTheme="minorHAnsi" w:cstheme="minorHAnsi"/>
          <w:sz w:val="22"/>
          <w:szCs w:val="22"/>
        </w:rPr>
        <w:t xml:space="preserve"> </w:t>
      </w:r>
      <w:r w:rsidRPr="00CB54EA">
        <w:rPr>
          <w:rFonts w:asciiTheme="minorHAnsi" w:hAnsiTheme="minorHAnsi" w:cstheme="minorHAnsi"/>
          <w:sz w:val="22"/>
          <w:szCs w:val="22"/>
        </w:rPr>
        <w:t>COS for the costs of covering these services</w:t>
      </w:r>
      <w:r w:rsidR="00C24332" w:rsidRPr="00CB54EA">
        <w:rPr>
          <w:rFonts w:asciiTheme="minorHAnsi" w:hAnsiTheme="minorHAnsi" w:cstheme="minorHAnsi"/>
          <w:sz w:val="22"/>
          <w:szCs w:val="22"/>
        </w:rPr>
        <w:t>.</w:t>
      </w:r>
      <w:r w:rsidRPr="00CB54EA">
        <w:rPr>
          <w:rFonts w:asciiTheme="minorHAnsi" w:hAnsiTheme="minorHAnsi" w:cstheme="minorHAnsi"/>
          <w:sz w:val="22"/>
          <w:szCs w:val="22"/>
        </w:rPr>
        <w:t xml:space="preserve"> These diversionary behavioral health services include the following:</w:t>
      </w:r>
    </w:p>
    <w:p w14:paraId="68487234" w14:textId="77777777" w:rsidR="006B25A2" w:rsidRPr="00CB54EA" w:rsidRDefault="006B25A2" w:rsidP="006B25A2">
      <w:pPr>
        <w:rPr>
          <w:rFonts w:asciiTheme="minorHAnsi" w:hAnsiTheme="minorHAnsi" w:cstheme="minorHAnsi"/>
          <w:sz w:val="22"/>
          <w:szCs w:val="22"/>
        </w:rPr>
      </w:pPr>
    </w:p>
    <w:p w14:paraId="1BFD5E2C" w14:textId="7F337AA2"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Acute Treatment Services for Substance Use Disorders (Level III.7).</w:t>
      </w:r>
    </w:p>
    <w:p w14:paraId="2F87A489" w14:textId="37A3A85E"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Community Support Program.</w:t>
      </w:r>
    </w:p>
    <w:p w14:paraId="14A10568" w14:textId="49DD9223" w:rsidR="006B25A2"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Psychiatric Day Treatment.</w:t>
      </w:r>
    </w:p>
    <w:p w14:paraId="1C7EF931" w14:textId="4B22BB38"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Recovery Support Navigator.</w:t>
      </w:r>
    </w:p>
    <w:p w14:paraId="51372211" w14:textId="14160EB4"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Structured Outpatient Addiction Program.</w:t>
      </w:r>
    </w:p>
    <w:p w14:paraId="3FFEFD36" w14:textId="77777777" w:rsidR="00C24332" w:rsidRPr="00CB54EA" w:rsidRDefault="00C24332" w:rsidP="006B25A2">
      <w:pPr>
        <w:pStyle w:val="ListBullet"/>
        <w:numPr>
          <w:ilvl w:val="0"/>
          <w:numId w:val="0"/>
        </w:numPr>
        <w:ind w:left="360"/>
        <w:rPr>
          <w:rFonts w:asciiTheme="minorHAnsi" w:hAnsiTheme="minorHAnsi" w:cstheme="minorHAnsi"/>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6CBA81A6"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3444C51A"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D4A5108"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371390E6"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4AA9E1A"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07FF70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835A2FC"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3EA3BCCA" w14:textId="77777777" w:rsidTr="00C24332">
        <w:trPr>
          <w:cantSplit/>
          <w:trHeight w:val="298"/>
        </w:trPr>
        <w:tc>
          <w:tcPr>
            <w:tcW w:w="793" w:type="pct"/>
            <w:tcBorders>
              <w:top w:val="single" w:sz="8" w:space="0" w:color="auto"/>
            </w:tcBorders>
            <w:shd w:val="clear" w:color="auto" w:fill="auto"/>
          </w:tcPr>
          <w:p w14:paraId="4A0CB0EB"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3EC0BB3" w14:textId="4E607396"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18.4%</w:t>
            </w:r>
          </w:p>
        </w:tc>
        <w:tc>
          <w:tcPr>
            <w:tcW w:w="842" w:type="pct"/>
            <w:tcBorders>
              <w:top w:val="single" w:sz="8" w:space="0" w:color="auto"/>
            </w:tcBorders>
            <w:shd w:val="clear" w:color="auto" w:fill="auto"/>
            <w:vAlign w:val="bottom"/>
          </w:tcPr>
          <w:p w14:paraId="7189B42E" w14:textId="4FB1390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18.7%</w:t>
            </w:r>
          </w:p>
        </w:tc>
        <w:tc>
          <w:tcPr>
            <w:tcW w:w="842" w:type="pct"/>
            <w:tcBorders>
              <w:top w:val="single" w:sz="8" w:space="0" w:color="auto"/>
            </w:tcBorders>
            <w:shd w:val="clear" w:color="auto" w:fill="auto"/>
            <w:vAlign w:val="bottom"/>
          </w:tcPr>
          <w:p w14:paraId="4AD246F7" w14:textId="2B70D49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18.7%</w:t>
            </w:r>
          </w:p>
        </w:tc>
        <w:tc>
          <w:tcPr>
            <w:tcW w:w="841" w:type="pct"/>
            <w:tcBorders>
              <w:top w:val="single" w:sz="8" w:space="0" w:color="auto"/>
            </w:tcBorders>
            <w:vAlign w:val="bottom"/>
          </w:tcPr>
          <w:p w14:paraId="7FF94E1D" w14:textId="660BA8DE"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tcBorders>
              <w:top w:val="single" w:sz="8" w:space="0" w:color="auto"/>
            </w:tcBorders>
            <w:shd w:val="clear" w:color="auto" w:fill="auto"/>
            <w:vAlign w:val="bottom"/>
          </w:tcPr>
          <w:p w14:paraId="1A36AD51" w14:textId="0BEAC96A"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4FF47D2B" w14:textId="77777777" w:rsidTr="00C24332">
        <w:trPr>
          <w:cantSplit/>
          <w:trHeight w:val="298"/>
        </w:trPr>
        <w:tc>
          <w:tcPr>
            <w:tcW w:w="793" w:type="pct"/>
            <w:shd w:val="clear" w:color="auto" w:fill="auto"/>
          </w:tcPr>
          <w:p w14:paraId="2A8E6C5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34DF5971" w14:textId="23BD1A8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19.6%</w:t>
            </w:r>
          </w:p>
        </w:tc>
        <w:tc>
          <w:tcPr>
            <w:tcW w:w="842" w:type="pct"/>
            <w:shd w:val="clear" w:color="auto" w:fill="auto"/>
            <w:vAlign w:val="bottom"/>
          </w:tcPr>
          <w:p w14:paraId="777705FC" w14:textId="62FC9A96"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19.8%</w:t>
            </w:r>
          </w:p>
        </w:tc>
        <w:tc>
          <w:tcPr>
            <w:tcW w:w="842" w:type="pct"/>
            <w:shd w:val="clear" w:color="auto" w:fill="auto"/>
            <w:vAlign w:val="bottom"/>
          </w:tcPr>
          <w:p w14:paraId="2C2D8EC2" w14:textId="7385938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19.8%</w:t>
            </w:r>
          </w:p>
        </w:tc>
        <w:tc>
          <w:tcPr>
            <w:tcW w:w="841" w:type="pct"/>
            <w:vAlign w:val="bottom"/>
          </w:tcPr>
          <w:p w14:paraId="6ACA65D7" w14:textId="00C0800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shd w:val="clear" w:color="auto" w:fill="auto"/>
            <w:vAlign w:val="bottom"/>
          </w:tcPr>
          <w:p w14:paraId="71B1E03D" w14:textId="35585D55"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53CD524F" w14:textId="77777777" w:rsidTr="00C24332">
        <w:trPr>
          <w:cantSplit/>
          <w:trHeight w:val="315"/>
        </w:trPr>
        <w:tc>
          <w:tcPr>
            <w:tcW w:w="793" w:type="pct"/>
            <w:shd w:val="clear" w:color="auto" w:fill="auto"/>
          </w:tcPr>
          <w:p w14:paraId="7172C1F2"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A874D42" w14:textId="6EA5F77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2" w:type="pct"/>
            <w:shd w:val="clear" w:color="auto" w:fill="auto"/>
            <w:vAlign w:val="bottom"/>
          </w:tcPr>
          <w:p w14:paraId="13ABCFFF" w14:textId="541CE66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2" w:type="pct"/>
            <w:shd w:val="clear" w:color="auto" w:fill="auto"/>
            <w:vAlign w:val="bottom"/>
          </w:tcPr>
          <w:p w14:paraId="41571625" w14:textId="3606AA9C"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1" w:type="pct"/>
            <w:vAlign w:val="bottom"/>
          </w:tcPr>
          <w:p w14:paraId="44F95F3C" w14:textId="07123F9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shd w:val="clear" w:color="auto" w:fill="auto"/>
            <w:vAlign w:val="bottom"/>
          </w:tcPr>
          <w:p w14:paraId="2DC759D0" w14:textId="683E3BA9"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75AD2382" w14:textId="77777777" w:rsidR="006B25A2" w:rsidRPr="00CB54EA" w:rsidRDefault="006B25A2" w:rsidP="006B25A2">
      <w:pPr>
        <w:pStyle w:val="ListBullet"/>
        <w:numPr>
          <w:ilvl w:val="0"/>
          <w:numId w:val="0"/>
        </w:numPr>
        <w:ind w:left="360"/>
        <w:rPr>
          <w:rFonts w:asciiTheme="minorHAnsi" w:hAnsiTheme="minorHAnsi" w:cstheme="minorHAnsi"/>
          <w:szCs w:val="22"/>
        </w:rPr>
      </w:pPr>
    </w:p>
    <w:p w14:paraId="0E382133" w14:textId="77777777" w:rsidR="006B25A2" w:rsidRPr="00CB54EA" w:rsidRDefault="006B25A2" w:rsidP="006B25A2">
      <w:pPr>
        <w:pStyle w:val="Heading4"/>
        <w:numPr>
          <w:ilvl w:val="3"/>
          <w:numId w:val="17"/>
        </w:numPr>
        <w:spacing w:line="320" w:lineRule="atLeast"/>
        <w:rPr>
          <w:rFonts w:asciiTheme="minorHAnsi" w:hAnsiTheme="minorHAnsi" w:cstheme="minorHAnsi"/>
          <w:b/>
          <w:bCs w:val="0"/>
          <w:sz w:val="22"/>
          <w:szCs w:val="22"/>
        </w:rPr>
      </w:pPr>
      <w:bookmarkStart w:id="11" w:name="_Toc433714567"/>
      <w:bookmarkStart w:id="12" w:name="_Toc433720524"/>
      <w:bookmarkStart w:id="13" w:name="_Toc433815090"/>
      <w:r w:rsidRPr="00CB54EA">
        <w:rPr>
          <w:rFonts w:asciiTheme="minorHAnsi" w:hAnsiTheme="minorHAnsi" w:cstheme="minorHAnsi"/>
          <w:b/>
          <w:bCs w:val="0"/>
          <w:sz w:val="22"/>
          <w:szCs w:val="22"/>
        </w:rPr>
        <w:t>Home Health Policy Changes:</w:t>
      </w:r>
    </w:p>
    <w:p w14:paraId="1A5E63D7" w14:textId="1D51F8E4" w:rsidR="006B25A2" w:rsidRPr="00CB54EA" w:rsidRDefault="006B25A2" w:rsidP="006B25A2">
      <w:pPr>
        <w:pStyle w:val="ListParagraph"/>
        <w:numPr>
          <w:ilvl w:val="0"/>
          <w:numId w:val="17"/>
        </w:numPr>
        <w:rPr>
          <w:rFonts w:asciiTheme="minorHAnsi" w:hAnsiTheme="minorHAnsi" w:cstheme="minorHAnsi"/>
          <w:sz w:val="22"/>
          <w:szCs w:val="22"/>
          <w:lang w:eastAsia="en-US"/>
        </w:rPr>
      </w:pPr>
      <w:r w:rsidRPr="00CB54EA">
        <w:rPr>
          <w:rFonts w:asciiTheme="minorHAnsi" w:hAnsiTheme="minorHAnsi" w:cstheme="minorHAnsi"/>
          <w:sz w:val="22"/>
          <w:szCs w:val="22"/>
          <w:lang w:eastAsia="en-US"/>
        </w:rPr>
        <w:t xml:space="preserve">MassHealth made several home health policy changes in CY 2016, including using Prior Authorization to review requests for home health services after a specific number of services are provided (effective March 1, 2016) to ensure all services provided by Home Health Agencies are medically necessary. Additionally, the state requested a moratorium on new applications for home health agencies. This request was approved by CMS in February 2016 and again in August 2016. The </w:t>
      </w:r>
      <w:r w:rsidRPr="00CB54EA">
        <w:rPr>
          <w:rFonts w:asciiTheme="minorHAnsi" w:hAnsiTheme="minorHAnsi" w:cstheme="minorHAnsi"/>
          <w:sz w:val="22"/>
          <w:szCs w:val="22"/>
          <w:lang w:eastAsia="en-US"/>
        </w:rPr>
        <w:lastRenderedPageBreak/>
        <w:t xml:space="preserve">current moratorium </w:t>
      </w:r>
      <w:r w:rsidR="006A288A" w:rsidRPr="00CB54EA">
        <w:rPr>
          <w:rFonts w:asciiTheme="minorHAnsi" w:hAnsiTheme="minorHAnsi" w:cstheme="minorHAnsi"/>
          <w:sz w:val="22"/>
          <w:szCs w:val="22"/>
          <w:lang w:eastAsia="en-US"/>
        </w:rPr>
        <w:t>is still in effect and MassHealth will</w:t>
      </w:r>
      <w:r w:rsidR="000A6884" w:rsidRPr="00CB54EA">
        <w:rPr>
          <w:rFonts w:asciiTheme="minorHAnsi" w:hAnsiTheme="minorHAnsi" w:cstheme="minorHAnsi"/>
          <w:sz w:val="22"/>
          <w:szCs w:val="22"/>
          <w:lang w:eastAsia="en-US"/>
        </w:rPr>
        <w:t xml:space="preserve"> continue to request extensions.</w:t>
      </w:r>
      <w:r w:rsidR="006A288A" w:rsidRPr="00CB54EA">
        <w:rPr>
          <w:rFonts w:asciiTheme="minorHAnsi" w:hAnsiTheme="minorHAnsi" w:cstheme="minorHAnsi"/>
          <w:sz w:val="22"/>
          <w:szCs w:val="22"/>
          <w:lang w:eastAsia="en-US"/>
        </w:rPr>
        <w:t xml:space="preserve"> </w:t>
      </w:r>
      <w:r w:rsidRPr="00CB54EA">
        <w:rPr>
          <w:rFonts w:asciiTheme="minorHAnsi" w:hAnsiTheme="minorHAnsi" w:cstheme="minorHAnsi"/>
          <w:sz w:val="22"/>
          <w:szCs w:val="22"/>
          <w:lang w:eastAsia="en-US"/>
        </w:rPr>
        <w:t>The overall result of these changes to the HCBS/Home Health expense line is demonstrated below:</w:t>
      </w:r>
    </w:p>
    <w:p w14:paraId="3228FF6E" w14:textId="77777777" w:rsidR="006B25A2" w:rsidRPr="00CB54EA" w:rsidRDefault="006B25A2" w:rsidP="006B25A2">
      <w:pPr>
        <w:rPr>
          <w:rFonts w:asciiTheme="minorHAnsi" w:hAnsiTheme="minorHAnsi"/>
          <w:highlight w:val="yellow"/>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715DDB" w:rsidRPr="00CB54EA" w14:paraId="4173DDD5" w14:textId="77777777" w:rsidTr="00715D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9D25077" w14:textId="77777777" w:rsidR="00715DDB" w:rsidRPr="00CB54EA" w:rsidRDefault="00715DDB" w:rsidP="00715DDB">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65DC10"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2B8552A"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4A7EFC4"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69A6254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25F19F2A"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715DDB" w:rsidRPr="00CB54EA" w14:paraId="627AB444" w14:textId="77777777" w:rsidTr="00715DDB">
        <w:trPr>
          <w:cantSplit/>
          <w:trHeight w:val="298"/>
        </w:trPr>
        <w:tc>
          <w:tcPr>
            <w:tcW w:w="793" w:type="pct"/>
            <w:tcBorders>
              <w:top w:val="single" w:sz="8" w:space="0" w:color="auto"/>
            </w:tcBorders>
            <w:shd w:val="clear" w:color="auto" w:fill="auto"/>
          </w:tcPr>
          <w:p w14:paraId="15120A79"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028927B" w14:textId="77BD20C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5F88604F" w14:textId="05413FA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0DE398A2" w14:textId="433EFEC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-14.0%</w:t>
            </w:r>
          </w:p>
        </w:tc>
        <w:tc>
          <w:tcPr>
            <w:tcW w:w="841" w:type="pct"/>
            <w:tcBorders>
              <w:top w:val="single" w:sz="8" w:space="0" w:color="auto"/>
            </w:tcBorders>
            <w:vAlign w:val="bottom"/>
          </w:tcPr>
          <w:p w14:paraId="6F6341D6" w14:textId="358CEDC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4DE1976B"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715DDB" w:rsidRPr="00CB54EA" w14:paraId="4C1C34EA" w14:textId="77777777" w:rsidTr="00715DDB">
        <w:trPr>
          <w:cantSplit/>
          <w:trHeight w:val="298"/>
        </w:trPr>
        <w:tc>
          <w:tcPr>
            <w:tcW w:w="793" w:type="pct"/>
            <w:shd w:val="clear" w:color="auto" w:fill="auto"/>
          </w:tcPr>
          <w:p w14:paraId="18629116"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864C08D" w14:textId="51A9E705"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6C3BA69B" w14:textId="1517EAE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77369CA" w14:textId="25C706F2"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-9.6%</w:t>
            </w:r>
          </w:p>
        </w:tc>
        <w:tc>
          <w:tcPr>
            <w:tcW w:w="841" w:type="pct"/>
            <w:vAlign w:val="bottom"/>
          </w:tcPr>
          <w:p w14:paraId="31AE505D" w14:textId="54EB5649"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74DBB6F"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715DDB" w:rsidRPr="00CB54EA" w14:paraId="5C3572FC" w14:textId="77777777" w:rsidTr="00715DDB">
        <w:trPr>
          <w:cantSplit/>
          <w:trHeight w:val="315"/>
        </w:trPr>
        <w:tc>
          <w:tcPr>
            <w:tcW w:w="793" w:type="pct"/>
            <w:shd w:val="clear" w:color="auto" w:fill="auto"/>
          </w:tcPr>
          <w:p w14:paraId="7126D98F"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A753A02" w14:textId="5E334ADF"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7E3F50B0" w14:textId="6B1B55FA"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E077AC7" w14:textId="29CAC1F0"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-7.7%</w:t>
            </w:r>
          </w:p>
        </w:tc>
        <w:tc>
          <w:tcPr>
            <w:tcW w:w="841" w:type="pct"/>
            <w:vAlign w:val="bottom"/>
          </w:tcPr>
          <w:p w14:paraId="5FFE1476" w14:textId="11753249"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3163C97C"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55A682EA" w14:textId="77777777" w:rsidR="006B25A2" w:rsidRPr="00CB54EA" w:rsidRDefault="006B25A2" w:rsidP="006B25A2">
      <w:pPr>
        <w:pStyle w:val="Heading2"/>
        <w:rPr>
          <w:rFonts w:asciiTheme="minorHAnsi" w:hAnsiTheme="minorHAnsi" w:cstheme="minorHAnsi"/>
          <w:i/>
          <w:sz w:val="22"/>
          <w:szCs w:val="22"/>
          <w:highlight w:val="yellow"/>
        </w:rPr>
      </w:pPr>
    </w:p>
    <w:p w14:paraId="6FF92E83" w14:textId="77777777" w:rsidR="006B25A2" w:rsidRPr="00CB54EA" w:rsidRDefault="006B25A2" w:rsidP="006B25A2">
      <w:pPr>
        <w:pStyle w:val="Heading2"/>
        <w:rPr>
          <w:rFonts w:asciiTheme="minorHAnsi" w:hAnsiTheme="minorHAnsi" w:cstheme="minorHAnsi"/>
          <w:i/>
          <w:sz w:val="22"/>
          <w:szCs w:val="22"/>
        </w:rPr>
      </w:pPr>
      <w:bookmarkStart w:id="14" w:name="_Toc468975795"/>
      <w:r w:rsidRPr="00CB54EA">
        <w:rPr>
          <w:rFonts w:asciiTheme="minorHAnsi" w:hAnsiTheme="minorHAnsi" w:cstheme="minorHAnsi"/>
          <w:i/>
          <w:sz w:val="22"/>
          <w:szCs w:val="22"/>
        </w:rPr>
        <w:t>Personal Care Attendant Sick Time and Fiscal Intermediary (FI) Administration</w:t>
      </w:r>
      <w:bookmarkEnd w:id="14"/>
    </w:p>
    <w:p w14:paraId="457A39D2" w14:textId="77777777" w:rsidR="006B25A2" w:rsidRPr="00CB54EA" w:rsidRDefault="006B25A2" w:rsidP="006B25A2">
      <w:pPr>
        <w:pStyle w:val="ListParagraph"/>
        <w:numPr>
          <w:ilvl w:val="0"/>
          <w:numId w:val="11"/>
        </w:numPr>
        <w:rPr>
          <w:rFonts w:asciiTheme="minorHAnsi" w:hAnsiTheme="minorHAnsi"/>
          <w:sz w:val="22"/>
          <w:szCs w:val="22"/>
          <w:lang w:eastAsia="en-US"/>
        </w:rPr>
      </w:pPr>
      <w:r w:rsidRPr="00CB54EA">
        <w:rPr>
          <w:rFonts w:asciiTheme="minorHAnsi" w:hAnsiTheme="minorHAnsi"/>
          <w:sz w:val="22"/>
          <w:szCs w:val="22"/>
          <w:lang w:eastAsia="en-US"/>
        </w:rPr>
        <w:t>Effective July 1, 2015, the Massachusetts Earned Sick Time Law allows PCAs to accrue paid sick time. Additionally, effective January 1, 2016, MassHealth is considered a joint employer of Personal Care Attendants (PCAs) for the purposes of the Fair Labor Standards Act (FLSA). Consistent with the FLSA, MassHealth is required to provide PCAs with travel pay and overtime.  MassHealth is paying for any overtime and travel costs outside the One Care capitation rates; however, the additional fiscal intermediary (FI) administration expenses associated with reporting and tracking costs associated with PCA overtime and travel costs is included in the capitation rates.</w:t>
      </w:r>
    </w:p>
    <w:p w14:paraId="7D090C38" w14:textId="77777777" w:rsidR="006B25A2" w:rsidRPr="00CB54EA" w:rsidRDefault="006B25A2" w:rsidP="006B25A2">
      <w:pPr>
        <w:pStyle w:val="ListParagraph"/>
        <w:numPr>
          <w:ilvl w:val="0"/>
          <w:numId w:val="11"/>
        </w:numPr>
        <w:rPr>
          <w:rFonts w:asciiTheme="minorHAnsi" w:hAnsiTheme="minorHAnsi"/>
          <w:sz w:val="22"/>
          <w:szCs w:val="22"/>
          <w:lang w:eastAsia="en-US"/>
        </w:rPr>
      </w:pPr>
    </w:p>
    <w:p w14:paraId="5F26C5DD" w14:textId="74F48917" w:rsidR="006B25A2" w:rsidRPr="00CB54EA" w:rsidRDefault="006B25A2" w:rsidP="006B25A2">
      <w:pPr>
        <w:pStyle w:val="ListParagraph"/>
        <w:numPr>
          <w:ilvl w:val="0"/>
          <w:numId w:val="11"/>
        </w:numPr>
        <w:rPr>
          <w:rFonts w:asciiTheme="minorHAnsi" w:hAnsiTheme="minorHAnsi"/>
          <w:sz w:val="22"/>
          <w:szCs w:val="22"/>
          <w:lang w:eastAsia="en-US"/>
        </w:rPr>
      </w:pPr>
      <w:r w:rsidRPr="00CB54EA">
        <w:rPr>
          <w:rFonts w:asciiTheme="minorHAnsi" w:hAnsiTheme="minorHAnsi"/>
          <w:sz w:val="22"/>
          <w:szCs w:val="22"/>
          <w:lang w:eastAsia="en-US"/>
        </w:rPr>
        <w:t xml:space="preserve">The PCA earned sick leave and FI administrative expense adjustments reflect the PCA mix of services, resulting in the following </w:t>
      </w:r>
      <w:r w:rsidR="00B03B1F" w:rsidRPr="00CB54EA">
        <w:rPr>
          <w:rFonts w:asciiTheme="minorHAnsi" w:hAnsiTheme="minorHAnsi"/>
          <w:sz w:val="22"/>
          <w:szCs w:val="22"/>
          <w:lang w:eastAsia="en-US"/>
        </w:rPr>
        <w:t xml:space="preserve">changes </w:t>
      </w:r>
      <w:r w:rsidRPr="00CB54EA">
        <w:rPr>
          <w:rFonts w:asciiTheme="minorHAnsi" w:hAnsiTheme="minorHAnsi"/>
          <w:sz w:val="22"/>
          <w:szCs w:val="22"/>
          <w:lang w:eastAsia="en-US"/>
        </w:rPr>
        <w:t>to the HCBS/Home Health COS:</w:t>
      </w:r>
    </w:p>
    <w:p w14:paraId="6D81A37F" w14:textId="77777777" w:rsidR="006B25A2" w:rsidRPr="00CB54EA" w:rsidRDefault="006B25A2" w:rsidP="006B25A2">
      <w:pPr>
        <w:pStyle w:val="ListParagraph"/>
        <w:numPr>
          <w:ilvl w:val="0"/>
          <w:numId w:val="11"/>
        </w:numPr>
        <w:rPr>
          <w:rFonts w:asciiTheme="minorHAnsi" w:hAnsiTheme="minorHAnsi"/>
          <w:sz w:val="22"/>
          <w:szCs w:val="22"/>
          <w:highlight w:val="yellow"/>
        </w:rPr>
      </w:pPr>
      <w:r w:rsidRPr="00CB54EA">
        <w:rPr>
          <w:rFonts w:asciiTheme="minorHAnsi" w:hAnsiTheme="minorHAnsi" w:cs="Arial"/>
          <w:highlight w:val="yellow"/>
        </w:rPr>
        <w:t xml:space="preserve"> </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715DDB" w:rsidRPr="00CB54EA" w14:paraId="38768018" w14:textId="77777777" w:rsidTr="00715D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3CB41A1" w14:textId="77777777" w:rsidR="00715DDB" w:rsidRPr="00CB54EA" w:rsidRDefault="00715DDB" w:rsidP="00715DDB">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7A1A7E3"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FB2869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EE2CBA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DAC0D0E"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3C7D92D3"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715DDB" w:rsidRPr="00CB54EA" w14:paraId="18FDE5F2" w14:textId="77777777" w:rsidTr="00715DDB">
        <w:trPr>
          <w:cantSplit/>
          <w:trHeight w:val="298"/>
        </w:trPr>
        <w:tc>
          <w:tcPr>
            <w:tcW w:w="793" w:type="pct"/>
            <w:tcBorders>
              <w:top w:val="single" w:sz="8" w:space="0" w:color="auto"/>
            </w:tcBorders>
            <w:shd w:val="clear" w:color="auto" w:fill="auto"/>
          </w:tcPr>
          <w:p w14:paraId="351CF196"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26CCB4E" w14:textId="39D2F53D"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tcBorders>
              <w:top w:val="single" w:sz="8" w:space="0" w:color="auto"/>
            </w:tcBorders>
            <w:shd w:val="clear" w:color="auto" w:fill="auto"/>
            <w:vAlign w:val="bottom"/>
          </w:tcPr>
          <w:p w14:paraId="12C03193"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723A9DC1" w14:textId="1A41AC04"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-0.6%</w:t>
            </w:r>
          </w:p>
        </w:tc>
        <w:tc>
          <w:tcPr>
            <w:tcW w:w="841" w:type="pct"/>
            <w:tcBorders>
              <w:top w:val="single" w:sz="8" w:space="0" w:color="auto"/>
            </w:tcBorders>
            <w:vAlign w:val="bottom"/>
          </w:tcPr>
          <w:p w14:paraId="4DC2EEA5"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4A4A21C2" w14:textId="2D1F41FF"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r>
      <w:tr w:rsidR="00715DDB" w:rsidRPr="00CB54EA" w14:paraId="3185CA62" w14:textId="77777777" w:rsidTr="00715DDB">
        <w:trPr>
          <w:cantSplit/>
          <w:trHeight w:val="298"/>
        </w:trPr>
        <w:tc>
          <w:tcPr>
            <w:tcW w:w="793" w:type="pct"/>
            <w:shd w:val="clear" w:color="auto" w:fill="auto"/>
          </w:tcPr>
          <w:p w14:paraId="5F6B3FEA"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307FED65" w14:textId="24C04601"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36C2F90F"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70D98538" w14:textId="5608FA4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1" w:type="pct"/>
            <w:vAlign w:val="bottom"/>
          </w:tcPr>
          <w:p w14:paraId="63D8AE34"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A9FDA49" w14:textId="08201900"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-0.6%</w:t>
            </w:r>
          </w:p>
        </w:tc>
      </w:tr>
      <w:tr w:rsidR="00715DDB" w:rsidRPr="00CB54EA" w14:paraId="283867FC" w14:textId="77777777" w:rsidTr="00715DDB">
        <w:trPr>
          <w:cantSplit/>
          <w:trHeight w:val="315"/>
        </w:trPr>
        <w:tc>
          <w:tcPr>
            <w:tcW w:w="793" w:type="pct"/>
            <w:shd w:val="clear" w:color="auto" w:fill="auto"/>
          </w:tcPr>
          <w:p w14:paraId="74B1DD5A"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6685B809" w14:textId="1FCE618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32F2124E" w14:textId="1827D65E"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0BB4F66F" w14:textId="44C33BFD"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-0.9%</w:t>
            </w:r>
          </w:p>
        </w:tc>
        <w:tc>
          <w:tcPr>
            <w:tcW w:w="841" w:type="pct"/>
            <w:vAlign w:val="bottom"/>
          </w:tcPr>
          <w:p w14:paraId="385EA75D"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2247669D"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35C31181" w14:textId="77777777" w:rsidR="006B25A2" w:rsidRPr="00CB54EA" w:rsidRDefault="006B25A2" w:rsidP="006B25A2">
      <w:pPr>
        <w:pStyle w:val="Heading2"/>
        <w:rPr>
          <w:rFonts w:asciiTheme="minorHAnsi" w:hAnsiTheme="minorHAnsi" w:cstheme="minorHAnsi"/>
          <w:i/>
          <w:sz w:val="22"/>
          <w:szCs w:val="22"/>
          <w:highlight w:val="yellow"/>
        </w:rPr>
      </w:pPr>
    </w:p>
    <w:p w14:paraId="17836213" w14:textId="77777777" w:rsidR="006B25A2" w:rsidRPr="00CB54EA" w:rsidRDefault="006B25A2" w:rsidP="006B25A2">
      <w:pPr>
        <w:pStyle w:val="Heading2"/>
        <w:rPr>
          <w:rFonts w:asciiTheme="minorHAnsi" w:hAnsiTheme="minorHAnsi" w:cstheme="minorHAnsi"/>
          <w:i/>
          <w:sz w:val="22"/>
          <w:szCs w:val="22"/>
        </w:rPr>
      </w:pPr>
      <w:bookmarkStart w:id="15" w:name="_Toc468975796"/>
      <w:r w:rsidRPr="00CB54EA">
        <w:rPr>
          <w:rFonts w:asciiTheme="minorHAnsi" w:hAnsiTheme="minorHAnsi" w:cstheme="minorHAnsi"/>
          <w:i/>
          <w:sz w:val="22"/>
          <w:szCs w:val="22"/>
        </w:rPr>
        <w:t>Community Support Program (CSP) Services for Chronically Homeless Individuals</w:t>
      </w:r>
      <w:bookmarkEnd w:id="15"/>
    </w:p>
    <w:p w14:paraId="26562F12" w14:textId="01A0BED9" w:rsidR="006B25A2" w:rsidRPr="00CB54EA" w:rsidRDefault="006B25A2" w:rsidP="006B25A2">
      <w:pPr>
        <w:pStyle w:val="ListParagraph"/>
        <w:numPr>
          <w:ilvl w:val="0"/>
          <w:numId w:val="11"/>
        </w:numPr>
        <w:rPr>
          <w:rFonts w:asciiTheme="minorHAnsi" w:hAnsiTheme="minorHAnsi" w:cstheme="minorHAnsi"/>
          <w:sz w:val="22"/>
          <w:szCs w:val="22"/>
          <w:lang w:eastAsia="en-US"/>
        </w:rPr>
      </w:pPr>
      <w:r w:rsidRPr="00CB54EA">
        <w:rPr>
          <w:rFonts w:asciiTheme="minorHAnsi" w:hAnsiTheme="minorHAnsi" w:cstheme="minorHAnsi"/>
          <w:sz w:val="22"/>
          <w:szCs w:val="22"/>
          <w:lang w:eastAsia="en-US"/>
        </w:rPr>
        <w:t xml:space="preserve">Effective </w:t>
      </w:r>
      <w:r w:rsidR="000C659C" w:rsidRPr="00CB54EA">
        <w:rPr>
          <w:rFonts w:asciiTheme="minorHAnsi" w:hAnsiTheme="minorHAnsi" w:cstheme="minorHAnsi"/>
          <w:sz w:val="22"/>
          <w:szCs w:val="22"/>
          <w:lang w:eastAsia="en-US"/>
        </w:rPr>
        <w:t>in 2018</w:t>
      </w:r>
      <w:r w:rsidRPr="00CB54EA">
        <w:rPr>
          <w:rFonts w:asciiTheme="minorHAnsi" w:hAnsiTheme="minorHAnsi" w:cstheme="minorHAnsi"/>
          <w:sz w:val="22"/>
          <w:szCs w:val="22"/>
          <w:lang w:eastAsia="en-US"/>
        </w:rPr>
        <w:t>, new services for the chronically homeless will be provided to One Care members. An adjustment was made to the rates based on a financial analysis provided by MassHealth</w:t>
      </w:r>
      <w:r w:rsidR="000C659C" w:rsidRPr="00CB54EA">
        <w:rPr>
          <w:rFonts w:asciiTheme="minorHAnsi" w:hAnsiTheme="minorHAnsi" w:cstheme="minorHAnsi"/>
          <w:sz w:val="22"/>
          <w:szCs w:val="22"/>
          <w:lang w:eastAsia="en-US"/>
        </w:rPr>
        <w:t>,</w:t>
      </w:r>
      <w:r w:rsidRPr="00CB54EA">
        <w:rPr>
          <w:rFonts w:asciiTheme="minorHAnsi" w:hAnsiTheme="minorHAnsi" w:cstheme="minorHAnsi"/>
          <w:sz w:val="22"/>
          <w:szCs w:val="22"/>
          <w:lang w:eastAsia="en-US"/>
        </w:rPr>
        <w:t xml:space="preserve"> which included projected enrollment and costs per member for the new program. The new services resulted in the following increases to the Outpatient MH/SA COS: </w:t>
      </w:r>
    </w:p>
    <w:p w14:paraId="535899E8" w14:textId="77777777" w:rsidR="006B25A2" w:rsidRPr="00CB54EA" w:rsidRDefault="006B25A2" w:rsidP="006B25A2">
      <w:pPr>
        <w:pStyle w:val="ListParagraph"/>
        <w:numPr>
          <w:ilvl w:val="0"/>
          <w:numId w:val="11"/>
        </w:numPr>
        <w:rPr>
          <w:rFonts w:asciiTheme="minorHAnsi" w:hAnsiTheme="minorHAnsi" w:cstheme="minorHAnsi"/>
          <w:sz w:val="22"/>
          <w:szCs w:val="22"/>
          <w:highlight w:val="yellow"/>
          <w:lang w:eastAsia="en-US"/>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0C659C" w:rsidRPr="00CB54EA" w14:paraId="08A26519" w14:textId="77777777" w:rsidTr="000C659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AD31B7F" w14:textId="77777777" w:rsidR="000C659C" w:rsidRPr="00CB54EA" w:rsidRDefault="000C659C" w:rsidP="000C659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6FD2AF06"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917BD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68495201"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5FDBDB36"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10758CA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0C659C" w:rsidRPr="00CB54EA" w14:paraId="49BF4E76" w14:textId="77777777" w:rsidTr="000C659C">
        <w:trPr>
          <w:cantSplit/>
          <w:trHeight w:val="298"/>
        </w:trPr>
        <w:tc>
          <w:tcPr>
            <w:tcW w:w="793" w:type="pct"/>
            <w:tcBorders>
              <w:top w:val="single" w:sz="8" w:space="0" w:color="auto"/>
            </w:tcBorders>
            <w:shd w:val="clear" w:color="auto" w:fill="auto"/>
          </w:tcPr>
          <w:p w14:paraId="590D35EA"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ADA36EF" w14:textId="7E3933D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6.3%</w:t>
            </w:r>
          </w:p>
        </w:tc>
        <w:tc>
          <w:tcPr>
            <w:tcW w:w="842" w:type="pct"/>
            <w:tcBorders>
              <w:top w:val="single" w:sz="8" w:space="0" w:color="auto"/>
            </w:tcBorders>
            <w:shd w:val="clear" w:color="auto" w:fill="auto"/>
            <w:vAlign w:val="bottom"/>
          </w:tcPr>
          <w:p w14:paraId="507A625D" w14:textId="3879E8E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6.4%</w:t>
            </w:r>
          </w:p>
        </w:tc>
        <w:tc>
          <w:tcPr>
            <w:tcW w:w="842" w:type="pct"/>
            <w:tcBorders>
              <w:top w:val="single" w:sz="8" w:space="0" w:color="auto"/>
            </w:tcBorders>
            <w:shd w:val="clear" w:color="auto" w:fill="auto"/>
            <w:vAlign w:val="bottom"/>
          </w:tcPr>
          <w:p w14:paraId="021C673A" w14:textId="25F1B74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6.4%</w:t>
            </w:r>
          </w:p>
        </w:tc>
        <w:tc>
          <w:tcPr>
            <w:tcW w:w="841" w:type="pct"/>
            <w:tcBorders>
              <w:top w:val="single" w:sz="8" w:space="0" w:color="auto"/>
            </w:tcBorders>
            <w:vAlign w:val="bottom"/>
          </w:tcPr>
          <w:p w14:paraId="16B0BC98"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153FC042"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0C659C" w:rsidRPr="00CB54EA" w14:paraId="11461727" w14:textId="77777777" w:rsidTr="000C659C">
        <w:trPr>
          <w:cantSplit/>
          <w:trHeight w:val="298"/>
        </w:trPr>
        <w:tc>
          <w:tcPr>
            <w:tcW w:w="793" w:type="pct"/>
            <w:shd w:val="clear" w:color="auto" w:fill="auto"/>
          </w:tcPr>
          <w:p w14:paraId="4B31DE55"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532B3812" w14:textId="0C6AB0E1"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2" w:type="pct"/>
            <w:shd w:val="clear" w:color="auto" w:fill="auto"/>
            <w:vAlign w:val="bottom"/>
          </w:tcPr>
          <w:p w14:paraId="3C12F889" w14:textId="4E8A578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2" w:type="pct"/>
            <w:shd w:val="clear" w:color="auto" w:fill="auto"/>
            <w:vAlign w:val="bottom"/>
          </w:tcPr>
          <w:p w14:paraId="3ED56C1F" w14:textId="17C76F61"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1" w:type="pct"/>
            <w:vAlign w:val="bottom"/>
          </w:tcPr>
          <w:p w14:paraId="1CA1BEA0"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41AC00B"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0C659C" w:rsidRPr="00CB54EA" w14:paraId="6D26AAB7" w14:textId="77777777" w:rsidTr="000C659C">
        <w:trPr>
          <w:cantSplit/>
          <w:trHeight w:val="315"/>
        </w:trPr>
        <w:tc>
          <w:tcPr>
            <w:tcW w:w="793" w:type="pct"/>
            <w:shd w:val="clear" w:color="auto" w:fill="auto"/>
          </w:tcPr>
          <w:p w14:paraId="48F2ECA3"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2A6D0F45" w14:textId="33543579"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7.4%</w:t>
            </w:r>
          </w:p>
        </w:tc>
        <w:tc>
          <w:tcPr>
            <w:tcW w:w="842" w:type="pct"/>
            <w:shd w:val="clear" w:color="auto" w:fill="auto"/>
            <w:vAlign w:val="bottom"/>
          </w:tcPr>
          <w:p w14:paraId="34EF8CAE" w14:textId="1E6739D2"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7.5%</w:t>
            </w:r>
          </w:p>
        </w:tc>
        <w:tc>
          <w:tcPr>
            <w:tcW w:w="842" w:type="pct"/>
            <w:shd w:val="clear" w:color="auto" w:fill="auto"/>
            <w:vAlign w:val="bottom"/>
          </w:tcPr>
          <w:p w14:paraId="64F4B50B" w14:textId="12F36D28"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-7.5%</w:t>
            </w:r>
          </w:p>
        </w:tc>
        <w:tc>
          <w:tcPr>
            <w:tcW w:w="841" w:type="pct"/>
            <w:vAlign w:val="bottom"/>
          </w:tcPr>
          <w:p w14:paraId="1AD24BED"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0B79047"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4B7F2E89" w14:textId="77777777" w:rsidR="006B25A2" w:rsidRPr="00CB54EA" w:rsidRDefault="006B25A2" w:rsidP="003332C9">
      <w:pPr>
        <w:rPr>
          <w:rFonts w:asciiTheme="minorHAnsi" w:hAnsiTheme="minorHAnsi" w:cstheme="minorHAnsi"/>
          <w:sz w:val="22"/>
          <w:szCs w:val="22"/>
          <w:highlight w:val="yellow"/>
        </w:rPr>
      </w:pPr>
    </w:p>
    <w:p w14:paraId="7C013121" w14:textId="77777777" w:rsidR="003332C9" w:rsidRPr="00CB54EA" w:rsidRDefault="003332C9" w:rsidP="003332C9">
      <w:pPr>
        <w:pStyle w:val="Heading3"/>
        <w:rPr>
          <w:rFonts w:asciiTheme="minorHAnsi" w:hAnsiTheme="minorHAnsi"/>
          <w:sz w:val="22"/>
          <w:szCs w:val="22"/>
        </w:rPr>
      </w:pPr>
      <w:r w:rsidRPr="00CB54EA">
        <w:rPr>
          <w:rFonts w:asciiTheme="minorHAnsi" w:hAnsiTheme="minorHAnsi"/>
          <w:sz w:val="22"/>
          <w:szCs w:val="22"/>
        </w:rPr>
        <w:t>Transitional Living Program Unit Cost</w:t>
      </w:r>
    </w:p>
    <w:p w14:paraId="27BA0437" w14:textId="1BC287C9" w:rsidR="0087680E" w:rsidRPr="00CB54EA" w:rsidRDefault="003332C9" w:rsidP="003332C9">
      <w:pPr>
        <w:rPr>
          <w:rFonts w:asciiTheme="minorHAnsi" w:hAnsiTheme="minorHAnsi"/>
          <w:sz w:val="22"/>
          <w:szCs w:val="22"/>
        </w:rPr>
      </w:pPr>
      <w:r w:rsidRPr="00CB54EA">
        <w:rPr>
          <w:rFonts w:asciiTheme="minorHAnsi" w:hAnsiTheme="minorHAnsi"/>
          <w:sz w:val="22"/>
          <w:szCs w:val="22"/>
        </w:rPr>
        <w:t xml:space="preserve">Due to the small population and relative stability of non-TLP services across regions, the C3C rates were developed at the statewide level. However, </w:t>
      </w:r>
      <w:r w:rsidR="00A632C4" w:rsidRPr="00CB54EA">
        <w:rPr>
          <w:rFonts w:asciiTheme="minorHAnsi" w:hAnsiTheme="minorHAnsi"/>
          <w:sz w:val="22"/>
          <w:szCs w:val="22"/>
        </w:rPr>
        <w:t>TLP</w:t>
      </w:r>
      <w:r w:rsidRPr="00CB54EA">
        <w:rPr>
          <w:rFonts w:asciiTheme="minorHAnsi" w:hAnsiTheme="minorHAnsi"/>
          <w:sz w:val="22"/>
          <w:szCs w:val="22"/>
        </w:rPr>
        <w:t xml:space="preserve"> payment rates </w:t>
      </w:r>
      <w:r w:rsidR="00A632C4" w:rsidRPr="00CB54EA">
        <w:rPr>
          <w:rFonts w:asciiTheme="minorHAnsi" w:hAnsiTheme="minorHAnsi"/>
          <w:sz w:val="22"/>
          <w:szCs w:val="22"/>
        </w:rPr>
        <w:t xml:space="preserve">vary by facility. </w:t>
      </w:r>
      <w:r w:rsidRPr="00CB54EA">
        <w:rPr>
          <w:rFonts w:asciiTheme="minorHAnsi" w:hAnsiTheme="minorHAnsi"/>
          <w:sz w:val="22"/>
          <w:szCs w:val="22"/>
        </w:rPr>
        <w:t xml:space="preserve">Three providers are located in the Eastern region, while </w:t>
      </w:r>
      <w:r w:rsidR="007B0A86" w:rsidRPr="00CB54EA">
        <w:rPr>
          <w:rFonts w:asciiTheme="minorHAnsi" w:hAnsiTheme="minorHAnsi"/>
          <w:sz w:val="22"/>
          <w:szCs w:val="22"/>
        </w:rPr>
        <w:t xml:space="preserve">one </w:t>
      </w:r>
      <w:r w:rsidRPr="00CB54EA">
        <w:rPr>
          <w:rFonts w:asciiTheme="minorHAnsi" w:hAnsiTheme="minorHAnsi"/>
          <w:sz w:val="22"/>
          <w:szCs w:val="22"/>
        </w:rPr>
        <w:t xml:space="preserve">is located in The Cape region. Utilization in each region was aggregated and used to develop an </w:t>
      </w:r>
      <w:r w:rsidR="00505EDB" w:rsidRPr="00CB54EA">
        <w:rPr>
          <w:rFonts w:asciiTheme="minorHAnsi" w:hAnsiTheme="minorHAnsi"/>
          <w:sz w:val="22"/>
          <w:szCs w:val="22"/>
        </w:rPr>
        <w:t>average expected unit cost in CY 20</w:t>
      </w:r>
      <w:r w:rsidRPr="00CB54EA">
        <w:rPr>
          <w:rFonts w:asciiTheme="minorHAnsi" w:hAnsiTheme="minorHAnsi"/>
          <w:sz w:val="22"/>
          <w:szCs w:val="22"/>
        </w:rPr>
        <w:t xml:space="preserve">18. </w:t>
      </w:r>
    </w:p>
    <w:p w14:paraId="5366BCB9" w14:textId="2470164E" w:rsidR="003332C9" w:rsidRPr="00CB54EA" w:rsidRDefault="003332C9" w:rsidP="003332C9">
      <w:pPr>
        <w:rPr>
          <w:rFonts w:asciiTheme="minorHAnsi" w:hAnsiTheme="minorHAnsi"/>
          <w:sz w:val="22"/>
          <w:szCs w:val="22"/>
        </w:rPr>
      </w:pPr>
      <w:r w:rsidRPr="00CB54EA">
        <w:rPr>
          <w:rFonts w:asciiTheme="minorHAnsi" w:hAnsiTheme="minorHAnsi"/>
          <w:sz w:val="22"/>
          <w:szCs w:val="22"/>
        </w:rPr>
        <w:lastRenderedPageBreak/>
        <w:t xml:space="preserve">MassHealth applied an adjustment to project the aggregate statewide TLP base data to a </w:t>
      </w:r>
      <w:r w:rsidR="0087680E" w:rsidRPr="00CB54EA">
        <w:rPr>
          <w:rFonts w:asciiTheme="minorHAnsi" w:hAnsiTheme="minorHAnsi"/>
          <w:sz w:val="22"/>
          <w:szCs w:val="22"/>
        </w:rPr>
        <w:t>C</w:t>
      </w:r>
      <w:r w:rsidRPr="00CB54EA">
        <w:rPr>
          <w:rFonts w:asciiTheme="minorHAnsi" w:hAnsiTheme="minorHAnsi"/>
          <w:sz w:val="22"/>
          <w:szCs w:val="22"/>
        </w:rPr>
        <w:t>Y</w:t>
      </w:r>
      <w:r w:rsidR="00505EDB" w:rsidRPr="00CB54EA">
        <w:rPr>
          <w:rFonts w:asciiTheme="minorHAnsi" w:hAnsiTheme="minorHAnsi"/>
          <w:sz w:val="22"/>
          <w:szCs w:val="22"/>
        </w:rPr>
        <w:t xml:space="preserve"> </w:t>
      </w:r>
      <w:r w:rsidR="0087680E" w:rsidRPr="00CB54EA">
        <w:rPr>
          <w:rFonts w:asciiTheme="minorHAnsi" w:hAnsiTheme="minorHAnsi"/>
          <w:sz w:val="22"/>
          <w:szCs w:val="22"/>
        </w:rPr>
        <w:t>20</w:t>
      </w:r>
      <w:r w:rsidRPr="00CB54EA">
        <w:rPr>
          <w:rFonts w:asciiTheme="minorHAnsi" w:hAnsiTheme="minorHAnsi"/>
          <w:sz w:val="22"/>
          <w:szCs w:val="22"/>
        </w:rPr>
        <w:t xml:space="preserve">18 </w:t>
      </w:r>
      <w:r w:rsidRPr="00CB54EA">
        <w:rPr>
          <w:rFonts w:asciiTheme="minorHAnsi" w:hAnsiTheme="minorHAnsi"/>
          <w:sz w:val="22"/>
          <w:szCs w:val="22"/>
        </w:rPr>
        <w:br/>
        <w:t>region-specific figure. No additional trend was applied to the TLP COS. The Western region unit cost was assumed equal to the statewide average. While there are no TLP providers in the Western region, a rate was developed in the event that a member in the Western region uses TLP services and MassHealth must pay a rate. The impact to the base TLP COS is shown in the table below:</w:t>
      </w:r>
    </w:p>
    <w:p w14:paraId="116D4A66" w14:textId="77777777" w:rsidR="003332C9" w:rsidRPr="00CB54EA" w:rsidRDefault="003332C9" w:rsidP="00505EDB">
      <w:pPr>
        <w:rPr>
          <w:rFonts w:asciiTheme="minorHAnsi" w:hAnsiTheme="minorHAnsi" w:cstheme="minorHAnsi"/>
          <w:sz w:val="22"/>
          <w:szCs w:val="22"/>
          <w:highlight w:val="yellow"/>
        </w:rPr>
      </w:pPr>
    </w:p>
    <w:p w14:paraId="01C82140" w14:textId="77777777" w:rsidR="006076D0" w:rsidRPr="00CB54EA" w:rsidRDefault="006076D0" w:rsidP="00505EDB">
      <w:pPr>
        <w:rPr>
          <w:rFonts w:asciiTheme="minorHAnsi" w:hAnsiTheme="minorHAnsi" w:cstheme="minorHAnsi"/>
          <w:sz w:val="22"/>
          <w:szCs w:val="22"/>
          <w:highlight w:val="yellow"/>
        </w:rPr>
      </w:pPr>
    </w:p>
    <w:tbl>
      <w:tblPr>
        <w:tblpPr w:leftFromText="180" w:rightFromText="180" w:vertAnchor="text" w:tblpX="72" w:tblpY="1"/>
        <w:tblOverlap w:val="never"/>
        <w:tblW w:w="3067"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487"/>
        <w:gridCol w:w="1580"/>
      </w:tblGrid>
      <w:tr w:rsidR="002E3857" w:rsidRPr="00CB54EA" w14:paraId="393544E0" w14:textId="77777777" w:rsidTr="00505EDB">
        <w:trPr>
          <w:cantSplit/>
          <w:trHeight w:val="214"/>
          <w:tblHeader/>
        </w:trPr>
        <w:tc>
          <w:tcPr>
            <w:tcW w:w="2424" w:type="pct"/>
            <w:tcBorders>
              <w:top w:val="single" w:sz="8" w:space="0" w:color="auto"/>
              <w:bottom w:val="single" w:sz="8" w:space="0" w:color="auto"/>
              <w:right w:val="single" w:sz="4" w:space="0" w:color="auto"/>
            </w:tcBorders>
            <w:shd w:val="clear" w:color="auto" w:fill="BFBFBF" w:themeFill="background1" w:themeFillShade="BF"/>
            <w:vAlign w:val="bottom"/>
          </w:tcPr>
          <w:p w14:paraId="5256F800" w14:textId="77777777" w:rsidR="002E3857" w:rsidRPr="00CB54EA" w:rsidRDefault="002E3857" w:rsidP="002E3857">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2576" w:type="pct"/>
            <w:tcBorders>
              <w:top w:val="single" w:sz="8" w:space="0" w:color="auto"/>
              <w:left w:val="single" w:sz="4" w:space="0" w:color="auto"/>
              <w:bottom w:val="single" w:sz="8" w:space="0" w:color="auto"/>
            </w:tcBorders>
            <w:shd w:val="clear" w:color="auto" w:fill="BFBFBF" w:themeFill="background1" w:themeFillShade="BF"/>
            <w:vAlign w:val="bottom"/>
          </w:tcPr>
          <w:p w14:paraId="6D74E9AB" w14:textId="0A05D4A0" w:rsidR="002E3857" w:rsidRPr="00CB54EA" w:rsidRDefault="002E3857" w:rsidP="00505EDB">
            <w:pPr>
              <w:pStyle w:val="TableHeadingText"/>
              <w:jc w:val="center"/>
              <w:rPr>
                <w:rFonts w:asciiTheme="minorHAnsi" w:hAnsiTheme="minorHAnsi" w:cstheme="minorHAnsi"/>
                <w:bCs/>
                <w:noProof w:val="0"/>
                <w:sz w:val="22"/>
                <w:szCs w:val="22"/>
              </w:rPr>
            </w:pPr>
            <w:r w:rsidRPr="00CB54EA">
              <w:rPr>
                <w:rFonts w:asciiTheme="minorHAnsi" w:hAnsiTheme="minorHAnsi" w:cstheme="minorHAnsi"/>
                <w:bCs/>
                <w:noProof w:val="0"/>
                <w:sz w:val="22"/>
                <w:szCs w:val="22"/>
              </w:rPr>
              <w:t>TLP Services</w:t>
            </w:r>
          </w:p>
        </w:tc>
      </w:tr>
      <w:tr w:rsidR="002E3857" w:rsidRPr="00CB54EA" w14:paraId="7445F6E4" w14:textId="77777777" w:rsidTr="00505EDB">
        <w:trPr>
          <w:cantSplit/>
          <w:trHeight w:val="214"/>
        </w:trPr>
        <w:tc>
          <w:tcPr>
            <w:tcW w:w="2424" w:type="pct"/>
            <w:tcBorders>
              <w:top w:val="single" w:sz="8" w:space="0" w:color="auto"/>
              <w:right w:val="single" w:sz="4" w:space="0" w:color="auto"/>
            </w:tcBorders>
            <w:shd w:val="clear" w:color="auto" w:fill="auto"/>
          </w:tcPr>
          <w:p w14:paraId="4BA013AD"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2576" w:type="pct"/>
            <w:tcBorders>
              <w:top w:val="single" w:sz="8" w:space="0" w:color="auto"/>
              <w:left w:val="single" w:sz="4" w:space="0" w:color="auto"/>
            </w:tcBorders>
            <w:shd w:val="clear" w:color="auto" w:fill="auto"/>
            <w:vAlign w:val="bottom"/>
          </w:tcPr>
          <w:p w14:paraId="571FA691" w14:textId="187105DD"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1.4</w:t>
            </w:r>
            <w:r w:rsidR="002E3857" w:rsidRPr="00CB54EA">
              <w:rPr>
                <w:rFonts w:asciiTheme="minorHAnsi" w:hAnsiTheme="minorHAnsi" w:cstheme="minorHAnsi"/>
                <w:sz w:val="22"/>
                <w:szCs w:val="22"/>
              </w:rPr>
              <w:t>%</w:t>
            </w:r>
          </w:p>
        </w:tc>
      </w:tr>
      <w:tr w:rsidR="002E3857" w:rsidRPr="00CB54EA" w14:paraId="1868BF13" w14:textId="77777777" w:rsidTr="00505EDB">
        <w:trPr>
          <w:cantSplit/>
          <w:trHeight w:val="214"/>
        </w:trPr>
        <w:tc>
          <w:tcPr>
            <w:tcW w:w="2424" w:type="pct"/>
            <w:tcBorders>
              <w:right w:val="single" w:sz="4" w:space="0" w:color="auto"/>
            </w:tcBorders>
            <w:shd w:val="clear" w:color="auto" w:fill="auto"/>
          </w:tcPr>
          <w:p w14:paraId="3B1D9073"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2576" w:type="pct"/>
            <w:tcBorders>
              <w:left w:val="single" w:sz="4" w:space="0" w:color="auto"/>
            </w:tcBorders>
            <w:shd w:val="clear" w:color="auto" w:fill="auto"/>
            <w:vAlign w:val="bottom"/>
          </w:tcPr>
          <w:p w14:paraId="783B5CEC" w14:textId="142138E7"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0.5</w:t>
            </w:r>
            <w:r w:rsidR="002E3857" w:rsidRPr="00CB54EA">
              <w:rPr>
                <w:rFonts w:asciiTheme="minorHAnsi" w:hAnsiTheme="minorHAnsi" w:cstheme="minorHAnsi"/>
                <w:sz w:val="22"/>
                <w:szCs w:val="22"/>
              </w:rPr>
              <w:t>%</w:t>
            </w:r>
          </w:p>
        </w:tc>
      </w:tr>
      <w:tr w:rsidR="002E3857" w:rsidRPr="00CB54EA" w14:paraId="5D2013AB" w14:textId="77777777" w:rsidTr="00505EDB">
        <w:trPr>
          <w:cantSplit/>
          <w:trHeight w:val="227"/>
        </w:trPr>
        <w:tc>
          <w:tcPr>
            <w:tcW w:w="2424" w:type="pct"/>
            <w:tcBorders>
              <w:right w:val="single" w:sz="4" w:space="0" w:color="auto"/>
            </w:tcBorders>
            <w:shd w:val="clear" w:color="auto" w:fill="auto"/>
          </w:tcPr>
          <w:p w14:paraId="057700C4"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2576" w:type="pct"/>
            <w:tcBorders>
              <w:left w:val="single" w:sz="4" w:space="0" w:color="auto"/>
            </w:tcBorders>
            <w:shd w:val="clear" w:color="auto" w:fill="auto"/>
            <w:vAlign w:val="bottom"/>
          </w:tcPr>
          <w:p w14:paraId="41650FE8" w14:textId="0F5F8493"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-10.8%</w:t>
            </w:r>
          </w:p>
        </w:tc>
      </w:tr>
      <w:tr w:rsidR="002E3857" w:rsidRPr="00CB54EA" w14:paraId="3C077165" w14:textId="77777777" w:rsidTr="00505EDB">
        <w:trPr>
          <w:cantSplit/>
          <w:trHeight w:val="227"/>
        </w:trPr>
        <w:tc>
          <w:tcPr>
            <w:tcW w:w="2424" w:type="pct"/>
            <w:tcBorders>
              <w:right w:val="single" w:sz="4" w:space="0" w:color="auto"/>
            </w:tcBorders>
            <w:shd w:val="clear" w:color="auto" w:fill="auto"/>
          </w:tcPr>
          <w:p w14:paraId="57737640" w14:textId="177350F3"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Statewide</w:t>
            </w:r>
          </w:p>
        </w:tc>
        <w:tc>
          <w:tcPr>
            <w:tcW w:w="2576" w:type="pct"/>
            <w:tcBorders>
              <w:left w:val="single" w:sz="4" w:space="0" w:color="auto"/>
            </w:tcBorders>
            <w:shd w:val="clear" w:color="auto" w:fill="auto"/>
            <w:vAlign w:val="bottom"/>
          </w:tcPr>
          <w:p w14:paraId="038C64E6" w14:textId="38A15794"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0.5%</w:t>
            </w:r>
          </w:p>
        </w:tc>
      </w:tr>
    </w:tbl>
    <w:p w14:paraId="383E476B" w14:textId="77777777" w:rsidR="002E3857" w:rsidRPr="00CB54EA" w:rsidRDefault="002E3857" w:rsidP="00505EDB">
      <w:pPr>
        <w:rPr>
          <w:rFonts w:asciiTheme="minorHAnsi" w:hAnsiTheme="minorHAnsi" w:cstheme="minorHAnsi"/>
          <w:sz w:val="22"/>
          <w:szCs w:val="22"/>
          <w:highlight w:val="yellow"/>
        </w:rPr>
      </w:pPr>
    </w:p>
    <w:p w14:paraId="30239E94" w14:textId="77777777" w:rsidR="002E3857" w:rsidRPr="00CB54EA" w:rsidRDefault="002E3857" w:rsidP="006B25A2">
      <w:pPr>
        <w:pStyle w:val="Heading2"/>
        <w:rPr>
          <w:rFonts w:asciiTheme="minorHAnsi" w:hAnsiTheme="minorHAnsi" w:cstheme="minorHAnsi"/>
          <w:i/>
          <w:sz w:val="22"/>
          <w:szCs w:val="22"/>
        </w:rPr>
      </w:pPr>
    </w:p>
    <w:p w14:paraId="6187691B" w14:textId="77777777" w:rsidR="002E3857" w:rsidRPr="00CB54EA" w:rsidRDefault="002E3857" w:rsidP="006B25A2">
      <w:pPr>
        <w:pStyle w:val="Heading2"/>
        <w:rPr>
          <w:rFonts w:asciiTheme="minorHAnsi" w:hAnsiTheme="minorHAnsi" w:cstheme="minorHAnsi"/>
          <w:i/>
          <w:sz w:val="22"/>
          <w:szCs w:val="22"/>
        </w:rPr>
      </w:pPr>
    </w:p>
    <w:p w14:paraId="22D82CBE" w14:textId="77777777" w:rsidR="002E3857" w:rsidRPr="00CB54EA" w:rsidRDefault="002E3857" w:rsidP="006B25A2">
      <w:pPr>
        <w:pStyle w:val="Heading2"/>
        <w:rPr>
          <w:rFonts w:asciiTheme="minorHAnsi" w:hAnsiTheme="minorHAnsi" w:cstheme="minorHAnsi"/>
          <w:i/>
          <w:sz w:val="22"/>
          <w:szCs w:val="22"/>
        </w:rPr>
      </w:pPr>
    </w:p>
    <w:p w14:paraId="5A393922" w14:textId="77777777" w:rsidR="002E3857" w:rsidRPr="00CB54EA" w:rsidRDefault="002E3857" w:rsidP="006B25A2">
      <w:pPr>
        <w:pStyle w:val="Heading2"/>
        <w:rPr>
          <w:rFonts w:asciiTheme="minorHAnsi" w:hAnsiTheme="minorHAnsi" w:cstheme="minorHAnsi"/>
          <w:i/>
          <w:sz w:val="22"/>
          <w:szCs w:val="22"/>
        </w:rPr>
      </w:pPr>
    </w:p>
    <w:p w14:paraId="6051AB76" w14:textId="77777777" w:rsidR="002E3857" w:rsidRPr="00CB54EA" w:rsidRDefault="002E3857" w:rsidP="006B25A2">
      <w:pPr>
        <w:pStyle w:val="Heading2"/>
        <w:rPr>
          <w:rFonts w:asciiTheme="minorHAnsi" w:hAnsiTheme="minorHAnsi" w:cstheme="minorHAnsi"/>
          <w:i/>
          <w:sz w:val="22"/>
          <w:szCs w:val="22"/>
        </w:rPr>
      </w:pPr>
    </w:p>
    <w:p w14:paraId="7F5C9507" w14:textId="77777777" w:rsidR="002E3857" w:rsidRPr="00CB54EA" w:rsidRDefault="002E3857" w:rsidP="006B25A2">
      <w:pPr>
        <w:pStyle w:val="Heading2"/>
        <w:rPr>
          <w:rFonts w:asciiTheme="minorHAnsi" w:hAnsiTheme="minorHAnsi" w:cstheme="minorHAnsi"/>
          <w:i/>
          <w:sz w:val="22"/>
          <w:szCs w:val="22"/>
        </w:rPr>
      </w:pPr>
    </w:p>
    <w:p w14:paraId="3DF5285C" w14:textId="77777777" w:rsidR="002E3857" w:rsidRPr="00CB54EA" w:rsidRDefault="002E3857" w:rsidP="00505EDB">
      <w:pPr>
        <w:rPr>
          <w:rFonts w:asciiTheme="minorHAnsi" w:hAnsiTheme="minorHAnsi"/>
        </w:rPr>
      </w:pPr>
    </w:p>
    <w:p w14:paraId="69290E8A" w14:textId="77777777" w:rsidR="006B25A2" w:rsidRPr="00CB54EA" w:rsidRDefault="006B25A2" w:rsidP="006B25A2">
      <w:pPr>
        <w:pStyle w:val="Heading2"/>
        <w:rPr>
          <w:rFonts w:asciiTheme="minorHAnsi" w:hAnsiTheme="minorHAnsi" w:cstheme="minorHAnsi"/>
          <w:i/>
          <w:sz w:val="22"/>
          <w:szCs w:val="22"/>
        </w:rPr>
      </w:pPr>
      <w:r w:rsidRPr="00CB54EA">
        <w:rPr>
          <w:rFonts w:asciiTheme="minorHAnsi" w:hAnsiTheme="minorHAnsi" w:cstheme="minorHAnsi"/>
          <w:i/>
          <w:sz w:val="22"/>
          <w:szCs w:val="22"/>
        </w:rPr>
        <w:t>Provider Payment Changes</w:t>
      </w:r>
      <w:bookmarkEnd w:id="11"/>
      <w:bookmarkEnd w:id="12"/>
      <w:bookmarkEnd w:id="13"/>
      <w:r w:rsidRPr="00CB54EA">
        <w:rPr>
          <w:rFonts w:asciiTheme="minorHAnsi" w:hAnsiTheme="minorHAnsi" w:cstheme="minorHAnsi"/>
          <w:i/>
          <w:sz w:val="22"/>
          <w:szCs w:val="22"/>
        </w:rPr>
        <w:t>:</w:t>
      </w:r>
    </w:p>
    <w:p w14:paraId="671FBCFD" w14:textId="77777777" w:rsidR="006B25A2" w:rsidRPr="00CB54EA" w:rsidRDefault="006B25A2" w:rsidP="006B25A2">
      <w:pPr>
        <w:autoSpaceDE w:val="0"/>
        <w:autoSpaceDN w:val="0"/>
        <w:adjustRightInd w:val="0"/>
        <w:rPr>
          <w:rFonts w:asciiTheme="minorHAnsi" w:hAnsiTheme="minorHAnsi" w:cstheme="minorHAnsi"/>
          <w:sz w:val="22"/>
          <w:szCs w:val="22"/>
        </w:rPr>
      </w:pPr>
      <w:r w:rsidRPr="00CB54EA">
        <w:rPr>
          <w:rFonts w:asciiTheme="minorHAnsi" w:hAnsiTheme="minorHAnsi" w:cstheme="minorHAnsi"/>
          <w:sz w:val="22"/>
          <w:szCs w:val="22"/>
        </w:rPr>
        <w:t>MassHealth made several changes to FFS fee schedules that were not fully reflected or not reflected at all in the base data:</w:t>
      </w:r>
    </w:p>
    <w:p w14:paraId="47A23596" w14:textId="77777777" w:rsidR="006B25A2" w:rsidRPr="00CB54EA" w:rsidRDefault="006B25A2" w:rsidP="006B25A2">
      <w:pPr>
        <w:autoSpaceDE w:val="0"/>
        <w:autoSpaceDN w:val="0"/>
        <w:adjustRightInd w:val="0"/>
        <w:rPr>
          <w:rFonts w:asciiTheme="minorHAnsi" w:hAnsiTheme="minorHAnsi" w:cstheme="minorHAnsi"/>
          <w:sz w:val="22"/>
          <w:szCs w:val="22"/>
          <w:highlight w:val="yellow"/>
        </w:rPr>
      </w:pPr>
    </w:p>
    <w:p w14:paraId="4229ACF2" w14:textId="77777777" w:rsidR="006B25A2" w:rsidRPr="00CB54EA" w:rsidRDefault="006B25A2" w:rsidP="006B25A2">
      <w:pPr>
        <w:pStyle w:val="Heading3"/>
        <w:rPr>
          <w:rFonts w:asciiTheme="minorHAnsi" w:hAnsiTheme="minorHAnsi" w:cstheme="minorHAnsi"/>
          <w:i w:val="0"/>
          <w:sz w:val="22"/>
          <w:szCs w:val="22"/>
        </w:rPr>
      </w:pPr>
      <w:r w:rsidRPr="00CB54EA">
        <w:rPr>
          <w:rFonts w:asciiTheme="minorHAnsi" w:hAnsiTheme="minorHAnsi" w:cstheme="minorHAnsi"/>
          <w:i w:val="0"/>
          <w:sz w:val="22"/>
          <w:szCs w:val="22"/>
        </w:rPr>
        <w:t>Nursing Facility Rebase</w:t>
      </w:r>
    </w:p>
    <w:p w14:paraId="53DCAAB0" w14:textId="3B62FCC6"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MassHealth made several changes to nursing facility reimbursements from the start of the FFS base data to the end of CY 201</w:t>
      </w:r>
      <w:r w:rsidR="000C659C" w:rsidRPr="00CB54EA">
        <w:rPr>
          <w:rFonts w:asciiTheme="minorHAnsi" w:hAnsiTheme="minorHAnsi" w:cstheme="minorHAnsi"/>
          <w:sz w:val="22"/>
          <w:szCs w:val="22"/>
        </w:rPr>
        <w:t>8</w:t>
      </w:r>
      <w:r w:rsidRPr="00CB54EA">
        <w:rPr>
          <w:rFonts w:asciiTheme="minorHAnsi" w:hAnsiTheme="minorHAnsi" w:cstheme="minorHAnsi"/>
          <w:sz w:val="22"/>
          <w:szCs w:val="22"/>
        </w:rPr>
        <w:t>, including the following:</w:t>
      </w:r>
    </w:p>
    <w:p w14:paraId="538CF58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 </w:t>
      </w:r>
    </w:p>
    <w:p w14:paraId="61B53DB2"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rebase (effective October 2014)</w:t>
      </w:r>
    </w:p>
    <w:p w14:paraId="010CD233"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decrease (effective November 2014)</w:t>
      </w:r>
    </w:p>
    <w:p w14:paraId="63E89DA8"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increase (effective November 2015)</w:t>
      </w:r>
    </w:p>
    <w:p w14:paraId="6DF51989"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increase (effective October 2016)</w:t>
      </w:r>
    </w:p>
    <w:p w14:paraId="6EE18A76" w14:textId="77777777" w:rsidR="006B25A2" w:rsidRPr="00CB54EA" w:rsidRDefault="006B25A2" w:rsidP="006B25A2">
      <w:pPr>
        <w:rPr>
          <w:rFonts w:asciiTheme="minorHAnsi" w:hAnsiTheme="minorHAnsi" w:cstheme="minorHAnsi"/>
          <w:sz w:val="22"/>
          <w:szCs w:val="22"/>
        </w:rPr>
      </w:pPr>
    </w:p>
    <w:p w14:paraId="5D89CE12" w14:textId="5A7A3D65"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estimated combined impact of these changes to nursing facility reimbursements is a </w:t>
      </w:r>
      <w:r w:rsidR="000C659C" w:rsidRPr="00CB54EA">
        <w:rPr>
          <w:rFonts w:asciiTheme="minorHAnsi" w:hAnsiTheme="minorHAnsi" w:cstheme="minorHAnsi"/>
          <w:sz w:val="22"/>
          <w:szCs w:val="22"/>
        </w:rPr>
        <w:t>0.7</w:t>
      </w:r>
      <w:r w:rsidRPr="00CB54EA">
        <w:rPr>
          <w:rFonts w:asciiTheme="minorHAnsi" w:hAnsiTheme="minorHAnsi" w:cstheme="minorHAnsi"/>
          <w:sz w:val="22"/>
          <w:szCs w:val="22"/>
        </w:rPr>
        <w:t xml:space="preserve">% increase to the long term care (LTC) facility COS for each </w:t>
      </w:r>
      <w:r w:rsidR="000C659C" w:rsidRPr="00CB54EA">
        <w:rPr>
          <w:rFonts w:asciiTheme="minorHAnsi" w:hAnsiTheme="minorHAnsi" w:cstheme="minorHAnsi"/>
          <w:sz w:val="22"/>
          <w:szCs w:val="22"/>
        </w:rPr>
        <w:t xml:space="preserve">most </w:t>
      </w:r>
      <w:r w:rsidRPr="00CB54EA">
        <w:rPr>
          <w:rFonts w:asciiTheme="minorHAnsi" w:hAnsiTheme="minorHAnsi" w:cstheme="minorHAnsi"/>
          <w:sz w:val="22"/>
          <w:szCs w:val="22"/>
        </w:rPr>
        <w:t>RC</w:t>
      </w:r>
      <w:r w:rsidR="000C659C" w:rsidRPr="00CB54EA">
        <w:rPr>
          <w:rFonts w:asciiTheme="minorHAnsi" w:hAnsiTheme="minorHAnsi" w:cstheme="minorHAnsi"/>
          <w:sz w:val="22"/>
          <w:szCs w:val="22"/>
        </w:rPr>
        <w:t>s</w:t>
      </w:r>
      <w:r w:rsidRPr="00CB54EA">
        <w:rPr>
          <w:rFonts w:asciiTheme="minorHAnsi" w:hAnsiTheme="minorHAnsi" w:cstheme="minorHAnsi"/>
          <w:sz w:val="22"/>
          <w:szCs w:val="22"/>
        </w:rPr>
        <w:t>.</w:t>
      </w:r>
      <w:r w:rsidR="000C659C" w:rsidRPr="00CB54EA">
        <w:rPr>
          <w:rFonts w:asciiTheme="minorHAnsi" w:hAnsiTheme="minorHAnsi" w:cstheme="minorHAnsi"/>
          <w:sz w:val="22"/>
          <w:szCs w:val="22"/>
        </w:rPr>
        <w:t xml:space="preserve"> </w:t>
      </w:r>
      <w:r w:rsidR="000C659C" w:rsidRPr="00CB54EA">
        <w:rPr>
          <w:rFonts w:asciiTheme="minorHAnsi" w:hAnsiTheme="minorHAnsi"/>
          <w:sz w:val="22"/>
          <w:szCs w:val="22"/>
        </w:rPr>
        <w:t>Due to the inclusion of CY</w:t>
      </w:r>
      <w:r w:rsidR="00505EDB" w:rsidRPr="00CB54EA">
        <w:rPr>
          <w:rFonts w:asciiTheme="minorHAnsi" w:hAnsiTheme="minorHAnsi"/>
          <w:sz w:val="22"/>
          <w:szCs w:val="22"/>
        </w:rPr>
        <w:t xml:space="preserve"> </w:t>
      </w:r>
      <w:r w:rsidR="000C659C" w:rsidRPr="00CB54EA">
        <w:rPr>
          <w:rFonts w:asciiTheme="minorHAnsi" w:hAnsiTheme="minorHAnsi"/>
          <w:sz w:val="22"/>
          <w:szCs w:val="22"/>
        </w:rPr>
        <w:t>2014 in the base data, the C3C RC is impacted by the adjustments in CY</w:t>
      </w:r>
      <w:r w:rsidR="00505EDB" w:rsidRPr="00CB54EA">
        <w:rPr>
          <w:rFonts w:asciiTheme="minorHAnsi" w:hAnsiTheme="minorHAnsi"/>
          <w:sz w:val="22"/>
          <w:szCs w:val="22"/>
        </w:rPr>
        <w:t xml:space="preserve"> </w:t>
      </w:r>
      <w:r w:rsidR="000C659C" w:rsidRPr="00CB54EA">
        <w:rPr>
          <w:rFonts w:asciiTheme="minorHAnsi" w:hAnsiTheme="minorHAnsi"/>
          <w:sz w:val="22"/>
          <w:szCs w:val="22"/>
        </w:rPr>
        <w:t>2014 and the C3C LTC facility COS is increased by 1.3%.</w:t>
      </w:r>
    </w:p>
    <w:p w14:paraId="0AB37676" w14:textId="77777777" w:rsidR="006B25A2" w:rsidRPr="00CB54EA" w:rsidRDefault="006B25A2" w:rsidP="006B25A2">
      <w:pPr>
        <w:pStyle w:val="Heading3"/>
        <w:rPr>
          <w:rFonts w:asciiTheme="minorHAnsi" w:hAnsiTheme="minorHAnsi" w:cstheme="minorHAnsi"/>
          <w:i w:val="0"/>
          <w:sz w:val="22"/>
          <w:szCs w:val="22"/>
          <w:highlight w:val="yellow"/>
          <w:u w:val="single"/>
        </w:rPr>
      </w:pPr>
    </w:p>
    <w:p w14:paraId="21D45241" w14:textId="77777777" w:rsidR="006B25A2" w:rsidRPr="00CB54EA" w:rsidRDefault="006B25A2" w:rsidP="006B25A2">
      <w:pPr>
        <w:pStyle w:val="Heading3"/>
        <w:rPr>
          <w:rFonts w:asciiTheme="minorHAnsi" w:hAnsiTheme="minorHAnsi" w:cstheme="minorHAnsi"/>
          <w:i w:val="0"/>
          <w:sz w:val="22"/>
          <w:szCs w:val="22"/>
        </w:rPr>
      </w:pPr>
      <w:r w:rsidRPr="00CB54EA">
        <w:rPr>
          <w:rFonts w:asciiTheme="minorHAnsi" w:hAnsiTheme="minorHAnsi" w:cstheme="minorHAnsi"/>
          <w:i w:val="0"/>
          <w:sz w:val="22"/>
          <w:szCs w:val="22"/>
        </w:rPr>
        <w:t>Durable Medical Equipment Rate Change</w:t>
      </w:r>
    </w:p>
    <w:p w14:paraId="696442BB" w14:textId="6F65BDFA" w:rsidR="006B25A2" w:rsidRPr="00CB54EA" w:rsidRDefault="006B25A2" w:rsidP="006B25A2">
      <w:pPr>
        <w:rPr>
          <w:rFonts w:asciiTheme="minorHAnsi" w:hAnsiTheme="minorHAnsi"/>
        </w:rPr>
      </w:pPr>
      <w:r w:rsidRPr="00CB54EA">
        <w:rPr>
          <w:rFonts w:asciiTheme="minorHAnsi" w:hAnsiTheme="minorHAnsi" w:cstheme="minorHAnsi"/>
          <w:sz w:val="22"/>
          <w:szCs w:val="22"/>
        </w:rPr>
        <w:t xml:space="preserve">Effective </w:t>
      </w:r>
      <w:r w:rsidR="00C00698" w:rsidRPr="00CB54EA">
        <w:rPr>
          <w:rFonts w:asciiTheme="minorHAnsi" w:hAnsiTheme="minorHAnsi" w:cstheme="minorHAnsi"/>
          <w:sz w:val="22"/>
          <w:szCs w:val="22"/>
        </w:rPr>
        <w:t>March 1</w:t>
      </w:r>
      <w:r w:rsidRPr="00CB54EA">
        <w:rPr>
          <w:rFonts w:asciiTheme="minorHAnsi" w:hAnsiTheme="minorHAnsi" w:cstheme="minorHAnsi"/>
          <w:sz w:val="22"/>
          <w:szCs w:val="22"/>
        </w:rPr>
        <w:t>, 201</w:t>
      </w:r>
      <w:r w:rsidR="000C659C" w:rsidRPr="00CB54EA">
        <w:rPr>
          <w:rFonts w:asciiTheme="minorHAnsi" w:hAnsiTheme="minorHAnsi" w:cstheme="minorHAnsi"/>
          <w:sz w:val="22"/>
          <w:szCs w:val="22"/>
        </w:rPr>
        <w:t>8</w:t>
      </w:r>
      <w:r w:rsidRPr="00CB54EA">
        <w:rPr>
          <w:rFonts w:asciiTheme="minorHAnsi" w:hAnsiTheme="minorHAnsi" w:cstheme="minorHAnsi"/>
          <w:sz w:val="22"/>
          <w:szCs w:val="22"/>
        </w:rPr>
        <w:t>, MassHealth change</w:t>
      </w:r>
      <w:r w:rsidR="0087680E" w:rsidRPr="00CB54EA">
        <w:rPr>
          <w:rFonts w:asciiTheme="minorHAnsi" w:hAnsiTheme="minorHAnsi" w:cstheme="minorHAnsi"/>
          <w:sz w:val="22"/>
          <w:szCs w:val="22"/>
        </w:rPr>
        <w:t>d</w:t>
      </w:r>
      <w:r w:rsidRPr="00CB54EA">
        <w:rPr>
          <w:rFonts w:asciiTheme="minorHAnsi" w:hAnsiTheme="minorHAnsi" w:cstheme="minorHAnsi"/>
          <w:sz w:val="22"/>
          <w:szCs w:val="22"/>
        </w:rPr>
        <w:t xml:space="preserve"> its fee schedule for durable medical equipment (DME), oxygen and respiratory therapy equipment. These changes resulted in the following decreases to the DME and Supplies COS a</w:t>
      </w:r>
      <w:r w:rsidR="00CA7469" w:rsidRPr="00CB54EA">
        <w:rPr>
          <w:rFonts w:asciiTheme="minorHAnsi" w:hAnsiTheme="minorHAnsi" w:cstheme="minorHAnsi"/>
          <w:sz w:val="22"/>
          <w:szCs w:val="22"/>
        </w:rPr>
        <w:t>s</w:t>
      </w:r>
      <w:r w:rsidRPr="00CB54EA">
        <w:rPr>
          <w:rFonts w:asciiTheme="minorHAnsi" w:hAnsiTheme="minorHAnsi" w:cstheme="minorHAnsi"/>
          <w:sz w:val="22"/>
          <w:szCs w:val="22"/>
        </w:rPr>
        <w:t xml:space="preserve"> displayed below</w:t>
      </w:r>
      <w:r w:rsidRPr="00CB54EA">
        <w:rPr>
          <w:rFonts w:asciiTheme="minorHAnsi" w:hAnsiTheme="minorHAnsi"/>
        </w:rPr>
        <w:t>:</w:t>
      </w:r>
    </w:p>
    <w:p w14:paraId="4660E5D6" w14:textId="77777777" w:rsidR="006B25A2" w:rsidRPr="00CB54EA" w:rsidRDefault="006B25A2" w:rsidP="006B25A2">
      <w:pPr>
        <w:rPr>
          <w:rFonts w:asciiTheme="minorHAnsi" w:hAnsiTheme="minorHAnsi"/>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0C659C" w:rsidRPr="00CB54EA" w14:paraId="59BB1D77" w14:textId="77777777" w:rsidTr="000C659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6A773BDF" w14:textId="77777777" w:rsidR="000C659C" w:rsidRPr="00CB54EA" w:rsidRDefault="000C659C" w:rsidP="000C659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B40D065"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87B299"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0DB4D74"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8374BF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C6AD6B0"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0C659C" w:rsidRPr="00CB54EA" w14:paraId="2A74DD19" w14:textId="77777777" w:rsidTr="000C659C">
        <w:trPr>
          <w:cantSplit/>
          <w:trHeight w:val="298"/>
        </w:trPr>
        <w:tc>
          <w:tcPr>
            <w:tcW w:w="793" w:type="pct"/>
            <w:tcBorders>
              <w:top w:val="single" w:sz="8" w:space="0" w:color="auto"/>
            </w:tcBorders>
            <w:shd w:val="clear" w:color="auto" w:fill="auto"/>
          </w:tcPr>
          <w:p w14:paraId="7A663E0F"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F67D1DD" w14:textId="38998530"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0CEAF46A" w14:textId="5857019A"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2CAF33EA" w14:textId="33FA109E"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-2.7%</w:t>
            </w:r>
          </w:p>
        </w:tc>
        <w:tc>
          <w:tcPr>
            <w:tcW w:w="841" w:type="pct"/>
            <w:tcBorders>
              <w:top w:val="single" w:sz="8" w:space="0" w:color="auto"/>
            </w:tcBorders>
            <w:vAlign w:val="bottom"/>
          </w:tcPr>
          <w:p w14:paraId="586774B1" w14:textId="29112D56"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tcBorders>
              <w:top w:val="single" w:sz="8" w:space="0" w:color="auto"/>
            </w:tcBorders>
            <w:shd w:val="clear" w:color="auto" w:fill="auto"/>
            <w:vAlign w:val="bottom"/>
          </w:tcPr>
          <w:p w14:paraId="13F49E98" w14:textId="07CEC70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r>
      <w:tr w:rsidR="000C659C" w:rsidRPr="00CB54EA" w14:paraId="2EED1DB3" w14:textId="77777777" w:rsidTr="000C659C">
        <w:trPr>
          <w:cantSplit/>
          <w:trHeight w:val="298"/>
        </w:trPr>
        <w:tc>
          <w:tcPr>
            <w:tcW w:w="793" w:type="pct"/>
            <w:shd w:val="clear" w:color="auto" w:fill="auto"/>
          </w:tcPr>
          <w:p w14:paraId="6052E48B"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671687E1" w14:textId="679885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shd w:val="clear" w:color="auto" w:fill="auto"/>
            <w:vAlign w:val="bottom"/>
          </w:tcPr>
          <w:p w14:paraId="6667A558" w14:textId="48A20F84"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shd w:val="clear" w:color="auto" w:fill="auto"/>
            <w:vAlign w:val="bottom"/>
          </w:tcPr>
          <w:p w14:paraId="313EFC4F" w14:textId="20D9E2F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41" w:type="pct"/>
            <w:vAlign w:val="bottom"/>
          </w:tcPr>
          <w:p w14:paraId="58622649" w14:textId="4424813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shd w:val="clear" w:color="auto" w:fill="auto"/>
            <w:vAlign w:val="bottom"/>
          </w:tcPr>
          <w:p w14:paraId="48639237" w14:textId="2B97A4A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-2.6%</w:t>
            </w:r>
          </w:p>
        </w:tc>
      </w:tr>
      <w:tr w:rsidR="000C659C" w:rsidRPr="00CB54EA" w14:paraId="4B759ADD" w14:textId="77777777" w:rsidTr="000C659C">
        <w:trPr>
          <w:cantSplit/>
          <w:trHeight w:val="315"/>
        </w:trPr>
        <w:tc>
          <w:tcPr>
            <w:tcW w:w="793" w:type="pct"/>
            <w:shd w:val="clear" w:color="auto" w:fill="auto"/>
          </w:tcPr>
          <w:p w14:paraId="59992E13"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648964C5" w14:textId="427CE2F4"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-2.1%</w:t>
            </w:r>
          </w:p>
        </w:tc>
        <w:tc>
          <w:tcPr>
            <w:tcW w:w="842" w:type="pct"/>
            <w:shd w:val="clear" w:color="auto" w:fill="auto"/>
            <w:vAlign w:val="bottom"/>
          </w:tcPr>
          <w:p w14:paraId="05EBB98E" w14:textId="4F29A66D"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-2.0%</w:t>
            </w:r>
          </w:p>
        </w:tc>
        <w:tc>
          <w:tcPr>
            <w:tcW w:w="842" w:type="pct"/>
            <w:shd w:val="clear" w:color="auto" w:fill="auto"/>
            <w:vAlign w:val="bottom"/>
          </w:tcPr>
          <w:p w14:paraId="3F3A23D9" w14:textId="02ADCB1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41" w:type="pct"/>
            <w:vAlign w:val="bottom"/>
          </w:tcPr>
          <w:p w14:paraId="347E1C91" w14:textId="2E693F5B"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shd w:val="clear" w:color="auto" w:fill="auto"/>
            <w:vAlign w:val="bottom"/>
          </w:tcPr>
          <w:p w14:paraId="651AAD42" w14:textId="3B506BE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-2.6%</w:t>
            </w:r>
          </w:p>
        </w:tc>
      </w:tr>
    </w:tbl>
    <w:p w14:paraId="5D6C7A82" w14:textId="035F504D" w:rsidR="00E114CC" w:rsidRPr="00CB54EA" w:rsidRDefault="006B25A2" w:rsidP="00255262">
      <w:pPr>
        <w:pStyle w:val="Heading3"/>
        <w:numPr>
          <w:ilvl w:val="0"/>
          <w:numId w:val="0"/>
        </w:numPr>
        <w:rPr>
          <w:rFonts w:asciiTheme="minorHAnsi" w:hAnsiTheme="minorHAnsi"/>
        </w:rPr>
      </w:pPr>
      <w:r w:rsidRPr="00CB54EA">
        <w:rPr>
          <w:rFonts w:asciiTheme="minorHAnsi" w:hAnsiTheme="minorHAnsi" w:cstheme="minorHAnsi"/>
          <w:i w:val="0"/>
          <w:sz w:val="22"/>
          <w:szCs w:val="22"/>
        </w:rPr>
        <w:lastRenderedPageBreak/>
        <w:t xml:space="preserve">Home- and Community Based-Services Fee </w:t>
      </w:r>
      <w:r w:rsidR="003E5EB1" w:rsidRPr="00CB54EA">
        <w:rPr>
          <w:rFonts w:asciiTheme="minorHAnsi" w:hAnsiTheme="minorHAnsi" w:cstheme="minorHAnsi"/>
          <w:i w:val="0"/>
          <w:sz w:val="22"/>
          <w:szCs w:val="22"/>
        </w:rPr>
        <w:t>Changes</w:t>
      </w:r>
    </w:p>
    <w:p w14:paraId="64AAA187" w14:textId="7A983FCF"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These changes were found specifically within the adult foster care, personal care/fiscal intermediary services</w:t>
      </w:r>
      <w:r w:rsidR="009C66C2" w:rsidRPr="00CB54EA">
        <w:rPr>
          <w:rFonts w:asciiTheme="minorHAnsi" w:hAnsiTheme="minorHAnsi" w:cstheme="minorHAnsi"/>
          <w:sz w:val="22"/>
          <w:szCs w:val="22"/>
        </w:rPr>
        <w:t>, and continuous skilled nursing rate increases</w:t>
      </w:r>
      <w:r w:rsidRPr="00CB54EA">
        <w:rPr>
          <w:rFonts w:asciiTheme="minorHAnsi" w:hAnsiTheme="minorHAnsi" w:cstheme="minorHAnsi"/>
          <w:sz w:val="22"/>
          <w:szCs w:val="22"/>
        </w:rPr>
        <w:t xml:space="preserve">. Taking into account the multiple effective dates for these fee </w:t>
      </w:r>
      <w:r w:rsidR="003E5EB1" w:rsidRPr="00CB54EA">
        <w:rPr>
          <w:rFonts w:asciiTheme="minorHAnsi" w:hAnsiTheme="minorHAnsi" w:cstheme="minorHAnsi"/>
          <w:sz w:val="22"/>
          <w:szCs w:val="22"/>
        </w:rPr>
        <w:t xml:space="preserve">changes </w:t>
      </w:r>
      <w:r w:rsidRPr="00CB54EA">
        <w:rPr>
          <w:rFonts w:asciiTheme="minorHAnsi" w:hAnsiTheme="minorHAnsi" w:cstheme="minorHAnsi"/>
          <w:sz w:val="22"/>
          <w:szCs w:val="22"/>
        </w:rPr>
        <w:t>across the various services, the following adjustments were made to the HCBS line:</w:t>
      </w:r>
    </w:p>
    <w:p w14:paraId="0103B314" w14:textId="77777777" w:rsidR="006B25A2" w:rsidRPr="00CB54EA" w:rsidRDefault="006B25A2" w:rsidP="006B25A2">
      <w:pPr>
        <w:rPr>
          <w:rFonts w:asciiTheme="minorHAnsi" w:hAnsiTheme="minorHAnsi" w:cstheme="minorHAnsi"/>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9C66C2" w:rsidRPr="00CB54EA" w14:paraId="35E4F25A" w14:textId="77777777" w:rsidTr="009C66C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A24FEFE" w14:textId="77777777" w:rsidR="009C66C2" w:rsidRPr="00CB54EA" w:rsidRDefault="009C66C2" w:rsidP="009C66C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18571810"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042E3B8"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126F5BF"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4EAE4314"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E5033EE"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9C66C2" w:rsidRPr="00CB54EA" w14:paraId="28E2A1FC" w14:textId="77777777" w:rsidTr="009C66C2">
        <w:trPr>
          <w:cantSplit/>
          <w:trHeight w:val="298"/>
        </w:trPr>
        <w:tc>
          <w:tcPr>
            <w:tcW w:w="793" w:type="pct"/>
            <w:tcBorders>
              <w:top w:val="single" w:sz="8" w:space="0" w:color="auto"/>
            </w:tcBorders>
            <w:shd w:val="clear" w:color="auto" w:fill="auto"/>
          </w:tcPr>
          <w:p w14:paraId="2B3225B6"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DDD87BE" w14:textId="63557911"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2" w:type="pct"/>
            <w:tcBorders>
              <w:top w:val="single" w:sz="8" w:space="0" w:color="auto"/>
            </w:tcBorders>
            <w:shd w:val="clear" w:color="auto" w:fill="auto"/>
            <w:vAlign w:val="bottom"/>
          </w:tcPr>
          <w:p w14:paraId="76AD4894" w14:textId="00D09326"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2" w:type="pct"/>
            <w:tcBorders>
              <w:top w:val="single" w:sz="8" w:space="0" w:color="auto"/>
            </w:tcBorders>
            <w:shd w:val="clear" w:color="auto" w:fill="auto"/>
            <w:vAlign w:val="bottom"/>
          </w:tcPr>
          <w:p w14:paraId="70C65DAF" w14:textId="492D54CF"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1.9%</w:t>
            </w:r>
          </w:p>
        </w:tc>
        <w:tc>
          <w:tcPr>
            <w:tcW w:w="841" w:type="pct"/>
            <w:tcBorders>
              <w:top w:val="single" w:sz="8" w:space="0" w:color="auto"/>
            </w:tcBorders>
            <w:vAlign w:val="bottom"/>
          </w:tcPr>
          <w:p w14:paraId="0504EF99"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29687F26" w14:textId="4248A98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0.8%</w:t>
            </w:r>
          </w:p>
        </w:tc>
      </w:tr>
      <w:tr w:rsidR="009C66C2" w:rsidRPr="00CB54EA" w14:paraId="5A9723E1" w14:textId="77777777" w:rsidTr="009C66C2">
        <w:trPr>
          <w:cantSplit/>
          <w:trHeight w:val="298"/>
        </w:trPr>
        <w:tc>
          <w:tcPr>
            <w:tcW w:w="793" w:type="pct"/>
            <w:shd w:val="clear" w:color="auto" w:fill="auto"/>
          </w:tcPr>
          <w:p w14:paraId="196CF779"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45E95E8" w14:textId="05D98B2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1.8%</w:t>
            </w:r>
          </w:p>
        </w:tc>
        <w:tc>
          <w:tcPr>
            <w:tcW w:w="842" w:type="pct"/>
            <w:shd w:val="clear" w:color="auto" w:fill="auto"/>
            <w:vAlign w:val="bottom"/>
          </w:tcPr>
          <w:p w14:paraId="3BA99A8E" w14:textId="5C5EA655"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0.6%</w:t>
            </w:r>
          </w:p>
        </w:tc>
        <w:tc>
          <w:tcPr>
            <w:tcW w:w="842" w:type="pct"/>
            <w:shd w:val="clear" w:color="auto" w:fill="auto"/>
            <w:vAlign w:val="bottom"/>
          </w:tcPr>
          <w:p w14:paraId="749B190B" w14:textId="13C1D32C"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3.3%</w:t>
            </w:r>
          </w:p>
        </w:tc>
        <w:tc>
          <w:tcPr>
            <w:tcW w:w="841" w:type="pct"/>
            <w:vAlign w:val="bottom"/>
          </w:tcPr>
          <w:p w14:paraId="7D1CA491"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E24C54" w14:textId="25672B80"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2.1%</w:t>
            </w:r>
          </w:p>
        </w:tc>
      </w:tr>
      <w:tr w:rsidR="009C66C2" w:rsidRPr="00CB54EA" w14:paraId="3D7F3718" w14:textId="77777777" w:rsidTr="009C66C2">
        <w:trPr>
          <w:cantSplit/>
          <w:trHeight w:val="315"/>
        </w:trPr>
        <w:tc>
          <w:tcPr>
            <w:tcW w:w="793" w:type="pct"/>
            <w:shd w:val="clear" w:color="auto" w:fill="auto"/>
          </w:tcPr>
          <w:p w14:paraId="7348681F"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BCF50FE" w14:textId="19A0B13D"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2" w:type="pct"/>
            <w:shd w:val="clear" w:color="auto" w:fill="auto"/>
            <w:vAlign w:val="bottom"/>
          </w:tcPr>
          <w:p w14:paraId="1B62F120" w14:textId="0475EBE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3DC90BBA" w14:textId="574F6981"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2.1%</w:t>
            </w:r>
          </w:p>
        </w:tc>
        <w:tc>
          <w:tcPr>
            <w:tcW w:w="841" w:type="pct"/>
            <w:vAlign w:val="bottom"/>
          </w:tcPr>
          <w:p w14:paraId="64D3B3C3"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28A42DD6" w14:textId="3234FA6C"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0.8%</w:t>
            </w:r>
          </w:p>
        </w:tc>
      </w:tr>
    </w:tbl>
    <w:p w14:paraId="49E0CCE2" w14:textId="77777777" w:rsidR="006B25A2" w:rsidRPr="00CB54EA" w:rsidRDefault="006B25A2" w:rsidP="006B25A2">
      <w:pPr>
        <w:rPr>
          <w:rFonts w:asciiTheme="minorHAnsi" w:hAnsiTheme="minorHAnsi" w:cstheme="minorHAnsi"/>
          <w:b/>
          <w:i/>
          <w:sz w:val="22"/>
          <w:szCs w:val="22"/>
          <w:highlight w:val="yellow"/>
        </w:rPr>
      </w:pPr>
    </w:p>
    <w:p w14:paraId="062C79F9" w14:textId="3DD4DDFD" w:rsidR="00ED0700" w:rsidRPr="00CB54EA" w:rsidRDefault="004C1C93" w:rsidP="00ED0700">
      <w:pPr>
        <w:pStyle w:val="Heading3"/>
        <w:rPr>
          <w:rFonts w:asciiTheme="minorHAnsi" w:hAnsiTheme="minorHAnsi"/>
          <w:i w:val="0"/>
          <w:sz w:val="22"/>
          <w:szCs w:val="22"/>
        </w:rPr>
      </w:pPr>
      <w:r w:rsidRPr="00CB54EA">
        <w:rPr>
          <w:rFonts w:asciiTheme="minorHAnsi" w:hAnsiTheme="minorHAnsi"/>
          <w:i w:val="0"/>
          <w:sz w:val="22"/>
          <w:szCs w:val="22"/>
        </w:rPr>
        <w:t xml:space="preserve">Acute </w:t>
      </w:r>
      <w:r w:rsidR="00ED0700" w:rsidRPr="00CB54EA">
        <w:rPr>
          <w:rFonts w:asciiTheme="minorHAnsi" w:hAnsiTheme="minorHAnsi"/>
          <w:i w:val="0"/>
          <w:sz w:val="22"/>
          <w:szCs w:val="22"/>
        </w:rPr>
        <w:t xml:space="preserve">Hospital </w:t>
      </w:r>
      <w:r w:rsidRPr="00CB54EA">
        <w:rPr>
          <w:rFonts w:asciiTheme="minorHAnsi" w:hAnsiTheme="minorHAnsi"/>
          <w:i w:val="0"/>
          <w:sz w:val="22"/>
          <w:szCs w:val="22"/>
        </w:rPr>
        <w:t xml:space="preserve">Inpatient </w:t>
      </w:r>
      <w:r w:rsidR="00ED0700" w:rsidRPr="00CB54EA">
        <w:rPr>
          <w:rFonts w:asciiTheme="minorHAnsi" w:hAnsiTheme="minorHAnsi"/>
          <w:i w:val="0"/>
          <w:sz w:val="22"/>
          <w:szCs w:val="22"/>
        </w:rPr>
        <w:t>Fee Change</w:t>
      </w:r>
    </w:p>
    <w:p w14:paraId="735002AC" w14:textId="13B67506" w:rsidR="00ED0700" w:rsidRPr="00CB54EA" w:rsidRDefault="00ED0700" w:rsidP="00ED0700">
      <w:pPr>
        <w:rPr>
          <w:rFonts w:asciiTheme="minorHAnsi" w:hAnsiTheme="minorHAnsi"/>
          <w:sz w:val="22"/>
          <w:szCs w:val="22"/>
        </w:rPr>
      </w:pPr>
      <w:r w:rsidRPr="00CB54EA">
        <w:rPr>
          <w:rFonts w:asciiTheme="minorHAnsi" w:hAnsiTheme="minorHAnsi"/>
          <w:sz w:val="22"/>
          <w:szCs w:val="22"/>
        </w:rPr>
        <w:t>Effective March 1, 2018, MassHealth implement</w:t>
      </w:r>
      <w:r w:rsidR="00E114CC" w:rsidRPr="00CB54EA">
        <w:rPr>
          <w:rFonts w:asciiTheme="minorHAnsi" w:hAnsiTheme="minorHAnsi"/>
          <w:sz w:val="22"/>
          <w:szCs w:val="22"/>
        </w:rPr>
        <w:t>ed</w:t>
      </w:r>
      <w:r w:rsidRPr="00CB54EA">
        <w:rPr>
          <w:rFonts w:asciiTheme="minorHAnsi" w:hAnsiTheme="minorHAnsi"/>
          <w:sz w:val="22"/>
          <w:szCs w:val="22"/>
        </w:rPr>
        <w:t xml:space="preserve"> a fee schedule increase for acute inpatient hospital services. Acute inpatient claims were adjusted for the 2.6% increase. Crossover claims were analyzed for the impact of the fee schedule change after Medicare Part A deductibles and cost sharing. The total impact to the inpatient expense lines are provided in the tables below:</w:t>
      </w:r>
    </w:p>
    <w:p w14:paraId="0A080695" w14:textId="77777777" w:rsidR="00ED0700" w:rsidRPr="00CB54EA" w:rsidRDefault="00ED0700" w:rsidP="00ED0700">
      <w:pPr>
        <w:rPr>
          <w:rFonts w:asciiTheme="minorHAnsi" w:hAnsiTheme="minorHAnsi"/>
          <w:sz w:val="22"/>
          <w:szCs w:val="22"/>
        </w:rPr>
      </w:pPr>
    </w:p>
    <w:p w14:paraId="5F8369AF" w14:textId="193091F2"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Inpatient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D0700" w:rsidRPr="00CB54EA" w14:paraId="6DF6F86F" w14:textId="77777777" w:rsidTr="00ED0700">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29AD3318" w14:textId="77777777" w:rsidR="00ED0700" w:rsidRPr="00CB54EA" w:rsidRDefault="00ED0700" w:rsidP="00ED0700">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8DF8E1"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591D5CA"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6C35836"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4F1BE170"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7BA46D03"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D0700" w:rsidRPr="00CB54EA" w14:paraId="4FD51727" w14:textId="77777777" w:rsidTr="00ED0700">
        <w:trPr>
          <w:cantSplit/>
          <w:trHeight w:val="298"/>
        </w:trPr>
        <w:tc>
          <w:tcPr>
            <w:tcW w:w="793" w:type="pct"/>
            <w:tcBorders>
              <w:top w:val="single" w:sz="8" w:space="0" w:color="auto"/>
            </w:tcBorders>
            <w:shd w:val="clear" w:color="auto" w:fill="auto"/>
          </w:tcPr>
          <w:p w14:paraId="36A5AD57"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0CF7B58E" w14:textId="5B15674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1.9</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5FCBEFD" w14:textId="6B872D84"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C379E71" w14:textId="1A245818" w:rsidR="00ED0700" w:rsidRPr="00CB54EA" w:rsidRDefault="00ED0700" w:rsidP="0020009F">
            <w:pPr>
              <w:jc w:val="right"/>
              <w:rPr>
                <w:rFonts w:asciiTheme="minorHAnsi" w:hAnsiTheme="minorHAnsi" w:cstheme="minorHAnsi"/>
                <w:sz w:val="22"/>
                <w:szCs w:val="22"/>
              </w:rPr>
            </w:pPr>
            <w:r w:rsidRPr="00CB54EA">
              <w:rPr>
                <w:rFonts w:asciiTheme="minorHAnsi" w:hAnsiTheme="minorHAnsi" w:cstheme="minorHAnsi"/>
                <w:sz w:val="22"/>
                <w:szCs w:val="22"/>
              </w:rPr>
              <w:t>1.</w:t>
            </w:r>
            <w:r w:rsidR="0020009F" w:rsidRPr="00CB54EA">
              <w:rPr>
                <w:rFonts w:asciiTheme="minorHAnsi" w:hAnsiTheme="minorHAnsi" w:cstheme="minorHAnsi"/>
                <w:sz w:val="22"/>
                <w:szCs w:val="22"/>
              </w:rPr>
              <w:t>3</w:t>
            </w:r>
            <w:r w:rsidRPr="00CB54EA">
              <w:rPr>
                <w:rFonts w:asciiTheme="minorHAnsi" w:hAnsiTheme="minorHAnsi" w:cstheme="minorHAnsi"/>
                <w:sz w:val="22"/>
                <w:szCs w:val="22"/>
              </w:rPr>
              <w:t>%</w:t>
            </w:r>
          </w:p>
        </w:tc>
        <w:tc>
          <w:tcPr>
            <w:tcW w:w="841" w:type="pct"/>
            <w:tcBorders>
              <w:top w:val="single" w:sz="8" w:space="0" w:color="auto"/>
            </w:tcBorders>
            <w:vAlign w:val="bottom"/>
          </w:tcPr>
          <w:p w14:paraId="1CC6272D"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78D99FD1" w14:textId="13C2716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0.1</w:t>
            </w:r>
            <w:r w:rsidR="00ED0700" w:rsidRPr="00CB54EA">
              <w:rPr>
                <w:rFonts w:asciiTheme="minorHAnsi" w:hAnsiTheme="minorHAnsi" w:cstheme="minorHAnsi"/>
                <w:sz w:val="22"/>
                <w:szCs w:val="22"/>
              </w:rPr>
              <w:t>%</w:t>
            </w:r>
          </w:p>
        </w:tc>
      </w:tr>
      <w:tr w:rsidR="00ED0700" w:rsidRPr="00CB54EA" w14:paraId="6240D558" w14:textId="77777777" w:rsidTr="00ED0700">
        <w:trPr>
          <w:cantSplit/>
          <w:trHeight w:val="298"/>
        </w:trPr>
        <w:tc>
          <w:tcPr>
            <w:tcW w:w="793" w:type="pct"/>
            <w:shd w:val="clear" w:color="auto" w:fill="auto"/>
          </w:tcPr>
          <w:p w14:paraId="3CE60152"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5ECD6B92" w14:textId="1F995A5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2" w:type="pct"/>
            <w:shd w:val="clear" w:color="auto" w:fill="auto"/>
            <w:vAlign w:val="bottom"/>
          </w:tcPr>
          <w:p w14:paraId="09A4B681" w14:textId="4093A84F"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2.7</w:t>
            </w:r>
            <w:r w:rsidR="00ED0700" w:rsidRPr="00CB54EA">
              <w:rPr>
                <w:rFonts w:asciiTheme="minorHAnsi" w:hAnsiTheme="minorHAnsi" w:cstheme="minorHAnsi"/>
                <w:sz w:val="22"/>
                <w:szCs w:val="22"/>
              </w:rPr>
              <w:t>%</w:t>
            </w:r>
          </w:p>
        </w:tc>
        <w:tc>
          <w:tcPr>
            <w:tcW w:w="842" w:type="pct"/>
            <w:shd w:val="clear" w:color="auto" w:fill="auto"/>
            <w:vAlign w:val="bottom"/>
          </w:tcPr>
          <w:p w14:paraId="0EFA2D03" w14:textId="61CE410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1.6</w:t>
            </w:r>
            <w:r w:rsidR="00ED0700" w:rsidRPr="00CB54EA">
              <w:rPr>
                <w:rFonts w:asciiTheme="minorHAnsi" w:hAnsiTheme="minorHAnsi" w:cstheme="minorHAnsi"/>
                <w:sz w:val="22"/>
                <w:szCs w:val="22"/>
              </w:rPr>
              <w:t>%</w:t>
            </w:r>
          </w:p>
        </w:tc>
        <w:tc>
          <w:tcPr>
            <w:tcW w:w="841" w:type="pct"/>
            <w:vAlign w:val="bottom"/>
          </w:tcPr>
          <w:p w14:paraId="2E9D7DC5"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6AEEB273" w14:textId="1294901B"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043B2B19" w14:textId="77777777" w:rsidTr="00ED0700">
        <w:trPr>
          <w:cantSplit/>
          <w:trHeight w:val="315"/>
        </w:trPr>
        <w:tc>
          <w:tcPr>
            <w:tcW w:w="793" w:type="pct"/>
            <w:shd w:val="clear" w:color="auto" w:fill="auto"/>
          </w:tcPr>
          <w:p w14:paraId="6C457CA3"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40CB7A17" w14:textId="31DEA2C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7</w:t>
            </w:r>
            <w:r w:rsidR="00ED0700" w:rsidRPr="00CB54EA">
              <w:rPr>
                <w:rFonts w:asciiTheme="minorHAnsi" w:hAnsiTheme="minorHAnsi" w:cstheme="minorHAnsi"/>
                <w:sz w:val="22"/>
                <w:szCs w:val="22"/>
              </w:rPr>
              <w:t>.1%</w:t>
            </w:r>
          </w:p>
        </w:tc>
        <w:tc>
          <w:tcPr>
            <w:tcW w:w="842" w:type="pct"/>
            <w:shd w:val="clear" w:color="auto" w:fill="auto"/>
            <w:vAlign w:val="bottom"/>
          </w:tcPr>
          <w:p w14:paraId="5917AE61" w14:textId="048C6085"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2.0</w:t>
            </w:r>
            <w:r w:rsidR="00ED0700" w:rsidRPr="00CB54EA">
              <w:rPr>
                <w:rFonts w:asciiTheme="minorHAnsi" w:hAnsiTheme="minorHAnsi" w:cstheme="minorHAnsi"/>
                <w:sz w:val="22"/>
                <w:szCs w:val="22"/>
              </w:rPr>
              <w:t>%</w:t>
            </w:r>
          </w:p>
        </w:tc>
        <w:tc>
          <w:tcPr>
            <w:tcW w:w="842" w:type="pct"/>
            <w:shd w:val="clear" w:color="auto" w:fill="auto"/>
            <w:vAlign w:val="bottom"/>
          </w:tcPr>
          <w:p w14:paraId="7C8999E6" w14:textId="248949E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1.0</w:t>
            </w:r>
            <w:r w:rsidR="00ED0700" w:rsidRPr="00CB54EA">
              <w:rPr>
                <w:rFonts w:asciiTheme="minorHAnsi" w:hAnsiTheme="minorHAnsi" w:cstheme="minorHAnsi"/>
                <w:sz w:val="22"/>
                <w:szCs w:val="22"/>
              </w:rPr>
              <w:t>%</w:t>
            </w:r>
          </w:p>
        </w:tc>
        <w:tc>
          <w:tcPr>
            <w:tcW w:w="841" w:type="pct"/>
            <w:vAlign w:val="bottom"/>
          </w:tcPr>
          <w:p w14:paraId="45E20484"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AD40E74" w14:textId="7EB81FA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0.3</w:t>
            </w:r>
            <w:r w:rsidR="00ED0700" w:rsidRPr="00CB54EA">
              <w:rPr>
                <w:rFonts w:asciiTheme="minorHAnsi" w:hAnsiTheme="minorHAnsi" w:cstheme="minorHAnsi"/>
                <w:sz w:val="22"/>
                <w:szCs w:val="22"/>
              </w:rPr>
              <w:t>%</w:t>
            </w:r>
          </w:p>
        </w:tc>
      </w:tr>
    </w:tbl>
    <w:p w14:paraId="2F7D3B13" w14:textId="77777777" w:rsidR="00ED0700" w:rsidRPr="00CB54EA" w:rsidRDefault="00ED0700" w:rsidP="00ED0700">
      <w:pPr>
        <w:pStyle w:val="Heading3"/>
        <w:rPr>
          <w:rFonts w:asciiTheme="minorHAnsi" w:hAnsiTheme="minorHAnsi"/>
          <w:sz w:val="22"/>
          <w:szCs w:val="22"/>
        </w:rPr>
      </w:pPr>
    </w:p>
    <w:p w14:paraId="72500F88" w14:textId="775BB16D"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Inpatient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D0700" w:rsidRPr="00CB54EA" w14:paraId="1560C7D9" w14:textId="77777777" w:rsidTr="00ED0700">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6CF0FEF9" w14:textId="77777777" w:rsidR="00ED0700" w:rsidRPr="00CB54EA" w:rsidRDefault="00ED0700" w:rsidP="00ED0700">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728CB1"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98C546A"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78F58EC"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61533D95"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516E73E4"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D0700" w:rsidRPr="00CB54EA" w14:paraId="3E1B345B" w14:textId="77777777" w:rsidTr="00ED0700">
        <w:trPr>
          <w:cantSplit/>
          <w:trHeight w:val="298"/>
        </w:trPr>
        <w:tc>
          <w:tcPr>
            <w:tcW w:w="793" w:type="pct"/>
            <w:tcBorders>
              <w:top w:val="single" w:sz="8" w:space="0" w:color="auto"/>
            </w:tcBorders>
            <w:shd w:val="clear" w:color="auto" w:fill="auto"/>
          </w:tcPr>
          <w:p w14:paraId="3CDF9764"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8BF9CB6" w14:textId="17D094B2"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6.0</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9EBD39A" w14:textId="6293CB2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4.8</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07217A7D" w14:textId="400213AD"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2.5</w:t>
            </w:r>
            <w:r w:rsidR="00ED0700" w:rsidRPr="00CB54EA">
              <w:rPr>
                <w:rFonts w:asciiTheme="minorHAnsi" w:hAnsiTheme="minorHAnsi" w:cstheme="minorHAnsi"/>
                <w:sz w:val="22"/>
                <w:szCs w:val="22"/>
              </w:rPr>
              <w:t>%</w:t>
            </w:r>
          </w:p>
        </w:tc>
        <w:tc>
          <w:tcPr>
            <w:tcW w:w="841" w:type="pct"/>
            <w:tcBorders>
              <w:top w:val="single" w:sz="8" w:space="0" w:color="auto"/>
            </w:tcBorders>
            <w:vAlign w:val="bottom"/>
          </w:tcPr>
          <w:p w14:paraId="2A64C216" w14:textId="164D4934"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tcBorders>
              <w:top w:val="single" w:sz="8" w:space="0" w:color="auto"/>
            </w:tcBorders>
            <w:shd w:val="clear" w:color="auto" w:fill="auto"/>
            <w:vAlign w:val="bottom"/>
          </w:tcPr>
          <w:p w14:paraId="76769411" w14:textId="3AFED123"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6BACB338" w14:textId="77777777" w:rsidTr="00ED0700">
        <w:trPr>
          <w:cantSplit/>
          <w:trHeight w:val="298"/>
        </w:trPr>
        <w:tc>
          <w:tcPr>
            <w:tcW w:w="793" w:type="pct"/>
            <w:shd w:val="clear" w:color="auto" w:fill="auto"/>
          </w:tcPr>
          <w:p w14:paraId="34B45B5B"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62172CD" w14:textId="282BDE25"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7.8</w:t>
            </w:r>
            <w:r w:rsidR="00ED0700" w:rsidRPr="00CB54EA">
              <w:rPr>
                <w:rFonts w:asciiTheme="minorHAnsi" w:hAnsiTheme="minorHAnsi" w:cstheme="minorHAnsi"/>
                <w:sz w:val="22"/>
                <w:szCs w:val="22"/>
              </w:rPr>
              <w:t>%</w:t>
            </w:r>
          </w:p>
        </w:tc>
        <w:tc>
          <w:tcPr>
            <w:tcW w:w="842" w:type="pct"/>
            <w:shd w:val="clear" w:color="auto" w:fill="auto"/>
            <w:vAlign w:val="bottom"/>
          </w:tcPr>
          <w:p w14:paraId="4C3DD38D" w14:textId="3FABCD6B"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6.2</w:t>
            </w:r>
            <w:r w:rsidR="00ED0700" w:rsidRPr="00CB54EA">
              <w:rPr>
                <w:rFonts w:asciiTheme="minorHAnsi" w:hAnsiTheme="minorHAnsi" w:cstheme="minorHAnsi"/>
                <w:sz w:val="22"/>
                <w:szCs w:val="22"/>
              </w:rPr>
              <w:t>%</w:t>
            </w:r>
          </w:p>
        </w:tc>
        <w:tc>
          <w:tcPr>
            <w:tcW w:w="842" w:type="pct"/>
            <w:shd w:val="clear" w:color="auto" w:fill="auto"/>
            <w:vAlign w:val="bottom"/>
          </w:tcPr>
          <w:p w14:paraId="7AE9A116" w14:textId="218F053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4.5</w:t>
            </w:r>
            <w:r w:rsidR="00ED0700" w:rsidRPr="00CB54EA">
              <w:rPr>
                <w:rFonts w:asciiTheme="minorHAnsi" w:hAnsiTheme="minorHAnsi" w:cstheme="minorHAnsi"/>
                <w:sz w:val="22"/>
                <w:szCs w:val="22"/>
              </w:rPr>
              <w:t>%</w:t>
            </w:r>
          </w:p>
        </w:tc>
        <w:tc>
          <w:tcPr>
            <w:tcW w:w="841" w:type="pct"/>
            <w:vAlign w:val="bottom"/>
          </w:tcPr>
          <w:p w14:paraId="6FD5B32A" w14:textId="7A4450F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shd w:val="clear" w:color="auto" w:fill="auto"/>
            <w:vAlign w:val="bottom"/>
          </w:tcPr>
          <w:p w14:paraId="74473AEE" w14:textId="0313E52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5E180419" w14:textId="77777777" w:rsidTr="00ED0700">
        <w:trPr>
          <w:cantSplit/>
          <w:trHeight w:val="315"/>
        </w:trPr>
        <w:tc>
          <w:tcPr>
            <w:tcW w:w="793" w:type="pct"/>
            <w:shd w:val="clear" w:color="auto" w:fill="auto"/>
          </w:tcPr>
          <w:p w14:paraId="5B6467CC"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5EEF213" w14:textId="0F8D499F"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6.8</w:t>
            </w:r>
            <w:r w:rsidR="00ED0700" w:rsidRPr="00CB54EA">
              <w:rPr>
                <w:rFonts w:asciiTheme="minorHAnsi" w:hAnsiTheme="minorHAnsi" w:cstheme="minorHAnsi"/>
                <w:sz w:val="22"/>
                <w:szCs w:val="22"/>
              </w:rPr>
              <w:t>%</w:t>
            </w:r>
          </w:p>
        </w:tc>
        <w:tc>
          <w:tcPr>
            <w:tcW w:w="842" w:type="pct"/>
            <w:shd w:val="clear" w:color="auto" w:fill="auto"/>
            <w:vAlign w:val="bottom"/>
          </w:tcPr>
          <w:p w14:paraId="2AC98B23" w14:textId="06803A82"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8.1</w:t>
            </w:r>
            <w:r w:rsidR="00ED0700" w:rsidRPr="00CB54EA">
              <w:rPr>
                <w:rFonts w:asciiTheme="minorHAnsi" w:hAnsiTheme="minorHAnsi" w:cstheme="minorHAnsi"/>
                <w:sz w:val="22"/>
                <w:szCs w:val="22"/>
              </w:rPr>
              <w:t>%</w:t>
            </w:r>
          </w:p>
        </w:tc>
        <w:tc>
          <w:tcPr>
            <w:tcW w:w="842" w:type="pct"/>
            <w:shd w:val="clear" w:color="auto" w:fill="auto"/>
            <w:vAlign w:val="bottom"/>
          </w:tcPr>
          <w:p w14:paraId="10EB7517" w14:textId="2F5496E8"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1" w:type="pct"/>
            <w:vAlign w:val="bottom"/>
          </w:tcPr>
          <w:p w14:paraId="33F7AFC0" w14:textId="41C36960"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shd w:val="clear" w:color="auto" w:fill="auto"/>
            <w:vAlign w:val="bottom"/>
          </w:tcPr>
          <w:p w14:paraId="401E1BA9" w14:textId="03276361"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0.7</w:t>
            </w:r>
            <w:r w:rsidR="00ED0700" w:rsidRPr="00CB54EA">
              <w:rPr>
                <w:rFonts w:asciiTheme="minorHAnsi" w:hAnsiTheme="minorHAnsi" w:cstheme="minorHAnsi"/>
                <w:sz w:val="22"/>
                <w:szCs w:val="22"/>
              </w:rPr>
              <w:t>%</w:t>
            </w:r>
          </w:p>
        </w:tc>
      </w:tr>
    </w:tbl>
    <w:p w14:paraId="1049A03D" w14:textId="77777777" w:rsidR="00ED0700" w:rsidRPr="00CB54EA" w:rsidRDefault="00ED0700" w:rsidP="00ED0700">
      <w:pPr>
        <w:pStyle w:val="Heading3"/>
        <w:rPr>
          <w:rFonts w:asciiTheme="minorHAnsi" w:hAnsiTheme="minorHAnsi"/>
          <w:sz w:val="22"/>
          <w:szCs w:val="22"/>
        </w:rPr>
      </w:pPr>
    </w:p>
    <w:p w14:paraId="73950306" w14:textId="3FD313F1" w:rsidR="00ED0700" w:rsidRPr="00CB54EA" w:rsidRDefault="003E5EB1" w:rsidP="00ED0700">
      <w:pPr>
        <w:pStyle w:val="Heading3"/>
        <w:rPr>
          <w:rFonts w:asciiTheme="minorHAnsi" w:hAnsiTheme="minorHAnsi"/>
          <w:i w:val="0"/>
          <w:sz w:val="22"/>
          <w:szCs w:val="22"/>
        </w:rPr>
      </w:pPr>
      <w:r w:rsidRPr="00CB54EA">
        <w:rPr>
          <w:rFonts w:asciiTheme="minorHAnsi" w:hAnsiTheme="minorHAnsi"/>
          <w:i w:val="0"/>
          <w:sz w:val="22"/>
          <w:szCs w:val="22"/>
        </w:rPr>
        <w:t xml:space="preserve">Inpatient </w:t>
      </w:r>
      <w:r w:rsidR="00ED0700" w:rsidRPr="00CB54EA">
        <w:rPr>
          <w:rFonts w:asciiTheme="minorHAnsi" w:hAnsiTheme="minorHAnsi"/>
          <w:i w:val="0"/>
          <w:sz w:val="22"/>
          <w:szCs w:val="22"/>
        </w:rPr>
        <w:t>Chronic Rehabilitation Hospital Fee Change</w:t>
      </w:r>
    </w:p>
    <w:p w14:paraId="36A1E63B" w14:textId="111C228C" w:rsidR="00ED0700" w:rsidRPr="00CB54EA" w:rsidRDefault="00ED0700" w:rsidP="00ED0700">
      <w:pPr>
        <w:rPr>
          <w:rFonts w:asciiTheme="minorHAnsi" w:hAnsiTheme="minorHAnsi"/>
          <w:sz w:val="22"/>
          <w:szCs w:val="22"/>
        </w:rPr>
      </w:pPr>
      <w:r w:rsidRPr="00CB54EA">
        <w:rPr>
          <w:rFonts w:asciiTheme="minorHAnsi" w:hAnsiTheme="minorHAnsi"/>
          <w:sz w:val="22"/>
          <w:szCs w:val="22"/>
        </w:rPr>
        <w:t>Effective October 1, 2017,</w:t>
      </w:r>
      <w:r w:rsidR="003E5EB1" w:rsidRPr="00CB54EA">
        <w:rPr>
          <w:rFonts w:asciiTheme="minorHAnsi" w:hAnsiTheme="minorHAnsi"/>
          <w:sz w:val="22"/>
          <w:szCs w:val="22"/>
        </w:rPr>
        <w:t xml:space="preserve"> in conjunction with a new assessment for these hospitals,</w:t>
      </w:r>
      <w:r w:rsidRPr="00CB54EA">
        <w:rPr>
          <w:rFonts w:asciiTheme="minorHAnsi" w:hAnsiTheme="minorHAnsi"/>
          <w:sz w:val="22"/>
          <w:szCs w:val="22"/>
        </w:rPr>
        <w:t xml:space="preserve"> </w:t>
      </w:r>
      <w:r w:rsidR="0020009F" w:rsidRPr="00CB54EA">
        <w:rPr>
          <w:rFonts w:asciiTheme="minorHAnsi" w:hAnsiTheme="minorHAnsi"/>
          <w:sz w:val="22"/>
          <w:szCs w:val="22"/>
        </w:rPr>
        <w:t>MassHealth</w:t>
      </w:r>
      <w:r w:rsidRPr="00CB54EA">
        <w:rPr>
          <w:rFonts w:asciiTheme="minorHAnsi" w:hAnsiTheme="minorHAnsi"/>
          <w:sz w:val="22"/>
          <w:szCs w:val="22"/>
        </w:rPr>
        <w:t xml:space="preserve"> implemented a fee schedule increase for </w:t>
      </w:r>
      <w:r w:rsidR="003E5EB1" w:rsidRPr="00CB54EA">
        <w:rPr>
          <w:rFonts w:asciiTheme="minorHAnsi" w:hAnsiTheme="minorHAnsi"/>
          <w:sz w:val="22"/>
          <w:szCs w:val="22"/>
        </w:rPr>
        <w:t xml:space="preserve">inpatient </w:t>
      </w:r>
      <w:r w:rsidRPr="00CB54EA">
        <w:rPr>
          <w:rFonts w:asciiTheme="minorHAnsi" w:hAnsiTheme="minorHAnsi"/>
          <w:sz w:val="22"/>
          <w:szCs w:val="22"/>
        </w:rPr>
        <w:t>services provided at chronic and rehabilitation hospitals</w:t>
      </w:r>
      <w:r w:rsidR="001B03FB" w:rsidRPr="00CB54EA">
        <w:rPr>
          <w:rFonts w:asciiTheme="minorHAnsi" w:hAnsiTheme="minorHAnsi"/>
          <w:sz w:val="22"/>
          <w:szCs w:val="22"/>
        </w:rPr>
        <w:t>. The change primarily impacts the Inpatient-Non-MH/SA COS as demonstrated in the following table. Additionally, the adjustment impacted the Inpatient MH/SA and All Other COS for F1 in the Eastern region by 0.1% and 0.5% respectively.</w:t>
      </w:r>
    </w:p>
    <w:p w14:paraId="6E176043" w14:textId="77777777" w:rsidR="0020009F" w:rsidRPr="00CB54EA" w:rsidRDefault="0020009F" w:rsidP="00ED0700">
      <w:pPr>
        <w:rPr>
          <w:rFonts w:asciiTheme="minorHAnsi" w:hAnsiTheme="minorHAnsi"/>
          <w:sz w:val="22"/>
          <w:szCs w:val="22"/>
        </w:rPr>
      </w:pPr>
    </w:p>
    <w:p w14:paraId="709CC96C" w14:textId="0E6E380C" w:rsidR="001B03FB" w:rsidRPr="00CB54EA" w:rsidRDefault="001B03FB" w:rsidP="00ED0700">
      <w:pPr>
        <w:rPr>
          <w:rFonts w:asciiTheme="minorHAnsi" w:hAnsiTheme="minorHAnsi"/>
          <w:sz w:val="22"/>
          <w:szCs w:val="22"/>
        </w:rPr>
      </w:pPr>
      <w:r w:rsidRPr="00CB54EA">
        <w:rPr>
          <w:rFonts w:asciiTheme="minorHAnsi" w:hAnsiTheme="minorHAnsi"/>
          <w:sz w:val="22"/>
          <w:szCs w:val="22"/>
        </w:rPr>
        <w:t>Inpatient Chronic Rehabilitation Hospital Fee Change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58E09747"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3571485"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0EBAEB31"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33DD651C"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F7CA063"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B21DF29"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5D7B28FF"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096F86A6" w14:textId="77777777" w:rsidTr="0020009F">
        <w:trPr>
          <w:cantSplit/>
          <w:trHeight w:val="298"/>
        </w:trPr>
        <w:tc>
          <w:tcPr>
            <w:tcW w:w="793" w:type="pct"/>
            <w:tcBorders>
              <w:top w:val="single" w:sz="8" w:space="0" w:color="auto"/>
            </w:tcBorders>
            <w:shd w:val="clear" w:color="auto" w:fill="auto"/>
          </w:tcPr>
          <w:p w14:paraId="3B185410"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2F5DB86A" w14:textId="3E4EDE0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0.4%</w:t>
            </w:r>
          </w:p>
        </w:tc>
        <w:tc>
          <w:tcPr>
            <w:tcW w:w="842" w:type="pct"/>
            <w:tcBorders>
              <w:top w:val="single" w:sz="8" w:space="0" w:color="auto"/>
            </w:tcBorders>
            <w:shd w:val="clear" w:color="auto" w:fill="auto"/>
            <w:vAlign w:val="bottom"/>
          </w:tcPr>
          <w:p w14:paraId="397882BD" w14:textId="154CAC6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5F3C6A65" w14:textId="63567FE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3.1%</w:t>
            </w:r>
          </w:p>
        </w:tc>
        <w:tc>
          <w:tcPr>
            <w:tcW w:w="841" w:type="pct"/>
            <w:tcBorders>
              <w:top w:val="single" w:sz="8" w:space="0" w:color="auto"/>
            </w:tcBorders>
            <w:vAlign w:val="bottom"/>
          </w:tcPr>
          <w:p w14:paraId="2BCA8773"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13BB09B1" w14:textId="39E67B7B"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6.8%</w:t>
            </w:r>
          </w:p>
        </w:tc>
      </w:tr>
      <w:tr w:rsidR="0020009F" w:rsidRPr="00CB54EA" w14:paraId="1422E9A9" w14:textId="77777777" w:rsidTr="0020009F">
        <w:trPr>
          <w:cantSplit/>
          <w:trHeight w:val="298"/>
        </w:trPr>
        <w:tc>
          <w:tcPr>
            <w:tcW w:w="793" w:type="pct"/>
            <w:shd w:val="clear" w:color="auto" w:fill="auto"/>
          </w:tcPr>
          <w:p w14:paraId="168D3C63"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lastRenderedPageBreak/>
              <w:t>Western</w:t>
            </w:r>
          </w:p>
        </w:tc>
        <w:tc>
          <w:tcPr>
            <w:tcW w:w="842" w:type="pct"/>
            <w:shd w:val="clear" w:color="auto" w:fill="auto"/>
            <w:vAlign w:val="bottom"/>
          </w:tcPr>
          <w:p w14:paraId="435270A4" w14:textId="332840A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CB812C7" w14:textId="208FA1F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CB535E8" w14:textId="45AAD824"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1" w:type="pct"/>
            <w:vAlign w:val="bottom"/>
          </w:tcPr>
          <w:p w14:paraId="5EE1E869"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B9DE9E6" w14:textId="47C5EEA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0009F" w:rsidRPr="00CB54EA" w14:paraId="51EEB9C3" w14:textId="77777777" w:rsidTr="0020009F">
        <w:trPr>
          <w:cantSplit/>
          <w:trHeight w:val="315"/>
        </w:trPr>
        <w:tc>
          <w:tcPr>
            <w:tcW w:w="793" w:type="pct"/>
            <w:shd w:val="clear" w:color="auto" w:fill="auto"/>
          </w:tcPr>
          <w:p w14:paraId="1A6AA85A"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08C941C4" w14:textId="35F4D20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2BECB11B" w14:textId="29BF92C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3253156D" w14:textId="5D8B22E2"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13.7%</w:t>
            </w:r>
          </w:p>
        </w:tc>
        <w:tc>
          <w:tcPr>
            <w:tcW w:w="841" w:type="pct"/>
            <w:vAlign w:val="bottom"/>
          </w:tcPr>
          <w:p w14:paraId="3869CE6A"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208DDA" w14:textId="6C7C6F3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17.9%</w:t>
            </w:r>
          </w:p>
        </w:tc>
      </w:tr>
    </w:tbl>
    <w:p w14:paraId="54751FE3" w14:textId="77777777" w:rsidR="00ED0700" w:rsidRPr="00CB54EA" w:rsidRDefault="00ED0700" w:rsidP="00ED0700">
      <w:pPr>
        <w:pStyle w:val="Heading3"/>
        <w:rPr>
          <w:rFonts w:asciiTheme="minorHAnsi" w:hAnsiTheme="minorHAnsi"/>
        </w:rPr>
      </w:pPr>
    </w:p>
    <w:p w14:paraId="2C552188" w14:textId="7F660F4D" w:rsidR="00ED0700" w:rsidRPr="00CB54EA" w:rsidRDefault="004C1C93" w:rsidP="00ED0700">
      <w:pPr>
        <w:pStyle w:val="Heading3"/>
        <w:rPr>
          <w:rFonts w:asciiTheme="minorHAnsi" w:hAnsiTheme="minorHAnsi"/>
          <w:i w:val="0"/>
          <w:sz w:val="22"/>
          <w:szCs w:val="22"/>
        </w:rPr>
      </w:pPr>
      <w:r w:rsidRPr="00CB54EA">
        <w:rPr>
          <w:rFonts w:asciiTheme="minorHAnsi" w:hAnsiTheme="minorHAnsi"/>
          <w:i w:val="0"/>
          <w:sz w:val="22"/>
          <w:szCs w:val="22"/>
        </w:rPr>
        <w:t xml:space="preserve">Acute </w:t>
      </w:r>
      <w:r w:rsidR="00ED0700" w:rsidRPr="00CB54EA">
        <w:rPr>
          <w:rFonts w:asciiTheme="minorHAnsi" w:hAnsiTheme="minorHAnsi"/>
          <w:i w:val="0"/>
          <w:sz w:val="22"/>
          <w:szCs w:val="22"/>
        </w:rPr>
        <w:t xml:space="preserve">Hospital </w:t>
      </w:r>
      <w:r w:rsidRPr="00CB54EA">
        <w:rPr>
          <w:rFonts w:asciiTheme="minorHAnsi" w:hAnsiTheme="minorHAnsi"/>
          <w:i w:val="0"/>
          <w:sz w:val="22"/>
          <w:szCs w:val="22"/>
        </w:rPr>
        <w:t xml:space="preserve">Outpatient </w:t>
      </w:r>
      <w:r w:rsidR="00ED0700" w:rsidRPr="00CB54EA">
        <w:rPr>
          <w:rFonts w:asciiTheme="minorHAnsi" w:hAnsiTheme="minorHAnsi"/>
          <w:i w:val="0"/>
          <w:sz w:val="22"/>
          <w:szCs w:val="22"/>
        </w:rPr>
        <w:t>Fee Change</w:t>
      </w:r>
    </w:p>
    <w:p w14:paraId="58F41E9E" w14:textId="3BDD9954" w:rsidR="00ED0700" w:rsidRPr="00CB54EA" w:rsidRDefault="00ED0700" w:rsidP="00ED0700">
      <w:pPr>
        <w:rPr>
          <w:rFonts w:asciiTheme="minorHAnsi" w:hAnsiTheme="minorHAnsi"/>
          <w:sz w:val="22"/>
          <w:szCs w:val="22"/>
        </w:rPr>
      </w:pPr>
      <w:r w:rsidRPr="00CB54EA">
        <w:rPr>
          <w:rFonts w:asciiTheme="minorHAnsi" w:hAnsiTheme="minorHAnsi"/>
          <w:sz w:val="22"/>
          <w:szCs w:val="22"/>
        </w:rPr>
        <w:t xml:space="preserve">Effective December 31, 2016, </w:t>
      </w:r>
      <w:r w:rsidR="0020009F" w:rsidRPr="00CB54EA">
        <w:rPr>
          <w:rFonts w:asciiTheme="minorHAnsi" w:hAnsiTheme="minorHAnsi"/>
          <w:sz w:val="22"/>
          <w:szCs w:val="22"/>
        </w:rPr>
        <w:t>MassHealth</w:t>
      </w:r>
      <w:r w:rsidRPr="00CB54EA">
        <w:rPr>
          <w:rFonts w:asciiTheme="minorHAnsi" w:hAnsiTheme="minorHAnsi"/>
          <w:sz w:val="22"/>
          <w:szCs w:val="22"/>
        </w:rPr>
        <w:t xml:space="preserve"> transitioned its acute outpatient hospital payment method from Payment Amount per Episode Adjudicated Payment per Episode of Care (APEC). The APEC payment will vary based on the weight assigned to the claim, utilizing the Enhanced Ambulatory Patient Grouping System. The payment method change is expected to have a modest impact to the Medicaid Only RCs as well as the Institutional Dual RC.</w:t>
      </w:r>
    </w:p>
    <w:p w14:paraId="5690EC0E" w14:textId="77777777" w:rsidR="00E114CC" w:rsidRPr="00CB54EA" w:rsidRDefault="00E114CC" w:rsidP="00ED0700">
      <w:pPr>
        <w:rPr>
          <w:rFonts w:asciiTheme="minorHAnsi" w:hAnsiTheme="minorHAnsi"/>
          <w:sz w:val="22"/>
          <w:szCs w:val="22"/>
        </w:rPr>
      </w:pPr>
    </w:p>
    <w:p w14:paraId="284786CA" w14:textId="44F822FC" w:rsidR="00ED0700" w:rsidRPr="00CB54EA" w:rsidRDefault="00ED0700" w:rsidP="00ED0700">
      <w:pPr>
        <w:rPr>
          <w:rFonts w:asciiTheme="minorHAnsi" w:hAnsiTheme="minorHAnsi"/>
          <w:sz w:val="22"/>
          <w:szCs w:val="22"/>
        </w:rPr>
      </w:pPr>
      <w:r w:rsidRPr="00CB54EA">
        <w:rPr>
          <w:rFonts w:asciiTheme="minorHAnsi" w:hAnsiTheme="minorHAnsi"/>
          <w:sz w:val="22"/>
          <w:szCs w:val="22"/>
        </w:rPr>
        <w:t xml:space="preserve">In addition, effective March 1, 2018, </w:t>
      </w:r>
      <w:r w:rsidR="0020009F" w:rsidRPr="00CB54EA">
        <w:rPr>
          <w:rFonts w:asciiTheme="minorHAnsi" w:hAnsiTheme="minorHAnsi"/>
          <w:sz w:val="22"/>
          <w:szCs w:val="22"/>
        </w:rPr>
        <w:t>MassHealth</w:t>
      </w:r>
      <w:r w:rsidRPr="00CB54EA">
        <w:rPr>
          <w:rFonts w:asciiTheme="minorHAnsi" w:hAnsiTheme="minorHAnsi"/>
          <w:sz w:val="22"/>
          <w:szCs w:val="22"/>
        </w:rPr>
        <w:t xml:space="preserve"> imple</w:t>
      </w:r>
      <w:r w:rsidR="0020009F" w:rsidRPr="00CB54EA">
        <w:rPr>
          <w:rFonts w:asciiTheme="minorHAnsi" w:hAnsiTheme="minorHAnsi"/>
          <w:sz w:val="22"/>
          <w:szCs w:val="22"/>
        </w:rPr>
        <w:t>ment</w:t>
      </w:r>
      <w:r w:rsidR="00E114CC" w:rsidRPr="00CB54EA">
        <w:rPr>
          <w:rFonts w:asciiTheme="minorHAnsi" w:hAnsiTheme="minorHAnsi"/>
          <w:sz w:val="22"/>
          <w:szCs w:val="22"/>
        </w:rPr>
        <w:t>ed</w:t>
      </w:r>
      <w:r w:rsidR="0020009F" w:rsidRPr="00CB54EA">
        <w:rPr>
          <w:rFonts w:asciiTheme="minorHAnsi" w:hAnsiTheme="minorHAnsi"/>
          <w:sz w:val="22"/>
          <w:szCs w:val="22"/>
        </w:rPr>
        <w:t xml:space="preserve"> a fee schedule increase</w:t>
      </w:r>
      <w:r w:rsidRPr="00CB54EA">
        <w:rPr>
          <w:rFonts w:asciiTheme="minorHAnsi" w:hAnsiTheme="minorHAnsi"/>
          <w:sz w:val="22"/>
          <w:szCs w:val="22"/>
        </w:rPr>
        <w:t xml:space="preserve"> for acute outpatient hospital services. Acute outpatient claims were adjusted for the 2.6% increase. Crossover claims were analyzed for the impact of the fee schedule change after Medicare cost sharing. The total impact to the outpatient expense lines are provided in the tables below:</w:t>
      </w:r>
    </w:p>
    <w:p w14:paraId="3A402591" w14:textId="77777777" w:rsidR="0020009F" w:rsidRPr="00CB54EA" w:rsidRDefault="0020009F" w:rsidP="00ED0700">
      <w:pPr>
        <w:rPr>
          <w:rFonts w:asciiTheme="minorHAnsi" w:hAnsiTheme="minorHAnsi"/>
          <w:sz w:val="22"/>
          <w:szCs w:val="22"/>
        </w:rPr>
      </w:pPr>
    </w:p>
    <w:p w14:paraId="5B0AC2BB" w14:textId="26D70E4E"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Outpatient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0B9E28F8"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40E20E4B"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B4B38DA"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FD0D95D"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1A2F9A48"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F3E794D"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AC03AD8"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57A7E3E3" w14:textId="77777777" w:rsidTr="0020009F">
        <w:trPr>
          <w:cantSplit/>
          <w:trHeight w:val="298"/>
        </w:trPr>
        <w:tc>
          <w:tcPr>
            <w:tcW w:w="793" w:type="pct"/>
            <w:tcBorders>
              <w:top w:val="single" w:sz="8" w:space="0" w:color="auto"/>
            </w:tcBorders>
            <w:shd w:val="clear" w:color="auto" w:fill="auto"/>
          </w:tcPr>
          <w:p w14:paraId="4D9663EC"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1D84268F" w14:textId="4E4CA8C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71C7FCE9" w14:textId="69246DA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tcBorders>
              <w:top w:val="single" w:sz="8" w:space="0" w:color="auto"/>
            </w:tcBorders>
            <w:shd w:val="clear" w:color="auto" w:fill="auto"/>
            <w:vAlign w:val="bottom"/>
          </w:tcPr>
          <w:p w14:paraId="203E62FE" w14:textId="736907E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1" w:type="pct"/>
            <w:tcBorders>
              <w:top w:val="single" w:sz="8" w:space="0" w:color="auto"/>
            </w:tcBorders>
            <w:vAlign w:val="bottom"/>
          </w:tcPr>
          <w:p w14:paraId="146876EE" w14:textId="5B69C003"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tcBorders>
              <w:top w:val="single" w:sz="8" w:space="0" w:color="auto"/>
            </w:tcBorders>
            <w:shd w:val="clear" w:color="auto" w:fill="auto"/>
            <w:vAlign w:val="bottom"/>
          </w:tcPr>
          <w:p w14:paraId="06A734F9" w14:textId="0C8BC91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r>
      <w:tr w:rsidR="0020009F" w:rsidRPr="00CB54EA" w14:paraId="447A7B2A" w14:textId="77777777" w:rsidTr="0020009F">
        <w:trPr>
          <w:cantSplit/>
          <w:trHeight w:val="298"/>
        </w:trPr>
        <w:tc>
          <w:tcPr>
            <w:tcW w:w="793" w:type="pct"/>
            <w:shd w:val="clear" w:color="auto" w:fill="auto"/>
          </w:tcPr>
          <w:p w14:paraId="5EDE547A"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25BC46F" w14:textId="5D2DB9C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1.2%</w:t>
            </w:r>
          </w:p>
        </w:tc>
        <w:tc>
          <w:tcPr>
            <w:tcW w:w="842" w:type="pct"/>
            <w:shd w:val="clear" w:color="auto" w:fill="auto"/>
            <w:vAlign w:val="bottom"/>
          </w:tcPr>
          <w:p w14:paraId="658B9051" w14:textId="074D918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362C63E5" w14:textId="41ABB42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1" w:type="pct"/>
            <w:vAlign w:val="bottom"/>
          </w:tcPr>
          <w:p w14:paraId="60011451" w14:textId="0595844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shd w:val="clear" w:color="auto" w:fill="auto"/>
            <w:vAlign w:val="bottom"/>
          </w:tcPr>
          <w:p w14:paraId="2475563F" w14:textId="366EF50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r>
      <w:tr w:rsidR="0020009F" w:rsidRPr="00CB54EA" w14:paraId="39A65B5D" w14:textId="77777777" w:rsidTr="0020009F">
        <w:trPr>
          <w:cantSplit/>
          <w:trHeight w:val="315"/>
        </w:trPr>
        <w:tc>
          <w:tcPr>
            <w:tcW w:w="793" w:type="pct"/>
            <w:shd w:val="clear" w:color="auto" w:fill="auto"/>
          </w:tcPr>
          <w:p w14:paraId="29D3D0A7"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DF85AB4" w14:textId="766AACD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7BBC8287" w14:textId="2928955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09E87EC4" w14:textId="0EE91F5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1" w:type="pct"/>
            <w:vAlign w:val="bottom"/>
          </w:tcPr>
          <w:p w14:paraId="3753D349" w14:textId="29D3248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shd w:val="clear" w:color="auto" w:fill="auto"/>
            <w:vAlign w:val="bottom"/>
          </w:tcPr>
          <w:p w14:paraId="25DD6632" w14:textId="77A9A51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26E1168C" w14:textId="77777777" w:rsidR="00255FE2" w:rsidRPr="00CB54EA" w:rsidRDefault="00255FE2" w:rsidP="00ED0700">
      <w:pPr>
        <w:pStyle w:val="TableHeadingText"/>
        <w:rPr>
          <w:rFonts w:asciiTheme="minorHAnsi" w:hAnsiTheme="minorHAnsi"/>
          <w:b w:val="0"/>
          <w:color w:val="000000" w:themeColor="text1"/>
          <w:sz w:val="22"/>
          <w:szCs w:val="22"/>
        </w:rPr>
      </w:pPr>
    </w:p>
    <w:p w14:paraId="2FD96A0D" w14:textId="4C705E1E"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Outpatient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5030B249"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499DE636"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9957112"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51F9603"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27CA95BB"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1DEF9F5"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227E960"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6D9AA9BD" w14:textId="77777777" w:rsidTr="0020009F">
        <w:trPr>
          <w:cantSplit/>
          <w:trHeight w:val="298"/>
        </w:trPr>
        <w:tc>
          <w:tcPr>
            <w:tcW w:w="793" w:type="pct"/>
            <w:tcBorders>
              <w:top w:val="single" w:sz="8" w:space="0" w:color="auto"/>
            </w:tcBorders>
            <w:shd w:val="clear" w:color="auto" w:fill="auto"/>
          </w:tcPr>
          <w:p w14:paraId="77346D04"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14722C6" w14:textId="61A34C8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10.5%</w:t>
            </w:r>
          </w:p>
        </w:tc>
        <w:tc>
          <w:tcPr>
            <w:tcW w:w="842" w:type="pct"/>
            <w:tcBorders>
              <w:top w:val="single" w:sz="8" w:space="0" w:color="auto"/>
            </w:tcBorders>
            <w:shd w:val="clear" w:color="auto" w:fill="auto"/>
            <w:vAlign w:val="bottom"/>
          </w:tcPr>
          <w:p w14:paraId="110DC433" w14:textId="6E61946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10.5%</w:t>
            </w:r>
          </w:p>
        </w:tc>
        <w:tc>
          <w:tcPr>
            <w:tcW w:w="842" w:type="pct"/>
            <w:tcBorders>
              <w:top w:val="single" w:sz="8" w:space="0" w:color="auto"/>
            </w:tcBorders>
            <w:shd w:val="clear" w:color="auto" w:fill="auto"/>
            <w:vAlign w:val="bottom"/>
          </w:tcPr>
          <w:p w14:paraId="582C89D4" w14:textId="1A938659"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8.7%</w:t>
            </w:r>
          </w:p>
        </w:tc>
        <w:tc>
          <w:tcPr>
            <w:tcW w:w="841" w:type="pct"/>
            <w:tcBorders>
              <w:top w:val="single" w:sz="8" w:space="0" w:color="auto"/>
            </w:tcBorders>
            <w:vAlign w:val="bottom"/>
          </w:tcPr>
          <w:p w14:paraId="3FB077C9" w14:textId="072F678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tcBorders>
              <w:top w:val="single" w:sz="8" w:space="0" w:color="auto"/>
            </w:tcBorders>
            <w:shd w:val="clear" w:color="auto" w:fill="auto"/>
            <w:vAlign w:val="bottom"/>
          </w:tcPr>
          <w:p w14:paraId="6FF037D4" w14:textId="31658F5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2.2%</w:t>
            </w:r>
          </w:p>
        </w:tc>
      </w:tr>
      <w:tr w:rsidR="0020009F" w:rsidRPr="00CB54EA" w14:paraId="6EF1824B" w14:textId="77777777" w:rsidTr="0020009F">
        <w:trPr>
          <w:cantSplit/>
          <w:trHeight w:val="298"/>
        </w:trPr>
        <w:tc>
          <w:tcPr>
            <w:tcW w:w="793" w:type="pct"/>
            <w:shd w:val="clear" w:color="auto" w:fill="auto"/>
          </w:tcPr>
          <w:p w14:paraId="616E9CE3"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6B859996" w14:textId="6E6C2D7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11.0%</w:t>
            </w:r>
          </w:p>
        </w:tc>
        <w:tc>
          <w:tcPr>
            <w:tcW w:w="842" w:type="pct"/>
            <w:shd w:val="clear" w:color="auto" w:fill="auto"/>
            <w:vAlign w:val="bottom"/>
          </w:tcPr>
          <w:p w14:paraId="7F62099F" w14:textId="6DF9DA52"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11.1%</w:t>
            </w:r>
          </w:p>
        </w:tc>
        <w:tc>
          <w:tcPr>
            <w:tcW w:w="842" w:type="pct"/>
            <w:shd w:val="clear" w:color="auto" w:fill="auto"/>
            <w:vAlign w:val="bottom"/>
          </w:tcPr>
          <w:p w14:paraId="6F181BF5" w14:textId="7E53228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10.0%</w:t>
            </w:r>
          </w:p>
        </w:tc>
        <w:tc>
          <w:tcPr>
            <w:tcW w:w="841" w:type="pct"/>
            <w:vAlign w:val="bottom"/>
          </w:tcPr>
          <w:p w14:paraId="0AF5884F" w14:textId="2E152D0F"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shd w:val="clear" w:color="auto" w:fill="auto"/>
            <w:vAlign w:val="bottom"/>
          </w:tcPr>
          <w:p w14:paraId="087AED62" w14:textId="3F2029B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2.3%</w:t>
            </w:r>
          </w:p>
        </w:tc>
      </w:tr>
      <w:tr w:rsidR="0020009F" w:rsidRPr="00CB54EA" w14:paraId="43CB4476" w14:textId="77777777" w:rsidTr="0020009F">
        <w:trPr>
          <w:cantSplit/>
          <w:trHeight w:val="315"/>
        </w:trPr>
        <w:tc>
          <w:tcPr>
            <w:tcW w:w="793" w:type="pct"/>
            <w:shd w:val="clear" w:color="auto" w:fill="auto"/>
          </w:tcPr>
          <w:p w14:paraId="42207234"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1CA1193" w14:textId="02B0E6D3"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11.1%</w:t>
            </w:r>
          </w:p>
        </w:tc>
        <w:tc>
          <w:tcPr>
            <w:tcW w:w="842" w:type="pct"/>
            <w:shd w:val="clear" w:color="auto" w:fill="auto"/>
            <w:vAlign w:val="bottom"/>
          </w:tcPr>
          <w:p w14:paraId="701128B0" w14:textId="4C67319F"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10.4%</w:t>
            </w:r>
          </w:p>
        </w:tc>
        <w:tc>
          <w:tcPr>
            <w:tcW w:w="842" w:type="pct"/>
            <w:shd w:val="clear" w:color="auto" w:fill="auto"/>
            <w:vAlign w:val="bottom"/>
          </w:tcPr>
          <w:p w14:paraId="5D52E48B" w14:textId="4ABEBA8A"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8.3%</w:t>
            </w:r>
          </w:p>
        </w:tc>
        <w:tc>
          <w:tcPr>
            <w:tcW w:w="841" w:type="pct"/>
            <w:vAlign w:val="bottom"/>
          </w:tcPr>
          <w:p w14:paraId="50168508" w14:textId="0D2CA03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shd w:val="clear" w:color="auto" w:fill="auto"/>
            <w:vAlign w:val="bottom"/>
          </w:tcPr>
          <w:p w14:paraId="0AFA6A43" w14:textId="2B97B6C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1.9%</w:t>
            </w:r>
          </w:p>
        </w:tc>
      </w:tr>
    </w:tbl>
    <w:p w14:paraId="57F293E1" w14:textId="77777777" w:rsidR="00ED0700" w:rsidRPr="00CB54EA" w:rsidRDefault="00ED0700" w:rsidP="00ED0700">
      <w:pPr>
        <w:pStyle w:val="Heading3"/>
        <w:rPr>
          <w:rFonts w:asciiTheme="minorHAnsi" w:hAnsiTheme="minorHAnsi"/>
          <w:sz w:val="22"/>
          <w:szCs w:val="22"/>
        </w:rPr>
      </w:pPr>
    </w:p>
    <w:p w14:paraId="1020028C" w14:textId="77777777" w:rsidR="00ED0700" w:rsidRPr="00CB54EA" w:rsidRDefault="00ED0700" w:rsidP="00ED0700">
      <w:pPr>
        <w:pStyle w:val="Heading3"/>
        <w:rPr>
          <w:rFonts w:asciiTheme="minorHAnsi" w:hAnsiTheme="minorHAnsi"/>
          <w:i w:val="0"/>
          <w:sz w:val="22"/>
          <w:szCs w:val="22"/>
        </w:rPr>
      </w:pPr>
      <w:r w:rsidRPr="00CB54EA">
        <w:rPr>
          <w:rFonts w:asciiTheme="minorHAnsi" w:hAnsiTheme="minorHAnsi"/>
          <w:i w:val="0"/>
          <w:sz w:val="22"/>
          <w:szCs w:val="22"/>
        </w:rPr>
        <w:t>Professional Fee Change</w:t>
      </w:r>
    </w:p>
    <w:p w14:paraId="06E59DA3" w14:textId="09C95AC6" w:rsidR="00E114CC" w:rsidRPr="00CB54EA" w:rsidRDefault="00ED0700" w:rsidP="00ED0700">
      <w:pPr>
        <w:rPr>
          <w:rFonts w:asciiTheme="minorHAnsi" w:hAnsiTheme="minorHAnsi"/>
          <w:sz w:val="22"/>
          <w:szCs w:val="22"/>
        </w:rPr>
      </w:pPr>
      <w:r w:rsidRPr="00CB54EA">
        <w:rPr>
          <w:rFonts w:asciiTheme="minorHAnsi" w:hAnsiTheme="minorHAnsi"/>
          <w:sz w:val="22"/>
          <w:szCs w:val="22"/>
        </w:rPr>
        <w:t xml:space="preserve">Effective October 20, 2017, </w:t>
      </w:r>
      <w:r w:rsidR="003332C9" w:rsidRPr="00CB54EA">
        <w:rPr>
          <w:rFonts w:asciiTheme="minorHAnsi" w:hAnsiTheme="minorHAnsi"/>
          <w:sz w:val="22"/>
          <w:szCs w:val="22"/>
        </w:rPr>
        <w:t>MassHealth</w:t>
      </w:r>
      <w:r w:rsidRPr="00CB54EA">
        <w:rPr>
          <w:rFonts w:asciiTheme="minorHAnsi" w:hAnsiTheme="minorHAnsi"/>
          <w:sz w:val="22"/>
          <w:szCs w:val="22"/>
        </w:rPr>
        <w:t xml:space="preserve"> implemented a fee schedule increase for CHC</w:t>
      </w:r>
      <w:r w:rsidR="001B03FB" w:rsidRPr="00CB54EA">
        <w:rPr>
          <w:rFonts w:asciiTheme="minorHAnsi" w:hAnsiTheme="minorHAnsi"/>
          <w:sz w:val="22"/>
          <w:szCs w:val="22"/>
        </w:rPr>
        <w:t>s</w:t>
      </w:r>
      <w:r w:rsidRPr="00CB54EA">
        <w:rPr>
          <w:rFonts w:asciiTheme="minorHAnsi" w:hAnsiTheme="minorHAnsi"/>
          <w:sz w:val="22"/>
          <w:szCs w:val="22"/>
        </w:rPr>
        <w:t xml:space="preserve"> of 14.5%. </w:t>
      </w:r>
    </w:p>
    <w:p w14:paraId="370E663D" w14:textId="0DD77321" w:rsidR="00ED0700" w:rsidRPr="00CB54EA" w:rsidRDefault="00ED0700" w:rsidP="00ED0700">
      <w:pPr>
        <w:rPr>
          <w:rFonts w:asciiTheme="minorHAnsi" w:hAnsiTheme="minorHAnsi"/>
          <w:b/>
          <w:sz w:val="22"/>
          <w:szCs w:val="22"/>
        </w:rPr>
      </w:pPr>
      <w:r w:rsidRPr="00CB54EA">
        <w:rPr>
          <w:rFonts w:asciiTheme="minorHAnsi" w:hAnsiTheme="minorHAnsi"/>
          <w:sz w:val="22"/>
          <w:szCs w:val="22"/>
        </w:rPr>
        <w:t xml:space="preserve">Effective March 1, 2018, </w:t>
      </w:r>
      <w:r w:rsidR="003332C9" w:rsidRPr="00CB54EA">
        <w:rPr>
          <w:rFonts w:asciiTheme="minorHAnsi" w:hAnsiTheme="minorHAnsi"/>
          <w:sz w:val="22"/>
          <w:szCs w:val="22"/>
        </w:rPr>
        <w:t>MassHealth</w:t>
      </w:r>
      <w:r w:rsidRPr="00CB54EA">
        <w:rPr>
          <w:rFonts w:asciiTheme="minorHAnsi" w:hAnsiTheme="minorHAnsi"/>
          <w:sz w:val="22"/>
          <w:szCs w:val="22"/>
        </w:rPr>
        <w:t xml:space="preserve"> implement</w:t>
      </w:r>
      <w:r w:rsidR="00E114CC" w:rsidRPr="00CB54EA">
        <w:rPr>
          <w:rFonts w:asciiTheme="minorHAnsi" w:hAnsiTheme="minorHAnsi"/>
          <w:sz w:val="22"/>
          <w:szCs w:val="22"/>
        </w:rPr>
        <w:t>ed</w:t>
      </w:r>
      <w:r w:rsidRPr="00CB54EA">
        <w:rPr>
          <w:rFonts w:asciiTheme="minorHAnsi" w:hAnsiTheme="minorHAnsi"/>
          <w:sz w:val="22"/>
          <w:szCs w:val="22"/>
        </w:rPr>
        <w:t xml:space="preserve"> fee schedule increases of 5.5% for professional services; including, medicine, radiology, surgery, and anesthesia. Professional claims were adjusted for the rate increases. Crossover claims were analyzed for the impact of the fee schedule changes after Medicare cost sharing. The total impact to the professional </w:t>
      </w:r>
      <w:r w:rsidR="001B03FB" w:rsidRPr="00CB54EA">
        <w:rPr>
          <w:rFonts w:asciiTheme="minorHAnsi" w:hAnsiTheme="minorHAnsi"/>
          <w:sz w:val="22"/>
          <w:szCs w:val="22"/>
        </w:rPr>
        <w:t xml:space="preserve">COS </w:t>
      </w:r>
      <w:r w:rsidR="003332C9" w:rsidRPr="00CB54EA">
        <w:rPr>
          <w:rFonts w:asciiTheme="minorHAnsi" w:hAnsiTheme="minorHAnsi"/>
          <w:sz w:val="22"/>
          <w:szCs w:val="22"/>
        </w:rPr>
        <w:t xml:space="preserve">is provided </w:t>
      </w:r>
      <w:r w:rsidRPr="00CB54EA">
        <w:rPr>
          <w:rFonts w:asciiTheme="minorHAnsi" w:hAnsiTheme="minorHAnsi"/>
          <w:sz w:val="22"/>
          <w:szCs w:val="22"/>
        </w:rPr>
        <w:t>below:</w:t>
      </w:r>
    </w:p>
    <w:p w14:paraId="3E750089" w14:textId="4A5EEA42" w:rsidR="00ED0700" w:rsidRPr="00CB54EA" w:rsidRDefault="00ED0700" w:rsidP="00ED0700">
      <w:pPr>
        <w:pStyle w:val="TableHeadingText"/>
        <w:rPr>
          <w:rFonts w:asciiTheme="minorHAnsi" w:hAnsiTheme="minorHAnsi"/>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3332C9" w:rsidRPr="00CB54EA" w14:paraId="71997F10" w14:textId="77777777" w:rsidTr="003332C9">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75569ECB" w14:textId="77777777" w:rsidR="003332C9" w:rsidRPr="00CB54EA" w:rsidRDefault="003332C9" w:rsidP="003332C9">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1716BAA6"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5E03312B"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3B8227AC"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0B38BE4A"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1AE8D754"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3332C9" w:rsidRPr="00CB54EA" w14:paraId="4F640FB3" w14:textId="77777777" w:rsidTr="003332C9">
        <w:trPr>
          <w:cantSplit/>
          <w:trHeight w:val="298"/>
        </w:trPr>
        <w:tc>
          <w:tcPr>
            <w:tcW w:w="793" w:type="pct"/>
            <w:tcBorders>
              <w:top w:val="single" w:sz="8" w:space="0" w:color="auto"/>
            </w:tcBorders>
            <w:shd w:val="clear" w:color="auto" w:fill="auto"/>
          </w:tcPr>
          <w:p w14:paraId="28AC88F1"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E0E5067" w14:textId="64DD4258"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22.9%</w:t>
            </w:r>
          </w:p>
        </w:tc>
        <w:tc>
          <w:tcPr>
            <w:tcW w:w="842" w:type="pct"/>
            <w:tcBorders>
              <w:top w:val="single" w:sz="8" w:space="0" w:color="auto"/>
            </w:tcBorders>
            <w:shd w:val="clear" w:color="auto" w:fill="auto"/>
            <w:vAlign w:val="bottom"/>
          </w:tcPr>
          <w:p w14:paraId="062F6ADE" w14:textId="03D12F57"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18.9%</w:t>
            </w:r>
          </w:p>
        </w:tc>
        <w:tc>
          <w:tcPr>
            <w:tcW w:w="842" w:type="pct"/>
            <w:tcBorders>
              <w:top w:val="single" w:sz="8" w:space="0" w:color="auto"/>
            </w:tcBorders>
            <w:shd w:val="clear" w:color="auto" w:fill="auto"/>
            <w:vAlign w:val="bottom"/>
          </w:tcPr>
          <w:p w14:paraId="64238C68" w14:textId="778220E2"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21.5%</w:t>
            </w:r>
          </w:p>
        </w:tc>
        <w:tc>
          <w:tcPr>
            <w:tcW w:w="841" w:type="pct"/>
            <w:tcBorders>
              <w:top w:val="single" w:sz="8" w:space="0" w:color="auto"/>
            </w:tcBorders>
            <w:vAlign w:val="bottom"/>
          </w:tcPr>
          <w:p w14:paraId="42CE4FBE" w14:textId="5677449A"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tcBorders>
              <w:top w:val="single" w:sz="8" w:space="0" w:color="auto"/>
            </w:tcBorders>
            <w:shd w:val="clear" w:color="auto" w:fill="auto"/>
            <w:vAlign w:val="bottom"/>
          </w:tcPr>
          <w:p w14:paraId="7FD5FD51" w14:textId="345EF16D"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22.0%</w:t>
            </w:r>
          </w:p>
        </w:tc>
      </w:tr>
      <w:tr w:rsidR="003332C9" w:rsidRPr="00CB54EA" w14:paraId="5C0D9775" w14:textId="77777777" w:rsidTr="003332C9">
        <w:trPr>
          <w:cantSplit/>
          <w:trHeight w:val="298"/>
        </w:trPr>
        <w:tc>
          <w:tcPr>
            <w:tcW w:w="793" w:type="pct"/>
            <w:shd w:val="clear" w:color="auto" w:fill="auto"/>
          </w:tcPr>
          <w:p w14:paraId="4CBB28DB"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431B49CD" w14:textId="1E693FD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23.4%</w:t>
            </w:r>
          </w:p>
        </w:tc>
        <w:tc>
          <w:tcPr>
            <w:tcW w:w="842" w:type="pct"/>
            <w:shd w:val="clear" w:color="auto" w:fill="auto"/>
            <w:vAlign w:val="bottom"/>
          </w:tcPr>
          <w:p w14:paraId="08EB1B10" w14:textId="45F9BBAB"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20.3%</w:t>
            </w:r>
          </w:p>
        </w:tc>
        <w:tc>
          <w:tcPr>
            <w:tcW w:w="842" w:type="pct"/>
            <w:shd w:val="clear" w:color="auto" w:fill="auto"/>
            <w:vAlign w:val="bottom"/>
          </w:tcPr>
          <w:p w14:paraId="3E79E345" w14:textId="1778CCB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22.9%</w:t>
            </w:r>
          </w:p>
        </w:tc>
        <w:tc>
          <w:tcPr>
            <w:tcW w:w="841" w:type="pct"/>
            <w:vAlign w:val="bottom"/>
          </w:tcPr>
          <w:p w14:paraId="65109938" w14:textId="79276EB9"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shd w:val="clear" w:color="auto" w:fill="auto"/>
            <w:vAlign w:val="bottom"/>
          </w:tcPr>
          <w:p w14:paraId="48D2DA4D" w14:textId="4D8BF8FB"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22.1%</w:t>
            </w:r>
          </w:p>
        </w:tc>
      </w:tr>
      <w:tr w:rsidR="003332C9" w:rsidRPr="00CB54EA" w14:paraId="4A3FE400" w14:textId="77777777" w:rsidTr="003332C9">
        <w:trPr>
          <w:cantSplit/>
          <w:trHeight w:val="315"/>
        </w:trPr>
        <w:tc>
          <w:tcPr>
            <w:tcW w:w="793" w:type="pct"/>
            <w:shd w:val="clear" w:color="auto" w:fill="auto"/>
          </w:tcPr>
          <w:p w14:paraId="10785B64"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456D6C7" w14:textId="3E46601C"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24.6%</w:t>
            </w:r>
          </w:p>
        </w:tc>
        <w:tc>
          <w:tcPr>
            <w:tcW w:w="842" w:type="pct"/>
            <w:shd w:val="clear" w:color="auto" w:fill="auto"/>
            <w:vAlign w:val="bottom"/>
          </w:tcPr>
          <w:p w14:paraId="427A8D20" w14:textId="01F7060C"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21.1%</w:t>
            </w:r>
          </w:p>
        </w:tc>
        <w:tc>
          <w:tcPr>
            <w:tcW w:w="842" w:type="pct"/>
            <w:shd w:val="clear" w:color="auto" w:fill="auto"/>
            <w:vAlign w:val="bottom"/>
          </w:tcPr>
          <w:p w14:paraId="7284CFC6" w14:textId="0E5689CF"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23.6%</w:t>
            </w:r>
          </w:p>
        </w:tc>
        <w:tc>
          <w:tcPr>
            <w:tcW w:w="841" w:type="pct"/>
            <w:vAlign w:val="bottom"/>
          </w:tcPr>
          <w:p w14:paraId="6C23E63F" w14:textId="2084CCE1"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shd w:val="clear" w:color="auto" w:fill="auto"/>
            <w:vAlign w:val="bottom"/>
          </w:tcPr>
          <w:p w14:paraId="384500E3" w14:textId="5C5F7F7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26.1%</w:t>
            </w:r>
          </w:p>
        </w:tc>
      </w:tr>
    </w:tbl>
    <w:p w14:paraId="18F7FF9D" w14:textId="77777777" w:rsidR="00ED0700" w:rsidRPr="00CB54EA" w:rsidRDefault="00ED0700" w:rsidP="006B25A2">
      <w:pPr>
        <w:rPr>
          <w:rFonts w:asciiTheme="minorHAnsi" w:hAnsiTheme="minorHAnsi" w:cstheme="minorHAnsi"/>
          <w:b/>
          <w:i/>
          <w:sz w:val="22"/>
          <w:szCs w:val="22"/>
          <w:highlight w:val="yellow"/>
        </w:rPr>
      </w:pPr>
    </w:p>
    <w:p w14:paraId="5020E360"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lastRenderedPageBreak/>
        <w:t>Enrollee Contributions to Care:</w:t>
      </w:r>
    </w:p>
    <w:p w14:paraId="18BFBB96"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0E8C1794" w14:textId="77777777" w:rsidR="006B25A2" w:rsidRPr="00CB54EA" w:rsidRDefault="006B25A2" w:rsidP="006B25A2">
      <w:pPr>
        <w:rPr>
          <w:rFonts w:asciiTheme="minorHAnsi" w:hAnsiTheme="minorHAnsi" w:cstheme="minorHAnsi"/>
          <w:sz w:val="22"/>
          <w:szCs w:val="22"/>
        </w:rPr>
      </w:pPr>
    </w:p>
    <w:tbl>
      <w:tblPr>
        <w:tblW w:w="9504"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439"/>
        <w:gridCol w:w="1524"/>
        <w:gridCol w:w="1148"/>
        <w:gridCol w:w="1127"/>
        <w:gridCol w:w="1207"/>
        <w:gridCol w:w="1135"/>
        <w:gridCol w:w="962"/>
        <w:gridCol w:w="962"/>
      </w:tblGrid>
      <w:tr w:rsidR="00132491" w:rsidRPr="00CB54EA" w14:paraId="0CB19AF4" w14:textId="77777777" w:rsidTr="00505EDB">
        <w:trPr>
          <w:cantSplit/>
          <w:trHeight w:val="363"/>
          <w:tblHeader/>
        </w:trPr>
        <w:tc>
          <w:tcPr>
            <w:tcW w:w="757" w:type="pct"/>
            <w:tcBorders>
              <w:top w:val="single" w:sz="8" w:space="0" w:color="auto"/>
              <w:bottom w:val="single" w:sz="8" w:space="0" w:color="auto"/>
            </w:tcBorders>
            <w:shd w:val="clear" w:color="auto" w:fill="BFBFBF" w:themeFill="background1" w:themeFillShade="BF"/>
            <w:vAlign w:val="bottom"/>
          </w:tcPr>
          <w:p w14:paraId="2F713114" w14:textId="77777777" w:rsidR="00132491" w:rsidRPr="00CB54EA" w:rsidRDefault="00132491"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02" w:type="pct"/>
            <w:tcBorders>
              <w:top w:val="single" w:sz="8" w:space="0" w:color="auto"/>
              <w:bottom w:val="single" w:sz="8" w:space="0" w:color="auto"/>
            </w:tcBorders>
            <w:shd w:val="clear" w:color="auto" w:fill="BFBFBF" w:themeFill="background1" w:themeFillShade="BF"/>
            <w:vAlign w:val="bottom"/>
          </w:tcPr>
          <w:p w14:paraId="24749B78"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04" w:type="pct"/>
            <w:tcBorders>
              <w:top w:val="single" w:sz="8" w:space="0" w:color="auto"/>
              <w:bottom w:val="single" w:sz="8" w:space="0" w:color="auto"/>
            </w:tcBorders>
            <w:shd w:val="clear" w:color="auto" w:fill="BFBFBF" w:themeFill="background1" w:themeFillShade="BF"/>
            <w:vAlign w:val="bottom"/>
          </w:tcPr>
          <w:p w14:paraId="287CFDD9"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C2A</w:t>
            </w:r>
          </w:p>
        </w:tc>
        <w:tc>
          <w:tcPr>
            <w:tcW w:w="593" w:type="pct"/>
            <w:tcBorders>
              <w:top w:val="single" w:sz="8" w:space="0" w:color="auto"/>
              <w:bottom w:val="single" w:sz="8" w:space="0" w:color="auto"/>
            </w:tcBorders>
            <w:shd w:val="clear" w:color="auto" w:fill="BFBFBF" w:themeFill="background1" w:themeFillShade="BF"/>
            <w:vAlign w:val="bottom"/>
          </w:tcPr>
          <w:p w14:paraId="5E232A99"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C2B</w:t>
            </w:r>
          </w:p>
        </w:tc>
        <w:tc>
          <w:tcPr>
            <w:tcW w:w="635" w:type="pct"/>
            <w:tcBorders>
              <w:top w:val="single" w:sz="8" w:space="0" w:color="auto"/>
              <w:bottom w:val="single" w:sz="8" w:space="0" w:color="auto"/>
            </w:tcBorders>
            <w:shd w:val="clear" w:color="auto" w:fill="BFBFBF" w:themeFill="background1" w:themeFillShade="BF"/>
            <w:vAlign w:val="bottom"/>
          </w:tcPr>
          <w:p w14:paraId="06261557"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C3A</w:t>
            </w:r>
          </w:p>
        </w:tc>
        <w:tc>
          <w:tcPr>
            <w:tcW w:w="597" w:type="pct"/>
            <w:tcBorders>
              <w:top w:val="single" w:sz="8" w:space="0" w:color="auto"/>
              <w:bottom w:val="single" w:sz="8" w:space="0" w:color="auto"/>
            </w:tcBorders>
            <w:shd w:val="clear" w:color="auto" w:fill="BFBFBF" w:themeFill="background1" w:themeFillShade="BF"/>
            <w:vAlign w:val="bottom"/>
          </w:tcPr>
          <w:p w14:paraId="7E0D5157"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C3B</w:t>
            </w:r>
          </w:p>
        </w:tc>
        <w:tc>
          <w:tcPr>
            <w:tcW w:w="506" w:type="pct"/>
            <w:tcBorders>
              <w:top w:val="single" w:sz="8" w:space="0" w:color="auto"/>
              <w:bottom w:val="single" w:sz="8" w:space="0" w:color="auto"/>
            </w:tcBorders>
            <w:shd w:val="clear" w:color="auto" w:fill="BFBFBF" w:themeFill="background1" w:themeFillShade="BF"/>
          </w:tcPr>
          <w:p w14:paraId="7C617C5B" w14:textId="17E4018E"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506" w:type="pct"/>
            <w:tcBorders>
              <w:top w:val="single" w:sz="8" w:space="0" w:color="auto"/>
              <w:bottom w:val="single" w:sz="8" w:space="0" w:color="auto"/>
            </w:tcBorders>
            <w:shd w:val="clear" w:color="auto" w:fill="BFBFBF" w:themeFill="background1" w:themeFillShade="BF"/>
            <w:vAlign w:val="bottom"/>
          </w:tcPr>
          <w:p w14:paraId="5FF67349" w14:textId="52400089"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132491" w:rsidRPr="00CB54EA" w14:paraId="17CBB569" w14:textId="77777777" w:rsidTr="00505EDB">
        <w:trPr>
          <w:cantSplit/>
          <w:trHeight w:val="268"/>
        </w:trPr>
        <w:tc>
          <w:tcPr>
            <w:tcW w:w="757" w:type="pct"/>
            <w:tcBorders>
              <w:top w:val="single" w:sz="8" w:space="0" w:color="auto"/>
            </w:tcBorders>
            <w:shd w:val="clear" w:color="auto" w:fill="auto"/>
          </w:tcPr>
          <w:p w14:paraId="1492378B"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02" w:type="pct"/>
            <w:tcBorders>
              <w:top w:val="single" w:sz="8" w:space="0" w:color="auto"/>
            </w:tcBorders>
            <w:shd w:val="clear" w:color="auto" w:fill="auto"/>
            <w:vAlign w:val="bottom"/>
          </w:tcPr>
          <w:p w14:paraId="48698C1D"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tcBorders>
              <w:top w:val="single" w:sz="8" w:space="0" w:color="auto"/>
            </w:tcBorders>
            <w:vAlign w:val="bottom"/>
          </w:tcPr>
          <w:p w14:paraId="14310C5B"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tcBorders>
              <w:top w:val="single" w:sz="8" w:space="0" w:color="auto"/>
            </w:tcBorders>
            <w:shd w:val="clear" w:color="auto" w:fill="auto"/>
            <w:vAlign w:val="bottom"/>
          </w:tcPr>
          <w:p w14:paraId="38B3AE0A"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tcBorders>
              <w:top w:val="single" w:sz="8" w:space="0" w:color="auto"/>
            </w:tcBorders>
            <w:shd w:val="clear" w:color="auto" w:fill="auto"/>
            <w:vAlign w:val="bottom"/>
          </w:tcPr>
          <w:p w14:paraId="60288B33"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tcBorders>
              <w:top w:val="single" w:sz="8" w:space="0" w:color="auto"/>
            </w:tcBorders>
            <w:vAlign w:val="bottom"/>
          </w:tcPr>
          <w:p w14:paraId="0E710E01"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06" w:type="pct"/>
            <w:tcBorders>
              <w:top w:val="single" w:sz="8" w:space="0" w:color="auto"/>
            </w:tcBorders>
            <w:vAlign w:val="bottom"/>
          </w:tcPr>
          <w:p w14:paraId="0AF00767" w14:textId="232B7BAB"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tcBorders>
              <w:top w:val="single" w:sz="8" w:space="0" w:color="auto"/>
            </w:tcBorders>
            <w:shd w:val="clear" w:color="auto" w:fill="auto"/>
            <w:vAlign w:val="bottom"/>
          </w:tcPr>
          <w:p w14:paraId="2232F41D" w14:textId="3521097E"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8.0%</w:t>
            </w:r>
          </w:p>
        </w:tc>
      </w:tr>
      <w:tr w:rsidR="00132491" w:rsidRPr="00CB54EA" w14:paraId="7238E2BC" w14:textId="77777777" w:rsidTr="00505EDB">
        <w:trPr>
          <w:cantSplit/>
          <w:trHeight w:val="348"/>
        </w:trPr>
        <w:tc>
          <w:tcPr>
            <w:tcW w:w="757" w:type="pct"/>
            <w:shd w:val="clear" w:color="auto" w:fill="auto"/>
          </w:tcPr>
          <w:p w14:paraId="7CFB2B72"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02" w:type="pct"/>
            <w:shd w:val="clear" w:color="auto" w:fill="auto"/>
            <w:vAlign w:val="bottom"/>
          </w:tcPr>
          <w:p w14:paraId="4ABEBE5B"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vAlign w:val="bottom"/>
          </w:tcPr>
          <w:p w14:paraId="12999256"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shd w:val="clear" w:color="auto" w:fill="auto"/>
            <w:vAlign w:val="bottom"/>
          </w:tcPr>
          <w:p w14:paraId="288FA896"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shd w:val="clear" w:color="auto" w:fill="auto"/>
            <w:vAlign w:val="bottom"/>
          </w:tcPr>
          <w:p w14:paraId="2A4356F0"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vAlign w:val="bottom"/>
          </w:tcPr>
          <w:p w14:paraId="746B03DC"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0.2%</w:t>
            </w:r>
          </w:p>
        </w:tc>
        <w:tc>
          <w:tcPr>
            <w:tcW w:w="506" w:type="pct"/>
            <w:vAlign w:val="bottom"/>
          </w:tcPr>
          <w:p w14:paraId="282D83AE" w14:textId="09FECA6D"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shd w:val="clear" w:color="auto" w:fill="auto"/>
            <w:vAlign w:val="bottom"/>
          </w:tcPr>
          <w:p w14:paraId="4880047C" w14:textId="4F75F479"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9.8%</w:t>
            </w:r>
          </w:p>
        </w:tc>
      </w:tr>
      <w:tr w:rsidR="00132491" w:rsidRPr="00CB54EA" w14:paraId="70723196" w14:textId="77777777" w:rsidTr="00505EDB">
        <w:trPr>
          <w:cantSplit/>
          <w:trHeight w:val="350"/>
        </w:trPr>
        <w:tc>
          <w:tcPr>
            <w:tcW w:w="757" w:type="pct"/>
            <w:shd w:val="clear" w:color="auto" w:fill="auto"/>
          </w:tcPr>
          <w:p w14:paraId="0B5F3066"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02" w:type="pct"/>
            <w:shd w:val="clear" w:color="auto" w:fill="auto"/>
            <w:vAlign w:val="bottom"/>
          </w:tcPr>
          <w:p w14:paraId="5DD07452"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vAlign w:val="bottom"/>
          </w:tcPr>
          <w:p w14:paraId="210B61A1"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shd w:val="clear" w:color="auto" w:fill="auto"/>
            <w:vAlign w:val="bottom"/>
          </w:tcPr>
          <w:p w14:paraId="4CAD3049"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shd w:val="clear" w:color="auto" w:fill="auto"/>
            <w:vAlign w:val="bottom"/>
          </w:tcPr>
          <w:p w14:paraId="2B222F58"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vAlign w:val="bottom"/>
          </w:tcPr>
          <w:p w14:paraId="597F201A" w14:textId="7B30ADA8"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06" w:type="pct"/>
            <w:vAlign w:val="bottom"/>
          </w:tcPr>
          <w:p w14:paraId="21411EFE" w14:textId="0EA877D1"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shd w:val="clear" w:color="auto" w:fill="auto"/>
            <w:vAlign w:val="bottom"/>
          </w:tcPr>
          <w:p w14:paraId="7CFF7D2D" w14:textId="1582EEDC"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12.0%</w:t>
            </w:r>
          </w:p>
        </w:tc>
      </w:tr>
    </w:tbl>
    <w:p w14:paraId="7F88A5C7" w14:textId="77777777" w:rsidR="00A5441E" w:rsidRPr="00CB54EA" w:rsidRDefault="00A5441E" w:rsidP="006B25A2">
      <w:pPr>
        <w:rPr>
          <w:rFonts w:asciiTheme="minorHAnsi" w:hAnsiTheme="minorHAnsi" w:cstheme="minorHAnsi"/>
          <w:b/>
          <w:i/>
          <w:sz w:val="22"/>
          <w:szCs w:val="22"/>
        </w:rPr>
      </w:pPr>
    </w:p>
    <w:p w14:paraId="62BA00E0"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t>Trend Factors Applied to Adjusted Historical Base Data:</w:t>
      </w:r>
    </w:p>
    <w:p w14:paraId="6A1DCD65" w14:textId="77777777" w:rsidR="00E61BA8" w:rsidRPr="00CB54EA" w:rsidRDefault="006B25A2" w:rsidP="00E61BA8">
      <w:pPr>
        <w:rPr>
          <w:rFonts w:asciiTheme="minorHAnsi" w:hAnsiTheme="minorHAnsi"/>
          <w:sz w:val="22"/>
          <w:szCs w:val="22"/>
        </w:rPr>
      </w:pPr>
      <w:r w:rsidRPr="00CB54EA">
        <w:rPr>
          <w:rFonts w:asciiTheme="minorHAnsi" w:hAnsiTheme="minorHAnsi" w:cstheme="minorHAnsi"/>
          <w:sz w:val="22"/>
          <w:szCs w:val="22"/>
        </w:rPr>
        <w:t xml:space="preserve">The following trend factors have been applied </w:t>
      </w:r>
      <w:r w:rsidRPr="00CB54EA">
        <w:rPr>
          <w:rFonts w:asciiTheme="minorHAnsi" w:hAnsiTheme="minorHAnsi"/>
          <w:sz w:val="22"/>
          <w:szCs w:val="22"/>
        </w:rPr>
        <w:t xml:space="preserve">for </w:t>
      </w:r>
      <w:r w:rsidR="00E61BA8" w:rsidRPr="00CB54EA">
        <w:rPr>
          <w:rFonts w:asciiTheme="minorHAnsi" w:hAnsiTheme="minorHAnsi"/>
          <w:sz w:val="22"/>
          <w:szCs w:val="22"/>
        </w:rPr>
        <w:t>30 months from the midpoint of the base period (January 1, 2016) to the midpoint of the contract period (July 1, 2018) for most RCs. However, for C3C rates, trend was applied for 37.5 months from the midpoint of the base period (July 1, 2015) to the midpoint of the contract period (August 16, 2018).</w:t>
      </w:r>
    </w:p>
    <w:p w14:paraId="145D802C" w14:textId="1D685E61" w:rsidR="00E61BA8" w:rsidRPr="00CB54EA" w:rsidRDefault="00C00698" w:rsidP="00E61BA8">
      <w:pPr>
        <w:rPr>
          <w:rFonts w:asciiTheme="minorHAnsi" w:hAnsiTheme="minorHAnsi"/>
          <w:sz w:val="22"/>
          <w:szCs w:val="22"/>
        </w:rPr>
      </w:pPr>
      <w:r w:rsidRPr="00CB54EA">
        <w:rPr>
          <w:rFonts w:asciiTheme="minorHAnsi" w:hAnsiTheme="minorHAnsi"/>
          <w:sz w:val="22"/>
          <w:szCs w:val="22"/>
        </w:rPr>
        <w:t xml:space="preserve">Annual trend factors were developed separately for each major COS. </w:t>
      </w:r>
      <w:r w:rsidR="00E61BA8" w:rsidRPr="00CB54EA">
        <w:rPr>
          <w:rFonts w:asciiTheme="minorHAnsi" w:hAnsiTheme="minorHAnsi"/>
          <w:sz w:val="22"/>
          <w:szCs w:val="22"/>
        </w:rPr>
        <w:t>Minor programmatic changes</w:t>
      </w:r>
      <w:r w:rsidRPr="00CB54EA">
        <w:rPr>
          <w:rFonts w:asciiTheme="minorHAnsi" w:hAnsiTheme="minorHAnsi"/>
          <w:sz w:val="22"/>
          <w:szCs w:val="22"/>
        </w:rPr>
        <w:t xml:space="preserve"> </w:t>
      </w:r>
      <w:r w:rsidR="00E61BA8" w:rsidRPr="00CB54EA">
        <w:rPr>
          <w:rFonts w:asciiTheme="minorHAnsi" w:hAnsiTheme="minorHAnsi"/>
          <w:sz w:val="22"/>
          <w:szCs w:val="22"/>
        </w:rPr>
        <w:t>were considered in the development of trend factors.</w:t>
      </w:r>
    </w:p>
    <w:p w14:paraId="3553C95A" w14:textId="77777777" w:rsidR="006B25A2" w:rsidRPr="00CB54EA" w:rsidRDefault="006B25A2" w:rsidP="006B25A2">
      <w:pPr>
        <w:tabs>
          <w:tab w:val="left" w:pos="0"/>
        </w:tabs>
        <w:autoSpaceDE w:val="0"/>
        <w:autoSpaceDN w:val="0"/>
        <w:adjustRightInd w:val="0"/>
        <w:rPr>
          <w:rFonts w:asciiTheme="minorHAnsi" w:hAnsiTheme="minorHAnsi"/>
          <w:sz w:val="22"/>
          <w:szCs w:val="22"/>
        </w:rPr>
      </w:pP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4A0" w:firstRow="1" w:lastRow="0" w:firstColumn="1" w:lastColumn="0" w:noHBand="0" w:noVBand="1"/>
      </w:tblPr>
      <w:tblGrid>
        <w:gridCol w:w="3161"/>
        <w:gridCol w:w="1301"/>
        <w:gridCol w:w="1297"/>
        <w:gridCol w:w="1275"/>
        <w:gridCol w:w="1254"/>
        <w:gridCol w:w="1252"/>
      </w:tblGrid>
      <w:tr w:rsidR="00255FE2" w:rsidRPr="00CB54EA" w14:paraId="5ED1A3C3" w14:textId="77777777" w:rsidTr="00505EDB">
        <w:trPr>
          <w:cantSplit/>
          <w:trHeight w:val="359"/>
          <w:tblHeader/>
        </w:trPr>
        <w:tc>
          <w:tcPr>
            <w:tcW w:w="1657" w:type="pct"/>
            <w:tcBorders>
              <w:top w:val="single" w:sz="8" w:space="0" w:color="auto"/>
              <w:bottom w:val="single" w:sz="8" w:space="0" w:color="auto"/>
            </w:tcBorders>
            <w:shd w:val="clear" w:color="auto" w:fill="BFBFBF" w:themeFill="background1" w:themeFillShade="BF"/>
            <w:noWrap/>
            <w:vAlign w:val="bottom"/>
            <w:hideMark/>
          </w:tcPr>
          <w:p w14:paraId="6A604B93" w14:textId="36FC6707" w:rsidR="00E61BA8" w:rsidRPr="00CB54EA" w:rsidRDefault="00E61BA8"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Category of Service</w:t>
            </w:r>
          </w:p>
        </w:tc>
        <w:tc>
          <w:tcPr>
            <w:tcW w:w="682" w:type="pct"/>
            <w:tcBorders>
              <w:top w:val="single" w:sz="8" w:space="0" w:color="auto"/>
              <w:bottom w:val="single" w:sz="8" w:space="0" w:color="auto"/>
            </w:tcBorders>
            <w:shd w:val="clear" w:color="auto" w:fill="BFBFBF" w:themeFill="background1" w:themeFillShade="BF"/>
            <w:noWrap/>
            <w:vAlign w:val="bottom"/>
            <w:hideMark/>
          </w:tcPr>
          <w:p w14:paraId="0B4023FE"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80" w:type="pct"/>
            <w:tcBorders>
              <w:top w:val="single" w:sz="8" w:space="0" w:color="auto"/>
              <w:bottom w:val="single" w:sz="8" w:space="0" w:color="auto"/>
            </w:tcBorders>
            <w:shd w:val="clear" w:color="auto" w:fill="BFBFBF" w:themeFill="background1" w:themeFillShade="BF"/>
            <w:noWrap/>
            <w:vAlign w:val="bottom"/>
            <w:hideMark/>
          </w:tcPr>
          <w:p w14:paraId="36B175BB"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668" w:type="pct"/>
            <w:tcBorders>
              <w:top w:val="single" w:sz="8" w:space="0" w:color="auto"/>
              <w:bottom w:val="single" w:sz="8" w:space="0" w:color="auto"/>
            </w:tcBorders>
            <w:shd w:val="clear" w:color="auto" w:fill="BFBFBF" w:themeFill="background1" w:themeFillShade="BF"/>
            <w:noWrap/>
            <w:vAlign w:val="bottom"/>
            <w:hideMark/>
          </w:tcPr>
          <w:p w14:paraId="50FE5216"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657" w:type="pct"/>
            <w:tcBorders>
              <w:top w:val="single" w:sz="8" w:space="0" w:color="auto"/>
              <w:bottom w:val="single" w:sz="8" w:space="0" w:color="auto"/>
            </w:tcBorders>
            <w:shd w:val="clear" w:color="auto" w:fill="BFBFBF" w:themeFill="background1" w:themeFillShade="BF"/>
          </w:tcPr>
          <w:p w14:paraId="7FBB14CA" w14:textId="1473A6FB"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656" w:type="pct"/>
            <w:tcBorders>
              <w:top w:val="single" w:sz="8" w:space="0" w:color="auto"/>
              <w:bottom w:val="single" w:sz="8" w:space="0" w:color="auto"/>
            </w:tcBorders>
            <w:shd w:val="clear" w:color="auto" w:fill="BFBFBF" w:themeFill="background1" w:themeFillShade="BF"/>
            <w:noWrap/>
            <w:vAlign w:val="bottom"/>
            <w:hideMark/>
          </w:tcPr>
          <w:p w14:paraId="479FF6F3" w14:textId="51CEA5CA"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55FE2" w:rsidRPr="00CB54EA" w14:paraId="7762C092" w14:textId="77777777" w:rsidTr="00505EDB">
        <w:trPr>
          <w:cantSplit/>
          <w:trHeight w:val="359"/>
        </w:trPr>
        <w:tc>
          <w:tcPr>
            <w:tcW w:w="1657" w:type="pct"/>
            <w:tcBorders>
              <w:top w:val="single" w:sz="8" w:space="0" w:color="auto"/>
            </w:tcBorders>
            <w:shd w:val="clear" w:color="auto" w:fill="auto"/>
            <w:noWrap/>
            <w:hideMark/>
          </w:tcPr>
          <w:p w14:paraId="2B8467BA"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Inpatient-Non-MH/SA</w:t>
            </w:r>
          </w:p>
        </w:tc>
        <w:tc>
          <w:tcPr>
            <w:tcW w:w="682" w:type="pct"/>
            <w:tcBorders>
              <w:top w:val="single" w:sz="8" w:space="0" w:color="auto"/>
            </w:tcBorders>
            <w:shd w:val="clear" w:color="auto" w:fill="auto"/>
            <w:noWrap/>
            <w:vAlign w:val="bottom"/>
          </w:tcPr>
          <w:p w14:paraId="118C1607" w14:textId="62448FF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1.0%</w:t>
            </w:r>
          </w:p>
        </w:tc>
        <w:tc>
          <w:tcPr>
            <w:tcW w:w="680" w:type="pct"/>
            <w:tcBorders>
              <w:top w:val="single" w:sz="8" w:space="0" w:color="auto"/>
            </w:tcBorders>
            <w:shd w:val="clear" w:color="auto" w:fill="auto"/>
            <w:noWrap/>
            <w:vAlign w:val="bottom"/>
          </w:tcPr>
          <w:p w14:paraId="4635BAA6" w14:textId="7B53E56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68" w:type="pct"/>
            <w:tcBorders>
              <w:top w:val="single" w:sz="8" w:space="0" w:color="auto"/>
            </w:tcBorders>
            <w:shd w:val="clear" w:color="auto" w:fill="auto"/>
            <w:noWrap/>
            <w:vAlign w:val="bottom"/>
          </w:tcPr>
          <w:p w14:paraId="16463D50" w14:textId="5C945EC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tcBorders>
              <w:top w:val="single" w:sz="8" w:space="0" w:color="auto"/>
            </w:tcBorders>
            <w:vAlign w:val="bottom"/>
          </w:tcPr>
          <w:p w14:paraId="38FC9A09" w14:textId="38E98B7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tcBorders>
              <w:top w:val="single" w:sz="8" w:space="0" w:color="auto"/>
            </w:tcBorders>
            <w:shd w:val="clear" w:color="auto" w:fill="auto"/>
            <w:noWrap/>
            <w:vAlign w:val="bottom"/>
          </w:tcPr>
          <w:p w14:paraId="1FAAD2B9" w14:textId="47F97B37"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w:t>
            </w:r>
            <w:r w:rsidR="00E61BA8" w:rsidRPr="00CB54EA">
              <w:rPr>
                <w:rFonts w:asciiTheme="minorHAnsi" w:hAnsiTheme="minorHAnsi" w:cstheme="minorHAnsi"/>
                <w:bCs/>
                <w:sz w:val="22"/>
                <w:szCs w:val="22"/>
              </w:rPr>
              <w:t>.0%</w:t>
            </w:r>
          </w:p>
        </w:tc>
      </w:tr>
      <w:tr w:rsidR="00255FE2" w:rsidRPr="00CB54EA" w14:paraId="69C4D276" w14:textId="77777777" w:rsidTr="00505EDB">
        <w:trPr>
          <w:cantSplit/>
          <w:trHeight w:val="339"/>
        </w:trPr>
        <w:tc>
          <w:tcPr>
            <w:tcW w:w="1657" w:type="pct"/>
            <w:shd w:val="clear" w:color="auto" w:fill="auto"/>
            <w:noWrap/>
            <w:hideMark/>
          </w:tcPr>
          <w:p w14:paraId="2282982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Inpatient MH/SA</w:t>
            </w:r>
          </w:p>
        </w:tc>
        <w:tc>
          <w:tcPr>
            <w:tcW w:w="682" w:type="pct"/>
            <w:shd w:val="clear" w:color="auto" w:fill="auto"/>
            <w:noWrap/>
            <w:vAlign w:val="bottom"/>
          </w:tcPr>
          <w:p w14:paraId="0714C8FF" w14:textId="4304171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1.0%</w:t>
            </w:r>
          </w:p>
        </w:tc>
        <w:tc>
          <w:tcPr>
            <w:tcW w:w="680" w:type="pct"/>
            <w:shd w:val="clear" w:color="auto" w:fill="auto"/>
            <w:noWrap/>
            <w:vAlign w:val="bottom"/>
          </w:tcPr>
          <w:p w14:paraId="436F9F86" w14:textId="0EF776D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68" w:type="pct"/>
            <w:shd w:val="clear" w:color="auto" w:fill="auto"/>
            <w:noWrap/>
            <w:vAlign w:val="bottom"/>
          </w:tcPr>
          <w:p w14:paraId="2C47BD0F" w14:textId="4696347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9CD37A2" w14:textId="72981EA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572CB912" w14:textId="48F8CDDD"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w:t>
            </w:r>
            <w:r w:rsidR="00E61BA8" w:rsidRPr="00CB54EA">
              <w:rPr>
                <w:rFonts w:asciiTheme="minorHAnsi" w:hAnsiTheme="minorHAnsi" w:cstheme="minorHAnsi"/>
                <w:bCs/>
                <w:sz w:val="22"/>
                <w:szCs w:val="22"/>
              </w:rPr>
              <w:t>.0%</w:t>
            </w:r>
          </w:p>
        </w:tc>
      </w:tr>
      <w:tr w:rsidR="00255FE2" w:rsidRPr="00CB54EA" w14:paraId="3F0BBDE1" w14:textId="77777777" w:rsidTr="00505EDB">
        <w:trPr>
          <w:cantSplit/>
          <w:trHeight w:val="359"/>
        </w:trPr>
        <w:tc>
          <w:tcPr>
            <w:tcW w:w="1657" w:type="pct"/>
            <w:shd w:val="clear" w:color="auto" w:fill="auto"/>
            <w:noWrap/>
            <w:hideMark/>
          </w:tcPr>
          <w:p w14:paraId="3ECADA6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Hospital Outpatient</w:t>
            </w:r>
          </w:p>
        </w:tc>
        <w:tc>
          <w:tcPr>
            <w:tcW w:w="682" w:type="pct"/>
            <w:shd w:val="clear" w:color="auto" w:fill="auto"/>
            <w:noWrap/>
            <w:vAlign w:val="bottom"/>
          </w:tcPr>
          <w:p w14:paraId="072A4E1C" w14:textId="0B67EC2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7D0338B9" w14:textId="2CDBB17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7FA40604" w14:textId="0333200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56758E9A" w14:textId="50DC14D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5287CE8C" w14:textId="0BFE6BCF"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2.5</w:t>
            </w:r>
            <w:r w:rsidR="00E61BA8" w:rsidRPr="00CB54EA">
              <w:rPr>
                <w:rFonts w:asciiTheme="minorHAnsi" w:hAnsiTheme="minorHAnsi" w:cstheme="minorHAnsi"/>
                <w:bCs/>
                <w:sz w:val="22"/>
                <w:szCs w:val="22"/>
              </w:rPr>
              <w:t>%</w:t>
            </w:r>
          </w:p>
        </w:tc>
      </w:tr>
      <w:tr w:rsidR="00255FE2" w:rsidRPr="00CB54EA" w14:paraId="36674B45" w14:textId="77777777" w:rsidTr="00505EDB">
        <w:trPr>
          <w:cantSplit/>
          <w:trHeight w:val="339"/>
        </w:trPr>
        <w:tc>
          <w:tcPr>
            <w:tcW w:w="1657" w:type="pct"/>
            <w:shd w:val="clear" w:color="auto" w:fill="auto"/>
            <w:noWrap/>
            <w:hideMark/>
          </w:tcPr>
          <w:p w14:paraId="4080459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Outpatient MH/SA</w:t>
            </w:r>
          </w:p>
        </w:tc>
        <w:tc>
          <w:tcPr>
            <w:tcW w:w="682" w:type="pct"/>
            <w:shd w:val="clear" w:color="auto" w:fill="auto"/>
            <w:noWrap/>
            <w:vAlign w:val="bottom"/>
          </w:tcPr>
          <w:p w14:paraId="13FA9E6E" w14:textId="5B5FAC0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109C9D02" w14:textId="0057E82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63400E4C" w14:textId="47712B6E"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6C689217" w14:textId="2618CD8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2B7158C5" w14:textId="3A7A937B"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2.5</w:t>
            </w:r>
            <w:r w:rsidR="00E61BA8" w:rsidRPr="00CB54EA">
              <w:rPr>
                <w:rFonts w:asciiTheme="minorHAnsi" w:hAnsiTheme="minorHAnsi" w:cstheme="minorHAnsi"/>
                <w:bCs/>
                <w:sz w:val="22"/>
                <w:szCs w:val="22"/>
              </w:rPr>
              <w:t>%</w:t>
            </w:r>
          </w:p>
        </w:tc>
      </w:tr>
      <w:tr w:rsidR="00255FE2" w:rsidRPr="00CB54EA" w14:paraId="58D85840" w14:textId="77777777" w:rsidTr="00505EDB">
        <w:trPr>
          <w:cantSplit/>
          <w:trHeight w:val="339"/>
        </w:trPr>
        <w:tc>
          <w:tcPr>
            <w:tcW w:w="1657" w:type="pct"/>
            <w:shd w:val="clear" w:color="auto" w:fill="auto"/>
            <w:noWrap/>
            <w:hideMark/>
          </w:tcPr>
          <w:p w14:paraId="33BF576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Professional</w:t>
            </w:r>
          </w:p>
        </w:tc>
        <w:tc>
          <w:tcPr>
            <w:tcW w:w="682" w:type="pct"/>
            <w:shd w:val="clear" w:color="auto" w:fill="auto"/>
            <w:noWrap/>
            <w:vAlign w:val="bottom"/>
          </w:tcPr>
          <w:p w14:paraId="4E88F33E" w14:textId="5B9BF4F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76E86FC8" w14:textId="0910FC4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4E1538D4" w14:textId="6BAAD5C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21370856" w14:textId="2091A82F"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1F31E985" w14:textId="0B78A0C4"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w:t>
            </w:r>
            <w:r w:rsidR="001B03FB" w:rsidRPr="00CB54EA">
              <w:rPr>
                <w:rFonts w:asciiTheme="minorHAnsi" w:hAnsiTheme="minorHAnsi"/>
                <w:sz w:val="22"/>
                <w:szCs w:val="22"/>
              </w:rPr>
              <w:t>5</w:t>
            </w:r>
            <w:r w:rsidRPr="00CB54EA">
              <w:rPr>
                <w:rFonts w:asciiTheme="minorHAnsi" w:hAnsiTheme="minorHAnsi"/>
                <w:sz w:val="22"/>
                <w:szCs w:val="22"/>
              </w:rPr>
              <w:t>%</w:t>
            </w:r>
          </w:p>
        </w:tc>
      </w:tr>
      <w:tr w:rsidR="00255FE2" w:rsidRPr="00CB54EA" w14:paraId="2A69668A" w14:textId="77777777" w:rsidTr="00505EDB">
        <w:trPr>
          <w:cantSplit/>
          <w:trHeight w:val="339"/>
        </w:trPr>
        <w:tc>
          <w:tcPr>
            <w:tcW w:w="1657" w:type="pct"/>
            <w:shd w:val="clear" w:color="auto" w:fill="auto"/>
            <w:noWrap/>
            <w:hideMark/>
          </w:tcPr>
          <w:p w14:paraId="7EBE6D4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HCBS/Home Health</w:t>
            </w:r>
          </w:p>
        </w:tc>
        <w:tc>
          <w:tcPr>
            <w:tcW w:w="682" w:type="pct"/>
            <w:shd w:val="clear" w:color="auto" w:fill="auto"/>
            <w:noWrap/>
            <w:vAlign w:val="bottom"/>
          </w:tcPr>
          <w:p w14:paraId="6A7361C8" w14:textId="68C37AE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677B34F5" w14:textId="2E4DEF3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7CAB8C24" w14:textId="7EDE026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57" w:type="pct"/>
            <w:vAlign w:val="bottom"/>
          </w:tcPr>
          <w:p w14:paraId="6F00088E" w14:textId="0EEDDB6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56" w:type="pct"/>
            <w:shd w:val="clear" w:color="auto" w:fill="auto"/>
            <w:noWrap/>
            <w:vAlign w:val="bottom"/>
          </w:tcPr>
          <w:p w14:paraId="5C2C4BEB" w14:textId="2DBC32D5"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3</w:t>
            </w:r>
            <w:r w:rsidR="00E61BA8" w:rsidRPr="00CB54EA">
              <w:rPr>
                <w:rFonts w:asciiTheme="minorHAnsi" w:hAnsiTheme="minorHAnsi"/>
                <w:sz w:val="22"/>
                <w:szCs w:val="22"/>
              </w:rPr>
              <w:t>.0%</w:t>
            </w:r>
          </w:p>
        </w:tc>
      </w:tr>
      <w:tr w:rsidR="00255FE2" w:rsidRPr="00CB54EA" w14:paraId="5B804B6B" w14:textId="77777777" w:rsidTr="00505EDB">
        <w:trPr>
          <w:cantSplit/>
          <w:trHeight w:val="339"/>
        </w:trPr>
        <w:tc>
          <w:tcPr>
            <w:tcW w:w="1657" w:type="pct"/>
            <w:shd w:val="clear" w:color="auto" w:fill="auto"/>
            <w:noWrap/>
            <w:hideMark/>
          </w:tcPr>
          <w:p w14:paraId="288F92C0"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LTC Facility</w:t>
            </w:r>
          </w:p>
        </w:tc>
        <w:tc>
          <w:tcPr>
            <w:tcW w:w="682" w:type="pct"/>
            <w:shd w:val="clear" w:color="auto" w:fill="auto"/>
            <w:noWrap/>
            <w:vAlign w:val="bottom"/>
          </w:tcPr>
          <w:p w14:paraId="26FDA8B1" w14:textId="19AEDCE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80" w:type="pct"/>
            <w:shd w:val="clear" w:color="auto" w:fill="auto"/>
            <w:noWrap/>
            <w:vAlign w:val="bottom"/>
          </w:tcPr>
          <w:p w14:paraId="6C3D5914" w14:textId="645E0CB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68" w:type="pct"/>
            <w:shd w:val="clear" w:color="auto" w:fill="auto"/>
            <w:noWrap/>
            <w:vAlign w:val="bottom"/>
          </w:tcPr>
          <w:p w14:paraId="088F38C0" w14:textId="071AD786"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57" w:type="pct"/>
            <w:vAlign w:val="bottom"/>
          </w:tcPr>
          <w:p w14:paraId="3233E8D6" w14:textId="5605FCF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56" w:type="pct"/>
            <w:shd w:val="clear" w:color="auto" w:fill="auto"/>
            <w:noWrap/>
            <w:vAlign w:val="bottom"/>
          </w:tcPr>
          <w:p w14:paraId="7980C130" w14:textId="27F6CEA0"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1.8</w:t>
            </w:r>
            <w:r w:rsidR="00E61BA8" w:rsidRPr="00CB54EA">
              <w:rPr>
                <w:rFonts w:asciiTheme="minorHAnsi" w:hAnsiTheme="minorHAnsi"/>
                <w:sz w:val="22"/>
                <w:szCs w:val="22"/>
              </w:rPr>
              <w:t>%</w:t>
            </w:r>
          </w:p>
        </w:tc>
      </w:tr>
      <w:tr w:rsidR="00255FE2" w:rsidRPr="00CB54EA" w14:paraId="39F7AF9F" w14:textId="77777777" w:rsidTr="00505EDB">
        <w:trPr>
          <w:cantSplit/>
          <w:trHeight w:val="339"/>
        </w:trPr>
        <w:tc>
          <w:tcPr>
            <w:tcW w:w="1657" w:type="pct"/>
            <w:shd w:val="clear" w:color="auto" w:fill="auto"/>
            <w:noWrap/>
            <w:hideMark/>
          </w:tcPr>
          <w:p w14:paraId="63DA20CF"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Pharmacy (Non-Part D)</w:t>
            </w:r>
          </w:p>
        </w:tc>
        <w:tc>
          <w:tcPr>
            <w:tcW w:w="682" w:type="pct"/>
            <w:shd w:val="clear" w:color="auto" w:fill="auto"/>
            <w:noWrap/>
            <w:vAlign w:val="bottom"/>
          </w:tcPr>
          <w:p w14:paraId="42299657" w14:textId="200C37A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5.4%</w:t>
            </w:r>
          </w:p>
        </w:tc>
        <w:tc>
          <w:tcPr>
            <w:tcW w:w="680" w:type="pct"/>
            <w:shd w:val="clear" w:color="auto" w:fill="auto"/>
            <w:noWrap/>
            <w:vAlign w:val="bottom"/>
          </w:tcPr>
          <w:p w14:paraId="50796C15" w14:textId="0FBEE72B"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2.4%</w:t>
            </w:r>
          </w:p>
        </w:tc>
        <w:tc>
          <w:tcPr>
            <w:tcW w:w="668" w:type="pct"/>
            <w:shd w:val="clear" w:color="auto" w:fill="auto"/>
            <w:noWrap/>
            <w:vAlign w:val="bottom"/>
          </w:tcPr>
          <w:p w14:paraId="5D3451B8" w14:textId="29B721A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1.9%</w:t>
            </w:r>
          </w:p>
        </w:tc>
        <w:tc>
          <w:tcPr>
            <w:tcW w:w="657" w:type="pct"/>
            <w:vAlign w:val="bottom"/>
          </w:tcPr>
          <w:p w14:paraId="7AEF6655" w14:textId="3EC58830"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1.9%</w:t>
            </w:r>
          </w:p>
        </w:tc>
        <w:tc>
          <w:tcPr>
            <w:tcW w:w="656" w:type="pct"/>
            <w:shd w:val="clear" w:color="auto" w:fill="auto"/>
            <w:noWrap/>
            <w:vAlign w:val="bottom"/>
          </w:tcPr>
          <w:p w14:paraId="3B2FF5DB" w14:textId="4261A146"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1.9</w:t>
            </w:r>
            <w:r w:rsidR="00E61BA8" w:rsidRPr="00CB54EA">
              <w:rPr>
                <w:rFonts w:asciiTheme="minorHAnsi" w:hAnsiTheme="minorHAnsi"/>
                <w:sz w:val="22"/>
                <w:szCs w:val="22"/>
              </w:rPr>
              <w:t>%</w:t>
            </w:r>
          </w:p>
        </w:tc>
      </w:tr>
      <w:tr w:rsidR="00255FE2" w:rsidRPr="00CB54EA" w14:paraId="169004DA" w14:textId="77777777" w:rsidTr="00505EDB">
        <w:trPr>
          <w:cantSplit/>
          <w:trHeight w:val="339"/>
        </w:trPr>
        <w:tc>
          <w:tcPr>
            <w:tcW w:w="1657" w:type="pct"/>
            <w:shd w:val="clear" w:color="auto" w:fill="auto"/>
            <w:noWrap/>
            <w:hideMark/>
          </w:tcPr>
          <w:p w14:paraId="6E19312A"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DME and Supplies</w:t>
            </w:r>
          </w:p>
        </w:tc>
        <w:tc>
          <w:tcPr>
            <w:tcW w:w="682" w:type="pct"/>
            <w:shd w:val="clear" w:color="auto" w:fill="auto"/>
            <w:noWrap/>
            <w:vAlign w:val="bottom"/>
          </w:tcPr>
          <w:p w14:paraId="57800042" w14:textId="09766FE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6496C24F" w14:textId="1FB0639D"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06A944D8" w14:textId="4CEA3E5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1894FBA" w14:textId="3B065CB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26C2B46A" w14:textId="5165CA2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r>
      <w:tr w:rsidR="00255FE2" w:rsidRPr="00CB54EA" w14:paraId="41AC0840" w14:textId="77777777" w:rsidTr="00505EDB">
        <w:trPr>
          <w:cantSplit/>
          <w:trHeight w:val="339"/>
        </w:trPr>
        <w:tc>
          <w:tcPr>
            <w:tcW w:w="1657" w:type="pct"/>
            <w:shd w:val="clear" w:color="auto" w:fill="auto"/>
            <w:noWrap/>
            <w:hideMark/>
          </w:tcPr>
          <w:p w14:paraId="2E16D77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Transportation</w:t>
            </w:r>
          </w:p>
        </w:tc>
        <w:tc>
          <w:tcPr>
            <w:tcW w:w="682" w:type="pct"/>
            <w:shd w:val="clear" w:color="auto" w:fill="auto"/>
            <w:noWrap/>
            <w:vAlign w:val="bottom"/>
          </w:tcPr>
          <w:p w14:paraId="3D54D9E1" w14:textId="4908DF0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7B376AEB" w14:textId="74611DD4"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180DC5F0" w14:textId="4CC24BBF"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50A9D29" w14:textId="7E20036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636F58BC" w14:textId="3674C968"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2.5</w:t>
            </w:r>
            <w:r w:rsidR="00E61BA8" w:rsidRPr="00CB54EA">
              <w:rPr>
                <w:rFonts w:asciiTheme="minorHAnsi" w:hAnsiTheme="minorHAnsi"/>
                <w:sz w:val="22"/>
                <w:szCs w:val="22"/>
              </w:rPr>
              <w:t>%</w:t>
            </w:r>
          </w:p>
        </w:tc>
      </w:tr>
      <w:tr w:rsidR="00255FE2" w:rsidRPr="00CB54EA" w14:paraId="283B9E84" w14:textId="77777777" w:rsidTr="00505EDB">
        <w:trPr>
          <w:cantSplit/>
          <w:trHeight w:val="339"/>
        </w:trPr>
        <w:tc>
          <w:tcPr>
            <w:tcW w:w="1657" w:type="pct"/>
            <w:shd w:val="clear" w:color="auto" w:fill="auto"/>
            <w:noWrap/>
            <w:hideMark/>
          </w:tcPr>
          <w:p w14:paraId="7FC564E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All Other</w:t>
            </w:r>
          </w:p>
        </w:tc>
        <w:tc>
          <w:tcPr>
            <w:tcW w:w="682" w:type="pct"/>
            <w:shd w:val="clear" w:color="auto" w:fill="auto"/>
            <w:noWrap/>
            <w:vAlign w:val="bottom"/>
          </w:tcPr>
          <w:p w14:paraId="52BDC498" w14:textId="4ADD683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552BD5A8" w14:textId="2AF2FFC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0DB07117" w14:textId="474B8FA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4EE80127" w14:textId="2D2EF98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44EF37C7" w14:textId="395F5F7E"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2.5</w:t>
            </w:r>
            <w:r w:rsidR="00E61BA8" w:rsidRPr="00CB54EA">
              <w:rPr>
                <w:rFonts w:asciiTheme="minorHAnsi" w:hAnsiTheme="minorHAnsi"/>
                <w:sz w:val="22"/>
                <w:szCs w:val="22"/>
              </w:rPr>
              <w:t>%</w:t>
            </w:r>
          </w:p>
        </w:tc>
      </w:tr>
    </w:tbl>
    <w:p w14:paraId="123D03E6" w14:textId="77777777" w:rsidR="006B25A2" w:rsidRPr="00CB54EA" w:rsidRDefault="006B25A2" w:rsidP="006B25A2">
      <w:pPr>
        <w:tabs>
          <w:tab w:val="left" w:pos="0"/>
        </w:tabs>
        <w:autoSpaceDE w:val="0"/>
        <w:autoSpaceDN w:val="0"/>
        <w:adjustRightInd w:val="0"/>
        <w:rPr>
          <w:rFonts w:asciiTheme="minorHAnsi" w:hAnsiTheme="minorHAnsi"/>
          <w:sz w:val="22"/>
          <w:szCs w:val="22"/>
        </w:rPr>
      </w:pPr>
    </w:p>
    <w:p w14:paraId="5EADAD14" w14:textId="77777777" w:rsidR="007B418C" w:rsidRPr="00CB54EA" w:rsidRDefault="007B418C" w:rsidP="007B418C">
      <w:pPr>
        <w:pStyle w:val="Heading2"/>
        <w:rPr>
          <w:rFonts w:asciiTheme="minorHAnsi" w:hAnsiTheme="minorHAnsi"/>
          <w:i/>
          <w:sz w:val="22"/>
          <w:szCs w:val="22"/>
        </w:rPr>
      </w:pPr>
      <w:bookmarkStart w:id="16" w:name="_Toc500490006"/>
      <w:r w:rsidRPr="00CB54EA">
        <w:rPr>
          <w:rFonts w:asciiTheme="minorHAnsi" w:hAnsiTheme="minorHAnsi"/>
          <w:i/>
          <w:sz w:val="22"/>
          <w:szCs w:val="22"/>
        </w:rPr>
        <w:t>Data Rebalancing</w:t>
      </w:r>
      <w:bookmarkEnd w:id="16"/>
    </w:p>
    <w:p w14:paraId="47D5C9A2" w14:textId="77777777" w:rsidR="007B418C" w:rsidRPr="00CB54EA" w:rsidRDefault="007B418C" w:rsidP="007B418C">
      <w:pPr>
        <w:rPr>
          <w:rFonts w:asciiTheme="minorHAnsi" w:hAnsiTheme="minorHAnsi"/>
          <w:sz w:val="22"/>
          <w:szCs w:val="22"/>
        </w:rPr>
      </w:pPr>
      <w:r w:rsidRPr="00CB54EA">
        <w:rPr>
          <w:rFonts w:asciiTheme="minorHAnsi" w:hAnsiTheme="minorHAnsi"/>
          <w:sz w:val="22"/>
          <w:szCs w:val="22"/>
        </w:rPr>
        <w:t xml:space="preserve">Prior to finalizing the medical component of the capitation rates, the PMPM values and relationships among and between RCs were compared with the prior year’s rates as well as One Care </w:t>
      </w:r>
      <w:r w:rsidRPr="00CB54EA">
        <w:rPr>
          <w:rFonts w:asciiTheme="minorHAnsi" w:hAnsiTheme="minorHAnsi"/>
          <w:sz w:val="22"/>
          <w:szCs w:val="22"/>
        </w:rPr>
        <w:br/>
        <w:t>plan-reported experience data. To better reflect the relationships that exist in the experience data, adjustments were made to rebalance funds among RCs without impacting the aggregate base data. This rebalancing adjustment was used for all community RCs as shown below:</w:t>
      </w:r>
    </w:p>
    <w:p w14:paraId="6FA51EDF" w14:textId="629A338E" w:rsidR="007B418C" w:rsidRPr="00CB54EA" w:rsidRDefault="007B418C" w:rsidP="007B418C">
      <w:pPr>
        <w:pStyle w:val="TableHeadingText"/>
        <w:rPr>
          <w:rFonts w:asciiTheme="minorHAnsi" w:hAnsiTheme="minorHAnsi"/>
          <w:color w:val="000000" w:themeColor="text1"/>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E3857" w:rsidRPr="00CB54EA" w14:paraId="7586FD3B" w14:textId="77777777" w:rsidTr="002E3857">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07831DD3" w14:textId="77777777" w:rsidR="002E3857" w:rsidRPr="00CB54EA" w:rsidRDefault="002E3857" w:rsidP="002E3857">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C1BD762"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3229920"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1594840"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1935A11C"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39726B31"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E3857" w:rsidRPr="00CB54EA" w14:paraId="19B176AF" w14:textId="77777777" w:rsidTr="002E3857">
        <w:trPr>
          <w:cantSplit/>
          <w:trHeight w:val="298"/>
        </w:trPr>
        <w:tc>
          <w:tcPr>
            <w:tcW w:w="793" w:type="pct"/>
            <w:tcBorders>
              <w:top w:val="single" w:sz="8" w:space="0" w:color="auto"/>
            </w:tcBorders>
            <w:shd w:val="clear" w:color="auto" w:fill="auto"/>
          </w:tcPr>
          <w:p w14:paraId="56ADB6BF"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1489008" w14:textId="7EA02AD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15.0%</w:t>
            </w:r>
          </w:p>
        </w:tc>
        <w:tc>
          <w:tcPr>
            <w:tcW w:w="842" w:type="pct"/>
            <w:tcBorders>
              <w:top w:val="single" w:sz="8" w:space="0" w:color="auto"/>
            </w:tcBorders>
            <w:shd w:val="clear" w:color="auto" w:fill="auto"/>
            <w:vAlign w:val="bottom"/>
          </w:tcPr>
          <w:p w14:paraId="37CA6A29" w14:textId="1F83287E"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w:t>
            </w:r>
          </w:p>
        </w:tc>
        <w:tc>
          <w:tcPr>
            <w:tcW w:w="842" w:type="pct"/>
            <w:tcBorders>
              <w:top w:val="single" w:sz="8" w:space="0" w:color="auto"/>
            </w:tcBorders>
            <w:shd w:val="clear" w:color="auto" w:fill="auto"/>
            <w:vAlign w:val="bottom"/>
          </w:tcPr>
          <w:p w14:paraId="6B5765E8" w14:textId="50990485"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-4.4%</w:t>
            </w:r>
          </w:p>
        </w:tc>
        <w:tc>
          <w:tcPr>
            <w:tcW w:w="841" w:type="pct"/>
            <w:tcBorders>
              <w:top w:val="single" w:sz="8" w:space="0" w:color="auto"/>
            </w:tcBorders>
            <w:vAlign w:val="bottom"/>
          </w:tcPr>
          <w:p w14:paraId="12ED6C45" w14:textId="5E37DCF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395F57A0" w14:textId="4EB7357F"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E3857" w:rsidRPr="00CB54EA" w14:paraId="77D763F2" w14:textId="77777777" w:rsidTr="002E3857">
        <w:trPr>
          <w:cantSplit/>
          <w:trHeight w:val="298"/>
        </w:trPr>
        <w:tc>
          <w:tcPr>
            <w:tcW w:w="793" w:type="pct"/>
            <w:shd w:val="clear" w:color="auto" w:fill="auto"/>
          </w:tcPr>
          <w:p w14:paraId="4822DE15"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7CAEA28B" w14:textId="2EA74BF9"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25.0%</w:t>
            </w:r>
          </w:p>
        </w:tc>
        <w:tc>
          <w:tcPr>
            <w:tcW w:w="842" w:type="pct"/>
            <w:shd w:val="clear" w:color="auto" w:fill="auto"/>
            <w:vAlign w:val="bottom"/>
          </w:tcPr>
          <w:p w14:paraId="529EA34F" w14:textId="446814B0"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15.0%</w:t>
            </w:r>
          </w:p>
        </w:tc>
        <w:tc>
          <w:tcPr>
            <w:tcW w:w="842" w:type="pct"/>
            <w:shd w:val="clear" w:color="auto" w:fill="auto"/>
            <w:vAlign w:val="bottom"/>
          </w:tcPr>
          <w:p w14:paraId="2AEBEE6F" w14:textId="5E1DF2AB"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-5.0%</w:t>
            </w:r>
          </w:p>
        </w:tc>
        <w:tc>
          <w:tcPr>
            <w:tcW w:w="841" w:type="pct"/>
            <w:vAlign w:val="bottom"/>
          </w:tcPr>
          <w:p w14:paraId="3826DEE8" w14:textId="3F752AC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642482B" w14:textId="0C28E2BA"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E3857" w:rsidRPr="00CB54EA" w14:paraId="62F77FFC" w14:textId="77777777" w:rsidTr="002E3857">
        <w:trPr>
          <w:cantSplit/>
          <w:trHeight w:val="315"/>
        </w:trPr>
        <w:tc>
          <w:tcPr>
            <w:tcW w:w="793" w:type="pct"/>
            <w:shd w:val="clear" w:color="auto" w:fill="auto"/>
          </w:tcPr>
          <w:p w14:paraId="1D224250"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4656B33B" w14:textId="7E0CC630"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27.5%</w:t>
            </w:r>
          </w:p>
        </w:tc>
        <w:tc>
          <w:tcPr>
            <w:tcW w:w="842" w:type="pct"/>
            <w:shd w:val="clear" w:color="auto" w:fill="auto"/>
            <w:vAlign w:val="bottom"/>
          </w:tcPr>
          <w:p w14:paraId="0726B2CF" w14:textId="0E598FF8"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25.0%</w:t>
            </w:r>
          </w:p>
        </w:tc>
        <w:tc>
          <w:tcPr>
            <w:tcW w:w="842" w:type="pct"/>
            <w:shd w:val="clear" w:color="auto" w:fill="auto"/>
            <w:vAlign w:val="bottom"/>
          </w:tcPr>
          <w:p w14:paraId="72A6508A" w14:textId="52003842"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w:t>
            </w:r>
          </w:p>
        </w:tc>
        <w:tc>
          <w:tcPr>
            <w:tcW w:w="841" w:type="pct"/>
            <w:vAlign w:val="bottom"/>
          </w:tcPr>
          <w:p w14:paraId="716CB7D0" w14:textId="0EF2513F"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72D4A62A" w14:textId="4353DB33"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58958B18" w14:textId="77777777" w:rsidR="007B0A86" w:rsidRPr="00CB54EA" w:rsidRDefault="007B0A86" w:rsidP="006B25A2">
      <w:pPr>
        <w:tabs>
          <w:tab w:val="left" w:pos="0"/>
        </w:tabs>
        <w:autoSpaceDE w:val="0"/>
        <w:autoSpaceDN w:val="0"/>
        <w:adjustRightInd w:val="0"/>
        <w:rPr>
          <w:rFonts w:asciiTheme="minorHAnsi" w:hAnsiTheme="minorHAnsi"/>
          <w:sz w:val="22"/>
          <w:szCs w:val="22"/>
        </w:rPr>
      </w:pPr>
    </w:p>
    <w:p w14:paraId="49CB4F25"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t>Administrative Expenses:</w:t>
      </w:r>
    </w:p>
    <w:p w14:paraId="17A807F3" w14:textId="5486A502"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An adjustment has been applied to the MassHealth component of the rate for </w:t>
      </w:r>
      <w:r w:rsidR="00A632C4" w:rsidRPr="00CB54EA">
        <w:rPr>
          <w:rFonts w:asciiTheme="minorHAnsi" w:hAnsiTheme="minorHAnsi"/>
          <w:sz w:val="22"/>
          <w:szCs w:val="22"/>
        </w:rPr>
        <w:t xml:space="preserve">CY </w:t>
      </w:r>
      <w:r w:rsidR="00E114CC" w:rsidRPr="00CB54EA">
        <w:rPr>
          <w:rFonts w:asciiTheme="minorHAnsi" w:hAnsiTheme="minorHAnsi"/>
          <w:sz w:val="22"/>
          <w:szCs w:val="22"/>
        </w:rPr>
        <w:t xml:space="preserve">2018 </w:t>
      </w:r>
      <w:r w:rsidRPr="00CB54EA">
        <w:rPr>
          <w:rFonts w:asciiTheme="minorHAnsi" w:hAnsiTheme="minorHAnsi"/>
          <w:sz w:val="22"/>
          <w:szCs w:val="22"/>
        </w:rPr>
        <w:t>to reflect the estimated transfer of administrative costs from MassHealth to the One Care plans. These amounts were developed by MassHealth based on a review of their administrative costs, dividing the costs into three components: administrative, behavioral health care management, and complex care management. The following PMPMs have been added to each county rate by RC:</w:t>
      </w:r>
    </w:p>
    <w:p w14:paraId="54914DCA" w14:textId="77777777" w:rsidR="00255FE2" w:rsidRPr="00CB54EA" w:rsidRDefault="00255FE2" w:rsidP="006B25A2">
      <w:pPr>
        <w:rPr>
          <w:rFonts w:asciiTheme="minorHAnsi" w:hAnsiTheme="minorHAnsi"/>
          <w:sz w:val="22"/>
          <w:szCs w:val="22"/>
        </w:rPr>
      </w:pPr>
    </w:p>
    <w:tbl>
      <w:tblPr>
        <w:tblW w:w="9504" w:type="dxa"/>
        <w:tblInd w:w="72"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799"/>
        <w:gridCol w:w="793"/>
        <w:gridCol w:w="1152"/>
        <w:gridCol w:w="1152"/>
        <w:gridCol w:w="1152"/>
        <w:gridCol w:w="1152"/>
        <w:gridCol w:w="1152"/>
        <w:gridCol w:w="1152"/>
      </w:tblGrid>
      <w:tr w:rsidR="00255FE2" w:rsidRPr="00CB54EA" w14:paraId="0D2B19C8" w14:textId="77777777" w:rsidTr="00505EDB">
        <w:trPr>
          <w:cantSplit/>
          <w:trHeight w:val="363"/>
          <w:tblHeader/>
        </w:trPr>
        <w:tc>
          <w:tcPr>
            <w:tcW w:w="947" w:type="pct"/>
            <w:tcBorders>
              <w:top w:val="single" w:sz="8" w:space="0" w:color="auto"/>
              <w:bottom w:val="single" w:sz="8" w:space="0" w:color="auto"/>
            </w:tcBorders>
            <w:shd w:val="clear" w:color="auto" w:fill="BFBFBF" w:themeFill="background1" w:themeFillShade="BF"/>
            <w:vAlign w:val="bottom"/>
          </w:tcPr>
          <w:p w14:paraId="2445B006" w14:textId="77777777" w:rsidR="004E711B" w:rsidRPr="00CB54EA" w:rsidRDefault="004E711B"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Adjustment</w:t>
            </w:r>
          </w:p>
        </w:tc>
        <w:tc>
          <w:tcPr>
            <w:tcW w:w="417" w:type="pct"/>
            <w:tcBorders>
              <w:top w:val="single" w:sz="8" w:space="0" w:color="auto"/>
              <w:bottom w:val="single" w:sz="8" w:space="0" w:color="auto"/>
            </w:tcBorders>
            <w:shd w:val="clear" w:color="auto" w:fill="BFBFBF" w:themeFill="background1" w:themeFillShade="BF"/>
            <w:vAlign w:val="bottom"/>
          </w:tcPr>
          <w:p w14:paraId="207E993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06" w:type="pct"/>
            <w:tcBorders>
              <w:top w:val="single" w:sz="8" w:space="0" w:color="auto"/>
              <w:bottom w:val="single" w:sz="8" w:space="0" w:color="auto"/>
            </w:tcBorders>
            <w:shd w:val="clear" w:color="auto" w:fill="BFBFBF" w:themeFill="background1" w:themeFillShade="BF"/>
            <w:vAlign w:val="bottom"/>
          </w:tcPr>
          <w:p w14:paraId="33C9A8C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C2A</w:t>
            </w:r>
          </w:p>
        </w:tc>
        <w:tc>
          <w:tcPr>
            <w:tcW w:w="606" w:type="pct"/>
            <w:tcBorders>
              <w:top w:val="single" w:sz="8" w:space="0" w:color="auto"/>
              <w:bottom w:val="single" w:sz="8" w:space="0" w:color="auto"/>
            </w:tcBorders>
            <w:shd w:val="clear" w:color="auto" w:fill="BFBFBF" w:themeFill="background1" w:themeFillShade="BF"/>
            <w:vAlign w:val="bottom"/>
          </w:tcPr>
          <w:p w14:paraId="5A5DB309"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C2B</w:t>
            </w:r>
          </w:p>
        </w:tc>
        <w:tc>
          <w:tcPr>
            <w:tcW w:w="606" w:type="pct"/>
            <w:tcBorders>
              <w:top w:val="single" w:sz="8" w:space="0" w:color="auto"/>
              <w:bottom w:val="single" w:sz="8" w:space="0" w:color="auto"/>
            </w:tcBorders>
            <w:shd w:val="clear" w:color="auto" w:fill="BFBFBF" w:themeFill="background1" w:themeFillShade="BF"/>
            <w:vAlign w:val="bottom"/>
          </w:tcPr>
          <w:p w14:paraId="57AA560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C3A</w:t>
            </w:r>
          </w:p>
        </w:tc>
        <w:tc>
          <w:tcPr>
            <w:tcW w:w="606" w:type="pct"/>
            <w:tcBorders>
              <w:top w:val="single" w:sz="8" w:space="0" w:color="auto"/>
              <w:bottom w:val="single" w:sz="8" w:space="0" w:color="auto"/>
            </w:tcBorders>
            <w:shd w:val="clear" w:color="auto" w:fill="BFBFBF" w:themeFill="background1" w:themeFillShade="BF"/>
            <w:vAlign w:val="bottom"/>
          </w:tcPr>
          <w:p w14:paraId="3CB4459B"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C3B</w:t>
            </w:r>
          </w:p>
        </w:tc>
        <w:tc>
          <w:tcPr>
            <w:tcW w:w="606" w:type="pct"/>
            <w:tcBorders>
              <w:top w:val="single" w:sz="8" w:space="0" w:color="auto"/>
              <w:bottom w:val="single" w:sz="8" w:space="0" w:color="auto"/>
            </w:tcBorders>
            <w:shd w:val="clear" w:color="auto" w:fill="BFBFBF" w:themeFill="background1" w:themeFillShade="BF"/>
          </w:tcPr>
          <w:p w14:paraId="072DF172" w14:textId="060E56F2" w:rsidR="004E711B" w:rsidRPr="00CB54EA" w:rsidRDefault="00255FE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606" w:type="pct"/>
            <w:tcBorders>
              <w:top w:val="single" w:sz="8" w:space="0" w:color="auto"/>
              <w:bottom w:val="single" w:sz="8" w:space="0" w:color="auto"/>
            </w:tcBorders>
            <w:shd w:val="clear" w:color="auto" w:fill="BFBFBF" w:themeFill="background1" w:themeFillShade="BF"/>
            <w:vAlign w:val="bottom"/>
          </w:tcPr>
          <w:p w14:paraId="6ADF2213" w14:textId="6A7AE19B"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55FE2" w:rsidRPr="00CB54EA" w14:paraId="41665F8D" w14:textId="77777777" w:rsidTr="00505EDB">
        <w:trPr>
          <w:cantSplit/>
          <w:trHeight w:val="268"/>
        </w:trPr>
        <w:tc>
          <w:tcPr>
            <w:tcW w:w="947" w:type="pct"/>
            <w:tcBorders>
              <w:top w:val="single" w:sz="8" w:space="0" w:color="auto"/>
            </w:tcBorders>
            <w:shd w:val="clear" w:color="auto" w:fill="auto"/>
          </w:tcPr>
          <w:p w14:paraId="4988D044"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Admin</w:t>
            </w:r>
          </w:p>
        </w:tc>
        <w:tc>
          <w:tcPr>
            <w:tcW w:w="417" w:type="pct"/>
            <w:tcBorders>
              <w:top w:val="single" w:sz="8" w:space="0" w:color="auto"/>
            </w:tcBorders>
            <w:shd w:val="clear" w:color="auto" w:fill="auto"/>
            <w:vAlign w:val="bottom"/>
          </w:tcPr>
          <w:p w14:paraId="20AAACE7" w14:textId="792815D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$17.67</w:t>
            </w:r>
          </w:p>
        </w:tc>
        <w:tc>
          <w:tcPr>
            <w:tcW w:w="606" w:type="pct"/>
            <w:tcBorders>
              <w:top w:val="single" w:sz="8" w:space="0" w:color="auto"/>
            </w:tcBorders>
            <w:vAlign w:val="bottom"/>
          </w:tcPr>
          <w:p w14:paraId="4EB7D87C" w14:textId="11DAF02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$22.00</w:t>
            </w:r>
          </w:p>
        </w:tc>
        <w:tc>
          <w:tcPr>
            <w:tcW w:w="606" w:type="pct"/>
            <w:tcBorders>
              <w:top w:val="single" w:sz="8" w:space="0" w:color="auto"/>
            </w:tcBorders>
            <w:shd w:val="clear" w:color="auto" w:fill="auto"/>
            <w:vAlign w:val="bottom"/>
          </w:tcPr>
          <w:p w14:paraId="7DF8DA38" w14:textId="173C417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$24.41</w:t>
            </w:r>
          </w:p>
        </w:tc>
        <w:tc>
          <w:tcPr>
            <w:tcW w:w="606" w:type="pct"/>
            <w:tcBorders>
              <w:top w:val="single" w:sz="8" w:space="0" w:color="auto"/>
            </w:tcBorders>
            <w:shd w:val="clear" w:color="auto" w:fill="auto"/>
            <w:vAlign w:val="bottom"/>
          </w:tcPr>
          <w:p w14:paraId="4ED899FE" w14:textId="7DA853A2"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$47.93</w:t>
            </w:r>
          </w:p>
        </w:tc>
        <w:tc>
          <w:tcPr>
            <w:tcW w:w="606" w:type="pct"/>
            <w:tcBorders>
              <w:top w:val="single" w:sz="8" w:space="0" w:color="auto"/>
            </w:tcBorders>
            <w:vAlign w:val="bottom"/>
          </w:tcPr>
          <w:p w14:paraId="669884A8" w14:textId="3D9D7326"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$84.10</w:t>
            </w:r>
          </w:p>
        </w:tc>
        <w:tc>
          <w:tcPr>
            <w:tcW w:w="606" w:type="pct"/>
            <w:tcBorders>
              <w:top w:val="single" w:sz="8" w:space="0" w:color="auto"/>
            </w:tcBorders>
            <w:vAlign w:val="bottom"/>
          </w:tcPr>
          <w:p w14:paraId="3E1D1896" w14:textId="16FD6716"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$84.10</w:t>
            </w:r>
          </w:p>
        </w:tc>
        <w:tc>
          <w:tcPr>
            <w:tcW w:w="606" w:type="pct"/>
            <w:tcBorders>
              <w:top w:val="single" w:sz="8" w:space="0" w:color="auto"/>
            </w:tcBorders>
            <w:shd w:val="clear" w:color="auto" w:fill="auto"/>
            <w:vAlign w:val="bottom"/>
          </w:tcPr>
          <w:p w14:paraId="042603A4" w14:textId="5C57580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$113.21</w:t>
            </w:r>
          </w:p>
        </w:tc>
      </w:tr>
      <w:tr w:rsidR="00255FE2" w:rsidRPr="00CB54EA" w14:paraId="3AE7AF30" w14:textId="77777777" w:rsidTr="00505EDB">
        <w:trPr>
          <w:cantSplit/>
          <w:trHeight w:val="348"/>
        </w:trPr>
        <w:tc>
          <w:tcPr>
            <w:tcW w:w="947" w:type="pct"/>
            <w:shd w:val="clear" w:color="auto" w:fill="auto"/>
          </w:tcPr>
          <w:p w14:paraId="0F6C8E2D"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 xml:space="preserve">BH Care Management </w:t>
            </w:r>
          </w:p>
        </w:tc>
        <w:tc>
          <w:tcPr>
            <w:tcW w:w="417" w:type="pct"/>
            <w:shd w:val="clear" w:color="auto" w:fill="auto"/>
            <w:vAlign w:val="bottom"/>
          </w:tcPr>
          <w:p w14:paraId="529701AE" w14:textId="1DD94C4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$1.19</w:t>
            </w:r>
          </w:p>
        </w:tc>
        <w:tc>
          <w:tcPr>
            <w:tcW w:w="606" w:type="pct"/>
            <w:vAlign w:val="bottom"/>
          </w:tcPr>
          <w:p w14:paraId="062845EF" w14:textId="3451098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$5.17</w:t>
            </w:r>
          </w:p>
        </w:tc>
        <w:tc>
          <w:tcPr>
            <w:tcW w:w="606" w:type="pct"/>
            <w:shd w:val="clear" w:color="auto" w:fill="auto"/>
            <w:vAlign w:val="bottom"/>
          </w:tcPr>
          <w:p w14:paraId="520F8D82" w14:textId="23E84F6D"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$6.97</w:t>
            </w:r>
          </w:p>
        </w:tc>
        <w:tc>
          <w:tcPr>
            <w:tcW w:w="606" w:type="pct"/>
            <w:shd w:val="clear" w:color="auto" w:fill="auto"/>
            <w:vAlign w:val="bottom"/>
          </w:tcPr>
          <w:p w14:paraId="39B48A18" w14:textId="223BBCF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$2.84</w:t>
            </w:r>
          </w:p>
        </w:tc>
        <w:tc>
          <w:tcPr>
            <w:tcW w:w="606" w:type="pct"/>
            <w:vAlign w:val="bottom"/>
          </w:tcPr>
          <w:p w14:paraId="5E229AB3" w14:textId="68CD750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$5.28</w:t>
            </w:r>
          </w:p>
        </w:tc>
        <w:tc>
          <w:tcPr>
            <w:tcW w:w="606" w:type="pct"/>
            <w:vAlign w:val="bottom"/>
          </w:tcPr>
          <w:p w14:paraId="5C6CF0C2" w14:textId="50B83A8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$5.28</w:t>
            </w:r>
          </w:p>
        </w:tc>
        <w:tc>
          <w:tcPr>
            <w:tcW w:w="606" w:type="pct"/>
            <w:shd w:val="clear" w:color="auto" w:fill="auto"/>
            <w:vAlign w:val="bottom"/>
          </w:tcPr>
          <w:p w14:paraId="7095B904" w14:textId="2D0F357B"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$0.00</w:t>
            </w:r>
          </w:p>
        </w:tc>
      </w:tr>
      <w:tr w:rsidR="00255FE2" w:rsidRPr="00CB54EA" w14:paraId="1345E5A9" w14:textId="77777777" w:rsidTr="00505EDB">
        <w:trPr>
          <w:cantSplit/>
          <w:trHeight w:val="350"/>
        </w:trPr>
        <w:tc>
          <w:tcPr>
            <w:tcW w:w="947" w:type="pct"/>
            <w:shd w:val="clear" w:color="auto" w:fill="auto"/>
          </w:tcPr>
          <w:p w14:paraId="65388B18"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 xml:space="preserve">Complex Care Management </w:t>
            </w:r>
          </w:p>
        </w:tc>
        <w:tc>
          <w:tcPr>
            <w:tcW w:w="417" w:type="pct"/>
            <w:shd w:val="clear" w:color="auto" w:fill="auto"/>
            <w:vAlign w:val="bottom"/>
          </w:tcPr>
          <w:p w14:paraId="453CFC92" w14:textId="3B83826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$9.09</w:t>
            </w:r>
          </w:p>
        </w:tc>
        <w:tc>
          <w:tcPr>
            <w:tcW w:w="606" w:type="pct"/>
            <w:vAlign w:val="bottom"/>
          </w:tcPr>
          <w:p w14:paraId="4FB2599C" w14:textId="3F2E97A3"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$14.89</w:t>
            </w:r>
          </w:p>
        </w:tc>
        <w:tc>
          <w:tcPr>
            <w:tcW w:w="606" w:type="pct"/>
            <w:shd w:val="clear" w:color="auto" w:fill="auto"/>
            <w:vAlign w:val="bottom"/>
          </w:tcPr>
          <w:p w14:paraId="08249715" w14:textId="797C297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$18.12</w:t>
            </w:r>
          </w:p>
        </w:tc>
        <w:tc>
          <w:tcPr>
            <w:tcW w:w="606" w:type="pct"/>
            <w:shd w:val="clear" w:color="auto" w:fill="auto"/>
            <w:vAlign w:val="bottom"/>
          </w:tcPr>
          <w:p w14:paraId="7EC4B932" w14:textId="2B4FD7F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$49.69</w:t>
            </w:r>
          </w:p>
        </w:tc>
        <w:tc>
          <w:tcPr>
            <w:tcW w:w="606" w:type="pct"/>
            <w:vAlign w:val="bottom"/>
          </w:tcPr>
          <w:p w14:paraId="5C01B8AF" w14:textId="311C931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$98.22</w:t>
            </w:r>
          </w:p>
        </w:tc>
        <w:tc>
          <w:tcPr>
            <w:tcW w:w="606" w:type="pct"/>
            <w:vAlign w:val="bottom"/>
          </w:tcPr>
          <w:p w14:paraId="41EE9745" w14:textId="4E01A6CF"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$98.22</w:t>
            </w:r>
          </w:p>
        </w:tc>
        <w:tc>
          <w:tcPr>
            <w:tcW w:w="606" w:type="pct"/>
            <w:shd w:val="clear" w:color="auto" w:fill="auto"/>
            <w:vAlign w:val="bottom"/>
          </w:tcPr>
          <w:p w14:paraId="491705CA" w14:textId="3044B9D2"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$0.00</w:t>
            </w:r>
          </w:p>
        </w:tc>
      </w:tr>
    </w:tbl>
    <w:p w14:paraId="7B883E9C" w14:textId="77777777" w:rsidR="006B25A2" w:rsidRPr="00CB54EA" w:rsidRDefault="006B25A2" w:rsidP="006B25A2">
      <w:pPr>
        <w:tabs>
          <w:tab w:val="left" w:pos="1275"/>
        </w:tabs>
        <w:spacing w:after="200" w:line="276" w:lineRule="auto"/>
        <w:rPr>
          <w:rFonts w:asciiTheme="minorHAnsi" w:hAnsiTheme="minorHAnsi" w:cs="Calibri"/>
          <w:sz w:val="22"/>
          <w:szCs w:val="22"/>
        </w:rPr>
      </w:pPr>
    </w:p>
    <w:p w14:paraId="19569E90" w14:textId="0BB967C0" w:rsidR="00283A75" w:rsidRPr="00CB54EA" w:rsidRDefault="00283A75" w:rsidP="00505EDB">
      <w:pPr>
        <w:rPr>
          <w:rFonts w:asciiTheme="minorHAnsi" w:hAnsiTheme="minorHAnsi" w:cs="Calibri"/>
          <w:b/>
          <w:sz w:val="22"/>
          <w:szCs w:val="22"/>
        </w:rPr>
      </w:pPr>
      <w:r w:rsidRPr="00CB54EA">
        <w:rPr>
          <w:rFonts w:asciiTheme="minorHAnsi" w:hAnsiTheme="minorHAnsi" w:cs="Calibri"/>
          <w:b/>
          <w:sz w:val="22"/>
          <w:szCs w:val="22"/>
        </w:rPr>
        <w:br w:type="page"/>
      </w:r>
    </w:p>
    <w:p w14:paraId="2B0DAC97" w14:textId="34DC5C1E"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lastRenderedPageBreak/>
        <w:t xml:space="preserve">Medicare Components of the Rate – CY </w:t>
      </w:r>
      <w:r w:rsidR="00BD3366" w:rsidRPr="00CB54EA">
        <w:rPr>
          <w:rFonts w:asciiTheme="minorHAnsi" w:hAnsiTheme="minorHAnsi" w:cs="Calibri"/>
          <w:b/>
          <w:sz w:val="22"/>
          <w:szCs w:val="22"/>
        </w:rPr>
        <w:t>201</w:t>
      </w:r>
      <w:r w:rsidR="000D32ED" w:rsidRPr="00CB54EA">
        <w:rPr>
          <w:rFonts w:asciiTheme="minorHAnsi" w:hAnsiTheme="minorHAnsi" w:cs="Calibri"/>
          <w:b/>
          <w:sz w:val="22"/>
          <w:szCs w:val="22"/>
        </w:rPr>
        <w:t>8</w:t>
      </w:r>
    </w:p>
    <w:p w14:paraId="46A2F220" w14:textId="77777777" w:rsidR="00283A75" w:rsidRPr="00CB54EA" w:rsidRDefault="00283A75" w:rsidP="00C01D88">
      <w:pPr>
        <w:tabs>
          <w:tab w:val="left" w:pos="720"/>
        </w:tabs>
        <w:ind w:left="360"/>
        <w:rPr>
          <w:rFonts w:asciiTheme="minorHAnsi" w:hAnsiTheme="minorHAnsi" w:cs="Calibri"/>
          <w:b/>
          <w:sz w:val="22"/>
          <w:szCs w:val="22"/>
        </w:rPr>
      </w:pPr>
    </w:p>
    <w:p w14:paraId="5DF06D4D" w14:textId="77777777" w:rsidR="00283A75" w:rsidRPr="00CB54EA" w:rsidRDefault="00283A75" w:rsidP="00C01D88">
      <w:pPr>
        <w:autoSpaceDE w:val="0"/>
        <w:autoSpaceDN w:val="0"/>
        <w:adjustRightInd w:val="0"/>
        <w:rPr>
          <w:rFonts w:asciiTheme="minorHAnsi" w:hAnsiTheme="minorHAnsi" w:cs="Calibri"/>
          <w:b/>
          <w:i/>
          <w:color w:val="000000"/>
          <w:sz w:val="22"/>
          <w:szCs w:val="22"/>
        </w:rPr>
      </w:pPr>
      <w:r w:rsidRPr="00CB54EA">
        <w:rPr>
          <w:rFonts w:asciiTheme="minorHAnsi" w:hAnsiTheme="minorHAnsi" w:cs="Calibri"/>
          <w:b/>
          <w:i/>
          <w:color w:val="000000"/>
          <w:sz w:val="22"/>
          <w:szCs w:val="22"/>
        </w:rPr>
        <w:t>Medicare A/B Services</w:t>
      </w:r>
    </w:p>
    <w:p w14:paraId="6B9E00B5" w14:textId="77777777" w:rsidR="00E05137" w:rsidRPr="00CB54EA" w:rsidRDefault="00E05137" w:rsidP="00C01D88">
      <w:pPr>
        <w:autoSpaceDE w:val="0"/>
        <w:autoSpaceDN w:val="0"/>
        <w:adjustRightInd w:val="0"/>
        <w:rPr>
          <w:rFonts w:asciiTheme="minorHAnsi" w:hAnsiTheme="minorHAnsi" w:cs="Calibri"/>
          <w:b/>
          <w:i/>
          <w:color w:val="000000"/>
          <w:sz w:val="22"/>
          <w:szCs w:val="22"/>
        </w:rPr>
      </w:pPr>
    </w:p>
    <w:p w14:paraId="7E8CAAD0"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as adjusted below, and the Medicare Advantage projected payment rates for each year, weighted by the proportion of the target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50C42E1F" w14:textId="77777777" w:rsidR="008D7134" w:rsidRPr="00CB54EA" w:rsidRDefault="008D7134" w:rsidP="008D7134">
      <w:pPr>
        <w:pStyle w:val="Default"/>
        <w:rPr>
          <w:rFonts w:asciiTheme="minorHAnsi" w:hAnsiTheme="minorHAnsi"/>
          <w:sz w:val="22"/>
          <w:szCs w:val="22"/>
        </w:rPr>
      </w:pPr>
    </w:p>
    <w:p w14:paraId="7581F734"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Both baseline spending and payment rates under the Demonstration for Medicare A/B services are calculated as PMPM standardized amounts for each Demonstration county. Except as otherwise noted, the Medicare A/B portion of the baseline is updated annually based on the annual FFS estimates and benchmarks released each year with the annual Medicare Advantage and Part D rate announcement, and Medicare Advantage bids (for prior years trended forward to the applicable year) for products in which potential Demonstration enrollees would be enrolled absent the Demonstration. </w:t>
      </w:r>
    </w:p>
    <w:p w14:paraId="112A49DC" w14:textId="77777777" w:rsidR="008D7134" w:rsidRPr="00CB54EA" w:rsidRDefault="008D7134" w:rsidP="008D7134">
      <w:pPr>
        <w:pStyle w:val="Default"/>
        <w:rPr>
          <w:rFonts w:asciiTheme="minorHAnsi" w:hAnsiTheme="minorHAnsi"/>
          <w:sz w:val="22"/>
          <w:szCs w:val="22"/>
        </w:rPr>
      </w:pPr>
    </w:p>
    <w:p w14:paraId="15F579A8"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Medicare A/B Component Payments</w:t>
      </w:r>
      <w:r w:rsidRPr="00CB54EA">
        <w:rPr>
          <w:rFonts w:asciiTheme="minorHAnsi" w:hAnsiTheme="minorHAnsi"/>
          <w:sz w:val="22"/>
          <w:szCs w:val="22"/>
        </w:rPr>
        <w:t xml:space="preserve">: The CY 2018 Medicare A/B Baseline County rates are provided below. </w:t>
      </w:r>
    </w:p>
    <w:p w14:paraId="1E60344C" w14:textId="77777777" w:rsidR="008D7134" w:rsidRPr="00CB54EA" w:rsidRDefault="008D7134" w:rsidP="008D7134">
      <w:pPr>
        <w:pStyle w:val="Default"/>
        <w:rPr>
          <w:rFonts w:asciiTheme="minorHAnsi" w:hAnsiTheme="minorHAnsi"/>
          <w:sz w:val="22"/>
          <w:szCs w:val="22"/>
        </w:rPr>
      </w:pPr>
    </w:p>
    <w:p w14:paraId="0548EDF0"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The rates represent the weighted average of the CY 2018 FFS Standardized County Rates, updated to incorporate the adjustments noted below, and the Medicare Advantage projected payment rates for CY 2018, based on the expected enrollment of beneficiaries from Medicare FFS and Medicare Advantage prior to the demonstration at the county level. </w:t>
      </w:r>
    </w:p>
    <w:p w14:paraId="6BC30400" w14:textId="77777777" w:rsidR="008D7134" w:rsidRPr="00CB54EA" w:rsidRDefault="008D7134" w:rsidP="008D7134">
      <w:pPr>
        <w:pStyle w:val="Default"/>
        <w:rPr>
          <w:rFonts w:asciiTheme="minorHAnsi" w:hAnsiTheme="minorHAnsi"/>
          <w:sz w:val="22"/>
          <w:szCs w:val="22"/>
        </w:rPr>
      </w:pPr>
    </w:p>
    <w:p w14:paraId="59DCC3BD"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 xml:space="preserve">Bad Debt Adjustment: </w:t>
      </w:r>
      <w:r w:rsidRPr="00CB54EA">
        <w:rPr>
          <w:rFonts w:asciiTheme="minorHAnsi" w:hAnsiTheme="minorHAnsi"/>
          <w:sz w:val="22"/>
          <w:szCs w:val="22"/>
        </w:rPr>
        <w:t xml:space="preserve">The FFS component of the CY 2018 Medicare A/B baseline rate has been updated to reflect a 1.77% upward adjustment to account for the disproportionate share of bad debt attributable to Medicare-Medicaid enrollees in Medicare FFS (in the absence of the Demonstration). </w:t>
      </w:r>
    </w:p>
    <w:p w14:paraId="337D5D46" w14:textId="77777777" w:rsidR="008D7134" w:rsidRPr="00CB54EA" w:rsidRDefault="008D7134" w:rsidP="008D7134">
      <w:pPr>
        <w:pStyle w:val="Default"/>
        <w:rPr>
          <w:rFonts w:asciiTheme="minorHAnsi" w:hAnsiTheme="minorHAnsi"/>
          <w:sz w:val="22"/>
          <w:szCs w:val="22"/>
        </w:rPr>
      </w:pPr>
    </w:p>
    <w:p w14:paraId="054E024E"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 xml:space="preserve">Coding Intensity Adjustment: </w:t>
      </w:r>
      <w:r w:rsidRPr="00CB54EA">
        <w:rPr>
          <w:rFonts w:asciiTheme="minorHAnsi" w:hAnsiTheme="minorHAnsi"/>
          <w:sz w:val="22"/>
          <w:szCs w:val="22"/>
        </w:rPr>
        <w:t xml:space="preserve">CMS annually applies a coding intensity factor to Medicare Advantage risk scores to account for differences in diagnosis coding patterns between the Medicare Advantage and the Original Fee-for-Service Medicare programs. The adjustment for CY 2018 in Medicare Advantage is 5.91%. For 2018, CMS will apply the full prevailing Medicare Advantage coding intensity adjustment and there will be no upward adjustment to the Medicare A/B baseline rates to offset this reduction in the risk scores. </w:t>
      </w:r>
    </w:p>
    <w:p w14:paraId="6B702835" w14:textId="77777777" w:rsidR="008D7134" w:rsidRPr="00CB54EA" w:rsidRDefault="008D7134" w:rsidP="008D7134">
      <w:pPr>
        <w:pStyle w:val="Default"/>
        <w:rPr>
          <w:rFonts w:asciiTheme="minorHAnsi" w:hAnsiTheme="minorHAnsi"/>
          <w:sz w:val="22"/>
          <w:szCs w:val="22"/>
        </w:rPr>
      </w:pPr>
    </w:p>
    <w:p w14:paraId="443D6E8A"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Impact of Sequestration</w:t>
      </w:r>
      <w:r w:rsidRPr="00CB54EA">
        <w:rPr>
          <w:rFonts w:asciiTheme="minorHAnsi" w:hAnsiTheme="minorHAnsi"/>
          <w:sz w:val="22"/>
          <w:szCs w:val="22"/>
        </w:rPr>
        <w:t>: Under sequestration, for services beginning April 1, 2013, Medicare payments to providers for individual services under Medicare Parts A and B, and non-exempt portions of capitated payments to Part C Medicare Advantage Plans and Part D Medicare</w:t>
      </w:r>
      <w:r w:rsidRPr="00CB54EA">
        <w:rPr>
          <w:rFonts w:asciiTheme="minorHAnsi" w:hAnsiTheme="minorHAnsi"/>
          <w:b/>
          <w:i/>
          <w:sz w:val="22"/>
          <w:szCs w:val="22"/>
        </w:rPr>
        <w:t xml:space="preserve"> </w:t>
      </w:r>
      <w:r w:rsidRPr="00CB54EA">
        <w:rPr>
          <w:rFonts w:asciiTheme="minorHAnsi" w:hAnsiTheme="minorHAnsi"/>
          <w:sz w:val="22"/>
          <w:szCs w:val="22"/>
        </w:rPr>
        <w:lastRenderedPageBreak/>
        <w:t xml:space="preserve">Prescription Drug Plans are reduced by 2%. These reductions are also applied to the Medicare components of the integrated rate. Therefore, under the Demonstration, CMS will reduce non-exempt portions of the Medicare components by 2%, as noted in the sections below. </w:t>
      </w:r>
    </w:p>
    <w:p w14:paraId="5308C0A2" w14:textId="77777777" w:rsidR="008D7134" w:rsidRPr="00CB54EA" w:rsidRDefault="008D7134" w:rsidP="008D7134">
      <w:pPr>
        <w:pStyle w:val="Default"/>
        <w:rPr>
          <w:rFonts w:asciiTheme="minorHAnsi" w:hAnsiTheme="minorHAnsi"/>
          <w:sz w:val="22"/>
          <w:szCs w:val="22"/>
        </w:rPr>
      </w:pPr>
    </w:p>
    <w:p w14:paraId="4F98176E" w14:textId="03C67882" w:rsidR="00BE2B5B" w:rsidRPr="00CB54EA" w:rsidRDefault="008D7134" w:rsidP="008D7134">
      <w:pPr>
        <w:autoSpaceDE w:val="0"/>
        <w:autoSpaceDN w:val="0"/>
        <w:adjustRightInd w:val="0"/>
        <w:rPr>
          <w:rFonts w:asciiTheme="minorHAnsi" w:hAnsiTheme="minorHAnsi" w:cs="Calibri"/>
          <w:b/>
          <w:i/>
          <w:color w:val="000000"/>
          <w:sz w:val="22"/>
          <w:szCs w:val="22"/>
        </w:rPr>
        <w:sectPr w:rsidR="00BE2B5B" w:rsidRPr="00CB54EA" w:rsidSect="003C322B">
          <w:headerReference w:type="even" r:id="rId9"/>
          <w:headerReference w:type="default" r:id="rId10"/>
          <w:footerReference w:type="default" r:id="rId11"/>
          <w:pgSz w:w="12240" w:h="15840"/>
          <w:pgMar w:top="1980" w:right="1440" w:bottom="1260" w:left="1800" w:header="720" w:footer="720" w:gutter="0"/>
          <w:cols w:space="720"/>
          <w:docGrid w:linePitch="360"/>
        </w:sectPr>
      </w:pPr>
      <w:r w:rsidRPr="00CB54EA">
        <w:rPr>
          <w:rFonts w:asciiTheme="minorHAnsi" w:hAnsiTheme="minorHAnsi"/>
          <w:i/>
          <w:iCs/>
          <w:sz w:val="22"/>
          <w:szCs w:val="22"/>
        </w:rPr>
        <w:t xml:space="preserve">Default Rate: </w:t>
      </w:r>
      <w:r w:rsidRPr="00CB54EA">
        <w:rPr>
          <w:rFonts w:asciiTheme="minorHAnsi" w:hAnsiTheme="minorHAnsi"/>
          <w:sz w:val="22"/>
          <w:szCs w:val="22"/>
        </w:rPr>
        <w:t>The default rate will be paid when a beneficiary’s address on record is outside of the service area. The default rate is specific to each One Care Plan and is calculated using an enrollment-weighted average of the rates for each county in which the One Care Plan participates.</w:t>
      </w:r>
    </w:p>
    <w:tbl>
      <w:tblPr>
        <w:tblStyle w:val="TableGrid"/>
        <w:tblpPr w:leftFromText="180" w:rightFromText="180" w:vertAnchor="text" w:horzAnchor="margin" w:tblpY="85"/>
        <w:tblW w:w="9218" w:type="dxa"/>
        <w:tblLook w:val="04A0" w:firstRow="1" w:lastRow="0" w:firstColumn="1" w:lastColumn="0" w:noHBand="0" w:noVBand="1"/>
      </w:tblPr>
      <w:tblGrid>
        <w:gridCol w:w="1205"/>
        <w:gridCol w:w="1437"/>
        <w:gridCol w:w="1433"/>
        <w:gridCol w:w="1784"/>
        <w:gridCol w:w="1608"/>
        <w:gridCol w:w="1751"/>
      </w:tblGrid>
      <w:tr w:rsidR="00CB54EA" w:rsidRPr="00CB54EA" w14:paraId="1132DCAB" w14:textId="77777777" w:rsidTr="00255262">
        <w:trPr>
          <w:trHeight w:val="48"/>
        </w:trPr>
        <w:tc>
          <w:tcPr>
            <w:tcW w:w="9218" w:type="dxa"/>
            <w:gridSpan w:val="6"/>
          </w:tcPr>
          <w:p w14:paraId="3568D151" w14:textId="77777777" w:rsidR="00CB54EA" w:rsidRPr="00CB54EA" w:rsidRDefault="00CB54EA" w:rsidP="00255262">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lastRenderedPageBreak/>
              <w:t>2018 Medicare A/B Baseline PMPM, Non-ESRD Beneficiaries, Standardized 1.0 Risk Score, by Demonstration County</w:t>
            </w:r>
            <w:r w:rsidRPr="00CB54EA">
              <w:rPr>
                <w:rFonts w:asciiTheme="minorHAnsi" w:hAnsiTheme="minorHAnsi" w:cstheme="minorHAnsi"/>
                <w:b/>
                <w:bCs/>
                <w:color w:val="000000"/>
                <w:sz w:val="22"/>
                <w:szCs w:val="22"/>
                <w:vertAlign w:val="superscript"/>
              </w:rPr>
              <w:t>1</w:t>
            </w:r>
          </w:p>
        </w:tc>
      </w:tr>
      <w:tr w:rsidR="00255262" w:rsidRPr="00CB54EA" w14:paraId="08685445" w14:textId="77777777" w:rsidTr="00255262">
        <w:trPr>
          <w:trHeight w:val="870"/>
        </w:trPr>
        <w:tc>
          <w:tcPr>
            <w:tcW w:w="1205" w:type="dxa"/>
            <w:hideMark/>
          </w:tcPr>
          <w:p w14:paraId="67484BCF" w14:textId="77777777" w:rsidR="00CB54EA" w:rsidRPr="00CB54EA" w:rsidRDefault="00CB54EA" w:rsidP="00CB54EA">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County</w:t>
            </w:r>
          </w:p>
        </w:tc>
        <w:tc>
          <w:tcPr>
            <w:tcW w:w="1437" w:type="dxa"/>
            <w:hideMark/>
          </w:tcPr>
          <w:p w14:paraId="5B912D2C" w14:textId="77777777" w:rsidR="00CB54EA" w:rsidRPr="00CB54EA" w:rsidRDefault="00CB54EA" w:rsidP="00CB54EA">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Published FFS Standardized County Rate</w:t>
            </w:r>
          </w:p>
        </w:tc>
        <w:tc>
          <w:tcPr>
            <w:tcW w:w="1433" w:type="dxa"/>
          </w:tcPr>
          <w:p w14:paraId="6B7EDD2E" w14:textId="77777777" w:rsidR="00CB54EA" w:rsidRPr="00CB54EA" w:rsidRDefault="00CB54EA" w:rsidP="00CB54EA">
            <w:pPr>
              <w:jc w:val="center"/>
              <w:rPr>
                <w:rFonts w:asciiTheme="minorHAnsi" w:hAnsiTheme="minorHAnsi" w:cstheme="minorHAnsi"/>
                <w:b/>
                <w:bCs/>
                <w:sz w:val="22"/>
                <w:szCs w:val="22"/>
              </w:rPr>
            </w:pPr>
            <w:r w:rsidRPr="00CB54EA">
              <w:rPr>
                <w:rFonts w:asciiTheme="minorHAnsi" w:hAnsiTheme="minorHAnsi" w:cstheme="minorHAnsi"/>
                <w:b/>
                <w:bCs/>
                <w:sz w:val="22"/>
                <w:szCs w:val="22"/>
              </w:rPr>
              <w:t>2018 Updated Medicare A/B FFS Baseline</w:t>
            </w:r>
            <w:r w:rsidRPr="00CB54EA">
              <w:rPr>
                <w:rFonts w:asciiTheme="minorHAnsi" w:hAnsiTheme="minorHAnsi" w:cstheme="minorHAnsi"/>
                <w:b/>
                <w:bCs/>
                <w:sz w:val="22"/>
                <w:szCs w:val="22"/>
              </w:rPr>
              <w:br/>
            </w:r>
            <w:r w:rsidRPr="00CB54EA">
              <w:rPr>
                <w:rFonts w:asciiTheme="minorHAnsi" w:hAnsiTheme="minorHAnsi" w:cstheme="minorHAnsi"/>
                <w:sz w:val="22"/>
                <w:szCs w:val="22"/>
              </w:rPr>
              <w:br/>
              <w:t>(updated by CY 2018 bad debt adjustment)</w:t>
            </w:r>
          </w:p>
        </w:tc>
        <w:tc>
          <w:tcPr>
            <w:tcW w:w="1784" w:type="dxa"/>
          </w:tcPr>
          <w:p w14:paraId="7CF812A3" w14:textId="77777777" w:rsidR="00CB54EA" w:rsidRPr="00CB54EA" w:rsidRDefault="00CB54EA" w:rsidP="00CB54EA">
            <w:pPr>
              <w:jc w:val="center"/>
              <w:rPr>
                <w:rFonts w:asciiTheme="minorHAnsi" w:hAnsiTheme="minorHAnsi" w:cstheme="minorHAnsi"/>
                <w:b/>
                <w:bCs/>
                <w:sz w:val="22"/>
                <w:szCs w:val="22"/>
              </w:rPr>
            </w:pPr>
            <w:r w:rsidRPr="00CB54EA">
              <w:rPr>
                <w:rFonts w:asciiTheme="minorHAnsi" w:hAnsiTheme="minorHAnsi" w:cstheme="minorHAnsi"/>
                <w:b/>
                <w:bCs/>
                <w:color w:val="000000"/>
                <w:sz w:val="22"/>
                <w:szCs w:val="22"/>
              </w:rPr>
              <w:t xml:space="preserve">2018 Updated Medicare A/B Baseline </w:t>
            </w:r>
            <w:r w:rsidRPr="00CB54EA">
              <w:rPr>
                <w:rFonts w:asciiTheme="minorHAnsi" w:hAnsiTheme="minorHAnsi" w:cstheme="minorHAnsi"/>
                <w:b/>
                <w:bCs/>
                <w:color w:val="000000"/>
                <w:sz w:val="22"/>
                <w:szCs w:val="22"/>
              </w:rPr>
              <w:br/>
            </w:r>
            <w:r w:rsidRPr="00CB54EA">
              <w:rPr>
                <w:rFonts w:asciiTheme="minorHAnsi" w:hAnsiTheme="minorHAnsi" w:cstheme="minorHAnsi"/>
                <w:color w:val="000000"/>
                <w:sz w:val="22"/>
                <w:szCs w:val="22"/>
              </w:rPr>
              <w:br/>
              <w:t>(incorporating updated Medicare A/B FFS baseline and Medicare Advantage component)</w:t>
            </w:r>
          </w:p>
        </w:tc>
        <w:tc>
          <w:tcPr>
            <w:tcW w:w="1608" w:type="dxa"/>
          </w:tcPr>
          <w:p w14:paraId="53EFEAD4"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Medicare A/B Baseline, Savings Percentage  Applied</w:t>
            </w:r>
          </w:p>
          <w:p w14:paraId="3610AB58" w14:textId="77777777" w:rsidR="00CB54EA" w:rsidRPr="00CB54EA" w:rsidRDefault="00CB54EA" w:rsidP="00CB54EA">
            <w:pPr>
              <w:jc w:val="center"/>
              <w:rPr>
                <w:rFonts w:asciiTheme="minorHAnsi" w:hAnsiTheme="minorHAnsi" w:cstheme="minorHAnsi"/>
                <w:b/>
                <w:bCs/>
                <w:color w:val="000000"/>
                <w:sz w:val="22"/>
                <w:szCs w:val="22"/>
              </w:rPr>
            </w:pPr>
          </w:p>
          <w:p w14:paraId="388A3120"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sz w:val="22"/>
                <w:szCs w:val="22"/>
              </w:rPr>
              <w:t>(after application of .5% savings percentage)</w:t>
            </w:r>
          </w:p>
        </w:tc>
        <w:tc>
          <w:tcPr>
            <w:tcW w:w="1751" w:type="dxa"/>
          </w:tcPr>
          <w:p w14:paraId="288B7085"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Final Medicare A/B PMPM Payment</w:t>
            </w:r>
            <w:r w:rsidRPr="00CB54EA">
              <w:rPr>
                <w:rFonts w:asciiTheme="minorHAnsi" w:hAnsiTheme="minorHAnsi" w:cstheme="minorHAnsi"/>
                <w:b/>
                <w:bCs/>
                <w:color w:val="000000"/>
                <w:sz w:val="22"/>
                <w:szCs w:val="22"/>
              </w:rPr>
              <w:br/>
            </w:r>
            <w:r w:rsidRPr="00CB54EA">
              <w:rPr>
                <w:rFonts w:asciiTheme="minorHAnsi" w:hAnsiTheme="minorHAnsi" w:cstheme="minorHAnsi"/>
                <w:b/>
                <w:bCs/>
                <w:color w:val="000000"/>
                <w:sz w:val="22"/>
                <w:szCs w:val="22"/>
              </w:rPr>
              <w:br/>
            </w:r>
            <w:r w:rsidRPr="00CB54EA">
              <w:rPr>
                <w:rFonts w:asciiTheme="minorHAnsi" w:hAnsiTheme="minorHAnsi" w:cstheme="minorHAnsi"/>
                <w:color w:val="000000"/>
                <w:sz w:val="22"/>
                <w:szCs w:val="22"/>
              </w:rPr>
              <w:t>(2% sequestration reduction applied and prior to quality withhold)</w:t>
            </w:r>
          </w:p>
        </w:tc>
      </w:tr>
      <w:tr w:rsidR="00255262" w:rsidRPr="00CB54EA" w14:paraId="5144B264" w14:textId="77777777" w:rsidTr="00255262">
        <w:trPr>
          <w:trHeight w:val="64"/>
        </w:trPr>
        <w:tc>
          <w:tcPr>
            <w:tcW w:w="1205" w:type="dxa"/>
            <w:noWrap/>
            <w:hideMark/>
          </w:tcPr>
          <w:p w14:paraId="25758627"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Essex</w:t>
            </w:r>
          </w:p>
        </w:tc>
        <w:tc>
          <w:tcPr>
            <w:tcW w:w="1437" w:type="dxa"/>
            <w:tcBorders>
              <w:top w:val="single" w:sz="4" w:space="0" w:color="auto"/>
              <w:left w:val="nil"/>
              <w:bottom w:val="single" w:sz="4" w:space="0" w:color="auto"/>
              <w:right w:val="single" w:sz="4" w:space="0" w:color="auto"/>
            </w:tcBorders>
            <w:shd w:val="clear" w:color="auto" w:fill="auto"/>
          </w:tcPr>
          <w:p w14:paraId="28A84AA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$858.29 </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B44C341"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873.48</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803859A"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$873.21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A2961DA" w14:textId="77777777" w:rsidR="00CB54EA" w:rsidRPr="00CB54EA" w:rsidRDefault="00CB54EA" w:rsidP="00CB54EA">
            <w:pPr>
              <w:jc w:val="center"/>
              <w:rPr>
                <w:rFonts w:asciiTheme="minorHAnsi" w:eastAsiaTheme="minorHAnsi" w:hAnsiTheme="minorHAnsi" w:cstheme="minorHAnsi"/>
                <w:color w:val="000000"/>
                <w:sz w:val="22"/>
                <w:szCs w:val="22"/>
              </w:rPr>
            </w:pPr>
            <w:r w:rsidRPr="00CB54EA">
              <w:rPr>
                <w:rFonts w:asciiTheme="minorHAnsi" w:hAnsiTheme="minorHAnsi" w:cs="Arial"/>
                <w:color w:val="000000"/>
                <w:sz w:val="22"/>
                <w:szCs w:val="22"/>
              </w:rPr>
              <w:t>$868.84</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09BBA3D" w14:textId="77777777" w:rsidR="00CB54EA" w:rsidRPr="00CB54EA" w:rsidRDefault="00CB54EA" w:rsidP="00CB54EA">
            <w:pPr>
              <w:jc w:val="center"/>
              <w:rPr>
                <w:rFonts w:asciiTheme="minorHAnsi" w:eastAsiaTheme="minorHAnsi" w:hAnsiTheme="minorHAnsi" w:cstheme="minorHAnsi"/>
                <w:color w:val="000000"/>
                <w:sz w:val="22"/>
                <w:szCs w:val="22"/>
              </w:rPr>
            </w:pPr>
            <w:r w:rsidRPr="00CB54EA">
              <w:rPr>
                <w:rFonts w:asciiTheme="minorHAnsi" w:hAnsiTheme="minorHAnsi" w:cs="Arial"/>
                <w:color w:val="000000"/>
                <w:sz w:val="22"/>
                <w:szCs w:val="22"/>
              </w:rPr>
              <w:t>$851.46</w:t>
            </w:r>
          </w:p>
        </w:tc>
      </w:tr>
      <w:tr w:rsidR="00255262" w:rsidRPr="00CB54EA" w14:paraId="456D190E" w14:textId="77777777" w:rsidTr="00255262">
        <w:trPr>
          <w:trHeight w:val="64"/>
        </w:trPr>
        <w:tc>
          <w:tcPr>
            <w:tcW w:w="1205" w:type="dxa"/>
            <w:noWrap/>
            <w:hideMark/>
          </w:tcPr>
          <w:p w14:paraId="537C864F"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Franklin</w:t>
            </w:r>
          </w:p>
        </w:tc>
        <w:tc>
          <w:tcPr>
            <w:tcW w:w="1437" w:type="dxa"/>
            <w:tcBorders>
              <w:top w:val="nil"/>
              <w:left w:val="nil"/>
              <w:bottom w:val="single" w:sz="4" w:space="0" w:color="auto"/>
              <w:right w:val="single" w:sz="4" w:space="0" w:color="auto"/>
            </w:tcBorders>
            <w:shd w:val="clear" w:color="auto" w:fill="auto"/>
          </w:tcPr>
          <w:p w14:paraId="6B3978B0"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741.49 </w:t>
            </w:r>
          </w:p>
        </w:tc>
        <w:tc>
          <w:tcPr>
            <w:tcW w:w="1433" w:type="dxa"/>
            <w:tcBorders>
              <w:top w:val="nil"/>
              <w:left w:val="single" w:sz="4" w:space="0" w:color="auto"/>
              <w:bottom w:val="single" w:sz="4" w:space="0" w:color="auto"/>
              <w:right w:val="single" w:sz="4" w:space="0" w:color="auto"/>
            </w:tcBorders>
            <w:shd w:val="clear" w:color="auto" w:fill="auto"/>
          </w:tcPr>
          <w:p w14:paraId="16D7D8AC"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754.61</w:t>
            </w:r>
          </w:p>
        </w:tc>
        <w:tc>
          <w:tcPr>
            <w:tcW w:w="1784" w:type="dxa"/>
            <w:tcBorders>
              <w:top w:val="nil"/>
              <w:left w:val="single" w:sz="4" w:space="0" w:color="auto"/>
              <w:bottom w:val="single" w:sz="4" w:space="0" w:color="auto"/>
              <w:right w:val="single" w:sz="4" w:space="0" w:color="auto"/>
            </w:tcBorders>
            <w:shd w:val="clear" w:color="auto" w:fill="auto"/>
          </w:tcPr>
          <w:p w14:paraId="71A00524"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754.88</w:t>
            </w:r>
          </w:p>
        </w:tc>
        <w:tc>
          <w:tcPr>
            <w:tcW w:w="1608" w:type="dxa"/>
            <w:tcBorders>
              <w:top w:val="nil"/>
              <w:left w:val="single" w:sz="4" w:space="0" w:color="auto"/>
              <w:bottom w:val="single" w:sz="4" w:space="0" w:color="auto"/>
              <w:right w:val="single" w:sz="4" w:space="0" w:color="auto"/>
            </w:tcBorders>
            <w:shd w:val="clear" w:color="auto" w:fill="auto"/>
          </w:tcPr>
          <w:p w14:paraId="22F21AE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751.11</w:t>
            </w:r>
          </w:p>
        </w:tc>
        <w:tc>
          <w:tcPr>
            <w:tcW w:w="1751" w:type="dxa"/>
            <w:tcBorders>
              <w:top w:val="nil"/>
              <w:left w:val="single" w:sz="4" w:space="0" w:color="auto"/>
              <w:bottom w:val="single" w:sz="4" w:space="0" w:color="auto"/>
              <w:right w:val="single" w:sz="4" w:space="0" w:color="auto"/>
            </w:tcBorders>
            <w:shd w:val="clear" w:color="auto" w:fill="auto"/>
          </w:tcPr>
          <w:p w14:paraId="3D00092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736.09</w:t>
            </w:r>
          </w:p>
        </w:tc>
      </w:tr>
      <w:tr w:rsidR="00255262" w:rsidRPr="00CB54EA" w14:paraId="320CD7E7" w14:textId="77777777" w:rsidTr="00255262">
        <w:trPr>
          <w:trHeight w:val="64"/>
        </w:trPr>
        <w:tc>
          <w:tcPr>
            <w:tcW w:w="1205" w:type="dxa"/>
            <w:noWrap/>
            <w:hideMark/>
          </w:tcPr>
          <w:p w14:paraId="056704C8"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Hampden</w:t>
            </w:r>
          </w:p>
        </w:tc>
        <w:tc>
          <w:tcPr>
            <w:tcW w:w="1437" w:type="dxa"/>
            <w:tcBorders>
              <w:top w:val="nil"/>
              <w:left w:val="nil"/>
              <w:bottom w:val="single" w:sz="4" w:space="0" w:color="auto"/>
              <w:right w:val="single" w:sz="4" w:space="0" w:color="auto"/>
            </w:tcBorders>
            <w:shd w:val="clear" w:color="auto" w:fill="auto"/>
          </w:tcPr>
          <w:p w14:paraId="5C2F2633"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757.63 </w:t>
            </w:r>
          </w:p>
        </w:tc>
        <w:tc>
          <w:tcPr>
            <w:tcW w:w="1433" w:type="dxa"/>
            <w:tcBorders>
              <w:top w:val="nil"/>
              <w:left w:val="single" w:sz="4" w:space="0" w:color="auto"/>
              <w:bottom w:val="single" w:sz="4" w:space="0" w:color="auto"/>
              <w:right w:val="single" w:sz="4" w:space="0" w:color="auto"/>
            </w:tcBorders>
            <w:shd w:val="clear" w:color="auto" w:fill="auto"/>
          </w:tcPr>
          <w:p w14:paraId="17D95F8D"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771.04</w:t>
            </w:r>
          </w:p>
        </w:tc>
        <w:tc>
          <w:tcPr>
            <w:tcW w:w="1784" w:type="dxa"/>
            <w:tcBorders>
              <w:top w:val="nil"/>
              <w:left w:val="single" w:sz="4" w:space="0" w:color="auto"/>
              <w:bottom w:val="single" w:sz="4" w:space="0" w:color="auto"/>
              <w:right w:val="single" w:sz="4" w:space="0" w:color="auto"/>
            </w:tcBorders>
            <w:shd w:val="clear" w:color="auto" w:fill="auto"/>
          </w:tcPr>
          <w:p w14:paraId="093362B7"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771.26</w:t>
            </w:r>
          </w:p>
        </w:tc>
        <w:tc>
          <w:tcPr>
            <w:tcW w:w="1608" w:type="dxa"/>
            <w:tcBorders>
              <w:top w:val="nil"/>
              <w:left w:val="single" w:sz="4" w:space="0" w:color="auto"/>
              <w:bottom w:val="single" w:sz="4" w:space="0" w:color="auto"/>
              <w:right w:val="single" w:sz="4" w:space="0" w:color="auto"/>
            </w:tcBorders>
            <w:shd w:val="clear" w:color="auto" w:fill="auto"/>
          </w:tcPr>
          <w:p w14:paraId="135ECCB1"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767.40</w:t>
            </w:r>
          </w:p>
        </w:tc>
        <w:tc>
          <w:tcPr>
            <w:tcW w:w="1751" w:type="dxa"/>
            <w:tcBorders>
              <w:top w:val="nil"/>
              <w:left w:val="single" w:sz="4" w:space="0" w:color="auto"/>
              <w:bottom w:val="single" w:sz="4" w:space="0" w:color="auto"/>
              <w:right w:val="single" w:sz="4" w:space="0" w:color="auto"/>
            </w:tcBorders>
            <w:shd w:val="clear" w:color="auto" w:fill="auto"/>
          </w:tcPr>
          <w:p w14:paraId="36DF5D5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752.05</w:t>
            </w:r>
          </w:p>
        </w:tc>
      </w:tr>
      <w:tr w:rsidR="00255262" w:rsidRPr="00CB54EA" w14:paraId="68B54828" w14:textId="77777777" w:rsidTr="00255262">
        <w:trPr>
          <w:trHeight w:val="64"/>
        </w:trPr>
        <w:tc>
          <w:tcPr>
            <w:tcW w:w="1205" w:type="dxa"/>
            <w:noWrap/>
            <w:hideMark/>
          </w:tcPr>
          <w:p w14:paraId="31C39814"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Hampshire</w:t>
            </w:r>
          </w:p>
        </w:tc>
        <w:tc>
          <w:tcPr>
            <w:tcW w:w="1437" w:type="dxa"/>
            <w:tcBorders>
              <w:top w:val="nil"/>
              <w:left w:val="nil"/>
              <w:bottom w:val="single" w:sz="4" w:space="0" w:color="auto"/>
              <w:right w:val="single" w:sz="4" w:space="0" w:color="auto"/>
            </w:tcBorders>
            <w:shd w:val="clear" w:color="auto" w:fill="auto"/>
          </w:tcPr>
          <w:p w14:paraId="37AE04F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773.79 </w:t>
            </w:r>
          </w:p>
        </w:tc>
        <w:tc>
          <w:tcPr>
            <w:tcW w:w="1433" w:type="dxa"/>
            <w:tcBorders>
              <w:top w:val="nil"/>
              <w:left w:val="single" w:sz="4" w:space="0" w:color="auto"/>
              <w:bottom w:val="single" w:sz="4" w:space="0" w:color="auto"/>
              <w:right w:val="single" w:sz="4" w:space="0" w:color="auto"/>
            </w:tcBorders>
            <w:shd w:val="clear" w:color="auto" w:fill="auto"/>
          </w:tcPr>
          <w:p w14:paraId="2A015F6F"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787.49</w:t>
            </w:r>
          </w:p>
        </w:tc>
        <w:tc>
          <w:tcPr>
            <w:tcW w:w="1784" w:type="dxa"/>
            <w:tcBorders>
              <w:top w:val="nil"/>
              <w:left w:val="single" w:sz="4" w:space="0" w:color="auto"/>
              <w:bottom w:val="single" w:sz="4" w:space="0" w:color="auto"/>
              <w:right w:val="single" w:sz="4" w:space="0" w:color="auto"/>
            </w:tcBorders>
            <w:shd w:val="clear" w:color="auto" w:fill="auto"/>
          </w:tcPr>
          <w:p w14:paraId="11B6E7CA"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787.77</w:t>
            </w:r>
          </w:p>
        </w:tc>
        <w:tc>
          <w:tcPr>
            <w:tcW w:w="1608" w:type="dxa"/>
            <w:tcBorders>
              <w:top w:val="nil"/>
              <w:left w:val="single" w:sz="4" w:space="0" w:color="auto"/>
              <w:bottom w:val="single" w:sz="4" w:space="0" w:color="auto"/>
              <w:right w:val="single" w:sz="4" w:space="0" w:color="auto"/>
            </w:tcBorders>
            <w:shd w:val="clear" w:color="auto" w:fill="auto"/>
          </w:tcPr>
          <w:p w14:paraId="30E6E84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783.83</w:t>
            </w:r>
          </w:p>
        </w:tc>
        <w:tc>
          <w:tcPr>
            <w:tcW w:w="1751" w:type="dxa"/>
            <w:tcBorders>
              <w:top w:val="nil"/>
              <w:left w:val="single" w:sz="4" w:space="0" w:color="auto"/>
              <w:bottom w:val="single" w:sz="4" w:space="0" w:color="auto"/>
              <w:right w:val="single" w:sz="4" w:space="0" w:color="auto"/>
            </w:tcBorders>
            <w:shd w:val="clear" w:color="auto" w:fill="auto"/>
          </w:tcPr>
          <w:p w14:paraId="2569D8F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768.15</w:t>
            </w:r>
          </w:p>
        </w:tc>
      </w:tr>
      <w:tr w:rsidR="00255262" w:rsidRPr="00CB54EA" w14:paraId="53B35394" w14:textId="77777777" w:rsidTr="00255262">
        <w:trPr>
          <w:trHeight w:val="64"/>
        </w:trPr>
        <w:tc>
          <w:tcPr>
            <w:tcW w:w="1205" w:type="dxa"/>
            <w:noWrap/>
            <w:hideMark/>
          </w:tcPr>
          <w:p w14:paraId="0D9E0ADD"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Middlesex</w:t>
            </w:r>
          </w:p>
        </w:tc>
        <w:tc>
          <w:tcPr>
            <w:tcW w:w="1437" w:type="dxa"/>
            <w:tcBorders>
              <w:top w:val="nil"/>
              <w:left w:val="nil"/>
              <w:bottom w:val="single" w:sz="4" w:space="0" w:color="auto"/>
              <w:right w:val="single" w:sz="4" w:space="0" w:color="auto"/>
            </w:tcBorders>
            <w:shd w:val="clear" w:color="auto" w:fill="auto"/>
          </w:tcPr>
          <w:p w14:paraId="03137C15"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859.13 </w:t>
            </w:r>
          </w:p>
        </w:tc>
        <w:tc>
          <w:tcPr>
            <w:tcW w:w="1433" w:type="dxa"/>
            <w:tcBorders>
              <w:top w:val="nil"/>
              <w:left w:val="single" w:sz="4" w:space="0" w:color="auto"/>
              <w:bottom w:val="single" w:sz="4" w:space="0" w:color="auto"/>
              <w:right w:val="single" w:sz="4" w:space="0" w:color="auto"/>
            </w:tcBorders>
            <w:shd w:val="clear" w:color="auto" w:fill="auto"/>
          </w:tcPr>
          <w:p w14:paraId="1D8BE32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874.34</w:t>
            </w:r>
          </w:p>
        </w:tc>
        <w:tc>
          <w:tcPr>
            <w:tcW w:w="1784" w:type="dxa"/>
            <w:tcBorders>
              <w:top w:val="nil"/>
              <w:left w:val="single" w:sz="4" w:space="0" w:color="auto"/>
              <w:bottom w:val="single" w:sz="4" w:space="0" w:color="auto"/>
              <w:right w:val="single" w:sz="4" w:space="0" w:color="auto"/>
            </w:tcBorders>
            <w:shd w:val="clear" w:color="auto" w:fill="auto"/>
          </w:tcPr>
          <w:p w14:paraId="1A9651D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873.95</w:t>
            </w:r>
          </w:p>
        </w:tc>
        <w:tc>
          <w:tcPr>
            <w:tcW w:w="1608" w:type="dxa"/>
            <w:tcBorders>
              <w:top w:val="nil"/>
              <w:left w:val="single" w:sz="4" w:space="0" w:color="auto"/>
              <w:bottom w:val="single" w:sz="4" w:space="0" w:color="auto"/>
              <w:right w:val="single" w:sz="4" w:space="0" w:color="auto"/>
            </w:tcBorders>
            <w:shd w:val="clear" w:color="auto" w:fill="auto"/>
          </w:tcPr>
          <w:p w14:paraId="13CEB3EC"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869.58</w:t>
            </w:r>
          </w:p>
        </w:tc>
        <w:tc>
          <w:tcPr>
            <w:tcW w:w="1751" w:type="dxa"/>
            <w:tcBorders>
              <w:top w:val="nil"/>
              <w:left w:val="single" w:sz="4" w:space="0" w:color="auto"/>
              <w:bottom w:val="single" w:sz="4" w:space="0" w:color="auto"/>
              <w:right w:val="single" w:sz="4" w:space="0" w:color="auto"/>
            </w:tcBorders>
            <w:shd w:val="clear" w:color="auto" w:fill="auto"/>
          </w:tcPr>
          <w:p w14:paraId="7BD9202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852.19</w:t>
            </w:r>
          </w:p>
        </w:tc>
      </w:tr>
      <w:tr w:rsidR="00255262" w:rsidRPr="00CB54EA" w14:paraId="093DB4F5" w14:textId="77777777" w:rsidTr="00255262">
        <w:trPr>
          <w:trHeight w:val="64"/>
        </w:trPr>
        <w:tc>
          <w:tcPr>
            <w:tcW w:w="1205" w:type="dxa"/>
            <w:noWrap/>
            <w:hideMark/>
          </w:tcPr>
          <w:p w14:paraId="219A45AF"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Norfolk</w:t>
            </w:r>
          </w:p>
        </w:tc>
        <w:tc>
          <w:tcPr>
            <w:tcW w:w="1437" w:type="dxa"/>
            <w:tcBorders>
              <w:top w:val="single" w:sz="4" w:space="0" w:color="auto"/>
              <w:left w:val="nil"/>
              <w:bottom w:val="single" w:sz="4" w:space="0" w:color="auto"/>
              <w:right w:val="single" w:sz="4" w:space="0" w:color="auto"/>
            </w:tcBorders>
            <w:shd w:val="clear" w:color="auto" w:fill="auto"/>
          </w:tcPr>
          <w:p w14:paraId="36701A2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911.59 </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5A7F9E7"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927.73</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82ABB15"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927.30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A57D5E4"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922.66</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6B56DA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904.21</w:t>
            </w:r>
          </w:p>
        </w:tc>
      </w:tr>
      <w:tr w:rsidR="00255262" w:rsidRPr="00CB54EA" w14:paraId="46C7A9BE" w14:textId="77777777" w:rsidTr="00255262">
        <w:trPr>
          <w:trHeight w:val="64"/>
        </w:trPr>
        <w:tc>
          <w:tcPr>
            <w:tcW w:w="1205" w:type="dxa"/>
            <w:noWrap/>
            <w:hideMark/>
          </w:tcPr>
          <w:p w14:paraId="1F53E170"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Plymouth</w:t>
            </w:r>
          </w:p>
        </w:tc>
        <w:tc>
          <w:tcPr>
            <w:tcW w:w="1437" w:type="dxa"/>
            <w:tcBorders>
              <w:top w:val="nil"/>
              <w:left w:val="nil"/>
              <w:bottom w:val="single" w:sz="4" w:space="0" w:color="auto"/>
              <w:right w:val="single" w:sz="4" w:space="0" w:color="auto"/>
            </w:tcBorders>
            <w:shd w:val="clear" w:color="auto" w:fill="auto"/>
          </w:tcPr>
          <w:p w14:paraId="6FFC55A2"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952.23 </w:t>
            </w:r>
          </w:p>
        </w:tc>
        <w:tc>
          <w:tcPr>
            <w:tcW w:w="1433" w:type="dxa"/>
            <w:tcBorders>
              <w:top w:val="nil"/>
              <w:left w:val="single" w:sz="4" w:space="0" w:color="auto"/>
              <w:bottom w:val="single" w:sz="4" w:space="0" w:color="auto"/>
              <w:right w:val="single" w:sz="4" w:space="0" w:color="auto"/>
            </w:tcBorders>
            <w:shd w:val="clear" w:color="auto" w:fill="auto"/>
          </w:tcPr>
          <w:p w14:paraId="3E6E20C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969.08</w:t>
            </w:r>
          </w:p>
        </w:tc>
        <w:tc>
          <w:tcPr>
            <w:tcW w:w="1784" w:type="dxa"/>
            <w:tcBorders>
              <w:top w:val="nil"/>
              <w:left w:val="single" w:sz="4" w:space="0" w:color="auto"/>
              <w:bottom w:val="single" w:sz="4" w:space="0" w:color="auto"/>
              <w:right w:val="single" w:sz="4" w:space="0" w:color="auto"/>
            </w:tcBorders>
            <w:shd w:val="clear" w:color="auto" w:fill="auto"/>
          </w:tcPr>
          <w:p w14:paraId="21EC9F74"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968.71</w:t>
            </w:r>
          </w:p>
        </w:tc>
        <w:tc>
          <w:tcPr>
            <w:tcW w:w="1608" w:type="dxa"/>
            <w:tcBorders>
              <w:top w:val="nil"/>
              <w:left w:val="single" w:sz="4" w:space="0" w:color="auto"/>
              <w:bottom w:val="single" w:sz="4" w:space="0" w:color="auto"/>
              <w:right w:val="single" w:sz="4" w:space="0" w:color="auto"/>
            </w:tcBorders>
            <w:shd w:val="clear" w:color="auto" w:fill="auto"/>
          </w:tcPr>
          <w:p w14:paraId="0DADF63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963.87</w:t>
            </w:r>
          </w:p>
        </w:tc>
        <w:tc>
          <w:tcPr>
            <w:tcW w:w="1751" w:type="dxa"/>
            <w:tcBorders>
              <w:top w:val="nil"/>
              <w:left w:val="single" w:sz="4" w:space="0" w:color="auto"/>
              <w:bottom w:val="single" w:sz="4" w:space="0" w:color="auto"/>
              <w:right w:val="single" w:sz="4" w:space="0" w:color="auto"/>
            </w:tcBorders>
            <w:shd w:val="clear" w:color="auto" w:fill="auto"/>
          </w:tcPr>
          <w:p w14:paraId="65CB63FC"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944.59</w:t>
            </w:r>
          </w:p>
        </w:tc>
      </w:tr>
      <w:tr w:rsidR="00255262" w:rsidRPr="00CB54EA" w14:paraId="694F1859" w14:textId="77777777" w:rsidTr="00255262">
        <w:trPr>
          <w:trHeight w:val="64"/>
        </w:trPr>
        <w:tc>
          <w:tcPr>
            <w:tcW w:w="1205" w:type="dxa"/>
            <w:noWrap/>
            <w:hideMark/>
          </w:tcPr>
          <w:p w14:paraId="74C7A6C7"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Suffolk</w:t>
            </w:r>
          </w:p>
        </w:tc>
        <w:tc>
          <w:tcPr>
            <w:tcW w:w="1437" w:type="dxa"/>
            <w:tcBorders>
              <w:top w:val="nil"/>
              <w:left w:val="nil"/>
              <w:bottom w:val="single" w:sz="4" w:space="0" w:color="auto"/>
              <w:right w:val="single" w:sz="4" w:space="0" w:color="auto"/>
            </w:tcBorders>
            <w:shd w:val="clear" w:color="auto" w:fill="auto"/>
          </w:tcPr>
          <w:p w14:paraId="2A560872"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877.82 </w:t>
            </w:r>
          </w:p>
        </w:tc>
        <w:tc>
          <w:tcPr>
            <w:tcW w:w="1433" w:type="dxa"/>
            <w:tcBorders>
              <w:top w:val="nil"/>
              <w:left w:val="single" w:sz="4" w:space="0" w:color="auto"/>
              <w:bottom w:val="single" w:sz="4" w:space="0" w:color="auto"/>
              <w:right w:val="single" w:sz="4" w:space="0" w:color="auto"/>
            </w:tcBorders>
            <w:shd w:val="clear" w:color="auto" w:fill="auto"/>
          </w:tcPr>
          <w:p w14:paraId="418EC37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893.36</w:t>
            </w:r>
          </w:p>
        </w:tc>
        <w:tc>
          <w:tcPr>
            <w:tcW w:w="1784" w:type="dxa"/>
            <w:tcBorders>
              <w:top w:val="nil"/>
              <w:left w:val="single" w:sz="4" w:space="0" w:color="auto"/>
              <w:bottom w:val="single" w:sz="4" w:space="0" w:color="auto"/>
              <w:right w:val="single" w:sz="4" w:space="0" w:color="auto"/>
            </w:tcBorders>
            <w:shd w:val="clear" w:color="auto" w:fill="auto"/>
          </w:tcPr>
          <w:p w14:paraId="1CEDCC6E"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892.98</w:t>
            </w:r>
          </w:p>
        </w:tc>
        <w:tc>
          <w:tcPr>
            <w:tcW w:w="1608" w:type="dxa"/>
            <w:tcBorders>
              <w:top w:val="nil"/>
              <w:left w:val="single" w:sz="4" w:space="0" w:color="auto"/>
              <w:bottom w:val="single" w:sz="4" w:space="0" w:color="auto"/>
              <w:right w:val="single" w:sz="4" w:space="0" w:color="auto"/>
            </w:tcBorders>
            <w:shd w:val="clear" w:color="auto" w:fill="auto"/>
          </w:tcPr>
          <w:p w14:paraId="69C858C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888.52</w:t>
            </w:r>
          </w:p>
        </w:tc>
        <w:tc>
          <w:tcPr>
            <w:tcW w:w="1751" w:type="dxa"/>
            <w:tcBorders>
              <w:top w:val="nil"/>
              <w:left w:val="single" w:sz="4" w:space="0" w:color="auto"/>
              <w:bottom w:val="single" w:sz="4" w:space="0" w:color="auto"/>
              <w:right w:val="single" w:sz="4" w:space="0" w:color="auto"/>
            </w:tcBorders>
            <w:shd w:val="clear" w:color="auto" w:fill="auto"/>
          </w:tcPr>
          <w:p w14:paraId="4602825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870.75</w:t>
            </w:r>
          </w:p>
        </w:tc>
      </w:tr>
      <w:tr w:rsidR="00255262" w:rsidRPr="00CB54EA" w14:paraId="60A040E0" w14:textId="77777777" w:rsidTr="00255262">
        <w:trPr>
          <w:trHeight w:val="147"/>
        </w:trPr>
        <w:tc>
          <w:tcPr>
            <w:tcW w:w="1205" w:type="dxa"/>
            <w:noWrap/>
            <w:hideMark/>
          </w:tcPr>
          <w:p w14:paraId="1A65F8E2"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Worcester</w:t>
            </w:r>
          </w:p>
        </w:tc>
        <w:tc>
          <w:tcPr>
            <w:tcW w:w="1437" w:type="dxa"/>
            <w:tcBorders>
              <w:top w:val="nil"/>
              <w:left w:val="nil"/>
              <w:bottom w:val="single" w:sz="4" w:space="0" w:color="auto"/>
              <w:right w:val="single" w:sz="4" w:space="0" w:color="auto"/>
            </w:tcBorders>
            <w:shd w:val="clear" w:color="auto" w:fill="auto"/>
          </w:tcPr>
          <w:p w14:paraId="5509B4D1"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834.92 </w:t>
            </w:r>
          </w:p>
        </w:tc>
        <w:tc>
          <w:tcPr>
            <w:tcW w:w="1433" w:type="dxa"/>
            <w:tcBorders>
              <w:top w:val="nil"/>
              <w:left w:val="single" w:sz="4" w:space="0" w:color="auto"/>
              <w:bottom w:val="single" w:sz="4" w:space="0" w:color="auto"/>
              <w:right w:val="single" w:sz="4" w:space="0" w:color="auto"/>
            </w:tcBorders>
            <w:shd w:val="clear" w:color="auto" w:fill="auto"/>
          </w:tcPr>
          <w:p w14:paraId="706A910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849.70</w:t>
            </w:r>
          </w:p>
        </w:tc>
        <w:tc>
          <w:tcPr>
            <w:tcW w:w="1784" w:type="dxa"/>
            <w:tcBorders>
              <w:top w:val="nil"/>
              <w:left w:val="single" w:sz="4" w:space="0" w:color="auto"/>
              <w:bottom w:val="single" w:sz="4" w:space="0" w:color="auto"/>
              <w:right w:val="single" w:sz="4" w:space="0" w:color="auto"/>
            </w:tcBorders>
            <w:shd w:val="clear" w:color="auto" w:fill="auto"/>
          </w:tcPr>
          <w:p w14:paraId="434B01AD"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849.56</w:t>
            </w:r>
          </w:p>
        </w:tc>
        <w:tc>
          <w:tcPr>
            <w:tcW w:w="1608" w:type="dxa"/>
            <w:tcBorders>
              <w:top w:val="nil"/>
              <w:left w:val="single" w:sz="4" w:space="0" w:color="auto"/>
              <w:bottom w:val="single" w:sz="4" w:space="0" w:color="auto"/>
              <w:right w:val="single" w:sz="4" w:space="0" w:color="auto"/>
            </w:tcBorders>
            <w:shd w:val="clear" w:color="auto" w:fill="auto"/>
          </w:tcPr>
          <w:p w14:paraId="2F8C29FB"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845.31</w:t>
            </w:r>
          </w:p>
        </w:tc>
        <w:tc>
          <w:tcPr>
            <w:tcW w:w="1751" w:type="dxa"/>
            <w:tcBorders>
              <w:top w:val="nil"/>
              <w:left w:val="single" w:sz="4" w:space="0" w:color="auto"/>
              <w:bottom w:val="single" w:sz="4" w:space="0" w:color="auto"/>
              <w:right w:val="single" w:sz="4" w:space="0" w:color="auto"/>
            </w:tcBorders>
            <w:shd w:val="clear" w:color="auto" w:fill="auto"/>
          </w:tcPr>
          <w:p w14:paraId="2F335DB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828.40</w:t>
            </w:r>
          </w:p>
        </w:tc>
      </w:tr>
    </w:tbl>
    <w:p w14:paraId="20701445" w14:textId="77777777" w:rsidR="00255262" w:rsidRDefault="00CB54EA" w:rsidP="00CB54EA">
      <w:pPr>
        <w:autoSpaceDE w:val="0"/>
        <w:autoSpaceDN w:val="0"/>
        <w:adjustRightInd w:val="0"/>
        <w:ind w:right="-1350"/>
        <w:rPr>
          <w:rFonts w:asciiTheme="minorHAnsi" w:hAnsiTheme="minorHAnsi" w:cs="Calibri"/>
          <w:color w:val="000000"/>
          <w:sz w:val="20"/>
          <w:szCs w:val="20"/>
        </w:rPr>
      </w:pPr>
      <w:r w:rsidRPr="00CB54EA">
        <w:rPr>
          <w:rFonts w:asciiTheme="minorHAnsi" w:hAnsiTheme="minorHAnsi" w:cs="Calibri"/>
          <w:color w:val="000000"/>
          <w:sz w:val="20"/>
          <w:szCs w:val="20"/>
          <w:vertAlign w:val="superscript"/>
        </w:rPr>
        <w:t xml:space="preserve">1 </w:t>
      </w:r>
      <w:r w:rsidRPr="00CB54EA">
        <w:rPr>
          <w:rFonts w:asciiTheme="minorHAnsi" w:hAnsiTheme="minorHAnsi" w:cs="Calibri"/>
          <w:color w:val="000000"/>
          <w:sz w:val="20"/>
          <w:szCs w:val="20"/>
        </w:rPr>
        <w:t xml:space="preserve">Rates do not apply to beneficiaries with End-Stage Renal Disease (ESRD) or those electing the Medicare hospice </w:t>
      </w:r>
    </w:p>
    <w:p w14:paraId="7EE5BF11" w14:textId="04AE0EE8" w:rsidR="00CB54EA" w:rsidRPr="00255262" w:rsidRDefault="00CB54EA" w:rsidP="00CB54EA">
      <w:pPr>
        <w:autoSpaceDE w:val="0"/>
        <w:autoSpaceDN w:val="0"/>
        <w:adjustRightInd w:val="0"/>
        <w:ind w:right="-1350"/>
        <w:rPr>
          <w:rFonts w:asciiTheme="minorHAnsi" w:hAnsiTheme="minorHAnsi" w:cs="Calibri"/>
          <w:color w:val="000000"/>
          <w:sz w:val="20"/>
          <w:szCs w:val="20"/>
        </w:rPr>
      </w:pPr>
      <w:r w:rsidRPr="00CB54EA">
        <w:rPr>
          <w:rFonts w:asciiTheme="minorHAnsi" w:hAnsiTheme="minorHAnsi" w:cs="Calibri"/>
          <w:color w:val="000000"/>
          <w:sz w:val="20"/>
          <w:szCs w:val="20"/>
        </w:rPr>
        <w:t>benefit. S</w:t>
      </w:r>
      <w:r w:rsidRPr="00CB54EA">
        <w:rPr>
          <w:rFonts w:asciiTheme="minorHAnsi" w:hAnsiTheme="minorHAnsi" w:cs="Calibri"/>
          <w:sz w:val="20"/>
          <w:szCs w:val="20"/>
        </w:rPr>
        <w:t>ee Section IV for information on savings percentages.</w:t>
      </w:r>
    </w:p>
    <w:p w14:paraId="72CA9F22" w14:textId="77777777" w:rsidR="00CB54EA" w:rsidRPr="00CB54EA" w:rsidRDefault="00CB54EA" w:rsidP="00CB54EA">
      <w:pPr>
        <w:autoSpaceDE w:val="0"/>
        <w:autoSpaceDN w:val="0"/>
        <w:adjustRightInd w:val="0"/>
        <w:rPr>
          <w:rFonts w:asciiTheme="minorHAnsi" w:hAnsiTheme="minorHAnsi" w:cs="Calibri"/>
          <w:sz w:val="20"/>
          <w:szCs w:val="20"/>
        </w:rPr>
      </w:pPr>
    </w:p>
    <w:p w14:paraId="4EDFEC61" w14:textId="7DE26F09" w:rsidR="00CB54EA" w:rsidRPr="00CB54EA" w:rsidRDefault="00CB54EA" w:rsidP="00CB54EA">
      <w:pPr>
        <w:autoSpaceDE w:val="0"/>
        <w:autoSpaceDN w:val="0"/>
        <w:adjustRightInd w:val="0"/>
        <w:rPr>
          <w:rFonts w:asciiTheme="minorHAnsi" w:hAnsiTheme="minorHAnsi" w:cs="Calibri"/>
          <w:color w:val="000000"/>
          <w:sz w:val="20"/>
          <w:szCs w:val="20"/>
        </w:rPr>
      </w:pPr>
      <w:r w:rsidRPr="00CB54EA">
        <w:rPr>
          <w:rFonts w:asciiTheme="minorHAnsi" w:hAnsiTheme="minorHAnsi" w:cs="Calibri"/>
          <w:color w:val="000000"/>
          <w:sz w:val="20"/>
          <w:szCs w:val="20"/>
        </w:rPr>
        <w:t>Note:</w:t>
      </w:r>
      <w:r w:rsidRPr="00CB54EA">
        <w:rPr>
          <w:rFonts w:asciiTheme="minorHAnsi" w:hAnsiTheme="minorHAnsi" w:cs="Calibri"/>
          <w:color w:val="000000"/>
          <w:sz w:val="20"/>
          <w:szCs w:val="20"/>
          <w:vertAlign w:val="superscript"/>
        </w:rPr>
        <w:t xml:space="preserve">  </w:t>
      </w:r>
      <w:r w:rsidRPr="00CB54EA">
        <w:rPr>
          <w:rFonts w:asciiTheme="minorHAnsi" w:hAnsiTheme="minorHAnsi" w:cs="Calibri"/>
          <w:sz w:val="20"/>
          <w:szCs w:val="20"/>
        </w:rPr>
        <w:t>F</w:t>
      </w:r>
      <w:r w:rsidRPr="00CB54EA">
        <w:rPr>
          <w:rFonts w:asciiTheme="minorHAnsi" w:hAnsiTheme="minorHAnsi" w:cs="Calibri"/>
          <w:color w:val="000000"/>
          <w:sz w:val="20"/>
          <w:szCs w:val="20"/>
        </w:rPr>
        <w:t>or CY 2018 CMS will apply the full prevailing Medicare Advantage coding intensity adjustment of 5.91%.</w:t>
      </w:r>
    </w:p>
    <w:p w14:paraId="4ED123AB" w14:textId="77777777" w:rsidR="0009678E" w:rsidRPr="00CB54EA" w:rsidRDefault="0009678E" w:rsidP="003C322B">
      <w:pPr>
        <w:autoSpaceDE w:val="0"/>
        <w:autoSpaceDN w:val="0"/>
        <w:adjustRightInd w:val="0"/>
        <w:rPr>
          <w:rFonts w:asciiTheme="minorHAnsi" w:hAnsiTheme="minorHAnsi" w:cs="Calibri"/>
          <w:color w:val="000000"/>
          <w:sz w:val="20"/>
          <w:szCs w:val="20"/>
        </w:rPr>
      </w:pPr>
    </w:p>
    <w:p w14:paraId="06B14248" w14:textId="77777777" w:rsidR="00CB54EA" w:rsidRPr="00CB54EA" w:rsidRDefault="00CB54EA" w:rsidP="003C322B">
      <w:pPr>
        <w:autoSpaceDE w:val="0"/>
        <w:autoSpaceDN w:val="0"/>
        <w:adjustRightInd w:val="0"/>
        <w:rPr>
          <w:rFonts w:asciiTheme="minorHAnsi" w:hAnsiTheme="minorHAnsi" w:cs="Calibri"/>
          <w:color w:val="000000"/>
          <w:sz w:val="20"/>
          <w:szCs w:val="20"/>
        </w:rPr>
      </w:pPr>
    </w:p>
    <w:p w14:paraId="59488A83" w14:textId="77777777" w:rsidR="00CB54EA" w:rsidRPr="00CB54EA" w:rsidRDefault="00CB54EA" w:rsidP="003C322B">
      <w:pPr>
        <w:autoSpaceDE w:val="0"/>
        <w:autoSpaceDN w:val="0"/>
        <w:adjustRightInd w:val="0"/>
        <w:rPr>
          <w:rFonts w:asciiTheme="minorHAnsi" w:hAnsiTheme="minorHAnsi" w:cs="Calibri"/>
          <w:color w:val="000000"/>
          <w:sz w:val="20"/>
          <w:szCs w:val="20"/>
        </w:rPr>
        <w:sectPr w:rsidR="00CB54EA" w:rsidRPr="00CB54EA" w:rsidSect="00C23322">
          <w:pgSz w:w="12240" w:h="15840"/>
          <w:pgMar w:top="1980" w:right="1440" w:bottom="1260" w:left="1800" w:header="720" w:footer="720" w:gutter="0"/>
          <w:cols w:space="720"/>
          <w:docGrid w:linePitch="360"/>
        </w:sectPr>
      </w:pPr>
    </w:p>
    <w:p w14:paraId="485239F4" w14:textId="77777777" w:rsidR="00E6337C" w:rsidRPr="00CB54EA" w:rsidRDefault="00283A75" w:rsidP="007119CC">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lastRenderedPageBreak/>
        <w:t xml:space="preserve">The Medicare A/B PMPMs above will be risk adjusted at the beneficiary level using the </w:t>
      </w:r>
      <w:r w:rsidR="008116D1" w:rsidRPr="00CB54EA">
        <w:rPr>
          <w:rFonts w:asciiTheme="minorHAnsi" w:hAnsiTheme="minorHAnsi" w:cs="Calibri"/>
          <w:color w:val="000000"/>
          <w:sz w:val="22"/>
          <w:szCs w:val="22"/>
        </w:rPr>
        <w:t xml:space="preserve">prevailing </w:t>
      </w:r>
      <w:r w:rsidRPr="00CB54EA">
        <w:rPr>
          <w:rFonts w:asciiTheme="minorHAnsi" w:hAnsiTheme="minorHAnsi" w:cs="Calibri"/>
          <w:color w:val="000000"/>
          <w:sz w:val="22"/>
          <w:szCs w:val="22"/>
        </w:rPr>
        <w:t>CMS-HCC risk adjustment model.</w:t>
      </w:r>
      <w:r w:rsidR="00E6337C" w:rsidRPr="00CB54EA">
        <w:rPr>
          <w:rFonts w:asciiTheme="minorHAnsi" w:hAnsiTheme="minorHAnsi" w:cs="Calibri"/>
          <w:color w:val="000000"/>
          <w:sz w:val="22"/>
          <w:szCs w:val="22"/>
        </w:rPr>
        <w:t xml:space="preserve"> </w:t>
      </w:r>
    </w:p>
    <w:p w14:paraId="15860F86" w14:textId="77777777" w:rsidR="00E6337C" w:rsidRPr="00CB54EA" w:rsidRDefault="00E6337C" w:rsidP="007119CC">
      <w:pPr>
        <w:autoSpaceDE w:val="0"/>
        <w:autoSpaceDN w:val="0"/>
        <w:adjustRightInd w:val="0"/>
        <w:rPr>
          <w:rFonts w:asciiTheme="minorHAnsi" w:hAnsiTheme="minorHAnsi" w:cs="Calibri"/>
          <w:color w:val="000000"/>
          <w:sz w:val="22"/>
          <w:szCs w:val="22"/>
        </w:rPr>
      </w:pPr>
    </w:p>
    <w:p w14:paraId="530E3EE7" w14:textId="77777777" w:rsidR="00283A75" w:rsidRPr="00CB54EA" w:rsidRDefault="00283A75" w:rsidP="007119CC">
      <w:pPr>
        <w:autoSpaceDE w:val="0"/>
        <w:autoSpaceDN w:val="0"/>
        <w:adjustRightInd w:val="0"/>
        <w:rPr>
          <w:rFonts w:asciiTheme="minorHAnsi" w:hAnsiTheme="minorHAnsi" w:cs="Calibri"/>
          <w:sz w:val="22"/>
          <w:szCs w:val="22"/>
        </w:rPr>
      </w:pPr>
      <w:r w:rsidRPr="00CB54EA">
        <w:rPr>
          <w:rFonts w:asciiTheme="minorHAnsi" w:hAnsiTheme="minorHAnsi" w:cs="Calibri"/>
          <w:i/>
          <w:color w:val="000000"/>
          <w:sz w:val="22"/>
          <w:szCs w:val="22"/>
        </w:rPr>
        <w:t>Beneficiaries with End-Stage Renal Disease (ESRD):</w:t>
      </w:r>
      <w:r w:rsidRPr="00CB54EA">
        <w:rPr>
          <w:rFonts w:asciiTheme="minorHAnsi" w:hAnsiTheme="minorHAnsi" w:cs="Calibri"/>
          <w:b/>
          <w:color w:val="000000"/>
          <w:sz w:val="22"/>
          <w:szCs w:val="22"/>
        </w:rPr>
        <w:t xml:space="preserve"> </w:t>
      </w:r>
      <w:r w:rsidRPr="00CB54EA">
        <w:rPr>
          <w:rFonts w:asciiTheme="minorHAnsi" w:hAnsiTheme="minorHAnsi" w:cs="Calibri"/>
          <w:color w:val="000000"/>
          <w:sz w:val="22"/>
          <w:szCs w:val="22"/>
        </w:rPr>
        <w:t xml:space="preserve">Separate Medicare A/B baselines and risk adjustment </w:t>
      </w:r>
      <w:r w:rsidRPr="00CB54EA">
        <w:rPr>
          <w:rFonts w:asciiTheme="minorHAnsi" w:hAnsiTheme="minorHAnsi" w:cs="Calibri"/>
          <w:sz w:val="22"/>
          <w:szCs w:val="22"/>
        </w:rPr>
        <w:t xml:space="preserve">apply to enrollees with ESRD. The Medicare A/B </w:t>
      </w:r>
      <w:r w:rsidR="00496C30" w:rsidRPr="00CB54EA">
        <w:rPr>
          <w:rFonts w:asciiTheme="minorHAnsi" w:hAnsiTheme="minorHAnsi" w:cs="Calibri"/>
          <w:sz w:val="22"/>
          <w:szCs w:val="22"/>
        </w:rPr>
        <w:t>baselines for beneficiaries with ESRD vary</w:t>
      </w:r>
      <w:r w:rsidRPr="00CB54EA">
        <w:rPr>
          <w:rFonts w:asciiTheme="minorHAnsi" w:hAnsiTheme="minorHAnsi" w:cs="Calibri"/>
          <w:sz w:val="22"/>
          <w:szCs w:val="22"/>
        </w:rPr>
        <w:t xml:space="preserve"> by the enrollee’s ESRD status: dialysis, transplant, and functioning graft, as follows:</w:t>
      </w:r>
    </w:p>
    <w:p w14:paraId="648FF8BC" w14:textId="77777777" w:rsidR="00283A75" w:rsidRPr="00CB54EA" w:rsidRDefault="00283A75" w:rsidP="007119CC">
      <w:pPr>
        <w:autoSpaceDE w:val="0"/>
        <w:autoSpaceDN w:val="0"/>
        <w:adjustRightInd w:val="0"/>
        <w:rPr>
          <w:rFonts w:asciiTheme="minorHAnsi" w:hAnsiTheme="minorHAnsi" w:cs="Calibri"/>
          <w:sz w:val="22"/>
          <w:szCs w:val="22"/>
        </w:rPr>
      </w:pPr>
    </w:p>
    <w:p w14:paraId="024635D1" w14:textId="5F27F777" w:rsidR="00283A75" w:rsidRPr="00CB54EA" w:rsidRDefault="00283A75" w:rsidP="007119CC">
      <w:pPr>
        <w:numPr>
          <w:ilvl w:val="0"/>
          <w:numId w:val="3"/>
        </w:numPr>
        <w:autoSpaceDE w:val="0"/>
        <w:autoSpaceDN w:val="0"/>
        <w:adjustRightInd w:val="0"/>
        <w:rPr>
          <w:rFonts w:asciiTheme="minorHAnsi" w:hAnsiTheme="minorHAnsi" w:cs="Calibri"/>
          <w:sz w:val="22"/>
          <w:szCs w:val="22"/>
        </w:rPr>
      </w:pPr>
      <w:r w:rsidRPr="00CB54EA">
        <w:rPr>
          <w:rFonts w:asciiTheme="minorHAnsi" w:hAnsiTheme="minorHAnsi" w:cs="Calibri"/>
          <w:b/>
          <w:sz w:val="22"/>
          <w:szCs w:val="22"/>
        </w:rPr>
        <w:t>Dialysis</w:t>
      </w:r>
      <w:r w:rsidRPr="00CB54EA">
        <w:rPr>
          <w:rFonts w:asciiTheme="minorHAnsi" w:hAnsiTheme="minorHAnsi" w:cs="Calibri"/>
          <w:sz w:val="22"/>
          <w:szCs w:val="22"/>
        </w:rPr>
        <w:t xml:space="preserve">: For enrollees in the dialysis status phase, the Medicare A/B baseline </w:t>
      </w:r>
      <w:r w:rsidR="003171F3" w:rsidRPr="00CB54EA">
        <w:rPr>
          <w:rFonts w:asciiTheme="minorHAnsi" w:hAnsiTheme="minorHAnsi" w:cs="Calibri"/>
          <w:sz w:val="22"/>
          <w:szCs w:val="22"/>
        </w:rPr>
        <w:t>is the</w:t>
      </w:r>
      <w:r w:rsidRPr="00CB54EA">
        <w:rPr>
          <w:rFonts w:asciiTheme="minorHAnsi" w:hAnsiTheme="minorHAnsi" w:cs="Calibri"/>
          <w:sz w:val="22"/>
          <w:szCs w:val="22"/>
        </w:rPr>
        <w:t xml:space="preserve">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Massachusetts ESRD dialysis state rate, updated to incorporate the impact of sequestration-related rate reductions. The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for Massachusetts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FC2704" w:rsidRPr="00CB54EA">
        <w:rPr>
          <w:rFonts w:asciiTheme="minorHAnsi" w:hAnsiTheme="minorHAnsi" w:cs="Calibri"/>
          <w:sz w:val="22"/>
          <w:szCs w:val="22"/>
        </w:rPr>
        <w:t>7,</w:t>
      </w:r>
      <w:r w:rsidR="00E21E2A" w:rsidRPr="00CB54EA">
        <w:rPr>
          <w:rFonts w:asciiTheme="minorHAnsi" w:hAnsiTheme="minorHAnsi" w:cs="Calibri"/>
          <w:sz w:val="22"/>
          <w:szCs w:val="22"/>
        </w:rPr>
        <w:t>921</w:t>
      </w:r>
      <w:r w:rsidR="00FC2704" w:rsidRPr="00CB54EA">
        <w:rPr>
          <w:rFonts w:asciiTheme="minorHAnsi" w:hAnsiTheme="minorHAnsi" w:cs="Calibri"/>
          <w:sz w:val="22"/>
          <w:szCs w:val="22"/>
        </w:rPr>
        <w:t>.</w:t>
      </w:r>
      <w:r w:rsidR="00E21E2A" w:rsidRPr="00CB54EA">
        <w:rPr>
          <w:rFonts w:asciiTheme="minorHAnsi" w:hAnsiTheme="minorHAnsi" w:cs="Calibri"/>
          <w:sz w:val="22"/>
          <w:szCs w:val="22"/>
        </w:rPr>
        <w:t>5</w:t>
      </w:r>
      <w:r w:rsidR="00FC2704" w:rsidRPr="00CB54EA">
        <w:rPr>
          <w:rFonts w:asciiTheme="minorHAnsi" w:hAnsiTheme="minorHAnsi" w:cs="Calibri"/>
          <w:sz w:val="22"/>
          <w:szCs w:val="22"/>
        </w:rPr>
        <w:t>6</w:t>
      </w:r>
      <w:r w:rsidR="001406EE" w:rsidRPr="00CB54EA">
        <w:rPr>
          <w:rFonts w:asciiTheme="minorHAnsi" w:hAnsiTheme="minorHAnsi" w:cs="Calibri"/>
          <w:sz w:val="22"/>
          <w:szCs w:val="22"/>
        </w:rPr>
        <w:t xml:space="preserve"> </w:t>
      </w:r>
      <w:r w:rsidRPr="00CB54EA">
        <w:rPr>
          <w:rFonts w:asciiTheme="minorHAnsi" w:hAnsiTheme="minorHAnsi" w:cs="Calibri"/>
          <w:sz w:val="22"/>
          <w:szCs w:val="22"/>
        </w:rPr>
        <w:t xml:space="preserve">PMPM; the updated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incorporating a 2% sequestration reduction and prior to the application of the quality withhold is </w:t>
      </w:r>
      <w:r w:rsidR="00905788" w:rsidRPr="00CB54EA">
        <w:rPr>
          <w:rFonts w:asciiTheme="minorHAnsi" w:hAnsiTheme="minorHAnsi" w:cs="Calibri"/>
          <w:sz w:val="22"/>
          <w:szCs w:val="22"/>
        </w:rPr>
        <w:t>$</w:t>
      </w:r>
      <w:r w:rsidR="00FC2704" w:rsidRPr="00CB54EA">
        <w:rPr>
          <w:rFonts w:asciiTheme="minorHAnsi" w:hAnsiTheme="minorHAnsi" w:cs="Calibri"/>
          <w:sz w:val="22"/>
          <w:szCs w:val="22"/>
        </w:rPr>
        <w:t>7,</w:t>
      </w:r>
      <w:r w:rsidR="00E21E2A" w:rsidRPr="00CB54EA">
        <w:rPr>
          <w:rFonts w:asciiTheme="minorHAnsi" w:hAnsiTheme="minorHAnsi" w:cs="Calibri"/>
          <w:sz w:val="22"/>
          <w:szCs w:val="22"/>
        </w:rPr>
        <w:t>763.13</w:t>
      </w:r>
      <w:r w:rsidR="00BD1C3B" w:rsidRPr="00CB54EA">
        <w:rPr>
          <w:rFonts w:asciiTheme="minorHAnsi" w:hAnsiTheme="minorHAnsi" w:cs="Calibri"/>
          <w:sz w:val="22"/>
          <w:szCs w:val="22"/>
        </w:rPr>
        <w:t xml:space="preserve"> </w:t>
      </w:r>
      <w:r w:rsidRPr="00CB54EA">
        <w:rPr>
          <w:rFonts w:asciiTheme="minorHAnsi" w:hAnsiTheme="minorHAnsi" w:cs="Calibri"/>
          <w:sz w:val="22"/>
          <w:szCs w:val="22"/>
        </w:rPr>
        <w:t>PMPM. This</w:t>
      </w:r>
      <w:r w:rsidR="007B7909" w:rsidRPr="00CB54EA">
        <w:rPr>
          <w:rFonts w:asciiTheme="minorHAnsi" w:hAnsiTheme="minorHAnsi" w:cs="Calibri"/>
          <w:sz w:val="22"/>
          <w:szCs w:val="22"/>
        </w:rPr>
        <w:t xml:space="preserve"> will</w:t>
      </w:r>
      <w:r w:rsidRPr="00CB54EA">
        <w:rPr>
          <w:rFonts w:asciiTheme="minorHAnsi" w:hAnsiTheme="minorHAnsi" w:cs="Calibri"/>
          <w:sz w:val="22"/>
          <w:szCs w:val="22"/>
        </w:rPr>
        <w:t xml:space="preserve"> </w:t>
      </w:r>
      <w:r w:rsidR="009A3FEF" w:rsidRPr="00CB54EA">
        <w:rPr>
          <w:rFonts w:asciiTheme="minorHAnsi" w:hAnsiTheme="minorHAnsi" w:cs="Calibri"/>
          <w:sz w:val="22"/>
          <w:szCs w:val="22"/>
        </w:rPr>
        <w:t>appl</w:t>
      </w:r>
      <w:r w:rsidR="007B7909" w:rsidRPr="00CB54EA">
        <w:rPr>
          <w:rFonts w:asciiTheme="minorHAnsi" w:hAnsiTheme="minorHAnsi" w:cs="Calibri"/>
          <w:sz w:val="22"/>
          <w:szCs w:val="22"/>
        </w:rPr>
        <w:t>y</w:t>
      </w:r>
      <w:r w:rsidRPr="00CB54EA">
        <w:rPr>
          <w:rFonts w:asciiTheme="minorHAnsi" w:hAnsiTheme="minorHAnsi" w:cs="Calibri"/>
          <w:sz w:val="22"/>
          <w:szCs w:val="22"/>
        </w:rPr>
        <w:t xml:space="preserve"> to applicable enrollees in all Demonstration counties and will be risk adjusted using the </w:t>
      </w:r>
      <w:r w:rsidR="008116D1" w:rsidRPr="00CB54EA">
        <w:rPr>
          <w:rFonts w:asciiTheme="minorHAnsi" w:hAnsiTheme="minorHAnsi" w:cs="Calibri"/>
          <w:sz w:val="22"/>
          <w:szCs w:val="22"/>
        </w:rPr>
        <w:t xml:space="preserve">prevailing </w:t>
      </w:r>
      <w:r w:rsidRPr="00CB54EA">
        <w:rPr>
          <w:rFonts w:asciiTheme="minorHAnsi" w:hAnsiTheme="minorHAnsi" w:cs="Calibri"/>
          <w:sz w:val="22"/>
          <w:szCs w:val="22"/>
        </w:rPr>
        <w:t>HCC-ESRD risk adjustment model.</w:t>
      </w:r>
    </w:p>
    <w:p w14:paraId="5A8B4D85" w14:textId="77777777" w:rsidR="000A74E7" w:rsidRPr="00CB54EA" w:rsidRDefault="000A74E7" w:rsidP="000A74E7">
      <w:pPr>
        <w:autoSpaceDE w:val="0"/>
        <w:autoSpaceDN w:val="0"/>
        <w:adjustRightInd w:val="0"/>
        <w:ind w:left="720"/>
        <w:rPr>
          <w:rFonts w:asciiTheme="minorHAnsi" w:hAnsiTheme="minorHAnsi" w:cs="Calibri"/>
          <w:sz w:val="22"/>
          <w:szCs w:val="22"/>
        </w:rPr>
      </w:pPr>
    </w:p>
    <w:p w14:paraId="2D29C2CF" w14:textId="612F49C9" w:rsidR="00283A75" w:rsidRPr="00CB54EA" w:rsidRDefault="00283A75" w:rsidP="007119CC">
      <w:pPr>
        <w:numPr>
          <w:ilvl w:val="0"/>
          <w:numId w:val="3"/>
        </w:numPr>
        <w:autoSpaceDE w:val="0"/>
        <w:autoSpaceDN w:val="0"/>
        <w:adjustRightInd w:val="0"/>
        <w:rPr>
          <w:rFonts w:asciiTheme="minorHAnsi" w:hAnsiTheme="minorHAnsi" w:cs="Calibri"/>
          <w:sz w:val="22"/>
          <w:szCs w:val="22"/>
        </w:rPr>
      </w:pPr>
      <w:r w:rsidRPr="00CB54EA">
        <w:rPr>
          <w:rFonts w:asciiTheme="minorHAnsi" w:hAnsiTheme="minorHAnsi" w:cs="Calibri"/>
          <w:b/>
          <w:sz w:val="22"/>
          <w:szCs w:val="22"/>
        </w:rPr>
        <w:t>Transplant</w:t>
      </w:r>
      <w:r w:rsidRPr="00CB54EA">
        <w:rPr>
          <w:rFonts w:asciiTheme="minorHAnsi" w:hAnsiTheme="minorHAnsi" w:cs="Calibri"/>
          <w:sz w:val="22"/>
          <w:szCs w:val="22"/>
        </w:rPr>
        <w:t xml:space="preserve">: For enrollees in the transplant status phase (inclusive of the 3-months post-transplant), the Medicare A/B baseline </w:t>
      </w:r>
      <w:r w:rsidR="003171F3" w:rsidRPr="00CB54EA">
        <w:rPr>
          <w:rFonts w:asciiTheme="minorHAnsi" w:hAnsiTheme="minorHAnsi" w:cs="Calibri"/>
          <w:sz w:val="22"/>
          <w:szCs w:val="22"/>
        </w:rPr>
        <w:t>is</w:t>
      </w:r>
      <w:r w:rsidR="001C3816" w:rsidRPr="00CB54EA">
        <w:rPr>
          <w:rFonts w:asciiTheme="minorHAnsi" w:hAnsiTheme="minorHAnsi" w:cs="Calibri"/>
          <w:sz w:val="22"/>
          <w:szCs w:val="22"/>
        </w:rPr>
        <w:t xml:space="preserve"> </w:t>
      </w:r>
      <w:r w:rsidRPr="00CB54EA">
        <w:rPr>
          <w:rFonts w:asciiTheme="minorHAnsi" w:hAnsiTheme="minorHAnsi" w:cs="Calibri"/>
          <w:sz w:val="22"/>
          <w:szCs w:val="22"/>
        </w:rPr>
        <w:t xml:space="preserve">the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Massachusetts ESRD dialysis state rate updated to incorporate the impact of sequestration-related rate reductions. The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for Massachusetts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253F38" w:rsidRPr="00CB54EA">
        <w:rPr>
          <w:rFonts w:asciiTheme="minorHAnsi" w:hAnsiTheme="minorHAnsi" w:cs="Calibri"/>
          <w:sz w:val="22"/>
          <w:szCs w:val="22"/>
        </w:rPr>
        <w:t>7,</w:t>
      </w:r>
      <w:r w:rsidR="00E21E2A" w:rsidRPr="00CB54EA">
        <w:rPr>
          <w:rFonts w:asciiTheme="minorHAnsi" w:hAnsiTheme="minorHAnsi" w:cs="Calibri"/>
          <w:sz w:val="22"/>
          <w:szCs w:val="22"/>
        </w:rPr>
        <w:t>921.56</w:t>
      </w:r>
      <w:r w:rsidR="001406EE" w:rsidRPr="00CB54EA">
        <w:rPr>
          <w:rFonts w:asciiTheme="minorHAnsi" w:hAnsiTheme="minorHAnsi" w:cs="Calibri"/>
          <w:sz w:val="22"/>
          <w:szCs w:val="22"/>
        </w:rPr>
        <w:t xml:space="preserve"> </w:t>
      </w:r>
      <w:r w:rsidRPr="00CB54EA">
        <w:rPr>
          <w:rFonts w:asciiTheme="minorHAnsi" w:hAnsiTheme="minorHAnsi" w:cs="Calibri"/>
          <w:sz w:val="22"/>
          <w:szCs w:val="22"/>
        </w:rPr>
        <w:t xml:space="preserve">PMPM; the updated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incorporating a 2% sequestration reduction and prior to the application of the quality withhold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253F38" w:rsidRPr="00CB54EA">
        <w:rPr>
          <w:rFonts w:asciiTheme="minorHAnsi" w:hAnsiTheme="minorHAnsi" w:cs="Calibri"/>
          <w:sz w:val="22"/>
          <w:szCs w:val="22"/>
        </w:rPr>
        <w:t>7,</w:t>
      </w:r>
      <w:r w:rsidR="00E42874" w:rsidRPr="00CB54EA">
        <w:rPr>
          <w:rFonts w:asciiTheme="minorHAnsi" w:hAnsiTheme="minorHAnsi" w:cs="Calibri"/>
          <w:sz w:val="22"/>
          <w:szCs w:val="22"/>
        </w:rPr>
        <w:t>763.13</w:t>
      </w:r>
      <w:r w:rsidRPr="00CB54EA">
        <w:rPr>
          <w:rFonts w:asciiTheme="minorHAnsi" w:hAnsiTheme="minorHAnsi" w:cs="Calibri"/>
          <w:sz w:val="22"/>
          <w:szCs w:val="22"/>
        </w:rPr>
        <w:t xml:space="preserve"> PMPM. This </w:t>
      </w:r>
      <w:r w:rsidR="007B7909" w:rsidRPr="00CB54EA">
        <w:rPr>
          <w:rFonts w:asciiTheme="minorHAnsi" w:hAnsiTheme="minorHAnsi" w:cs="Calibri"/>
          <w:sz w:val="22"/>
          <w:szCs w:val="22"/>
        </w:rPr>
        <w:t>will apply</w:t>
      </w:r>
      <w:r w:rsidRPr="00CB54EA">
        <w:rPr>
          <w:rFonts w:asciiTheme="minorHAnsi" w:hAnsiTheme="minorHAnsi" w:cs="Calibri"/>
          <w:sz w:val="22"/>
          <w:szCs w:val="22"/>
        </w:rPr>
        <w:t xml:space="preserve"> to applicable enrollees in all Demonstration counties and will be risk adjusted using the </w:t>
      </w:r>
      <w:r w:rsidR="008116D1" w:rsidRPr="00CB54EA">
        <w:rPr>
          <w:rFonts w:asciiTheme="minorHAnsi" w:hAnsiTheme="minorHAnsi" w:cs="Calibri"/>
          <w:sz w:val="22"/>
          <w:szCs w:val="22"/>
        </w:rPr>
        <w:t xml:space="preserve">prevailing </w:t>
      </w:r>
      <w:r w:rsidRPr="00CB54EA">
        <w:rPr>
          <w:rFonts w:asciiTheme="minorHAnsi" w:hAnsiTheme="minorHAnsi" w:cs="Calibri"/>
          <w:sz w:val="22"/>
          <w:szCs w:val="22"/>
        </w:rPr>
        <w:t>HCC-ESRD risk adjustment model.</w:t>
      </w:r>
    </w:p>
    <w:p w14:paraId="3623415D" w14:textId="77777777" w:rsidR="000A74E7" w:rsidRPr="00CB54EA" w:rsidRDefault="000A74E7" w:rsidP="000A74E7">
      <w:pPr>
        <w:autoSpaceDE w:val="0"/>
        <w:autoSpaceDN w:val="0"/>
        <w:adjustRightInd w:val="0"/>
        <w:ind w:left="720"/>
        <w:rPr>
          <w:rFonts w:asciiTheme="minorHAnsi" w:hAnsiTheme="minorHAnsi" w:cs="Calibri"/>
          <w:sz w:val="22"/>
          <w:szCs w:val="22"/>
        </w:rPr>
      </w:pPr>
    </w:p>
    <w:p w14:paraId="018F4F2D" w14:textId="5FD77CF1" w:rsidR="00283A75" w:rsidRPr="00CB54EA" w:rsidRDefault="00283A75" w:rsidP="007119CC">
      <w:pPr>
        <w:numPr>
          <w:ilvl w:val="0"/>
          <w:numId w:val="3"/>
        </w:numPr>
        <w:autoSpaceDE w:val="0"/>
        <w:autoSpaceDN w:val="0"/>
        <w:adjustRightInd w:val="0"/>
        <w:rPr>
          <w:rFonts w:asciiTheme="minorHAnsi" w:hAnsiTheme="minorHAnsi" w:cs="Calibri"/>
          <w:color w:val="000000"/>
          <w:sz w:val="22"/>
          <w:szCs w:val="22"/>
        </w:rPr>
      </w:pPr>
      <w:r w:rsidRPr="00CB54EA">
        <w:rPr>
          <w:rFonts w:asciiTheme="minorHAnsi" w:hAnsiTheme="minorHAnsi" w:cs="Calibri"/>
          <w:b/>
          <w:color w:val="000000"/>
          <w:sz w:val="22"/>
          <w:szCs w:val="22"/>
        </w:rPr>
        <w:t>Functioning Graft:</w:t>
      </w:r>
      <w:r w:rsidRPr="00CB54EA">
        <w:rPr>
          <w:rFonts w:asciiTheme="minorHAnsi" w:hAnsiTheme="minorHAnsi" w:cs="Calibri"/>
          <w:color w:val="000000"/>
          <w:sz w:val="22"/>
          <w:szCs w:val="22"/>
        </w:rPr>
        <w:t xml:space="preserve"> For enrollees in the functioning graft status phase (beginning at 4 months post-transplant) the Medicare A/B baseline </w:t>
      </w:r>
      <w:r w:rsidR="009A3FEF" w:rsidRPr="00CB54EA">
        <w:rPr>
          <w:rFonts w:asciiTheme="minorHAnsi" w:hAnsiTheme="minorHAnsi" w:cs="Calibri"/>
          <w:color w:val="000000"/>
          <w:sz w:val="22"/>
          <w:szCs w:val="22"/>
        </w:rPr>
        <w:t>is</w:t>
      </w:r>
      <w:r w:rsidRPr="00CB54EA">
        <w:rPr>
          <w:rFonts w:asciiTheme="minorHAnsi" w:hAnsiTheme="minorHAnsi" w:cs="Calibri"/>
          <w:color w:val="000000"/>
          <w:sz w:val="22"/>
          <w:szCs w:val="22"/>
        </w:rPr>
        <w:t xml:space="preserve"> be the Medicare Advantage 3</w:t>
      </w:r>
      <w:r w:rsidR="00CF3C67" w:rsidRPr="00CB54EA">
        <w:rPr>
          <w:rFonts w:asciiTheme="minorHAnsi" w:hAnsiTheme="minorHAnsi" w:cs="Calibri"/>
          <w:color w:val="000000"/>
          <w:sz w:val="22"/>
          <w:szCs w:val="22"/>
        </w:rPr>
        <w:t>.5</w:t>
      </w:r>
      <w:r w:rsidRPr="00CB54EA">
        <w:rPr>
          <w:rFonts w:asciiTheme="minorHAnsi" w:hAnsiTheme="minorHAnsi" w:cs="Calibri"/>
          <w:color w:val="000000"/>
          <w:sz w:val="22"/>
          <w:szCs w:val="22"/>
        </w:rPr>
        <w:t xml:space="preserve">-star county rate/benchmark (see table below). This Medicare A/B component will be risk adjusted using the </w:t>
      </w:r>
      <w:r w:rsidR="008116D1" w:rsidRPr="00CB54EA">
        <w:rPr>
          <w:rFonts w:asciiTheme="minorHAnsi" w:hAnsiTheme="minorHAnsi" w:cs="Calibri"/>
          <w:color w:val="000000"/>
          <w:sz w:val="22"/>
          <w:szCs w:val="22"/>
        </w:rPr>
        <w:t xml:space="preserve">prevailing </w:t>
      </w:r>
      <w:r w:rsidRPr="00CB54EA">
        <w:rPr>
          <w:rFonts w:asciiTheme="minorHAnsi" w:hAnsiTheme="minorHAnsi" w:cs="Calibri"/>
          <w:color w:val="000000"/>
          <w:sz w:val="22"/>
          <w:szCs w:val="22"/>
        </w:rPr>
        <w:t xml:space="preserve">HCC-ESRD </w:t>
      </w:r>
      <w:r w:rsidR="00253F38" w:rsidRPr="00CB54EA">
        <w:rPr>
          <w:rFonts w:asciiTheme="minorHAnsi" w:hAnsiTheme="minorHAnsi" w:cs="Calibri"/>
          <w:color w:val="000000"/>
          <w:sz w:val="22"/>
          <w:szCs w:val="22"/>
        </w:rPr>
        <w:t xml:space="preserve">functioning graft </w:t>
      </w:r>
      <w:r w:rsidRPr="00CB54EA">
        <w:rPr>
          <w:rFonts w:asciiTheme="minorHAnsi" w:hAnsiTheme="minorHAnsi" w:cs="Calibri"/>
          <w:color w:val="000000"/>
          <w:sz w:val="22"/>
          <w:szCs w:val="22"/>
        </w:rPr>
        <w:t>risk adjustment model.</w:t>
      </w:r>
    </w:p>
    <w:p w14:paraId="71DD2246" w14:textId="77777777" w:rsidR="00283A75" w:rsidRPr="00CB54EA" w:rsidRDefault="00283A75" w:rsidP="005D02C0">
      <w:pPr>
        <w:spacing w:after="200" w:line="276" w:lineRule="auto"/>
        <w:rPr>
          <w:rFonts w:asciiTheme="minorHAnsi" w:hAnsiTheme="minorHAnsi" w:cs="Calibri"/>
          <w:sz w:val="22"/>
          <w:szCs w:val="22"/>
        </w:rPr>
      </w:pPr>
      <w:r w:rsidRPr="00CB54EA">
        <w:rPr>
          <w:rFonts w:asciiTheme="minorHAnsi" w:hAnsiTheme="minorHAnsi" w:cs="Calibri"/>
          <w:color w:val="000000"/>
          <w:sz w:val="22"/>
          <w:szCs w:val="22"/>
        </w:rPr>
        <w:br w:type="page"/>
      </w:r>
      <w:r w:rsidRPr="00CB54EA">
        <w:rPr>
          <w:rFonts w:asciiTheme="minorHAnsi" w:hAnsiTheme="minorHAnsi" w:cs="Calibri"/>
          <w:sz w:val="22"/>
          <w:szCs w:val="22"/>
        </w:rPr>
        <w:lastRenderedPageBreak/>
        <w:t>A savings percentage will not be applied to the Medicare A/B baseline for enrollees with ESRD (inclusive of those enrollees in the dialysis, transplant and functioning graft status phases).</w:t>
      </w:r>
    </w:p>
    <w:p w14:paraId="69EF728F" w14:textId="77777777" w:rsidR="00CB5FF4" w:rsidRPr="00CB54EA" w:rsidRDefault="00CB5FF4" w:rsidP="00524025">
      <w:pPr>
        <w:tabs>
          <w:tab w:val="left" w:pos="90"/>
        </w:tabs>
        <w:autoSpaceDE w:val="0"/>
        <w:autoSpaceDN w:val="0"/>
        <w:adjustRightInd w:val="0"/>
        <w:rPr>
          <w:rFonts w:asciiTheme="minorHAnsi" w:hAnsiTheme="minorHAnsi" w:cstheme="minorHAnsi"/>
          <w:color w:val="000000"/>
          <w:sz w:val="20"/>
          <w:szCs w:val="20"/>
        </w:rPr>
      </w:pPr>
    </w:p>
    <w:tbl>
      <w:tblPr>
        <w:tblW w:w="9651" w:type="dxa"/>
        <w:tblLook w:val="04A0" w:firstRow="1" w:lastRow="0" w:firstColumn="1" w:lastColumn="0" w:noHBand="0" w:noVBand="1"/>
      </w:tblPr>
      <w:tblGrid>
        <w:gridCol w:w="2564"/>
        <w:gridCol w:w="3152"/>
        <w:gridCol w:w="3935"/>
      </w:tblGrid>
      <w:tr w:rsidR="00E42874" w:rsidRPr="00CB54EA" w14:paraId="6AF946ED" w14:textId="77777777" w:rsidTr="00276EA7">
        <w:trPr>
          <w:trHeight w:val="250"/>
        </w:trPr>
        <w:tc>
          <w:tcPr>
            <w:tcW w:w="965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7D8F90"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 xml:space="preserve">2018 Medicare A/B Baseline PMPM, Beneficiaries with ESRD Functioning Graft Status, Standardized 1.0 Risk Score, by Demonstration County </w:t>
            </w:r>
          </w:p>
        </w:tc>
      </w:tr>
      <w:tr w:rsidR="00E42874" w:rsidRPr="00CB54EA" w14:paraId="7EB673A2" w14:textId="77777777" w:rsidTr="00276EA7">
        <w:trPr>
          <w:trHeight w:val="1417"/>
        </w:trPr>
        <w:tc>
          <w:tcPr>
            <w:tcW w:w="2564" w:type="dxa"/>
            <w:tcBorders>
              <w:top w:val="nil"/>
              <w:left w:val="single" w:sz="4" w:space="0" w:color="auto"/>
              <w:bottom w:val="single" w:sz="4" w:space="0" w:color="auto"/>
              <w:right w:val="single" w:sz="4" w:space="0" w:color="auto"/>
            </w:tcBorders>
            <w:shd w:val="clear" w:color="auto" w:fill="auto"/>
            <w:hideMark/>
          </w:tcPr>
          <w:p w14:paraId="7822DF9A"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County</w:t>
            </w:r>
          </w:p>
        </w:tc>
        <w:tc>
          <w:tcPr>
            <w:tcW w:w="3152" w:type="dxa"/>
            <w:tcBorders>
              <w:top w:val="nil"/>
              <w:left w:val="nil"/>
              <w:bottom w:val="single" w:sz="4" w:space="0" w:color="auto"/>
              <w:right w:val="single" w:sz="4" w:space="0" w:color="auto"/>
            </w:tcBorders>
            <w:shd w:val="clear" w:color="auto" w:fill="auto"/>
            <w:hideMark/>
          </w:tcPr>
          <w:p w14:paraId="0DE50968"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2018 3.5% bonus County Rate (Benchmark)</w:t>
            </w:r>
          </w:p>
        </w:tc>
        <w:tc>
          <w:tcPr>
            <w:tcW w:w="3934" w:type="dxa"/>
            <w:tcBorders>
              <w:top w:val="nil"/>
              <w:left w:val="nil"/>
              <w:bottom w:val="single" w:sz="4" w:space="0" w:color="auto"/>
              <w:right w:val="single" w:sz="4" w:space="0" w:color="auto"/>
            </w:tcBorders>
            <w:shd w:val="clear" w:color="auto" w:fill="auto"/>
            <w:hideMark/>
          </w:tcPr>
          <w:p w14:paraId="72B401D0"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2018 Sequestration-Adjusted Medicare A/B Baseline</w:t>
            </w:r>
            <w:r w:rsidRPr="00CB54EA">
              <w:rPr>
                <w:rFonts w:asciiTheme="minorHAnsi" w:hAnsiTheme="minorHAnsi" w:cs="Arial"/>
                <w:b/>
                <w:bCs/>
                <w:color w:val="000000"/>
                <w:sz w:val="22"/>
                <w:szCs w:val="22"/>
              </w:rPr>
              <w:br/>
            </w:r>
            <w:r w:rsidRPr="00CB54EA">
              <w:rPr>
                <w:rFonts w:asciiTheme="minorHAnsi" w:hAnsiTheme="minorHAnsi" w:cs="Arial"/>
                <w:b/>
                <w:bCs/>
                <w:color w:val="000000"/>
                <w:sz w:val="22"/>
                <w:szCs w:val="22"/>
              </w:rPr>
              <w:br/>
            </w:r>
            <w:r w:rsidRPr="00CB54EA">
              <w:rPr>
                <w:rFonts w:asciiTheme="minorHAnsi" w:hAnsiTheme="minorHAnsi" w:cs="Arial"/>
                <w:color w:val="000000"/>
                <w:sz w:val="22"/>
                <w:szCs w:val="22"/>
              </w:rPr>
              <w:t>(after application of 2% Sequestration reduction)</w:t>
            </w:r>
          </w:p>
        </w:tc>
      </w:tr>
      <w:tr w:rsidR="00E42874" w:rsidRPr="00CB54EA" w14:paraId="399DE932"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412FFC8E"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Essex</w:t>
            </w:r>
          </w:p>
        </w:tc>
        <w:tc>
          <w:tcPr>
            <w:tcW w:w="3152" w:type="dxa"/>
            <w:tcBorders>
              <w:top w:val="nil"/>
              <w:left w:val="nil"/>
              <w:bottom w:val="single" w:sz="4" w:space="0" w:color="auto"/>
              <w:right w:val="single" w:sz="4" w:space="0" w:color="auto"/>
            </w:tcBorders>
            <w:shd w:val="clear" w:color="auto" w:fill="auto"/>
            <w:hideMark/>
          </w:tcPr>
          <w:p w14:paraId="13DC2D00" w14:textId="7C430FBA"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$845.42</w:t>
            </w:r>
          </w:p>
        </w:tc>
        <w:tc>
          <w:tcPr>
            <w:tcW w:w="3934" w:type="dxa"/>
            <w:tcBorders>
              <w:top w:val="nil"/>
              <w:left w:val="nil"/>
              <w:bottom w:val="single" w:sz="4" w:space="0" w:color="auto"/>
              <w:right w:val="single" w:sz="4" w:space="0" w:color="auto"/>
            </w:tcBorders>
            <w:shd w:val="clear" w:color="auto" w:fill="auto"/>
            <w:noWrap/>
            <w:vAlign w:val="center"/>
            <w:hideMark/>
          </w:tcPr>
          <w:p w14:paraId="61EF6FB9" w14:textId="33BF4D2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$828.51</w:t>
            </w:r>
          </w:p>
        </w:tc>
      </w:tr>
      <w:tr w:rsidR="00E42874" w:rsidRPr="00CB54EA" w14:paraId="446050F1"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7A07E699"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Franklin</w:t>
            </w:r>
          </w:p>
        </w:tc>
        <w:tc>
          <w:tcPr>
            <w:tcW w:w="3152" w:type="dxa"/>
            <w:tcBorders>
              <w:top w:val="nil"/>
              <w:left w:val="nil"/>
              <w:bottom w:val="single" w:sz="4" w:space="0" w:color="auto"/>
              <w:right w:val="single" w:sz="4" w:space="0" w:color="auto"/>
            </w:tcBorders>
            <w:shd w:val="clear" w:color="auto" w:fill="auto"/>
            <w:hideMark/>
          </w:tcPr>
          <w:p w14:paraId="2FB227DD"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823.05</w:t>
            </w:r>
          </w:p>
        </w:tc>
        <w:tc>
          <w:tcPr>
            <w:tcW w:w="3934" w:type="dxa"/>
            <w:tcBorders>
              <w:top w:val="nil"/>
              <w:left w:val="nil"/>
              <w:bottom w:val="single" w:sz="4" w:space="0" w:color="auto"/>
              <w:right w:val="single" w:sz="4" w:space="0" w:color="auto"/>
            </w:tcBorders>
            <w:shd w:val="clear" w:color="auto" w:fill="auto"/>
            <w:noWrap/>
            <w:vAlign w:val="center"/>
            <w:hideMark/>
          </w:tcPr>
          <w:p w14:paraId="057714A9"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806.59</w:t>
            </w:r>
          </w:p>
        </w:tc>
      </w:tr>
      <w:tr w:rsidR="00E42874" w:rsidRPr="00CB54EA" w14:paraId="1A7BAE2C"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3E0DF435"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Hampden</w:t>
            </w:r>
          </w:p>
        </w:tc>
        <w:tc>
          <w:tcPr>
            <w:tcW w:w="3152" w:type="dxa"/>
            <w:tcBorders>
              <w:top w:val="nil"/>
              <w:left w:val="nil"/>
              <w:bottom w:val="single" w:sz="4" w:space="0" w:color="auto"/>
              <w:right w:val="single" w:sz="4" w:space="0" w:color="auto"/>
            </w:tcBorders>
            <w:shd w:val="clear" w:color="auto" w:fill="auto"/>
            <w:hideMark/>
          </w:tcPr>
          <w:p w14:paraId="7D554CA4"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812.56</w:t>
            </w:r>
          </w:p>
        </w:tc>
        <w:tc>
          <w:tcPr>
            <w:tcW w:w="3934" w:type="dxa"/>
            <w:tcBorders>
              <w:top w:val="nil"/>
              <w:left w:val="nil"/>
              <w:bottom w:val="single" w:sz="4" w:space="0" w:color="auto"/>
              <w:right w:val="single" w:sz="4" w:space="0" w:color="auto"/>
            </w:tcBorders>
            <w:shd w:val="clear" w:color="auto" w:fill="auto"/>
            <w:noWrap/>
            <w:vAlign w:val="center"/>
            <w:hideMark/>
          </w:tcPr>
          <w:p w14:paraId="1F444E4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796.31</w:t>
            </w:r>
          </w:p>
        </w:tc>
      </w:tr>
      <w:tr w:rsidR="00E42874" w:rsidRPr="00CB54EA" w14:paraId="29360736"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15D58030"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Hampshire</w:t>
            </w:r>
          </w:p>
        </w:tc>
        <w:tc>
          <w:tcPr>
            <w:tcW w:w="3152" w:type="dxa"/>
            <w:tcBorders>
              <w:top w:val="nil"/>
              <w:left w:val="nil"/>
              <w:bottom w:val="single" w:sz="4" w:space="0" w:color="auto"/>
              <w:right w:val="single" w:sz="4" w:space="0" w:color="auto"/>
            </w:tcBorders>
            <w:shd w:val="clear" w:color="auto" w:fill="auto"/>
            <w:hideMark/>
          </w:tcPr>
          <w:p w14:paraId="14AD9F76"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829.89</w:t>
            </w:r>
          </w:p>
        </w:tc>
        <w:tc>
          <w:tcPr>
            <w:tcW w:w="3934" w:type="dxa"/>
            <w:tcBorders>
              <w:top w:val="nil"/>
              <w:left w:val="nil"/>
              <w:bottom w:val="single" w:sz="4" w:space="0" w:color="auto"/>
              <w:right w:val="single" w:sz="4" w:space="0" w:color="auto"/>
            </w:tcBorders>
            <w:shd w:val="clear" w:color="auto" w:fill="auto"/>
            <w:noWrap/>
            <w:vAlign w:val="center"/>
            <w:hideMark/>
          </w:tcPr>
          <w:p w14:paraId="7C677D12"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813.29</w:t>
            </w:r>
          </w:p>
        </w:tc>
      </w:tr>
      <w:tr w:rsidR="00E42874" w:rsidRPr="00CB54EA" w14:paraId="19E08E90"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18BF7D35"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Middlesex</w:t>
            </w:r>
          </w:p>
        </w:tc>
        <w:tc>
          <w:tcPr>
            <w:tcW w:w="3152" w:type="dxa"/>
            <w:tcBorders>
              <w:top w:val="nil"/>
              <w:left w:val="nil"/>
              <w:bottom w:val="single" w:sz="4" w:space="0" w:color="auto"/>
              <w:right w:val="single" w:sz="4" w:space="0" w:color="auto"/>
            </w:tcBorders>
            <w:shd w:val="clear" w:color="auto" w:fill="auto"/>
            <w:hideMark/>
          </w:tcPr>
          <w:p w14:paraId="1C9033EA"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867.72</w:t>
            </w:r>
          </w:p>
        </w:tc>
        <w:tc>
          <w:tcPr>
            <w:tcW w:w="3934" w:type="dxa"/>
            <w:tcBorders>
              <w:top w:val="nil"/>
              <w:left w:val="nil"/>
              <w:bottom w:val="single" w:sz="4" w:space="0" w:color="auto"/>
              <w:right w:val="single" w:sz="4" w:space="0" w:color="auto"/>
            </w:tcBorders>
            <w:shd w:val="clear" w:color="auto" w:fill="auto"/>
            <w:noWrap/>
            <w:vAlign w:val="center"/>
            <w:hideMark/>
          </w:tcPr>
          <w:p w14:paraId="72C8BBFB"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850.37</w:t>
            </w:r>
          </w:p>
        </w:tc>
      </w:tr>
      <w:tr w:rsidR="00E42874" w:rsidRPr="00CB54EA" w14:paraId="7CE8AFE1"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7FC56B9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Norfolk</w:t>
            </w:r>
          </w:p>
        </w:tc>
        <w:tc>
          <w:tcPr>
            <w:tcW w:w="3152" w:type="dxa"/>
            <w:tcBorders>
              <w:top w:val="nil"/>
              <w:left w:val="nil"/>
              <w:bottom w:val="single" w:sz="4" w:space="0" w:color="auto"/>
              <w:right w:val="single" w:sz="4" w:space="0" w:color="auto"/>
            </w:tcBorders>
            <w:shd w:val="clear" w:color="auto" w:fill="auto"/>
            <w:hideMark/>
          </w:tcPr>
          <w:p w14:paraId="583ACBD6"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897.92</w:t>
            </w:r>
          </w:p>
        </w:tc>
        <w:tc>
          <w:tcPr>
            <w:tcW w:w="3934" w:type="dxa"/>
            <w:tcBorders>
              <w:top w:val="nil"/>
              <w:left w:val="nil"/>
              <w:bottom w:val="single" w:sz="4" w:space="0" w:color="auto"/>
              <w:right w:val="single" w:sz="4" w:space="0" w:color="auto"/>
            </w:tcBorders>
            <w:shd w:val="clear" w:color="auto" w:fill="auto"/>
            <w:noWrap/>
            <w:vAlign w:val="center"/>
            <w:hideMark/>
          </w:tcPr>
          <w:p w14:paraId="2B231BA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879.96</w:t>
            </w:r>
          </w:p>
        </w:tc>
      </w:tr>
      <w:tr w:rsidR="00E42874" w:rsidRPr="00CB54EA" w14:paraId="76394FFB"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05B03F41"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Plymouth</w:t>
            </w:r>
          </w:p>
        </w:tc>
        <w:tc>
          <w:tcPr>
            <w:tcW w:w="3152" w:type="dxa"/>
            <w:tcBorders>
              <w:top w:val="nil"/>
              <w:left w:val="nil"/>
              <w:bottom w:val="single" w:sz="4" w:space="0" w:color="auto"/>
              <w:right w:val="single" w:sz="4" w:space="0" w:color="auto"/>
            </w:tcBorders>
            <w:shd w:val="clear" w:color="auto" w:fill="auto"/>
            <w:hideMark/>
          </w:tcPr>
          <w:p w14:paraId="2993849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937.95</w:t>
            </w:r>
          </w:p>
        </w:tc>
        <w:tc>
          <w:tcPr>
            <w:tcW w:w="3934" w:type="dxa"/>
            <w:tcBorders>
              <w:top w:val="nil"/>
              <w:left w:val="nil"/>
              <w:bottom w:val="single" w:sz="4" w:space="0" w:color="auto"/>
              <w:right w:val="single" w:sz="4" w:space="0" w:color="auto"/>
            </w:tcBorders>
            <w:shd w:val="clear" w:color="auto" w:fill="auto"/>
            <w:noWrap/>
            <w:vAlign w:val="center"/>
            <w:hideMark/>
          </w:tcPr>
          <w:p w14:paraId="7061E273"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919.19</w:t>
            </w:r>
          </w:p>
        </w:tc>
      </w:tr>
      <w:tr w:rsidR="00E42874" w:rsidRPr="00CB54EA" w14:paraId="6D753DBE"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0FBE5A4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Suffolk</w:t>
            </w:r>
          </w:p>
        </w:tc>
        <w:tc>
          <w:tcPr>
            <w:tcW w:w="3152" w:type="dxa"/>
            <w:tcBorders>
              <w:top w:val="nil"/>
              <w:left w:val="nil"/>
              <w:bottom w:val="single" w:sz="4" w:space="0" w:color="auto"/>
              <w:right w:val="single" w:sz="4" w:space="0" w:color="auto"/>
            </w:tcBorders>
            <w:shd w:val="clear" w:color="auto" w:fill="auto"/>
            <w:hideMark/>
          </w:tcPr>
          <w:p w14:paraId="5AEAEA30"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864.65</w:t>
            </w:r>
          </w:p>
        </w:tc>
        <w:tc>
          <w:tcPr>
            <w:tcW w:w="3934" w:type="dxa"/>
            <w:tcBorders>
              <w:top w:val="nil"/>
              <w:left w:val="nil"/>
              <w:bottom w:val="single" w:sz="4" w:space="0" w:color="auto"/>
              <w:right w:val="single" w:sz="4" w:space="0" w:color="auto"/>
            </w:tcBorders>
            <w:shd w:val="clear" w:color="auto" w:fill="auto"/>
            <w:noWrap/>
            <w:vAlign w:val="center"/>
            <w:hideMark/>
          </w:tcPr>
          <w:p w14:paraId="3B48A88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847.36</w:t>
            </w:r>
          </w:p>
        </w:tc>
      </w:tr>
      <w:tr w:rsidR="00E42874" w:rsidRPr="00CB54EA" w14:paraId="105E453F"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45CE9CE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Worcester</w:t>
            </w:r>
          </w:p>
        </w:tc>
        <w:tc>
          <w:tcPr>
            <w:tcW w:w="3152" w:type="dxa"/>
            <w:tcBorders>
              <w:top w:val="nil"/>
              <w:left w:val="nil"/>
              <w:bottom w:val="single" w:sz="4" w:space="0" w:color="auto"/>
              <w:right w:val="single" w:sz="4" w:space="0" w:color="auto"/>
            </w:tcBorders>
            <w:shd w:val="clear" w:color="auto" w:fill="auto"/>
            <w:hideMark/>
          </w:tcPr>
          <w:p w14:paraId="2597785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843.27</w:t>
            </w:r>
          </w:p>
        </w:tc>
        <w:tc>
          <w:tcPr>
            <w:tcW w:w="3934" w:type="dxa"/>
            <w:tcBorders>
              <w:top w:val="nil"/>
              <w:left w:val="nil"/>
              <w:bottom w:val="single" w:sz="4" w:space="0" w:color="auto"/>
              <w:right w:val="single" w:sz="4" w:space="0" w:color="auto"/>
            </w:tcBorders>
            <w:shd w:val="clear" w:color="auto" w:fill="auto"/>
            <w:noWrap/>
            <w:vAlign w:val="center"/>
            <w:hideMark/>
          </w:tcPr>
          <w:p w14:paraId="5845FF4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826.40</w:t>
            </w:r>
          </w:p>
        </w:tc>
      </w:tr>
    </w:tbl>
    <w:p w14:paraId="68E12508" w14:textId="77777777" w:rsidR="00253F38" w:rsidRPr="00CB54EA" w:rsidRDefault="00253F38" w:rsidP="00524025">
      <w:pPr>
        <w:tabs>
          <w:tab w:val="left" w:pos="90"/>
        </w:tabs>
        <w:autoSpaceDE w:val="0"/>
        <w:autoSpaceDN w:val="0"/>
        <w:adjustRightInd w:val="0"/>
        <w:rPr>
          <w:rFonts w:asciiTheme="minorHAnsi" w:hAnsiTheme="minorHAnsi" w:cs="Calibri"/>
          <w:i/>
          <w:color w:val="000000"/>
          <w:sz w:val="22"/>
          <w:szCs w:val="22"/>
        </w:rPr>
      </w:pPr>
    </w:p>
    <w:p w14:paraId="220AC2CD"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i/>
          <w:color w:val="000000"/>
          <w:sz w:val="22"/>
          <w:szCs w:val="22"/>
        </w:rPr>
        <w:t xml:space="preserve">Beneficiaries Electing the Medicare Hospice Benefit: </w:t>
      </w:r>
      <w:r w:rsidRPr="00CB54EA">
        <w:rPr>
          <w:rFonts w:asciiTheme="minorHAnsi" w:hAnsiTheme="minorHAnsi" w:cs="Calibri"/>
          <w:color w:val="000000"/>
          <w:sz w:val="22"/>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CB54EA">
        <w:rPr>
          <w:rFonts w:asciiTheme="minorHAnsi" w:hAnsiTheme="minorHAnsi" w:cs="Calibri"/>
          <w:color w:val="000000"/>
          <w:sz w:val="22"/>
          <w:szCs w:val="22"/>
        </w:rPr>
        <w:t>ill</w:t>
      </w:r>
      <w:r w:rsidRPr="00CB54EA">
        <w:rPr>
          <w:rFonts w:asciiTheme="minorHAnsi" w:hAnsiTheme="minorHAnsi" w:cs="Calibri"/>
          <w:color w:val="000000"/>
          <w:sz w:val="22"/>
          <w:szCs w:val="22"/>
        </w:rPr>
        <w:t xml:space="preserve"> occur. </w:t>
      </w:r>
    </w:p>
    <w:p w14:paraId="11DFE6B3"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55A22BA8"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971A293"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776B360"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FCC38C7"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8AAE809"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F946E85"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C60C892"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67FB643A"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240E115"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7E07BE90"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A2695A6"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547B42F"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AD82F5D"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29DD6C8"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9D64238" w14:textId="77777777" w:rsidR="000A7A5B" w:rsidRPr="00CB54EA" w:rsidRDefault="000A7A5B" w:rsidP="002E2500">
      <w:pPr>
        <w:rPr>
          <w:rFonts w:asciiTheme="minorHAnsi" w:hAnsiTheme="minorHAnsi" w:cs="Calibri"/>
          <w:b/>
          <w:i/>
          <w:color w:val="000000"/>
          <w:sz w:val="22"/>
          <w:szCs w:val="22"/>
        </w:rPr>
      </w:pPr>
    </w:p>
    <w:p w14:paraId="3BDBFF17" w14:textId="77777777" w:rsidR="00CB54EA" w:rsidRPr="00CB54EA" w:rsidRDefault="00CB54EA" w:rsidP="00CB54EA">
      <w:pPr>
        <w:pStyle w:val="Default"/>
        <w:rPr>
          <w:rFonts w:asciiTheme="minorHAnsi" w:hAnsiTheme="minorHAnsi"/>
          <w:b/>
          <w:bCs/>
          <w:i/>
          <w:iCs/>
          <w:sz w:val="22"/>
          <w:szCs w:val="22"/>
        </w:rPr>
      </w:pPr>
      <w:r w:rsidRPr="00CB54EA">
        <w:rPr>
          <w:rFonts w:asciiTheme="minorHAnsi" w:hAnsiTheme="minorHAnsi"/>
          <w:b/>
          <w:bCs/>
          <w:i/>
          <w:iCs/>
          <w:sz w:val="22"/>
          <w:szCs w:val="22"/>
        </w:rPr>
        <w:t xml:space="preserve">Medicare Part D Services </w:t>
      </w:r>
    </w:p>
    <w:p w14:paraId="09F222D0" w14:textId="77777777" w:rsidR="00CB54EA" w:rsidRPr="00CB54EA" w:rsidRDefault="00CB54EA" w:rsidP="00CB54EA">
      <w:pPr>
        <w:pStyle w:val="Default"/>
        <w:rPr>
          <w:rFonts w:asciiTheme="minorHAnsi" w:hAnsiTheme="minorHAnsi"/>
          <w:sz w:val="22"/>
          <w:szCs w:val="22"/>
        </w:rPr>
      </w:pPr>
    </w:p>
    <w:p w14:paraId="01D5DC9E"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The Part D plan payment will be the risk adjusted Part D national average monthly bid amount (NAMBA) for the payment year, adjusted for payment reductions resulting from sequestration applied to the non-premium portion of the NAMBA. The non-premium portion will be determined by subtracting the applicable regional Low-Income Premium Subsidy Amount from the risk adjusted NAMBA. To illustrate, the NAMBA for CY 2018 is $57.93 and the CY 2017 Low-Income Premium Subsidy Amount for Massachusetts is $35.58. Thus, the updated Massachusetts Part D monthly per member per month payment for a beneficiary with a 1.0 RxHCC risk score applicable for CY 2017 is $57.48. This amount incorporates a 2% sequestration reduction to the non-premium portion of the NAMBA. </w:t>
      </w:r>
    </w:p>
    <w:p w14:paraId="292E31EC" w14:textId="77777777" w:rsidR="00CB54EA" w:rsidRPr="00CB54EA" w:rsidRDefault="00CB54EA" w:rsidP="00CB54EA">
      <w:pPr>
        <w:pStyle w:val="Default"/>
        <w:rPr>
          <w:rFonts w:asciiTheme="minorHAnsi" w:hAnsiTheme="minorHAnsi"/>
          <w:sz w:val="22"/>
          <w:szCs w:val="22"/>
        </w:rPr>
      </w:pPr>
    </w:p>
    <w:p w14:paraId="047D42EA"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CMS will pay an average monthly prospective payment amount for the low income cost-sharing subsidy and Federal reinsurance amounts; these payments will be 100% cost reconciled after the payment year has ended. These prospective payments, as proposed and attested to by Tufts Health Public Plan, are plan-specific and will be same for all counties, as shown below. </w:t>
      </w:r>
    </w:p>
    <w:p w14:paraId="6C3DF297" w14:textId="77777777" w:rsidR="00CB54EA" w:rsidRPr="00CB54EA" w:rsidRDefault="00CB54EA" w:rsidP="00CB54EA">
      <w:pPr>
        <w:pStyle w:val="Default"/>
        <w:rPr>
          <w:rFonts w:asciiTheme="minorHAnsi" w:hAnsiTheme="minorHAnsi"/>
          <w:sz w:val="22"/>
          <w:szCs w:val="22"/>
        </w:rPr>
      </w:pPr>
    </w:p>
    <w:p w14:paraId="6D5C9173" w14:textId="65FC05A9" w:rsidR="00F726CA" w:rsidRPr="00CB54EA" w:rsidRDefault="00CB54EA" w:rsidP="00F726CA">
      <w:pPr>
        <w:pStyle w:val="Default"/>
        <w:ind w:left="720"/>
        <w:rPr>
          <w:rFonts w:asciiTheme="minorHAnsi" w:hAnsiTheme="minorHAnsi"/>
          <w:sz w:val="22"/>
          <w:szCs w:val="22"/>
        </w:rPr>
      </w:pPr>
      <w:r w:rsidRPr="00CB54EA">
        <w:rPr>
          <w:rFonts w:asciiTheme="minorHAnsi" w:hAnsiTheme="minorHAnsi"/>
          <w:sz w:val="22"/>
          <w:szCs w:val="22"/>
        </w:rPr>
        <w:t xml:space="preserve">• </w:t>
      </w:r>
      <w:r w:rsidR="00F726CA" w:rsidRPr="00CB54EA">
        <w:rPr>
          <w:rFonts w:asciiTheme="minorHAnsi" w:hAnsiTheme="minorHAnsi"/>
          <w:sz w:val="22"/>
          <w:szCs w:val="22"/>
        </w:rPr>
        <w:t xml:space="preserve"> Low income cost-sharing: $160.34</w:t>
      </w:r>
      <w:bookmarkStart w:id="17" w:name="_GoBack"/>
      <w:bookmarkEnd w:id="17"/>
      <w:r w:rsidR="00F726CA">
        <w:rPr>
          <w:rFonts w:asciiTheme="minorHAnsi" w:hAnsiTheme="minorHAnsi"/>
          <w:sz w:val="22"/>
          <w:szCs w:val="22"/>
        </w:rPr>
        <w:t xml:space="preserve"> </w:t>
      </w:r>
      <w:r w:rsidR="00F726CA" w:rsidRPr="00CB54EA">
        <w:rPr>
          <w:rFonts w:asciiTheme="minorHAnsi" w:hAnsiTheme="minorHAnsi"/>
          <w:sz w:val="22"/>
          <w:szCs w:val="22"/>
        </w:rPr>
        <w:t xml:space="preserve">PMPM </w:t>
      </w:r>
    </w:p>
    <w:p w14:paraId="1344EA7B" w14:textId="77777777" w:rsidR="00F726CA" w:rsidRPr="00CB54EA" w:rsidRDefault="00F726CA" w:rsidP="00F726CA">
      <w:pPr>
        <w:pStyle w:val="Default"/>
        <w:ind w:left="720"/>
        <w:rPr>
          <w:rFonts w:asciiTheme="minorHAnsi" w:hAnsiTheme="minorHAnsi"/>
          <w:sz w:val="22"/>
          <w:szCs w:val="22"/>
        </w:rPr>
      </w:pPr>
      <w:r w:rsidRPr="00CB54EA">
        <w:rPr>
          <w:rFonts w:asciiTheme="minorHAnsi" w:hAnsiTheme="minorHAnsi"/>
          <w:sz w:val="22"/>
          <w:szCs w:val="22"/>
        </w:rPr>
        <w:t xml:space="preserve">• Reinsurance: $260.79 PMPM </w:t>
      </w:r>
    </w:p>
    <w:p w14:paraId="7A1B2D4A" w14:textId="17ECAAAE" w:rsidR="00CB54EA" w:rsidRPr="00CB54EA" w:rsidRDefault="00CB54EA" w:rsidP="00F726CA">
      <w:pPr>
        <w:pStyle w:val="Default"/>
        <w:ind w:left="720"/>
        <w:rPr>
          <w:rFonts w:asciiTheme="minorHAnsi" w:hAnsiTheme="minorHAnsi"/>
          <w:sz w:val="22"/>
          <w:szCs w:val="22"/>
        </w:rPr>
      </w:pPr>
    </w:p>
    <w:p w14:paraId="7FA568BD"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The low-income cost sharing and reinsurance subsidy amounts are exempt from mandatory payment reductions under sequestration. </w:t>
      </w:r>
    </w:p>
    <w:p w14:paraId="1F906C1D" w14:textId="77777777" w:rsidR="00CB54EA" w:rsidRPr="00CB54EA" w:rsidRDefault="00CB54EA" w:rsidP="00CB54EA">
      <w:pPr>
        <w:pStyle w:val="Default"/>
        <w:rPr>
          <w:rFonts w:asciiTheme="minorHAnsi" w:hAnsiTheme="minorHAnsi"/>
          <w:sz w:val="22"/>
          <w:szCs w:val="22"/>
        </w:rPr>
      </w:pPr>
    </w:p>
    <w:p w14:paraId="7875DA2F" w14:textId="07B01A6B" w:rsidR="00283A75" w:rsidRPr="00CB54EA" w:rsidRDefault="00CB54EA" w:rsidP="00CB54EA">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sz w:val="22"/>
          <w:szCs w:val="22"/>
        </w:rPr>
        <w:t>A savings percentage will not be applied to the Part D component of the rate. Part D payments will not be subject to a quality withhold.</w:t>
      </w:r>
    </w:p>
    <w:p w14:paraId="2428C4D2" w14:textId="77777777"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4B1384DB" w14:textId="77777777" w:rsidR="00283A75" w:rsidRPr="00CB54EA" w:rsidRDefault="00283A75" w:rsidP="00524025">
      <w:pPr>
        <w:numPr>
          <w:ilvl w:val="0"/>
          <w:numId w:val="1"/>
        </w:numPr>
        <w:tabs>
          <w:tab w:val="left" w:pos="90"/>
          <w:tab w:val="left" w:pos="720"/>
        </w:tabs>
        <w:ind w:left="0" w:firstLine="0"/>
        <w:jc w:val="center"/>
        <w:rPr>
          <w:rFonts w:asciiTheme="minorHAnsi" w:hAnsiTheme="minorHAnsi" w:cs="Calibri"/>
          <w:b/>
          <w:sz w:val="22"/>
          <w:szCs w:val="22"/>
        </w:rPr>
      </w:pPr>
      <w:r w:rsidRPr="00CB54EA">
        <w:rPr>
          <w:rFonts w:asciiTheme="minorHAnsi" w:hAnsiTheme="minorHAnsi" w:cs="Calibri"/>
          <w:b/>
          <w:sz w:val="22"/>
          <w:szCs w:val="22"/>
        </w:rPr>
        <w:lastRenderedPageBreak/>
        <w:t>Savings Percentages and Quality Withholds</w:t>
      </w:r>
    </w:p>
    <w:p w14:paraId="46DC93DC" w14:textId="77777777" w:rsidR="00283A75" w:rsidRPr="00CB54EA" w:rsidRDefault="00283A75" w:rsidP="00524025">
      <w:pPr>
        <w:tabs>
          <w:tab w:val="left" w:pos="90"/>
        </w:tabs>
        <w:autoSpaceDE w:val="0"/>
        <w:autoSpaceDN w:val="0"/>
        <w:adjustRightInd w:val="0"/>
        <w:rPr>
          <w:rFonts w:asciiTheme="minorHAnsi" w:hAnsiTheme="minorHAnsi" w:cs="Calibri"/>
          <w:b/>
          <w:i/>
          <w:color w:val="000000"/>
          <w:sz w:val="22"/>
          <w:szCs w:val="22"/>
        </w:rPr>
      </w:pPr>
    </w:p>
    <w:p w14:paraId="172131A5" w14:textId="77777777" w:rsidR="00283A75" w:rsidRPr="00CB54EA" w:rsidRDefault="00283A75" w:rsidP="00524025">
      <w:pPr>
        <w:tabs>
          <w:tab w:val="left" w:pos="90"/>
        </w:tabs>
        <w:autoSpaceDE w:val="0"/>
        <w:autoSpaceDN w:val="0"/>
        <w:adjustRightInd w:val="0"/>
        <w:rPr>
          <w:rFonts w:asciiTheme="minorHAnsi" w:hAnsiTheme="minorHAnsi" w:cs="Calibri"/>
          <w:b/>
          <w:i/>
          <w:color w:val="000000"/>
          <w:sz w:val="22"/>
          <w:szCs w:val="22"/>
        </w:rPr>
      </w:pPr>
      <w:r w:rsidRPr="00CB54EA">
        <w:rPr>
          <w:rFonts w:asciiTheme="minorHAnsi" w:hAnsiTheme="minorHAnsi" w:cs="Calibri"/>
          <w:b/>
          <w:i/>
          <w:color w:val="000000"/>
          <w:sz w:val="22"/>
          <w:szCs w:val="22"/>
        </w:rPr>
        <w:t>Savings Percentages</w:t>
      </w:r>
    </w:p>
    <w:p w14:paraId="6F7A4ECC" w14:textId="77777777" w:rsidR="000A74E7" w:rsidRPr="00CB54EA" w:rsidRDefault="000A74E7" w:rsidP="00524025">
      <w:pPr>
        <w:tabs>
          <w:tab w:val="left" w:pos="90"/>
        </w:tabs>
        <w:autoSpaceDE w:val="0"/>
        <w:autoSpaceDN w:val="0"/>
        <w:adjustRightInd w:val="0"/>
        <w:rPr>
          <w:rFonts w:asciiTheme="minorHAnsi" w:hAnsiTheme="minorHAnsi" w:cs="Calibri"/>
          <w:b/>
          <w:i/>
          <w:color w:val="000000"/>
          <w:sz w:val="22"/>
          <w:szCs w:val="22"/>
        </w:rPr>
      </w:pPr>
    </w:p>
    <w:p w14:paraId="422DC95E"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7192EC4B"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p>
    <w:p w14:paraId="2C7FEE96" w14:textId="0FBEF214"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CMS and MassHealth established composite savings percentages for each year of the Demonstration, as shown in the table below. The savings percentage will be applied to the Medicaid and Medicare A/B components of the rates, uniformly to all population groups, unless otherwise noted in this report. The savings percentage will not be applied to the Part D component of the joint rate. </w:t>
      </w:r>
      <w:r w:rsidR="00450449" w:rsidRPr="00CB54EA">
        <w:rPr>
          <w:rFonts w:asciiTheme="minorHAnsi" w:hAnsiTheme="minorHAnsi" w:cs="Calibri"/>
          <w:color w:val="000000"/>
          <w:sz w:val="22"/>
          <w:szCs w:val="22"/>
        </w:rPr>
        <w:t xml:space="preserve"> </w:t>
      </w:r>
    </w:p>
    <w:p w14:paraId="42F0B55A"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p>
    <w:tbl>
      <w:tblPr>
        <w:tblpPr w:leftFromText="180" w:rightFromText="180" w:vertAnchor="text" w:horzAnchor="margin" w:tblpY="77"/>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2"/>
        <w:gridCol w:w="4326"/>
        <w:gridCol w:w="2662"/>
      </w:tblGrid>
      <w:tr w:rsidR="00647071" w:rsidRPr="00CB54EA" w14:paraId="75E7B26A" w14:textId="77777777" w:rsidTr="00276EA7">
        <w:trPr>
          <w:trHeight w:val="243"/>
        </w:trPr>
        <w:tc>
          <w:tcPr>
            <w:tcW w:w="2592" w:type="dxa"/>
          </w:tcPr>
          <w:p w14:paraId="245B1D4F"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Year</w:t>
            </w:r>
          </w:p>
        </w:tc>
        <w:tc>
          <w:tcPr>
            <w:tcW w:w="4212" w:type="dxa"/>
          </w:tcPr>
          <w:p w14:paraId="568020BC"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Calendar dates</w:t>
            </w:r>
          </w:p>
        </w:tc>
        <w:tc>
          <w:tcPr>
            <w:tcW w:w="2592" w:type="dxa"/>
          </w:tcPr>
          <w:p w14:paraId="0C74BF9D"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Savings percentage</w:t>
            </w:r>
          </w:p>
        </w:tc>
      </w:tr>
      <w:tr w:rsidR="004A20C3" w:rsidRPr="00CB54EA" w14:paraId="25C68041" w14:textId="77777777" w:rsidTr="00276EA7">
        <w:trPr>
          <w:trHeight w:val="476"/>
        </w:trPr>
        <w:tc>
          <w:tcPr>
            <w:tcW w:w="2592" w:type="dxa"/>
          </w:tcPr>
          <w:p w14:paraId="4CAC8F60" w14:textId="4B330B8A" w:rsidR="004A20C3" w:rsidRPr="00CB54EA" w:rsidRDefault="004A20C3" w:rsidP="00E04A2F">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Demonstration Year 5 </w:t>
            </w:r>
          </w:p>
        </w:tc>
        <w:tc>
          <w:tcPr>
            <w:tcW w:w="4212" w:type="dxa"/>
          </w:tcPr>
          <w:p w14:paraId="13053F01" w14:textId="4D827B21" w:rsidR="004A20C3" w:rsidRPr="00CB54EA" w:rsidRDefault="004A20C3" w:rsidP="004A20C3">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January 1, 2018 through December 31, 2018</w:t>
            </w:r>
          </w:p>
        </w:tc>
        <w:tc>
          <w:tcPr>
            <w:tcW w:w="2592" w:type="dxa"/>
          </w:tcPr>
          <w:p w14:paraId="4B4EB6C5" w14:textId="21BA9102" w:rsidR="004A20C3" w:rsidRPr="00CB54EA" w:rsidRDefault="004A20C3" w:rsidP="00E04A2F">
            <w:pPr>
              <w:autoSpaceDE w:val="0"/>
              <w:autoSpaceDN w:val="0"/>
              <w:adjustRightInd w:val="0"/>
              <w:jc w:val="center"/>
              <w:rPr>
                <w:rFonts w:asciiTheme="minorHAnsi" w:hAnsiTheme="minorHAnsi" w:cs="Calibri"/>
                <w:color w:val="000000"/>
                <w:sz w:val="22"/>
                <w:szCs w:val="22"/>
              </w:rPr>
            </w:pPr>
            <w:r w:rsidRPr="00CB54EA">
              <w:rPr>
                <w:rFonts w:asciiTheme="minorHAnsi" w:hAnsiTheme="minorHAnsi" w:cs="Calibri"/>
                <w:color w:val="000000"/>
                <w:sz w:val="22"/>
                <w:szCs w:val="22"/>
              </w:rPr>
              <w:t xml:space="preserve">0.50% </w:t>
            </w:r>
          </w:p>
        </w:tc>
      </w:tr>
    </w:tbl>
    <w:p w14:paraId="03D5BF0D" w14:textId="77777777" w:rsidR="00647071" w:rsidRPr="00CB54EA" w:rsidRDefault="00647071" w:rsidP="00647071">
      <w:pPr>
        <w:tabs>
          <w:tab w:val="left" w:pos="90"/>
        </w:tabs>
        <w:autoSpaceDE w:val="0"/>
        <w:autoSpaceDN w:val="0"/>
        <w:adjustRightInd w:val="0"/>
        <w:rPr>
          <w:rFonts w:asciiTheme="minorHAnsi" w:hAnsiTheme="minorHAnsi" w:cs="Calibri"/>
          <w:color w:val="000000"/>
          <w:sz w:val="22"/>
          <w:szCs w:val="22"/>
        </w:rPr>
      </w:pPr>
    </w:p>
    <w:p w14:paraId="3A0F0767" w14:textId="77777777" w:rsidR="00647071" w:rsidRPr="004D7C84" w:rsidRDefault="00647071" w:rsidP="00647071">
      <w:pPr>
        <w:tabs>
          <w:tab w:val="left" w:pos="90"/>
        </w:tabs>
        <w:autoSpaceDE w:val="0"/>
        <w:autoSpaceDN w:val="0"/>
        <w:adjustRightInd w:val="0"/>
        <w:rPr>
          <w:rFonts w:asciiTheme="minorHAnsi" w:hAnsiTheme="minorHAnsi" w:cs="Calibri"/>
          <w:b/>
          <w:i/>
          <w:color w:val="000000"/>
          <w:sz w:val="22"/>
          <w:szCs w:val="22"/>
        </w:rPr>
      </w:pPr>
      <w:r w:rsidRPr="004D7C84">
        <w:rPr>
          <w:rFonts w:asciiTheme="minorHAnsi" w:hAnsiTheme="minorHAnsi" w:cs="Calibri"/>
          <w:b/>
          <w:i/>
          <w:color w:val="000000"/>
          <w:sz w:val="22"/>
          <w:szCs w:val="22"/>
        </w:rPr>
        <w:t>Quality Withhold</w:t>
      </w:r>
    </w:p>
    <w:p w14:paraId="5AA24B84" w14:textId="4A669DE7" w:rsidR="006C4893" w:rsidRPr="004D7C84" w:rsidRDefault="003859E8" w:rsidP="006C4893">
      <w:pPr>
        <w:autoSpaceDE w:val="0"/>
        <w:autoSpaceDN w:val="0"/>
        <w:adjustRightInd w:val="0"/>
        <w:rPr>
          <w:rFonts w:asciiTheme="minorHAnsi" w:hAnsiTheme="minorHAnsi" w:cs="Calibri"/>
          <w:color w:val="000000"/>
          <w:sz w:val="22"/>
          <w:szCs w:val="22"/>
        </w:rPr>
      </w:pPr>
      <w:r w:rsidRPr="004D7C84">
        <w:rPr>
          <w:rFonts w:asciiTheme="minorHAnsi" w:hAnsiTheme="minorHAnsi" w:cs="Calibri"/>
          <w:color w:val="000000"/>
          <w:sz w:val="22"/>
          <w:szCs w:val="22"/>
        </w:rPr>
        <w:t>T</w:t>
      </w:r>
      <w:r w:rsidR="006C4893" w:rsidRPr="004D7C84">
        <w:rPr>
          <w:rFonts w:asciiTheme="minorHAnsi" w:hAnsiTheme="minorHAnsi" w:cs="Calibri"/>
          <w:color w:val="000000"/>
          <w:sz w:val="22"/>
          <w:szCs w:val="22"/>
        </w:rPr>
        <w:t>he quality withhold percentage</w:t>
      </w:r>
      <w:r w:rsidR="004D7C84" w:rsidRPr="004D7C84">
        <w:rPr>
          <w:rFonts w:asciiTheme="minorHAnsi" w:hAnsiTheme="minorHAnsi" w:cs="Calibri"/>
          <w:color w:val="000000"/>
          <w:sz w:val="22"/>
          <w:szCs w:val="22"/>
        </w:rPr>
        <w:t>s</w:t>
      </w:r>
      <w:r w:rsidR="006C4893" w:rsidRPr="004D7C84">
        <w:rPr>
          <w:rFonts w:asciiTheme="minorHAnsi" w:hAnsiTheme="minorHAnsi" w:cs="Calibri"/>
          <w:color w:val="000000"/>
          <w:sz w:val="22"/>
          <w:szCs w:val="22"/>
        </w:rPr>
        <w:t xml:space="preserve"> applied to the Medicaid and Medicare A/B components of the rate </w:t>
      </w:r>
      <w:r w:rsidR="004D7C84" w:rsidRPr="004D7C84">
        <w:rPr>
          <w:rFonts w:asciiTheme="minorHAnsi" w:hAnsiTheme="minorHAnsi" w:cs="Calibri"/>
          <w:color w:val="000000"/>
          <w:sz w:val="22"/>
          <w:szCs w:val="22"/>
        </w:rPr>
        <w:t xml:space="preserve">will be 1.50% for Demonstration Year 5. </w:t>
      </w:r>
      <w:r w:rsidR="004D7C84" w:rsidRPr="004D7C84">
        <w:rPr>
          <w:rFonts w:asciiTheme="minorHAnsi" w:hAnsiTheme="minorHAnsi"/>
          <w:sz w:val="22"/>
          <w:szCs w:val="22"/>
        </w:rPr>
        <w:t>CMS strongly encourages the One Care Plans to review the DY 5 methodology and plan ahead to maximize the chances of fully recouping the withheld amounts.</w:t>
      </w:r>
    </w:p>
    <w:p w14:paraId="0AE07F8B" w14:textId="77777777" w:rsidR="00647071" w:rsidRPr="00CB54EA" w:rsidRDefault="00647071" w:rsidP="00647071">
      <w:pPr>
        <w:autoSpaceDE w:val="0"/>
        <w:autoSpaceDN w:val="0"/>
        <w:adjustRightInd w:val="0"/>
        <w:rPr>
          <w:rFonts w:asciiTheme="minorHAnsi" w:hAnsiTheme="minorHAnsi" w:cs="Calibri"/>
          <w:color w:val="000000"/>
          <w:sz w:val="22"/>
          <w:szCs w:val="22"/>
        </w:rPr>
      </w:pPr>
    </w:p>
    <w:p w14:paraId="37E4B47B" w14:textId="77777777" w:rsidR="005A5066" w:rsidRPr="00CB54EA" w:rsidRDefault="005A5066" w:rsidP="005A5066">
      <w:pPr>
        <w:rPr>
          <w:rFonts w:asciiTheme="minorHAnsi" w:hAnsiTheme="minorHAnsi"/>
          <w:color w:val="1F497D"/>
          <w:sz w:val="22"/>
          <w:szCs w:val="22"/>
        </w:rPr>
      </w:pPr>
    </w:p>
    <w:p w14:paraId="11FBC617" w14:textId="77777777" w:rsidR="00A0566B" w:rsidRDefault="005A5066" w:rsidP="005A5066">
      <w:pPr>
        <w:rPr>
          <w:rFonts w:asciiTheme="minorHAnsi" w:hAnsiTheme="minorHAnsi"/>
          <w:sz w:val="22"/>
          <w:szCs w:val="22"/>
        </w:rPr>
      </w:pPr>
      <w:r w:rsidRPr="00CB54EA">
        <w:rPr>
          <w:rFonts w:asciiTheme="minorHAnsi" w:hAnsiTheme="minorHAnsi"/>
          <w:sz w:val="22"/>
          <w:szCs w:val="22"/>
        </w:rPr>
        <w:t xml:space="preserve">More information is available at: </w:t>
      </w:r>
    </w:p>
    <w:p w14:paraId="61FFE678" w14:textId="5CFC7708" w:rsidR="005A5066" w:rsidRPr="00CB54EA" w:rsidRDefault="00A0566B" w:rsidP="005A5066">
      <w:pPr>
        <w:rPr>
          <w:rFonts w:asciiTheme="minorHAnsi" w:hAnsiTheme="minorHAnsi"/>
          <w:color w:val="1F497D"/>
        </w:rPr>
      </w:pPr>
      <w:r w:rsidRPr="00A0566B">
        <w:rPr>
          <w:rStyle w:val="Hyperlink"/>
          <w:rFonts w:asciiTheme="minorHAnsi" w:hAnsiTheme="minorHAnsi"/>
          <w:sz w:val="22"/>
          <w:szCs w:val="22"/>
        </w:rPr>
        <w:t>https://www.cms.gov/Medicare-Medicaid-Coordination/Medicare-and-Medicaid-Coordination/Medicare-Medicaid-Coordination-Office/FinancialAlignmentInitiative/MMPInformationandGuidance/Downloads/QualityWithholdGuidanceDY2-503142018.pdf</w:t>
      </w:r>
    </w:p>
    <w:p w14:paraId="4028F1DD" w14:textId="5D136E7C" w:rsidR="00A0566B" w:rsidRDefault="00A0566B" w:rsidP="00524025">
      <w:pPr>
        <w:tabs>
          <w:tab w:val="left" w:pos="90"/>
        </w:tabs>
        <w:autoSpaceDE w:val="0"/>
        <w:autoSpaceDN w:val="0"/>
        <w:adjustRightInd w:val="0"/>
        <w:rPr>
          <w:rFonts w:asciiTheme="minorHAnsi" w:hAnsiTheme="minorHAnsi" w:cs="Calibri"/>
          <w:color w:val="000000"/>
          <w:sz w:val="22"/>
          <w:szCs w:val="22"/>
        </w:rPr>
      </w:pPr>
    </w:p>
    <w:p w14:paraId="2D17F631" w14:textId="122AA41C" w:rsidR="00A0566B" w:rsidRPr="00CB54EA" w:rsidRDefault="00A0566B" w:rsidP="00524025">
      <w:pPr>
        <w:tabs>
          <w:tab w:val="left" w:pos="90"/>
        </w:tabs>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State Specific for Massachusetts:</w:t>
      </w:r>
    </w:p>
    <w:p w14:paraId="41C4BD17" w14:textId="40B08527" w:rsidR="00A0566B" w:rsidRDefault="00A0566B">
      <w:pPr>
        <w:spacing w:after="200" w:line="276" w:lineRule="auto"/>
        <w:rPr>
          <w:rFonts w:asciiTheme="minorHAnsi" w:hAnsiTheme="minorHAnsi" w:cs="Calibri"/>
          <w:color w:val="000000"/>
          <w:sz w:val="22"/>
          <w:szCs w:val="22"/>
        </w:rPr>
      </w:pPr>
      <w:hyperlink r:id="rId12" w:history="1">
        <w:r w:rsidRPr="00B02ED3">
          <w:rPr>
            <w:rStyle w:val="Hyperlink"/>
            <w:rFonts w:asciiTheme="minorHAnsi" w:hAnsiTheme="minorHAnsi" w:cs="Calibri"/>
            <w:sz w:val="22"/>
            <w:szCs w:val="22"/>
          </w:rPr>
          <w:t>https://www.cms.gov/Medicare-Medicaid-Coordination/Medicare-and-Medicaid-Coordination/Medicare-Medicaid-Coordination-Office/FinancialAlignmentInitiative/MMPInformationandGuidance/Downloads/MAQualityWithholdGuidanceDY2-5_03162018.pdf</w:t>
        </w:r>
      </w:hyperlink>
    </w:p>
    <w:p w14:paraId="61A716D6" w14:textId="3396EA8E"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6223EC47" w14:textId="77777777" w:rsidR="00283A75" w:rsidRPr="00CB54EA" w:rsidRDefault="00283A75" w:rsidP="00AD1E7C">
      <w:pPr>
        <w:autoSpaceDE w:val="0"/>
        <w:autoSpaceDN w:val="0"/>
        <w:adjustRightInd w:val="0"/>
        <w:jc w:val="center"/>
        <w:rPr>
          <w:rFonts w:asciiTheme="minorHAnsi" w:hAnsiTheme="minorHAnsi" w:cs="Calibri"/>
          <w:b/>
          <w:color w:val="000000"/>
          <w:sz w:val="22"/>
        </w:rPr>
      </w:pPr>
      <w:r w:rsidRPr="00CB54EA">
        <w:rPr>
          <w:rFonts w:asciiTheme="minorHAnsi" w:hAnsiTheme="minorHAnsi" w:cs="Calibri"/>
          <w:b/>
          <w:color w:val="000000"/>
          <w:sz w:val="22"/>
        </w:rPr>
        <w:lastRenderedPageBreak/>
        <w:t xml:space="preserve">V. Risk Mitigation </w:t>
      </w:r>
    </w:p>
    <w:p w14:paraId="172C4626" w14:textId="77777777" w:rsidR="00283A75" w:rsidRPr="00CB54EA" w:rsidRDefault="00283A75" w:rsidP="00AD1E7C">
      <w:pPr>
        <w:autoSpaceDE w:val="0"/>
        <w:autoSpaceDN w:val="0"/>
        <w:adjustRightInd w:val="0"/>
        <w:jc w:val="center"/>
        <w:rPr>
          <w:rFonts w:asciiTheme="minorHAnsi" w:hAnsiTheme="minorHAnsi" w:cs="Calibri"/>
          <w:b/>
          <w:color w:val="000000"/>
          <w:sz w:val="22"/>
        </w:rPr>
      </w:pPr>
    </w:p>
    <w:p w14:paraId="059E2DAE" w14:textId="26012FE0"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The </w:t>
      </w:r>
      <w:r w:rsidR="0080538F" w:rsidRPr="00CB54EA">
        <w:rPr>
          <w:rFonts w:asciiTheme="minorHAnsi" w:hAnsiTheme="minorHAnsi"/>
          <w:sz w:val="22"/>
          <w:szCs w:val="22"/>
        </w:rPr>
        <w:t xml:space="preserve">three-way contract and contract amendment </w:t>
      </w:r>
      <w:r w:rsidRPr="00CB54EA">
        <w:rPr>
          <w:rFonts w:asciiTheme="minorHAnsi" w:hAnsiTheme="minorHAnsi"/>
          <w:sz w:val="22"/>
          <w:szCs w:val="22"/>
        </w:rPr>
        <w:t xml:space="preserve">established risk corridors to mitigate risk in the event of disproportionate enrollment of high need individuals in some One Care plans or adverse enrollment selection across the Demonstration as a whole. </w:t>
      </w:r>
    </w:p>
    <w:p w14:paraId="487A0730" w14:textId="77777777" w:rsidR="00B037A6" w:rsidRPr="00CB54EA" w:rsidRDefault="00B037A6" w:rsidP="00D9303C">
      <w:pPr>
        <w:pStyle w:val="Default"/>
        <w:jc w:val="right"/>
        <w:rPr>
          <w:rFonts w:asciiTheme="minorHAnsi" w:hAnsiTheme="minorHAnsi"/>
          <w:sz w:val="22"/>
          <w:szCs w:val="22"/>
        </w:rPr>
      </w:pPr>
    </w:p>
    <w:p w14:paraId="1FADC21A" w14:textId="77777777" w:rsidR="00B037A6" w:rsidRPr="00CB54EA" w:rsidRDefault="00B037A6" w:rsidP="00B037A6">
      <w:pPr>
        <w:pStyle w:val="Default"/>
        <w:rPr>
          <w:rFonts w:asciiTheme="minorHAnsi" w:hAnsiTheme="minorHAnsi"/>
          <w:b/>
          <w:bCs/>
          <w:i/>
          <w:iCs/>
          <w:sz w:val="22"/>
          <w:szCs w:val="22"/>
        </w:rPr>
      </w:pPr>
      <w:r w:rsidRPr="00CB54EA">
        <w:rPr>
          <w:rFonts w:asciiTheme="minorHAnsi" w:hAnsiTheme="minorHAnsi"/>
          <w:b/>
          <w:bCs/>
          <w:i/>
          <w:iCs/>
          <w:sz w:val="22"/>
          <w:szCs w:val="22"/>
        </w:rPr>
        <w:t xml:space="preserve">Risk Corridors </w:t>
      </w:r>
    </w:p>
    <w:p w14:paraId="4C9CAB2D" w14:textId="77777777" w:rsidR="00B037A6" w:rsidRPr="00CB54EA" w:rsidRDefault="00B037A6" w:rsidP="00B037A6">
      <w:pPr>
        <w:pStyle w:val="Default"/>
        <w:rPr>
          <w:rFonts w:asciiTheme="minorHAnsi" w:hAnsiTheme="minorHAnsi"/>
          <w:sz w:val="22"/>
          <w:szCs w:val="22"/>
        </w:rPr>
      </w:pPr>
    </w:p>
    <w:p w14:paraId="67FC17B7" w14:textId="15D1D7FF"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Risk corridors have been established for Demonstration </w:t>
      </w:r>
      <w:r w:rsidR="00016E5D" w:rsidRPr="00CB54EA">
        <w:rPr>
          <w:rFonts w:asciiTheme="minorHAnsi" w:hAnsiTheme="minorHAnsi"/>
          <w:sz w:val="22"/>
          <w:szCs w:val="22"/>
        </w:rPr>
        <w:t>Year</w:t>
      </w:r>
      <w:r w:rsidRPr="00CB54EA">
        <w:rPr>
          <w:rFonts w:asciiTheme="minorHAnsi" w:hAnsiTheme="minorHAnsi"/>
          <w:sz w:val="22"/>
          <w:szCs w:val="22"/>
        </w:rPr>
        <w:t xml:space="preserve"> 5.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w:t>
      </w:r>
      <w:r w:rsidR="003859E8" w:rsidRPr="00CB54EA">
        <w:rPr>
          <w:rFonts w:asciiTheme="minorHAnsi" w:hAnsiTheme="minorHAnsi"/>
          <w:sz w:val="22"/>
          <w:szCs w:val="22"/>
        </w:rPr>
        <w:t>high-cost risk pool (</w:t>
      </w:r>
      <w:r w:rsidRPr="00CB54EA">
        <w:rPr>
          <w:rFonts w:asciiTheme="minorHAnsi" w:hAnsiTheme="minorHAnsi"/>
          <w:sz w:val="22"/>
          <w:szCs w:val="22"/>
        </w:rPr>
        <w:t>HCRP</w:t>
      </w:r>
      <w:r w:rsidR="003859E8" w:rsidRPr="00CB54EA">
        <w:rPr>
          <w:rFonts w:asciiTheme="minorHAnsi" w:hAnsiTheme="minorHAnsi"/>
          <w:sz w:val="22"/>
          <w:szCs w:val="22"/>
        </w:rPr>
        <w:t>)</w:t>
      </w:r>
      <w:r w:rsidRPr="00CB54EA">
        <w:rPr>
          <w:rFonts w:asciiTheme="minorHAnsi" w:hAnsiTheme="minorHAnsi"/>
          <w:sz w:val="22"/>
          <w:szCs w:val="22"/>
        </w:rPr>
        <w:t xml:space="preserve"> or risk adjustment methodologies (e.g. CMS-HCC), and as if One Care plans had received the full quality withhold payment. </w:t>
      </w:r>
    </w:p>
    <w:p w14:paraId="7B96E024" w14:textId="77777777" w:rsidR="00B037A6" w:rsidRPr="00CB54EA" w:rsidRDefault="00B037A6" w:rsidP="00B037A6">
      <w:pPr>
        <w:pStyle w:val="Default"/>
        <w:rPr>
          <w:rFonts w:asciiTheme="minorHAnsi" w:hAnsiTheme="minorHAnsi"/>
          <w:sz w:val="22"/>
          <w:szCs w:val="22"/>
        </w:rPr>
      </w:pPr>
    </w:p>
    <w:p w14:paraId="4D26B121" w14:textId="745BE221"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For Demonstration </w:t>
      </w:r>
      <w:r w:rsidR="00016E5D" w:rsidRPr="00CB54EA">
        <w:rPr>
          <w:rFonts w:asciiTheme="minorHAnsi" w:hAnsiTheme="minorHAnsi"/>
          <w:sz w:val="22"/>
          <w:szCs w:val="22"/>
        </w:rPr>
        <w:t>Year</w:t>
      </w:r>
      <w:r w:rsidRPr="00CB54EA">
        <w:rPr>
          <w:rFonts w:asciiTheme="minorHAnsi" w:hAnsiTheme="minorHAnsi"/>
          <w:sz w:val="22"/>
          <w:szCs w:val="22"/>
        </w:rPr>
        <w:t xml:space="preserve"> 5, for gains and/or losses of less than or equal to 4%, the One Care plan bears 100% of the risk. For the portion of gains and/or losses from 4.1% through 8.0%, the One Care plan bears 50% of the risk and MassHealth and CMS share in the other 50%. </w:t>
      </w:r>
      <w:r w:rsidR="009812AA" w:rsidRPr="00CB54EA">
        <w:rPr>
          <w:rFonts w:asciiTheme="minorHAnsi" w:hAnsiTheme="minorHAnsi"/>
          <w:sz w:val="22"/>
          <w:szCs w:val="22"/>
        </w:rPr>
        <w:t xml:space="preserve">For the portion of gains and/or losses of 8.1% and greater, the One Care Plan bears 100% of the gain/loss. </w:t>
      </w:r>
    </w:p>
    <w:p w14:paraId="510D722E" w14:textId="77777777" w:rsidR="004D7A71" w:rsidRPr="00CB54EA" w:rsidRDefault="004D7A71" w:rsidP="00B037A6">
      <w:pPr>
        <w:rPr>
          <w:rFonts w:asciiTheme="minorHAnsi" w:hAnsiTheme="minorHAnsi"/>
          <w:sz w:val="22"/>
          <w:szCs w:val="22"/>
        </w:rPr>
      </w:pPr>
    </w:p>
    <w:p w14:paraId="07CA0377" w14:textId="56495D98" w:rsidR="00647071" w:rsidRPr="00CB54EA" w:rsidRDefault="00B037A6" w:rsidP="00B037A6">
      <w:pPr>
        <w:rPr>
          <w:rFonts w:asciiTheme="minorHAnsi" w:hAnsiTheme="minorHAnsi"/>
          <w:sz w:val="22"/>
          <w:szCs w:val="22"/>
        </w:rPr>
      </w:pPr>
      <w:r w:rsidRPr="00CB54EA">
        <w:rPr>
          <w:rFonts w:asciiTheme="minorHAnsi" w:hAnsiTheme="minorHAnsi"/>
          <w:sz w:val="22"/>
          <w:szCs w:val="22"/>
        </w:rPr>
        <w:t xml:space="preserve">The Medicare and Medicaid contributions to risk corridor payments or recoupments will be in proportion to their contributions to the Medicare A/B and MassHealth components of the capitation rate. </w:t>
      </w:r>
    </w:p>
    <w:p w14:paraId="2ED53D88" w14:textId="77777777" w:rsidR="00664172" w:rsidRPr="00CB54EA" w:rsidRDefault="00664172" w:rsidP="00B037A6">
      <w:pPr>
        <w:rPr>
          <w:rFonts w:asciiTheme="minorHAnsi" w:hAnsiTheme="minorHAnsi"/>
          <w:sz w:val="22"/>
          <w:szCs w:val="22"/>
        </w:rPr>
      </w:pPr>
    </w:p>
    <w:p w14:paraId="45A6545C" w14:textId="77777777" w:rsidR="00664172" w:rsidRPr="00CB54EA" w:rsidRDefault="00664172" w:rsidP="00B037A6">
      <w:pPr>
        <w:rPr>
          <w:rFonts w:asciiTheme="minorHAnsi" w:hAnsiTheme="minorHAnsi" w:cs="Calibri"/>
          <w:sz w:val="22"/>
          <w:szCs w:val="22"/>
        </w:rPr>
      </w:pPr>
    </w:p>
    <w:p w14:paraId="23BF341F" w14:textId="77777777" w:rsidR="004D7C84" w:rsidRDefault="004D7C84">
      <w:pPr>
        <w:rPr>
          <w:rFonts w:asciiTheme="minorHAnsi" w:eastAsia="Calibri" w:hAnsiTheme="minorHAnsi" w:cs="Calibri"/>
          <w:b/>
          <w:color w:val="000000"/>
          <w:sz w:val="22"/>
        </w:rPr>
      </w:pPr>
      <w:r>
        <w:rPr>
          <w:rFonts w:asciiTheme="minorHAnsi" w:hAnsiTheme="minorHAnsi"/>
          <w:b/>
          <w:sz w:val="22"/>
        </w:rPr>
        <w:br w:type="page"/>
      </w:r>
    </w:p>
    <w:p w14:paraId="37279F2A" w14:textId="577AF96A" w:rsidR="00664172" w:rsidRPr="00CB54EA" w:rsidRDefault="00664172" w:rsidP="00664172">
      <w:pPr>
        <w:pStyle w:val="Default"/>
        <w:jc w:val="center"/>
        <w:rPr>
          <w:rFonts w:asciiTheme="minorHAnsi" w:hAnsiTheme="minorHAnsi"/>
          <w:b/>
          <w:bCs/>
          <w:sz w:val="22"/>
          <w:szCs w:val="22"/>
        </w:rPr>
      </w:pPr>
      <w:r w:rsidRPr="00CB54EA">
        <w:rPr>
          <w:rFonts w:asciiTheme="minorHAnsi" w:hAnsiTheme="minorHAnsi"/>
          <w:b/>
          <w:sz w:val="22"/>
        </w:rPr>
        <w:lastRenderedPageBreak/>
        <w:t xml:space="preserve">VI. </w:t>
      </w:r>
      <w:r w:rsidRPr="00CB54EA">
        <w:rPr>
          <w:rFonts w:asciiTheme="minorHAnsi" w:hAnsiTheme="minorHAnsi"/>
          <w:b/>
          <w:bCs/>
          <w:sz w:val="22"/>
          <w:szCs w:val="22"/>
        </w:rPr>
        <w:t>MassHealth Base Data Summaries</w:t>
      </w:r>
    </w:p>
    <w:p w14:paraId="0611E1A9" w14:textId="77777777" w:rsidR="00664172" w:rsidRPr="00CB54EA" w:rsidRDefault="00664172" w:rsidP="00664172">
      <w:pPr>
        <w:pStyle w:val="Default"/>
        <w:jc w:val="center"/>
        <w:rPr>
          <w:rFonts w:asciiTheme="minorHAnsi" w:hAnsiTheme="minorHAnsi"/>
          <w:b/>
          <w:bCs/>
          <w:sz w:val="22"/>
          <w:szCs w:val="22"/>
        </w:rPr>
      </w:pPr>
    </w:p>
    <w:p w14:paraId="770ABAE0" w14:textId="77777777" w:rsidR="00664172" w:rsidRPr="00CB54EA" w:rsidRDefault="00664172" w:rsidP="00664172">
      <w:pPr>
        <w:tabs>
          <w:tab w:val="left" w:pos="8026"/>
        </w:tabs>
        <w:autoSpaceDE w:val="0"/>
        <w:autoSpaceDN w:val="0"/>
        <w:adjustRightInd w:val="0"/>
        <w:rPr>
          <w:rFonts w:asciiTheme="minorHAnsi" w:hAnsiTheme="minorHAnsi" w:cs="Calibri"/>
          <w:sz w:val="22"/>
          <w:szCs w:val="22"/>
        </w:rPr>
      </w:pPr>
      <w:r w:rsidRPr="00CB54EA">
        <w:rPr>
          <w:rFonts w:asciiTheme="minorHAnsi" w:hAnsiTheme="minorHAnsi" w:cs="Calibri"/>
          <w:sz w:val="22"/>
          <w:szCs w:val="22"/>
        </w:rPr>
        <w:t>Summary PMPMs for Medicaid and crossover claims from the MassHealth base data are included below, followed by summary PMPMs including IBNR and relational adjustments. Expenditures are reported by fiscal year, geographic region, rating category, and rate development category of service. Combined across fiscal years, the Medicaid and crossover data represents the historical base data used to develop the MassHealth component of the rates.</w:t>
      </w:r>
    </w:p>
    <w:p w14:paraId="71B02333" w14:textId="77777777" w:rsidR="00664172" w:rsidRPr="00CB54EA" w:rsidRDefault="00664172" w:rsidP="00664172">
      <w:pPr>
        <w:tabs>
          <w:tab w:val="left" w:pos="8026"/>
        </w:tabs>
        <w:autoSpaceDE w:val="0"/>
        <w:autoSpaceDN w:val="0"/>
        <w:adjustRightInd w:val="0"/>
        <w:rPr>
          <w:rFonts w:asciiTheme="minorHAnsi" w:hAnsiTheme="minorHAnsi" w:cs="Calibri"/>
          <w:sz w:val="22"/>
          <w:szCs w:val="22"/>
        </w:rPr>
      </w:pPr>
    </w:p>
    <w:p w14:paraId="6BF3AE9D" w14:textId="042689BB" w:rsidR="00647071" w:rsidRPr="00CB54EA" w:rsidRDefault="00647071" w:rsidP="00647071">
      <w:pPr>
        <w:rPr>
          <w:rFonts w:asciiTheme="minorHAnsi" w:hAnsiTheme="minorHAnsi" w:cs="Calibri"/>
          <w:sz w:val="22"/>
          <w:szCs w:val="22"/>
        </w:rPr>
      </w:pPr>
    </w:p>
    <w:p w14:paraId="7538FA6E" w14:textId="77777777" w:rsidR="00647071" w:rsidRPr="00CB54EA" w:rsidRDefault="00647071" w:rsidP="00647071">
      <w:pPr>
        <w:rPr>
          <w:rFonts w:asciiTheme="minorHAnsi" w:hAnsiTheme="minorHAnsi" w:cs="Calibri"/>
          <w:sz w:val="22"/>
          <w:szCs w:val="22"/>
        </w:rPr>
      </w:pPr>
    </w:p>
    <w:p w14:paraId="25EC38A9" w14:textId="1FED4817" w:rsidR="004F2A4C" w:rsidRDefault="004F2A4C">
      <w:pPr>
        <w:rPr>
          <w:rFonts w:asciiTheme="minorHAnsi" w:hAnsiTheme="minorHAnsi" w:cs="Calibri"/>
          <w:sz w:val="22"/>
          <w:szCs w:val="22"/>
        </w:rPr>
      </w:pPr>
      <w:r>
        <w:rPr>
          <w:rFonts w:asciiTheme="minorHAnsi" w:hAnsiTheme="minorHAnsi" w:cs="Calibri"/>
          <w:sz w:val="22"/>
          <w:szCs w:val="22"/>
        </w:rPr>
        <w:br w:type="page"/>
      </w:r>
    </w:p>
    <w:p w14:paraId="7402A995" w14:textId="77777777" w:rsidR="00143327" w:rsidRDefault="00143327" w:rsidP="00647071">
      <w:pPr>
        <w:rPr>
          <w:rFonts w:asciiTheme="minorHAnsi" w:hAnsiTheme="minorHAnsi" w:cs="Calibri"/>
          <w:sz w:val="22"/>
          <w:szCs w:val="22"/>
        </w:rPr>
        <w:sectPr w:rsidR="00143327" w:rsidSect="00400B87">
          <w:pgSz w:w="12240" w:h="15840"/>
          <w:pgMar w:top="1440" w:right="1440" w:bottom="1440" w:left="1440" w:header="720" w:footer="720" w:gutter="0"/>
          <w:cols w:space="720"/>
          <w:docGrid w:linePitch="360"/>
        </w:sectPr>
      </w:pPr>
    </w:p>
    <w:p w14:paraId="6CF352ED" w14:textId="7C9C682D" w:rsidR="00647071" w:rsidRPr="00CB54EA" w:rsidRDefault="00103C51" w:rsidP="00143327">
      <w:pPr>
        <w:rPr>
          <w:rFonts w:asciiTheme="minorHAnsi" w:hAnsiTheme="minorHAnsi" w:cs="Calibri"/>
          <w:sz w:val="22"/>
          <w:szCs w:val="22"/>
        </w:rPr>
      </w:pPr>
      <w:r w:rsidRPr="00103C51">
        <w:rPr>
          <w:noProof/>
        </w:rPr>
        <w:lastRenderedPageBreak/>
        <w:drawing>
          <wp:inline distT="0" distB="0" distL="0" distR="0" wp14:anchorId="1E75784C" wp14:editId="3E4C8AF8">
            <wp:extent cx="8235292" cy="542239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62E02ED7" w14:textId="5DAF767A" w:rsidR="004F2A4C" w:rsidRDefault="00103C51" w:rsidP="00A7060E">
      <w:pPr>
        <w:tabs>
          <w:tab w:val="left" w:pos="8026"/>
        </w:tabs>
        <w:autoSpaceDE w:val="0"/>
        <w:autoSpaceDN w:val="0"/>
        <w:adjustRightInd w:val="0"/>
        <w:rPr>
          <w:rFonts w:asciiTheme="minorHAnsi" w:hAnsiTheme="minorHAnsi" w:cs="Calibri"/>
          <w:b/>
          <w:color w:val="000000"/>
          <w:sz w:val="22"/>
        </w:rPr>
      </w:pPr>
      <w:r w:rsidRPr="00103C51">
        <w:rPr>
          <w:noProof/>
        </w:rPr>
        <w:lastRenderedPageBreak/>
        <w:drawing>
          <wp:inline distT="0" distB="0" distL="0" distR="0" wp14:anchorId="192B44BA" wp14:editId="15E2F137">
            <wp:extent cx="8235292" cy="54223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771EB81B" w14:textId="17B51DD8" w:rsidR="00103C51" w:rsidRDefault="00103C51" w:rsidP="00143327">
      <w:pPr>
        <w:rPr>
          <w:rFonts w:asciiTheme="minorHAnsi" w:hAnsiTheme="minorHAnsi" w:cs="Calibri"/>
          <w:b/>
          <w:color w:val="000000"/>
          <w:sz w:val="22"/>
        </w:rPr>
      </w:pPr>
      <w:r w:rsidRPr="00103C51">
        <w:rPr>
          <w:noProof/>
        </w:rPr>
        <w:lastRenderedPageBreak/>
        <w:drawing>
          <wp:inline distT="0" distB="0" distL="0" distR="0" wp14:anchorId="39E8485F" wp14:editId="21C82292">
            <wp:extent cx="8235292" cy="542239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740BA3B2" w14:textId="1A4698B3" w:rsidR="00103C51" w:rsidRDefault="00103C51">
      <w:pPr>
        <w:rPr>
          <w:rFonts w:asciiTheme="minorHAnsi" w:hAnsiTheme="minorHAnsi" w:cs="Calibri"/>
          <w:b/>
          <w:color w:val="000000"/>
          <w:sz w:val="22"/>
        </w:rPr>
      </w:pPr>
      <w:r w:rsidRPr="00103C51">
        <w:rPr>
          <w:noProof/>
        </w:rPr>
        <w:lastRenderedPageBreak/>
        <w:drawing>
          <wp:inline distT="0" distB="0" distL="0" distR="0" wp14:anchorId="534EC0D7" wp14:editId="4B7A4B7A">
            <wp:extent cx="8238744" cy="5422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8744" cy="5422392"/>
                    </a:xfrm>
                    <a:prstGeom prst="rect">
                      <a:avLst/>
                    </a:prstGeom>
                    <a:noFill/>
                    <a:ln>
                      <a:noFill/>
                    </a:ln>
                  </pic:spPr>
                </pic:pic>
              </a:graphicData>
            </a:graphic>
          </wp:inline>
        </w:drawing>
      </w:r>
    </w:p>
    <w:p w14:paraId="188F8BFE" w14:textId="7089DDB7" w:rsidR="00283A75" w:rsidRPr="00CB54EA" w:rsidRDefault="00F14992" w:rsidP="00143327">
      <w:pPr>
        <w:rPr>
          <w:rFonts w:asciiTheme="minorHAnsi" w:hAnsiTheme="minorHAnsi" w:cs="Calibri"/>
          <w:b/>
          <w:color w:val="000000"/>
          <w:sz w:val="22"/>
        </w:rPr>
      </w:pPr>
      <w:r w:rsidRPr="00F14992">
        <w:rPr>
          <w:noProof/>
        </w:rPr>
        <w:lastRenderedPageBreak/>
        <w:drawing>
          <wp:inline distT="0" distB="0" distL="0" distR="0" wp14:anchorId="7BEE4B3A" wp14:editId="630958CB">
            <wp:extent cx="8211312" cy="5166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1312" cy="5166360"/>
                    </a:xfrm>
                    <a:prstGeom prst="rect">
                      <a:avLst/>
                    </a:prstGeom>
                    <a:noFill/>
                    <a:ln>
                      <a:noFill/>
                    </a:ln>
                  </pic:spPr>
                </pic:pic>
              </a:graphicData>
            </a:graphic>
          </wp:inline>
        </w:drawing>
      </w:r>
    </w:p>
    <w:sectPr w:rsidR="00283A75" w:rsidRPr="00CB54EA" w:rsidSect="00143327">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E67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4D70A" w16cid:durableId="1F58AE22"/>
  <w16cid:commentId w16cid:paraId="56A0AE99" w16cid:durableId="1F58BED3"/>
  <w16cid:commentId w16cid:paraId="09255C11" w16cid:durableId="1F58BF96"/>
  <w16cid:commentId w16cid:paraId="0C04EAB1" w16cid:durableId="1F58CC66"/>
  <w16cid:commentId w16cid:paraId="03FDD004" w16cid:durableId="1F58CC10"/>
  <w16cid:commentId w16cid:paraId="5274FC0C" w16cid:durableId="1F58BFFB"/>
  <w16cid:commentId w16cid:paraId="3F787691" w16cid:durableId="1F58C07A"/>
  <w16cid:commentId w16cid:paraId="178B18C0" w16cid:durableId="1F58C6A3"/>
  <w16cid:commentId w16cid:paraId="6B766E70" w16cid:durableId="1F58C7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7EC28" w14:textId="77777777" w:rsidR="00A36182" w:rsidRDefault="00A36182" w:rsidP="00C01D88">
      <w:r>
        <w:separator/>
      </w:r>
    </w:p>
  </w:endnote>
  <w:endnote w:type="continuationSeparator" w:id="0">
    <w:p w14:paraId="4F9F135D" w14:textId="77777777" w:rsidR="00A36182" w:rsidRDefault="00A36182"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9C5F" w14:textId="77777777" w:rsidR="004F2A4C" w:rsidRPr="008B7879" w:rsidRDefault="004F2A4C"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BE4BD1">
      <w:rPr>
        <w:rStyle w:val="PageNumber"/>
        <w:rFonts w:asciiTheme="minorHAnsi" w:hAnsiTheme="minorHAnsi" w:cstheme="minorHAnsi"/>
        <w:noProof/>
        <w:sz w:val="22"/>
        <w:szCs w:val="22"/>
      </w:rPr>
      <w:t>23</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93FE" w14:textId="77777777" w:rsidR="00A36182" w:rsidRDefault="00A36182" w:rsidP="00C01D88">
      <w:r>
        <w:separator/>
      </w:r>
    </w:p>
  </w:footnote>
  <w:footnote w:type="continuationSeparator" w:id="0">
    <w:p w14:paraId="5EBF73EA" w14:textId="77777777" w:rsidR="00A36182" w:rsidRDefault="00A36182"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51F7" w14:textId="77777777" w:rsidR="004F2A4C" w:rsidRDefault="00BE4BD1">
    <w:pPr>
      <w:pStyle w:val="Header"/>
    </w:pPr>
    <w:sdt>
      <w:sdtPr>
        <w:id w:val="171999623"/>
        <w:placeholder>
          <w:docPart w:val="6EBA2DB8B11B0C46BFBDACE2660D7DDE"/>
        </w:placeholder>
        <w:temporary/>
        <w:showingPlcHdr/>
      </w:sdtPr>
      <w:sdtEndPr/>
      <w:sdtContent>
        <w:r w:rsidR="004F2A4C">
          <w:t>[Type text]</w:t>
        </w:r>
      </w:sdtContent>
    </w:sdt>
    <w:r w:rsidR="004F2A4C">
      <w:ptab w:relativeTo="margin" w:alignment="center" w:leader="none"/>
    </w:r>
    <w:sdt>
      <w:sdtPr>
        <w:id w:val="171999624"/>
        <w:placeholder>
          <w:docPart w:val="D386ED281873F347898031C8B7260700"/>
        </w:placeholder>
        <w:temporary/>
        <w:showingPlcHdr/>
      </w:sdtPr>
      <w:sdtEndPr/>
      <w:sdtContent>
        <w:r w:rsidR="004F2A4C">
          <w:t>[Type text]</w:t>
        </w:r>
      </w:sdtContent>
    </w:sdt>
    <w:r w:rsidR="004F2A4C">
      <w:ptab w:relativeTo="margin" w:alignment="right" w:leader="none"/>
    </w:r>
    <w:sdt>
      <w:sdtPr>
        <w:id w:val="171999625"/>
        <w:placeholder>
          <w:docPart w:val="66F1AB1A72C3B140A4E91A1CE9BB56E8"/>
        </w:placeholder>
        <w:temporary/>
        <w:showingPlcHdr/>
      </w:sdtPr>
      <w:sdtEndPr/>
      <w:sdtContent>
        <w:r w:rsidR="004F2A4C">
          <w:t>[Type text]</w:t>
        </w:r>
      </w:sdtContent>
    </w:sdt>
  </w:p>
  <w:p w14:paraId="05F0656E" w14:textId="77777777" w:rsidR="004F2A4C" w:rsidRDefault="004F2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E19C" w14:textId="77777777" w:rsidR="004F2A4C" w:rsidRDefault="004F2A4C" w:rsidP="006076D0">
    <w:pPr>
      <w:jc w:val="center"/>
      <w:rPr>
        <w:rFonts w:ascii="Arial" w:hAnsi="Arial" w:cs="Arial"/>
        <w:b/>
        <w:sz w:val="28"/>
        <w:szCs w:val="28"/>
      </w:rPr>
    </w:pP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420D8F73" w14:textId="3D0EEA28" w:rsidR="004F2A4C" w:rsidRDefault="004F2A4C" w:rsidP="00F726CA">
    <w:pPr>
      <w:jc w:val="center"/>
      <w:rPr>
        <w:rFonts w:ascii="Arial" w:hAnsi="Arial" w:cs="Arial"/>
        <w:b/>
        <w:sz w:val="28"/>
        <w:szCs w:val="28"/>
      </w:rPr>
    </w:pPr>
    <w:r>
      <w:rPr>
        <w:rFonts w:ascii="Arial" w:hAnsi="Arial" w:cs="Arial"/>
        <w:b/>
        <w:sz w:val="28"/>
        <w:szCs w:val="28"/>
      </w:rPr>
      <w:t>(</w:t>
    </w:r>
    <w:r w:rsidR="00F726CA">
      <w:rPr>
        <w:rFonts w:ascii="Arial" w:hAnsi="Arial" w:cs="Arial"/>
        <w:b/>
        <w:sz w:val="28"/>
        <w:szCs w:val="28"/>
      </w:rPr>
      <w:t>One Car</w:t>
    </w:r>
    <w:r w:rsidR="00F726CA" w:rsidRPr="00E56861">
      <w:rPr>
        <w:rFonts w:ascii="Arial" w:hAnsi="Arial" w:cs="Arial"/>
        <w:b/>
        <w:sz w:val="28"/>
        <w:szCs w:val="28"/>
      </w:rPr>
      <w:t xml:space="preserve">e- </w:t>
    </w:r>
    <w:r w:rsidR="00F726CA" w:rsidRPr="008D7134">
      <w:rPr>
        <w:rFonts w:ascii="Arial" w:hAnsi="Arial" w:cs="Arial"/>
        <w:b/>
        <w:sz w:val="28"/>
        <w:szCs w:val="28"/>
      </w:rPr>
      <w:t>H</w:t>
    </w:r>
    <w:r w:rsidR="00F726CA">
      <w:rPr>
        <w:rFonts w:ascii="Arial" w:hAnsi="Arial" w:cs="Arial"/>
        <w:b/>
        <w:sz w:val="28"/>
        <w:szCs w:val="28"/>
      </w:rPr>
      <w:t>7419</w:t>
    </w:r>
    <w:r w:rsidR="00F726CA" w:rsidRPr="008D7134">
      <w:rPr>
        <w:rFonts w:ascii="Arial" w:hAnsi="Arial" w:cs="Arial"/>
        <w:b/>
        <w:sz w:val="28"/>
        <w:szCs w:val="28"/>
      </w:rPr>
      <w:t>-</w:t>
    </w:r>
    <w:r w:rsidR="00F726CA" w:rsidRPr="008D7134">
      <w:rPr>
        <w:rFonts w:ascii="Arial" w:hAnsi="Arial" w:cs="Arial"/>
        <w:b/>
        <w:bCs/>
        <w:sz w:val="28"/>
        <w:szCs w:val="28"/>
      </w:rPr>
      <w:t xml:space="preserve"> </w:t>
    </w:r>
    <w:r w:rsidR="00F726CA">
      <w:rPr>
        <w:rFonts w:ascii="Arial" w:hAnsi="Arial" w:cs="Arial"/>
        <w:b/>
        <w:bCs/>
        <w:sz w:val="28"/>
        <w:szCs w:val="28"/>
      </w:rPr>
      <w:t>Tufts Health Public Plan</w:t>
    </w:r>
    <w:r w:rsidRPr="00E56861">
      <w:rPr>
        <w:rFonts w:ascii="Arial" w:hAnsi="Arial" w:cs="Arial"/>
        <w:b/>
        <w:sz w:val="28"/>
        <w:szCs w:val="28"/>
      </w:rPr>
      <w:t>)</w:t>
    </w:r>
  </w:p>
  <w:p w14:paraId="521D1734" w14:textId="249E7FD8" w:rsidR="004F2A4C" w:rsidRPr="00634CAF" w:rsidRDefault="00D5634D" w:rsidP="006076D0">
    <w:pPr>
      <w:pStyle w:val="Header"/>
      <w:jc w:val="center"/>
      <w:rPr>
        <w:rFonts w:ascii="Arial" w:hAnsi="Arial" w:cs="Arial"/>
        <w:b/>
        <w:sz w:val="28"/>
        <w:szCs w:val="28"/>
      </w:rPr>
    </w:pPr>
    <w:r>
      <w:rPr>
        <w:rFonts w:ascii="Arial" w:hAnsi="Arial" w:cs="Arial"/>
        <w:b/>
        <w:sz w:val="28"/>
        <w:szCs w:val="28"/>
      </w:rPr>
      <w:t xml:space="preserve">Final </w:t>
    </w:r>
    <w:r w:rsidR="004F2A4C" w:rsidRPr="00634CAF">
      <w:rPr>
        <w:rFonts w:ascii="Arial" w:hAnsi="Arial" w:cs="Arial"/>
        <w:b/>
        <w:sz w:val="28"/>
        <w:szCs w:val="28"/>
      </w:rPr>
      <w:t>CY 201</w:t>
    </w:r>
    <w:r w:rsidR="004F2A4C">
      <w:rPr>
        <w:rFonts w:ascii="Arial" w:hAnsi="Arial" w:cs="Arial"/>
        <w:b/>
        <w:sz w:val="28"/>
        <w:szCs w:val="28"/>
      </w:rPr>
      <w:t>8 Final Medicare</w:t>
    </w:r>
    <w:r>
      <w:rPr>
        <w:rFonts w:ascii="Arial" w:hAnsi="Arial" w:cs="Arial"/>
        <w:b/>
        <w:sz w:val="28"/>
        <w:szCs w:val="28"/>
      </w:rPr>
      <w:t>-Medicaid</w:t>
    </w:r>
    <w:r w:rsidR="004F2A4C">
      <w:rPr>
        <w:rFonts w:ascii="Arial" w:hAnsi="Arial" w:cs="Arial"/>
        <w:b/>
        <w:sz w:val="28"/>
        <w:szCs w:val="28"/>
      </w:rPr>
      <w:t xml:space="preserve"> </w:t>
    </w:r>
    <w:r w:rsidR="004F2A4C" w:rsidRPr="00634CAF">
      <w:rPr>
        <w:rFonts w:ascii="Arial" w:hAnsi="Arial" w:cs="Arial"/>
        <w:b/>
        <w:sz w:val="28"/>
        <w:szCs w:val="28"/>
      </w:rPr>
      <w:t>Rate Report</w:t>
    </w:r>
  </w:p>
  <w:p w14:paraId="50E95BD7" w14:textId="24888329" w:rsidR="004F2A4C" w:rsidRDefault="00A0566B" w:rsidP="00020BF7">
    <w:pPr>
      <w:pStyle w:val="Header"/>
      <w:jc w:val="center"/>
      <w:rPr>
        <w:rFonts w:ascii="Arial" w:hAnsi="Arial" w:cs="Arial"/>
        <w:b/>
        <w:sz w:val="28"/>
        <w:szCs w:val="28"/>
      </w:rPr>
    </w:pPr>
    <w:r>
      <w:rPr>
        <w:rFonts w:ascii="Arial" w:hAnsi="Arial" w:cs="Arial"/>
        <w:b/>
        <w:sz w:val="28"/>
        <w:szCs w:val="28"/>
      </w:rPr>
      <w:t>November 20</w:t>
    </w:r>
    <w:r w:rsidR="004F2A4C">
      <w:rPr>
        <w:rFonts w:ascii="Arial" w:hAnsi="Arial" w:cs="Arial"/>
        <w:b/>
        <w:sz w:val="28"/>
        <w:szCs w:val="28"/>
      </w:rPr>
      <w:t>, 2018</w:t>
    </w:r>
  </w:p>
  <w:p w14:paraId="57104C72" w14:textId="75D73290" w:rsidR="004F2A4C" w:rsidRPr="006076D0" w:rsidRDefault="004F2A4C" w:rsidP="006076D0">
    <w:pPr>
      <w:pStyle w:val="Header"/>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EB6AEC"/>
    <w:multiLevelType w:val="multilevel"/>
    <w:tmpl w:val="7384E84C"/>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091320"/>
    <w:multiLevelType w:val="singleLevel"/>
    <w:tmpl w:val="6EAE7D90"/>
    <w:lvl w:ilvl="0">
      <w:start w:val="1"/>
      <w:numFmt w:val="decimal"/>
      <w:pStyle w:val="TOC1"/>
      <w:lvlText w:val="%1."/>
      <w:lvlJc w:val="left"/>
      <w:pPr>
        <w:tabs>
          <w:tab w:val="num" w:pos="360"/>
        </w:tabs>
        <w:ind w:left="360" w:hanging="360"/>
      </w:pPr>
      <w:rPr>
        <w:rFonts w:ascii="Arial" w:hAnsi="Arial" w:hint="default"/>
        <w:b w:val="0"/>
        <w:i w:val="0"/>
        <w:sz w:val="22"/>
        <w:szCs w:val="22"/>
      </w:rPr>
    </w:lvl>
  </w:abstractNum>
  <w:abstractNum w:abstractNumId="5">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103C53"/>
    <w:multiLevelType w:val="multilevel"/>
    <w:tmpl w:val="202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8">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0">
    <w:nsid w:val="4DC259A5"/>
    <w:multiLevelType w:val="multilevel"/>
    <w:tmpl w:val="118A4D9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2">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4">
    <w:nsid w:val="57022B36"/>
    <w:multiLevelType w:val="multilevel"/>
    <w:tmpl w:val="0318F4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5">
    <w:nsid w:val="5B725F91"/>
    <w:multiLevelType w:val="multilevel"/>
    <w:tmpl w:val="BE0E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6">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2"/>
  </w:num>
  <w:num w:numId="3">
    <w:abstractNumId w:val="8"/>
  </w:num>
  <w:num w:numId="4">
    <w:abstractNumId w:val="17"/>
  </w:num>
  <w:num w:numId="5">
    <w:abstractNumId w:val="3"/>
  </w:num>
  <w:num w:numId="6">
    <w:abstractNumId w:val="0"/>
  </w:num>
  <w:num w:numId="7">
    <w:abstractNumId w:val="9"/>
  </w:num>
  <w:num w:numId="8">
    <w:abstractNumId w:val="11"/>
  </w:num>
  <w:num w:numId="9">
    <w:abstractNumId w:val="1"/>
  </w:num>
  <w:num w:numId="10">
    <w:abstractNumId w:val="16"/>
  </w:num>
  <w:num w:numId="11">
    <w:abstractNumId w:val="19"/>
  </w:num>
  <w:num w:numId="12">
    <w:abstractNumId w:val="18"/>
  </w:num>
  <w:num w:numId="13">
    <w:abstractNumId w:val="7"/>
  </w:num>
  <w:num w:numId="14">
    <w:abstractNumId w:val="5"/>
  </w:num>
  <w:num w:numId="15">
    <w:abstractNumId w:val="15"/>
  </w:num>
  <w:num w:numId="16">
    <w:abstractNumId w:val="10"/>
  </w:num>
  <w:num w:numId="17">
    <w:abstractNumId w:val="6"/>
  </w:num>
  <w:num w:numId="18">
    <w:abstractNumId w:val="2"/>
  </w:num>
  <w:num w:numId="19">
    <w:abstractNumId w:val="14"/>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May">
    <w15:presenceInfo w15:providerId="AD" w15:userId="S-1-5-21-4095628063-3556742122-3606576086-75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1CFA"/>
    <w:rsid w:val="000066B0"/>
    <w:rsid w:val="00012F82"/>
    <w:rsid w:val="00016E5D"/>
    <w:rsid w:val="00020BF7"/>
    <w:rsid w:val="000339A2"/>
    <w:rsid w:val="00036153"/>
    <w:rsid w:val="00037BF1"/>
    <w:rsid w:val="00061ED3"/>
    <w:rsid w:val="0006388E"/>
    <w:rsid w:val="00075B0F"/>
    <w:rsid w:val="00076488"/>
    <w:rsid w:val="0009678E"/>
    <w:rsid w:val="000A4A2A"/>
    <w:rsid w:val="000A6884"/>
    <w:rsid w:val="000A74E7"/>
    <w:rsid w:val="000A7A5B"/>
    <w:rsid w:val="000B31CF"/>
    <w:rsid w:val="000C659C"/>
    <w:rsid w:val="000D32ED"/>
    <w:rsid w:val="000D7E42"/>
    <w:rsid w:val="000F1077"/>
    <w:rsid w:val="00103C51"/>
    <w:rsid w:val="00105A2C"/>
    <w:rsid w:val="0011224B"/>
    <w:rsid w:val="00120DDB"/>
    <w:rsid w:val="00123422"/>
    <w:rsid w:val="00126DD3"/>
    <w:rsid w:val="00132491"/>
    <w:rsid w:val="00140363"/>
    <w:rsid w:val="001406EE"/>
    <w:rsid w:val="00141C51"/>
    <w:rsid w:val="00143327"/>
    <w:rsid w:val="001472B1"/>
    <w:rsid w:val="00154CBB"/>
    <w:rsid w:val="0018660F"/>
    <w:rsid w:val="001946C0"/>
    <w:rsid w:val="0019706C"/>
    <w:rsid w:val="001A13D6"/>
    <w:rsid w:val="001A2DF9"/>
    <w:rsid w:val="001B03FB"/>
    <w:rsid w:val="001B1CDE"/>
    <w:rsid w:val="001B1E58"/>
    <w:rsid w:val="001C2B70"/>
    <w:rsid w:val="001C3816"/>
    <w:rsid w:val="001C5D72"/>
    <w:rsid w:val="001D1644"/>
    <w:rsid w:val="001E2AD0"/>
    <w:rsid w:val="001F1ED1"/>
    <w:rsid w:val="001F29F7"/>
    <w:rsid w:val="0020009F"/>
    <w:rsid w:val="002075A7"/>
    <w:rsid w:val="0021035D"/>
    <w:rsid w:val="00212598"/>
    <w:rsid w:val="00212F2A"/>
    <w:rsid w:val="00223975"/>
    <w:rsid w:val="00231547"/>
    <w:rsid w:val="0023174F"/>
    <w:rsid w:val="0023251D"/>
    <w:rsid w:val="00232DB2"/>
    <w:rsid w:val="00233FE6"/>
    <w:rsid w:val="002406A6"/>
    <w:rsid w:val="00247629"/>
    <w:rsid w:val="002507F0"/>
    <w:rsid w:val="00253331"/>
    <w:rsid w:val="00253F38"/>
    <w:rsid w:val="00255262"/>
    <w:rsid w:val="00255FE2"/>
    <w:rsid w:val="00276EA7"/>
    <w:rsid w:val="00280226"/>
    <w:rsid w:val="00283A75"/>
    <w:rsid w:val="002849AD"/>
    <w:rsid w:val="002D4365"/>
    <w:rsid w:val="002E2500"/>
    <w:rsid w:val="002E2FD6"/>
    <w:rsid w:val="002E3857"/>
    <w:rsid w:val="002E475C"/>
    <w:rsid w:val="002F0CE7"/>
    <w:rsid w:val="003013E0"/>
    <w:rsid w:val="00301E09"/>
    <w:rsid w:val="00305569"/>
    <w:rsid w:val="00307A5D"/>
    <w:rsid w:val="00311077"/>
    <w:rsid w:val="00311138"/>
    <w:rsid w:val="00313F8C"/>
    <w:rsid w:val="003167FF"/>
    <w:rsid w:val="00316930"/>
    <w:rsid w:val="00316F96"/>
    <w:rsid w:val="003171F3"/>
    <w:rsid w:val="003332C9"/>
    <w:rsid w:val="00351B9F"/>
    <w:rsid w:val="00353919"/>
    <w:rsid w:val="00356668"/>
    <w:rsid w:val="00364EFC"/>
    <w:rsid w:val="00373E0C"/>
    <w:rsid w:val="00373FF4"/>
    <w:rsid w:val="003774BE"/>
    <w:rsid w:val="0038287C"/>
    <w:rsid w:val="003859E8"/>
    <w:rsid w:val="00385B4E"/>
    <w:rsid w:val="00387FDC"/>
    <w:rsid w:val="00397617"/>
    <w:rsid w:val="003A6431"/>
    <w:rsid w:val="003A6AD3"/>
    <w:rsid w:val="003A70D0"/>
    <w:rsid w:val="003B1351"/>
    <w:rsid w:val="003B2D7D"/>
    <w:rsid w:val="003B487B"/>
    <w:rsid w:val="003B763A"/>
    <w:rsid w:val="003C322B"/>
    <w:rsid w:val="003C666F"/>
    <w:rsid w:val="003D5A64"/>
    <w:rsid w:val="003E5EB1"/>
    <w:rsid w:val="003E6E67"/>
    <w:rsid w:val="003F2879"/>
    <w:rsid w:val="00400B87"/>
    <w:rsid w:val="00410C84"/>
    <w:rsid w:val="00412071"/>
    <w:rsid w:val="004137D0"/>
    <w:rsid w:val="00422633"/>
    <w:rsid w:val="00426533"/>
    <w:rsid w:val="00427AC7"/>
    <w:rsid w:val="00440FBB"/>
    <w:rsid w:val="00450449"/>
    <w:rsid w:val="00463157"/>
    <w:rsid w:val="0049224D"/>
    <w:rsid w:val="00494890"/>
    <w:rsid w:val="00496C30"/>
    <w:rsid w:val="004A20C3"/>
    <w:rsid w:val="004A4CB0"/>
    <w:rsid w:val="004A5D58"/>
    <w:rsid w:val="004C1C93"/>
    <w:rsid w:val="004D31D0"/>
    <w:rsid w:val="004D6FAF"/>
    <w:rsid w:val="004D79ED"/>
    <w:rsid w:val="004D7A71"/>
    <w:rsid w:val="004D7C84"/>
    <w:rsid w:val="004E05B4"/>
    <w:rsid w:val="004E06A0"/>
    <w:rsid w:val="004E1E18"/>
    <w:rsid w:val="004E711B"/>
    <w:rsid w:val="004F2033"/>
    <w:rsid w:val="004F2A4C"/>
    <w:rsid w:val="00505EDB"/>
    <w:rsid w:val="00506C47"/>
    <w:rsid w:val="005113EE"/>
    <w:rsid w:val="0051598B"/>
    <w:rsid w:val="005161B3"/>
    <w:rsid w:val="00524025"/>
    <w:rsid w:val="00524F99"/>
    <w:rsid w:val="00537A21"/>
    <w:rsid w:val="00546929"/>
    <w:rsid w:val="00557273"/>
    <w:rsid w:val="00582B97"/>
    <w:rsid w:val="005858AC"/>
    <w:rsid w:val="00585B0A"/>
    <w:rsid w:val="0059079C"/>
    <w:rsid w:val="00597B80"/>
    <w:rsid w:val="005A30F5"/>
    <w:rsid w:val="005A4DA3"/>
    <w:rsid w:val="005A5066"/>
    <w:rsid w:val="005B3A20"/>
    <w:rsid w:val="005B5452"/>
    <w:rsid w:val="005C7513"/>
    <w:rsid w:val="005D02C0"/>
    <w:rsid w:val="005D451B"/>
    <w:rsid w:val="005E4048"/>
    <w:rsid w:val="005E53D6"/>
    <w:rsid w:val="005F1363"/>
    <w:rsid w:val="005F465A"/>
    <w:rsid w:val="00605F49"/>
    <w:rsid w:val="006076D0"/>
    <w:rsid w:val="006215D6"/>
    <w:rsid w:val="0063226D"/>
    <w:rsid w:val="00633702"/>
    <w:rsid w:val="00634B5B"/>
    <w:rsid w:val="00634CAF"/>
    <w:rsid w:val="006363B1"/>
    <w:rsid w:val="00647071"/>
    <w:rsid w:val="00651C5D"/>
    <w:rsid w:val="00654472"/>
    <w:rsid w:val="00664172"/>
    <w:rsid w:val="00666C45"/>
    <w:rsid w:val="006875FD"/>
    <w:rsid w:val="006952CA"/>
    <w:rsid w:val="00696469"/>
    <w:rsid w:val="006A288A"/>
    <w:rsid w:val="006A4483"/>
    <w:rsid w:val="006B25A2"/>
    <w:rsid w:val="006C20ED"/>
    <w:rsid w:val="006C4893"/>
    <w:rsid w:val="006C4911"/>
    <w:rsid w:val="006D0FD5"/>
    <w:rsid w:val="006D208E"/>
    <w:rsid w:val="006D7B20"/>
    <w:rsid w:val="006E11D9"/>
    <w:rsid w:val="006E189C"/>
    <w:rsid w:val="006F3256"/>
    <w:rsid w:val="006F7C5C"/>
    <w:rsid w:val="00700925"/>
    <w:rsid w:val="007100B5"/>
    <w:rsid w:val="007119CC"/>
    <w:rsid w:val="00713FEA"/>
    <w:rsid w:val="00714D5F"/>
    <w:rsid w:val="00715DDB"/>
    <w:rsid w:val="007249D0"/>
    <w:rsid w:val="00727C6A"/>
    <w:rsid w:val="00751DB7"/>
    <w:rsid w:val="0075428F"/>
    <w:rsid w:val="00755603"/>
    <w:rsid w:val="00756980"/>
    <w:rsid w:val="0076582E"/>
    <w:rsid w:val="007B0A86"/>
    <w:rsid w:val="007B0EF8"/>
    <w:rsid w:val="007B30A9"/>
    <w:rsid w:val="007B418C"/>
    <w:rsid w:val="007B7909"/>
    <w:rsid w:val="007C4020"/>
    <w:rsid w:val="007C4F61"/>
    <w:rsid w:val="007D5306"/>
    <w:rsid w:val="007D5A6C"/>
    <w:rsid w:val="007E02C4"/>
    <w:rsid w:val="007E0576"/>
    <w:rsid w:val="007E1A9A"/>
    <w:rsid w:val="007F094B"/>
    <w:rsid w:val="007F0A85"/>
    <w:rsid w:val="0080538F"/>
    <w:rsid w:val="008116D1"/>
    <w:rsid w:val="0081240B"/>
    <w:rsid w:val="00812682"/>
    <w:rsid w:val="00812E46"/>
    <w:rsid w:val="00812F52"/>
    <w:rsid w:val="00821D6E"/>
    <w:rsid w:val="008277C1"/>
    <w:rsid w:val="008314FB"/>
    <w:rsid w:val="00847899"/>
    <w:rsid w:val="00856B6D"/>
    <w:rsid w:val="00861D50"/>
    <w:rsid w:val="0086316F"/>
    <w:rsid w:val="0087680E"/>
    <w:rsid w:val="00890BEE"/>
    <w:rsid w:val="00894F6B"/>
    <w:rsid w:val="008A49C3"/>
    <w:rsid w:val="008A56D5"/>
    <w:rsid w:val="008B5515"/>
    <w:rsid w:val="008B7879"/>
    <w:rsid w:val="008C69CD"/>
    <w:rsid w:val="008D113C"/>
    <w:rsid w:val="008D2248"/>
    <w:rsid w:val="008D3BF4"/>
    <w:rsid w:val="008D4A4A"/>
    <w:rsid w:val="008D7134"/>
    <w:rsid w:val="008E5006"/>
    <w:rsid w:val="008F2C09"/>
    <w:rsid w:val="00905788"/>
    <w:rsid w:val="00914928"/>
    <w:rsid w:val="00923787"/>
    <w:rsid w:val="00931F9D"/>
    <w:rsid w:val="0093250F"/>
    <w:rsid w:val="00935D92"/>
    <w:rsid w:val="0096246D"/>
    <w:rsid w:val="00972C61"/>
    <w:rsid w:val="00976161"/>
    <w:rsid w:val="0097653C"/>
    <w:rsid w:val="009812AA"/>
    <w:rsid w:val="009824A8"/>
    <w:rsid w:val="00986BF2"/>
    <w:rsid w:val="009959A9"/>
    <w:rsid w:val="009A3FEF"/>
    <w:rsid w:val="009A6C5F"/>
    <w:rsid w:val="009C66C2"/>
    <w:rsid w:val="009D3A86"/>
    <w:rsid w:val="009E03EE"/>
    <w:rsid w:val="009E2566"/>
    <w:rsid w:val="009E7E36"/>
    <w:rsid w:val="009F29CC"/>
    <w:rsid w:val="009F65D8"/>
    <w:rsid w:val="009F70E6"/>
    <w:rsid w:val="00A00193"/>
    <w:rsid w:val="00A00354"/>
    <w:rsid w:val="00A0566B"/>
    <w:rsid w:val="00A07E01"/>
    <w:rsid w:val="00A10C08"/>
    <w:rsid w:val="00A15673"/>
    <w:rsid w:val="00A2118E"/>
    <w:rsid w:val="00A23CEB"/>
    <w:rsid w:val="00A36182"/>
    <w:rsid w:val="00A43000"/>
    <w:rsid w:val="00A50B13"/>
    <w:rsid w:val="00A5441E"/>
    <w:rsid w:val="00A546EB"/>
    <w:rsid w:val="00A554EE"/>
    <w:rsid w:val="00A5554F"/>
    <w:rsid w:val="00A632C4"/>
    <w:rsid w:val="00A63C95"/>
    <w:rsid w:val="00A64B49"/>
    <w:rsid w:val="00A6664E"/>
    <w:rsid w:val="00A7060E"/>
    <w:rsid w:val="00A77C54"/>
    <w:rsid w:val="00A81C5B"/>
    <w:rsid w:val="00A845C9"/>
    <w:rsid w:val="00A87AC0"/>
    <w:rsid w:val="00A9221E"/>
    <w:rsid w:val="00AB6D32"/>
    <w:rsid w:val="00AD1E7C"/>
    <w:rsid w:val="00AD6D99"/>
    <w:rsid w:val="00AE15BE"/>
    <w:rsid w:val="00AE2EEF"/>
    <w:rsid w:val="00AE626B"/>
    <w:rsid w:val="00AE6F10"/>
    <w:rsid w:val="00AF2A6D"/>
    <w:rsid w:val="00B037A6"/>
    <w:rsid w:val="00B03B1F"/>
    <w:rsid w:val="00B07336"/>
    <w:rsid w:val="00B22092"/>
    <w:rsid w:val="00B229EB"/>
    <w:rsid w:val="00B319FF"/>
    <w:rsid w:val="00B4288B"/>
    <w:rsid w:val="00B43CE5"/>
    <w:rsid w:val="00B50ABB"/>
    <w:rsid w:val="00B519E7"/>
    <w:rsid w:val="00B5305C"/>
    <w:rsid w:val="00B54441"/>
    <w:rsid w:val="00B55DE6"/>
    <w:rsid w:val="00B61735"/>
    <w:rsid w:val="00B63174"/>
    <w:rsid w:val="00B82E51"/>
    <w:rsid w:val="00B92B81"/>
    <w:rsid w:val="00BA1087"/>
    <w:rsid w:val="00BA788E"/>
    <w:rsid w:val="00BA7C49"/>
    <w:rsid w:val="00BB310D"/>
    <w:rsid w:val="00BB4EE7"/>
    <w:rsid w:val="00BB61C9"/>
    <w:rsid w:val="00BC2EDD"/>
    <w:rsid w:val="00BC4FFC"/>
    <w:rsid w:val="00BD1C3B"/>
    <w:rsid w:val="00BD3366"/>
    <w:rsid w:val="00BD3DFB"/>
    <w:rsid w:val="00BD420D"/>
    <w:rsid w:val="00BD69E0"/>
    <w:rsid w:val="00BE16B6"/>
    <w:rsid w:val="00BE2B5B"/>
    <w:rsid w:val="00BE4BD1"/>
    <w:rsid w:val="00C00698"/>
    <w:rsid w:val="00C015EA"/>
    <w:rsid w:val="00C0194E"/>
    <w:rsid w:val="00C01D88"/>
    <w:rsid w:val="00C14343"/>
    <w:rsid w:val="00C145F3"/>
    <w:rsid w:val="00C14A26"/>
    <w:rsid w:val="00C23322"/>
    <w:rsid w:val="00C24332"/>
    <w:rsid w:val="00C25646"/>
    <w:rsid w:val="00C2602D"/>
    <w:rsid w:val="00C27FBA"/>
    <w:rsid w:val="00C37D91"/>
    <w:rsid w:val="00C41E8C"/>
    <w:rsid w:val="00C41F25"/>
    <w:rsid w:val="00C517E7"/>
    <w:rsid w:val="00C51926"/>
    <w:rsid w:val="00C51FFF"/>
    <w:rsid w:val="00C5421E"/>
    <w:rsid w:val="00C73B53"/>
    <w:rsid w:val="00C74141"/>
    <w:rsid w:val="00C745C9"/>
    <w:rsid w:val="00C76377"/>
    <w:rsid w:val="00C80594"/>
    <w:rsid w:val="00C81421"/>
    <w:rsid w:val="00C8386C"/>
    <w:rsid w:val="00C96519"/>
    <w:rsid w:val="00CA5C7F"/>
    <w:rsid w:val="00CA7469"/>
    <w:rsid w:val="00CB1EB6"/>
    <w:rsid w:val="00CB399E"/>
    <w:rsid w:val="00CB54EA"/>
    <w:rsid w:val="00CB5FF4"/>
    <w:rsid w:val="00CB74EE"/>
    <w:rsid w:val="00CC3F08"/>
    <w:rsid w:val="00CC699A"/>
    <w:rsid w:val="00CD304B"/>
    <w:rsid w:val="00CF3535"/>
    <w:rsid w:val="00CF3C67"/>
    <w:rsid w:val="00D01398"/>
    <w:rsid w:val="00D020C1"/>
    <w:rsid w:val="00D110E6"/>
    <w:rsid w:val="00D12DAF"/>
    <w:rsid w:val="00D21019"/>
    <w:rsid w:val="00D22B05"/>
    <w:rsid w:val="00D41DB7"/>
    <w:rsid w:val="00D54D69"/>
    <w:rsid w:val="00D5634D"/>
    <w:rsid w:val="00D70722"/>
    <w:rsid w:val="00D70891"/>
    <w:rsid w:val="00D73581"/>
    <w:rsid w:val="00D74346"/>
    <w:rsid w:val="00D801F5"/>
    <w:rsid w:val="00D827F3"/>
    <w:rsid w:val="00D82820"/>
    <w:rsid w:val="00D870DD"/>
    <w:rsid w:val="00D9303C"/>
    <w:rsid w:val="00DC1B66"/>
    <w:rsid w:val="00DC6900"/>
    <w:rsid w:val="00DD37DE"/>
    <w:rsid w:val="00DE2653"/>
    <w:rsid w:val="00DE6E0A"/>
    <w:rsid w:val="00E001F3"/>
    <w:rsid w:val="00E008F8"/>
    <w:rsid w:val="00E04A2F"/>
    <w:rsid w:val="00E05137"/>
    <w:rsid w:val="00E114CC"/>
    <w:rsid w:val="00E13F70"/>
    <w:rsid w:val="00E21E2A"/>
    <w:rsid w:val="00E30129"/>
    <w:rsid w:val="00E40444"/>
    <w:rsid w:val="00E42874"/>
    <w:rsid w:val="00E4636F"/>
    <w:rsid w:val="00E61BA8"/>
    <w:rsid w:val="00E627BF"/>
    <w:rsid w:val="00E6337C"/>
    <w:rsid w:val="00E77C93"/>
    <w:rsid w:val="00E900BC"/>
    <w:rsid w:val="00E95B9B"/>
    <w:rsid w:val="00EA3947"/>
    <w:rsid w:val="00EA5476"/>
    <w:rsid w:val="00EB2D4B"/>
    <w:rsid w:val="00EB4298"/>
    <w:rsid w:val="00EB7513"/>
    <w:rsid w:val="00EC27BC"/>
    <w:rsid w:val="00EC3E5B"/>
    <w:rsid w:val="00ED0700"/>
    <w:rsid w:val="00EE5EA0"/>
    <w:rsid w:val="00EF215F"/>
    <w:rsid w:val="00EF2A3D"/>
    <w:rsid w:val="00EF5214"/>
    <w:rsid w:val="00F07402"/>
    <w:rsid w:val="00F14992"/>
    <w:rsid w:val="00F14C12"/>
    <w:rsid w:val="00F26B85"/>
    <w:rsid w:val="00F34D1C"/>
    <w:rsid w:val="00F40699"/>
    <w:rsid w:val="00F44220"/>
    <w:rsid w:val="00F45426"/>
    <w:rsid w:val="00F45CAF"/>
    <w:rsid w:val="00F5099C"/>
    <w:rsid w:val="00F51B5F"/>
    <w:rsid w:val="00F64348"/>
    <w:rsid w:val="00F67174"/>
    <w:rsid w:val="00F7165B"/>
    <w:rsid w:val="00F726CA"/>
    <w:rsid w:val="00F758A4"/>
    <w:rsid w:val="00F76B52"/>
    <w:rsid w:val="00F84EEB"/>
    <w:rsid w:val="00F91D26"/>
    <w:rsid w:val="00F92A40"/>
    <w:rsid w:val="00F93994"/>
    <w:rsid w:val="00F96006"/>
    <w:rsid w:val="00F96AC3"/>
    <w:rsid w:val="00FB40AA"/>
    <w:rsid w:val="00FC2704"/>
    <w:rsid w:val="00FE01C4"/>
    <w:rsid w:val="00FE2791"/>
    <w:rsid w:val="00FE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E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page number" w:locked="1" w:semiHidden="0" w:unhideWhenUsed="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6B25A2"/>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6B25A2"/>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6B25A2"/>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6B25A2"/>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5A2"/>
    <w:rPr>
      <w:rFonts w:ascii="Arial" w:eastAsia="Times New Roman" w:hAnsi="Arial" w:cs="Arial"/>
      <w:b/>
      <w:sz w:val="28"/>
      <w:szCs w:val="20"/>
    </w:rPr>
  </w:style>
  <w:style w:type="character" w:customStyle="1" w:styleId="Heading2Char">
    <w:name w:val="Heading 2 Char"/>
    <w:basedOn w:val="DefaultParagraphFont"/>
    <w:link w:val="Heading2"/>
    <w:rsid w:val="006B25A2"/>
    <w:rPr>
      <w:rFonts w:ascii="Arial" w:eastAsia="Times New Roman" w:hAnsi="Arial" w:cs="Arial"/>
      <w:b/>
      <w:sz w:val="24"/>
      <w:szCs w:val="20"/>
    </w:rPr>
  </w:style>
  <w:style w:type="character" w:customStyle="1" w:styleId="Heading3Char">
    <w:name w:val="Heading 3 Char"/>
    <w:basedOn w:val="DefaultParagraphFont"/>
    <w:link w:val="Heading3"/>
    <w:rsid w:val="006B25A2"/>
    <w:rPr>
      <w:rFonts w:ascii="Arial" w:eastAsia="Times New Roman" w:hAnsi="Arial" w:cs="Arial"/>
      <w:b/>
      <w:i/>
      <w:sz w:val="24"/>
      <w:szCs w:val="20"/>
    </w:rPr>
  </w:style>
  <w:style w:type="character" w:customStyle="1" w:styleId="Heading4Char">
    <w:name w:val="Heading 4 Char"/>
    <w:basedOn w:val="DefaultParagraphFont"/>
    <w:link w:val="Heading4"/>
    <w:rsid w:val="006B25A2"/>
    <w:rPr>
      <w:rFonts w:ascii="Arial" w:eastAsia="Times New Roman" w:hAnsi="Arial" w:cs="Arial"/>
      <w:bCs/>
      <w:i/>
      <w:sz w:val="24"/>
      <w:szCs w:val="28"/>
    </w:rPr>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qFormat/>
    <w:rsid w:val="00AE15BE"/>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AE15BE"/>
    <w:rPr>
      <w:rFonts w:ascii="Arial" w:eastAsia="Times New Roman" w:hAnsi="Arial" w:cs="Arial"/>
      <w:b/>
      <w:noProof/>
      <w:sz w:val="18"/>
      <w:szCs w:val="20"/>
    </w:rPr>
  </w:style>
  <w:style w:type="paragraph" w:customStyle="1" w:styleId="TableText">
    <w:name w:val="Table Text"/>
    <w:basedOn w:val="Normal"/>
    <w:link w:val="TableTextChar"/>
    <w:qFormat/>
    <w:rsid w:val="00AE15BE"/>
    <w:pPr>
      <w:spacing w:before="40" w:after="40"/>
    </w:pPr>
    <w:rPr>
      <w:rFonts w:ascii="Arial" w:hAnsi="Arial" w:cs="Arial"/>
      <w:noProof/>
      <w:sz w:val="2"/>
      <w:szCs w:val="20"/>
    </w:rPr>
  </w:style>
  <w:style w:type="character" w:customStyle="1" w:styleId="TableTextChar">
    <w:name w:val="Table Text Char"/>
    <w:basedOn w:val="DefaultParagraphFont"/>
    <w:link w:val="TableText"/>
    <w:rsid w:val="00AE15BE"/>
    <w:rPr>
      <w:rFonts w:ascii="Arial" w:eastAsia="Times New Roman" w:hAnsi="Arial" w:cs="Arial"/>
      <w:noProof/>
      <w:sz w:val="2"/>
      <w:szCs w:val="20"/>
    </w:rPr>
  </w:style>
  <w:style w:type="paragraph" w:customStyle="1" w:styleId="TableBullet1">
    <w:name w:val="Table Bullet 1"/>
    <w:basedOn w:val="Normal"/>
    <w:link w:val="TableBullet1Char"/>
    <w:qFormat/>
    <w:rsid w:val="006B25A2"/>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6B25A2"/>
    <w:rPr>
      <w:rFonts w:ascii="Arial" w:eastAsia="Times New Roman" w:hAnsi="Arial" w:cs="Arial"/>
      <w:noProof/>
      <w:sz w:val="2"/>
      <w:szCs w:val="20"/>
    </w:rPr>
  </w:style>
  <w:style w:type="paragraph" w:customStyle="1" w:styleId="TableBullet2">
    <w:name w:val="Table Bullet 2"/>
    <w:basedOn w:val="Normal"/>
    <w:qFormat/>
    <w:rsid w:val="006B25A2"/>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qFormat/>
    <w:rsid w:val="006B25A2"/>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qFormat/>
    <w:rsid w:val="006B25A2"/>
    <w:pPr>
      <w:numPr>
        <w:ilvl w:val="7"/>
        <w:numId w:val="7"/>
      </w:numPr>
      <w:spacing w:before="40" w:after="40"/>
      <w:outlineLvl w:val="7"/>
    </w:pPr>
    <w:rPr>
      <w:rFonts w:ascii="Arial" w:hAnsi="Arial" w:cs="Arial"/>
      <w:noProof/>
      <w:sz w:val="2"/>
      <w:szCs w:val="20"/>
    </w:rPr>
  </w:style>
  <w:style w:type="character" w:styleId="Strong">
    <w:name w:val="Strong"/>
    <w:qFormat/>
    <w:locked/>
    <w:rsid w:val="006B25A2"/>
    <w:rPr>
      <w:b/>
      <w:bCs/>
    </w:rPr>
  </w:style>
  <w:style w:type="paragraph" w:styleId="PlainText">
    <w:name w:val="Plain Text"/>
    <w:basedOn w:val="Normal"/>
    <w:link w:val="PlainTextChar"/>
    <w:rsid w:val="006B25A2"/>
    <w:rPr>
      <w:rFonts w:ascii="Consolas" w:eastAsia="PMingLiU" w:hAnsi="Consolas"/>
      <w:sz w:val="21"/>
      <w:szCs w:val="21"/>
    </w:rPr>
  </w:style>
  <w:style w:type="character" w:customStyle="1" w:styleId="PlainTextChar">
    <w:name w:val="Plain Text Char"/>
    <w:basedOn w:val="DefaultParagraphFont"/>
    <w:link w:val="PlainText"/>
    <w:rsid w:val="006B25A2"/>
    <w:rPr>
      <w:rFonts w:ascii="Consolas" w:eastAsia="PMingLiU" w:hAnsi="Consolas"/>
      <w:sz w:val="21"/>
      <w:szCs w:val="21"/>
    </w:rPr>
  </w:style>
  <w:style w:type="paragraph" w:styleId="ListBullet">
    <w:name w:val="List Bullet"/>
    <w:basedOn w:val="Normal"/>
    <w:qFormat/>
    <w:rsid w:val="006B25A2"/>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qFormat/>
    <w:rsid w:val="006B25A2"/>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qFormat/>
    <w:rsid w:val="006B25A2"/>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qFormat/>
    <w:rsid w:val="006B25A2"/>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B25A2"/>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B25A2"/>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B25A2"/>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B25A2"/>
    <w:pPr>
      <w:numPr>
        <w:ilvl w:val="8"/>
        <w:numId w:val="16"/>
      </w:numPr>
      <w:spacing w:line="260" w:lineRule="atLeast"/>
      <w:contextualSpacing/>
      <w:outlineLvl w:val="8"/>
    </w:pPr>
    <w:rPr>
      <w:rFonts w:ascii="Arial" w:hAnsi="Arial" w:cs="Arial"/>
      <w:sz w:val="22"/>
      <w:szCs w:val="20"/>
    </w:rPr>
  </w:style>
  <w:style w:type="character" w:styleId="FootnoteReference">
    <w:name w:val="footnote reference"/>
    <w:basedOn w:val="DefaultParagraphFont"/>
    <w:semiHidden/>
    <w:rsid w:val="00C37D91"/>
    <w:rPr>
      <w:vertAlign w:val="superscript"/>
    </w:rPr>
  </w:style>
  <w:style w:type="paragraph" w:customStyle="1" w:styleId="AddressBlock">
    <w:name w:val="Address Block"/>
    <w:basedOn w:val="Normal"/>
    <w:rsid w:val="00C37D91"/>
    <w:pPr>
      <w:spacing w:line="180" w:lineRule="atLeast"/>
    </w:pPr>
    <w:rPr>
      <w:rFonts w:ascii="Arial" w:hAnsi="Arial" w:cs="Arial"/>
      <w:color w:val="404040"/>
      <w:sz w:val="18"/>
      <w:szCs w:val="20"/>
    </w:rPr>
  </w:style>
  <w:style w:type="paragraph" w:styleId="TOC1">
    <w:name w:val="toc 1"/>
    <w:basedOn w:val="Normal"/>
    <w:next w:val="Normal"/>
    <w:uiPriority w:val="39"/>
    <w:locked/>
    <w:rsid w:val="003332C9"/>
    <w:pPr>
      <w:numPr>
        <w:numId w:val="20"/>
      </w:numPr>
      <w:tabs>
        <w:tab w:val="left" w:pos="360"/>
        <w:tab w:val="right" w:leader="dot" w:pos="9729"/>
      </w:tabs>
      <w:spacing w:before="300" w:after="240" w:line="300" w:lineRule="exact"/>
    </w:pPr>
    <w:rPr>
      <w:rFonts w:ascii="Arial" w:hAnsi="Arial" w:cs="Arial"/>
      <w:noProof/>
      <w:color w:val="404040"/>
      <w:sz w:val="22"/>
      <w:szCs w:val="20"/>
    </w:rPr>
  </w:style>
  <w:style w:type="character" w:styleId="FollowedHyperlink">
    <w:name w:val="FollowedHyperlink"/>
    <w:basedOn w:val="DefaultParagraphFont"/>
    <w:uiPriority w:val="99"/>
    <w:semiHidden/>
    <w:unhideWhenUsed/>
    <w:rsid w:val="00B428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page number" w:locked="1" w:semiHidden="0" w:unhideWhenUsed="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6B25A2"/>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6B25A2"/>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6B25A2"/>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6B25A2"/>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5A2"/>
    <w:rPr>
      <w:rFonts w:ascii="Arial" w:eastAsia="Times New Roman" w:hAnsi="Arial" w:cs="Arial"/>
      <w:b/>
      <w:sz w:val="28"/>
      <w:szCs w:val="20"/>
    </w:rPr>
  </w:style>
  <w:style w:type="character" w:customStyle="1" w:styleId="Heading2Char">
    <w:name w:val="Heading 2 Char"/>
    <w:basedOn w:val="DefaultParagraphFont"/>
    <w:link w:val="Heading2"/>
    <w:rsid w:val="006B25A2"/>
    <w:rPr>
      <w:rFonts w:ascii="Arial" w:eastAsia="Times New Roman" w:hAnsi="Arial" w:cs="Arial"/>
      <w:b/>
      <w:sz w:val="24"/>
      <w:szCs w:val="20"/>
    </w:rPr>
  </w:style>
  <w:style w:type="character" w:customStyle="1" w:styleId="Heading3Char">
    <w:name w:val="Heading 3 Char"/>
    <w:basedOn w:val="DefaultParagraphFont"/>
    <w:link w:val="Heading3"/>
    <w:rsid w:val="006B25A2"/>
    <w:rPr>
      <w:rFonts w:ascii="Arial" w:eastAsia="Times New Roman" w:hAnsi="Arial" w:cs="Arial"/>
      <w:b/>
      <w:i/>
      <w:sz w:val="24"/>
      <w:szCs w:val="20"/>
    </w:rPr>
  </w:style>
  <w:style w:type="character" w:customStyle="1" w:styleId="Heading4Char">
    <w:name w:val="Heading 4 Char"/>
    <w:basedOn w:val="DefaultParagraphFont"/>
    <w:link w:val="Heading4"/>
    <w:rsid w:val="006B25A2"/>
    <w:rPr>
      <w:rFonts w:ascii="Arial" w:eastAsia="Times New Roman" w:hAnsi="Arial" w:cs="Arial"/>
      <w:bCs/>
      <w:i/>
      <w:sz w:val="24"/>
      <w:szCs w:val="28"/>
    </w:rPr>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qFormat/>
    <w:rsid w:val="00AE15BE"/>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AE15BE"/>
    <w:rPr>
      <w:rFonts w:ascii="Arial" w:eastAsia="Times New Roman" w:hAnsi="Arial" w:cs="Arial"/>
      <w:b/>
      <w:noProof/>
      <w:sz w:val="18"/>
      <w:szCs w:val="20"/>
    </w:rPr>
  </w:style>
  <w:style w:type="paragraph" w:customStyle="1" w:styleId="TableText">
    <w:name w:val="Table Text"/>
    <w:basedOn w:val="Normal"/>
    <w:link w:val="TableTextChar"/>
    <w:qFormat/>
    <w:rsid w:val="00AE15BE"/>
    <w:pPr>
      <w:spacing w:before="40" w:after="40"/>
    </w:pPr>
    <w:rPr>
      <w:rFonts w:ascii="Arial" w:hAnsi="Arial" w:cs="Arial"/>
      <w:noProof/>
      <w:sz w:val="2"/>
      <w:szCs w:val="20"/>
    </w:rPr>
  </w:style>
  <w:style w:type="character" w:customStyle="1" w:styleId="TableTextChar">
    <w:name w:val="Table Text Char"/>
    <w:basedOn w:val="DefaultParagraphFont"/>
    <w:link w:val="TableText"/>
    <w:rsid w:val="00AE15BE"/>
    <w:rPr>
      <w:rFonts w:ascii="Arial" w:eastAsia="Times New Roman" w:hAnsi="Arial" w:cs="Arial"/>
      <w:noProof/>
      <w:sz w:val="2"/>
      <w:szCs w:val="20"/>
    </w:rPr>
  </w:style>
  <w:style w:type="paragraph" w:customStyle="1" w:styleId="TableBullet1">
    <w:name w:val="Table Bullet 1"/>
    <w:basedOn w:val="Normal"/>
    <w:link w:val="TableBullet1Char"/>
    <w:qFormat/>
    <w:rsid w:val="006B25A2"/>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6B25A2"/>
    <w:rPr>
      <w:rFonts w:ascii="Arial" w:eastAsia="Times New Roman" w:hAnsi="Arial" w:cs="Arial"/>
      <w:noProof/>
      <w:sz w:val="2"/>
      <w:szCs w:val="20"/>
    </w:rPr>
  </w:style>
  <w:style w:type="paragraph" w:customStyle="1" w:styleId="TableBullet2">
    <w:name w:val="Table Bullet 2"/>
    <w:basedOn w:val="Normal"/>
    <w:qFormat/>
    <w:rsid w:val="006B25A2"/>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qFormat/>
    <w:rsid w:val="006B25A2"/>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qFormat/>
    <w:rsid w:val="006B25A2"/>
    <w:pPr>
      <w:numPr>
        <w:ilvl w:val="7"/>
        <w:numId w:val="7"/>
      </w:numPr>
      <w:spacing w:before="40" w:after="40"/>
      <w:outlineLvl w:val="7"/>
    </w:pPr>
    <w:rPr>
      <w:rFonts w:ascii="Arial" w:hAnsi="Arial" w:cs="Arial"/>
      <w:noProof/>
      <w:sz w:val="2"/>
      <w:szCs w:val="20"/>
    </w:rPr>
  </w:style>
  <w:style w:type="character" w:styleId="Strong">
    <w:name w:val="Strong"/>
    <w:qFormat/>
    <w:locked/>
    <w:rsid w:val="006B25A2"/>
    <w:rPr>
      <w:b/>
      <w:bCs/>
    </w:rPr>
  </w:style>
  <w:style w:type="paragraph" w:styleId="PlainText">
    <w:name w:val="Plain Text"/>
    <w:basedOn w:val="Normal"/>
    <w:link w:val="PlainTextChar"/>
    <w:rsid w:val="006B25A2"/>
    <w:rPr>
      <w:rFonts w:ascii="Consolas" w:eastAsia="PMingLiU" w:hAnsi="Consolas"/>
      <w:sz w:val="21"/>
      <w:szCs w:val="21"/>
    </w:rPr>
  </w:style>
  <w:style w:type="character" w:customStyle="1" w:styleId="PlainTextChar">
    <w:name w:val="Plain Text Char"/>
    <w:basedOn w:val="DefaultParagraphFont"/>
    <w:link w:val="PlainText"/>
    <w:rsid w:val="006B25A2"/>
    <w:rPr>
      <w:rFonts w:ascii="Consolas" w:eastAsia="PMingLiU" w:hAnsi="Consolas"/>
      <w:sz w:val="21"/>
      <w:szCs w:val="21"/>
    </w:rPr>
  </w:style>
  <w:style w:type="paragraph" w:styleId="ListBullet">
    <w:name w:val="List Bullet"/>
    <w:basedOn w:val="Normal"/>
    <w:qFormat/>
    <w:rsid w:val="006B25A2"/>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qFormat/>
    <w:rsid w:val="006B25A2"/>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qFormat/>
    <w:rsid w:val="006B25A2"/>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qFormat/>
    <w:rsid w:val="006B25A2"/>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B25A2"/>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B25A2"/>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B25A2"/>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B25A2"/>
    <w:pPr>
      <w:numPr>
        <w:ilvl w:val="8"/>
        <w:numId w:val="16"/>
      </w:numPr>
      <w:spacing w:line="260" w:lineRule="atLeast"/>
      <w:contextualSpacing/>
      <w:outlineLvl w:val="8"/>
    </w:pPr>
    <w:rPr>
      <w:rFonts w:ascii="Arial" w:hAnsi="Arial" w:cs="Arial"/>
      <w:sz w:val="22"/>
      <w:szCs w:val="20"/>
    </w:rPr>
  </w:style>
  <w:style w:type="character" w:styleId="FootnoteReference">
    <w:name w:val="footnote reference"/>
    <w:basedOn w:val="DefaultParagraphFont"/>
    <w:semiHidden/>
    <w:rsid w:val="00C37D91"/>
    <w:rPr>
      <w:vertAlign w:val="superscript"/>
    </w:rPr>
  </w:style>
  <w:style w:type="paragraph" w:customStyle="1" w:styleId="AddressBlock">
    <w:name w:val="Address Block"/>
    <w:basedOn w:val="Normal"/>
    <w:rsid w:val="00C37D91"/>
    <w:pPr>
      <w:spacing w:line="180" w:lineRule="atLeast"/>
    </w:pPr>
    <w:rPr>
      <w:rFonts w:ascii="Arial" w:hAnsi="Arial" w:cs="Arial"/>
      <w:color w:val="404040"/>
      <w:sz w:val="18"/>
      <w:szCs w:val="20"/>
    </w:rPr>
  </w:style>
  <w:style w:type="paragraph" w:styleId="TOC1">
    <w:name w:val="toc 1"/>
    <w:basedOn w:val="Normal"/>
    <w:next w:val="Normal"/>
    <w:uiPriority w:val="39"/>
    <w:locked/>
    <w:rsid w:val="003332C9"/>
    <w:pPr>
      <w:numPr>
        <w:numId w:val="20"/>
      </w:numPr>
      <w:tabs>
        <w:tab w:val="left" w:pos="360"/>
        <w:tab w:val="right" w:leader="dot" w:pos="9729"/>
      </w:tabs>
      <w:spacing w:before="300" w:after="240" w:line="300" w:lineRule="exact"/>
    </w:pPr>
    <w:rPr>
      <w:rFonts w:ascii="Arial" w:hAnsi="Arial" w:cs="Arial"/>
      <w:noProof/>
      <w:color w:val="404040"/>
      <w:sz w:val="22"/>
      <w:szCs w:val="20"/>
    </w:rPr>
  </w:style>
  <w:style w:type="character" w:styleId="FollowedHyperlink">
    <w:name w:val="FollowedHyperlink"/>
    <w:basedOn w:val="DefaultParagraphFont"/>
    <w:uiPriority w:val="99"/>
    <w:semiHidden/>
    <w:unhideWhenUsed/>
    <w:rsid w:val="00B42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80611092">
      <w:bodyDiv w:val="1"/>
      <w:marLeft w:val="0"/>
      <w:marRight w:val="0"/>
      <w:marTop w:val="0"/>
      <w:marBottom w:val="0"/>
      <w:divBdr>
        <w:top w:val="none" w:sz="0" w:space="0" w:color="auto"/>
        <w:left w:val="none" w:sz="0" w:space="0" w:color="auto"/>
        <w:bottom w:val="none" w:sz="0" w:space="0" w:color="auto"/>
        <w:right w:val="none" w:sz="0" w:space="0" w:color="auto"/>
      </w:divBdr>
    </w:div>
    <w:div w:id="354767544">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859201953">
      <w:bodyDiv w:val="1"/>
      <w:marLeft w:val="0"/>
      <w:marRight w:val="0"/>
      <w:marTop w:val="0"/>
      <w:marBottom w:val="0"/>
      <w:divBdr>
        <w:top w:val="none" w:sz="0" w:space="0" w:color="auto"/>
        <w:left w:val="none" w:sz="0" w:space="0" w:color="auto"/>
        <w:bottom w:val="none" w:sz="0" w:space="0" w:color="auto"/>
        <w:right w:val="none" w:sz="0" w:space="0" w:color="auto"/>
      </w:divBdr>
      <w:divsChild>
        <w:div w:id="81605133">
          <w:marLeft w:val="0"/>
          <w:marRight w:val="0"/>
          <w:marTop w:val="0"/>
          <w:marBottom w:val="0"/>
          <w:divBdr>
            <w:top w:val="none" w:sz="0" w:space="0" w:color="auto"/>
            <w:left w:val="none" w:sz="0" w:space="0" w:color="auto"/>
            <w:bottom w:val="none" w:sz="0" w:space="0" w:color="auto"/>
            <w:right w:val="none" w:sz="0" w:space="0" w:color="auto"/>
          </w:divBdr>
          <w:divsChild>
            <w:div w:id="893346526">
              <w:marLeft w:val="0"/>
              <w:marRight w:val="0"/>
              <w:marTop w:val="0"/>
              <w:marBottom w:val="0"/>
              <w:divBdr>
                <w:top w:val="none" w:sz="0" w:space="0" w:color="auto"/>
                <w:left w:val="none" w:sz="0" w:space="0" w:color="auto"/>
                <w:bottom w:val="none" w:sz="0" w:space="0" w:color="auto"/>
                <w:right w:val="none" w:sz="0" w:space="0" w:color="auto"/>
              </w:divBdr>
              <w:divsChild>
                <w:div w:id="17610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194923144">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cms.gov/Medicare-Medicaid-Coordination/Medicare-and-Medicaid-Coordination/Medicare-Medicaid-Coordination-Office/FinancialAlignmentInitiative/MMPInformationandGuidance/Downloads/MAQualityWithholdGuidanceDY2-5_03162018.pdf"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BA2DB8B11B0C46BFBDACE2660D7DDE"/>
        <w:category>
          <w:name w:val="General"/>
          <w:gallery w:val="placeholder"/>
        </w:category>
        <w:types>
          <w:type w:val="bbPlcHdr"/>
        </w:types>
        <w:behaviors>
          <w:behavior w:val="content"/>
        </w:behaviors>
        <w:guid w:val="{86CA8AB8-5988-0448-955B-4481A8ED25B3}"/>
      </w:docPartPr>
      <w:docPartBody>
        <w:p w:rsidR="006E2CD5" w:rsidRDefault="008A06FD" w:rsidP="008A06FD">
          <w:pPr>
            <w:pStyle w:val="6EBA2DB8B11B0C46BFBDACE2660D7DDE"/>
          </w:pPr>
          <w:r>
            <w:t>[Type text]</w:t>
          </w:r>
        </w:p>
      </w:docPartBody>
    </w:docPart>
    <w:docPart>
      <w:docPartPr>
        <w:name w:val="D386ED281873F347898031C8B7260700"/>
        <w:category>
          <w:name w:val="General"/>
          <w:gallery w:val="placeholder"/>
        </w:category>
        <w:types>
          <w:type w:val="bbPlcHdr"/>
        </w:types>
        <w:behaviors>
          <w:behavior w:val="content"/>
        </w:behaviors>
        <w:guid w:val="{E8AB92C4-6A69-1948-825C-B816A3178CB6}"/>
      </w:docPartPr>
      <w:docPartBody>
        <w:p w:rsidR="006E2CD5" w:rsidRDefault="008A06FD" w:rsidP="008A06FD">
          <w:pPr>
            <w:pStyle w:val="D386ED281873F347898031C8B7260700"/>
          </w:pPr>
          <w:r>
            <w:t>[Type text]</w:t>
          </w:r>
        </w:p>
      </w:docPartBody>
    </w:docPart>
    <w:docPart>
      <w:docPartPr>
        <w:name w:val="66F1AB1A72C3B140A4E91A1CE9BB56E8"/>
        <w:category>
          <w:name w:val="General"/>
          <w:gallery w:val="placeholder"/>
        </w:category>
        <w:types>
          <w:type w:val="bbPlcHdr"/>
        </w:types>
        <w:behaviors>
          <w:behavior w:val="content"/>
        </w:behaviors>
        <w:guid w:val="{94505833-21D7-D343-9F84-8D36BD0BA251}"/>
      </w:docPartPr>
      <w:docPartBody>
        <w:p w:rsidR="006E2CD5" w:rsidRDefault="008A06FD" w:rsidP="008A06FD">
          <w:pPr>
            <w:pStyle w:val="66F1AB1A72C3B140A4E91A1CE9BB56E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FD"/>
    <w:rsid w:val="000714D5"/>
    <w:rsid w:val="00605F31"/>
    <w:rsid w:val="006E2CD5"/>
    <w:rsid w:val="008A06FD"/>
    <w:rsid w:val="00B21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A2DB8B11B0C46BFBDACE2660D7DDE">
    <w:name w:val="6EBA2DB8B11B0C46BFBDACE2660D7DDE"/>
    <w:rsid w:val="008A06FD"/>
  </w:style>
  <w:style w:type="paragraph" w:customStyle="1" w:styleId="D386ED281873F347898031C8B7260700">
    <w:name w:val="D386ED281873F347898031C8B7260700"/>
    <w:rsid w:val="008A06FD"/>
  </w:style>
  <w:style w:type="paragraph" w:customStyle="1" w:styleId="66F1AB1A72C3B140A4E91A1CE9BB56E8">
    <w:name w:val="66F1AB1A72C3B140A4E91A1CE9BB56E8"/>
    <w:rsid w:val="008A06FD"/>
  </w:style>
  <w:style w:type="paragraph" w:customStyle="1" w:styleId="D08A850B7D5426488ED5DCE45940760D">
    <w:name w:val="D08A850B7D5426488ED5DCE45940760D"/>
    <w:rsid w:val="008A06FD"/>
  </w:style>
  <w:style w:type="paragraph" w:customStyle="1" w:styleId="4710E66868D0BD4F8DEA5345DB69AFFC">
    <w:name w:val="4710E66868D0BD4F8DEA5345DB69AFFC"/>
    <w:rsid w:val="008A06FD"/>
  </w:style>
  <w:style w:type="paragraph" w:customStyle="1" w:styleId="C52E52DB677C874985BD3346E838E8AB">
    <w:name w:val="C52E52DB677C874985BD3346E838E8AB"/>
    <w:rsid w:val="008A06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A2DB8B11B0C46BFBDACE2660D7DDE">
    <w:name w:val="6EBA2DB8B11B0C46BFBDACE2660D7DDE"/>
    <w:rsid w:val="008A06FD"/>
  </w:style>
  <w:style w:type="paragraph" w:customStyle="1" w:styleId="D386ED281873F347898031C8B7260700">
    <w:name w:val="D386ED281873F347898031C8B7260700"/>
    <w:rsid w:val="008A06FD"/>
  </w:style>
  <w:style w:type="paragraph" w:customStyle="1" w:styleId="66F1AB1A72C3B140A4E91A1CE9BB56E8">
    <w:name w:val="66F1AB1A72C3B140A4E91A1CE9BB56E8"/>
    <w:rsid w:val="008A06FD"/>
  </w:style>
  <w:style w:type="paragraph" w:customStyle="1" w:styleId="D08A850B7D5426488ED5DCE45940760D">
    <w:name w:val="D08A850B7D5426488ED5DCE45940760D"/>
    <w:rsid w:val="008A06FD"/>
  </w:style>
  <w:style w:type="paragraph" w:customStyle="1" w:styleId="4710E66868D0BD4F8DEA5345DB69AFFC">
    <w:name w:val="4710E66868D0BD4F8DEA5345DB69AFFC"/>
    <w:rsid w:val="008A06FD"/>
  </w:style>
  <w:style w:type="paragraph" w:customStyle="1" w:styleId="C52E52DB677C874985BD3346E838E8AB">
    <w:name w:val="C52E52DB677C874985BD3346E838E8AB"/>
    <w:rsid w:val="008A0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1B97-490C-4F7B-A350-3D0EFAE3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7191</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 Kayla Viriyabontorn</cp:lastModifiedBy>
  <cp:revision>2</cp:revision>
  <cp:lastPrinted>2018-11-20T20:49:00Z</cp:lastPrinted>
  <dcterms:created xsi:type="dcterms:W3CDTF">2018-11-20T21:20:00Z</dcterms:created>
  <dcterms:modified xsi:type="dcterms:W3CDTF">2018-11-20T21:20:00Z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