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75" w:rsidRDefault="00283A75" w:rsidP="00140363">
      <w:pPr>
        <w:rPr>
          <w:rFonts w:ascii="Calibri" w:hAnsi="Calibri" w:cs="Calibri"/>
          <w:sz w:val="22"/>
          <w:szCs w:val="22"/>
        </w:rPr>
      </w:pPr>
      <w:bookmarkStart w:id="0" w:name="_GoBack"/>
      <w:bookmarkEnd w:id="0"/>
      <w:r w:rsidRPr="00140363">
        <w:rPr>
          <w:rFonts w:ascii="Calibri" w:hAnsi="Calibri" w:cs="Calibri"/>
          <w:sz w:val="22"/>
          <w:szCs w:val="22"/>
        </w:rPr>
        <w:t>M</w:t>
      </w:r>
      <w:r>
        <w:rPr>
          <w:rFonts w:ascii="Calibri" w:hAnsi="Calibri" w:cs="Calibri"/>
          <w:sz w:val="22"/>
          <w:szCs w:val="22"/>
        </w:rPr>
        <w:t>a</w:t>
      </w:r>
      <w:r w:rsidRPr="00140363">
        <w:rPr>
          <w:rFonts w:ascii="Calibri" w:hAnsi="Calibri" w:cs="Calibri"/>
          <w:sz w:val="22"/>
          <w:szCs w:val="22"/>
        </w:rPr>
        <w:t xml:space="preserve">ssHealth, in conjunction with the Centers for Medicare and Medicaid Services (CMS), is releasing </w:t>
      </w:r>
      <w:r w:rsidR="00A63C95" w:rsidRPr="00A63C95">
        <w:rPr>
          <w:rFonts w:ascii="Calibri" w:hAnsi="Calibri" w:cs="Calibri"/>
          <w:sz w:val="22"/>
          <w:szCs w:val="22"/>
        </w:rPr>
        <w:t xml:space="preserve">the </w:t>
      </w:r>
      <w:r w:rsidR="00D04FA6">
        <w:rPr>
          <w:rFonts w:ascii="Calibri" w:hAnsi="Calibri" w:cs="Calibri"/>
          <w:sz w:val="22"/>
          <w:szCs w:val="22"/>
        </w:rPr>
        <w:t xml:space="preserve">final </w:t>
      </w:r>
      <w:r w:rsidR="0043154D">
        <w:rPr>
          <w:rFonts w:ascii="Calibri" w:hAnsi="Calibri" w:cs="Calibri"/>
          <w:sz w:val="22"/>
          <w:szCs w:val="22"/>
        </w:rPr>
        <w:t xml:space="preserve">Medicaid and </w:t>
      </w:r>
      <w:r w:rsidR="00A63C95" w:rsidRPr="00A63C95">
        <w:rPr>
          <w:rFonts w:ascii="Calibri" w:hAnsi="Calibri" w:cs="Calibri"/>
          <w:sz w:val="22"/>
          <w:szCs w:val="22"/>
        </w:rPr>
        <w:t>Medicare component</w:t>
      </w:r>
      <w:r w:rsidR="0043154D">
        <w:rPr>
          <w:rFonts w:ascii="Calibri" w:hAnsi="Calibri" w:cs="Calibri"/>
          <w:sz w:val="22"/>
          <w:szCs w:val="22"/>
        </w:rPr>
        <w:t>s</w:t>
      </w:r>
      <w:r w:rsidR="00A63C95" w:rsidRPr="00A63C95">
        <w:rPr>
          <w:rFonts w:ascii="Calibri" w:hAnsi="Calibri" w:cs="Calibri"/>
          <w:sz w:val="22"/>
          <w:szCs w:val="22"/>
        </w:rPr>
        <w:t xml:space="preserve"> of the </w:t>
      </w:r>
      <w:r w:rsidRPr="00A63C95">
        <w:rPr>
          <w:rFonts w:ascii="Calibri" w:hAnsi="Calibri" w:cs="Calibri"/>
          <w:sz w:val="22"/>
          <w:szCs w:val="22"/>
        </w:rPr>
        <w:t>CY 2014 rates for the Massachusetts Demonstration to</w:t>
      </w:r>
      <w:r w:rsidRPr="00140363">
        <w:rPr>
          <w:rFonts w:ascii="Calibri" w:hAnsi="Calibri" w:cs="Calibri"/>
          <w:sz w:val="22"/>
          <w:szCs w:val="22"/>
        </w:rPr>
        <w:t xml:space="preserve"> Integrate Care for Dual Eligible Individuals</w:t>
      </w:r>
      <w:r>
        <w:rPr>
          <w:rFonts w:ascii="Calibri" w:hAnsi="Calibri" w:cs="Calibri"/>
          <w:sz w:val="22"/>
          <w:szCs w:val="22"/>
        </w:rPr>
        <w:t xml:space="preserve"> (One Care)</w:t>
      </w:r>
      <w:r w:rsidRPr="00140363">
        <w:rPr>
          <w:rFonts w:ascii="Calibri" w:hAnsi="Calibri" w:cs="Calibri"/>
          <w:sz w:val="22"/>
          <w:szCs w:val="22"/>
        </w:rPr>
        <w:t>.</w:t>
      </w:r>
      <w:r>
        <w:rPr>
          <w:rFonts w:ascii="Calibri" w:hAnsi="Calibri" w:cs="Calibri"/>
          <w:sz w:val="22"/>
          <w:szCs w:val="22"/>
        </w:rPr>
        <w:t xml:space="preserve"> Effective January 1, 2014, these rates will replace the Demonstration rates included in the CY 2013 rate report.</w:t>
      </w:r>
    </w:p>
    <w:p w:rsidR="00283A75" w:rsidRPr="00140363" w:rsidRDefault="00283A75" w:rsidP="00140363">
      <w:pPr>
        <w:rPr>
          <w:rFonts w:ascii="Calibri" w:hAnsi="Calibri" w:cs="Calibri"/>
          <w:sz w:val="22"/>
          <w:szCs w:val="22"/>
        </w:rPr>
      </w:pPr>
    </w:p>
    <w:p w:rsidR="00283A75" w:rsidRDefault="00283A75" w:rsidP="00C01D88">
      <w:pPr>
        <w:tabs>
          <w:tab w:val="left" w:pos="4140"/>
        </w:tabs>
        <w:rPr>
          <w:rFonts w:ascii="Calibri" w:hAnsi="Calibri" w:cs="Calibri"/>
          <w:sz w:val="22"/>
          <w:szCs w:val="22"/>
        </w:rPr>
      </w:pPr>
      <w:r w:rsidRPr="00EB2D4B">
        <w:rPr>
          <w:rFonts w:ascii="Calibri" w:hAnsi="Calibri" w:cs="Calibri"/>
          <w:sz w:val="22"/>
          <w:szCs w:val="22"/>
        </w:rPr>
        <w:t xml:space="preserve">The general principles of the rate development process for the Demonstration have been outlined in the </w:t>
      </w:r>
      <w:r w:rsidRPr="00140363">
        <w:rPr>
          <w:rFonts w:ascii="Calibri" w:hAnsi="Calibri" w:cs="Calibri"/>
          <w:sz w:val="22"/>
          <w:szCs w:val="22"/>
        </w:rPr>
        <w:t xml:space="preserve">Memorandum of Understanding (MOU) between CMS and the </w:t>
      </w:r>
      <w:smartTag w:uri="urn:schemas-microsoft-com:office:smarttags" w:element="PlaceType">
        <w:r w:rsidRPr="00140363">
          <w:rPr>
            <w:rFonts w:ascii="Calibri" w:hAnsi="Calibri" w:cs="Calibri"/>
            <w:sz w:val="22"/>
            <w:szCs w:val="22"/>
          </w:rPr>
          <w:t>Commonwealth</w:t>
        </w:r>
      </w:smartTag>
      <w:r w:rsidRPr="00140363">
        <w:rPr>
          <w:rFonts w:ascii="Calibri" w:hAnsi="Calibri" w:cs="Calibri"/>
          <w:sz w:val="22"/>
          <w:szCs w:val="22"/>
        </w:rPr>
        <w:t xml:space="preserve"> of </w:t>
      </w:r>
      <w:smartTag w:uri="urn:schemas-microsoft-com:office:smarttags" w:element="PlaceName">
        <w:r w:rsidRPr="00140363">
          <w:rPr>
            <w:rFonts w:ascii="Calibri" w:hAnsi="Calibri" w:cs="Calibri"/>
            <w:sz w:val="22"/>
            <w:szCs w:val="22"/>
          </w:rPr>
          <w:t>Massachusetts</w:t>
        </w:r>
      </w:smartTag>
      <w:r>
        <w:rPr>
          <w:rFonts w:ascii="Calibri" w:hAnsi="Calibri" w:cs="Calibri"/>
          <w:sz w:val="22"/>
          <w:szCs w:val="22"/>
        </w:rPr>
        <w:t xml:space="preserve">, and the three-way contract between CMS, the </w:t>
      </w:r>
      <w:smartTag w:uri="urn:schemas-microsoft-com:office:smarttags" w:element="place">
        <w:smartTag w:uri="urn:schemas-microsoft-com:office:smarttags" w:element="PlaceType">
          <w:r>
            <w:rPr>
              <w:rFonts w:ascii="Calibri" w:hAnsi="Calibri" w:cs="Calibri"/>
              <w:sz w:val="22"/>
              <w:szCs w:val="22"/>
            </w:rPr>
            <w:t>Commonwealth</w:t>
          </w:r>
        </w:smartTag>
        <w:r>
          <w:rPr>
            <w:rFonts w:ascii="Calibri" w:hAnsi="Calibri" w:cs="Calibri"/>
            <w:sz w:val="22"/>
            <w:szCs w:val="22"/>
          </w:rPr>
          <w:t xml:space="preserve"> of </w:t>
        </w:r>
        <w:smartTag w:uri="urn:schemas-microsoft-com:office:smarttags" w:element="PlaceName">
          <w:r>
            <w:rPr>
              <w:rFonts w:ascii="Calibri" w:hAnsi="Calibri" w:cs="Calibri"/>
              <w:sz w:val="22"/>
              <w:szCs w:val="22"/>
            </w:rPr>
            <w:t>Massachusetts</w:t>
          </w:r>
        </w:smartTag>
      </w:smartTag>
      <w:r>
        <w:rPr>
          <w:rFonts w:ascii="Calibri" w:hAnsi="Calibri" w:cs="Calibri"/>
          <w:sz w:val="22"/>
          <w:szCs w:val="22"/>
        </w:rPr>
        <w:t>, and the One Care plans (Medicare-Medicaid plans)</w:t>
      </w:r>
      <w:r w:rsidRPr="00140363">
        <w:rPr>
          <w:rFonts w:ascii="Calibri" w:hAnsi="Calibri" w:cs="Calibri"/>
          <w:sz w:val="22"/>
          <w:szCs w:val="22"/>
        </w:rPr>
        <w:t>.</w:t>
      </w:r>
    </w:p>
    <w:p w:rsidR="00283A75" w:rsidRDefault="00283A75" w:rsidP="00C01D88">
      <w:pPr>
        <w:tabs>
          <w:tab w:val="left" w:pos="4140"/>
        </w:tabs>
        <w:rPr>
          <w:rFonts w:ascii="Calibri" w:hAnsi="Calibri" w:cs="Calibri"/>
          <w:sz w:val="22"/>
          <w:szCs w:val="22"/>
        </w:rPr>
      </w:pPr>
    </w:p>
    <w:p w:rsidR="00C5711F" w:rsidRDefault="00283A75" w:rsidP="00C01D88">
      <w:pPr>
        <w:tabs>
          <w:tab w:val="left" w:pos="4140"/>
        </w:tabs>
        <w:rPr>
          <w:rFonts w:ascii="Calibri" w:hAnsi="Calibri" w:cs="Calibri"/>
          <w:sz w:val="22"/>
          <w:szCs w:val="22"/>
        </w:rPr>
      </w:pPr>
      <w:r w:rsidRPr="00140363">
        <w:rPr>
          <w:rFonts w:ascii="Calibri" w:hAnsi="Calibri" w:cs="Calibri"/>
          <w:sz w:val="22"/>
          <w:szCs w:val="22"/>
        </w:rPr>
        <w:t>Included</w:t>
      </w:r>
      <w:r w:rsidRPr="00C01D88">
        <w:rPr>
          <w:rFonts w:ascii="Calibri" w:hAnsi="Calibri" w:cs="Calibri"/>
          <w:sz w:val="22"/>
          <w:szCs w:val="22"/>
        </w:rPr>
        <w:t xml:space="preserve"> in this report are </w:t>
      </w:r>
      <w:r w:rsidR="0043154D">
        <w:rPr>
          <w:rFonts w:ascii="Calibri" w:hAnsi="Calibri" w:cs="Calibri"/>
          <w:sz w:val="22"/>
          <w:szCs w:val="22"/>
        </w:rPr>
        <w:t xml:space="preserve">final CY 2014 Medicaid rates and </w:t>
      </w:r>
      <w:r w:rsidRPr="00A63C95">
        <w:rPr>
          <w:rFonts w:ascii="Calibri" w:hAnsi="Calibri" w:cs="Calibri"/>
          <w:sz w:val="22"/>
          <w:szCs w:val="22"/>
        </w:rPr>
        <w:t>Medicare county base rates</w:t>
      </w:r>
      <w:r w:rsidR="00F92A40" w:rsidRPr="00A63C95">
        <w:rPr>
          <w:rFonts w:ascii="Calibri" w:hAnsi="Calibri" w:cs="Calibri"/>
          <w:sz w:val="22"/>
          <w:szCs w:val="22"/>
        </w:rPr>
        <w:t xml:space="preserve"> and</w:t>
      </w:r>
      <w:r w:rsidRPr="00A63C95">
        <w:rPr>
          <w:rFonts w:ascii="Calibri" w:hAnsi="Calibri" w:cs="Calibri"/>
          <w:sz w:val="22"/>
          <w:szCs w:val="22"/>
        </w:rPr>
        <w:t xml:space="preserve"> information supporting the estimation of risk adjusted Medicare components of the rate.</w:t>
      </w:r>
    </w:p>
    <w:p w:rsidR="00283A75" w:rsidRDefault="00283A75" w:rsidP="00C01D88">
      <w:pPr>
        <w:tabs>
          <w:tab w:val="left" w:pos="4140"/>
        </w:tabs>
        <w:rPr>
          <w:rFonts w:ascii="Calibri" w:hAnsi="Calibri" w:cs="Calibri"/>
          <w:sz w:val="22"/>
          <w:szCs w:val="22"/>
        </w:rPr>
      </w:pPr>
    </w:p>
    <w:p w:rsidR="00283A75" w:rsidRPr="0023174F" w:rsidRDefault="00283A75" w:rsidP="00C01D88">
      <w:pPr>
        <w:numPr>
          <w:ilvl w:val="0"/>
          <w:numId w:val="1"/>
        </w:numPr>
        <w:tabs>
          <w:tab w:val="left" w:pos="720"/>
        </w:tabs>
        <w:ind w:left="360" w:firstLine="0"/>
        <w:jc w:val="center"/>
        <w:rPr>
          <w:rFonts w:ascii="Calibri" w:hAnsi="Calibri" w:cs="Calibri"/>
          <w:b/>
          <w:sz w:val="22"/>
          <w:szCs w:val="22"/>
        </w:rPr>
      </w:pPr>
      <w:r w:rsidRPr="0023174F">
        <w:rPr>
          <w:rFonts w:ascii="Calibri" w:hAnsi="Calibri" w:cs="Calibri"/>
          <w:b/>
          <w:sz w:val="22"/>
          <w:szCs w:val="22"/>
        </w:rPr>
        <w:t>Components of the Capitation Rate</w:t>
      </w:r>
    </w:p>
    <w:p w:rsidR="00283A75" w:rsidRPr="0023174F" w:rsidRDefault="00283A75" w:rsidP="00C01D88">
      <w:pPr>
        <w:rPr>
          <w:rFonts w:ascii="Calibri" w:hAnsi="Calibri" w:cs="Calibri"/>
          <w:sz w:val="22"/>
          <w:szCs w:val="22"/>
        </w:rPr>
      </w:pPr>
    </w:p>
    <w:p w:rsidR="00283A75" w:rsidRPr="0023174F" w:rsidRDefault="00283A75" w:rsidP="00C01D88">
      <w:pPr>
        <w:pStyle w:val="RFR-Level3-A-Text"/>
        <w:ind w:left="0"/>
        <w:rPr>
          <w:rFonts w:ascii="Calibri" w:hAnsi="Calibri" w:cs="Calibri"/>
          <w:sz w:val="22"/>
          <w:szCs w:val="22"/>
        </w:rPr>
      </w:pPr>
      <w:r w:rsidRPr="00EB2D4B">
        <w:rPr>
          <w:rFonts w:ascii="Calibri" w:hAnsi="Calibri" w:cs="Calibri"/>
          <w:sz w:val="22"/>
          <w:szCs w:val="22"/>
        </w:rPr>
        <w:t xml:space="preserve">CMS and </w:t>
      </w:r>
      <w:r>
        <w:rPr>
          <w:rFonts w:ascii="Calibri" w:hAnsi="Calibri" w:cs="Calibri"/>
          <w:sz w:val="22"/>
          <w:szCs w:val="22"/>
        </w:rPr>
        <w:t xml:space="preserve">MassHealth </w:t>
      </w:r>
      <w:r w:rsidRPr="00EB2D4B">
        <w:rPr>
          <w:rFonts w:ascii="Calibri" w:hAnsi="Calibri" w:cs="Calibri"/>
          <w:sz w:val="22"/>
          <w:szCs w:val="22"/>
        </w:rPr>
        <w:t xml:space="preserve">will each contribute to the global </w:t>
      </w:r>
      <w:r>
        <w:rPr>
          <w:rFonts w:ascii="Calibri" w:hAnsi="Calibri" w:cs="Calibri"/>
          <w:sz w:val="22"/>
          <w:szCs w:val="22"/>
        </w:rPr>
        <w:t xml:space="preserve">capitation payment. CMS and MassHealth </w:t>
      </w:r>
      <w:r w:rsidRPr="00EB2D4B">
        <w:rPr>
          <w:rFonts w:ascii="Calibri" w:hAnsi="Calibri" w:cs="Calibri"/>
          <w:sz w:val="22"/>
          <w:szCs w:val="22"/>
        </w:rPr>
        <w:t xml:space="preserve">will each make monthly payments to </w:t>
      </w:r>
      <w:r>
        <w:rPr>
          <w:rFonts w:ascii="Calibri" w:hAnsi="Calibri" w:cs="Calibri"/>
          <w:sz w:val="22"/>
          <w:szCs w:val="22"/>
        </w:rPr>
        <w:t>One Care plans</w:t>
      </w:r>
      <w:r w:rsidRPr="00EB2D4B">
        <w:rPr>
          <w:rFonts w:ascii="Calibri" w:hAnsi="Calibri" w:cs="Calibri"/>
          <w:sz w:val="22"/>
          <w:szCs w:val="22"/>
        </w:rPr>
        <w:t xml:space="preserve"> for their components of the capitated rate. </w:t>
      </w:r>
      <w:r>
        <w:rPr>
          <w:rFonts w:ascii="Calibri" w:hAnsi="Calibri" w:cs="Calibri"/>
          <w:sz w:val="22"/>
          <w:szCs w:val="22"/>
        </w:rPr>
        <w:t xml:space="preserve"> One Care plans </w:t>
      </w:r>
      <w:r w:rsidRPr="00EB2D4B">
        <w:rPr>
          <w:rFonts w:ascii="Calibri" w:hAnsi="Calibri" w:cs="Calibri"/>
          <w:sz w:val="22"/>
          <w:szCs w:val="22"/>
        </w:rPr>
        <w:t xml:space="preserve">will receive three monthly payments for each enrollee: one amount from CMS reflecting coverage of Medicare Parts A/B services, one amount from CMS reflecting coverage of Medicare Part D services, and a third amount from </w:t>
      </w:r>
      <w:r>
        <w:rPr>
          <w:rFonts w:ascii="Calibri" w:hAnsi="Calibri" w:cs="Calibri"/>
          <w:sz w:val="22"/>
          <w:szCs w:val="22"/>
        </w:rPr>
        <w:t>MassHealth</w:t>
      </w:r>
      <w:r w:rsidRPr="00EB2D4B">
        <w:rPr>
          <w:rFonts w:ascii="Calibri" w:hAnsi="Calibri" w:cs="Calibri"/>
          <w:sz w:val="22"/>
          <w:szCs w:val="22"/>
        </w:rPr>
        <w:t xml:space="preserve"> reflecting coverage of Medicaid services.</w:t>
      </w:r>
      <w:r w:rsidRPr="0023174F">
        <w:rPr>
          <w:rFonts w:ascii="Calibri" w:hAnsi="Calibri" w:cs="Calibri"/>
          <w:sz w:val="22"/>
          <w:szCs w:val="22"/>
        </w:rPr>
        <w:t xml:space="preserve"> </w:t>
      </w:r>
    </w:p>
    <w:p w:rsidR="00283A75" w:rsidRPr="0023174F" w:rsidRDefault="00283A75" w:rsidP="00C01D88">
      <w:pPr>
        <w:rPr>
          <w:rFonts w:ascii="Calibri" w:hAnsi="Calibri" w:cs="Calibri"/>
          <w:sz w:val="22"/>
          <w:szCs w:val="22"/>
        </w:rPr>
      </w:pPr>
    </w:p>
    <w:p w:rsidR="00283A75" w:rsidRPr="005B5452" w:rsidRDefault="00283A75" w:rsidP="00C01D88">
      <w:pPr>
        <w:pStyle w:val="RFR-Level3-A-Text"/>
        <w:ind w:left="0"/>
        <w:rPr>
          <w:rFonts w:ascii="Calibri" w:hAnsi="Calibri" w:cs="Calibri"/>
          <w:sz w:val="22"/>
          <w:szCs w:val="22"/>
        </w:rPr>
      </w:pPr>
      <w:r w:rsidRPr="005B5452">
        <w:rPr>
          <w:rFonts w:ascii="Calibri" w:hAnsi="Calibri" w:cs="Calibri"/>
          <w:sz w:val="22"/>
          <w:szCs w:val="22"/>
        </w:rPr>
        <w:t>The Medicare Parts A/B</w:t>
      </w:r>
      <w:r>
        <w:rPr>
          <w:rFonts w:ascii="Calibri" w:hAnsi="Calibri" w:cs="Calibri"/>
          <w:sz w:val="22"/>
          <w:szCs w:val="22"/>
        </w:rPr>
        <w:t xml:space="preserve"> rate component w</w:t>
      </w:r>
      <w:r w:rsidRPr="005B5452">
        <w:rPr>
          <w:rFonts w:ascii="Calibri" w:hAnsi="Calibri" w:cs="Calibri"/>
          <w:sz w:val="22"/>
          <w:szCs w:val="22"/>
        </w:rPr>
        <w:t xml:space="preserve">ill be risk adjusted using the Medicare Advantage CMS-HCC </w:t>
      </w:r>
      <w:r>
        <w:rPr>
          <w:rFonts w:ascii="Calibri" w:hAnsi="Calibri" w:cs="Calibri"/>
          <w:sz w:val="22"/>
          <w:szCs w:val="22"/>
        </w:rPr>
        <w:t>and CMS HCC-ESRD m</w:t>
      </w:r>
      <w:r w:rsidRPr="005B5452">
        <w:rPr>
          <w:rFonts w:ascii="Calibri" w:hAnsi="Calibri" w:cs="Calibri"/>
          <w:sz w:val="22"/>
          <w:szCs w:val="22"/>
        </w:rPr>
        <w:t>odel</w:t>
      </w:r>
      <w:r>
        <w:rPr>
          <w:rFonts w:ascii="Calibri" w:hAnsi="Calibri" w:cs="Calibri"/>
          <w:sz w:val="22"/>
          <w:szCs w:val="22"/>
        </w:rPr>
        <w:t>s</w:t>
      </w:r>
      <w:r w:rsidRPr="005B5452">
        <w:rPr>
          <w:rFonts w:ascii="Calibri" w:hAnsi="Calibri" w:cs="Calibri"/>
          <w:sz w:val="22"/>
          <w:szCs w:val="22"/>
        </w:rPr>
        <w:t xml:space="preserve">. The Medicare Part D payment will be risk adjusted using the Part D RxHCC </w:t>
      </w:r>
      <w:r>
        <w:rPr>
          <w:rFonts w:ascii="Calibri" w:hAnsi="Calibri" w:cs="Calibri"/>
          <w:sz w:val="22"/>
          <w:szCs w:val="22"/>
        </w:rPr>
        <w:t>m</w:t>
      </w:r>
      <w:r w:rsidRPr="005B5452">
        <w:rPr>
          <w:rFonts w:ascii="Calibri" w:hAnsi="Calibri" w:cs="Calibri"/>
          <w:sz w:val="22"/>
          <w:szCs w:val="22"/>
        </w:rPr>
        <w:t xml:space="preserve">odel. </w:t>
      </w:r>
      <w:r>
        <w:rPr>
          <w:rFonts w:ascii="Calibri" w:hAnsi="Calibri" w:cs="Calibri"/>
          <w:sz w:val="22"/>
          <w:szCs w:val="22"/>
        </w:rPr>
        <w:t xml:space="preserve"> To risk adjust the Medicaid component, MassHealth’s methodology assigns each enrollee t</w:t>
      </w:r>
      <w:r w:rsidRPr="005B5452">
        <w:rPr>
          <w:rFonts w:ascii="Calibri" w:hAnsi="Calibri" w:cs="Calibri"/>
          <w:sz w:val="22"/>
          <w:szCs w:val="22"/>
        </w:rPr>
        <w:t>o a rating category (RC) according to the individual enrollee’s</w:t>
      </w:r>
      <w:r>
        <w:rPr>
          <w:rFonts w:ascii="Calibri" w:hAnsi="Calibri" w:cs="Calibri"/>
          <w:sz w:val="22"/>
          <w:szCs w:val="22"/>
        </w:rPr>
        <w:t xml:space="preserve"> clinical status and setting of care. </w:t>
      </w:r>
      <w:r w:rsidRPr="005B5452">
        <w:rPr>
          <w:rFonts w:ascii="Calibri" w:hAnsi="Calibri" w:cs="Calibri"/>
          <w:sz w:val="22"/>
          <w:szCs w:val="22"/>
        </w:rPr>
        <w:t xml:space="preserve"> </w:t>
      </w:r>
    </w:p>
    <w:p w:rsidR="00283A75" w:rsidRPr="00EB2D4B" w:rsidRDefault="00283A75" w:rsidP="00C01D88"/>
    <w:p w:rsidR="00283A75" w:rsidRPr="00C01D88" w:rsidRDefault="00283A75" w:rsidP="00C01D88">
      <w:pPr>
        <w:autoSpaceDE w:val="0"/>
        <w:autoSpaceDN w:val="0"/>
        <w:adjustRightInd w:val="0"/>
        <w:rPr>
          <w:rFonts w:ascii="Calibri" w:hAnsi="Calibri" w:cs="Calibri"/>
          <w:color w:val="000000"/>
          <w:sz w:val="22"/>
          <w:szCs w:val="22"/>
        </w:rPr>
      </w:pPr>
      <w:r w:rsidRPr="00C01D88">
        <w:rPr>
          <w:rFonts w:ascii="Calibri" w:hAnsi="Calibri" w:cs="Calibri"/>
          <w:color w:val="000000"/>
          <w:sz w:val="22"/>
          <w:szCs w:val="22"/>
        </w:rPr>
        <w:t xml:space="preserve">Section II of this report provides information on </w:t>
      </w:r>
      <w:r>
        <w:rPr>
          <w:rFonts w:ascii="Calibri" w:hAnsi="Calibri" w:cs="Calibri"/>
          <w:color w:val="000000"/>
          <w:sz w:val="22"/>
          <w:szCs w:val="22"/>
        </w:rPr>
        <w:t xml:space="preserve">the MassHealth </w:t>
      </w:r>
      <w:r w:rsidRPr="00C01D88">
        <w:rPr>
          <w:rFonts w:ascii="Calibri" w:hAnsi="Calibri" w:cs="Calibri"/>
          <w:color w:val="000000"/>
          <w:sz w:val="22"/>
          <w:szCs w:val="22"/>
        </w:rPr>
        <w:t>component of the capitation rate. Section III includes the Medicare Parts A/B and Medicare Part D components of the rate.</w:t>
      </w:r>
    </w:p>
    <w:p w:rsidR="00283A75" w:rsidRPr="00C01D88" w:rsidRDefault="00283A75">
      <w:pPr>
        <w:spacing w:after="200" w:line="276" w:lineRule="auto"/>
        <w:rPr>
          <w:rFonts w:ascii="Calibri" w:hAnsi="Calibri" w:cs="Calibri"/>
          <w:color w:val="000000"/>
          <w:sz w:val="22"/>
          <w:szCs w:val="22"/>
        </w:rPr>
      </w:pPr>
      <w:r w:rsidRPr="00C01D88">
        <w:rPr>
          <w:rFonts w:ascii="Calibri" w:hAnsi="Calibri" w:cs="Calibri"/>
          <w:color w:val="000000"/>
          <w:sz w:val="22"/>
          <w:szCs w:val="22"/>
        </w:rPr>
        <w:br w:type="page"/>
      </w:r>
    </w:p>
    <w:p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MassHealth  Component of the Rate</w:t>
      </w:r>
      <w:r w:rsidR="00461127">
        <w:rPr>
          <w:rFonts w:ascii="Calibri" w:hAnsi="Calibri" w:cs="Calibri"/>
          <w:b/>
          <w:sz w:val="22"/>
          <w:szCs w:val="22"/>
        </w:rPr>
        <w:t xml:space="preserve"> – CY 2014</w:t>
      </w:r>
    </w:p>
    <w:p w:rsidR="00283A75" w:rsidRDefault="00283A75">
      <w:pPr>
        <w:spacing w:after="200" w:line="276" w:lineRule="auto"/>
        <w:rPr>
          <w:rFonts w:ascii="Calibri" w:hAnsi="Calibri" w:cs="Calibri"/>
          <w:b/>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rsidR="0090656A" w:rsidRPr="00FA5FF5" w:rsidRDefault="0090656A" w:rsidP="0090656A">
      <w:pPr>
        <w:rPr>
          <w:rFonts w:ascii="Arial" w:hAnsi="Arial" w:cs="Arial"/>
        </w:rPr>
      </w:pPr>
    </w:p>
    <w:p w:rsidR="0090656A" w:rsidRPr="00FA5FF5" w:rsidRDefault="0090656A" w:rsidP="0090656A">
      <w:pPr>
        <w:rPr>
          <w:rFonts w:ascii="Arial" w:hAnsi="Arial" w:cs="Arial"/>
        </w:rPr>
      </w:pPr>
    </w:p>
    <w:p w:rsidR="0090656A" w:rsidRPr="00263D60" w:rsidRDefault="0090656A" w:rsidP="0090656A">
      <w:pPr>
        <w:rPr>
          <w:rFonts w:asciiTheme="minorHAnsi" w:hAnsiTheme="minorHAnsi" w:cstheme="minorHAnsi"/>
          <w:b/>
          <w:sz w:val="22"/>
          <w:szCs w:val="22"/>
          <w:u w:val="single"/>
        </w:rPr>
      </w:pPr>
      <w:r w:rsidRPr="00263D60">
        <w:rPr>
          <w:rFonts w:asciiTheme="minorHAnsi" w:hAnsiTheme="minorHAnsi" w:cstheme="minorHAnsi"/>
          <w:b/>
          <w:sz w:val="22"/>
          <w:szCs w:val="22"/>
          <w:u w:val="single"/>
        </w:rPr>
        <w:t>MassHealth Component of Rate:</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MassHealth rates for CY2014 effective January 1, 2014 through Ma</w:t>
      </w:r>
      <w:r w:rsidR="000D2E0D" w:rsidRPr="00263D60">
        <w:rPr>
          <w:rFonts w:asciiTheme="minorHAnsi" w:hAnsiTheme="minorHAnsi" w:cstheme="minorHAnsi"/>
          <w:sz w:val="22"/>
          <w:szCs w:val="22"/>
        </w:rPr>
        <w:t>r</w:t>
      </w:r>
      <w:r w:rsidRPr="00263D60">
        <w:rPr>
          <w:rFonts w:asciiTheme="minorHAnsi" w:hAnsiTheme="minorHAnsi" w:cstheme="minorHAnsi"/>
          <w:sz w:val="22"/>
          <w:szCs w:val="22"/>
        </w:rPr>
        <w:t xml:space="preserve">ch 31, 2014 are listed below, by Massachusetts county and MassHealth rating category for the Demonstration. No savings percentage (see Section IV) has been applied to the </w:t>
      </w:r>
      <w:r w:rsidR="000225B2">
        <w:rPr>
          <w:rFonts w:asciiTheme="minorHAnsi" w:hAnsiTheme="minorHAnsi" w:cstheme="minorHAnsi"/>
          <w:sz w:val="22"/>
          <w:szCs w:val="22"/>
        </w:rPr>
        <w:t xml:space="preserve">January through March </w:t>
      </w:r>
      <w:r w:rsidRPr="00263D60">
        <w:rPr>
          <w:rFonts w:asciiTheme="minorHAnsi" w:hAnsiTheme="minorHAnsi" w:cstheme="minorHAnsi"/>
          <w:sz w:val="22"/>
          <w:szCs w:val="22"/>
        </w:rPr>
        <w:t xml:space="preserve">2014 rates below.  </w:t>
      </w:r>
    </w:p>
    <w:p w:rsidR="0090656A" w:rsidRPr="00263D60" w:rsidRDefault="0090656A" w:rsidP="0090656A">
      <w:pPr>
        <w:rPr>
          <w:rFonts w:asciiTheme="minorHAnsi" w:hAnsiTheme="minorHAnsi" w:cstheme="minorHAnsi"/>
          <w:sz w:val="22"/>
          <w:szCs w:val="22"/>
        </w:rPr>
      </w:pPr>
    </w:p>
    <w:tbl>
      <w:tblPr>
        <w:tblW w:w="9107" w:type="dxa"/>
        <w:tblInd w:w="190" w:type="dxa"/>
        <w:tblCellMar>
          <w:left w:w="0" w:type="dxa"/>
          <w:right w:w="0" w:type="dxa"/>
        </w:tblCellMar>
        <w:tblLook w:val="04A0" w:firstRow="1" w:lastRow="0" w:firstColumn="1" w:lastColumn="0" w:noHBand="0" w:noVBand="1"/>
      </w:tblPr>
      <w:tblGrid>
        <w:gridCol w:w="1189"/>
        <w:gridCol w:w="1316"/>
        <w:gridCol w:w="1365"/>
        <w:gridCol w:w="1316"/>
        <w:gridCol w:w="1294"/>
        <w:gridCol w:w="1316"/>
        <w:gridCol w:w="1311"/>
      </w:tblGrid>
      <w:tr w:rsidR="0090656A" w:rsidRPr="00263D60" w:rsidTr="00B755FF">
        <w:trPr>
          <w:trHeight w:val="270"/>
        </w:trPr>
        <w:tc>
          <w:tcPr>
            <w:tcW w:w="9107" w:type="dxa"/>
            <w:gridSpan w:val="7"/>
            <w:tcBorders>
              <w:top w:val="single" w:sz="8" w:space="0" w:color="auto"/>
              <w:left w:val="single" w:sz="8" w:space="0" w:color="auto"/>
              <w:bottom w:val="single" w:sz="4" w:space="0" w:color="auto"/>
              <w:right w:val="single" w:sz="8" w:space="0" w:color="000000"/>
            </w:tcBorders>
          </w:tcPr>
          <w:p w:rsidR="0090656A"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MassHealth Component of County Rate</w:t>
            </w:r>
          </w:p>
          <w:p w:rsidR="000225B2" w:rsidRPr="00263D60" w:rsidRDefault="000225B2" w:rsidP="0090656A">
            <w:pPr>
              <w:jc w:val="center"/>
              <w:rPr>
                <w:rFonts w:asciiTheme="minorHAnsi" w:eastAsia="Calibri" w:hAnsiTheme="minorHAnsi" w:cstheme="minorHAnsi"/>
                <w:b/>
                <w:bCs/>
                <w:sz w:val="22"/>
                <w:szCs w:val="22"/>
              </w:rPr>
            </w:pPr>
            <w:r>
              <w:rPr>
                <w:rFonts w:asciiTheme="minorHAnsi" w:hAnsiTheme="minorHAnsi" w:cstheme="minorHAnsi"/>
                <w:b/>
                <w:bCs/>
                <w:sz w:val="22"/>
                <w:szCs w:val="22"/>
              </w:rPr>
              <w:t>Effective January 1, 2014 through March 31, 2014</w:t>
            </w:r>
          </w:p>
        </w:tc>
      </w:tr>
      <w:tr w:rsidR="0090656A" w:rsidRPr="00263D60" w:rsidTr="00B755FF">
        <w:trPr>
          <w:trHeight w:val="1290"/>
        </w:trPr>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0656A" w:rsidRPr="00263D60" w:rsidRDefault="0090656A" w:rsidP="00464AA2">
            <w:pPr>
              <w:rPr>
                <w:rFonts w:asciiTheme="minorHAnsi" w:eastAsia="Calibri" w:hAnsiTheme="minorHAnsi" w:cstheme="minorHAnsi"/>
                <w:b/>
                <w:bCs/>
                <w:sz w:val="22"/>
                <w:szCs w:val="22"/>
              </w:rPr>
            </w:pPr>
            <w:r w:rsidRPr="00263D60">
              <w:rPr>
                <w:rFonts w:asciiTheme="minorHAnsi" w:hAnsiTheme="minorHAnsi" w:cstheme="minorHAnsi"/>
                <w:b/>
                <w:bCs/>
                <w:sz w:val="22"/>
                <w:szCs w:val="22"/>
              </w:rPr>
              <w:t>County</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0656A" w:rsidRPr="00263D60" w:rsidRDefault="0090656A" w:rsidP="0090656A">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C1 - Community Other</w:t>
            </w:r>
          </w:p>
        </w:tc>
        <w:tc>
          <w:tcPr>
            <w:tcW w:w="1365" w:type="dxa"/>
            <w:tcBorders>
              <w:top w:val="single" w:sz="4" w:space="0" w:color="auto"/>
              <w:left w:val="single" w:sz="4" w:space="0" w:color="auto"/>
              <w:bottom w:val="single" w:sz="4" w:space="0" w:color="auto"/>
              <w:right w:val="single" w:sz="4" w:space="0" w:color="auto"/>
            </w:tcBorders>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C2A - Community High Behavioral Health</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0656A" w:rsidRPr="00263D60" w:rsidRDefault="0090656A" w:rsidP="0090656A">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C2B - Community Very High Behavioral Health</w:t>
            </w:r>
          </w:p>
        </w:tc>
        <w:tc>
          <w:tcPr>
            <w:tcW w:w="1294" w:type="dxa"/>
            <w:tcBorders>
              <w:top w:val="single" w:sz="4" w:space="0" w:color="auto"/>
              <w:left w:val="single" w:sz="4" w:space="0" w:color="auto"/>
              <w:bottom w:val="single" w:sz="4" w:space="0" w:color="auto"/>
              <w:right w:val="single" w:sz="4" w:space="0" w:color="auto"/>
            </w:tcBorders>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C3A – High Community Need</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0656A" w:rsidRPr="00263D60" w:rsidRDefault="0090656A" w:rsidP="0090656A">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C3B – Very High Community Need</w:t>
            </w:r>
          </w:p>
        </w:tc>
        <w:tc>
          <w:tcPr>
            <w:tcW w:w="1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0656A" w:rsidRPr="00263D60" w:rsidRDefault="0090656A" w:rsidP="0090656A">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F1 - Facility-based Care</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Essex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$117.85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$363.02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$524.13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$2,777.23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$5,630.43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$9,056.97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Franklin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$107.62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$338.94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$489.17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$2,538.75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$5,145.63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$7,695.78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Hampden</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$107.62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$338.94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$489.17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$2,538.75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$5,145.63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$7,695.78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Hampshire</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$107.62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$338.94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$489.17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$2,538.75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$5,145.63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$7,695.78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Middlesex</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$117.85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$363.02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$524.13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$2,777.23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$5,630.43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$9,056.97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Norfolk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$117.85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$363.02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$524.13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$2,777.23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$5,630.43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$9,056.97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Plymouth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$132.30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$437.85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$632.71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$2,843.91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$5,759.97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$7,436.59 </w:t>
            </w:r>
          </w:p>
        </w:tc>
      </w:tr>
      <w:tr w:rsidR="0090656A"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Suffolk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$117.85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$363.02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$524.13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$2,777.23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$5,630.43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$9,056.97 </w:t>
            </w:r>
          </w:p>
        </w:tc>
      </w:tr>
      <w:tr w:rsidR="0090656A" w:rsidRPr="00263D60" w:rsidTr="00B755FF">
        <w:trPr>
          <w:trHeight w:val="270"/>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0656A" w:rsidRPr="00263D60" w:rsidRDefault="0090656A" w:rsidP="0090656A">
            <w:pPr>
              <w:rPr>
                <w:rFonts w:asciiTheme="minorHAnsi" w:eastAsia="Calibri" w:hAnsiTheme="minorHAnsi" w:cstheme="minorHAnsi"/>
                <w:sz w:val="22"/>
                <w:szCs w:val="22"/>
              </w:rPr>
            </w:pPr>
            <w:r w:rsidRPr="00263D60">
              <w:rPr>
                <w:rFonts w:asciiTheme="minorHAnsi" w:hAnsiTheme="minorHAnsi" w:cstheme="minorHAnsi"/>
                <w:sz w:val="22"/>
                <w:szCs w:val="22"/>
              </w:rPr>
              <w:t xml:space="preserve">Worcester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$107.62 </w:t>
            </w:r>
          </w:p>
        </w:tc>
        <w:tc>
          <w:tcPr>
            <w:tcW w:w="1365"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$338.94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B755FF">
            <w:pPr>
              <w:ind w:right="128"/>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$489.17 </w:t>
            </w:r>
          </w:p>
        </w:tc>
        <w:tc>
          <w:tcPr>
            <w:tcW w:w="1294" w:type="dxa"/>
            <w:tcBorders>
              <w:top w:val="single" w:sz="4" w:space="0" w:color="auto"/>
              <w:left w:val="single" w:sz="4" w:space="0" w:color="auto"/>
              <w:bottom w:val="single" w:sz="4" w:space="0" w:color="auto"/>
              <w:right w:val="single" w:sz="4" w:space="0" w:color="auto"/>
            </w:tcBorders>
          </w:tcPr>
          <w:p w:rsidR="0090656A" w:rsidRPr="00F36947" w:rsidRDefault="0090656A" w:rsidP="00B755FF">
            <w:pPr>
              <w:ind w:right="180"/>
              <w:jc w:val="right"/>
              <w:rPr>
                <w:rFonts w:asciiTheme="minorHAnsi" w:hAnsiTheme="minorHAnsi" w:cstheme="minorHAnsi"/>
                <w:color w:val="000000"/>
                <w:sz w:val="22"/>
                <w:szCs w:val="22"/>
              </w:rPr>
            </w:pPr>
            <w:r w:rsidRPr="00F36947">
              <w:rPr>
                <w:rFonts w:asciiTheme="minorHAnsi" w:hAnsiTheme="minorHAnsi" w:cstheme="minorHAnsi"/>
                <w:sz w:val="22"/>
                <w:szCs w:val="22"/>
              </w:rPr>
              <w:t xml:space="preserve">$2,538.75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$5,145.63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0656A" w:rsidRPr="00F36947" w:rsidRDefault="0090656A" w:rsidP="0090656A">
            <w:pPr>
              <w:jc w:val="right"/>
              <w:rPr>
                <w:rFonts w:asciiTheme="minorHAnsi" w:eastAsia="Calibri" w:hAnsiTheme="minorHAnsi" w:cstheme="minorHAnsi"/>
                <w:color w:val="000000"/>
                <w:sz w:val="22"/>
                <w:szCs w:val="22"/>
              </w:rPr>
            </w:pPr>
            <w:r w:rsidRPr="00F36947">
              <w:rPr>
                <w:rFonts w:asciiTheme="minorHAnsi" w:hAnsiTheme="minorHAnsi" w:cstheme="minorHAnsi"/>
                <w:sz w:val="22"/>
                <w:szCs w:val="22"/>
              </w:rPr>
              <w:t xml:space="preserve">$7,695.78 </w:t>
            </w:r>
          </w:p>
        </w:tc>
      </w:tr>
    </w:tbl>
    <w:p w:rsidR="00BB0350" w:rsidRDefault="00BB0350" w:rsidP="0090656A">
      <w:pPr>
        <w:rPr>
          <w:rFonts w:asciiTheme="minorHAnsi" w:hAnsiTheme="minorHAnsi" w:cstheme="minorHAnsi"/>
          <w:sz w:val="22"/>
          <w:szCs w:val="22"/>
        </w:rPr>
      </w:pPr>
    </w:p>
    <w:p w:rsidR="00BB0350" w:rsidRDefault="00BB0350">
      <w:pPr>
        <w:rPr>
          <w:rFonts w:asciiTheme="minorHAnsi" w:hAnsiTheme="minorHAnsi" w:cstheme="minorHAnsi"/>
          <w:sz w:val="22"/>
          <w:szCs w:val="22"/>
        </w:rPr>
      </w:pPr>
      <w:r>
        <w:rPr>
          <w:rFonts w:asciiTheme="minorHAnsi" w:hAnsiTheme="minorHAnsi" w:cstheme="minorHAnsi"/>
          <w:sz w:val="22"/>
          <w:szCs w:val="22"/>
        </w:rPr>
        <w:br w:type="page"/>
      </w:r>
    </w:p>
    <w:p w:rsidR="0090656A" w:rsidRDefault="0090656A" w:rsidP="0090656A">
      <w:pPr>
        <w:rPr>
          <w:rFonts w:asciiTheme="minorHAnsi" w:hAnsiTheme="minorHAnsi" w:cstheme="minorHAnsi"/>
          <w:sz w:val="22"/>
          <w:szCs w:val="22"/>
        </w:rPr>
      </w:pPr>
    </w:p>
    <w:p w:rsidR="000225B2" w:rsidRPr="00263D60" w:rsidRDefault="000225B2" w:rsidP="0090656A">
      <w:pPr>
        <w:rPr>
          <w:rFonts w:asciiTheme="minorHAnsi" w:hAnsiTheme="minorHAnsi" w:cstheme="minorHAnsi"/>
          <w:sz w:val="22"/>
          <w:szCs w:val="22"/>
        </w:rPr>
      </w:pPr>
      <w:r w:rsidRPr="00263D60">
        <w:rPr>
          <w:rFonts w:asciiTheme="minorHAnsi" w:hAnsiTheme="minorHAnsi" w:cstheme="minorHAnsi"/>
          <w:sz w:val="22"/>
          <w:szCs w:val="22"/>
        </w:rPr>
        <w:t xml:space="preserve">Effective April 1, 2014, a 1% savings percentage will </w:t>
      </w:r>
      <w:r>
        <w:rPr>
          <w:rFonts w:asciiTheme="minorHAnsi" w:hAnsiTheme="minorHAnsi" w:cstheme="minorHAnsi"/>
          <w:sz w:val="22"/>
          <w:szCs w:val="22"/>
        </w:rPr>
        <w:t>apply.  Rates effective from April 1, 2014 through December 31, 2014 are listed below.</w:t>
      </w:r>
    </w:p>
    <w:p w:rsidR="000225B2" w:rsidRDefault="000225B2" w:rsidP="000225B2">
      <w:pPr>
        <w:rPr>
          <w:rFonts w:asciiTheme="minorHAnsi" w:hAnsiTheme="minorHAnsi" w:cstheme="minorHAnsi"/>
          <w:sz w:val="22"/>
          <w:szCs w:val="22"/>
        </w:rPr>
      </w:pPr>
    </w:p>
    <w:tbl>
      <w:tblPr>
        <w:tblW w:w="9107" w:type="dxa"/>
        <w:tblInd w:w="190" w:type="dxa"/>
        <w:tblCellMar>
          <w:left w:w="0" w:type="dxa"/>
          <w:right w:w="0" w:type="dxa"/>
        </w:tblCellMar>
        <w:tblLook w:val="04A0" w:firstRow="1" w:lastRow="0" w:firstColumn="1" w:lastColumn="0" w:noHBand="0" w:noVBand="1"/>
      </w:tblPr>
      <w:tblGrid>
        <w:gridCol w:w="1189"/>
        <w:gridCol w:w="1316"/>
        <w:gridCol w:w="1365"/>
        <w:gridCol w:w="1316"/>
        <w:gridCol w:w="1294"/>
        <w:gridCol w:w="1316"/>
        <w:gridCol w:w="1311"/>
      </w:tblGrid>
      <w:tr w:rsidR="00B755FF" w:rsidRPr="00263D60" w:rsidTr="00B755FF">
        <w:trPr>
          <w:trHeight w:val="270"/>
        </w:trPr>
        <w:tc>
          <w:tcPr>
            <w:tcW w:w="9107" w:type="dxa"/>
            <w:gridSpan w:val="7"/>
            <w:tcBorders>
              <w:top w:val="single" w:sz="8" w:space="0" w:color="auto"/>
              <w:left w:val="single" w:sz="8" w:space="0" w:color="auto"/>
              <w:bottom w:val="single" w:sz="8" w:space="0" w:color="auto"/>
              <w:right w:val="single" w:sz="8" w:space="0" w:color="000000"/>
            </w:tcBorders>
          </w:tcPr>
          <w:p w:rsidR="00B755FF" w:rsidRDefault="00B755FF" w:rsidP="00B755FF">
            <w:pPr>
              <w:jc w:val="center"/>
              <w:rPr>
                <w:rFonts w:asciiTheme="minorHAnsi" w:hAnsiTheme="minorHAnsi" w:cstheme="minorHAnsi"/>
                <w:b/>
                <w:bCs/>
                <w:sz w:val="22"/>
                <w:szCs w:val="22"/>
              </w:rPr>
            </w:pPr>
            <w:r w:rsidRPr="00263D60">
              <w:rPr>
                <w:rFonts w:asciiTheme="minorHAnsi" w:hAnsiTheme="minorHAnsi" w:cstheme="minorHAnsi"/>
                <w:b/>
                <w:bCs/>
                <w:sz w:val="22"/>
                <w:szCs w:val="22"/>
              </w:rPr>
              <w:t>MassHealth Component of County Rate</w:t>
            </w:r>
          </w:p>
          <w:p w:rsidR="00B755FF" w:rsidRPr="00B755FF" w:rsidRDefault="00B755FF" w:rsidP="00B755FF">
            <w:pPr>
              <w:jc w:val="center"/>
              <w:rPr>
                <w:rFonts w:asciiTheme="minorHAnsi" w:hAnsiTheme="minorHAnsi" w:cstheme="minorHAnsi"/>
                <w:b/>
                <w:bCs/>
                <w:sz w:val="22"/>
                <w:szCs w:val="22"/>
              </w:rPr>
            </w:pPr>
            <w:r>
              <w:rPr>
                <w:rFonts w:asciiTheme="minorHAnsi" w:hAnsiTheme="minorHAnsi" w:cstheme="minorHAnsi"/>
                <w:b/>
                <w:bCs/>
                <w:sz w:val="22"/>
                <w:szCs w:val="22"/>
              </w:rPr>
              <w:t>Effective April 1, 2014 through December 31, 2014</w:t>
            </w:r>
          </w:p>
        </w:tc>
      </w:tr>
      <w:tr w:rsidR="00B755FF" w:rsidRPr="00263D60" w:rsidTr="00B755FF">
        <w:trPr>
          <w:trHeight w:val="1290"/>
        </w:trPr>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b/>
                <w:bCs/>
                <w:sz w:val="22"/>
                <w:szCs w:val="22"/>
              </w:rPr>
            </w:pPr>
            <w:r w:rsidRPr="00263D60">
              <w:rPr>
                <w:rFonts w:asciiTheme="minorHAnsi" w:hAnsiTheme="minorHAnsi" w:cstheme="minorHAnsi"/>
                <w:b/>
                <w:bCs/>
                <w:sz w:val="22"/>
                <w:szCs w:val="22"/>
              </w:rPr>
              <w:t>County</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755FF" w:rsidRPr="00263D60" w:rsidRDefault="00B755FF" w:rsidP="00B755FF">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C1 - Community Other</w:t>
            </w:r>
          </w:p>
        </w:tc>
        <w:tc>
          <w:tcPr>
            <w:tcW w:w="1365" w:type="dxa"/>
            <w:tcBorders>
              <w:top w:val="single" w:sz="4" w:space="0" w:color="auto"/>
              <w:left w:val="single" w:sz="4" w:space="0" w:color="auto"/>
              <w:bottom w:val="single" w:sz="4" w:space="0" w:color="auto"/>
              <w:right w:val="single" w:sz="4" w:space="0" w:color="auto"/>
            </w:tcBorders>
            <w:vAlign w:val="bottom"/>
          </w:tcPr>
          <w:p w:rsidR="00B755FF" w:rsidRPr="00263D60" w:rsidRDefault="00B755FF" w:rsidP="00B755FF">
            <w:pPr>
              <w:jc w:val="center"/>
              <w:rPr>
                <w:rFonts w:asciiTheme="minorHAnsi" w:hAnsiTheme="minorHAnsi" w:cstheme="minorHAnsi"/>
                <w:b/>
                <w:bCs/>
                <w:sz w:val="22"/>
                <w:szCs w:val="22"/>
              </w:rPr>
            </w:pPr>
            <w:r w:rsidRPr="00263D60">
              <w:rPr>
                <w:rFonts w:asciiTheme="minorHAnsi" w:hAnsiTheme="minorHAnsi" w:cstheme="minorHAnsi"/>
                <w:b/>
                <w:bCs/>
                <w:sz w:val="22"/>
                <w:szCs w:val="22"/>
              </w:rPr>
              <w:t>C2A - Community High Behavioral Health</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755FF" w:rsidRPr="00263D60" w:rsidRDefault="00B755FF" w:rsidP="00B755FF">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C2B - Community Very High Behavioral Health</w:t>
            </w:r>
          </w:p>
        </w:tc>
        <w:tc>
          <w:tcPr>
            <w:tcW w:w="1294" w:type="dxa"/>
            <w:tcBorders>
              <w:top w:val="single" w:sz="4" w:space="0" w:color="auto"/>
              <w:left w:val="single" w:sz="4" w:space="0" w:color="auto"/>
              <w:bottom w:val="single" w:sz="4" w:space="0" w:color="auto"/>
              <w:right w:val="single" w:sz="4" w:space="0" w:color="auto"/>
            </w:tcBorders>
            <w:vAlign w:val="bottom"/>
          </w:tcPr>
          <w:p w:rsidR="00B755FF" w:rsidRPr="00263D60" w:rsidRDefault="00B755FF" w:rsidP="00B755FF">
            <w:pPr>
              <w:jc w:val="center"/>
              <w:rPr>
                <w:rFonts w:asciiTheme="minorHAnsi" w:hAnsiTheme="minorHAnsi" w:cstheme="minorHAnsi"/>
                <w:b/>
                <w:bCs/>
                <w:sz w:val="22"/>
                <w:szCs w:val="22"/>
              </w:rPr>
            </w:pPr>
            <w:r w:rsidRPr="00263D60">
              <w:rPr>
                <w:rFonts w:asciiTheme="minorHAnsi" w:hAnsiTheme="minorHAnsi" w:cstheme="minorHAnsi"/>
                <w:b/>
                <w:bCs/>
                <w:sz w:val="22"/>
                <w:szCs w:val="22"/>
              </w:rPr>
              <w:t>C3A – High Community Need</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755FF" w:rsidRPr="00263D60" w:rsidRDefault="00B755FF" w:rsidP="00B755FF">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C3B – Very High Community Need</w:t>
            </w:r>
          </w:p>
        </w:tc>
        <w:tc>
          <w:tcPr>
            <w:tcW w:w="1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755FF" w:rsidRPr="00263D60" w:rsidRDefault="00B755FF" w:rsidP="00B755FF">
            <w:pPr>
              <w:jc w:val="center"/>
              <w:rPr>
                <w:rFonts w:asciiTheme="minorHAnsi" w:eastAsia="Calibri" w:hAnsiTheme="minorHAnsi" w:cstheme="minorHAnsi"/>
                <w:b/>
                <w:bCs/>
                <w:sz w:val="22"/>
                <w:szCs w:val="22"/>
              </w:rPr>
            </w:pPr>
            <w:r w:rsidRPr="00263D60">
              <w:rPr>
                <w:rFonts w:asciiTheme="minorHAnsi" w:hAnsiTheme="minorHAnsi" w:cstheme="minorHAnsi"/>
                <w:b/>
                <w:bCs/>
                <w:sz w:val="22"/>
                <w:szCs w:val="22"/>
              </w:rPr>
              <w:t>F1 - Facility-based Care</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Essex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$116.67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$359.39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$518.89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$2,749.50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$5,574.23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$8,972.59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Franklin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$106.54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$335.56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$484.28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$2,513.39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$5,094.24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$7,626.05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Hampden</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$106.54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$335.56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$484.28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$2,513.39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$5,094.24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$7,626.05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Hampshire</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$106.54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$335.56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$484.28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$2,513.39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$5,094.24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$7,626.05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Middlesex</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$116.67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$359.39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$518.89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$2,749.50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$5,574.23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$8,972.59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Norfolk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$116.67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$359.39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$518.89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$2,749.50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$5,574.23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$8,972.59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Plymouth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$130.98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$433.47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$626.38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$2,815.52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$5,702.43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$7,370.42 </w:t>
            </w:r>
          </w:p>
        </w:tc>
      </w:tr>
      <w:tr w:rsidR="00B755FF" w:rsidRPr="00263D60" w:rsidTr="00B755FF">
        <w:trPr>
          <w:trHeight w:val="255"/>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Suffolk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$116.67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$359.39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$518.89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$2,749.50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$5,574.23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$8,972.59 </w:t>
            </w:r>
          </w:p>
        </w:tc>
      </w:tr>
      <w:tr w:rsidR="00B755FF" w:rsidRPr="00263D60" w:rsidTr="00B755FF">
        <w:trPr>
          <w:trHeight w:val="270"/>
        </w:trPr>
        <w:tc>
          <w:tcPr>
            <w:tcW w:w="11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755FF" w:rsidRPr="00263D60" w:rsidRDefault="00B755FF" w:rsidP="00B755FF">
            <w:pPr>
              <w:rPr>
                <w:rFonts w:asciiTheme="minorHAnsi" w:eastAsia="Calibri" w:hAnsiTheme="minorHAnsi" w:cstheme="minorHAnsi"/>
                <w:sz w:val="22"/>
                <w:szCs w:val="22"/>
              </w:rPr>
            </w:pPr>
            <w:r w:rsidRPr="00263D60">
              <w:rPr>
                <w:rFonts w:asciiTheme="minorHAnsi" w:hAnsiTheme="minorHAnsi" w:cstheme="minorHAnsi"/>
                <w:sz w:val="22"/>
                <w:szCs w:val="22"/>
              </w:rPr>
              <w:t xml:space="preserve">Worcester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$106.54 </w:t>
            </w:r>
          </w:p>
        </w:tc>
        <w:tc>
          <w:tcPr>
            <w:tcW w:w="1365"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$335.56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ind w:right="128"/>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$484.28 </w:t>
            </w:r>
          </w:p>
        </w:tc>
        <w:tc>
          <w:tcPr>
            <w:tcW w:w="1294" w:type="dxa"/>
            <w:tcBorders>
              <w:top w:val="single" w:sz="4" w:space="0" w:color="auto"/>
              <w:left w:val="single" w:sz="4" w:space="0" w:color="auto"/>
              <w:bottom w:val="single" w:sz="4" w:space="0" w:color="auto"/>
              <w:right w:val="single" w:sz="4" w:space="0" w:color="auto"/>
            </w:tcBorders>
            <w:vAlign w:val="center"/>
          </w:tcPr>
          <w:p w:rsidR="00B755FF" w:rsidRPr="00F36947" w:rsidRDefault="00B755FF" w:rsidP="00B755FF">
            <w:pPr>
              <w:ind w:right="180"/>
              <w:jc w:val="right"/>
              <w:rPr>
                <w:rFonts w:asciiTheme="minorHAnsi" w:hAnsiTheme="minorHAnsi" w:cstheme="minorHAnsi"/>
                <w:color w:val="000000"/>
                <w:sz w:val="22"/>
                <w:szCs w:val="22"/>
              </w:rPr>
            </w:pPr>
            <w:r w:rsidRPr="00AA2B21">
              <w:rPr>
                <w:rFonts w:ascii="Arial" w:hAnsi="Arial" w:cs="Arial"/>
                <w:color w:val="000000"/>
                <w:sz w:val="20"/>
                <w:szCs w:val="20"/>
              </w:rPr>
              <w:t xml:space="preserve">$2,513.39 </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$5,094.24 </w:t>
            </w:r>
          </w:p>
        </w:tc>
        <w:tc>
          <w:tcPr>
            <w:tcW w:w="13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B755FF" w:rsidRPr="00F36947" w:rsidRDefault="00B755FF" w:rsidP="00B755FF">
            <w:pPr>
              <w:jc w:val="right"/>
              <w:rPr>
                <w:rFonts w:asciiTheme="minorHAnsi" w:eastAsia="Calibri" w:hAnsiTheme="minorHAnsi" w:cstheme="minorHAnsi"/>
                <w:color w:val="000000"/>
                <w:sz w:val="22"/>
                <w:szCs w:val="22"/>
              </w:rPr>
            </w:pPr>
            <w:r w:rsidRPr="00AA2B21">
              <w:rPr>
                <w:rFonts w:ascii="Arial" w:hAnsi="Arial" w:cs="Arial"/>
                <w:color w:val="000000"/>
                <w:sz w:val="20"/>
                <w:szCs w:val="20"/>
              </w:rPr>
              <w:t xml:space="preserve">$7,626.05 </w:t>
            </w:r>
          </w:p>
        </w:tc>
      </w:tr>
    </w:tbl>
    <w:p w:rsidR="0090656A" w:rsidRDefault="0090656A" w:rsidP="0090656A">
      <w:pPr>
        <w:rPr>
          <w:rFonts w:ascii="Arial" w:hAnsi="Arial" w:cs="Arial"/>
        </w:rPr>
      </w:pPr>
    </w:p>
    <w:p w:rsidR="00EC39D3" w:rsidRPr="00FA5FF5" w:rsidRDefault="00EC39D3" w:rsidP="0090656A">
      <w:pPr>
        <w:rPr>
          <w:rFonts w:ascii="Arial" w:hAnsi="Arial" w:cs="Arial"/>
        </w:rPr>
      </w:pPr>
    </w:p>
    <w:p w:rsidR="0090656A" w:rsidRPr="00263D60" w:rsidRDefault="0090656A" w:rsidP="0090656A">
      <w:pPr>
        <w:rPr>
          <w:rFonts w:asciiTheme="minorHAnsi" w:hAnsiTheme="minorHAnsi" w:cstheme="minorHAnsi"/>
          <w:b/>
          <w:sz w:val="22"/>
          <w:szCs w:val="22"/>
          <w:u w:val="single"/>
        </w:rPr>
      </w:pPr>
      <w:r w:rsidRPr="00263D60">
        <w:rPr>
          <w:rFonts w:asciiTheme="minorHAnsi" w:hAnsiTheme="minorHAnsi" w:cstheme="minorHAnsi"/>
          <w:b/>
          <w:sz w:val="22"/>
          <w:szCs w:val="22"/>
          <w:u w:val="single"/>
        </w:rPr>
        <w:t>Historical Base Data Development:</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historical Medicaid and crossover expenditures</w:t>
      </w:r>
      <w:r w:rsidR="006A15FD">
        <w:rPr>
          <w:rFonts w:asciiTheme="minorHAnsi" w:hAnsiTheme="minorHAnsi" w:cstheme="minorHAnsi"/>
          <w:sz w:val="22"/>
          <w:szCs w:val="22"/>
        </w:rPr>
        <w:t xml:space="preserve"> for CY 2010 and 2011</w:t>
      </w:r>
      <w:r w:rsidRPr="00263D60">
        <w:rPr>
          <w:rFonts w:asciiTheme="minorHAnsi" w:hAnsiTheme="minorHAnsi" w:cstheme="minorHAnsi"/>
          <w:sz w:val="22"/>
          <w:szCs w:val="22"/>
        </w:rPr>
        <w:t>, with incurred but not reported (IBNR) completion adjustments applied, formed the historical base data used to develop the MassHealth component of the rates.</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historical base data can be created by taking Medicaid and crossover expenditures reported in the MassHealth Data Book</w:t>
      </w:r>
      <w:r w:rsidR="00B71AFF">
        <w:rPr>
          <w:rFonts w:asciiTheme="minorHAnsi" w:hAnsiTheme="minorHAnsi" w:cstheme="minorHAnsi"/>
          <w:sz w:val="22"/>
          <w:szCs w:val="22"/>
        </w:rPr>
        <w:t>s shared with One Care plans</w:t>
      </w:r>
      <w:r w:rsidRPr="00263D60">
        <w:rPr>
          <w:rFonts w:asciiTheme="minorHAnsi" w:hAnsiTheme="minorHAnsi" w:cstheme="minorHAnsi"/>
          <w:sz w:val="22"/>
          <w:szCs w:val="22"/>
        </w:rPr>
        <w:t xml:space="preserve">, using the mapping provided below to map Data Book categories of service to rate development categories of service, mapping </w:t>
      </w:r>
      <w:r w:rsidR="006A15FD">
        <w:rPr>
          <w:rFonts w:asciiTheme="minorHAnsi" w:hAnsiTheme="minorHAnsi" w:cstheme="minorHAnsi"/>
          <w:sz w:val="22"/>
          <w:szCs w:val="22"/>
        </w:rPr>
        <w:t xml:space="preserve">One Care </w:t>
      </w:r>
      <w:r w:rsidRPr="00263D60">
        <w:rPr>
          <w:rFonts w:asciiTheme="minorHAnsi" w:hAnsiTheme="minorHAnsi" w:cstheme="minorHAnsi"/>
          <w:sz w:val="22"/>
          <w:szCs w:val="22"/>
        </w:rPr>
        <w:t>counties to geographic regions</w:t>
      </w:r>
      <w:r w:rsidR="00C5711F">
        <w:rPr>
          <w:rFonts w:asciiTheme="minorHAnsi" w:hAnsiTheme="minorHAnsi" w:cstheme="minorHAnsi"/>
          <w:sz w:val="22"/>
          <w:szCs w:val="22"/>
        </w:rPr>
        <w:t xml:space="preserve"> (see </w:t>
      </w:r>
      <w:r w:rsidR="00C5711F" w:rsidRPr="00C5711F">
        <w:rPr>
          <w:rFonts w:asciiTheme="minorHAnsi" w:hAnsiTheme="minorHAnsi" w:cstheme="minorHAnsi"/>
          <w:i/>
          <w:sz w:val="22"/>
          <w:szCs w:val="22"/>
        </w:rPr>
        <w:t>Counties and Regions</w:t>
      </w:r>
      <w:r w:rsidR="00C5711F">
        <w:rPr>
          <w:rFonts w:asciiTheme="minorHAnsi" w:hAnsiTheme="minorHAnsi" w:cstheme="minorHAnsi"/>
          <w:sz w:val="22"/>
          <w:szCs w:val="22"/>
        </w:rPr>
        <w:t xml:space="preserve"> subsection)</w:t>
      </w:r>
      <w:r w:rsidRPr="00263D60">
        <w:rPr>
          <w:rFonts w:asciiTheme="minorHAnsi" w:hAnsiTheme="minorHAnsi" w:cstheme="minorHAnsi"/>
          <w:sz w:val="22"/>
          <w:szCs w:val="22"/>
        </w:rPr>
        <w:t>, and applying the completion factors also included below. For convenience, per member per month (PMPM) expenditures with IBNR are provided at the end of this report in Section VI for Medicaid and crossover claims by calendar year, region, rating category and category of service.</w:t>
      </w:r>
    </w:p>
    <w:p w:rsidR="0090656A" w:rsidRDefault="0090656A" w:rsidP="0090656A">
      <w:pPr>
        <w:rPr>
          <w:rFonts w:asciiTheme="minorHAnsi" w:hAnsiTheme="minorHAnsi" w:cstheme="minorHAnsi"/>
          <w:sz w:val="22"/>
          <w:szCs w:val="22"/>
        </w:rPr>
      </w:pPr>
    </w:p>
    <w:p w:rsidR="00793864" w:rsidRPr="00793864" w:rsidRDefault="00793864" w:rsidP="00793864">
      <w:pPr>
        <w:rPr>
          <w:rFonts w:asciiTheme="minorHAnsi" w:hAnsiTheme="minorHAnsi" w:cstheme="minorHAnsi"/>
          <w:sz w:val="22"/>
          <w:szCs w:val="22"/>
        </w:rPr>
      </w:pPr>
      <w:r w:rsidRPr="00793864">
        <w:rPr>
          <w:rFonts w:asciiTheme="minorHAnsi" w:hAnsiTheme="minorHAnsi" w:cstheme="minorHAnsi"/>
          <w:b/>
          <w:bCs/>
          <w:i/>
          <w:iCs/>
          <w:sz w:val="22"/>
          <w:szCs w:val="22"/>
        </w:rPr>
        <w:t xml:space="preserve">Rating Category </w:t>
      </w:r>
      <w:r w:rsidR="00B71AFF">
        <w:rPr>
          <w:rFonts w:asciiTheme="minorHAnsi" w:hAnsiTheme="minorHAnsi" w:cstheme="minorHAnsi"/>
          <w:b/>
          <w:bCs/>
          <w:i/>
          <w:iCs/>
          <w:sz w:val="22"/>
          <w:szCs w:val="22"/>
        </w:rPr>
        <w:t>Methodology</w:t>
      </w:r>
      <w:r w:rsidRPr="00793864">
        <w:rPr>
          <w:rFonts w:asciiTheme="minorHAnsi" w:hAnsiTheme="minorHAnsi" w:cstheme="minorHAnsi"/>
          <w:sz w:val="22"/>
          <w:szCs w:val="22"/>
        </w:rPr>
        <w:t>:</w:t>
      </w:r>
    </w:p>
    <w:p w:rsidR="00793864" w:rsidRPr="00793864" w:rsidRDefault="00793864" w:rsidP="00793864">
      <w:pPr>
        <w:rPr>
          <w:rFonts w:asciiTheme="minorHAnsi" w:hAnsiTheme="minorHAnsi" w:cstheme="minorHAnsi"/>
          <w:sz w:val="22"/>
          <w:szCs w:val="22"/>
        </w:rPr>
      </w:pPr>
      <w:r w:rsidRPr="00793864">
        <w:rPr>
          <w:rFonts w:asciiTheme="minorHAnsi" w:hAnsiTheme="minorHAnsi" w:cstheme="minorHAnsi"/>
          <w:sz w:val="22"/>
          <w:szCs w:val="22"/>
        </w:rPr>
        <w:t>The methodology used to assign individuals to rating categories has been modified compared to the methodology used for the C</w:t>
      </w:r>
      <w:r>
        <w:rPr>
          <w:rFonts w:asciiTheme="minorHAnsi" w:hAnsiTheme="minorHAnsi" w:cstheme="minorHAnsi"/>
          <w:sz w:val="22"/>
          <w:szCs w:val="22"/>
        </w:rPr>
        <w:t>Y 20</w:t>
      </w:r>
      <w:r w:rsidRPr="00793864">
        <w:rPr>
          <w:rFonts w:asciiTheme="minorHAnsi" w:hAnsiTheme="minorHAnsi" w:cstheme="minorHAnsi"/>
          <w:sz w:val="22"/>
          <w:szCs w:val="22"/>
        </w:rPr>
        <w:t xml:space="preserve">13 rate development. The methodology previously used for the C3 - High Community Need rating category in developing the CY 2013 rates assumed that a high long-term support services (LTSS) utilizer (&gt;$500 for three consecutive months) would continue to be a high utilizer and therefore remain in the C3 rating category throughout the base data period. After a review of additional information, it was determined that some C3 members do not remain a high utilizer of LTSS services. Based on this additional information, the methodology to assign members to the C3 rating category for development of the CY 2014 rates has been revised. For CY 2014 rate development, assignment to the C3 rating category is evaluated within each calendar year rather than over the entire base data period. This revised C3 methodology, where each calendar year is </w:t>
      </w:r>
      <w:r w:rsidRPr="00793864">
        <w:rPr>
          <w:rFonts w:asciiTheme="minorHAnsi" w:hAnsiTheme="minorHAnsi" w:cstheme="minorHAnsi"/>
          <w:sz w:val="22"/>
          <w:szCs w:val="22"/>
        </w:rPr>
        <w:lastRenderedPageBreak/>
        <w:t>treated independently, aligns more closely with the rating category assignment logic used in the enrollment process.</w:t>
      </w:r>
    </w:p>
    <w:p w:rsidR="00793864" w:rsidRPr="00263D60" w:rsidRDefault="00793864" w:rsidP="0090656A">
      <w:pPr>
        <w:rPr>
          <w:rFonts w:asciiTheme="minorHAnsi" w:hAnsiTheme="minorHAnsi" w:cstheme="minorHAnsi"/>
          <w:sz w:val="22"/>
          <w:szCs w:val="22"/>
        </w:rPr>
      </w:pPr>
    </w:p>
    <w:p w:rsidR="0090656A" w:rsidRDefault="008749D7" w:rsidP="0090656A">
      <w:pPr>
        <w:rPr>
          <w:rFonts w:asciiTheme="minorHAnsi" w:hAnsiTheme="minorHAnsi" w:cstheme="minorHAnsi"/>
          <w:sz w:val="22"/>
          <w:szCs w:val="22"/>
        </w:rPr>
      </w:pPr>
      <w:r>
        <w:rPr>
          <w:rFonts w:asciiTheme="minorHAnsi" w:hAnsiTheme="minorHAnsi" w:cstheme="minorHAnsi"/>
          <w:b/>
          <w:i/>
          <w:sz w:val="22"/>
          <w:szCs w:val="22"/>
        </w:rPr>
        <w:t>Rating Category Stratification</w:t>
      </w:r>
      <w:r w:rsidRPr="00263D60">
        <w:rPr>
          <w:rFonts w:asciiTheme="minorHAnsi" w:hAnsiTheme="minorHAnsi" w:cstheme="minorHAnsi"/>
          <w:sz w:val="22"/>
          <w:szCs w:val="22"/>
        </w:rPr>
        <w:t>:</w:t>
      </w:r>
    </w:p>
    <w:p w:rsidR="00327A21" w:rsidRPr="008E5CA0" w:rsidRDefault="00327A21" w:rsidP="008E5CA0">
      <w:pPr>
        <w:rPr>
          <w:rFonts w:asciiTheme="minorHAnsi" w:hAnsiTheme="minorHAnsi" w:cstheme="minorHAnsi"/>
          <w:sz w:val="22"/>
          <w:szCs w:val="22"/>
        </w:rPr>
      </w:pPr>
      <w:r w:rsidRPr="008E5CA0">
        <w:rPr>
          <w:rFonts w:asciiTheme="minorHAnsi" w:hAnsiTheme="minorHAnsi" w:cstheme="minorHAnsi"/>
          <w:sz w:val="22"/>
          <w:szCs w:val="22"/>
        </w:rPr>
        <w:t>Effective Jan</w:t>
      </w:r>
      <w:r w:rsidR="002E3CBA">
        <w:rPr>
          <w:rFonts w:asciiTheme="minorHAnsi" w:hAnsiTheme="minorHAnsi" w:cstheme="minorHAnsi"/>
          <w:sz w:val="22"/>
          <w:szCs w:val="22"/>
        </w:rPr>
        <w:t>uary</w:t>
      </w:r>
      <w:r w:rsidRPr="008E5CA0">
        <w:rPr>
          <w:rFonts w:asciiTheme="minorHAnsi" w:hAnsiTheme="minorHAnsi" w:cstheme="minorHAnsi"/>
          <w:sz w:val="22"/>
          <w:szCs w:val="22"/>
        </w:rPr>
        <w:t xml:space="preserve"> 1, 2014, the C2 - Community High Behavioral Health and C3 - High Community Need rating categories will each be further stratified into two subpopulations. </w:t>
      </w:r>
      <w:r w:rsidR="00104DD3">
        <w:rPr>
          <w:rFonts w:asciiTheme="minorHAnsi" w:hAnsiTheme="minorHAnsi" w:cstheme="minorHAnsi"/>
          <w:sz w:val="22"/>
          <w:szCs w:val="22"/>
        </w:rPr>
        <w:t xml:space="preserve"> Rates for these rating categories were developed using a process similar to CY 2013 rate development, and then a </w:t>
      </w:r>
      <w:r w:rsidR="00104DD3" w:rsidRPr="00104DD3">
        <w:rPr>
          <w:rFonts w:asciiTheme="minorHAnsi" w:hAnsiTheme="minorHAnsi" w:cstheme="minorHAnsi"/>
          <w:b/>
          <w:i/>
          <w:sz w:val="22"/>
          <w:szCs w:val="22"/>
        </w:rPr>
        <w:t>rate relativity factor</w:t>
      </w:r>
      <w:r w:rsidR="00104DD3">
        <w:rPr>
          <w:rFonts w:asciiTheme="minorHAnsi" w:hAnsiTheme="minorHAnsi" w:cstheme="minorHAnsi"/>
          <w:sz w:val="22"/>
          <w:szCs w:val="22"/>
        </w:rPr>
        <w:t xml:space="preserve"> was employed to produce final rates for the subpopulations. </w:t>
      </w:r>
    </w:p>
    <w:p w:rsidR="00327A21" w:rsidRPr="008E5CA0" w:rsidRDefault="00327A21" w:rsidP="008E5CA0">
      <w:pPr>
        <w:rPr>
          <w:rFonts w:asciiTheme="minorHAnsi" w:hAnsiTheme="minorHAnsi" w:cstheme="minorHAnsi"/>
          <w:sz w:val="22"/>
          <w:szCs w:val="22"/>
        </w:rPr>
      </w:pPr>
    </w:p>
    <w:p w:rsidR="008E5CA0" w:rsidRPr="008E5CA0" w:rsidRDefault="00327A21" w:rsidP="008E5CA0">
      <w:pPr>
        <w:rPr>
          <w:rFonts w:asciiTheme="minorHAnsi" w:hAnsiTheme="minorHAnsi" w:cstheme="minorHAnsi"/>
          <w:b/>
          <w:i/>
          <w:sz w:val="22"/>
          <w:szCs w:val="22"/>
        </w:rPr>
      </w:pPr>
      <w:r w:rsidRPr="008E5CA0">
        <w:rPr>
          <w:rFonts w:asciiTheme="minorHAnsi" w:hAnsiTheme="minorHAnsi" w:cstheme="minorHAnsi"/>
          <w:sz w:val="22"/>
          <w:szCs w:val="22"/>
        </w:rPr>
        <w:t xml:space="preserve">The C2 rating category has been refined into:  </w:t>
      </w:r>
    </w:p>
    <w:p w:rsidR="008E5CA0" w:rsidRPr="008E5CA0" w:rsidRDefault="008E5CA0" w:rsidP="008E5CA0">
      <w:pPr>
        <w:numPr>
          <w:ilvl w:val="0"/>
          <w:numId w:val="11"/>
        </w:numPr>
        <w:rPr>
          <w:rFonts w:asciiTheme="minorHAnsi" w:hAnsiTheme="minorHAnsi" w:cstheme="minorHAnsi"/>
          <w:sz w:val="22"/>
          <w:szCs w:val="22"/>
        </w:rPr>
      </w:pPr>
      <w:r w:rsidRPr="008E5CA0">
        <w:rPr>
          <w:rFonts w:asciiTheme="minorHAnsi" w:hAnsiTheme="minorHAnsi" w:cstheme="minorHAnsi"/>
          <w:sz w:val="22"/>
          <w:szCs w:val="22"/>
        </w:rPr>
        <w:t xml:space="preserve">C2A: Community Tier 2 – Community High Behavioral Health </w:t>
      </w:r>
    </w:p>
    <w:p w:rsidR="008E5CA0" w:rsidRPr="008E5CA0" w:rsidRDefault="008E5CA0" w:rsidP="008E5CA0">
      <w:pPr>
        <w:numPr>
          <w:ilvl w:val="0"/>
          <w:numId w:val="11"/>
        </w:numPr>
        <w:rPr>
          <w:rFonts w:asciiTheme="minorHAnsi" w:hAnsiTheme="minorHAnsi" w:cstheme="minorHAnsi"/>
          <w:sz w:val="22"/>
          <w:szCs w:val="22"/>
        </w:rPr>
      </w:pPr>
      <w:r w:rsidRPr="008E5CA0">
        <w:rPr>
          <w:rFonts w:asciiTheme="minorHAnsi" w:hAnsiTheme="minorHAnsi" w:cstheme="minorHAnsi"/>
          <w:sz w:val="22"/>
          <w:szCs w:val="22"/>
        </w:rPr>
        <w:t xml:space="preserve">C2B: Community Tier 2 – Community Very High Behavioral Health </w:t>
      </w:r>
    </w:p>
    <w:p w:rsidR="008809FA" w:rsidRDefault="008809FA" w:rsidP="008E5CA0">
      <w:pPr>
        <w:rPr>
          <w:rFonts w:asciiTheme="minorHAnsi" w:hAnsiTheme="minorHAnsi" w:cstheme="minorHAnsi"/>
          <w:sz w:val="22"/>
          <w:szCs w:val="22"/>
        </w:rPr>
      </w:pPr>
    </w:p>
    <w:p w:rsidR="00327A21" w:rsidRPr="008E5CA0" w:rsidRDefault="00327A21" w:rsidP="008E5CA0">
      <w:pPr>
        <w:rPr>
          <w:rFonts w:asciiTheme="minorHAnsi" w:hAnsiTheme="minorHAnsi" w:cstheme="minorHAnsi"/>
          <w:sz w:val="22"/>
          <w:szCs w:val="22"/>
        </w:rPr>
      </w:pPr>
      <w:r w:rsidRPr="008E5CA0">
        <w:rPr>
          <w:rFonts w:asciiTheme="minorHAnsi" w:hAnsiTheme="minorHAnsi" w:cstheme="minorHAnsi"/>
          <w:sz w:val="22"/>
          <w:szCs w:val="22"/>
        </w:rPr>
        <w:t>The C2B rating category includes all the requirements of the 2013 C2-Community</w:t>
      </w:r>
      <w:r w:rsidR="00EC7301">
        <w:rPr>
          <w:rFonts w:asciiTheme="minorHAnsi" w:hAnsiTheme="minorHAnsi" w:cstheme="minorHAnsi"/>
          <w:sz w:val="22"/>
          <w:szCs w:val="22"/>
        </w:rPr>
        <w:t xml:space="preserve"> </w:t>
      </w:r>
      <w:r w:rsidRPr="008E5CA0">
        <w:rPr>
          <w:rFonts w:asciiTheme="minorHAnsi" w:hAnsiTheme="minorHAnsi" w:cstheme="minorHAnsi"/>
          <w:sz w:val="22"/>
          <w:szCs w:val="22"/>
        </w:rPr>
        <w:t xml:space="preserve">High Behavioral Health rating category, but also includes criteria related to specific co-morbid behavioral health and substance abuse conditions. The C2B rating category will include </w:t>
      </w:r>
      <w:r w:rsidR="001C1F45">
        <w:rPr>
          <w:rFonts w:asciiTheme="minorHAnsi" w:hAnsiTheme="minorHAnsi" w:cstheme="minorHAnsi"/>
          <w:sz w:val="22"/>
          <w:szCs w:val="22"/>
        </w:rPr>
        <w:t>individuals</w:t>
      </w:r>
      <w:r w:rsidRPr="008E5CA0">
        <w:rPr>
          <w:rFonts w:asciiTheme="minorHAnsi" w:hAnsiTheme="minorHAnsi" w:cstheme="minorHAnsi"/>
          <w:sz w:val="22"/>
          <w:szCs w:val="22"/>
        </w:rPr>
        <w:t xml:space="preserve"> with at least one mental health diagnosis (295.xx, 296.xx, 298.9x), </w:t>
      </w:r>
      <w:r w:rsidRPr="008E5CA0">
        <w:rPr>
          <w:rStyle w:val="Strong"/>
          <w:rFonts w:asciiTheme="minorHAnsi" w:hAnsiTheme="minorHAnsi" w:cstheme="minorHAnsi"/>
          <w:b w:val="0"/>
          <w:i/>
          <w:sz w:val="22"/>
          <w:szCs w:val="22"/>
        </w:rPr>
        <w:t>and</w:t>
      </w:r>
      <w:r w:rsidRPr="008E5CA0">
        <w:rPr>
          <w:rFonts w:asciiTheme="minorHAnsi" w:hAnsiTheme="minorHAnsi" w:cstheme="minorHAnsi"/>
          <w:sz w:val="22"/>
          <w:szCs w:val="22"/>
        </w:rPr>
        <w:t xml:space="preserve"> at least one substance abuse diagnosis (303.90, 303.91, 303.92, 303.93, 304.xx). </w:t>
      </w:r>
      <w:r w:rsidR="001C1F45">
        <w:rPr>
          <w:rFonts w:asciiTheme="minorHAnsi" w:hAnsiTheme="minorHAnsi" w:cstheme="minorHAnsi"/>
          <w:sz w:val="22"/>
          <w:szCs w:val="22"/>
        </w:rPr>
        <w:t>An</w:t>
      </w:r>
      <w:r w:rsidR="00EC7301">
        <w:rPr>
          <w:rFonts w:asciiTheme="minorHAnsi" w:hAnsiTheme="minorHAnsi" w:cstheme="minorHAnsi"/>
          <w:sz w:val="22"/>
          <w:szCs w:val="22"/>
        </w:rPr>
        <w:t>y</w:t>
      </w:r>
      <w:r w:rsidR="001C1F45">
        <w:rPr>
          <w:rFonts w:asciiTheme="minorHAnsi" w:hAnsiTheme="minorHAnsi" w:cstheme="minorHAnsi"/>
          <w:sz w:val="22"/>
          <w:szCs w:val="22"/>
        </w:rPr>
        <w:t xml:space="preserve"> individual </w:t>
      </w:r>
      <w:r w:rsidRPr="008E5CA0">
        <w:rPr>
          <w:rFonts w:asciiTheme="minorHAnsi" w:hAnsiTheme="minorHAnsi" w:cstheme="minorHAnsi"/>
          <w:sz w:val="22"/>
          <w:szCs w:val="22"/>
        </w:rPr>
        <w:t>that meets t</w:t>
      </w:r>
      <w:r w:rsidR="001C1F45">
        <w:rPr>
          <w:rFonts w:asciiTheme="minorHAnsi" w:hAnsiTheme="minorHAnsi" w:cstheme="minorHAnsi"/>
          <w:sz w:val="22"/>
          <w:szCs w:val="22"/>
        </w:rPr>
        <w:t>he overall C2 criteria, but does</w:t>
      </w:r>
      <w:r w:rsidRPr="008E5CA0">
        <w:rPr>
          <w:rFonts w:asciiTheme="minorHAnsi" w:hAnsiTheme="minorHAnsi" w:cstheme="minorHAnsi"/>
          <w:sz w:val="22"/>
          <w:szCs w:val="22"/>
        </w:rPr>
        <w:t xml:space="preserve"> not meet the C2B criteria, would be classified as C2A.</w:t>
      </w:r>
    </w:p>
    <w:p w:rsidR="00327A21" w:rsidRPr="008E5CA0" w:rsidRDefault="00327A21" w:rsidP="00327A21">
      <w:pPr>
        <w:ind w:left="720"/>
        <w:rPr>
          <w:rFonts w:asciiTheme="minorHAnsi" w:hAnsiTheme="minorHAnsi" w:cstheme="minorHAnsi"/>
          <w:sz w:val="22"/>
          <w:szCs w:val="22"/>
        </w:rPr>
      </w:pPr>
    </w:p>
    <w:p w:rsidR="00327A21" w:rsidRPr="008E5CA0" w:rsidRDefault="00327A21" w:rsidP="00327A21">
      <w:pPr>
        <w:rPr>
          <w:rFonts w:asciiTheme="minorHAnsi" w:hAnsiTheme="minorHAnsi" w:cstheme="minorHAnsi"/>
          <w:sz w:val="22"/>
          <w:szCs w:val="22"/>
        </w:rPr>
      </w:pPr>
      <w:r w:rsidRPr="008E5CA0">
        <w:rPr>
          <w:rFonts w:asciiTheme="minorHAnsi" w:hAnsiTheme="minorHAnsi" w:cstheme="minorHAnsi"/>
          <w:sz w:val="22"/>
          <w:szCs w:val="22"/>
        </w:rPr>
        <w:t>The C3 rating category has been refined into:</w:t>
      </w:r>
    </w:p>
    <w:p w:rsidR="00327A21" w:rsidRPr="008E5CA0" w:rsidRDefault="00327A21" w:rsidP="003164FC">
      <w:pPr>
        <w:numPr>
          <w:ilvl w:val="0"/>
          <w:numId w:val="11"/>
        </w:numPr>
        <w:rPr>
          <w:rFonts w:asciiTheme="minorHAnsi" w:hAnsiTheme="minorHAnsi" w:cstheme="minorHAnsi"/>
          <w:sz w:val="22"/>
          <w:szCs w:val="22"/>
        </w:rPr>
      </w:pPr>
      <w:r w:rsidRPr="008E5CA0">
        <w:rPr>
          <w:rFonts w:asciiTheme="minorHAnsi" w:hAnsiTheme="minorHAnsi" w:cstheme="minorHAnsi"/>
          <w:sz w:val="22"/>
          <w:szCs w:val="22"/>
        </w:rPr>
        <w:t>C3A: Community Tier 3 – High Community Need</w:t>
      </w:r>
    </w:p>
    <w:p w:rsidR="00327A21" w:rsidRDefault="00327A21" w:rsidP="003164FC">
      <w:pPr>
        <w:numPr>
          <w:ilvl w:val="0"/>
          <w:numId w:val="11"/>
        </w:numPr>
        <w:rPr>
          <w:rFonts w:asciiTheme="minorHAnsi" w:hAnsiTheme="minorHAnsi" w:cstheme="minorHAnsi"/>
          <w:sz w:val="22"/>
          <w:szCs w:val="22"/>
        </w:rPr>
      </w:pPr>
      <w:r w:rsidRPr="008E5CA0">
        <w:rPr>
          <w:rFonts w:asciiTheme="minorHAnsi" w:hAnsiTheme="minorHAnsi" w:cstheme="minorHAnsi"/>
          <w:sz w:val="22"/>
          <w:szCs w:val="22"/>
        </w:rPr>
        <w:t>C3B: Community Tier 3 – Very High Community Need</w:t>
      </w:r>
    </w:p>
    <w:p w:rsidR="002E3CBA" w:rsidRPr="008E5CA0" w:rsidRDefault="002E3CBA" w:rsidP="00793864">
      <w:pPr>
        <w:ind w:left="1080"/>
        <w:rPr>
          <w:rFonts w:asciiTheme="minorHAnsi" w:hAnsiTheme="minorHAnsi" w:cstheme="minorHAnsi"/>
          <w:sz w:val="22"/>
          <w:szCs w:val="22"/>
        </w:rPr>
      </w:pPr>
    </w:p>
    <w:p w:rsidR="008749D7" w:rsidRPr="008E5CA0" w:rsidRDefault="00327A21" w:rsidP="00327A21">
      <w:pPr>
        <w:rPr>
          <w:rFonts w:asciiTheme="minorHAnsi" w:hAnsiTheme="minorHAnsi" w:cstheme="minorHAnsi"/>
          <w:sz w:val="22"/>
          <w:szCs w:val="22"/>
        </w:rPr>
      </w:pPr>
      <w:r w:rsidRPr="008E5CA0">
        <w:rPr>
          <w:rFonts w:asciiTheme="minorHAnsi" w:hAnsiTheme="minorHAnsi" w:cstheme="minorHAnsi"/>
          <w:sz w:val="22"/>
          <w:szCs w:val="22"/>
        </w:rPr>
        <w:t xml:space="preserve">The C3B rating category includes all the requirements of the 2013 C3-High Community Needs rating category, but also includes criteria related to specific diagnoses.  The </w:t>
      </w:r>
      <w:r w:rsidR="008E5CA0" w:rsidRPr="008E5CA0">
        <w:rPr>
          <w:rFonts w:asciiTheme="minorHAnsi" w:hAnsiTheme="minorHAnsi" w:cstheme="minorHAnsi"/>
          <w:sz w:val="22"/>
          <w:szCs w:val="22"/>
        </w:rPr>
        <w:t xml:space="preserve">C3B rating category will include individuals with a </w:t>
      </w:r>
      <w:r w:rsidRPr="008E5CA0">
        <w:rPr>
          <w:rFonts w:asciiTheme="minorHAnsi" w:hAnsiTheme="minorHAnsi" w:cstheme="minorHAnsi"/>
          <w:sz w:val="22"/>
          <w:szCs w:val="22"/>
        </w:rPr>
        <w:t>diagnos</w:t>
      </w:r>
      <w:r w:rsidR="008E5CA0" w:rsidRPr="008E5CA0">
        <w:rPr>
          <w:rFonts w:asciiTheme="minorHAnsi" w:hAnsiTheme="minorHAnsi" w:cstheme="minorHAnsi"/>
          <w:sz w:val="22"/>
          <w:szCs w:val="22"/>
        </w:rPr>
        <w:t>i</w:t>
      </w:r>
      <w:r w:rsidRPr="008E5CA0">
        <w:rPr>
          <w:rFonts w:asciiTheme="minorHAnsi" w:hAnsiTheme="minorHAnsi" w:cstheme="minorHAnsi"/>
          <w:sz w:val="22"/>
          <w:szCs w:val="22"/>
        </w:rPr>
        <w:t xml:space="preserve">s </w:t>
      </w:r>
      <w:r w:rsidR="008E5CA0" w:rsidRPr="008E5CA0">
        <w:rPr>
          <w:rFonts w:asciiTheme="minorHAnsi" w:hAnsiTheme="minorHAnsi" w:cstheme="minorHAnsi"/>
          <w:sz w:val="22"/>
          <w:szCs w:val="22"/>
        </w:rPr>
        <w:t>of</w:t>
      </w:r>
      <w:r w:rsidRPr="008E5CA0">
        <w:rPr>
          <w:rFonts w:asciiTheme="minorHAnsi" w:hAnsiTheme="minorHAnsi" w:cstheme="minorHAnsi"/>
          <w:sz w:val="22"/>
          <w:szCs w:val="22"/>
        </w:rPr>
        <w:t xml:space="preserve"> Quadriplegia (ICD-9 344.0x and 343.2x)</w:t>
      </w:r>
      <w:r w:rsidR="008E5CA0" w:rsidRPr="008E5CA0">
        <w:rPr>
          <w:rFonts w:asciiTheme="minorHAnsi" w:hAnsiTheme="minorHAnsi" w:cstheme="minorHAnsi"/>
          <w:sz w:val="22"/>
          <w:szCs w:val="22"/>
        </w:rPr>
        <w:t xml:space="preserve">, </w:t>
      </w:r>
      <w:r w:rsidRPr="008E5CA0">
        <w:rPr>
          <w:rFonts w:asciiTheme="minorHAnsi" w:hAnsiTheme="minorHAnsi" w:cstheme="minorHAnsi"/>
          <w:sz w:val="22"/>
          <w:szCs w:val="22"/>
        </w:rPr>
        <w:t>ALS (ICD-9 335.20)</w:t>
      </w:r>
      <w:r w:rsidR="008E5CA0" w:rsidRPr="008E5CA0">
        <w:rPr>
          <w:rFonts w:asciiTheme="minorHAnsi" w:hAnsiTheme="minorHAnsi" w:cstheme="minorHAnsi"/>
          <w:sz w:val="22"/>
          <w:szCs w:val="22"/>
        </w:rPr>
        <w:t xml:space="preserve">, </w:t>
      </w:r>
      <w:r w:rsidRPr="008E5CA0">
        <w:rPr>
          <w:rFonts w:asciiTheme="minorHAnsi" w:hAnsiTheme="minorHAnsi" w:cstheme="minorHAnsi"/>
          <w:sz w:val="22"/>
          <w:szCs w:val="22"/>
        </w:rPr>
        <w:t>Muscular Dystrophy (ICD-9 359.0x and 359.1x)</w:t>
      </w:r>
      <w:r w:rsidR="008E5CA0" w:rsidRPr="008E5CA0">
        <w:rPr>
          <w:rFonts w:asciiTheme="minorHAnsi" w:hAnsiTheme="minorHAnsi" w:cstheme="minorHAnsi"/>
          <w:sz w:val="22"/>
          <w:szCs w:val="22"/>
        </w:rPr>
        <w:t xml:space="preserve">, and/or </w:t>
      </w:r>
      <w:r w:rsidRPr="008E5CA0">
        <w:rPr>
          <w:rFonts w:asciiTheme="minorHAnsi" w:hAnsiTheme="minorHAnsi" w:cstheme="minorHAnsi"/>
          <w:sz w:val="22"/>
          <w:szCs w:val="22"/>
        </w:rPr>
        <w:t>Respirator Dependence (ICD-9 V461x)</w:t>
      </w:r>
      <w:r w:rsidR="008E5CA0" w:rsidRPr="008E5CA0">
        <w:rPr>
          <w:rFonts w:asciiTheme="minorHAnsi" w:hAnsiTheme="minorHAnsi" w:cstheme="minorHAnsi"/>
          <w:sz w:val="22"/>
          <w:szCs w:val="22"/>
        </w:rPr>
        <w:t xml:space="preserve">.  </w:t>
      </w:r>
      <w:r w:rsidRPr="008E5CA0">
        <w:rPr>
          <w:rFonts w:asciiTheme="minorHAnsi" w:hAnsiTheme="minorHAnsi" w:cstheme="minorHAnsi"/>
          <w:sz w:val="22"/>
          <w:szCs w:val="22"/>
        </w:rPr>
        <w:t xml:space="preserve">Any </w:t>
      </w:r>
      <w:r w:rsidR="008E5CA0" w:rsidRPr="008E5CA0">
        <w:rPr>
          <w:rFonts w:asciiTheme="minorHAnsi" w:hAnsiTheme="minorHAnsi" w:cstheme="minorHAnsi"/>
          <w:sz w:val="22"/>
          <w:szCs w:val="22"/>
        </w:rPr>
        <w:t>individual</w:t>
      </w:r>
      <w:r w:rsidRPr="008E5CA0">
        <w:rPr>
          <w:rFonts w:asciiTheme="minorHAnsi" w:hAnsiTheme="minorHAnsi" w:cstheme="minorHAnsi"/>
          <w:sz w:val="22"/>
          <w:szCs w:val="22"/>
        </w:rPr>
        <w:t xml:space="preserve"> that meets the overall C3 criteria, but does not meet the C3B criteria,</w:t>
      </w:r>
      <w:r w:rsidR="008E5CA0" w:rsidRPr="008E5CA0">
        <w:rPr>
          <w:rFonts w:asciiTheme="minorHAnsi" w:hAnsiTheme="minorHAnsi" w:cstheme="minorHAnsi"/>
          <w:sz w:val="22"/>
          <w:szCs w:val="22"/>
        </w:rPr>
        <w:t xml:space="preserve"> would be classified as </w:t>
      </w:r>
      <w:r w:rsidRPr="008E5CA0">
        <w:rPr>
          <w:rFonts w:asciiTheme="minorHAnsi" w:hAnsiTheme="minorHAnsi" w:cstheme="minorHAnsi"/>
          <w:sz w:val="22"/>
          <w:szCs w:val="22"/>
        </w:rPr>
        <w:t>C3A.</w:t>
      </w:r>
    </w:p>
    <w:p w:rsidR="00327A21" w:rsidRPr="008E5CA0" w:rsidRDefault="00327A21" w:rsidP="00327A21">
      <w:pPr>
        <w:rPr>
          <w:rFonts w:asciiTheme="minorHAnsi" w:hAnsiTheme="minorHAnsi" w:cstheme="minorHAnsi"/>
          <w:sz w:val="22"/>
          <w:szCs w:val="22"/>
        </w:rPr>
      </w:pPr>
    </w:p>
    <w:p w:rsidR="00327A21" w:rsidRPr="008E5CA0" w:rsidRDefault="00327A21" w:rsidP="00327A21">
      <w:pPr>
        <w:pStyle w:val="PlainText"/>
        <w:tabs>
          <w:tab w:val="num" w:pos="1800"/>
        </w:tabs>
        <w:spacing w:after="120"/>
        <w:rPr>
          <w:rFonts w:asciiTheme="minorHAnsi" w:hAnsiTheme="minorHAnsi" w:cstheme="minorHAnsi"/>
          <w:sz w:val="22"/>
          <w:szCs w:val="22"/>
        </w:rPr>
      </w:pPr>
      <w:r w:rsidRPr="008E5CA0">
        <w:rPr>
          <w:rFonts w:asciiTheme="minorHAnsi" w:hAnsiTheme="minorHAnsi" w:cstheme="minorHAnsi"/>
          <w:sz w:val="22"/>
          <w:szCs w:val="22"/>
        </w:rPr>
        <w:t>A rate relativity process was used to develop the capitatio</w:t>
      </w:r>
      <w:r w:rsidR="008E5CA0" w:rsidRPr="008E5CA0">
        <w:rPr>
          <w:rFonts w:asciiTheme="minorHAnsi" w:hAnsiTheme="minorHAnsi" w:cstheme="minorHAnsi"/>
          <w:sz w:val="22"/>
          <w:szCs w:val="22"/>
        </w:rPr>
        <w:t xml:space="preserve">n rates for the new </w:t>
      </w:r>
      <w:r w:rsidR="00EC7301">
        <w:rPr>
          <w:rFonts w:asciiTheme="minorHAnsi" w:hAnsiTheme="minorHAnsi" w:cstheme="minorHAnsi"/>
          <w:sz w:val="22"/>
          <w:szCs w:val="22"/>
        </w:rPr>
        <w:t>C2A/</w:t>
      </w:r>
      <w:r w:rsidR="008E5CA0" w:rsidRPr="008E5CA0">
        <w:rPr>
          <w:rFonts w:asciiTheme="minorHAnsi" w:hAnsiTheme="minorHAnsi" w:cstheme="minorHAnsi"/>
          <w:sz w:val="22"/>
          <w:szCs w:val="22"/>
        </w:rPr>
        <w:t xml:space="preserve">C2B and </w:t>
      </w:r>
      <w:r w:rsidR="00EC7301">
        <w:rPr>
          <w:rFonts w:asciiTheme="minorHAnsi" w:hAnsiTheme="minorHAnsi" w:cstheme="minorHAnsi"/>
          <w:sz w:val="22"/>
          <w:szCs w:val="22"/>
        </w:rPr>
        <w:t>C3A/</w:t>
      </w:r>
      <w:r w:rsidR="008E5CA0" w:rsidRPr="008E5CA0">
        <w:rPr>
          <w:rFonts w:asciiTheme="minorHAnsi" w:hAnsiTheme="minorHAnsi" w:cstheme="minorHAnsi"/>
          <w:sz w:val="22"/>
          <w:szCs w:val="22"/>
        </w:rPr>
        <w:t>C3B</w:t>
      </w:r>
      <w:r w:rsidRPr="008E5CA0">
        <w:rPr>
          <w:rFonts w:asciiTheme="minorHAnsi" w:hAnsiTheme="minorHAnsi" w:cstheme="minorHAnsi"/>
          <w:sz w:val="22"/>
          <w:szCs w:val="22"/>
        </w:rPr>
        <w:t xml:space="preserve"> </w:t>
      </w:r>
      <w:r w:rsidR="008E5CA0" w:rsidRPr="008E5CA0">
        <w:rPr>
          <w:rFonts w:asciiTheme="minorHAnsi" w:hAnsiTheme="minorHAnsi" w:cstheme="minorHAnsi"/>
          <w:sz w:val="22"/>
          <w:szCs w:val="22"/>
        </w:rPr>
        <w:t>rating categories</w:t>
      </w:r>
      <w:r w:rsidRPr="008E5CA0">
        <w:rPr>
          <w:rFonts w:asciiTheme="minorHAnsi" w:hAnsiTheme="minorHAnsi" w:cstheme="minorHAnsi"/>
          <w:sz w:val="22"/>
          <w:szCs w:val="22"/>
        </w:rPr>
        <w:t>. This process can be described at a high level as:</w:t>
      </w:r>
    </w:p>
    <w:p w:rsidR="00327A21" w:rsidRPr="008E5CA0" w:rsidRDefault="00EC39D3" w:rsidP="00327A21">
      <w:pPr>
        <w:pStyle w:val="PlainText"/>
        <w:numPr>
          <w:ilvl w:val="0"/>
          <w:numId w:val="10"/>
        </w:numPr>
        <w:spacing w:after="120"/>
        <w:rPr>
          <w:rFonts w:asciiTheme="minorHAnsi" w:hAnsiTheme="minorHAnsi" w:cstheme="minorHAnsi"/>
          <w:sz w:val="22"/>
          <w:szCs w:val="22"/>
        </w:rPr>
      </w:pPr>
      <w:r>
        <w:rPr>
          <w:rFonts w:asciiTheme="minorHAnsi" w:hAnsiTheme="minorHAnsi" w:cstheme="minorHAnsi"/>
          <w:sz w:val="22"/>
          <w:szCs w:val="22"/>
        </w:rPr>
        <w:t>R</w:t>
      </w:r>
      <w:r w:rsidR="00327A21" w:rsidRPr="008E5CA0">
        <w:rPr>
          <w:rFonts w:asciiTheme="minorHAnsi" w:hAnsiTheme="minorHAnsi" w:cstheme="minorHAnsi"/>
          <w:sz w:val="22"/>
          <w:szCs w:val="22"/>
        </w:rPr>
        <w:t xml:space="preserve">elative </w:t>
      </w:r>
      <w:r w:rsidR="00B71AFF">
        <w:rPr>
          <w:rFonts w:asciiTheme="minorHAnsi" w:hAnsiTheme="minorHAnsi" w:cstheme="minorHAnsi"/>
          <w:sz w:val="22"/>
          <w:szCs w:val="22"/>
        </w:rPr>
        <w:t xml:space="preserve">total </w:t>
      </w:r>
      <w:r w:rsidR="00327A21" w:rsidRPr="008E5CA0">
        <w:rPr>
          <w:rFonts w:asciiTheme="minorHAnsi" w:hAnsiTheme="minorHAnsi" w:cstheme="minorHAnsi"/>
          <w:sz w:val="22"/>
          <w:szCs w:val="22"/>
        </w:rPr>
        <w:t xml:space="preserve">costs of C2A/C2B and C3A/C3B to the overall C2 and C3 </w:t>
      </w:r>
      <w:r w:rsidR="008E5CA0" w:rsidRPr="008E5CA0">
        <w:rPr>
          <w:rFonts w:asciiTheme="minorHAnsi" w:hAnsiTheme="minorHAnsi" w:cstheme="minorHAnsi"/>
          <w:sz w:val="22"/>
          <w:szCs w:val="22"/>
        </w:rPr>
        <w:t>rating categories</w:t>
      </w:r>
      <w:r>
        <w:rPr>
          <w:rFonts w:asciiTheme="minorHAnsi" w:hAnsiTheme="minorHAnsi" w:cstheme="minorHAnsi"/>
          <w:sz w:val="22"/>
          <w:szCs w:val="22"/>
        </w:rPr>
        <w:t>, respectively,</w:t>
      </w:r>
      <w:r w:rsidR="00327A21" w:rsidRPr="008E5CA0">
        <w:rPr>
          <w:rFonts w:asciiTheme="minorHAnsi" w:hAnsiTheme="minorHAnsi" w:cstheme="minorHAnsi"/>
          <w:sz w:val="22"/>
          <w:szCs w:val="22"/>
        </w:rPr>
        <w:t xml:space="preserve"> </w:t>
      </w:r>
      <w:r>
        <w:rPr>
          <w:rFonts w:asciiTheme="minorHAnsi" w:hAnsiTheme="minorHAnsi" w:cstheme="minorHAnsi"/>
          <w:sz w:val="22"/>
          <w:szCs w:val="22"/>
        </w:rPr>
        <w:t xml:space="preserve">were developed </w:t>
      </w:r>
      <w:r w:rsidR="00327A21" w:rsidRPr="008E5CA0">
        <w:rPr>
          <w:rFonts w:asciiTheme="minorHAnsi" w:hAnsiTheme="minorHAnsi" w:cstheme="minorHAnsi"/>
          <w:sz w:val="22"/>
          <w:szCs w:val="22"/>
        </w:rPr>
        <w:t>using the base data</w:t>
      </w:r>
      <w:r w:rsidR="002E3CBA">
        <w:rPr>
          <w:rFonts w:asciiTheme="minorHAnsi" w:hAnsiTheme="minorHAnsi" w:cstheme="minorHAnsi"/>
          <w:sz w:val="22"/>
          <w:szCs w:val="22"/>
        </w:rPr>
        <w:t>.</w:t>
      </w:r>
    </w:p>
    <w:p w:rsidR="00327A21" w:rsidRPr="008E5CA0" w:rsidRDefault="00EC39D3" w:rsidP="00327A21">
      <w:pPr>
        <w:pStyle w:val="PlainText"/>
        <w:numPr>
          <w:ilvl w:val="0"/>
          <w:numId w:val="10"/>
        </w:numPr>
        <w:spacing w:after="120"/>
        <w:rPr>
          <w:rFonts w:asciiTheme="minorHAnsi" w:hAnsiTheme="minorHAnsi" w:cstheme="minorHAnsi"/>
          <w:sz w:val="22"/>
          <w:szCs w:val="22"/>
        </w:rPr>
      </w:pPr>
      <w:r>
        <w:rPr>
          <w:rFonts w:asciiTheme="minorHAnsi" w:hAnsiTheme="minorHAnsi" w:cstheme="minorHAnsi"/>
          <w:sz w:val="22"/>
          <w:szCs w:val="22"/>
        </w:rPr>
        <w:t>P</w:t>
      </w:r>
      <w:r w:rsidR="00327A21" w:rsidRPr="008E5CA0">
        <w:rPr>
          <w:rFonts w:asciiTheme="minorHAnsi" w:hAnsiTheme="minorHAnsi" w:cstheme="minorHAnsi"/>
          <w:sz w:val="22"/>
          <w:szCs w:val="22"/>
        </w:rPr>
        <w:t xml:space="preserve">rojected costs for the C2 and C3 </w:t>
      </w:r>
      <w:r w:rsidR="008E5CA0" w:rsidRPr="008E5CA0">
        <w:rPr>
          <w:rFonts w:asciiTheme="minorHAnsi" w:hAnsiTheme="minorHAnsi" w:cstheme="minorHAnsi"/>
          <w:sz w:val="22"/>
          <w:szCs w:val="22"/>
        </w:rPr>
        <w:t xml:space="preserve">rating categories </w:t>
      </w:r>
      <w:r>
        <w:rPr>
          <w:rFonts w:asciiTheme="minorHAnsi" w:hAnsiTheme="minorHAnsi" w:cstheme="minorHAnsi"/>
          <w:sz w:val="22"/>
          <w:szCs w:val="22"/>
        </w:rPr>
        <w:t xml:space="preserve">were developed </w:t>
      </w:r>
      <w:r w:rsidR="00327A21" w:rsidRPr="008E5CA0">
        <w:rPr>
          <w:rFonts w:asciiTheme="minorHAnsi" w:hAnsiTheme="minorHAnsi" w:cstheme="minorHAnsi"/>
          <w:sz w:val="22"/>
          <w:szCs w:val="22"/>
        </w:rPr>
        <w:t>by region following the same process as was used for C</w:t>
      </w:r>
      <w:r w:rsidR="008E5CA0" w:rsidRPr="008E5CA0">
        <w:rPr>
          <w:rFonts w:asciiTheme="minorHAnsi" w:hAnsiTheme="minorHAnsi" w:cstheme="minorHAnsi"/>
          <w:sz w:val="22"/>
          <w:szCs w:val="22"/>
        </w:rPr>
        <w:t>Y 2013 rates</w:t>
      </w:r>
      <w:r w:rsidR="00327A21" w:rsidRPr="008E5CA0">
        <w:rPr>
          <w:rFonts w:asciiTheme="minorHAnsi" w:hAnsiTheme="minorHAnsi" w:cstheme="minorHAnsi"/>
          <w:sz w:val="22"/>
          <w:szCs w:val="22"/>
        </w:rPr>
        <w:t>.</w:t>
      </w:r>
    </w:p>
    <w:p w:rsidR="00327A21" w:rsidRPr="008E5CA0" w:rsidRDefault="00EC39D3" w:rsidP="00327A21">
      <w:pPr>
        <w:pStyle w:val="PlainText"/>
        <w:numPr>
          <w:ilvl w:val="0"/>
          <w:numId w:val="10"/>
        </w:numPr>
        <w:spacing w:after="120"/>
        <w:rPr>
          <w:rFonts w:asciiTheme="minorHAnsi" w:hAnsiTheme="minorHAnsi" w:cstheme="minorHAnsi"/>
          <w:sz w:val="22"/>
          <w:szCs w:val="22"/>
        </w:rPr>
      </w:pPr>
      <w:r>
        <w:rPr>
          <w:rFonts w:asciiTheme="minorHAnsi" w:hAnsiTheme="minorHAnsi" w:cstheme="minorHAnsi"/>
          <w:sz w:val="22"/>
          <w:szCs w:val="22"/>
        </w:rPr>
        <w:t>T</w:t>
      </w:r>
      <w:r w:rsidR="00327A21" w:rsidRPr="008E5CA0">
        <w:rPr>
          <w:rFonts w:asciiTheme="minorHAnsi" w:hAnsiTheme="minorHAnsi" w:cstheme="minorHAnsi"/>
          <w:sz w:val="22"/>
          <w:szCs w:val="22"/>
        </w:rPr>
        <w:t xml:space="preserve">he C2A/C2B and the C3A/C3B relativity factors </w:t>
      </w:r>
      <w:r>
        <w:rPr>
          <w:rFonts w:asciiTheme="minorHAnsi" w:hAnsiTheme="minorHAnsi" w:cstheme="minorHAnsi"/>
          <w:sz w:val="22"/>
          <w:szCs w:val="22"/>
        </w:rPr>
        <w:t xml:space="preserve">were applied </w:t>
      </w:r>
      <w:r w:rsidR="00327A21" w:rsidRPr="008E5CA0">
        <w:rPr>
          <w:rFonts w:asciiTheme="minorHAnsi" w:hAnsiTheme="minorHAnsi" w:cstheme="minorHAnsi"/>
          <w:sz w:val="22"/>
          <w:szCs w:val="22"/>
        </w:rPr>
        <w:t xml:space="preserve">to the total </w:t>
      </w:r>
      <w:r w:rsidR="00104DD3">
        <w:rPr>
          <w:rFonts w:asciiTheme="minorHAnsi" w:hAnsiTheme="minorHAnsi" w:cstheme="minorHAnsi"/>
          <w:sz w:val="22"/>
          <w:szCs w:val="22"/>
        </w:rPr>
        <w:t xml:space="preserve">projected </w:t>
      </w:r>
      <w:r w:rsidR="00327A21" w:rsidRPr="008E5CA0">
        <w:rPr>
          <w:rFonts w:asciiTheme="minorHAnsi" w:hAnsiTheme="minorHAnsi" w:cstheme="minorHAnsi"/>
          <w:sz w:val="22"/>
          <w:szCs w:val="22"/>
        </w:rPr>
        <w:t xml:space="preserve">medical PMPM for the C2 and C3 </w:t>
      </w:r>
      <w:r w:rsidR="008E5CA0" w:rsidRPr="008E5CA0">
        <w:rPr>
          <w:rFonts w:asciiTheme="minorHAnsi" w:hAnsiTheme="minorHAnsi" w:cstheme="minorHAnsi"/>
          <w:sz w:val="22"/>
          <w:szCs w:val="22"/>
        </w:rPr>
        <w:t>rating categories</w:t>
      </w:r>
      <w:r>
        <w:rPr>
          <w:rFonts w:asciiTheme="minorHAnsi" w:hAnsiTheme="minorHAnsi" w:cstheme="minorHAnsi"/>
          <w:sz w:val="22"/>
          <w:szCs w:val="22"/>
        </w:rPr>
        <w:t>, respectively,</w:t>
      </w:r>
      <w:r w:rsidR="00327A21" w:rsidRPr="008E5CA0">
        <w:rPr>
          <w:rFonts w:asciiTheme="minorHAnsi" w:hAnsiTheme="minorHAnsi" w:cstheme="minorHAnsi"/>
          <w:sz w:val="22"/>
          <w:szCs w:val="22"/>
        </w:rPr>
        <w:t xml:space="preserve"> to develop </w:t>
      </w:r>
      <w:r>
        <w:rPr>
          <w:rFonts w:asciiTheme="minorHAnsi" w:hAnsiTheme="minorHAnsi" w:cstheme="minorHAnsi"/>
          <w:sz w:val="22"/>
          <w:szCs w:val="22"/>
        </w:rPr>
        <w:t>projected</w:t>
      </w:r>
      <w:r w:rsidR="00327A21" w:rsidRPr="008E5CA0">
        <w:rPr>
          <w:rFonts w:asciiTheme="minorHAnsi" w:hAnsiTheme="minorHAnsi" w:cstheme="minorHAnsi"/>
          <w:sz w:val="22"/>
          <w:szCs w:val="22"/>
        </w:rPr>
        <w:t xml:space="preserve"> costs</w:t>
      </w:r>
      <w:r w:rsidR="00104DD3">
        <w:rPr>
          <w:rFonts w:asciiTheme="minorHAnsi" w:hAnsiTheme="minorHAnsi" w:cstheme="minorHAnsi"/>
          <w:sz w:val="22"/>
          <w:szCs w:val="22"/>
        </w:rPr>
        <w:t xml:space="preserve"> for the C2A/C2B and C3A/C3B rating categories</w:t>
      </w:r>
      <w:r w:rsidR="00327A21" w:rsidRPr="008E5CA0">
        <w:rPr>
          <w:rFonts w:asciiTheme="minorHAnsi" w:hAnsiTheme="minorHAnsi" w:cstheme="minorHAnsi"/>
          <w:sz w:val="22"/>
          <w:szCs w:val="22"/>
        </w:rPr>
        <w:t>.</w:t>
      </w:r>
    </w:p>
    <w:p w:rsidR="00327A21" w:rsidRPr="008E5CA0" w:rsidRDefault="00EC39D3" w:rsidP="00327A21">
      <w:pPr>
        <w:pStyle w:val="PlainText"/>
        <w:numPr>
          <w:ilvl w:val="0"/>
          <w:numId w:val="10"/>
        </w:numPr>
        <w:spacing w:after="120"/>
        <w:rPr>
          <w:rFonts w:asciiTheme="minorHAnsi" w:hAnsiTheme="minorHAnsi" w:cstheme="minorHAnsi"/>
          <w:sz w:val="22"/>
          <w:szCs w:val="22"/>
        </w:rPr>
      </w:pPr>
      <w:r>
        <w:rPr>
          <w:rFonts w:asciiTheme="minorHAnsi" w:hAnsiTheme="minorHAnsi" w:cstheme="minorHAnsi"/>
          <w:sz w:val="22"/>
          <w:szCs w:val="22"/>
        </w:rPr>
        <w:t>A</w:t>
      </w:r>
      <w:r w:rsidR="00327A21" w:rsidRPr="008E5CA0">
        <w:rPr>
          <w:rFonts w:asciiTheme="minorHAnsi" w:hAnsiTheme="minorHAnsi" w:cstheme="minorHAnsi"/>
          <w:sz w:val="22"/>
          <w:szCs w:val="22"/>
        </w:rPr>
        <w:t xml:space="preserve">djustments for administration, seasonality, savings and </w:t>
      </w:r>
      <w:r w:rsidR="00104DD3">
        <w:rPr>
          <w:rFonts w:asciiTheme="minorHAnsi" w:hAnsiTheme="minorHAnsi" w:cstheme="minorHAnsi"/>
          <w:sz w:val="22"/>
          <w:szCs w:val="22"/>
        </w:rPr>
        <w:t>enrollee contribution to care</w:t>
      </w:r>
      <w:r w:rsidR="002E3CBA">
        <w:rPr>
          <w:rFonts w:asciiTheme="minorHAnsi" w:hAnsiTheme="minorHAnsi" w:cstheme="minorHAnsi"/>
          <w:sz w:val="22"/>
          <w:szCs w:val="22"/>
        </w:rPr>
        <w:t xml:space="preserve"> </w:t>
      </w:r>
      <w:r>
        <w:rPr>
          <w:rFonts w:asciiTheme="minorHAnsi" w:hAnsiTheme="minorHAnsi" w:cstheme="minorHAnsi"/>
          <w:sz w:val="22"/>
          <w:szCs w:val="22"/>
        </w:rPr>
        <w:t>were applied</w:t>
      </w:r>
      <w:r w:rsidR="00104DD3">
        <w:rPr>
          <w:rFonts w:asciiTheme="minorHAnsi" w:hAnsiTheme="minorHAnsi" w:cstheme="minorHAnsi"/>
          <w:sz w:val="22"/>
          <w:szCs w:val="22"/>
        </w:rPr>
        <w:t xml:space="preserve"> </w:t>
      </w:r>
      <w:r w:rsidR="00327A21" w:rsidRPr="008E5CA0">
        <w:rPr>
          <w:rFonts w:asciiTheme="minorHAnsi" w:hAnsiTheme="minorHAnsi" w:cstheme="minorHAnsi"/>
          <w:sz w:val="22"/>
          <w:szCs w:val="22"/>
        </w:rPr>
        <w:t xml:space="preserve">to </w:t>
      </w:r>
      <w:r>
        <w:rPr>
          <w:rFonts w:asciiTheme="minorHAnsi" w:hAnsiTheme="minorHAnsi" w:cstheme="minorHAnsi"/>
          <w:sz w:val="22"/>
          <w:szCs w:val="22"/>
        </w:rPr>
        <w:t>produce</w:t>
      </w:r>
      <w:r w:rsidR="00327A21" w:rsidRPr="008E5CA0">
        <w:rPr>
          <w:rFonts w:asciiTheme="minorHAnsi" w:hAnsiTheme="minorHAnsi" w:cstheme="minorHAnsi"/>
          <w:sz w:val="22"/>
          <w:szCs w:val="22"/>
        </w:rPr>
        <w:t xml:space="preserve"> the final capitation rates.</w:t>
      </w:r>
    </w:p>
    <w:p w:rsidR="00327A21" w:rsidRDefault="00327A21" w:rsidP="00327A21">
      <w:pPr>
        <w:rPr>
          <w:rFonts w:asciiTheme="minorHAnsi" w:hAnsiTheme="minorHAnsi" w:cstheme="minorHAnsi"/>
          <w:sz w:val="22"/>
          <w:szCs w:val="22"/>
        </w:rPr>
      </w:pPr>
    </w:p>
    <w:p w:rsidR="00675A63" w:rsidRDefault="00675A63">
      <w:pPr>
        <w:rPr>
          <w:rFonts w:asciiTheme="minorHAnsi" w:hAnsiTheme="minorHAnsi" w:cstheme="minorHAnsi"/>
          <w:sz w:val="22"/>
          <w:szCs w:val="22"/>
        </w:rPr>
      </w:pPr>
      <w:r>
        <w:rPr>
          <w:rFonts w:asciiTheme="minorHAnsi" w:hAnsiTheme="minorHAnsi" w:cstheme="minorHAnsi"/>
          <w:sz w:val="22"/>
          <w:szCs w:val="22"/>
        </w:rPr>
        <w:br w:type="page"/>
      </w:r>
    </w:p>
    <w:p w:rsidR="000225B2" w:rsidRDefault="000225B2" w:rsidP="00327A21">
      <w:pPr>
        <w:rPr>
          <w:rFonts w:asciiTheme="minorHAnsi" w:hAnsiTheme="minorHAnsi" w:cstheme="minorHAnsi"/>
          <w:sz w:val="22"/>
          <w:szCs w:val="22"/>
        </w:rPr>
      </w:pPr>
      <w:r>
        <w:rPr>
          <w:rFonts w:asciiTheme="minorHAnsi" w:hAnsiTheme="minorHAnsi" w:cstheme="minorHAnsi"/>
          <w:sz w:val="22"/>
          <w:szCs w:val="22"/>
        </w:rPr>
        <w:lastRenderedPageBreak/>
        <w:t>The C2A and C2B rate relativity factors applied to the C2 projected expenditures are:</w:t>
      </w:r>
    </w:p>
    <w:p w:rsidR="008809FA" w:rsidRDefault="008809FA" w:rsidP="00327A21">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0225B2" w:rsidRPr="000225B2" w:rsidTr="000225B2">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The Cape</w:t>
            </w:r>
          </w:p>
        </w:tc>
      </w:tr>
      <w:tr w:rsidR="000225B2" w:rsidRPr="000225B2" w:rsidTr="000225B2">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-8.7%</w:t>
            </w:r>
          </w:p>
        </w:tc>
        <w:tc>
          <w:tcPr>
            <w:tcW w:w="983" w:type="dxa"/>
            <w:tcBorders>
              <w:top w:val="nil"/>
              <w:left w:val="nil"/>
              <w:bottom w:val="single" w:sz="4"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-7.3%</w:t>
            </w:r>
          </w:p>
        </w:tc>
        <w:tc>
          <w:tcPr>
            <w:tcW w:w="1147" w:type="dxa"/>
            <w:tcBorders>
              <w:top w:val="nil"/>
              <w:left w:val="nil"/>
              <w:bottom w:val="single" w:sz="4" w:space="0" w:color="auto"/>
              <w:right w:val="single" w:sz="8"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-8.3%</w:t>
            </w:r>
          </w:p>
        </w:tc>
      </w:tr>
      <w:tr w:rsidR="000225B2" w:rsidRPr="000225B2" w:rsidTr="000225B2">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32.5%</w:t>
            </w:r>
          </w:p>
        </w:tc>
        <w:tc>
          <w:tcPr>
            <w:tcW w:w="983" w:type="dxa"/>
            <w:tcBorders>
              <w:top w:val="nil"/>
              <w:left w:val="nil"/>
              <w:bottom w:val="single" w:sz="8"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34.4%</w:t>
            </w:r>
          </w:p>
        </w:tc>
        <w:tc>
          <w:tcPr>
            <w:tcW w:w="1147" w:type="dxa"/>
            <w:tcBorders>
              <w:top w:val="nil"/>
              <w:left w:val="nil"/>
              <w:bottom w:val="single" w:sz="8" w:space="0" w:color="auto"/>
              <w:right w:val="single" w:sz="8"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33.0%</w:t>
            </w:r>
          </w:p>
        </w:tc>
      </w:tr>
    </w:tbl>
    <w:p w:rsidR="000225B2" w:rsidRPr="000225B2" w:rsidRDefault="000225B2" w:rsidP="00327A21">
      <w:pPr>
        <w:rPr>
          <w:rFonts w:asciiTheme="minorHAnsi" w:hAnsiTheme="minorHAnsi" w:cstheme="minorHAnsi"/>
          <w:sz w:val="22"/>
          <w:szCs w:val="22"/>
        </w:rPr>
      </w:pPr>
    </w:p>
    <w:p w:rsidR="000225B2" w:rsidRDefault="000225B2" w:rsidP="000225B2">
      <w:pPr>
        <w:rPr>
          <w:rFonts w:asciiTheme="minorHAnsi" w:hAnsiTheme="minorHAnsi" w:cstheme="minorHAnsi"/>
          <w:sz w:val="22"/>
          <w:szCs w:val="22"/>
        </w:rPr>
      </w:pPr>
      <w:r>
        <w:rPr>
          <w:rFonts w:asciiTheme="minorHAnsi" w:hAnsiTheme="minorHAnsi" w:cstheme="minorHAnsi"/>
          <w:sz w:val="22"/>
          <w:szCs w:val="22"/>
        </w:rPr>
        <w:t>The C3A and C3B rate relativity factors applied to the C3 projected expenditures are:</w:t>
      </w:r>
    </w:p>
    <w:p w:rsidR="008809FA" w:rsidRDefault="008809FA" w:rsidP="000225B2">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0225B2" w:rsidRPr="000225B2" w:rsidTr="000225B2">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The Cape</w:t>
            </w:r>
          </w:p>
        </w:tc>
      </w:tr>
      <w:tr w:rsidR="000225B2" w:rsidRPr="000225B2" w:rsidTr="000225B2">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-7.2%</w:t>
            </w:r>
          </w:p>
        </w:tc>
        <w:tc>
          <w:tcPr>
            <w:tcW w:w="983" w:type="dxa"/>
            <w:tcBorders>
              <w:top w:val="nil"/>
              <w:left w:val="nil"/>
              <w:bottom w:val="single" w:sz="4"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-6.5%</w:t>
            </w:r>
          </w:p>
        </w:tc>
        <w:tc>
          <w:tcPr>
            <w:tcW w:w="1147" w:type="dxa"/>
            <w:tcBorders>
              <w:top w:val="nil"/>
              <w:left w:val="nil"/>
              <w:bottom w:val="single" w:sz="4" w:space="0" w:color="auto"/>
              <w:right w:val="single" w:sz="8"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-8.7%</w:t>
            </w:r>
          </w:p>
        </w:tc>
      </w:tr>
      <w:tr w:rsidR="000225B2" w:rsidRPr="000225B2" w:rsidTr="000225B2">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225B2" w:rsidRPr="000225B2" w:rsidRDefault="000225B2" w:rsidP="000225B2">
            <w:pPr>
              <w:rPr>
                <w:rFonts w:asciiTheme="minorHAnsi" w:hAnsiTheme="minorHAnsi" w:cstheme="minorHAnsi"/>
                <w:color w:val="000000"/>
                <w:sz w:val="22"/>
                <w:szCs w:val="22"/>
              </w:rPr>
            </w:pPr>
            <w:r w:rsidRPr="000225B2">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88.2%</w:t>
            </w:r>
          </w:p>
        </w:tc>
        <w:tc>
          <w:tcPr>
            <w:tcW w:w="983" w:type="dxa"/>
            <w:tcBorders>
              <w:top w:val="nil"/>
              <w:left w:val="nil"/>
              <w:bottom w:val="single" w:sz="8" w:space="0" w:color="auto"/>
              <w:right w:val="single" w:sz="4"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89.7%</w:t>
            </w:r>
          </w:p>
        </w:tc>
        <w:tc>
          <w:tcPr>
            <w:tcW w:w="1147" w:type="dxa"/>
            <w:tcBorders>
              <w:top w:val="nil"/>
              <w:left w:val="nil"/>
              <w:bottom w:val="single" w:sz="8" w:space="0" w:color="auto"/>
              <w:right w:val="single" w:sz="8" w:space="0" w:color="auto"/>
            </w:tcBorders>
            <w:shd w:val="clear" w:color="auto" w:fill="auto"/>
            <w:noWrap/>
            <w:vAlign w:val="center"/>
            <w:hideMark/>
          </w:tcPr>
          <w:p w:rsidR="000225B2" w:rsidRPr="000225B2" w:rsidRDefault="000225B2" w:rsidP="000225B2">
            <w:pPr>
              <w:jc w:val="right"/>
              <w:rPr>
                <w:rFonts w:asciiTheme="minorHAnsi" w:hAnsiTheme="minorHAnsi" w:cstheme="minorHAnsi"/>
                <w:sz w:val="22"/>
                <w:szCs w:val="22"/>
              </w:rPr>
            </w:pPr>
            <w:r w:rsidRPr="000225B2">
              <w:rPr>
                <w:rFonts w:asciiTheme="minorHAnsi" w:hAnsiTheme="minorHAnsi" w:cstheme="minorHAnsi"/>
                <w:sz w:val="22"/>
                <w:szCs w:val="22"/>
              </w:rPr>
              <w:t>85.2%</w:t>
            </w:r>
          </w:p>
        </w:tc>
      </w:tr>
    </w:tbl>
    <w:p w:rsidR="00327A21" w:rsidRDefault="00327A21" w:rsidP="00327A21">
      <w:pPr>
        <w:rPr>
          <w:rFonts w:asciiTheme="minorHAnsi" w:hAnsiTheme="minorHAnsi" w:cstheme="minorHAnsi"/>
          <w:sz w:val="22"/>
          <w:szCs w:val="22"/>
        </w:rPr>
      </w:pPr>
    </w:p>
    <w:p w:rsidR="000225B2" w:rsidRPr="00263D60" w:rsidRDefault="000225B2" w:rsidP="00327A21">
      <w:pPr>
        <w:rPr>
          <w:rFonts w:asciiTheme="minorHAnsi" w:hAnsiTheme="minorHAnsi" w:cstheme="minorHAnsi"/>
          <w:sz w:val="22"/>
          <w:szCs w:val="22"/>
        </w:rPr>
      </w:pPr>
    </w:p>
    <w:p w:rsidR="00C5711F" w:rsidRDefault="00C5711F">
      <w:pPr>
        <w:rPr>
          <w:rFonts w:asciiTheme="minorHAnsi" w:hAnsiTheme="minorHAnsi" w:cstheme="minorHAnsi"/>
          <w:b/>
          <w:i/>
          <w:sz w:val="22"/>
          <w:szCs w:val="22"/>
        </w:rPr>
      </w:pPr>
      <w:r>
        <w:rPr>
          <w:rFonts w:asciiTheme="minorHAnsi" w:hAnsiTheme="minorHAnsi" w:cstheme="minorHAnsi"/>
          <w:b/>
          <w:i/>
          <w:sz w:val="22"/>
          <w:szCs w:val="22"/>
        </w:rPr>
        <w:br w:type="page"/>
      </w:r>
    </w:p>
    <w:p w:rsidR="0090656A" w:rsidRPr="00263D60" w:rsidRDefault="0090656A" w:rsidP="0090656A">
      <w:pPr>
        <w:rPr>
          <w:rFonts w:asciiTheme="minorHAnsi" w:hAnsiTheme="minorHAnsi" w:cstheme="minorHAnsi"/>
          <w:sz w:val="22"/>
          <w:szCs w:val="22"/>
          <w:u w:val="single"/>
        </w:rPr>
      </w:pPr>
      <w:r w:rsidRPr="00263D60">
        <w:rPr>
          <w:rFonts w:asciiTheme="minorHAnsi" w:hAnsiTheme="minorHAnsi" w:cstheme="minorHAnsi"/>
          <w:b/>
          <w:i/>
          <w:sz w:val="22"/>
          <w:szCs w:val="22"/>
        </w:rPr>
        <w:lastRenderedPageBreak/>
        <w:t>Category of Service Mapping</w:t>
      </w:r>
      <w:r w:rsidRPr="00263D60">
        <w:rPr>
          <w:rFonts w:asciiTheme="minorHAnsi" w:hAnsiTheme="minorHAnsi" w:cstheme="minorHAnsi"/>
          <w:sz w:val="22"/>
          <w:szCs w:val="22"/>
        </w:rPr>
        <w:t>:</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following is a category of service mapping between the services reflected in the MassHealth Data Book and the service categories used in the rate development process. Descriptions of the MassHealth Data Book categories of service can be found within the MassHealth Data Book in the “Medicaid COS” tab for Medicaid claims, and in the “</w:t>
      </w:r>
      <w:r w:rsidR="006A15FD">
        <w:rPr>
          <w:rFonts w:asciiTheme="minorHAnsi" w:hAnsiTheme="minorHAnsi" w:cstheme="minorHAnsi"/>
          <w:sz w:val="22"/>
          <w:szCs w:val="22"/>
        </w:rPr>
        <w:t>Crossover</w:t>
      </w:r>
      <w:r w:rsidR="006A15FD" w:rsidRPr="00263D60">
        <w:rPr>
          <w:rFonts w:asciiTheme="minorHAnsi" w:hAnsiTheme="minorHAnsi" w:cstheme="minorHAnsi"/>
          <w:sz w:val="22"/>
          <w:szCs w:val="22"/>
        </w:rPr>
        <w:t xml:space="preserve"> </w:t>
      </w:r>
      <w:r w:rsidRPr="00263D60">
        <w:rPr>
          <w:rFonts w:asciiTheme="minorHAnsi" w:hAnsiTheme="minorHAnsi" w:cstheme="minorHAnsi"/>
          <w:sz w:val="22"/>
          <w:szCs w:val="22"/>
        </w:rPr>
        <w:t>COS” tab for the crossover claims.</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Medicaid Claims:</w:t>
      </w:r>
    </w:p>
    <w:p w:rsidR="0090656A" w:rsidRPr="00263D60" w:rsidRDefault="0090656A" w:rsidP="0090656A">
      <w:pPr>
        <w:rPr>
          <w:rFonts w:asciiTheme="minorHAnsi" w:hAnsiTheme="minorHAnsi" w:cstheme="minorHAnsi"/>
          <w:sz w:val="22"/>
          <w:szCs w:val="22"/>
        </w:rPr>
      </w:pPr>
    </w:p>
    <w:tbl>
      <w:tblPr>
        <w:tblW w:w="6360" w:type="dxa"/>
        <w:jc w:val="center"/>
        <w:tblInd w:w="93" w:type="dxa"/>
        <w:tblLook w:val="0000" w:firstRow="0" w:lastRow="0" w:firstColumn="0" w:lastColumn="0" w:noHBand="0" w:noVBand="0"/>
      </w:tblPr>
      <w:tblGrid>
        <w:gridCol w:w="2500"/>
        <w:gridCol w:w="3860"/>
      </w:tblGrid>
      <w:tr w:rsidR="0090656A" w:rsidRPr="00263D60" w:rsidTr="0090656A">
        <w:trPr>
          <w:trHeight w:val="780"/>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 xml:space="preserve">MassHealth DataBook </w:t>
            </w:r>
            <w:r w:rsidRPr="00263D60">
              <w:rPr>
                <w:rFonts w:asciiTheme="minorHAnsi" w:hAnsiTheme="minorHAnsi" w:cstheme="minorHAnsi"/>
                <w:b/>
                <w:bCs/>
                <w:sz w:val="22"/>
                <w:szCs w:val="22"/>
              </w:rPr>
              <w:br/>
              <w:t xml:space="preserve">Medicaid Claim </w:t>
            </w:r>
            <w:r w:rsidRPr="00263D60">
              <w:rPr>
                <w:rFonts w:asciiTheme="minorHAnsi" w:hAnsiTheme="minorHAnsi" w:cstheme="minorHAnsi"/>
                <w:b/>
                <w:bCs/>
                <w:sz w:val="22"/>
                <w:szCs w:val="22"/>
              </w:rPr>
              <w:br/>
              <w:t>Category of Service</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IP – Non-Behavioral Health</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IP – Behavioral Health</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Hospital Outpatient</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Outpatient BH</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Professional</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Community LTSS</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LTC</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Non-Part D Pharmacy</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and Supplies</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r>
      <w:tr w:rsidR="0090656A" w:rsidRPr="00263D60" w:rsidTr="0090656A">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Other Services</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Crossover Claims:</w:t>
      </w:r>
    </w:p>
    <w:p w:rsidR="0090656A" w:rsidRPr="00263D60" w:rsidRDefault="0090656A" w:rsidP="0090656A">
      <w:pPr>
        <w:rPr>
          <w:rFonts w:asciiTheme="minorHAnsi" w:hAnsiTheme="minorHAnsi" w:cstheme="minorHAnsi"/>
          <w:sz w:val="22"/>
          <w:szCs w:val="22"/>
        </w:rPr>
      </w:pPr>
    </w:p>
    <w:tbl>
      <w:tblPr>
        <w:tblW w:w="6360" w:type="dxa"/>
        <w:jc w:val="center"/>
        <w:tblInd w:w="93" w:type="dxa"/>
        <w:tblLook w:val="0000" w:firstRow="0" w:lastRow="0" w:firstColumn="0" w:lastColumn="0" w:noHBand="0" w:noVBand="0"/>
      </w:tblPr>
      <w:tblGrid>
        <w:gridCol w:w="2500"/>
        <w:gridCol w:w="3860"/>
      </w:tblGrid>
      <w:tr w:rsidR="0090656A" w:rsidRPr="00263D60" w:rsidTr="002B3D7C">
        <w:trPr>
          <w:trHeight w:val="808"/>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 xml:space="preserve">MassHealth DataBook </w:t>
            </w:r>
            <w:r w:rsidRPr="00263D60">
              <w:rPr>
                <w:rFonts w:asciiTheme="minorHAnsi" w:hAnsiTheme="minorHAnsi" w:cstheme="minorHAnsi"/>
                <w:b/>
                <w:bCs/>
                <w:sz w:val="22"/>
                <w:szCs w:val="22"/>
              </w:rPr>
              <w:br/>
              <w:t xml:space="preserve">Crossover Claim </w:t>
            </w:r>
            <w:r w:rsidRPr="00263D60">
              <w:rPr>
                <w:rFonts w:asciiTheme="minorHAnsi" w:hAnsiTheme="minorHAnsi" w:cstheme="minorHAnsi"/>
                <w:b/>
                <w:bCs/>
                <w:sz w:val="22"/>
                <w:szCs w:val="22"/>
              </w:rPr>
              <w:br/>
              <w:t>Category of Service</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IP – Non-Behavioral Health</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IP - Mental Health</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IP – Substance Abuse</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ER / Urgent Care</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Lab / Rad</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Other</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Pharmacy</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PT/OT/ST</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HOP - Behavioral Health</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 – Behavioral Health</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 – HIP Visits</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 – Lab / Rad</w:t>
            </w:r>
          </w:p>
        </w:tc>
      </w:tr>
      <w:tr w:rsidR="0090656A" w:rsidRPr="00263D60"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 – OP Visits</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 – Other</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SNF</w:t>
            </w:r>
          </w:p>
        </w:tc>
      </w:tr>
      <w:tr w:rsidR="0090656A" w:rsidRPr="00263D60"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and Supplies</w:t>
            </w:r>
          </w:p>
        </w:tc>
      </w:tr>
      <w:tr w:rsidR="0090656A" w:rsidRPr="00263D60" w:rsidTr="0090656A">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u w:val="single"/>
        </w:rPr>
      </w:pPr>
      <w:r w:rsidRPr="00263D60">
        <w:rPr>
          <w:rFonts w:asciiTheme="minorHAnsi" w:hAnsiTheme="minorHAnsi" w:cstheme="minorHAnsi"/>
          <w:b/>
          <w:i/>
          <w:sz w:val="22"/>
          <w:szCs w:val="22"/>
        </w:rPr>
        <w:t>Historical Base Data Completion Factors</w:t>
      </w:r>
      <w:r w:rsidRPr="00263D60">
        <w:rPr>
          <w:rFonts w:asciiTheme="minorHAnsi" w:hAnsiTheme="minorHAnsi" w:cstheme="minorHAnsi"/>
          <w:sz w:val="22"/>
          <w:szCs w:val="22"/>
        </w:rPr>
        <w:t>:</w:t>
      </w:r>
    </w:p>
    <w:p w:rsidR="0090656A"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MassHealth Data Book does not reflect an estimate for IBNR expenditures. Medicaid and crossover claims processed by MassHealth through October 2012</w:t>
      </w:r>
      <w:r w:rsidR="006A15FD">
        <w:rPr>
          <w:rFonts w:asciiTheme="minorHAnsi" w:hAnsiTheme="minorHAnsi" w:cstheme="minorHAnsi"/>
          <w:sz w:val="22"/>
          <w:szCs w:val="22"/>
        </w:rPr>
        <w:t xml:space="preserve"> </w:t>
      </w:r>
      <w:r w:rsidRPr="00263D60">
        <w:rPr>
          <w:rFonts w:asciiTheme="minorHAnsi" w:hAnsiTheme="minorHAnsi" w:cstheme="minorHAnsi"/>
          <w:sz w:val="22"/>
          <w:szCs w:val="22"/>
        </w:rPr>
        <w:t>are reported in the MassHealth Data Book. To construct the historical base data, the following completion factors have been applied to both the Medicaid data and the crossover data reported in the Data Book.</w:t>
      </w:r>
    </w:p>
    <w:p w:rsidR="002E3CBA" w:rsidRPr="00263D60" w:rsidRDefault="002E3CBA" w:rsidP="0090656A">
      <w:pPr>
        <w:rPr>
          <w:rFonts w:asciiTheme="minorHAnsi" w:hAnsiTheme="minorHAnsi" w:cstheme="minorHAnsi"/>
          <w:sz w:val="22"/>
          <w:szCs w:val="22"/>
        </w:rPr>
      </w:pPr>
    </w:p>
    <w:tbl>
      <w:tblPr>
        <w:tblW w:w="4795" w:type="dxa"/>
        <w:jc w:val="center"/>
        <w:tblInd w:w="-577" w:type="dxa"/>
        <w:tblLook w:val="0000" w:firstRow="0" w:lastRow="0" w:firstColumn="0" w:lastColumn="0" w:noHBand="0" w:noVBand="0"/>
      </w:tblPr>
      <w:tblGrid>
        <w:gridCol w:w="2875"/>
        <w:gridCol w:w="960"/>
        <w:gridCol w:w="960"/>
      </w:tblGrid>
      <w:tr w:rsidR="0090656A" w:rsidRPr="00263D60" w:rsidTr="0090656A">
        <w:trPr>
          <w:trHeight w:val="255"/>
          <w:jc w:val="center"/>
        </w:trPr>
        <w:tc>
          <w:tcPr>
            <w:tcW w:w="287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Medica</w:t>
            </w:r>
            <w:r w:rsidR="001C1F45">
              <w:rPr>
                <w:rFonts w:asciiTheme="minorHAnsi" w:hAnsiTheme="minorHAnsi" w:cstheme="minorHAnsi"/>
                <w:b/>
                <w:bCs/>
                <w:sz w:val="22"/>
                <w:szCs w:val="22"/>
              </w:rPr>
              <w:t>i</w:t>
            </w:r>
            <w:r w:rsidRPr="00263D60">
              <w:rPr>
                <w:rFonts w:asciiTheme="minorHAnsi" w:hAnsiTheme="minorHAnsi" w:cstheme="minorHAnsi"/>
                <w:b/>
                <w:bCs/>
                <w:sz w:val="22"/>
                <w:szCs w:val="22"/>
              </w:rPr>
              <w:t>d Claims Completion Factors</w:t>
            </w:r>
          </w:p>
        </w:tc>
      </w:tr>
      <w:tr w:rsidR="0090656A" w:rsidRPr="00263D60" w:rsidTr="0090656A">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rsidR="0090656A" w:rsidRPr="00263D60" w:rsidRDefault="0090656A" w:rsidP="0090656A">
            <w:pPr>
              <w:rPr>
                <w:rFonts w:asciiTheme="minorHAnsi" w:hAnsiTheme="minorHAnsi" w:cstheme="minorHAnsi"/>
                <w:b/>
                <w:bCs/>
                <w:sz w:val="22"/>
                <w:szCs w:val="22"/>
              </w:rPr>
            </w:pPr>
            <w:r w:rsidRPr="00263D60">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CY 2010</w:t>
            </w:r>
          </w:p>
        </w:tc>
        <w:tc>
          <w:tcPr>
            <w:tcW w:w="96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CY 2011</w:t>
            </w:r>
          </w:p>
        </w:tc>
      </w:tr>
      <w:tr w:rsidR="0090656A" w:rsidRPr="00263D60" w:rsidTr="0090656A">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1.002</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1.019</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1.002</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1.019</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r>
      <w:tr w:rsidR="0090656A" w:rsidRPr="00263D60" w:rsidTr="0090656A">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1.003</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p>
    <w:tbl>
      <w:tblPr>
        <w:tblW w:w="4795" w:type="dxa"/>
        <w:jc w:val="center"/>
        <w:tblInd w:w="-577" w:type="dxa"/>
        <w:tblLook w:val="0000" w:firstRow="0" w:lastRow="0" w:firstColumn="0" w:lastColumn="0" w:noHBand="0" w:noVBand="0"/>
      </w:tblPr>
      <w:tblGrid>
        <w:gridCol w:w="2875"/>
        <w:gridCol w:w="960"/>
        <w:gridCol w:w="960"/>
      </w:tblGrid>
      <w:tr w:rsidR="0090656A" w:rsidRPr="00263D60" w:rsidTr="0090656A">
        <w:trPr>
          <w:trHeight w:val="255"/>
          <w:jc w:val="center"/>
        </w:trPr>
        <w:tc>
          <w:tcPr>
            <w:tcW w:w="287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Crossover Claims Completion Factors</w:t>
            </w:r>
          </w:p>
        </w:tc>
      </w:tr>
      <w:tr w:rsidR="0090656A" w:rsidRPr="00263D60" w:rsidTr="0090656A">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rsidR="0090656A" w:rsidRPr="00263D60" w:rsidRDefault="0090656A" w:rsidP="0090656A">
            <w:pPr>
              <w:rPr>
                <w:rFonts w:asciiTheme="minorHAnsi" w:hAnsiTheme="minorHAnsi" w:cstheme="minorHAnsi"/>
                <w:b/>
                <w:bCs/>
                <w:sz w:val="22"/>
                <w:szCs w:val="22"/>
              </w:rPr>
            </w:pPr>
            <w:r w:rsidRPr="00263D60">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CY 2010</w:t>
            </w:r>
          </w:p>
        </w:tc>
        <w:tc>
          <w:tcPr>
            <w:tcW w:w="96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22"/>
                <w:szCs w:val="22"/>
              </w:rPr>
            </w:pPr>
            <w:r w:rsidRPr="00263D60">
              <w:rPr>
                <w:rFonts w:asciiTheme="minorHAnsi" w:hAnsiTheme="minorHAnsi" w:cstheme="minorHAnsi"/>
                <w:b/>
                <w:bCs/>
                <w:sz w:val="22"/>
                <w:szCs w:val="22"/>
              </w:rPr>
              <w:t>CY 2011</w:t>
            </w:r>
          </w:p>
        </w:tc>
      </w:tr>
      <w:tr w:rsidR="0090656A" w:rsidRPr="00263D60" w:rsidTr="0090656A">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1.014</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1.014</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1.003</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1.024</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1.003</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1.024</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1.003</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1.024</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1.006</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1.005</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1.005</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1.005</w:t>
            </w:r>
          </w:p>
        </w:tc>
      </w:tr>
      <w:tr w:rsidR="0090656A" w:rsidRPr="00263D60"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1.005</w:t>
            </w:r>
          </w:p>
        </w:tc>
      </w:tr>
      <w:tr w:rsidR="0090656A" w:rsidRPr="00263D60" w:rsidTr="0090656A">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1.002</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263D60" w:rsidRDefault="0090656A" w:rsidP="0090656A">
            <w:pPr>
              <w:jc w:val="right"/>
              <w:rPr>
                <w:rFonts w:asciiTheme="minorHAnsi" w:hAnsiTheme="minorHAnsi" w:cstheme="minorHAnsi"/>
                <w:sz w:val="22"/>
                <w:szCs w:val="22"/>
              </w:rPr>
            </w:pPr>
            <w:r w:rsidRPr="00263D60">
              <w:rPr>
                <w:rFonts w:asciiTheme="minorHAnsi" w:hAnsiTheme="minorHAnsi" w:cstheme="minorHAnsi"/>
                <w:sz w:val="22"/>
                <w:szCs w:val="22"/>
              </w:rPr>
              <w:t>1.018</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p>
    <w:p w:rsidR="00C5711F" w:rsidRDefault="00C5711F">
      <w:pPr>
        <w:rPr>
          <w:rFonts w:asciiTheme="minorHAnsi" w:hAnsiTheme="minorHAnsi" w:cstheme="minorHAnsi"/>
          <w:b/>
          <w:i/>
          <w:sz w:val="22"/>
          <w:szCs w:val="22"/>
        </w:rPr>
      </w:pPr>
      <w:r>
        <w:rPr>
          <w:rFonts w:asciiTheme="minorHAnsi" w:hAnsiTheme="minorHAnsi" w:cstheme="minorHAnsi"/>
          <w:b/>
          <w:i/>
          <w:sz w:val="22"/>
          <w:szCs w:val="22"/>
        </w:rPr>
        <w:br w:type="page"/>
      </w:r>
    </w:p>
    <w:p w:rsidR="0090656A" w:rsidRPr="00263D60" w:rsidRDefault="0090656A" w:rsidP="0090656A">
      <w:pPr>
        <w:rPr>
          <w:rFonts w:asciiTheme="minorHAnsi" w:hAnsiTheme="minorHAnsi" w:cstheme="minorHAnsi"/>
          <w:sz w:val="22"/>
          <w:szCs w:val="22"/>
          <w:u w:val="single"/>
        </w:rPr>
      </w:pPr>
      <w:r w:rsidRPr="00263D60">
        <w:rPr>
          <w:rFonts w:asciiTheme="minorHAnsi" w:hAnsiTheme="minorHAnsi" w:cstheme="minorHAnsi"/>
          <w:b/>
          <w:i/>
          <w:sz w:val="22"/>
          <w:szCs w:val="22"/>
        </w:rPr>
        <w:lastRenderedPageBreak/>
        <w:t>Counties and Regions</w:t>
      </w:r>
      <w:r w:rsidRPr="00263D60">
        <w:rPr>
          <w:rFonts w:asciiTheme="minorHAnsi" w:hAnsiTheme="minorHAnsi" w:cstheme="minorHAnsi"/>
          <w:sz w:val="22"/>
          <w:szCs w:val="22"/>
        </w:rPr>
        <w:t>:</w:t>
      </w:r>
    </w:p>
    <w:p w:rsidR="0090656A" w:rsidRPr="00263D60" w:rsidRDefault="0090656A" w:rsidP="0090656A">
      <w:pPr>
        <w:pStyle w:val="ListBullet"/>
        <w:numPr>
          <w:ilvl w:val="0"/>
          <w:numId w:val="0"/>
        </w:numPr>
        <w:rPr>
          <w:rFonts w:asciiTheme="minorHAnsi" w:hAnsiTheme="minorHAnsi" w:cstheme="minorHAnsi"/>
        </w:rPr>
      </w:pPr>
      <w:r w:rsidRPr="00263D60">
        <w:rPr>
          <w:rFonts w:asciiTheme="minorHAnsi" w:hAnsiTheme="minorHAnsi" w:cstheme="minorHAnsi"/>
        </w:rPr>
        <w:t xml:space="preserve">Rates will be paid on a Massachusetts county and MassHealth rating category basis. Rates, however, have been developed regionally. The CY 2013 rate development process assumed the Massachusetts demonstration would cover the entire state (all 14 counties).  As of the start date of the demonstration (October 1, 2013), there are five counties that are not included in </w:t>
      </w:r>
      <w:r w:rsidR="002E3CBA">
        <w:rPr>
          <w:rFonts w:asciiTheme="minorHAnsi" w:hAnsiTheme="minorHAnsi" w:cstheme="minorHAnsi"/>
        </w:rPr>
        <w:t>any</w:t>
      </w:r>
      <w:r w:rsidR="002E3CBA" w:rsidRPr="00263D60">
        <w:rPr>
          <w:rFonts w:asciiTheme="minorHAnsi" w:hAnsiTheme="minorHAnsi" w:cstheme="minorHAnsi"/>
        </w:rPr>
        <w:t xml:space="preserve"> </w:t>
      </w:r>
      <w:r w:rsidRPr="00263D60">
        <w:rPr>
          <w:rFonts w:asciiTheme="minorHAnsi" w:hAnsiTheme="minorHAnsi" w:cstheme="minorHAnsi"/>
        </w:rPr>
        <w:t>of the OneCare plan service areas. The five counties include:</w:t>
      </w:r>
    </w:p>
    <w:p w:rsidR="0090656A" w:rsidRPr="00263D60" w:rsidRDefault="0090656A" w:rsidP="0090656A">
      <w:pPr>
        <w:pStyle w:val="ListBullet"/>
        <w:numPr>
          <w:ilvl w:val="0"/>
          <w:numId w:val="0"/>
        </w:numPr>
        <w:rPr>
          <w:rFonts w:asciiTheme="minorHAnsi" w:hAnsiTheme="minorHAnsi" w:cstheme="minorHAnsi"/>
        </w:rPr>
      </w:pPr>
    </w:p>
    <w:p w:rsidR="0090656A" w:rsidRPr="00263D60" w:rsidRDefault="0090656A" w:rsidP="0090656A">
      <w:pPr>
        <w:pStyle w:val="ListBullet"/>
        <w:numPr>
          <w:ilvl w:val="0"/>
          <w:numId w:val="7"/>
        </w:numPr>
        <w:outlineLvl w:val="4"/>
        <w:rPr>
          <w:rFonts w:asciiTheme="minorHAnsi" w:hAnsiTheme="minorHAnsi" w:cstheme="minorHAnsi"/>
        </w:rPr>
      </w:pPr>
      <w:r w:rsidRPr="00263D60">
        <w:rPr>
          <w:rFonts w:asciiTheme="minorHAnsi" w:hAnsiTheme="minorHAnsi" w:cstheme="minorHAnsi"/>
        </w:rPr>
        <w:t xml:space="preserve">Barnstable. </w:t>
      </w:r>
    </w:p>
    <w:p w:rsidR="0090656A" w:rsidRPr="00263D60" w:rsidRDefault="0090656A" w:rsidP="0090656A">
      <w:pPr>
        <w:pStyle w:val="ListBullet"/>
        <w:numPr>
          <w:ilvl w:val="0"/>
          <w:numId w:val="7"/>
        </w:numPr>
        <w:outlineLvl w:val="4"/>
        <w:rPr>
          <w:rFonts w:asciiTheme="minorHAnsi" w:hAnsiTheme="minorHAnsi" w:cstheme="minorHAnsi"/>
        </w:rPr>
      </w:pPr>
      <w:r w:rsidRPr="00263D60">
        <w:rPr>
          <w:rFonts w:asciiTheme="minorHAnsi" w:hAnsiTheme="minorHAnsi" w:cstheme="minorHAnsi"/>
        </w:rPr>
        <w:t xml:space="preserve">Bristol. </w:t>
      </w:r>
    </w:p>
    <w:p w:rsidR="0090656A" w:rsidRPr="00263D60" w:rsidRDefault="0090656A" w:rsidP="0090656A">
      <w:pPr>
        <w:pStyle w:val="ListBullet"/>
        <w:numPr>
          <w:ilvl w:val="0"/>
          <w:numId w:val="7"/>
        </w:numPr>
        <w:outlineLvl w:val="4"/>
        <w:rPr>
          <w:rFonts w:asciiTheme="minorHAnsi" w:hAnsiTheme="minorHAnsi" w:cstheme="minorHAnsi"/>
        </w:rPr>
      </w:pPr>
      <w:r w:rsidRPr="00263D60">
        <w:rPr>
          <w:rFonts w:asciiTheme="minorHAnsi" w:hAnsiTheme="minorHAnsi" w:cstheme="minorHAnsi"/>
        </w:rPr>
        <w:t>Berkshire.</w:t>
      </w:r>
    </w:p>
    <w:p w:rsidR="0090656A" w:rsidRPr="00263D60" w:rsidRDefault="0090656A" w:rsidP="0090656A">
      <w:pPr>
        <w:pStyle w:val="ListBullet"/>
        <w:numPr>
          <w:ilvl w:val="0"/>
          <w:numId w:val="7"/>
        </w:numPr>
        <w:outlineLvl w:val="4"/>
        <w:rPr>
          <w:rFonts w:asciiTheme="minorHAnsi" w:hAnsiTheme="minorHAnsi" w:cstheme="minorHAnsi"/>
        </w:rPr>
      </w:pPr>
      <w:r w:rsidRPr="00263D60">
        <w:rPr>
          <w:rFonts w:asciiTheme="minorHAnsi" w:hAnsiTheme="minorHAnsi" w:cstheme="minorHAnsi"/>
        </w:rPr>
        <w:t xml:space="preserve">Dukes. </w:t>
      </w:r>
    </w:p>
    <w:p w:rsidR="0090656A" w:rsidRPr="00263D60" w:rsidRDefault="0090656A" w:rsidP="0090656A">
      <w:pPr>
        <w:pStyle w:val="ListBullet"/>
        <w:numPr>
          <w:ilvl w:val="0"/>
          <w:numId w:val="7"/>
        </w:numPr>
        <w:outlineLvl w:val="4"/>
        <w:rPr>
          <w:rFonts w:asciiTheme="minorHAnsi" w:hAnsiTheme="minorHAnsi" w:cstheme="minorHAnsi"/>
        </w:rPr>
      </w:pPr>
      <w:r w:rsidRPr="00263D60">
        <w:rPr>
          <w:rFonts w:asciiTheme="minorHAnsi" w:hAnsiTheme="minorHAnsi" w:cstheme="minorHAnsi"/>
        </w:rPr>
        <w:t>Nantucket.</w:t>
      </w:r>
    </w:p>
    <w:p w:rsidR="0090656A" w:rsidRPr="00263D60" w:rsidRDefault="0090656A" w:rsidP="0090656A">
      <w:pPr>
        <w:pStyle w:val="ListBullet"/>
        <w:numPr>
          <w:ilvl w:val="0"/>
          <w:numId w:val="0"/>
        </w:numPr>
        <w:ind w:left="360" w:hanging="360"/>
        <w:rPr>
          <w:rFonts w:asciiTheme="minorHAnsi" w:hAnsiTheme="minorHAnsi" w:cstheme="minorHAnsi"/>
          <w:color w:val="000080"/>
        </w:rPr>
      </w:pPr>
    </w:p>
    <w:p w:rsidR="0090656A" w:rsidRPr="00263D60" w:rsidRDefault="0090656A" w:rsidP="00D537E5">
      <w:pPr>
        <w:pStyle w:val="ListBullet"/>
        <w:numPr>
          <w:ilvl w:val="0"/>
          <w:numId w:val="0"/>
        </w:numPr>
        <w:rPr>
          <w:rFonts w:asciiTheme="minorHAnsi" w:hAnsiTheme="minorHAnsi" w:cstheme="minorHAnsi"/>
        </w:rPr>
      </w:pPr>
      <w:r w:rsidRPr="00263D60">
        <w:rPr>
          <w:rFonts w:asciiTheme="minorHAnsi" w:hAnsiTheme="minorHAnsi" w:cstheme="minorHAnsi"/>
        </w:rPr>
        <w:t>Since the</w:t>
      </w:r>
      <w:r w:rsidR="002E3CBA">
        <w:rPr>
          <w:rFonts w:asciiTheme="minorHAnsi" w:hAnsiTheme="minorHAnsi" w:cstheme="minorHAnsi"/>
        </w:rPr>
        <w:t xml:space="preserve"> demonstration does not </w:t>
      </w:r>
      <w:r w:rsidRPr="00263D60">
        <w:rPr>
          <w:rFonts w:asciiTheme="minorHAnsi" w:hAnsiTheme="minorHAnsi" w:cstheme="minorHAnsi"/>
        </w:rPr>
        <w:t xml:space="preserve">currently </w:t>
      </w:r>
      <w:r w:rsidR="002E3CBA">
        <w:rPr>
          <w:rFonts w:asciiTheme="minorHAnsi" w:hAnsiTheme="minorHAnsi" w:cstheme="minorHAnsi"/>
        </w:rPr>
        <w:t>operate in these counties</w:t>
      </w:r>
      <w:r w:rsidRPr="00263D60">
        <w:rPr>
          <w:rFonts w:asciiTheme="minorHAnsi" w:hAnsiTheme="minorHAnsi" w:cstheme="minorHAnsi"/>
        </w:rPr>
        <w:t>, any applicable claims and eligibility data for these counties has been removed from the base data.  The resulting geographic classifications are as follows:</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Eastern:</w:t>
      </w:r>
      <w:r w:rsidRPr="00263D60">
        <w:rPr>
          <w:rFonts w:asciiTheme="minorHAnsi" w:hAnsiTheme="minorHAnsi" w:cstheme="minorHAnsi"/>
          <w:sz w:val="22"/>
          <w:szCs w:val="22"/>
        </w:rPr>
        <w:tab/>
        <w:t>Essex, Middlesex, Norfolk and Suffolk counties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Western:</w:t>
      </w:r>
      <w:r w:rsidRPr="00263D60">
        <w:rPr>
          <w:rFonts w:asciiTheme="minorHAnsi" w:hAnsiTheme="minorHAnsi" w:cstheme="minorHAnsi"/>
          <w:sz w:val="22"/>
          <w:szCs w:val="22"/>
        </w:rPr>
        <w:tab/>
        <w:t>Franklin, Hampden, Hampshire and Worcester counties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xml:space="preserve">The Cape: </w:t>
      </w:r>
      <w:r w:rsidRPr="00263D60">
        <w:rPr>
          <w:rFonts w:asciiTheme="minorHAnsi" w:hAnsiTheme="minorHAnsi" w:cstheme="minorHAnsi"/>
          <w:sz w:val="22"/>
          <w:szCs w:val="22"/>
        </w:rPr>
        <w:tab/>
        <w:t>Plymouth county</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Adjustment information below is provided by geographic region.</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b/>
          <w:sz w:val="22"/>
          <w:szCs w:val="22"/>
          <w:u w:val="single"/>
        </w:rPr>
      </w:pPr>
      <w:r w:rsidRPr="00263D60">
        <w:rPr>
          <w:rFonts w:asciiTheme="minorHAnsi" w:hAnsiTheme="minorHAnsi" w:cstheme="minorHAnsi"/>
          <w:b/>
          <w:sz w:val="22"/>
          <w:szCs w:val="22"/>
          <w:u w:val="single"/>
        </w:rPr>
        <w:t>Adjustments to Historical Base Data:</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As outlined in Appendix 6 of the MOU for this Demonstration and further detailed in Section 4 of the three-way contract, rates have been developed based on expected costs for this population had the Demonstration not existed. The adjustments included below have been made to the historical base data to reflect the benefits and costs that will apply in CY2014 to fee-for-service dual eligible individuals.</w:t>
      </w:r>
      <w:r w:rsidR="008E5CA0">
        <w:rPr>
          <w:rFonts w:asciiTheme="minorHAnsi" w:hAnsiTheme="minorHAnsi" w:cstheme="minorHAnsi"/>
          <w:sz w:val="22"/>
          <w:szCs w:val="22"/>
        </w:rPr>
        <w:t xml:space="preserve"> As described above, </w:t>
      </w:r>
      <w:r w:rsidR="00BB0350">
        <w:rPr>
          <w:rFonts w:asciiTheme="minorHAnsi" w:hAnsiTheme="minorHAnsi" w:cstheme="minorHAnsi"/>
          <w:sz w:val="22"/>
          <w:szCs w:val="22"/>
        </w:rPr>
        <w:t xml:space="preserve">most </w:t>
      </w:r>
      <w:r w:rsidR="008E5CA0">
        <w:rPr>
          <w:rFonts w:asciiTheme="minorHAnsi" w:hAnsiTheme="minorHAnsi" w:cstheme="minorHAnsi"/>
          <w:sz w:val="22"/>
          <w:szCs w:val="22"/>
        </w:rPr>
        <w:t xml:space="preserve">adjustments specific to the C2 and C3 rating categories are made prior to </w:t>
      </w:r>
      <w:r w:rsidR="008F1B0D">
        <w:rPr>
          <w:rFonts w:asciiTheme="minorHAnsi" w:hAnsiTheme="minorHAnsi" w:cstheme="minorHAnsi"/>
          <w:sz w:val="22"/>
          <w:szCs w:val="22"/>
        </w:rPr>
        <w:t xml:space="preserve">the application of </w:t>
      </w:r>
      <w:r w:rsidR="008E5CA0">
        <w:rPr>
          <w:rFonts w:asciiTheme="minorHAnsi" w:hAnsiTheme="minorHAnsi" w:cstheme="minorHAnsi"/>
          <w:sz w:val="22"/>
          <w:szCs w:val="22"/>
        </w:rPr>
        <w:t>C2A/C2B and C3A/C3B relativity factors to the projected rates.</w:t>
      </w: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Primary Care Fee Increase in the ACA:</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MassHealth has raised its payment rates for primary care in accordance with the Patient Protection and Affordable Care Act (ACA) Section 1202. While for dual eligible individuals primary care tends to be covered under Medicare, this fee increase will impact the crossover claim costs for primary care services in the fee-for-service environment. The following adjustments have therefore been made to the historical base data to account for these fee increases. The increase was computed based on crossover claims, but the final adjustments are percentages of, and have been applied to, both crossover and Medicaid only professional claims.</w:t>
      </w:r>
    </w:p>
    <w:p w:rsidR="0090656A" w:rsidRPr="00FA5FF5" w:rsidRDefault="0090656A" w:rsidP="0090656A">
      <w:pPr>
        <w:rPr>
          <w:rFonts w:ascii="Arial" w:hAnsi="Arial" w:cs="Arial"/>
        </w:rPr>
      </w:pPr>
    </w:p>
    <w:tbl>
      <w:tblPr>
        <w:tblW w:w="9605" w:type="dxa"/>
        <w:tblInd w:w="103" w:type="dxa"/>
        <w:tblLook w:val="0000" w:firstRow="0" w:lastRow="0" w:firstColumn="0" w:lastColumn="0" w:noHBand="0" w:noVBand="0"/>
      </w:tblPr>
      <w:tblGrid>
        <w:gridCol w:w="1805"/>
        <w:gridCol w:w="2160"/>
        <w:gridCol w:w="1880"/>
        <w:gridCol w:w="18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ACA 1202</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5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Professional</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150"/>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216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880" w:type="dxa"/>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C2A and C2B</w:t>
            </w:r>
          </w:p>
        </w:tc>
        <w:tc>
          <w:tcPr>
            <w:tcW w:w="18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C3A and C3B</w:t>
            </w:r>
          </w:p>
        </w:tc>
        <w:tc>
          <w:tcPr>
            <w:tcW w:w="1880" w:type="dxa"/>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trHeight w:val="25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Eastern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62.3%</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35.3%</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86.7%</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122.6%</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Western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53.7%</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44.7%</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86.9%</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152.8%</w:t>
            </w:r>
          </w:p>
        </w:tc>
      </w:tr>
      <w:tr w:rsidR="0090656A" w:rsidRPr="00263D60" w:rsidTr="0090656A">
        <w:trPr>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 xml:space="preserve">The </w:t>
            </w:r>
            <w:smartTag w:uri="urn:schemas-microsoft-com:office:smarttags" w:element="place">
              <w:r w:rsidRPr="00263D60">
                <w:rPr>
                  <w:rFonts w:asciiTheme="minorHAnsi" w:hAnsiTheme="minorHAnsi" w:cstheme="minorHAnsi"/>
                  <w:sz w:val="18"/>
                  <w:szCs w:val="18"/>
                </w:rPr>
                <w:t>Cape</w:t>
              </w:r>
            </w:smartTag>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79.8%</w:t>
            </w:r>
          </w:p>
        </w:tc>
        <w:tc>
          <w:tcPr>
            <w:tcW w:w="1880" w:type="dxa"/>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68.4%</w:t>
            </w:r>
          </w:p>
        </w:tc>
        <w:tc>
          <w:tcPr>
            <w:tcW w:w="188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119.3%</w:t>
            </w:r>
          </w:p>
        </w:tc>
        <w:tc>
          <w:tcPr>
            <w:tcW w:w="188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175.6%</w:t>
            </w:r>
          </w:p>
        </w:tc>
      </w:tr>
    </w:tbl>
    <w:p w:rsidR="0090656A" w:rsidRPr="00FA5FF5" w:rsidRDefault="0090656A" w:rsidP="0090656A">
      <w:pPr>
        <w:rPr>
          <w:rFonts w:ascii="Arial" w:hAnsi="Arial" w:cs="Arial"/>
          <w:sz w:val="22"/>
          <w:szCs w:val="22"/>
          <w:u w:val="single"/>
        </w:rPr>
      </w:pPr>
    </w:p>
    <w:p w:rsidR="0090656A" w:rsidRPr="00FA5FF5" w:rsidRDefault="0090656A" w:rsidP="0090656A">
      <w:pPr>
        <w:rPr>
          <w:rFonts w:ascii="Arial" w:hAnsi="Arial" w:cs="Arial"/>
          <w:sz w:val="22"/>
          <w:szCs w:val="22"/>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Medicaid Graduate Medical Education (GME) Expenses:</w:t>
      </w:r>
    </w:p>
    <w:p w:rsidR="0090656A" w:rsidRPr="00263D60" w:rsidDel="00454252"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Through September 2009, MassHealth included a GME component in its hospital rate development for certain hospitals. MassHealth no longer pays for GME. These expenses were included in the CY2009 Medicaid and crossover claim expenditures reflected in the base data used for CY 2013 rate development. CY 2014 rate development base data reflects CYs 2010 and 2011. Therefore, a GME adjustment is not necessary.</w:t>
      </w:r>
    </w:p>
    <w:p w:rsidR="0090656A" w:rsidRPr="00263D60" w:rsidRDefault="0090656A" w:rsidP="0090656A">
      <w:pPr>
        <w:rPr>
          <w:rFonts w:asciiTheme="minorHAnsi" w:hAnsiTheme="minorHAnsi" w:cstheme="minorHAnsi"/>
          <w:sz w:val="22"/>
          <w:szCs w:val="22"/>
          <w:u w:val="single"/>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Home Health MassHealth Appeals: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MassHealth Data Book and historical base data include some home health service payments that have been subsequently appealed by MassHealth and billed to Medicare. Successful appeals are not adjusted in the MassHealth claims system due to the mechanism by which MassHealth processes such recoupments. Estimates of the annual recoveries achieved for these services result in the following adjustment factors which have been applied to both the Medicaid only and the crossover claims.</w:t>
      </w:r>
    </w:p>
    <w:p w:rsidR="0090656A" w:rsidRPr="00FA5FF5" w:rsidRDefault="0090656A" w:rsidP="0090656A">
      <w:pPr>
        <w:rPr>
          <w:rFonts w:ascii="Arial" w:hAnsi="Arial" w:cs="Arial"/>
          <w:sz w:val="22"/>
          <w:szCs w:val="22"/>
        </w:rPr>
      </w:pPr>
    </w:p>
    <w:tbl>
      <w:tblPr>
        <w:tblW w:w="9605" w:type="dxa"/>
        <w:tblInd w:w="103" w:type="dxa"/>
        <w:tblLook w:val="0000" w:firstRow="0" w:lastRow="0" w:firstColumn="0" w:lastColumn="0" w:noHBand="0" w:noVBand="0"/>
      </w:tblPr>
      <w:tblGrid>
        <w:gridCol w:w="1805"/>
        <w:gridCol w:w="2160"/>
        <w:gridCol w:w="1880"/>
        <w:gridCol w:w="18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Home Health</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HCBS/Home Health</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150"/>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216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880" w:type="dxa"/>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C2A and C2B</w:t>
            </w:r>
          </w:p>
        </w:tc>
        <w:tc>
          <w:tcPr>
            <w:tcW w:w="18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C3A and C3B</w:t>
            </w:r>
          </w:p>
        </w:tc>
        <w:tc>
          <w:tcPr>
            <w:tcW w:w="1880" w:type="dxa"/>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Eastern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Western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r>
      <w:tr w:rsidR="0090656A" w:rsidRPr="00263D60" w:rsidTr="0090656A">
        <w:trPr>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 xml:space="preserve">The </w:t>
            </w:r>
            <w:smartTag w:uri="urn:schemas-microsoft-com:office:smarttags" w:element="place">
              <w:r w:rsidRPr="00263D60">
                <w:rPr>
                  <w:rFonts w:asciiTheme="minorHAnsi" w:hAnsiTheme="minorHAnsi" w:cstheme="minorHAnsi"/>
                  <w:sz w:val="18"/>
                  <w:szCs w:val="18"/>
                </w:rPr>
                <w:t>Cape</w:t>
              </w:r>
            </w:smartTag>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c>
          <w:tcPr>
            <w:tcW w:w="188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-0.4%</w:t>
            </w:r>
          </w:p>
        </w:tc>
      </w:tr>
    </w:tbl>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Pharmacy Rebates: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MassHealth Data Book and historical base data do not reflect potential Federal Omnibus Budget Reconciliation Act (OBRA) rebates and rebates on diabetic test strips. The following adjustments have been applied to the historical Medicaid base data to reflect this rebate potential.</w:t>
      </w:r>
    </w:p>
    <w:p w:rsidR="0090656A" w:rsidRPr="00263D60" w:rsidRDefault="0090656A" w:rsidP="0090656A">
      <w:pPr>
        <w:rPr>
          <w:rFonts w:asciiTheme="minorHAnsi" w:hAnsiTheme="minorHAnsi" w:cstheme="minorHAnsi"/>
          <w:sz w:val="22"/>
          <w:szCs w:val="22"/>
        </w:rPr>
      </w:pPr>
    </w:p>
    <w:tbl>
      <w:tblPr>
        <w:tblW w:w="9605" w:type="dxa"/>
        <w:tblInd w:w="103" w:type="dxa"/>
        <w:tblLook w:val="0000" w:firstRow="0" w:lastRow="0" w:firstColumn="0" w:lastColumn="0" w:noHBand="0" w:noVBand="0"/>
      </w:tblPr>
      <w:tblGrid>
        <w:gridCol w:w="1805"/>
        <w:gridCol w:w="2160"/>
        <w:gridCol w:w="1880"/>
        <w:gridCol w:w="18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Rx Rebates</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Pharmacy (Non-Part D)</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150"/>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216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880" w:type="dxa"/>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C2A and C2B</w:t>
            </w:r>
          </w:p>
        </w:tc>
        <w:tc>
          <w:tcPr>
            <w:tcW w:w="18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C3A and C3B</w:t>
            </w:r>
          </w:p>
        </w:tc>
        <w:tc>
          <w:tcPr>
            <w:tcW w:w="1880" w:type="dxa"/>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Eastern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Western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r>
      <w:tr w:rsidR="0090656A" w:rsidRPr="00263D60" w:rsidTr="0090656A">
        <w:trPr>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 xml:space="preserve">The </w:t>
            </w:r>
            <w:smartTag w:uri="urn:schemas-microsoft-com:office:smarttags" w:element="place">
              <w:r w:rsidRPr="00263D60">
                <w:rPr>
                  <w:rFonts w:asciiTheme="minorHAnsi" w:hAnsiTheme="minorHAnsi" w:cstheme="minorHAnsi"/>
                  <w:sz w:val="18"/>
                  <w:szCs w:val="18"/>
                </w:rPr>
                <w:t>Cape</w:t>
              </w:r>
            </w:smartTag>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c>
          <w:tcPr>
            <w:tcW w:w="188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-8.1%</w:t>
            </w:r>
          </w:p>
        </w:tc>
      </w:tr>
    </w:tbl>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Dental Benefit Changes: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xml:space="preserve">The MassHealth dental benefit for adults was reduced effective July 2010. The MassHealth Data Book and historical base data include costs associated with the full adult dental benefit in place during the first half of CY2010. Effective January 1, 2013, MassHealth restored composite fillings for front teeth to the adult dental benefit. Effective March 1, 2014, MassHealth </w:t>
      </w:r>
      <w:r w:rsidR="000E56AB">
        <w:rPr>
          <w:rFonts w:asciiTheme="minorHAnsi" w:hAnsiTheme="minorHAnsi" w:cstheme="minorHAnsi"/>
          <w:sz w:val="22"/>
          <w:szCs w:val="22"/>
        </w:rPr>
        <w:t>will</w:t>
      </w:r>
      <w:r w:rsidR="000E56AB" w:rsidRPr="00263D60">
        <w:rPr>
          <w:rFonts w:asciiTheme="minorHAnsi" w:hAnsiTheme="minorHAnsi" w:cstheme="minorHAnsi"/>
          <w:sz w:val="22"/>
          <w:szCs w:val="22"/>
        </w:rPr>
        <w:t xml:space="preserve"> </w:t>
      </w:r>
      <w:r w:rsidRPr="00263D60">
        <w:rPr>
          <w:rFonts w:asciiTheme="minorHAnsi" w:hAnsiTheme="minorHAnsi" w:cstheme="minorHAnsi"/>
          <w:sz w:val="22"/>
          <w:szCs w:val="22"/>
        </w:rPr>
        <w:t>further restore its adult dental benefit to include additional benefits. The following adjustments have been applied to the historical base data to reflect the net effect of these benefit changes.</w:t>
      </w:r>
    </w:p>
    <w:p w:rsidR="0090656A" w:rsidRPr="00263D60" w:rsidRDefault="0090656A" w:rsidP="0090656A">
      <w:pPr>
        <w:rPr>
          <w:rFonts w:asciiTheme="minorHAnsi" w:hAnsiTheme="minorHAnsi" w:cstheme="minorHAnsi"/>
        </w:rPr>
      </w:pPr>
    </w:p>
    <w:tbl>
      <w:tblPr>
        <w:tblW w:w="9605" w:type="dxa"/>
        <w:tblInd w:w="103" w:type="dxa"/>
        <w:tblLook w:val="0000" w:firstRow="0" w:lastRow="0" w:firstColumn="0" w:lastColumn="0" w:noHBand="0" w:noVBand="0"/>
      </w:tblPr>
      <w:tblGrid>
        <w:gridCol w:w="1805"/>
        <w:gridCol w:w="2160"/>
        <w:gridCol w:w="1880"/>
        <w:gridCol w:w="18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lastRenderedPageBreak/>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Dental</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All Other</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150"/>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216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880" w:type="dxa"/>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C2A and C2B</w:t>
            </w:r>
          </w:p>
        </w:tc>
        <w:tc>
          <w:tcPr>
            <w:tcW w:w="18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C3A and C3B</w:t>
            </w:r>
          </w:p>
        </w:tc>
        <w:tc>
          <w:tcPr>
            <w:tcW w:w="1880" w:type="dxa"/>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Eastern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-7.8%</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-6.8%</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-1.8%</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-2.2%</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Western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-6.2%</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-4.5%</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-5.4%</w:t>
            </w:r>
          </w:p>
        </w:tc>
      </w:tr>
      <w:tr w:rsidR="0090656A" w:rsidRPr="00263D60" w:rsidTr="0090656A">
        <w:trPr>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 xml:space="preserve">The </w:t>
            </w:r>
            <w:smartTag w:uri="urn:schemas-microsoft-com:office:smarttags" w:element="place">
              <w:r w:rsidRPr="00263D60">
                <w:rPr>
                  <w:rFonts w:asciiTheme="minorHAnsi" w:hAnsiTheme="minorHAnsi" w:cstheme="minorHAnsi"/>
                  <w:sz w:val="18"/>
                  <w:szCs w:val="18"/>
                </w:rPr>
                <w:t>Cape</w:t>
              </w:r>
            </w:smartTag>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-6.1%</w:t>
            </w:r>
          </w:p>
        </w:tc>
        <w:tc>
          <w:tcPr>
            <w:tcW w:w="1880" w:type="dxa"/>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-10.6%</w:t>
            </w:r>
          </w:p>
        </w:tc>
        <w:tc>
          <w:tcPr>
            <w:tcW w:w="188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-2.7%</w:t>
            </w:r>
          </w:p>
        </w:tc>
        <w:tc>
          <w:tcPr>
            <w:tcW w:w="188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-6.5%</w:t>
            </w:r>
          </w:p>
        </w:tc>
      </w:tr>
    </w:tbl>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Enrollee Contributions to Care:</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The MassHealth Data Book and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rsidR="0090656A" w:rsidRPr="00263D60" w:rsidRDefault="0090656A" w:rsidP="0090656A">
      <w:pPr>
        <w:rPr>
          <w:rFonts w:asciiTheme="minorHAnsi" w:hAnsiTheme="minorHAnsi" w:cstheme="minorHAnsi"/>
          <w:sz w:val="22"/>
          <w:szCs w:val="22"/>
        </w:rPr>
      </w:pPr>
    </w:p>
    <w:tbl>
      <w:tblPr>
        <w:tblW w:w="13365" w:type="dxa"/>
        <w:tblInd w:w="103" w:type="dxa"/>
        <w:tblLayout w:type="fixed"/>
        <w:tblLook w:val="0000" w:firstRow="0" w:lastRow="0" w:firstColumn="0" w:lastColumn="0" w:noHBand="0" w:noVBand="0"/>
      </w:tblPr>
      <w:tblGrid>
        <w:gridCol w:w="1805"/>
        <w:gridCol w:w="1440"/>
        <w:gridCol w:w="720"/>
        <w:gridCol w:w="540"/>
        <w:gridCol w:w="1340"/>
        <w:gridCol w:w="10"/>
        <w:gridCol w:w="1260"/>
        <w:gridCol w:w="610"/>
        <w:gridCol w:w="830"/>
        <w:gridCol w:w="1050"/>
        <w:gridCol w:w="300"/>
        <w:gridCol w:w="15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Adjustment:</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Share of Cost</w:t>
            </w: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gridSpan w:val="3"/>
            <w:tcBorders>
              <w:top w:val="nil"/>
              <w:left w:val="nil"/>
              <w:bottom w:val="nil"/>
              <w:right w:val="nil"/>
            </w:tcBorders>
          </w:tcPr>
          <w:p w:rsidR="0090656A" w:rsidRPr="00263D60" w:rsidRDefault="0090656A" w:rsidP="0090656A">
            <w:pPr>
              <w:rPr>
                <w:rFonts w:asciiTheme="minorHAnsi" w:hAnsiTheme="minorHAnsi" w:cstheme="minorHAnsi"/>
                <w:sz w:val="18"/>
                <w:szCs w:val="18"/>
              </w:rPr>
            </w:pPr>
          </w:p>
        </w:tc>
        <w:tc>
          <w:tcPr>
            <w:tcW w:w="1880" w:type="dxa"/>
            <w:gridSpan w:val="2"/>
            <w:tcBorders>
              <w:top w:val="nil"/>
              <w:left w:val="nil"/>
              <w:bottom w:val="nil"/>
              <w:right w:val="nil"/>
            </w:tcBorders>
          </w:tcPr>
          <w:p w:rsidR="0090656A" w:rsidRPr="00263D60" w:rsidRDefault="0090656A" w:rsidP="0090656A">
            <w:pPr>
              <w:rPr>
                <w:rFonts w:asciiTheme="minorHAnsi" w:hAnsiTheme="minorHAnsi" w:cstheme="minorHAnsi"/>
                <w:sz w:val="18"/>
                <w:szCs w:val="18"/>
              </w:rPr>
            </w:pP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gridSpan w:val="2"/>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LTC Facility</w:t>
            </w: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gridSpan w:val="3"/>
            <w:tcBorders>
              <w:top w:val="nil"/>
              <w:left w:val="nil"/>
              <w:bottom w:val="nil"/>
              <w:right w:val="nil"/>
            </w:tcBorders>
          </w:tcPr>
          <w:p w:rsidR="0090656A" w:rsidRPr="00263D60"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tcPr>
          <w:p w:rsidR="0090656A" w:rsidRPr="00263D60"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216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gridSpan w:val="3"/>
            <w:tcBorders>
              <w:top w:val="nil"/>
              <w:left w:val="nil"/>
              <w:bottom w:val="nil"/>
              <w:right w:val="nil"/>
            </w:tcBorders>
          </w:tcPr>
          <w:p w:rsidR="0090656A" w:rsidRPr="00263D60"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tcPr>
          <w:p w:rsidR="0090656A" w:rsidRPr="00263D60"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gridAfter w:val="2"/>
          <w:wAfter w:w="3460" w:type="dxa"/>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144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260" w:type="dxa"/>
            <w:gridSpan w:val="2"/>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0C0C0"/>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C2B</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C3B</w:t>
            </w:r>
          </w:p>
        </w:tc>
        <w:tc>
          <w:tcPr>
            <w:tcW w:w="1350" w:type="dxa"/>
            <w:gridSpan w:val="2"/>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gridAfter w:val="2"/>
          <w:wAfter w:w="3460" w:type="dxa"/>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Eastern</w:t>
            </w:r>
          </w:p>
        </w:tc>
        <w:tc>
          <w:tcPr>
            <w:tcW w:w="144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2.4%</w:t>
            </w:r>
          </w:p>
        </w:tc>
        <w:tc>
          <w:tcPr>
            <w:tcW w:w="1260" w:type="dxa"/>
            <w:gridSpan w:val="2"/>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0.1%</w:t>
            </w:r>
          </w:p>
        </w:tc>
        <w:tc>
          <w:tcPr>
            <w:tcW w:w="1350" w:type="dxa"/>
            <w:gridSpan w:val="2"/>
            <w:tcBorders>
              <w:top w:val="nil"/>
              <w:left w:val="single" w:sz="4" w:space="0" w:color="auto"/>
              <w:bottom w:val="single" w:sz="4" w:space="0" w:color="C0C0C0"/>
              <w:right w:val="single" w:sz="4" w:space="0" w:color="auto"/>
            </w:tcBorders>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0.0%</w:t>
            </w:r>
          </w:p>
        </w:tc>
        <w:tc>
          <w:tcPr>
            <w:tcW w:w="1260" w:type="dxa"/>
            <w:tcBorders>
              <w:top w:val="nil"/>
              <w:left w:val="single" w:sz="4" w:space="0" w:color="auto"/>
              <w:bottom w:val="single" w:sz="4" w:space="0" w:color="C0C0C0"/>
              <w:right w:val="single" w:sz="4" w:space="0" w:color="auto"/>
            </w:tcBorders>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4.9%</w:t>
            </w:r>
          </w:p>
        </w:tc>
        <w:tc>
          <w:tcPr>
            <w:tcW w:w="1440" w:type="dxa"/>
            <w:gridSpan w:val="2"/>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EC7301">
            <w:pPr>
              <w:jc w:val="center"/>
              <w:rPr>
                <w:rFonts w:asciiTheme="minorHAnsi" w:hAnsiTheme="minorHAnsi" w:cstheme="minorHAnsi"/>
                <w:sz w:val="18"/>
                <w:szCs w:val="18"/>
              </w:rPr>
            </w:pPr>
            <w:r w:rsidRPr="00263D60">
              <w:rPr>
                <w:rFonts w:asciiTheme="minorHAnsi" w:hAnsiTheme="minorHAnsi" w:cstheme="minorHAnsi"/>
                <w:sz w:val="18"/>
                <w:szCs w:val="18"/>
              </w:rPr>
              <w:t>6.</w:t>
            </w:r>
            <w:r w:rsidR="00EC7301">
              <w:rPr>
                <w:rFonts w:asciiTheme="minorHAnsi" w:hAnsiTheme="minorHAnsi" w:cstheme="minorHAnsi"/>
                <w:sz w:val="18"/>
                <w:szCs w:val="18"/>
              </w:rPr>
              <w:t>1</w:t>
            </w:r>
            <w:r w:rsidRPr="00263D60">
              <w:rPr>
                <w:rFonts w:asciiTheme="minorHAnsi" w:hAnsiTheme="minorHAnsi" w:cstheme="minorHAnsi"/>
                <w:sz w:val="18"/>
                <w:szCs w:val="18"/>
              </w:rPr>
              <w:t>%</w:t>
            </w:r>
          </w:p>
        </w:tc>
        <w:tc>
          <w:tcPr>
            <w:tcW w:w="1350" w:type="dxa"/>
            <w:gridSpan w:val="2"/>
            <w:tcBorders>
              <w:top w:val="nil"/>
              <w:left w:val="nil"/>
              <w:bottom w:val="single" w:sz="4" w:space="0" w:color="C0C0C0"/>
              <w:right w:val="single" w:sz="4" w:space="0" w:color="auto"/>
            </w:tcBorders>
            <w:shd w:val="clear" w:color="auto" w:fill="auto"/>
            <w:noWrap/>
            <w:vAlign w:val="bottom"/>
          </w:tcPr>
          <w:p w:rsidR="0090656A" w:rsidRPr="00263D60" w:rsidRDefault="0090656A" w:rsidP="00EC7301">
            <w:pPr>
              <w:jc w:val="center"/>
              <w:rPr>
                <w:rFonts w:asciiTheme="minorHAnsi" w:hAnsiTheme="minorHAnsi" w:cstheme="minorHAnsi"/>
                <w:sz w:val="18"/>
                <w:szCs w:val="18"/>
              </w:rPr>
            </w:pPr>
            <w:r w:rsidRPr="00263D60">
              <w:rPr>
                <w:rFonts w:asciiTheme="minorHAnsi" w:hAnsiTheme="minorHAnsi" w:cstheme="minorHAnsi"/>
                <w:sz w:val="18"/>
                <w:szCs w:val="18"/>
              </w:rPr>
              <w:t>15.</w:t>
            </w:r>
            <w:r w:rsidR="00EC7301">
              <w:rPr>
                <w:rFonts w:asciiTheme="minorHAnsi" w:hAnsiTheme="minorHAnsi" w:cstheme="minorHAnsi"/>
                <w:sz w:val="18"/>
                <w:szCs w:val="18"/>
              </w:rPr>
              <w:t>7</w:t>
            </w:r>
            <w:r w:rsidRPr="00263D60">
              <w:rPr>
                <w:rFonts w:asciiTheme="minorHAnsi" w:hAnsiTheme="minorHAnsi" w:cstheme="minorHAnsi"/>
                <w:sz w:val="18"/>
                <w:szCs w:val="18"/>
              </w:rPr>
              <w:t>%</w:t>
            </w:r>
          </w:p>
        </w:tc>
      </w:tr>
      <w:tr w:rsidR="0090656A" w:rsidRPr="00263D60" w:rsidTr="0090656A">
        <w:trPr>
          <w:gridAfter w:val="2"/>
          <w:wAfter w:w="3460" w:type="dxa"/>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Western</w:t>
            </w:r>
          </w:p>
        </w:tc>
        <w:tc>
          <w:tcPr>
            <w:tcW w:w="144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2.9%</w:t>
            </w:r>
          </w:p>
        </w:tc>
        <w:tc>
          <w:tcPr>
            <w:tcW w:w="1260" w:type="dxa"/>
            <w:gridSpan w:val="2"/>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1.1%</w:t>
            </w:r>
          </w:p>
        </w:tc>
        <w:tc>
          <w:tcPr>
            <w:tcW w:w="1350" w:type="dxa"/>
            <w:gridSpan w:val="2"/>
            <w:tcBorders>
              <w:top w:val="nil"/>
              <w:left w:val="single" w:sz="4" w:space="0" w:color="auto"/>
              <w:bottom w:val="single" w:sz="4" w:space="0" w:color="C0C0C0"/>
              <w:right w:val="single" w:sz="4" w:space="0" w:color="auto"/>
            </w:tcBorders>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0.0%</w:t>
            </w:r>
          </w:p>
        </w:tc>
        <w:tc>
          <w:tcPr>
            <w:tcW w:w="1260" w:type="dxa"/>
            <w:tcBorders>
              <w:top w:val="nil"/>
              <w:left w:val="single" w:sz="4" w:space="0" w:color="auto"/>
              <w:bottom w:val="single" w:sz="4" w:space="0" w:color="C0C0C0"/>
              <w:right w:val="single" w:sz="4" w:space="0" w:color="auto"/>
            </w:tcBorders>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4.8%</w:t>
            </w:r>
          </w:p>
        </w:tc>
        <w:tc>
          <w:tcPr>
            <w:tcW w:w="1440" w:type="dxa"/>
            <w:gridSpan w:val="2"/>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EC7301">
            <w:pPr>
              <w:jc w:val="center"/>
              <w:rPr>
                <w:rFonts w:asciiTheme="minorHAnsi" w:hAnsiTheme="minorHAnsi" w:cstheme="minorHAnsi"/>
                <w:sz w:val="18"/>
                <w:szCs w:val="18"/>
              </w:rPr>
            </w:pPr>
            <w:r w:rsidRPr="00263D60">
              <w:rPr>
                <w:rFonts w:asciiTheme="minorHAnsi" w:hAnsiTheme="minorHAnsi" w:cstheme="minorHAnsi"/>
                <w:sz w:val="18"/>
                <w:szCs w:val="18"/>
              </w:rPr>
              <w:t>5.</w:t>
            </w:r>
            <w:r w:rsidR="00EC7301">
              <w:rPr>
                <w:rFonts w:asciiTheme="minorHAnsi" w:hAnsiTheme="minorHAnsi" w:cstheme="minorHAnsi"/>
                <w:sz w:val="18"/>
                <w:szCs w:val="18"/>
              </w:rPr>
              <w:t>7</w:t>
            </w:r>
            <w:r w:rsidRPr="00263D60">
              <w:rPr>
                <w:rFonts w:asciiTheme="minorHAnsi" w:hAnsiTheme="minorHAnsi" w:cstheme="minorHAnsi"/>
                <w:sz w:val="18"/>
                <w:szCs w:val="18"/>
              </w:rPr>
              <w:t>%</w:t>
            </w:r>
          </w:p>
        </w:tc>
        <w:tc>
          <w:tcPr>
            <w:tcW w:w="1350" w:type="dxa"/>
            <w:gridSpan w:val="2"/>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14.3%</w:t>
            </w:r>
          </w:p>
        </w:tc>
      </w:tr>
      <w:tr w:rsidR="0090656A" w:rsidRPr="00263D60" w:rsidTr="0090656A">
        <w:trPr>
          <w:gridAfter w:val="2"/>
          <w:wAfter w:w="3460" w:type="dxa"/>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 xml:space="preserve">The </w:t>
            </w:r>
            <w:smartTag w:uri="urn:schemas-microsoft-com:office:smarttags" w:element="place">
              <w:r w:rsidRPr="00263D60">
                <w:rPr>
                  <w:rFonts w:asciiTheme="minorHAnsi" w:hAnsiTheme="minorHAnsi" w:cstheme="minorHAnsi"/>
                  <w:sz w:val="18"/>
                  <w:szCs w:val="18"/>
                </w:rPr>
                <w:t>Cape</w:t>
              </w:r>
            </w:smartTag>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1.3%</w:t>
            </w:r>
          </w:p>
        </w:tc>
        <w:tc>
          <w:tcPr>
            <w:tcW w:w="1260" w:type="dxa"/>
            <w:gridSpan w:val="2"/>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0.0%</w:t>
            </w:r>
          </w:p>
        </w:tc>
        <w:tc>
          <w:tcPr>
            <w:tcW w:w="1350" w:type="dxa"/>
            <w:gridSpan w:val="2"/>
            <w:tcBorders>
              <w:top w:val="nil"/>
              <w:left w:val="single" w:sz="4" w:space="0" w:color="auto"/>
              <w:bottom w:val="single" w:sz="4" w:space="0" w:color="auto"/>
              <w:right w:val="single" w:sz="4" w:space="0" w:color="auto"/>
            </w:tcBorders>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0.0%</w:t>
            </w:r>
          </w:p>
        </w:tc>
        <w:tc>
          <w:tcPr>
            <w:tcW w:w="1260" w:type="dxa"/>
            <w:tcBorders>
              <w:top w:val="nil"/>
              <w:left w:val="single" w:sz="4" w:space="0" w:color="auto"/>
              <w:bottom w:val="single" w:sz="4" w:space="0" w:color="auto"/>
              <w:right w:val="single" w:sz="4" w:space="0" w:color="auto"/>
            </w:tcBorders>
            <w:vAlign w:val="bottom"/>
          </w:tcPr>
          <w:p w:rsidR="0090656A" w:rsidRPr="00263D60" w:rsidRDefault="0090656A" w:rsidP="00EC7301">
            <w:pPr>
              <w:jc w:val="center"/>
              <w:rPr>
                <w:rFonts w:asciiTheme="minorHAnsi" w:hAnsiTheme="minorHAnsi" w:cstheme="minorHAnsi"/>
                <w:sz w:val="18"/>
                <w:szCs w:val="18"/>
              </w:rPr>
            </w:pPr>
            <w:r w:rsidRPr="00263D60">
              <w:rPr>
                <w:rFonts w:asciiTheme="minorHAnsi" w:hAnsiTheme="minorHAnsi" w:cstheme="minorHAnsi"/>
                <w:sz w:val="18"/>
                <w:szCs w:val="18"/>
              </w:rPr>
              <w:t>5.</w:t>
            </w:r>
            <w:r w:rsidR="00EC7301">
              <w:rPr>
                <w:rFonts w:asciiTheme="minorHAnsi" w:hAnsiTheme="minorHAnsi" w:cstheme="minorHAnsi"/>
                <w:sz w:val="18"/>
                <w:szCs w:val="18"/>
              </w:rPr>
              <w:t>1</w:t>
            </w:r>
            <w:r w:rsidRPr="00263D60">
              <w:rPr>
                <w:rFonts w:asciiTheme="minorHAnsi" w:hAnsiTheme="minorHAnsi" w:cstheme="minorHAnsi"/>
                <w:sz w:val="18"/>
                <w:szCs w:val="18"/>
              </w:rPr>
              <w:t>%</w:t>
            </w:r>
          </w:p>
        </w:tc>
        <w:tc>
          <w:tcPr>
            <w:tcW w:w="1440" w:type="dxa"/>
            <w:gridSpan w:val="2"/>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3.3%</w:t>
            </w:r>
          </w:p>
        </w:tc>
        <w:tc>
          <w:tcPr>
            <w:tcW w:w="1350" w:type="dxa"/>
            <w:gridSpan w:val="2"/>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14.4%</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 xml:space="preserve">Seasonality Adjustment for </w:t>
      </w:r>
      <w:r w:rsidR="002F5D76" w:rsidRPr="00263D60">
        <w:rPr>
          <w:rFonts w:asciiTheme="minorHAnsi" w:hAnsiTheme="minorHAnsi" w:cstheme="minorHAnsi"/>
          <w:b/>
          <w:i/>
          <w:sz w:val="22"/>
          <w:szCs w:val="22"/>
        </w:rPr>
        <w:t>CY2014</w:t>
      </w:r>
      <w:r w:rsidRPr="00263D60">
        <w:rPr>
          <w:rFonts w:asciiTheme="minorHAnsi" w:hAnsiTheme="minorHAnsi" w:cstheme="minorHAnsi"/>
          <w:b/>
          <w:i/>
          <w:sz w:val="22"/>
          <w:szCs w:val="22"/>
        </w:rPr>
        <w:t>:</w:t>
      </w:r>
    </w:p>
    <w:p w:rsidR="0090656A" w:rsidRPr="00263D60" w:rsidRDefault="002F5D76" w:rsidP="0090656A">
      <w:pPr>
        <w:rPr>
          <w:rFonts w:asciiTheme="minorHAnsi" w:hAnsiTheme="minorHAnsi" w:cstheme="minorHAnsi"/>
          <w:sz w:val="22"/>
          <w:szCs w:val="22"/>
        </w:rPr>
      </w:pPr>
      <w:r w:rsidRPr="00263D60">
        <w:rPr>
          <w:rFonts w:asciiTheme="minorHAnsi" w:hAnsiTheme="minorHAnsi" w:cstheme="minorHAnsi"/>
          <w:sz w:val="22"/>
          <w:szCs w:val="22"/>
        </w:rPr>
        <w:t>Due to the anticipated continued phase-in of enrollees during CY 2014</w:t>
      </w:r>
      <w:r w:rsidR="0090656A" w:rsidRPr="00263D60">
        <w:rPr>
          <w:rFonts w:asciiTheme="minorHAnsi" w:hAnsiTheme="minorHAnsi" w:cstheme="minorHAnsi"/>
          <w:sz w:val="22"/>
          <w:szCs w:val="22"/>
        </w:rPr>
        <w:t xml:space="preserve">, </w:t>
      </w:r>
      <w:r w:rsidR="00EC7301" w:rsidRPr="00CA3085">
        <w:rPr>
          <w:rFonts w:asciiTheme="minorHAnsi" w:hAnsiTheme="minorHAnsi" w:cstheme="minorHAnsi"/>
          <w:sz w:val="22"/>
          <w:szCs w:val="22"/>
        </w:rPr>
        <w:t>the population will not be evenly distributed across the four quarters; rather, a larger proportion of the enrollees will be covered in the latter part of the year. The seasonality adjustment takes into account the cost variances across the different quarters and the expected enrollment distribution. The following table summarizes the seasonality adjustments applied to all service categories.</w:t>
      </w:r>
    </w:p>
    <w:p w:rsidR="0090656A" w:rsidRPr="00263D60" w:rsidRDefault="0090656A" w:rsidP="0090656A">
      <w:pPr>
        <w:rPr>
          <w:rFonts w:asciiTheme="minorHAnsi" w:hAnsiTheme="minorHAnsi" w:cstheme="minorHAnsi"/>
          <w:sz w:val="22"/>
          <w:szCs w:val="22"/>
        </w:rPr>
      </w:pPr>
    </w:p>
    <w:tbl>
      <w:tblPr>
        <w:tblW w:w="9605" w:type="dxa"/>
        <w:tblInd w:w="103" w:type="dxa"/>
        <w:tblLook w:val="0000" w:firstRow="0" w:lastRow="0" w:firstColumn="0" w:lastColumn="0" w:noHBand="0" w:noVBand="0"/>
      </w:tblPr>
      <w:tblGrid>
        <w:gridCol w:w="1805"/>
        <w:gridCol w:w="2160"/>
        <w:gridCol w:w="1880"/>
        <w:gridCol w:w="1880"/>
        <w:gridCol w:w="1880"/>
      </w:tblGrid>
      <w:tr w:rsidR="0090656A" w:rsidRPr="00263D60"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Seasonality</w:t>
            </w: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sz w:val="18"/>
                <w:szCs w:val="18"/>
              </w:rPr>
            </w:pPr>
          </w:p>
        </w:tc>
      </w:tr>
      <w:tr w:rsidR="0090656A" w:rsidRPr="00263D60"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 xml:space="preserve">All </w:t>
            </w:r>
            <w:smartTag w:uri="urn:schemas-microsoft-com:office:smarttags" w:element="place">
              <w:r w:rsidRPr="00263D60">
                <w:rPr>
                  <w:rFonts w:asciiTheme="minorHAnsi" w:hAnsiTheme="minorHAnsi" w:cstheme="minorHAnsi"/>
                  <w:sz w:val="18"/>
                  <w:szCs w:val="18"/>
                </w:rPr>
                <w:t>COS</w:t>
              </w:r>
            </w:smartTag>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216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263D60" w:rsidRDefault="0090656A" w:rsidP="0090656A">
            <w:pPr>
              <w:rPr>
                <w:rFonts w:asciiTheme="minorHAnsi" w:hAnsiTheme="minorHAnsi" w:cstheme="minorHAnsi"/>
                <w:b/>
                <w:bCs/>
                <w:sz w:val="18"/>
                <w:szCs w:val="18"/>
              </w:rPr>
            </w:pPr>
          </w:p>
        </w:tc>
      </w:tr>
      <w:tr w:rsidR="0090656A" w:rsidRPr="00263D60" w:rsidTr="0090656A">
        <w:trPr>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Region</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C1</w:t>
            </w:r>
          </w:p>
        </w:tc>
        <w:tc>
          <w:tcPr>
            <w:tcW w:w="1880" w:type="dxa"/>
            <w:tcBorders>
              <w:top w:val="single" w:sz="4" w:space="0" w:color="auto"/>
              <w:left w:val="nil"/>
              <w:bottom w:val="single" w:sz="4" w:space="0" w:color="auto"/>
              <w:right w:val="nil"/>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C2</w:t>
            </w:r>
            <w:r w:rsidR="00BB0350">
              <w:rPr>
                <w:rFonts w:asciiTheme="minorHAnsi" w:hAnsiTheme="minorHAnsi" w:cstheme="minorHAnsi"/>
                <w:b/>
                <w:bCs/>
                <w:sz w:val="18"/>
                <w:szCs w:val="18"/>
              </w:rPr>
              <w:t>A and C2B</w:t>
            </w:r>
          </w:p>
        </w:tc>
        <w:tc>
          <w:tcPr>
            <w:tcW w:w="18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C3</w:t>
            </w:r>
            <w:r w:rsidR="00BB0350">
              <w:rPr>
                <w:rFonts w:asciiTheme="minorHAnsi" w:hAnsiTheme="minorHAnsi" w:cstheme="minorHAnsi"/>
                <w:b/>
                <w:bCs/>
                <w:sz w:val="18"/>
                <w:szCs w:val="18"/>
              </w:rPr>
              <w:t>A and C3B</w:t>
            </w:r>
          </w:p>
        </w:tc>
        <w:tc>
          <w:tcPr>
            <w:tcW w:w="1880" w:type="dxa"/>
            <w:tcBorders>
              <w:top w:val="single" w:sz="4" w:space="0" w:color="auto"/>
              <w:left w:val="nil"/>
              <w:bottom w:val="single" w:sz="4" w:space="0" w:color="auto"/>
              <w:right w:val="single" w:sz="4" w:space="0" w:color="auto"/>
            </w:tcBorders>
            <w:shd w:val="clear" w:color="auto" w:fill="C0C0C0"/>
            <w:noWrap/>
            <w:vAlign w:val="bottom"/>
          </w:tcPr>
          <w:p w:rsidR="0090656A" w:rsidRPr="00263D60" w:rsidRDefault="0090656A" w:rsidP="0090656A">
            <w:pPr>
              <w:jc w:val="center"/>
              <w:rPr>
                <w:rFonts w:asciiTheme="minorHAnsi" w:hAnsiTheme="minorHAnsi" w:cstheme="minorHAnsi"/>
                <w:b/>
                <w:bCs/>
                <w:sz w:val="18"/>
                <w:szCs w:val="18"/>
              </w:rPr>
            </w:pPr>
            <w:r w:rsidRPr="00263D60">
              <w:rPr>
                <w:rFonts w:asciiTheme="minorHAnsi" w:hAnsiTheme="minorHAnsi" w:cstheme="minorHAnsi"/>
                <w:b/>
                <w:bCs/>
                <w:sz w:val="18"/>
                <w:szCs w:val="18"/>
              </w:rPr>
              <w:t>F1</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Eastern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-0.5%</w:t>
            </w:r>
          </w:p>
        </w:tc>
      </w:tr>
      <w:tr w:rsidR="0090656A" w:rsidRPr="00263D60" w:rsidTr="0090656A">
        <w:trPr>
          <w:trHeight w:val="225"/>
        </w:trPr>
        <w:tc>
          <w:tcPr>
            <w:tcW w:w="1805" w:type="dxa"/>
            <w:tcBorders>
              <w:top w:val="nil"/>
              <w:left w:val="single" w:sz="4" w:space="0" w:color="auto"/>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Western</w:t>
            </w:r>
          </w:p>
        </w:tc>
        <w:tc>
          <w:tcPr>
            <w:tcW w:w="216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C0C0C0"/>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w:t>
            </w:r>
          </w:p>
        </w:tc>
        <w:tc>
          <w:tcPr>
            <w:tcW w:w="1880" w:type="dxa"/>
            <w:tcBorders>
              <w:top w:val="nil"/>
              <w:left w:val="single" w:sz="4" w:space="0" w:color="auto"/>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C0C0C0"/>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-0.5%</w:t>
            </w:r>
          </w:p>
        </w:tc>
      </w:tr>
      <w:tr w:rsidR="0090656A" w:rsidRPr="00263D60" w:rsidTr="0090656A">
        <w:trPr>
          <w:trHeight w:val="225"/>
        </w:trPr>
        <w:tc>
          <w:tcPr>
            <w:tcW w:w="1805" w:type="dxa"/>
            <w:tcBorders>
              <w:top w:val="nil"/>
              <w:left w:val="single" w:sz="4" w:space="0" w:color="auto"/>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The Cape</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auto"/>
              <w:right w:val="nil"/>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-1.4%</w:t>
            </w:r>
          </w:p>
        </w:tc>
        <w:tc>
          <w:tcPr>
            <w:tcW w:w="1880" w:type="dxa"/>
            <w:tcBorders>
              <w:top w:val="nil"/>
              <w:left w:val="single" w:sz="4" w:space="0" w:color="auto"/>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0.7%</w:t>
            </w:r>
          </w:p>
        </w:tc>
        <w:tc>
          <w:tcPr>
            <w:tcW w:w="1880" w:type="dxa"/>
            <w:tcBorders>
              <w:top w:val="nil"/>
              <w:left w:val="nil"/>
              <w:bottom w:val="single" w:sz="4" w:space="0" w:color="auto"/>
              <w:right w:val="single" w:sz="4" w:space="0" w:color="auto"/>
            </w:tcBorders>
            <w:shd w:val="clear" w:color="auto" w:fill="auto"/>
            <w:noWrap/>
            <w:vAlign w:val="bottom"/>
          </w:tcPr>
          <w:p w:rsidR="0090656A" w:rsidRPr="00263D60" w:rsidRDefault="0090656A" w:rsidP="0090656A">
            <w:pPr>
              <w:jc w:val="center"/>
              <w:rPr>
                <w:rFonts w:asciiTheme="minorHAnsi" w:hAnsiTheme="minorHAnsi" w:cstheme="minorHAnsi"/>
                <w:sz w:val="18"/>
                <w:szCs w:val="18"/>
              </w:rPr>
            </w:pPr>
            <w:r w:rsidRPr="00263D60">
              <w:rPr>
                <w:rFonts w:asciiTheme="minorHAnsi" w:hAnsiTheme="minorHAnsi" w:cstheme="minorHAnsi"/>
                <w:sz w:val="18"/>
                <w:szCs w:val="18"/>
              </w:rPr>
              <w:t>-0.5%</w:t>
            </w:r>
          </w:p>
        </w:tc>
      </w:tr>
    </w:tbl>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sz w:val="22"/>
          <w:szCs w:val="22"/>
        </w:rPr>
      </w:pPr>
    </w:p>
    <w:p w:rsidR="0090656A" w:rsidRPr="00263D60" w:rsidRDefault="0090656A" w:rsidP="0090656A">
      <w:pPr>
        <w:rPr>
          <w:rFonts w:asciiTheme="minorHAnsi" w:hAnsiTheme="minorHAnsi" w:cstheme="minorHAnsi"/>
          <w:b/>
          <w:i/>
          <w:sz w:val="22"/>
          <w:szCs w:val="22"/>
        </w:rPr>
      </w:pPr>
      <w:r w:rsidRPr="00263D60">
        <w:rPr>
          <w:rFonts w:asciiTheme="minorHAnsi" w:hAnsiTheme="minorHAnsi" w:cstheme="minorHAnsi"/>
          <w:b/>
          <w:i/>
          <w:sz w:val="22"/>
          <w:szCs w:val="22"/>
        </w:rPr>
        <w:t>Medicaid Administrative Expenses:</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 xml:space="preserve">An adjustment of $5.76 has been applied to the MassHealth component of the rate for </w:t>
      </w:r>
      <w:r w:rsidR="00F56393">
        <w:rPr>
          <w:rFonts w:asciiTheme="minorHAnsi" w:hAnsiTheme="minorHAnsi" w:cstheme="minorHAnsi"/>
          <w:sz w:val="22"/>
          <w:szCs w:val="22"/>
        </w:rPr>
        <w:t xml:space="preserve">CY </w:t>
      </w:r>
      <w:r w:rsidRPr="00263D60">
        <w:rPr>
          <w:rFonts w:asciiTheme="minorHAnsi" w:hAnsiTheme="minorHAnsi" w:cstheme="minorHAnsi"/>
          <w:sz w:val="22"/>
          <w:szCs w:val="22"/>
        </w:rPr>
        <w:t>2014 to reflect the transfer of administrative costs from MassHealth to the One Care plans. The amount has been added to each county rate for each rating category.</w:t>
      </w:r>
      <w:r w:rsidRPr="00263D60">
        <w:rPr>
          <w:rFonts w:asciiTheme="minorHAnsi" w:hAnsiTheme="minorHAnsi" w:cstheme="minorHAnsi"/>
          <w:color w:val="000080"/>
          <w:sz w:val="20"/>
          <w:szCs w:val="20"/>
        </w:rPr>
        <w:t xml:space="preserve"> </w:t>
      </w: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br w:type="page"/>
      </w:r>
    </w:p>
    <w:p w:rsidR="0090656A" w:rsidRPr="00263D60" w:rsidRDefault="0090656A" w:rsidP="0090656A">
      <w:pPr>
        <w:rPr>
          <w:rFonts w:asciiTheme="minorHAnsi" w:hAnsiTheme="minorHAnsi" w:cstheme="minorHAnsi"/>
        </w:rPr>
      </w:pPr>
    </w:p>
    <w:p w:rsidR="0090656A" w:rsidRPr="00263D60" w:rsidRDefault="0090656A" w:rsidP="0090656A">
      <w:pPr>
        <w:rPr>
          <w:rFonts w:asciiTheme="minorHAnsi" w:hAnsiTheme="minorHAnsi" w:cstheme="minorHAnsi"/>
          <w:b/>
          <w:sz w:val="22"/>
          <w:szCs w:val="22"/>
          <w:u w:val="single"/>
        </w:rPr>
      </w:pPr>
      <w:r w:rsidRPr="00263D60">
        <w:rPr>
          <w:rFonts w:asciiTheme="minorHAnsi" w:hAnsiTheme="minorHAnsi" w:cstheme="minorHAnsi"/>
          <w:b/>
          <w:sz w:val="22"/>
          <w:szCs w:val="22"/>
          <w:u w:val="single"/>
        </w:rPr>
        <w:t>Trend Factors Applied to Adjusted Historical Base Data:</w:t>
      </w:r>
    </w:p>
    <w:p w:rsidR="0090656A" w:rsidRPr="00263D60" w:rsidRDefault="0090656A" w:rsidP="0090656A">
      <w:pPr>
        <w:tabs>
          <w:tab w:val="left" w:pos="0"/>
        </w:tabs>
        <w:autoSpaceDE w:val="0"/>
        <w:autoSpaceDN w:val="0"/>
        <w:adjustRightInd w:val="0"/>
        <w:rPr>
          <w:rFonts w:asciiTheme="minorHAnsi" w:hAnsiTheme="minorHAnsi" w:cstheme="minorHAnsi"/>
          <w:sz w:val="22"/>
          <w:szCs w:val="22"/>
        </w:rPr>
      </w:pPr>
      <w:r w:rsidRPr="00263D60">
        <w:rPr>
          <w:rFonts w:asciiTheme="minorHAnsi" w:hAnsiTheme="minorHAnsi" w:cstheme="minorHAnsi"/>
          <w:sz w:val="22"/>
          <w:szCs w:val="22"/>
        </w:rPr>
        <w:t>The trend factors remained the same as the CY 2013 factors for all components, except for the HCBS/Home Health trend in C3 (A and B), which increased by 0.25%. The following trend factors have been applied to the adjusted historical base data through a contract year enrollment weighted midpoint of July 15, 2014 for the C1 rating category, and August 15, 2014 for all other rating categories. Trend factors do not vary geographically.</w:t>
      </w:r>
    </w:p>
    <w:p w:rsidR="0090656A" w:rsidRPr="00263D60" w:rsidRDefault="0090656A" w:rsidP="0090656A">
      <w:pPr>
        <w:rPr>
          <w:rFonts w:asciiTheme="minorHAnsi" w:hAnsiTheme="minorHAnsi" w:cstheme="minorHAnsi"/>
          <w:sz w:val="22"/>
          <w:szCs w:val="22"/>
        </w:rPr>
      </w:pPr>
    </w:p>
    <w:tbl>
      <w:tblPr>
        <w:tblW w:w="9550" w:type="dxa"/>
        <w:tblInd w:w="93" w:type="dxa"/>
        <w:tblLook w:val="0000" w:firstRow="0" w:lastRow="0" w:firstColumn="0" w:lastColumn="0" w:noHBand="0" w:noVBand="0"/>
      </w:tblPr>
      <w:tblGrid>
        <w:gridCol w:w="1995"/>
        <w:gridCol w:w="900"/>
        <w:gridCol w:w="910"/>
        <w:gridCol w:w="1008"/>
        <w:gridCol w:w="910"/>
        <w:gridCol w:w="1008"/>
        <w:gridCol w:w="910"/>
        <w:gridCol w:w="1008"/>
        <w:gridCol w:w="901"/>
      </w:tblGrid>
      <w:tr w:rsidR="0090656A" w:rsidRPr="00263D60" w:rsidTr="0090656A">
        <w:trPr>
          <w:trHeight w:val="255"/>
        </w:trPr>
        <w:tc>
          <w:tcPr>
            <w:tcW w:w="1995" w:type="dxa"/>
            <w:tcBorders>
              <w:top w:val="nil"/>
              <w:left w:val="nil"/>
              <w:bottom w:val="nil"/>
              <w:right w:val="nil"/>
            </w:tcBorders>
            <w:shd w:val="clear" w:color="auto" w:fill="auto"/>
            <w:noWrap/>
            <w:vAlign w:val="center"/>
          </w:tcPr>
          <w:p w:rsidR="0090656A" w:rsidRPr="00263D60" w:rsidRDefault="0090656A" w:rsidP="0090656A">
            <w:pPr>
              <w:rPr>
                <w:rFonts w:asciiTheme="minorHAnsi" w:hAnsiTheme="minorHAnsi" w:cstheme="minorHAnsi"/>
                <w:b/>
                <w:bCs/>
                <w:sz w:val="18"/>
                <w:szCs w:val="18"/>
              </w:rPr>
            </w:pPr>
          </w:p>
        </w:tc>
        <w:tc>
          <w:tcPr>
            <w:tcW w:w="1810" w:type="dxa"/>
            <w:gridSpan w:val="2"/>
            <w:tcBorders>
              <w:top w:val="single" w:sz="4" w:space="0" w:color="auto"/>
              <w:left w:val="single" w:sz="4" w:space="0" w:color="auto"/>
              <w:bottom w:val="single" w:sz="4" w:space="0" w:color="auto"/>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C1</w:t>
            </w:r>
          </w:p>
        </w:tc>
        <w:tc>
          <w:tcPr>
            <w:tcW w:w="1918" w:type="dxa"/>
            <w:gridSpan w:val="2"/>
            <w:tcBorders>
              <w:top w:val="single" w:sz="4" w:space="0" w:color="auto"/>
              <w:left w:val="nil"/>
              <w:bottom w:val="single" w:sz="4" w:space="0" w:color="auto"/>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C2</w:t>
            </w:r>
            <w:r w:rsidR="00737FBB">
              <w:rPr>
                <w:rFonts w:asciiTheme="minorHAnsi" w:hAnsiTheme="minorHAnsi" w:cstheme="minorHAnsi"/>
                <w:b/>
                <w:bCs/>
                <w:sz w:val="16"/>
                <w:szCs w:val="16"/>
              </w:rPr>
              <w:t>A and C2B</w:t>
            </w:r>
          </w:p>
        </w:tc>
        <w:tc>
          <w:tcPr>
            <w:tcW w:w="1918" w:type="dxa"/>
            <w:gridSpan w:val="2"/>
            <w:tcBorders>
              <w:top w:val="single" w:sz="4" w:space="0" w:color="auto"/>
              <w:left w:val="nil"/>
              <w:bottom w:val="single" w:sz="4" w:space="0" w:color="auto"/>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C3</w:t>
            </w:r>
            <w:r w:rsidR="00737FBB">
              <w:rPr>
                <w:rFonts w:asciiTheme="minorHAnsi" w:hAnsiTheme="minorHAnsi" w:cstheme="minorHAnsi"/>
                <w:b/>
                <w:bCs/>
                <w:sz w:val="16"/>
                <w:szCs w:val="16"/>
              </w:rPr>
              <w:t>A and C3B</w:t>
            </w:r>
          </w:p>
        </w:tc>
        <w:tc>
          <w:tcPr>
            <w:tcW w:w="1909" w:type="dxa"/>
            <w:gridSpan w:val="2"/>
            <w:tcBorders>
              <w:top w:val="single" w:sz="4" w:space="0" w:color="auto"/>
              <w:left w:val="nil"/>
              <w:bottom w:val="single" w:sz="4" w:space="0" w:color="auto"/>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F1</w:t>
            </w:r>
          </w:p>
        </w:tc>
      </w:tr>
      <w:tr w:rsidR="0090656A" w:rsidRPr="00263D60" w:rsidTr="0090656A">
        <w:trPr>
          <w:trHeight w:val="255"/>
        </w:trPr>
        <w:tc>
          <w:tcPr>
            <w:tcW w:w="1995" w:type="dxa"/>
            <w:tcBorders>
              <w:top w:val="single" w:sz="4" w:space="0" w:color="auto"/>
              <w:left w:val="single" w:sz="4" w:space="0" w:color="auto"/>
              <w:bottom w:val="nil"/>
              <w:right w:val="single" w:sz="4" w:space="0" w:color="auto"/>
            </w:tcBorders>
            <w:shd w:val="clear" w:color="auto" w:fill="969696"/>
            <w:noWrap/>
            <w:vAlign w:val="center"/>
          </w:tcPr>
          <w:p w:rsidR="0090656A" w:rsidRPr="00263D60" w:rsidRDefault="0090656A" w:rsidP="0090656A">
            <w:pPr>
              <w:rPr>
                <w:rFonts w:asciiTheme="minorHAnsi" w:hAnsiTheme="minorHAnsi" w:cstheme="minorHAnsi"/>
                <w:b/>
                <w:bCs/>
                <w:sz w:val="18"/>
                <w:szCs w:val="18"/>
              </w:rPr>
            </w:pPr>
            <w:r w:rsidRPr="00263D60">
              <w:rPr>
                <w:rFonts w:asciiTheme="minorHAnsi" w:hAnsiTheme="minorHAnsi" w:cstheme="minorHAnsi"/>
                <w:b/>
                <w:bCs/>
                <w:sz w:val="18"/>
                <w:szCs w:val="18"/>
              </w:rPr>
              <w:t>Category of Service</w:t>
            </w:r>
          </w:p>
        </w:tc>
        <w:tc>
          <w:tcPr>
            <w:tcW w:w="90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Crossover</w:t>
            </w:r>
          </w:p>
        </w:tc>
        <w:tc>
          <w:tcPr>
            <w:tcW w:w="91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Medicaid</w:t>
            </w:r>
          </w:p>
        </w:tc>
        <w:tc>
          <w:tcPr>
            <w:tcW w:w="1008"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Crossover</w:t>
            </w:r>
          </w:p>
        </w:tc>
        <w:tc>
          <w:tcPr>
            <w:tcW w:w="91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Medicaid</w:t>
            </w:r>
          </w:p>
        </w:tc>
        <w:tc>
          <w:tcPr>
            <w:tcW w:w="1008"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Crossover</w:t>
            </w:r>
          </w:p>
        </w:tc>
        <w:tc>
          <w:tcPr>
            <w:tcW w:w="910"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Medicaid</w:t>
            </w:r>
          </w:p>
        </w:tc>
        <w:tc>
          <w:tcPr>
            <w:tcW w:w="1008"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Crossover</w:t>
            </w:r>
          </w:p>
        </w:tc>
        <w:tc>
          <w:tcPr>
            <w:tcW w:w="901" w:type="dxa"/>
            <w:tcBorders>
              <w:top w:val="nil"/>
              <w:left w:val="nil"/>
              <w:bottom w:val="nil"/>
              <w:right w:val="single" w:sz="4" w:space="0" w:color="auto"/>
            </w:tcBorders>
            <w:shd w:val="clear" w:color="auto" w:fill="969696"/>
            <w:noWrap/>
            <w:vAlign w:val="center"/>
          </w:tcPr>
          <w:p w:rsidR="0090656A" w:rsidRPr="00263D60" w:rsidRDefault="0090656A" w:rsidP="0090656A">
            <w:pPr>
              <w:jc w:val="center"/>
              <w:rPr>
                <w:rFonts w:asciiTheme="minorHAnsi" w:hAnsiTheme="minorHAnsi" w:cstheme="minorHAnsi"/>
                <w:b/>
                <w:bCs/>
                <w:sz w:val="16"/>
                <w:szCs w:val="16"/>
              </w:rPr>
            </w:pPr>
            <w:r w:rsidRPr="00263D60">
              <w:rPr>
                <w:rFonts w:asciiTheme="minorHAnsi" w:hAnsiTheme="minorHAnsi" w:cstheme="minorHAnsi"/>
                <w:b/>
                <w:bCs/>
                <w:sz w:val="16"/>
                <w:szCs w:val="16"/>
              </w:rPr>
              <w:t>Medicaid</w:t>
            </w:r>
          </w:p>
        </w:tc>
      </w:tr>
      <w:tr w:rsidR="0090656A" w:rsidRPr="00263D60" w:rsidTr="0090656A">
        <w:trPr>
          <w:trHeight w:val="255"/>
        </w:trPr>
        <w:tc>
          <w:tcPr>
            <w:tcW w:w="1995" w:type="dxa"/>
            <w:tcBorders>
              <w:top w:val="single" w:sz="4" w:space="0" w:color="auto"/>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Inpatient - Non-MHSA</w:t>
            </w:r>
          </w:p>
        </w:tc>
        <w:tc>
          <w:tcPr>
            <w:tcW w:w="900" w:type="dxa"/>
            <w:tcBorders>
              <w:top w:val="single" w:sz="4" w:space="0" w:color="auto"/>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single" w:sz="4" w:space="0" w:color="auto"/>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3.25%</w:t>
            </w:r>
          </w:p>
        </w:tc>
        <w:tc>
          <w:tcPr>
            <w:tcW w:w="1008" w:type="dxa"/>
            <w:tcBorders>
              <w:top w:val="single" w:sz="4" w:space="0" w:color="auto"/>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single" w:sz="4" w:space="0" w:color="auto"/>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3.25%</w:t>
            </w:r>
          </w:p>
        </w:tc>
        <w:tc>
          <w:tcPr>
            <w:tcW w:w="1008" w:type="dxa"/>
            <w:tcBorders>
              <w:top w:val="single" w:sz="4" w:space="0" w:color="auto"/>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single" w:sz="4" w:space="0" w:color="auto"/>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2.50%</w:t>
            </w:r>
          </w:p>
        </w:tc>
        <w:tc>
          <w:tcPr>
            <w:tcW w:w="1008" w:type="dxa"/>
            <w:tcBorders>
              <w:top w:val="single" w:sz="4" w:space="0" w:color="auto"/>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single" w:sz="4" w:space="0" w:color="auto"/>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Inpatient MH/SA</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4.75%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4.75%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5.50%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Hospital Outpatient</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3.75%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3.75%</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Outpatient MH/SA</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3.50%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4.50%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Professional</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5.50%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5.50%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4.50%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4.50%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HCBS/Home Health</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w:t>
            </w:r>
            <w:r w:rsidR="00263D60">
              <w:rPr>
                <w:rFonts w:asciiTheme="minorHAnsi" w:hAnsiTheme="minorHAnsi" w:cstheme="minorHAnsi"/>
                <w:sz w:val="18"/>
                <w:szCs w:val="18"/>
              </w:rPr>
              <w:t>25</w:t>
            </w:r>
            <w:r w:rsidRPr="00263D60">
              <w:rPr>
                <w:rFonts w:asciiTheme="minorHAnsi" w:hAnsiTheme="minorHAnsi" w:cstheme="minorHAnsi"/>
                <w:sz w:val="18"/>
                <w:szCs w:val="18"/>
              </w:rPr>
              <w:t>%</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2.25%</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LTC Facility</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2.25%</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2.25%</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Pharmacy (Non-Part D)</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6.00%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6.00%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6.00%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5.00%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DME &amp; Supplies</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2.00%</w:t>
            </w:r>
          </w:p>
        </w:tc>
      </w:tr>
      <w:tr w:rsidR="0090656A" w:rsidRPr="00263D60" w:rsidTr="0090656A">
        <w:trPr>
          <w:trHeight w:val="255"/>
        </w:trPr>
        <w:tc>
          <w:tcPr>
            <w:tcW w:w="1995" w:type="dxa"/>
            <w:tcBorders>
              <w:top w:val="nil"/>
              <w:left w:val="single" w:sz="4" w:space="0" w:color="auto"/>
              <w:bottom w:val="single" w:sz="4" w:space="0" w:color="C0C0C0"/>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Transportation</w:t>
            </w:r>
          </w:p>
        </w:tc>
        <w:tc>
          <w:tcPr>
            <w:tcW w:w="900"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5.00%</w:t>
            </w:r>
          </w:p>
        </w:tc>
        <w:tc>
          <w:tcPr>
            <w:tcW w:w="1008" w:type="dxa"/>
            <w:tcBorders>
              <w:top w:val="nil"/>
              <w:left w:val="nil"/>
              <w:bottom w:val="single" w:sz="4" w:space="0" w:color="C0C0C0"/>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C0C0C0"/>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3.00%</w:t>
            </w:r>
          </w:p>
        </w:tc>
      </w:tr>
      <w:tr w:rsidR="0090656A" w:rsidRPr="00263D60" w:rsidTr="0090656A">
        <w:trPr>
          <w:trHeight w:val="255"/>
        </w:trPr>
        <w:tc>
          <w:tcPr>
            <w:tcW w:w="1995" w:type="dxa"/>
            <w:tcBorders>
              <w:top w:val="nil"/>
              <w:left w:val="single" w:sz="4" w:space="0" w:color="auto"/>
              <w:bottom w:val="single" w:sz="4" w:space="0" w:color="auto"/>
              <w:right w:val="single" w:sz="4" w:space="0" w:color="auto"/>
            </w:tcBorders>
            <w:shd w:val="clear" w:color="auto" w:fill="auto"/>
            <w:noWrap/>
            <w:vAlign w:val="center"/>
          </w:tcPr>
          <w:p w:rsidR="0090656A" w:rsidRPr="00263D60" w:rsidRDefault="0090656A" w:rsidP="0090656A">
            <w:pPr>
              <w:rPr>
                <w:rFonts w:asciiTheme="minorHAnsi" w:hAnsiTheme="minorHAnsi" w:cstheme="minorHAnsi"/>
                <w:sz w:val="18"/>
                <w:szCs w:val="18"/>
              </w:rPr>
            </w:pPr>
            <w:r w:rsidRPr="00263D60">
              <w:rPr>
                <w:rFonts w:asciiTheme="minorHAnsi" w:hAnsiTheme="minorHAnsi" w:cstheme="minorHAnsi"/>
                <w:sz w:val="18"/>
                <w:szCs w:val="18"/>
              </w:rPr>
              <w:t>All Other</w:t>
            </w:r>
          </w:p>
        </w:tc>
        <w:tc>
          <w:tcPr>
            <w:tcW w:w="900" w:type="dxa"/>
            <w:tcBorders>
              <w:top w:val="nil"/>
              <w:left w:val="nil"/>
              <w:bottom w:val="single" w:sz="4" w:space="0" w:color="auto"/>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auto"/>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auto"/>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2.60%</w:t>
            </w:r>
          </w:p>
        </w:tc>
        <w:tc>
          <w:tcPr>
            <w:tcW w:w="910" w:type="dxa"/>
            <w:tcBorders>
              <w:top w:val="nil"/>
              <w:left w:val="nil"/>
              <w:bottom w:val="single" w:sz="4" w:space="0" w:color="auto"/>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auto"/>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10" w:type="dxa"/>
            <w:tcBorders>
              <w:top w:val="nil"/>
              <w:left w:val="nil"/>
              <w:bottom w:val="single" w:sz="4" w:space="0" w:color="auto"/>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4.00%</w:t>
            </w:r>
          </w:p>
        </w:tc>
        <w:tc>
          <w:tcPr>
            <w:tcW w:w="1008" w:type="dxa"/>
            <w:tcBorders>
              <w:top w:val="nil"/>
              <w:left w:val="nil"/>
              <w:bottom w:val="single" w:sz="4" w:space="0" w:color="auto"/>
              <w:right w:val="single" w:sz="4" w:space="0" w:color="C0C0C0"/>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2.80%</w:t>
            </w:r>
          </w:p>
        </w:tc>
        <w:tc>
          <w:tcPr>
            <w:tcW w:w="901" w:type="dxa"/>
            <w:tcBorders>
              <w:top w:val="nil"/>
              <w:left w:val="nil"/>
              <w:bottom w:val="single" w:sz="4" w:space="0" w:color="auto"/>
              <w:right w:val="single" w:sz="4" w:space="0" w:color="auto"/>
            </w:tcBorders>
            <w:shd w:val="clear" w:color="auto" w:fill="auto"/>
            <w:noWrap/>
            <w:vAlign w:val="center"/>
          </w:tcPr>
          <w:p w:rsidR="0090656A" w:rsidRPr="00263D60" w:rsidRDefault="0090656A" w:rsidP="0090656A">
            <w:pPr>
              <w:jc w:val="right"/>
              <w:rPr>
                <w:rFonts w:asciiTheme="minorHAnsi" w:hAnsiTheme="minorHAnsi" w:cstheme="minorHAnsi"/>
                <w:sz w:val="18"/>
                <w:szCs w:val="18"/>
              </w:rPr>
            </w:pPr>
            <w:r w:rsidRPr="00263D60">
              <w:rPr>
                <w:rFonts w:asciiTheme="minorHAnsi" w:hAnsiTheme="minorHAnsi" w:cstheme="minorHAnsi"/>
                <w:sz w:val="18"/>
                <w:szCs w:val="18"/>
              </w:rPr>
              <w:t>3.00%</w:t>
            </w:r>
          </w:p>
        </w:tc>
      </w:tr>
    </w:tbl>
    <w:p w:rsidR="0090656A" w:rsidRPr="006A15FD" w:rsidRDefault="0090656A" w:rsidP="0090656A">
      <w:pPr>
        <w:rPr>
          <w:rFonts w:asciiTheme="minorHAnsi" w:hAnsiTheme="minorHAnsi" w:cstheme="minorHAnsi"/>
          <w:sz w:val="22"/>
          <w:szCs w:val="22"/>
        </w:rPr>
      </w:pPr>
    </w:p>
    <w:p w:rsidR="0090656A" w:rsidRPr="006A15FD" w:rsidRDefault="0090656A" w:rsidP="0090656A">
      <w:pPr>
        <w:rPr>
          <w:rFonts w:asciiTheme="minorHAnsi" w:hAnsiTheme="minorHAnsi" w:cstheme="minorHAnsi"/>
          <w:sz w:val="22"/>
          <w:szCs w:val="22"/>
        </w:rPr>
      </w:pPr>
    </w:p>
    <w:p w:rsidR="00283A75" w:rsidRDefault="00283A75" w:rsidP="00F92A40">
      <w:pPr>
        <w:spacing w:after="200" w:line="276" w:lineRule="auto"/>
        <w:jc w:val="center"/>
        <w:rPr>
          <w:rFonts w:ascii="Calibri" w:hAnsi="Calibri" w:cs="Calibri"/>
          <w:b/>
          <w:sz w:val="22"/>
          <w:szCs w:val="22"/>
        </w:rPr>
      </w:pPr>
    </w:p>
    <w:p w:rsidR="00283A75" w:rsidRDefault="00283A75">
      <w:pPr>
        <w:spacing w:after="200" w:line="276" w:lineRule="auto"/>
        <w:rPr>
          <w:rFonts w:ascii="Calibri" w:hAnsi="Calibri" w:cs="Calibri"/>
          <w:b/>
          <w:sz w:val="22"/>
          <w:szCs w:val="22"/>
        </w:rPr>
      </w:pPr>
      <w:r>
        <w:rPr>
          <w:rFonts w:ascii="Calibri" w:hAnsi="Calibri" w:cs="Calibri"/>
          <w:b/>
          <w:sz w:val="22"/>
          <w:szCs w:val="22"/>
        </w:rPr>
        <w:br w:type="page"/>
      </w:r>
    </w:p>
    <w:p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Medicare Components of the Rate – CY 2014</w:t>
      </w:r>
    </w:p>
    <w:p w:rsidR="00283A75" w:rsidRPr="005F465A" w:rsidRDefault="00283A75" w:rsidP="00C01D88">
      <w:pPr>
        <w:tabs>
          <w:tab w:val="left" w:pos="720"/>
        </w:tabs>
        <w:ind w:left="360"/>
        <w:rPr>
          <w:rFonts w:ascii="Calibri" w:hAnsi="Calibri" w:cs="Calibri"/>
          <w:b/>
          <w:sz w:val="22"/>
          <w:szCs w:val="22"/>
        </w:rPr>
      </w:pPr>
    </w:p>
    <w:p w:rsidR="00283A75" w:rsidRPr="005F465A" w:rsidRDefault="00283A75" w:rsidP="00C01D88">
      <w:pPr>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Medicare A/B Services</w:t>
      </w:r>
    </w:p>
    <w:p w:rsidR="00283A75" w:rsidRPr="00A77C54" w:rsidRDefault="00283A75" w:rsidP="00C01D88">
      <w:pPr>
        <w:autoSpaceDE w:val="0"/>
        <w:autoSpaceDN w:val="0"/>
        <w:adjustRightInd w:val="0"/>
        <w:rPr>
          <w:rFonts w:ascii="Calibri" w:hAnsi="Calibri" w:cs="Calibri"/>
          <w:b/>
          <w:i/>
          <w:color w:val="000000"/>
          <w:sz w:val="22"/>
          <w:szCs w:val="22"/>
        </w:rPr>
      </w:pPr>
      <w:r w:rsidRPr="00A77C54">
        <w:rPr>
          <w:rFonts w:ascii="Calibri" w:hAnsi="Calibri" w:cs="Calibri"/>
          <w:color w:val="000000"/>
          <w:sz w:val="22"/>
          <w:szCs w:val="22"/>
        </w:rPr>
        <w:t xml:space="preserve">CMS has developed baseline spending (costs absent the Demonstration) for Medicare </w:t>
      </w:r>
      <w:r>
        <w:rPr>
          <w:rFonts w:ascii="Calibri" w:hAnsi="Calibri" w:cs="Calibri"/>
          <w:color w:val="000000"/>
          <w:sz w:val="22"/>
          <w:szCs w:val="22"/>
        </w:rPr>
        <w:t xml:space="preserve">Parts </w:t>
      </w:r>
      <w:r w:rsidRPr="00A77C54">
        <w:rPr>
          <w:rFonts w:ascii="Calibri" w:hAnsi="Calibri" w:cs="Calibri"/>
          <w:color w:val="000000"/>
          <w:sz w:val="22"/>
          <w:szCs w:val="22"/>
        </w:rPr>
        <w:t>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and the Medicare Advantage projected payment rates for each year, weighted by the proportion of the</w:t>
      </w:r>
      <w:r>
        <w:rPr>
          <w:rFonts w:ascii="Calibri" w:hAnsi="Calibri" w:cs="Calibri"/>
          <w:color w:val="000000"/>
          <w:sz w:val="22"/>
          <w:szCs w:val="22"/>
        </w:rPr>
        <w:t xml:space="preserve"> target</w:t>
      </w:r>
      <w:r w:rsidRPr="00A77C54">
        <w:rPr>
          <w:rFonts w:ascii="Calibri" w:hAnsi="Calibri" w:cs="Calibri"/>
          <w:color w:val="000000"/>
          <w:sz w:val="22"/>
          <w:szCs w:val="22"/>
        </w:rPr>
        <w:t xml:space="preserve">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rsidR="00283A75" w:rsidRPr="00A77C54" w:rsidRDefault="00283A75" w:rsidP="00C01D88">
      <w:pPr>
        <w:autoSpaceDE w:val="0"/>
        <w:autoSpaceDN w:val="0"/>
        <w:adjustRightInd w:val="0"/>
        <w:rPr>
          <w:rFonts w:ascii="Calibri" w:hAnsi="Calibri" w:cs="Calibri"/>
          <w:color w:val="000000"/>
          <w:sz w:val="22"/>
          <w:szCs w:val="22"/>
        </w:rPr>
      </w:pPr>
    </w:p>
    <w:p w:rsidR="00283A75" w:rsidRPr="005F465A" w:rsidRDefault="00283A75" w:rsidP="00C01D88">
      <w:pPr>
        <w:rPr>
          <w:rFonts w:ascii="Calibri" w:hAnsi="Calibri" w:cs="Calibri"/>
          <w:color w:val="000000"/>
          <w:sz w:val="22"/>
          <w:szCs w:val="22"/>
        </w:rPr>
      </w:pPr>
      <w:r w:rsidRPr="00A77C54">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will be updated annually consistent with the annual FFS estimates and benchmarks released each year with the annual </w:t>
      </w:r>
      <w:r>
        <w:rPr>
          <w:rFonts w:ascii="Calibri" w:hAnsi="Calibri" w:cs="Calibri"/>
          <w:color w:val="000000"/>
          <w:sz w:val="22"/>
          <w:szCs w:val="22"/>
        </w:rPr>
        <w:t xml:space="preserve">Medicare Advantage and Part D </w:t>
      </w:r>
      <w:r w:rsidRPr="00A77C54">
        <w:rPr>
          <w:rFonts w:ascii="Calibri" w:hAnsi="Calibri" w:cs="Calibri"/>
          <w:color w:val="000000"/>
          <w:sz w:val="22"/>
          <w:szCs w:val="22"/>
        </w:rPr>
        <w:t xml:space="preserve">rate announcement. </w:t>
      </w:r>
    </w:p>
    <w:p w:rsidR="00283A75" w:rsidRPr="005F465A" w:rsidRDefault="00283A75" w:rsidP="00C01D88">
      <w:pPr>
        <w:rPr>
          <w:rFonts w:ascii="Calibri" w:hAnsi="Calibri" w:cs="Calibri"/>
          <w:color w:val="000000"/>
          <w:sz w:val="22"/>
          <w:szCs w:val="22"/>
        </w:rPr>
      </w:pPr>
    </w:p>
    <w:p w:rsidR="00283A75" w:rsidRPr="00A77C54" w:rsidRDefault="00283A75" w:rsidP="00582B97">
      <w:pPr>
        <w:tabs>
          <w:tab w:val="left" w:pos="90"/>
        </w:tabs>
        <w:rPr>
          <w:rFonts w:ascii="Calibri" w:hAnsi="Calibri" w:cs="Calibri"/>
          <w:sz w:val="22"/>
          <w:szCs w:val="22"/>
        </w:rPr>
      </w:pPr>
      <w:r w:rsidRPr="005F465A">
        <w:rPr>
          <w:rFonts w:ascii="Calibri" w:hAnsi="Calibri" w:cs="Calibri"/>
          <w:i/>
          <w:color w:val="000000"/>
          <w:sz w:val="22"/>
          <w:szCs w:val="22"/>
        </w:rPr>
        <w:t>Medicare A/B Component Payments:</w:t>
      </w:r>
      <w:r w:rsidRPr="005F465A">
        <w:rPr>
          <w:rFonts w:ascii="Calibri" w:hAnsi="Calibri" w:cs="Calibri"/>
          <w:color w:val="000000"/>
          <w:sz w:val="22"/>
          <w:szCs w:val="22"/>
        </w:rPr>
        <w:t xml:space="preserve"> </w:t>
      </w:r>
      <w:r>
        <w:rPr>
          <w:rFonts w:ascii="Calibri" w:hAnsi="Calibri" w:cs="Calibri"/>
          <w:color w:val="000000"/>
          <w:sz w:val="22"/>
          <w:szCs w:val="22"/>
        </w:rPr>
        <w:t>CY 2014</w:t>
      </w:r>
      <w:r w:rsidRPr="005F465A">
        <w:rPr>
          <w:rFonts w:ascii="Calibri" w:hAnsi="Calibri" w:cs="Calibri"/>
          <w:color w:val="000000"/>
          <w:sz w:val="22"/>
          <w:szCs w:val="22"/>
        </w:rPr>
        <w:t xml:space="preserve"> Medicare A/B Baseline County rates are provided below. </w:t>
      </w:r>
      <w:r w:rsidRPr="00A77C54">
        <w:rPr>
          <w:rFonts w:ascii="Calibri" w:hAnsi="Calibri" w:cs="Calibri"/>
          <w:sz w:val="22"/>
          <w:szCs w:val="22"/>
        </w:rPr>
        <w:t xml:space="preserve"> </w:t>
      </w:r>
      <w:r w:rsidRPr="00E95B9B">
        <w:rPr>
          <w:rFonts w:ascii="Calibri" w:hAnsi="Calibri" w:cs="Calibri"/>
          <w:sz w:val="22"/>
          <w:szCs w:val="22"/>
        </w:rPr>
        <w:t xml:space="preserve">The rates represent the weighted average of the </w:t>
      </w:r>
      <w:r w:rsidRPr="00E95B9B">
        <w:rPr>
          <w:rFonts w:ascii="Calibri" w:hAnsi="Calibri" w:cs="Calibri"/>
          <w:color w:val="000000"/>
          <w:sz w:val="22"/>
          <w:szCs w:val="22"/>
        </w:rPr>
        <w:t xml:space="preserve">CY 2014 FFS Standardized County Rates, updated to incorporate the adjustments noted below, and the Medicare Advantage projected payment rates for CY 2014 based on the expected enrollment of beneficiaries from Medicare FFS and Medicare Advantage in </w:t>
      </w:r>
      <w:r w:rsidRPr="00E95B9B">
        <w:rPr>
          <w:rFonts w:ascii="Calibri" w:hAnsi="Calibri" w:cs="Calibri"/>
          <w:sz w:val="22"/>
          <w:szCs w:val="22"/>
        </w:rPr>
        <w:t xml:space="preserve">CY 2014 at the county level. The rates weight the FFS and Medicare Advantage components based on the </w:t>
      </w:r>
      <w:r>
        <w:rPr>
          <w:rFonts w:ascii="Calibri" w:hAnsi="Calibri" w:cs="Calibri"/>
          <w:sz w:val="22"/>
          <w:szCs w:val="22"/>
        </w:rPr>
        <w:t>CY 2013</w:t>
      </w:r>
      <w:r w:rsidRPr="00E95B9B">
        <w:rPr>
          <w:rFonts w:ascii="Calibri" w:hAnsi="Calibri" w:cs="Calibri"/>
          <w:sz w:val="22"/>
          <w:szCs w:val="22"/>
        </w:rPr>
        <w:t xml:space="preserve"> distribution of potential </w:t>
      </w:r>
      <w:r>
        <w:rPr>
          <w:rFonts w:ascii="Calibri" w:hAnsi="Calibri" w:cs="Calibri"/>
          <w:sz w:val="22"/>
          <w:szCs w:val="22"/>
        </w:rPr>
        <w:t>Demonstration</w:t>
      </w:r>
      <w:r w:rsidRPr="00E95B9B">
        <w:rPr>
          <w:rFonts w:ascii="Calibri" w:hAnsi="Calibri" w:cs="Calibri"/>
          <w:sz w:val="22"/>
          <w:szCs w:val="22"/>
        </w:rPr>
        <w:t xml:space="preserve"> enrollees</w:t>
      </w:r>
      <w:r w:rsidRPr="00A77C54">
        <w:rPr>
          <w:rFonts w:ascii="Calibri" w:hAnsi="Calibri" w:cs="Calibri"/>
          <w:sz w:val="22"/>
          <w:szCs w:val="22"/>
        </w:rPr>
        <w:t xml:space="preserve">.   </w:t>
      </w:r>
    </w:p>
    <w:p w:rsidR="00283A75" w:rsidRPr="00A77C54" w:rsidRDefault="00283A75" w:rsidP="00C01D88">
      <w:pPr>
        <w:tabs>
          <w:tab w:val="left" w:pos="90"/>
        </w:tabs>
        <w:rPr>
          <w:rFonts w:ascii="Calibri" w:hAnsi="Calibri" w:cs="Calibri"/>
          <w:sz w:val="22"/>
          <w:szCs w:val="22"/>
        </w:rPr>
      </w:pPr>
    </w:p>
    <w:p w:rsidR="00283A75" w:rsidRPr="00A77C54" w:rsidRDefault="00283A75" w:rsidP="00C01D88">
      <w:pPr>
        <w:tabs>
          <w:tab w:val="left" w:pos="90"/>
        </w:tabs>
        <w:rPr>
          <w:rFonts w:ascii="Calibri" w:hAnsi="Calibri" w:cs="Calibri"/>
          <w:sz w:val="22"/>
          <w:szCs w:val="22"/>
        </w:rPr>
      </w:pPr>
      <w:r w:rsidRPr="00A77C54">
        <w:rPr>
          <w:rFonts w:ascii="Calibri" w:hAnsi="Calibri" w:cs="Calibri"/>
          <w:sz w:val="22"/>
          <w:szCs w:val="22"/>
        </w:rPr>
        <w:t>The Medicare A/B component of the rate includes the following adjustments:</w:t>
      </w:r>
    </w:p>
    <w:p w:rsidR="00283A75" w:rsidRPr="00E95B9B" w:rsidRDefault="00283A75" w:rsidP="00C01D88">
      <w:pPr>
        <w:numPr>
          <w:ilvl w:val="0"/>
          <w:numId w:val="2"/>
        </w:numPr>
        <w:tabs>
          <w:tab w:val="left" w:pos="90"/>
        </w:tabs>
        <w:rPr>
          <w:rFonts w:ascii="Calibri" w:hAnsi="Calibri" w:cs="Calibri"/>
          <w:sz w:val="22"/>
          <w:szCs w:val="22"/>
        </w:rPr>
      </w:pPr>
      <w:r w:rsidRPr="00E95B9B">
        <w:rPr>
          <w:rFonts w:ascii="Calibri" w:hAnsi="Calibri" w:cs="Calibri"/>
          <w:sz w:val="22"/>
          <w:szCs w:val="22"/>
        </w:rPr>
        <w:t xml:space="preserve">The FFS component of the CY 2014 Medicare A/B baseline rates has been updated to fully incorporate the most current hospital wage index and physician geographic practice cost index. This adjustment is applied only to the FFS component of the Medicare A/B baseline and the rate update factor for this change varies by county (see following tables for additional information). The adjustment </w:t>
      </w:r>
      <w:r>
        <w:rPr>
          <w:rFonts w:ascii="Calibri" w:hAnsi="Calibri" w:cs="Calibri"/>
          <w:sz w:val="22"/>
          <w:szCs w:val="22"/>
        </w:rPr>
        <w:t>is applied within t</w:t>
      </w:r>
      <w:r w:rsidRPr="00E95B9B">
        <w:rPr>
          <w:rFonts w:ascii="Calibri" w:hAnsi="Calibri" w:cs="Calibri"/>
          <w:sz w:val="22"/>
          <w:szCs w:val="22"/>
        </w:rPr>
        <w:t xml:space="preserve">he Medicare Advantage component of the Medicare A/B baseline </w:t>
      </w:r>
      <w:r>
        <w:rPr>
          <w:rFonts w:ascii="Calibri" w:hAnsi="Calibri" w:cs="Calibri"/>
          <w:sz w:val="22"/>
          <w:szCs w:val="22"/>
        </w:rPr>
        <w:t>through the</w:t>
      </w:r>
      <w:r w:rsidRPr="00E95B9B">
        <w:rPr>
          <w:rFonts w:ascii="Calibri" w:hAnsi="Calibri" w:cs="Calibri"/>
          <w:sz w:val="22"/>
          <w:szCs w:val="22"/>
        </w:rPr>
        <w:t xml:space="preserve"> phase-in process detailed in the 2014 Medicare Advantage Rate Announcement.</w:t>
      </w:r>
    </w:p>
    <w:p w:rsidR="00283A75" w:rsidRPr="00856B6D" w:rsidRDefault="00283A75" w:rsidP="00C01D88">
      <w:pPr>
        <w:numPr>
          <w:ilvl w:val="0"/>
          <w:numId w:val="2"/>
        </w:numPr>
        <w:rPr>
          <w:rFonts w:ascii="Calibri" w:hAnsi="Calibri" w:cs="Calibri"/>
          <w:sz w:val="22"/>
          <w:szCs w:val="22"/>
        </w:rPr>
      </w:pPr>
      <w:r w:rsidRPr="00F92A40">
        <w:rPr>
          <w:rFonts w:ascii="Calibri" w:hAnsi="Calibri" w:cs="Calibri"/>
          <w:sz w:val="22"/>
          <w:szCs w:val="22"/>
        </w:rPr>
        <w:t>In addition, the FFS component of the CY 2014 Medicare A/B baseline rate has also been updated to reflect a</w:t>
      </w:r>
      <w:r w:rsidR="00F92A40" w:rsidRPr="00BE2B5B">
        <w:rPr>
          <w:rFonts w:ascii="Calibri" w:hAnsi="Calibri" w:cs="Calibri"/>
          <w:sz w:val="22"/>
          <w:szCs w:val="22"/>
        </w:rPr>
        <w:t xml:space="preserve"> 1.89%</w:t>
      </w:r>
      <w:r w:rsidRPr="00F92A40">
        <w:rPr>
          <w:rFonts w:ascii="Calibri" w:hAnsi="Calibri" w:cs="Calibri"/>
          <w:sz w:val="22"/>
          <w:szCs w:val="22"/>
        </w:rPr>
        <w:t xml:space="preserve"> upward adjustment to account for the disproportionate share of bad debt attributable to Medicare-Medicaid enrollees i</w:t>
      </w:r>
      <w:r w:rsidRPr="00BE2B5B">
        <w:rPr>
          <w:rFonts w:ascii="Calibri" w:hAnsi="Calibri" w:cs="Calibri"/>
          <w:sz w:val="22"/>
          <w:szCs w:val="22"/>
        </w:rPr>
        <w:t xml:space="preserve">n Medicare FFS (in the absence of the Demonstration).  This </w:t>
      </w:r>
      <w:r w:rsidR="00F92A40" w:rsidRPr="00856B6D">
        <w:rPr>
          <w:rFonts w:ascii="Calibri" w:hAnsi="Calibri" w:cs="Calibri"/>
          <w:sz w:val="22"/>
          <w:szCs w:val="22"/>
        </w:rPr>
        <w:t>1.89%</w:t>
      </w:r>
      <w:r w:rsidRPr="00F92A40">
        <w:rPr>
          <w:rFonts w:ascii="Calibri" w:hAnsi="Calibri" w:cs="Calibri"/>
          <w:sz w:val="22"/>
          <w:szCs w:val="22"/>
        </w:rPr>
        <w:t xml:space="preserve"> adjustment applies for CY 2014</w:t>
      </w:r>
      <w:r w:rsidRPr="00BE2B5B">
        <w:rPr>
          <w:rFonts w:ascii="Calibri" w:hAnsi="Calibri" w:cs="Calibri"/>
          <w:sz w:val="22"/>
          <w:szCs w:val="22"/>
        </w:rPr>
        <w:t xml:space="preserve"> and will be updated for subsequent years of the Demonstration</w:t>
      </w:r>
      <w:r w:rsidRPr="00856B6D">
        <w:rPr>
          <w:rFonts w:ascii="Calibri" w:hAnsi="Calibri" w:cs="Calibri"/>
          <w:sz w:val="22"/>
          <w:szCs w:val="22"/>
        </w:rPr>
        <w:t>.</w:t>
      </w:r>
    </w:p>
    <w:p w:rsidR="00283A75" w:rsidRPr="00A77C54" w:rsidRDefault="00283A75" w:rsidP="00C01D88">
      <w:pPr>
        <w:rPr>
          <w:rFonts w:ascii="Calibri" w:hAnsi="Calibri" w:cs="Calibri"/>
          <w:sz w:val="22"/>
          <w:szCs w:val="22"/>
        </w:rPr>
      </w:pPr>
    </w:p>
    <w:p w:rsidR="00283A75" w:rsidRPr="00A77C54" w:rsidRDefault="00283A75" w:rsidP="00C01D88">
      <w:pPr>
        <w:autoSpaceDE w:val="0"/>
        <w:autoSpaceDN w:val="0"/>
        <w:adjustRightInd w:val="0"/>
        <w:rPr>
          <w:rFonts w:ascii="Calibri" w:hAnsi="Calibri" w:cs="Calibri"/>
          <w:color w:val="000000"/>
          <w:sz w:val="22"/>
          <w:szCs w:val="22"/>
        </w:rPr>
      </w:pPr>
      <w:r w:rsidRPr="00316F96">
        <w:rPr>
          <w:rFonts w:ascii="Calibri" w:hAnsi="Calibri" w:cs="Calibri"/>
          <w:i/>
          <w:sz w:val="22"/>
          <w:szCs w:val="22"/>
        </w:rPr>
        <w:t xml:space="preserve">Coding Intensity Adjustment: </w:t>
      </w:r>
      <w:r w:rsidRPr="00316F96">
        <w:rPr>
          <w:rFonts w:ascii="Calibri" w:hAnsi="Calibri" w:cs="Calibri"/>
          <w:sz w:val="22"/>
          <w:szCs w:val="22"/>
        </w:rPr>
        <w:t xml:space="preserve">CMS annually applies a coding intensity factor to Medicare Advantage </w:t>
      </w:r>
      <w:r w:rsidRPr="00316F96">
        <w:rPr>
          <w:rFonts w:ascii="Calibri" w:hAnsi="Calibri" w:cs="Calibri"/>
          <w:color w:val="000000"/>
          <w:sz w:val="22"/>
          <w:szCs w:val="22"/>
        </w:rPr>
        <w:t xml:space="preserve">risk scores to account for differences in diagnosis coding patterns between the Medicare Advantage and the Original Fee-for-Service Medicare programs. The adjustment for CY 2014 is 4.91%. The </w:t>
      </w:r>
      <w:r>
        <w:rPr>
          <w:rFonts w:ascii="Calibri" w:hAnsi="Calibri" w:cs="Calibri"/>
          <w:color w:val="000000"/>
          <w:sz w:val="22"/>
          <w:szCs w:val="22"/>
        </w:rPr>
        <w:t xml:space="preserve">vast </w:t>
      </w:r>
      <w:r w:rsidRPr="00316F96">
        <w:rPr>
          <w:rFonts w:ascii="Calibri" w:hAnsi="Calibri" w:cs="Calibri"/>
          <w:color w:val="000000"/>
          <w:sz w:val="22"/>
          <w:szCs w:val="22"/>
        </w:rPr>
        <w:t xml:space="preserve">majority of new </w:t>
      </w:r>
      <w:r>
        <w:rPr>
          <w:rFonts w:ascii="Calibri" w:hAnsi="Calibri" w:cs="Calibri"/>
          <w:color w:val="000000"/>
          <w:sz w:val="22"/>
          <w:szCs w:val="22"/>
        </w:rPr>
        <w:t xml:space="preserve">Demonstration </w:t>
      </w:r>
      <w:r w:rsidRPr="00316F96">
        <w:rPr>
          <w:rFonts w:ascii="Calibri" w:hAnsi="Calibri" w:cs="Calibri"/>
          <w:color w:val="000000"/>
          <w:sz w:val="22"/>
          <w:szCs w:val="22"/>
        </w:rPr>
        <w:t>enrollees will come from Medicare FFS</w:t>
      </w:r>
      <w:r>
        <w:rPr>
          <w:rFonts w:ascii="Calibri" w:hAnsi="Calibri" w:cs="Calibri"/>
          <w:color w:val="000000"/>
          <w:sz w:val="22"/>
          <w:szCs w:val="22"/>
        </w:rPr>
        <w:t xml:space="preserve"> and/or will have limited Demonstration experience in CY 2013. </w:t>
      </w:r>
      <w:r w:rsidRPr="00316F96">
        <w:rPr>
          <w:rFonts w:ascii="Calibri" w:hAnsi="Calibri" w:cs="Calibri"/>
          <w:color w:val="000000"/>
          <w:sz w:val="22"/>
          <w:szCs w:val="22"/>
        </w:rPr>
        <w:t xml:space="preserve"> </w:t>
      </w:r>
      <w:r w:rsidRPr="00C015EA">
        <w:rPr>
          <w:rFonts w:ascii="Calibri" w:hAnsi="Calibri" w:cs="Calibri"/>
          <w:color w:val="000000"/>
          <w:sz w:val="22"/>
          <w:szCs w:val="22"/>
        </w:rPr>
        <w:t xml:space="preserve"> </w:t>
      </w:r>
      <w:r w:rsidRPr="00A77C54">
        <w:rPr>
          <w:rFonts w:ascii="Calibri" w:hAnsi="Calibri" w:cs="Calibri"/>
          <w:color w:val="000000"/>
          <w:sz w:val="22"/>
          <w:szCs w:val="22"/>
        </w:rPr>
        <w:t xml:space="preserve">Therefore, for </w:t>
      </w:r>
      <w:r>
        <w:rPr>
          <w:rFonts w:ascii="Calibri" w:hAnsi="Calibri" w:cs="Calibri"/>
          <w:color w:val="000000"/>
          <w:sz w:val="22"/>
          <w:szCs w:val="22"/>
        </w:rPr>
        <w:t xml:space="preserve">CY 2014 </w:t>
      </w:r>
      <w:r w:rsidRPr="00A77C54">
        <w:rPr>
          <w:rFonts w:ascii="Calibri" w:hAnsi="Calibri" w:cs="Calibri"/>
          <w:color w:val="000000"/>
          <w:sz w:val="22"/>
          <w:szCs w:val="22"/>
        </w:rPr>
        <w:t xml:space="preserve">CMS will establish </w:t>
      </w:r>
      <w:r>
        <w:rPr>
          <w:rFonts w:ascii="Calibri" w:hAnsi="Calibri" w:cs="Calibri"/>
          <w:color w:val="000000"/>
          <w:sz w:val="22"/>
          <w:szCs w:val="22"/>
        </w:rPr>
        <w:t xml:space="preserve">the FFS component of the Medicare A/B baseline </w:t>
      </w:r>
      <w:r w:rsidRPr="00A77C54">
        <w:rPr>
          <w:rFonts w:ascii="Calibri" w:hAnsi="Calibri" w:cs="Calibri"/>
          <w:color w:val="000000"/>
          <w:sz w:val="22"/>
          <w:szCs w:val="22"/>
        </w:rPr>
        <w:t xml:space="preserve">in a manner that does not lead to lower amounts due to </w:t>
      </w:r>
      <w:r w:rsidRPr="00A77C54">
        <w:rPr>
          <w:rFonts w:ascii="Calibri" w:hAnsi="Calibri" w:cs="Calibri"/>
          <w:color w:val="000000"/>
          <w:sz w:val="22"/>
          <w:szCs w:val="22"/>
        </w:rPr>
        <w:lastRenderedPageBreak/>
        <w:t xml:space="preserve">this coding </w:t>
      </w:r>
      <w:r w:rsidRPr="00C015EA">
        <w:rPr>
          <w:rFonts w:ascii="Calibri" w:hAnsi="Calibri" w:cs="Calibri"/>
          <w:color w:val="000000"/>
          <w:sz w:val="22"/>
          <w:szCs w:val="22"/>
        </w:rPr>
        <w:t>intensity adjustment.  Operationally, due to systems limitations, CMS will still apply the coding intensity adjustment factor to the risk scores but will increase the FFS component of the Medicare A/B baseline for non-ESRD beneficiaries and the Medicare A/B baseline for beneficiaries with an ESRD status of functioning graft to offset this (by increasing these amounts by a corresponding percentage). The coding intensity factor will not be applied to risk scores for enrollees with an ESRD status of dialysis or transplant during the Demonstration, consistent with Medicare Advantage policy.</w:t>
      </w:r>
      <w:r w:rsidRPr="00A77C54">
        <w:rPr>
          <w:rFonts w:ascii="Calibri" w:hAnsi="Calibri" w:cs="Calibri"/>
          <w:color w:val="000000"/>
          <w:sz w:val="22"/>
          <w:szCs w:val="22"/>
        </w:rPr>
        <w:t xml:space="preserve"> </w:t>
      </w:r>
    </w:p>
    <w:p w:rsidR="00283A75" w:rsidRPr="00A77C54" w:rsidRDefault="00283A75" w:rsidP="00C01D88">
      <w:pPr>
        <w:autoSpaceDE w:val="0"/>
        <w:autoSpaceDN w:val="0"/>
        <w:adjustRightInd w:val="0"/>
        <w:rPr>
          <w:rFonts w:ascii="Calibri" w:hAnsi="Calibri"/>
          <w:color w:val="000000"/>
          <w:sz w:val="22"/>
        </w:rPr>
      </w:pPr>
    </w:p>
    <w:p w:rsidR="00283A75" w:rsidRPr="00A77C54" w:rsidRDefault="00283A75" w:rsidP="00C01D88">
      <w:pPr>
        <w:rPr>
          <w:rFonts w:ascii="Calibri" w:hAnsi="Calibri" w:cs="Calibri"/>
          <w:color w:val="000000"/>
          <w:sz w:val="22"/>
          <w:szCs w:val="22"/>
        </w:rPr>
      </w:pPr>
      <w:r w:rsidRPr="00C015EA">
        <w:rPr>
          <w:rFonts w:ascii="Calibri" w:hAnsi="Calibri" w:cs="Calibri"/>
          <w:color w:val="000000"/>
          <w:sz w:val="22"/>
          <w:szCs w:val="22"/>
        </w:rPr>
        <w:t xml:space="preserve">In CY 2015, CMS will apply </w:t>
      </w:r>
      <w:r>
        <w:rPr>
          <w:rFonts w:ascii="Calibri" w:hAnsi="Calibri" w:cs="Calibri"/>
          <w:color w:val="000000"/>
          <w:sz w:val="22"/>
          <w:szCs w:val="22"/>
        </w:rPr>
        <w:t xml:space="preserve">the </w:t>
      </w:r>
      <w:r w:rsidRPr="00C015EA">
        <w:rPr>
          <w:rFonts w:ascii="Calibri" w:hAnsi="Calibri" w:cs="Calibri"/>
          <w:color w:val="000000"/>
          <w:sz w:val="22"/>
          <w:szCs w:val="22"/>
        </w:rPr>
        <w:t xml:space="preserve">prevailing Medicare Advantage coding intensity adjustment </w:t>
      </w:r>
      <w:r>
        <w:rPr>
          <w:rFonts w:ascii="Calibri" w:hAnsi="Calibri" w:cs="Calibri"/>
          <w:color w:val="000000"/>
          <w:sz w:val="22"/>
          <w:szCs w:val="22"/>
        </w:rPr>
        <w:t>unless there is a change in the planned enrollment phase-in</w:t>
      </w:r>
      <w:r w:rsidRPr="00C015EA">
        <w:rPr>
          <w:rFonts w:ascii="Calibri" w:hAnsi="Calibri" w:cs="Calibri"/>
          <w:color w:val="000000"/>
          <w:sz w:val="22"/>
          <w:szCs w:val="22"/>
        </w:rPr>
        <w:t>. Additional information will be included in the CY 2015 Rate Report.</w:t>
      </w:r>
    </w:p>
    <w:p w:rsidR="00283A75" w:rsidRPr="00A77C54" w:rsidRDefault="00283A75" w:rsidP="00C01D88">
      <w:pPr>
        <w:autoSpaceDE w:val="0"/>
        <w:autoSpaceDN w:val="0"/>
        <w:adjustRightInd w:val="0"/>
        <w:rPr>
          <w:rFonts w:ascii="Calibri" w:hAnsi="Calibri" w:cs="Calibri"/>
          <w:color w:val="000000"/>
          <w:sz w:val="22"/>
          <w:szCs w:val="22"/>
        </w:rPr>
      </w:pPr>
    </w:p>
    <w:p w:rsidR="00283A75" w:rsidRPr="00A77C54" w:rsidRDefault="00283A75" w:rsidP="00C01D88">
      <w:pPr>
        <w:rPr>
          <w:rFonts w:ascii="Calibri" w:hAnsi="Calibri" w:cs="Calibri"/>
          <w:strike/>
          <w:sz w:val="22"/>
          <w:szCs w:val="22"/>
        </w:rPr>
      </w:pPr>
      <w:r w:rsidRPr="00A77C54">
        <w:rPr>
          <w:rFonts w:ascii="Calibri" w:hAnsi="Calibri" w:cs="Calibri"/>
          <w:bCs/>
          <w:i/>
          <w:sz w:val="22"/>
          <w:szCs w:val="22"/>
        </w:rPr>
        <w:t>Impact of Sequestration</w:t>
      </w:r>
      <w:r w:rsidRPr="00A77C54">
        <w:rPr>
          <w:rFonts w:ascii="Calibri" w:hAnsi="Calibri" w:cs="Calibri"/>
          <w:bCs/>
          <w:sz w:val="22"/>
          <w:szCs w:val="22"/>
        </w:rPr>
        <w:t>:</w:t>
      </w:r>
      <w:r w:rsidRPr="00A77C54">
        <w:rPr>
          <w:rFonts w:ascii="Calibri" w:hAnsi="Calibri" w:cs="Calibri"/>
          <w:b/>
          <w:bCs/>
          <w:sz w:val="22"/>
          <w:szCs w:val="22"/>
        </w:rPr>
        <w:t xml:space="preserve"> </w:t>
      </w:r>
      <w:r w:rsidRPr="00A77C54">
        <w:rPr>
          <w:rFonts w:ascii="Calibri" w:hAnsi="Calibri" w:cs="Calibri"/>
          <w:sz w:val="22"/>
          <w:szCs w:val="22"/>
        </w:rPr>
        <w:t xml:space="preserve">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w:t>
      </w:r>
      <w:r>
        <w:rPr>
          <w:rFonts w:ascii="Calibri" w:hAnsi="Calibri" w:cs="Calibri"/>
          <w:sz w:val="22"/>
          <w:szCs w:val="22"/>
        </w:rPr>
        <w:t xml:space="preserve">integrated rate. Therefore, under the Demonstration, </w:t>
      </w:r>
      <w:r w:rsidRPr="00A77C54">
        <w:rPr>
          <w:rFonts w:ascii="Calibri" w:hAnsi="Calibri" w:cs="Calibri"/>
          <w:sz w:val="22"/>
          <w:szCs w:val="22"/>
        </w:rPr>
        <w:t>CMS will reduce non-exempt portions of the Medicare components by 2%, as noted in the sections below.   </w:t>
      </w:r>
      <w:r w:rsidRPr="00A77C54">
        <w:rPr>
          <w:rFonts w:ascii="Calibri" w:hAnsi="Calibri" w:cs="Calibri"/>
          <w:strike/>
          <w:sz w:val="22"/>
          <w:szCs w:val="22"/>
        </w:rPr>
        <w:t xml:space="preserve"> </w:t>
      </w:r>
    </w:p>
    <w:p w:rsidR="00283A75" w:rsidRDefault="00283A75" w:rsidP="00C01D88">
      <w:pPr>
        <w:rPr>
          <w:rFonts w:ascii="Calibri" w:hAnsi="Calibri" w:cs="Calibri"/>
          <w:strike/>
          <w:sz w:val="22"/>
          <w:szCs w:val="22"/>
        </w:rPr>
      </w:pPr>
    </w:p>
    <w:p w:rsidR="00BE2B5B" w:rsidRDefault="00283A75" w:rsidP="003013E0">
      <w:pPr>
        <w:rPr>
          <w:rFonts w:ascii="Calibri" w:hAnsi="Calibri" w:cs="Calibri"/>
          <w:color w:val="000000"/>
          <w:sz w:val="22"/>
          <w:szCs w:val="22"/>
        </w:rPr>
        <w:sectPr w:rsidR="00BE2B5B" w:rsidSect="003C322B">
          <w:headerReference w:type="even" r:id="rId8"/>
          <w:headerReference w:type="default" r:id="rId9"/>
          <w:footerReference w:type="even" r:id="rId10"/>
          <w:footerReference w:type="default" r:id="rId11"/>
          <w:headerReference w:type="first" r:id="rId12"/>
          <w:footerReference w:type="first" r:id="rId13"/>
          <w:pgSz w:w="12240" w:h="15840"/>
          <w:pgMar w:top="1980" w:right="1440" w:bottom="1260" w:left="1800" w:header="720" w:footer="720" w:gutter="0"/>
          <w:cols w:space="720"/>
          <w:docGrid w:linePitch="360"/>
        </w:sectPr>
      </w:pPr>
      <w:r w:rsidRPr="00F51B5F">
        <w:rPr>
          <w:rFonts w:ascii="Calibri" w:hAnsi="Calibri" w:cs="Calibri"/>
          <w:i/>
          <w:color w:val="000000"/>
          <w:sz w:val="22"/>
          <w:szCs w:val="22"/>
        </w:rPr>
        <w:t xml:space="preserve">Default Rate: </w:t>
      </w:r>
      <w:r w:rsidRPr="00F51B5F">
        <w:rPr>
          <w:rFonts w:ascii="Calibri" w:hAnsi="Calibri" w:cs="Calibri"/>
          <w:color w:val="000000"/>
          <w:sz w:val="22"/>
          <w:szCs w:val="22"/>
        </w:rPr>
        <w:t xml:space="preserve"> The default rate will be paid when a beneficiary’s address on record is outside of the service area. The default rate is</w:t>
      </w:r>
      <w:r w:rsidR="00F51B5F" w:rsidRPr="00F51B5F">
        <w:rPr>
          <w:rFonts w:ascii="Calibri" w:hAnsi="Calibri" w:cs="Calibri"/>
          <w:color w:val="000000"/>
          <w:sz w:val="22"/>
          <w:szCs w:val="22"/>
        </w:rPr>
        <w:t xml:space="preserve"> specific to each One Care Plan </w:t>
      </w:r>
      <w:r w:rsidRPr="00F51B5F">
        <w:rPr>
          <w:rFonts w:ascii="Calibri" w:hAnsi="Calibri" w:cs="Calibri"/>
          <w:color w:val="000000"/>
          <w:sz w:val="22"/>
          <w:szCs w:val="22"/>
        </w:rPr>
        <w:t xml:space="preserve">and is calculated using an enrollment-weighted average of the rates for each county </w:t>
      </w:r>
      <w:r w:rsidR="00F51B5F" w:rsidRPr="00F51B5F">
        <w:rPr>
          <w:rFonts w:ascii="Calibri" w:hAnsi="Calibri" w:cs="Calibri"/>
          <w:color w:val="000000"/>
          <w:sz w:val="22"/>
          <w:szCs w:val="22"/>
        </w:rPr>
        <w:t>in which the One Care Plan participates</w:t>
      </w:r>
      <w:r w:rsidRPr="00F51B5F">
        <w:rPr>
          <w:rFonts w:ascii="Calibri" w:hAnsi="Calibri" w:cs="Calibri"/>
          <w:color w:val="000000"/>
          <w:sz w:val="22"/>
          <w:szCs w:val="22"/>
        </w:rPr>
        <w:t>.</w:t>
      </w:r>
    </w:p>
    <w:p w:rsidR="00283A75" w:rsidRPr="00A77C54" w:rsidRDefault="00283A75" w:rsidP="00C01D88">
      <w:pPr>
        <w:rPr>
          <w:rFonts w:ascii="Calibri" w:hAnsi="Calibri" w:cs="Calibri"/>
          <w:strike/>
          <w:sz w:val="22"/>
          <w:szCs w:val="22"/>
        </w:rPr>
      </w:pPr>
    </w:p>
    <w:tbl>
      <w:tblPr>
        <w:tblpPr w:leftFromText="180" w:rightFromText="180" w:vertAnchor="text" w:horzAnchor="page" w:tblpX="934" w:tblpY="-15"/>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2610"/>
        <w:gridCol w:w="2160"/>
        <w:gridCol w:w="2340"/>
        <w:gridCol w:w="2340"/>
        <w:gridCol w:w="2340"/>
      </w:tblGrid>
      <w:tr w:rsidR="00BE2B5B" w:rsidRPr="005F465A" w:rsidTr="00BE2B5B">
        <w:trPr>
          <w:trHeight w:val="354"/>
          <w:tblHeader/>
        </w:trPr>
        <w:tc>
          <w:tcPr>
            <w:tcW w:w="14220" w:type="dxa"/>
            <w:gridSpan w:val="6"/>
            <w:shd w:val="pct15" w:color="auto" w:fill="auto"/>
          </w:tcPr>
          <w:p w:rsidR="00BE2B5B" w:rsidRPr="005F465A" w:rsidRDefault="00BE2B5B" w:rsidP="00BE2B5B">
            <w:pPr>
              <w:autoSpaceDE w:val="0"/>
              <w:autoSpaceDN w:val="0"/>
              <w:adjustRightInd w:val="0"/>
              <w:rPr>
                <w:rFonts w:ascii="Calibri" w:hAnsi="Calibri" w:cs="Calibri"/>
                <w:b/>
                <w:color w:val="000000"/>
              </w:rPr>
            </w:pPr>
            <w:r>
              <w:rPr>
                <w:rFonts w:ascii="Calibri" w:hAnsi="Calibri" w:cs="Calibri"/>
                <w:b/>
                <w:color w:val="000000"/>
                <w:sz w:val="22"/>
                <w:szCs w:val="22"/>
              </w:rPr>
              <w:t>CY 2014</w:t>
            </w:r>
            <w:r w:rsidRPr="005F465A">
              <w:rPr>
                <w:rFonts w:ascii="Calibri" w:hAnsi="Calibri" w:cs="Calibri"/>
                <w:b/>
                <w:color w:val="000000"/>
                <w:sz w:val="22"/>
                <w:szCs w:val="22"/>
              </w:rPr>
              <w:t xml:space="preserve"> Medicare A/B Baseline PMPM, Non-ESRD Beneficiaries, Standardized 1.0 Risk Score, by Demonstration County</w:t>
            </w:r>
            <w:r w:rsidR="00856B6D" w:rsidRPr="00856B6D">
              <w:rPr>
                <w:rFonts w:ascii="Calibri" w:hAnsi="Calibri" w:cs="Calibri"/>
                <w:b/>
                <w:color w:val="000000"/>
                <w:sz w:val="22"/>
                <w:szCs w:val="22"/>
                <w:vertAlign w:val="superscript"/>
              </w:rPr>
              <w:t>1</w:t>
            </w:r>
          </w:p>
        </w:tc>
      </w:tr>
      <w:tr w:rsidR="00BE2B5B" w:rsidRPr="00A77C54" w:rsidTr="00BE2B5B">
        <w:trPr>
          <w:trHeight w:val="359"/>
          <w:tblHeader/>
        </w:trPr>
        <w:tc>
          <w:tcPr>
            <w:tcW w:w="2430" w:type="dxa"/>
            <w:vMerge w:val="restart"/>
          </w:tcPr>
          <w:p w:rsidR="00BE2B5B" w:rsidRPr="005F465A" w:rsidRDefault="00BE2B5B" w:rsidP="00BE2B5B">
            <w:pPr>
              <w:autoSpaceDE w:val="0"/>
              <w:autoSpaceDN w:val="0"/>
              <w:adjustRightInd w:val="0"/>
              <w:jc w:val="center"/>
              <w:rPr>
                <w:rFonts w:ascii="Calibri" w:hAnsi="Calibri" w:cs="Calibri"/>
                <w:b/>
                <w:color w:val="000000"/>
              </w:rPr>
            </w:pPr>
            <w:r w:rsidRPr="005F465A">
              <w:rPr>
                <w:rFonts w:ascii="Calibri" w:hAnsi="Calibri" w:cs="Calibri"/>
                <w:b/>
                <w:color w:val="000000"/>
                <w:sz w:val="22"/>
                <w:szCs w:val="22"/>
              </w:rPr>
              <w:t>County</w:t>
            </w:r>
          </w:p>
        </w:tc>
        <w:tc>
          <w:tcPr>
            <w:tcW w:w="2610" w:type="dxa"/>
            <w:vMerge w:val="restart"/>
          </w:tcPr>
          <w:p w:rsidR="00BE2B5B" w:rsidRPr="008B7879" w:rsidRDefault="00BE2B5B" w:rsidP="00BE2B5B">
            <w:pPr>
              <w:autoSpaceDE w:val="0"/>
              <w:autoSpaceDN w:val="0"/>
              <w:adjustRightInd w:val="0"/>
              <w:jc w:val="center"/>
              <w:rPr>
                <w:rFonts w:ascii="Calibri" w:hAnsi="Calibri" w:cs="Calibri"/>
                <w:b/>
                <w:color w:val="000000"/>
              </w:rPr>
            </w:pPr>
            <w:r w:rsidRPr="00EB4298">
              <w:rPr>
                <w:rFonts w:ascii="Calibri" w:hAnsi="Calibri" w:cs="Calibri"/>
                <w:b/>
                <w:color w:val="000000"/>
                <w:sz w:val="22"/>
                <w:szCs w:val="22"/>
              </w:rPr>
              <w:t xml:space="preserve">CY 2014 Medicare A/B Baseline PMPM </w:t>
            </w:r>
          </w:p>
          <w:p w:rsidR="00BE2B5B" w:rsidRPr="008B7879" w:rsidRDefault="00BE2B5B" w:rsidP="00BE2B5B">
            <w:pPr>
              <w:autoSpaceDE w:val="0"/>
              <w:autoSpaceDN w:val="0"/>
              <w:adjustRightInd w:val="0"/>
              <w:jc w:val="center"/>
              <w:rPr>
                <w:rFonts w:ascii="Calibri" w:hAnsi="Calibri" w:cs="Calibri"/>
                <w:b/>
                <w:color w:val="000000"/>
              </w:rPr>
            </w:pPr>
          </w:p>
          <w:p w:rsidR="00BE2B5B" w:rsidRPr="00EB4298" w:rsidRDefault="00BE2B5B" w:rsidP="00856B6D">
            <w:pPr>
              <w:autoSpaceDE w:val="0"/>
              <w:autoSpaceDN w:val="0"/>
              <w:adjustRightInd w:val="0"/>
              <w:jc w:val="center"/>
              <w:rPr>
                <w:rFonts w:ascii="Calibri" w:hAnsi="Calibri" w:cs="Calibri"/>
                <w:color w:val="000000"/>
              </w:rPr>
            </w:pPr>
            <w:r w:rsidRPr="00EB4298">
              <w:rPr>
                <w:rFonts w:ascii="Calibri" w:hAnsi="Calibri" w:cs="Calibri"/>
                <w:color w:val="000000"/>
                <w:sz w:val="22"/>
                <w:szCs w:val="22"/>
              </w:rPr>
              <w:t xml:space="preserve">(after application </w:t>
            </w:r>
            <w:r w:rsidR="00C25646">
              <w:rPr>
                <w:rFonts w:ascii="Calibri" w:hAnsi="Calibri" w:cs="Calibri"/>
                <w:color w:val="000000"/>
                <w:sz w:val="22"/>
                <w:szCs w:val="22"/>
              </w:rPr>
              <w:t xml:space="preserve">of </w:t>
            </w:r>
            <w:r w:rsidRPr="00EB4298">
              <w:rPr>
                <w:rFonts w:ascii="Calibri" w:hAnsi="Calibri" w:cs="Calibri"/>
                <w:color w:val="000000"/>
                <w:sz w:val="22"/>
                <w:szCs w:val="22"/>
              </w:rPr>
              <w:t>repricing</w:t>
            </w:r>
            <w:r w:rsidR="00856B6D" w:rsidRPr="00EB4298">
              <w:rPr>
                <w:rFonts w:ascii="Calibri" w:hAnsi="Calibri" w:cs="Calibri"/>
                <w:color w:val="000000"/>
                <w:sz w:val="22"/>
                <w:szCs w:val="22"/>
                <w:vertAlign w:val="superscript"/>
              </w:rPr>
              <w:t>2</w:t>
            </w:r>
            <w:r w:rsidRPr="00EB4298">
              <w:rPr>
                <w:rFonts w:ascii="Calibri" w:hAnsi="Calibri" w:cs="Calibri"/>
                <w:color w:val="000000"/>
                <w:sz w:val="22"/>
                <w:szCs w:val="22"/>
              </w:rPr>
              <w:t>, bad debt and coding intensity adjustments)</w:t>
            </w:r>
          </w:p>
        </w:tc>
        <w:tc>
          <w:tcPr>
            <w:tcW w:w="4500" w:type="dxa"/>
            <w:gridSpan w:val="2"/>
          </w:tcPr>
          <w:p w:rsidR="00BE2B5B" w:rsidRPr="00EB4298" w:rsidRDefault="00BE2B5B" w:rsidP="00BE2B5B">
            <w:pPr>
              <w:autoSpaceDE w:val="0"/>
              <w:autoSpaceDN w:val="0"/>
              <w:adjustRightInd w:val="0"/>
              <w:jc w:val="center"/>
              <w:rPr>
                <w:rFonts w:ascii="Calibri" w:hAnsi="Calibri" w:cs="Calibri"/>
                <w:b/>
                <w:color w:val="000000"/>
                <w:sz w:val="22"/>
                <w:szCs w:val="22"/>
              </w:rPr>
            </w:pPr>
            <w:r w:rsidRPr="00EB4298">
              <w:rPr>
                <w:rFonts w:ascii="Calibri" w:hAnsi="Calibri" w:cs="Calibri"/>
                <w:b/>
                <w:bCs/>
                <w:color w:val="000000"/>
                <w:sz w:val="22"/>
                <w:szCs w:val="22"/>
              </w:rPr>
              <w:t>January 1 through March 31, 2014</w:t>
            </w:r>
          </w:p>
        </w:tc>
        <w:tc>
          <w:tcPr>
            <w:tcW w:w="4680" w:type="dxa"/>
            <w:gridSpan w:val="2"/>
          </w:tcPr>
          <w:p w:rsidR="00BE2B5B" w:rsidRPr="00EB4298" w:rsidRDefault="00BE2B5B" w:rsidP="00BE2B5B">
            <w:pPr>
              <w:autoSpaceDE w:val="0"/>
              <w:autoSpaceDN w:val="0"/>
              <w:adjustRightInd w:val="0"/>
              <w:jc w:val="center"/>
              <w:rPr>
                <w:rFonts w:ascii="Calibri" w:hAnsi="Calibri" w:cs="Calibri"/>
                <w:b/>
                <w:color w:val="000000"/>
                <w:sz w:val="22"/>
                <w:szCs w:val="22"/>
              </w:rPr>
            </w:pPr>
            <w:r w:rsidRPr="00EB4298">
              <w:rPr>
                <w:rFonts w:ascii="Calibri" w:hAnsi="Calibri" w:cs="Calibri"/>
                <w:b/>
                <w:bCs/>
                <w:color w:val="000000"/>
                <w:sz w:val="22"/>
                <w:szCs w:val="22"/>
              </w:rPr>
              <w:t>April 1 through December 31, 2014</w:t>
            </w:r>
          </w:p>
        </w:tc>
      </w:tr>
      <w:tr w:rsidR="00BE2B5B" w:rsidRPr="00A77C54" w:rsidTr="00BE2B5B">
        <w:trPr>
          <w:trHeight w:val="1967"/>
          <w:tblHeader/>
        </w:trPr>
        <w:tc>
          <w:tcPr>
            <w:tcW w:w="2430" w:type="dxa"/>
            <w:vMerge/>
          </w:tcPr>
          <w:p w:rsidR="00BE2B5B" w:rsidRPr="005F465A" w:rsidRDefault="00BE2B5B" w:rsidP="00BE2B5B">
            <w:pPr>
              <w:autoSpaceDE w:val="0"/>
              <w:autoSpaceDN w:val="0"/>
              <w:adjustRightInd w:val="0"/>
              <w:jc w:val="center"/>
              <w:rPr>
                <w:rFonts w:ascii="Calibri" w:hAnsi="Calibri" w:cs="Calibri"/>
                <w:b/>
                <w:color w:val="000000"/>
              </w:rPr>
            </w:pPr>
          </w:p>
        </w:tc>
        <w:tc>
          <w:tcPr>
            <w:tcW w:w="2610" w:type="dxa"/>
            <w:vMerge/>
          </w:tcPr>
          <w:p w:rsidR="00BE2B5B" w:rsidRPr="00EB4298" w:rsidRDefault="00BE2B5B" w:rsidP="00BE2B5B">
            <w:pPr>
              <w:autoSpaceDE w:val="0"/>
              <w:autoSpaceDN w:val="0"/>
              <w:adjustRightInd w:val="0"/>
              <w:jc w:val="center"/>
              <w:rPr>
                <w:rFonts w:ascii="Calibri" w:hAnsi="Calibri" w:cs="Calibri"/>
                <w:color w:val="000000"/>
              </w:rPr>
            </w:pPr>
          </w:p>
        </w:tc>
        <w:tc>
          <w:tcPr>
            <w:tcW w:w="2160" w:type="dxa"/>
          </w:tcPr>
          <w:p w:rsidR="00BE2B5B" w:rsidRPr="00EB4298" w:rsidRDefault="00BE2B5B" w:rsidP="00BE2B5B">
            <w:pPr>
              <w:rPr>
                <w:rFonts w:ascii="Calibri" w:hAnsi="Calibri" w:cs="Calibri"/>
                <w:b/>
                <w:bCs/>
                <w:color w:val="000000"/>
              </w:rPr>
            </w:pPr>
            <w:r w:rsidRPr="00EB4298">
              <w:rPr>
                <w:rFonts w:ascii="Calibri" w:hAnsi="Calibri" w:cs="Calibri"/>
                <w:b/>
                <w:color w:val="000000"/>
                <w:sz w:val="22"/>
                <w:szCs w:val="22"/>
              </w:rPr>
              <w:t xml:space="preserve">CY 2014 </w:t>
            </w:r>
            <w:r w:rsidRPr="00EB4298">
              <w:rPr>
                <w:rFonts w:ascii="Calibri" w:hAnsi="Calibri" w:cs="Calibri"/>
                <w:b/>
                <w:bCs/>
                <w:color w:val="000000"/>
                <w:sz w:val="22"/>
                <w:szCs w:val="22"/>
              </w:rPr>
              <w:t xml:space="preserve"> Medicare A/B Baseline, No Savings Percentage Applied</w:t>
            </w:r>
            <w:r w:rsidRPr="00EB4298">
              <w:rPr>
                <w:rFonts w:ascii="Calibri" w:hAnsi="Calibri" w:cs="Calibri"/>
                <w:b/>
                <w:bCs/>
                <w:color w:val="000000"/>
                <w:sz w:val="22"/>
                <w:szCs w:val="22"/>
              </w:rPr>
              <w:br/>
            </w:r>
          </w:p>
        </w:tc>
        <w:tc>
          <w:tcPr>
            <w:tcW w:w="2340" w:type="dxa"/>
          </w:tcPr>
          <w:p w:rsidR="00BE2B5B" w:rsidRPr="00EB4298" w:rsidRDefault="00BE2B5B" w:rsidP="00BE2B5B">
            <w:pPr>
              <w:autoSpaceDE w:val="0"/>
              <w:autoSpaceDN w:val="0"/>
              <w:adjustRightInd w:val="0"/>
              <w:jc w:val="center"/>
              <w:rPr>
                <w:rFonts w:ascii="Calibri" w:hAnsi="Calibri" w:cs="Calibri"/>
                <w:b/>
                <w:color w:val="000000"/>
              </w:rPr>
            </w:pPr>
            <w:r w:rsidRPr="00EB4298">
              <w:rPr>
                <w:rFonts w:ascii="Calibri" w:hAnsi="Calibri" w:cs="Calibri"/>
                <w:b/>
                <w:color w:val="000000"/>
                <w:sz w:val="22"/>
                <w:szCs w:val="22"/>
              </w:rPr>
              <w:t>CY 2014  Medicare A/B PMPM Payment</w:t>
            </w:r>
          </w:p>
          <w:p w:rsidR="00BE2B5B" w:rsidRPr="00EB4298" w:rsidRDefault="00BE2B5B" w:rsidP="00BE2B5B">
            <w:pPr>
              <w:autoSpaceDE w:val="0"/>
              <w:autoSpaceDN w:val="0"/>
              <w:adjustRightInd w:val="0"/>
              <w:jc w:val="center"/>
              <w:rPr>
                <w:rFonts w:ascii="Calibri" w:hAnsi="Calibri" w:cs="Calibri"/>
                <w:b/>
                <w:color w:val="000000"/>
              </w:rPr>
            </w:pPr>
          </w:p>
          <w:p w:rsidR="00BE2B5B" w:rsidRPr="00EB4298" w:rsidRDefault="00BE2B5B" w:rsidP="00BE2B5B">
            <w:pPr>
              <w:autoSpaceDE w:val="0"/>
              <w:autoSpaceDN w:val="0"/>
              <w:adjustRightInd w:val="0"/>
              <w:jc w:val="center"/>
              <w:rPr>
                <w:rFonts w:ascii="Calibri" w:hAnsi="Calibri" w:cs="Calibri"/>
                <w:b/>
                <w:color w:val="000000"/>
                <w:sz w:val="22"/>
                <w:szCs w:val="22"/>
              </w:rPr>
            </w:pPr>
            <w:r w:rsidRPr="00EB4298">
              <w:rPr>
                <w:rFonts w:ascii="Calibri" w:hAnsi="Calibri" w:cs="Calibri"/>
                <w:color w:val="000000"/>
                <w:sz w:val="22"/>
                <w:szCs w:val="22"/>
              </w:rPr>
              <w:t>(after application of 2% sequestration reduction and prior to quality withhold)</w:t>
            </w:r>
          </w:p>
        </w:tc>
        <w:tc>
          <w:tcPr>
            <w:tcW w:w="2340" w:type="dxa"/>
          </w:tcPr>
          <w:p w:rsidR="00BE2B5B" w:rsidRPr="00EB4298" w:rsidRDefault="00BE2B5B" w:rsidP="00BE2B5B">
            <w:pPr>
              <w:rPr>
                <w:rFonts w:ascii="Calibri" w:hAnsi="Calibri" w:cs="Calibri"/>
                <w:b/>
                <w:bCs/>
                <w:color w:val="000000"/>
              </w:rPr>
            </w:pPr>
            <w:r w:rsidRPr="00EB4298">
              <w:rPr>
                <w:rFonts w:ascii="Calibri" w:hAnsi="Calibri" w:cs="Calibri"/>
                <w:b/>
                <w:color w:val="000000"/>
                <w:sz w:val="22"/>
                <w:szCs w:val="22"/>
              </w:rPr>
              <w:t xml:space="preserve">CY 2014 </w:t>
            </w:r>
            <w:r w:rsidRPr="00EB4298">
              <w:rPr>
                <w:rFonts w:ascii="Calibri" w:hAnsi="Calibri" w:cs="Calibri"/>
                <w:b/>
                <w:bCs/>
                <w:color w:val="000000"/>
                <w:sz w:val="22"/>
                <w:szCs w:val="22"/>
              </w:rPr>
              <w:t xml:space="preserve"> Medicare A/B Baseline, Savings Percentage Applied</w:t>
            </w:r>
            <w:r w:rsidRPr="00EB4298">
              <w:rPr>
                <w:rFonts w:ascii="Calibri" w:hAnsi="Calibri" w:cs="Calibri"/>
                <w:b/>
                <w:bCs/>
                <w:color w:val="000000"/>
                <w:sz w:val="22"/>
                <w:szCs w:val="22"/>
              </w:rPr>
              <w:br/>
            </w:r>
            <w:r w:rsidRPr="00EB4298">
              <w:rPr>
                <w:rFonts w:ascii="Calibri" w:hAnsi="Calibri" w:cs="Calibri"/>
                <w:b/>
                <w:bCs/>
                <w:color w:val="000000"/>
                <w:sz w:val="22"/>
                <w:szCs w:val="22"/>
              </w:rPr>
              <w:br/>
            </w:r>
            <w:r w:rsidRPr="00EB4298">
              <w:rPr>
                <w:rFonts w:ascii="Calibri" w:hAnsi="Calibri" w:cs="Calibri"/>
                <w:color w:val="000000"/>
                <w:sz w:val="22"/>
                <w:szCs w:val="22"/>
              </w:rPr>
              <w:t>(after application of 1% savings percentage)</w:t>
            </w:r>
          </w:p>
        </w:tc>
        <w:tc>
          <w:tcPr>
            <w:tcW w:w="2340" w:type="dxa"/>
          </w:tcPr>
          <w:p w:rsidR="00BE2B5B" w:rsidRPr="00EB4298" w:rsidRDefault="00BE2B5B" w:rsidP="00BE2B5B">
            <w:pPr>
              <w:autoSpaceDE w:val="0"/>
              <w:autoSpaceDN w:val="0"/>
              <w:adjustRightInd w:val="0"/>
              <w:jc w:val="center"/>
              <w:rPr>
                <w:rFonts w:ascii="Calibri" w:hAnsi="Calibri" w:cs="Calibri"/>
                <w:b/>
                <w:color w:val="000000"/>
              </w:rPr>
            </w:pPr>
            <w:r w:rsidRPr="00EB4298">
              <w:rPr>
                <w:rFonts w:ascii="Calibri" w:hAnsi="Calibri" w:cs="Calibri"/>
                <w:b/>
                <w:color w:val="000000"/>
                <w:sz w:val="22"/>
                <w:szCs w:val="22"/>
              </w:rPr>
              <w:t>CY 2014  Medicare A/B PMPM Payment</w:t>
            </w:r>
          </w:p>
          <w:p w:rsidR="00BE2B5B" w:rsidRPr="00EB4298" w:rsidRDefault="00BE2B5B" w:rsidP="00BE2B5B">
            <w:pPr>
              <w:autoSpaceDE w:val="0"/>
              <w:autoSpaceDN w:val="0"/>
              <w:adjustRightInd w:val="0"/>
              <w:jc w:val="center"/>
              <w:rPr>
                <w:rFonts w:ascii="Calibri" w:hAnsi="Calibri" w:cs="Calibri"/>
                <w:b/>
                <w:color w:val="000000"/>
              </w:rPr>
            </w:pPr>
          </w:p>
          <w:p w:rsidR="00BE2B5B" w:rsidRPr="00EB4298" w:rsidRDefault="00BE2B5B" w:rsidP="00BE2B5B">
            <w:pPr>
              <w:autoSpaceDE w:val="0"/>
              <w:autoSpaceDN w:val="0"/>
              <w:adjustRightInd w:val="0"/>
              <w:jc w:val="center"/>
              <w:rPr>
                <w:rFonts w:ascii="Calibri" w:hAnsi="Calibri" w:cs="Calibri"/>
                <w:b/>
                <w:color w:val="000000"/>
                <w:sz w:val="22"/>
                <w:szCs w:val="22"/>
              </w:rPr>
            </w:pPr>
            <w:r w:rsidRPr="00EB4298">
              <w:rPr>
                <w:rFonts w:ascii="Calibri" w:hAnsi="Calibri" w:cs="Calibri"/>
                <w:color w:val="000000"/>
                <w:sz w:val="22"/>
                <w:szCs w:val="22"/>
              </w:rPr>
              <w:t>(after application of 2% sequestration reduction and prior to quality withhold)</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Essex</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912.34</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912.34</w:t>
            </w:r>
          </w:p>
        </w:tc>
        <w:tc>
          <w:tcPr>
            <w:tcW w:w="2340" w:type="dxa"/>
          </w:tcPr>
          <w:p w:rsidR="00EB4298" w:rsidRPr="006D24D4" w:rsidRDefault="00EB4298" w:rsidP="002705B8">
            <w:pPr>
              <w:jc w:val="right"/>
              <w:rPr>
                <w:rFonts w:ascii="Arial" w:hAnsi="Arial" w:cs="Arial"/>
                <w:sz w:val="20"/>
                <w:szCs w:val="20"/>
              </w:rPr>
            </w:pPr>
            <w:r w:rsidRPr="006D24D4">
              <w:rPr>
                <w:rFonts w:ascii="Arial" w:hAnsi="Arial" w:cs="Arial"/>
                <w:color w:val="000000"/>
                <w:sz w:val="20"/>
                <w:szCs w:val="20"/>
              </w:rPr>
              <w:t>894.0</w:t>
            </w:r>
            <w:r w:rsidR="002705B8" w:rsidRPr="006D24D4">
              <w:rPr>
                <w:rFonts w:ascii="Arial" w:hAnsi="Arial" w:cs="Arial"/>
                <w:color w:val="000000"/>
                <w:sz w:val="20"/>
                <w:szCs w:val="20"/>
              </w:rPr>
              <w:t>9</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903.21</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885.1</w:t>
            </w:r>
            <w:r w:rsidR="009B0696" w:rsidRPr="006D24D4">
              <w:rPr>
                <w:rFonts w:ascii="Arial" w:hAnsi="Arial" w:cs="Arial"/>
                <w:color w:val="000000"/>
                <w:sz w:val="20"/>
                <w:szCs w:val="20"/>
              </w:rPr>
              <w:t>5</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Franklin</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783.82</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783.82</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768.14</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775.9</w:t>
            </w:r>
            <w:r w:rsidR="009B0696" w:rsidRPr="006D24D4">
              <w:rPr>
                <w:rFonts w:ascii="Arial" w:hAnsi="Arial" w:cs="Arial"/>
                <w:color w:val="000000"/>
                <w:sz w:val="20"/>
                <w:szCs w:val="20"/>
              </w:rPr>
              <w:t>9</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760.4</w:t>
            </w:r>
            <w:r w:rsidR="009B0696" w:rsidRPr="006D24D4">
              <w:rPr>
                <w:rFonts w:ascii="Arial" w:hAnsi="Arial" w:cs="Arial"/>
                <w:color w:val="000000"/>
                <w:sz w:val="20"/>
                <w:szCs w:val="20"/>
              </w:rPr>
              <w:t>7</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Hampden</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817.97</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817.97</w:t>
            </w:r>
          </w:p>
        </w:tc>
        <w:tc>
          <w:tcPr>
            <w:tcW w:w="2340" w:type="dxa"/>
          </w:tcPr>
          <w:p w:rsidR="00EB4298" w:rsidRPr="006D24D4" w:rsidRDefault="00EB4298" w:rsidP="002705B8">
            <w:pPr>
              <w:jc w:val="right"/>
              <w:rPr>
                <w:rFonts w:ascii="Arial" w:hAnsi="Arial" w:cs="Arial"/>
                <w:sz w:val="20"/>
                <w:szCs w:val="20"/>
              </w:rPr>
            </w:pPr>
            <w:r w:rsidRPr="006D24D4">
              <w:rPr>
                <w:rFonts w:ascii="Arial" w:hAnsi="Arial" w:cs="Arial"/>
                <w:color w:val="000000"/>
                <w:sz w:val="20"/>
                <w:szCs w:val="20"/>
              </w:rPr>
              <w:t>801.6</w:t>
            </w:r>
            <w:r w:rsidR="002705B8" w:rsidRPr="006D24D4">
              <w:rPr>
                <w:rFonts w:ascii="Arial" w:hAnsi="Arial" w:cs="Arial"/>
                <w:color w:val="000000"/>
                <w:sz w:val="20"/>
                <w:szCs w:val="20"/>
              </w:rPr>
              <w:t>1</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809.7</w:t>
            </w:r>
            <w:r w:rsidR="009B0696" w:rsidRPr="006D24D4">
              <w:rPr>
                <w:rFonts w:ascii="Arial" w:hAnsi="Arial" w:cs="Arial"/>
                <w:color w:val="000000"/>
                <w:sz w:val="20"/>
                <w:szCs w:val="20"/>
              </w:rPr>
              <w:t>9</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793.5</w:t>
            </w:r>
            <w:r w:rsidR="009B0696" w:rsidRPr="006D24D4">
              <w:rPr>
                <w:rFonts w:ascii="Arial" w:hAnsi="Arial" w:cs="Arial"/>
                <w:color w:val="000000"/>
                <w:sz w:val="20"/>
                <w:szCs w:val="20"/>
              </w:rPr>
              <w:t>9</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Hampshire</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799.60</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799.60</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783.61</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791.6</w:t>
            </w:r>
            <w:r w:rsidR="009B0696" w:rsidRPr="006D24D4">
              <w:rPr>
                <w:rFonts w:ascii="Arial" w:hAnsi="Arial" w:cs="Arial"/>
                <w:color w:val="000000"/>
                <w:sz w:val="20"/>
                <w:szCs w:val="20"/>
              </w:rPr>
              <w:t>1</w:t>
            </w:r>
          </w:p>
        </w:tc>
        <w:tc>
          <w:tcPr>
            <w:tcW w:w="2340" w:type="dxa"/>
          </w:tcPr>
          <w:p w:rsidR="00EB4298" w:rsidRPr="006D24D4" w:rsidRDefault="00EB4298" w:rsidP="002705B8">
            <w:pPr>
              <w:jc w:val="right"/>
              <w:rPr>
                <w:rFonts w:ascii="Arial" w:hAnsi="Arial" w:cs="Arial"/>
                <w:sz w:val="20"/>
                <w:szCs w:val="20"/>
              </w:rPr>
            </w:pPr>
            <w:r w:rsidRPr="006D24D4">
              <w:rPr>
                <w:rFonts w:ascii="Arial" w:hAnsi="Arial" w:cs="Arial"/>
                <w:color w:val="000000"/>
                <w:sz w:val="20"/>
                <w:szCs w:val="20"/>
              </w:rPr>
              <w:t>775.7</w:t>
            </w:r>
            <w:r w:rsidR="002705B8" w:rsidRPr="006D24D4">
              <w:rPr>
                <w:rFonts w:ascii="Arial" w:hAnsi="Arial" w:cs="Arial"/>
                <w:color w:val="000000"/>
                <w:sz w:val="20"/>
                <w:szCs w:val="20"/>
              </w:rPr>
              <w:t>8</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Middlesex</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916.11</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916.11</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897.79</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906.9</w:t>
            </w:r>
            <w:r w:rsidR="009B0696" w:rsidRPr="006D24D4">
              <w:rPr>
                <w:rFonts w:ascii="Arial" w:hAnsi="Arial" w:cs="Arial"/>
                <w:color w:val="000000"/>
                <w:sz w:val="20"/>
                <w:szCs w:val="20"/>
              </w:rPr>
              <w:t>4</w:t>
            </w:r>
          </w:p>
        </w:tc>
        <w:tc>
          <w:tcPr>
            <w:tcW w:w="2340" w:type="dxa"/>
          </w:tcPr>
          <w:p w:rsidR="00EB4298" w:rsidRPr="006D24D4" w:rsidRDefault="00EB4298" w:rsidP="002705B8">
            <w:pPr>
              <w:jc w:val="right"/>
              <w:rPr>
                <w:rFonts w:ascii="Arial" w:hAnsi="Arial" w:cs="Arial"/>
                <w:sz w:val="20"/>
                <w:szCs w:val="20"/>
              </w:rPr>
            </w:pPr>
            <w:r w:rsidRPr="006D24D4">
              <w:rPr>
                <w:rFonts w:ascii="Arial" w:hAnsi="Arial" w:cs="Arial"/>
                <w:color w:val="000000"/>
                <w:sz w:val="20"/>
                <w:szCs w:val="20"/>
              </w:rPr>
              <w:t>888.8</w:t>
            </w:r>
            <w:r w:rsidR="002705B8" w:rsidRPr="006D24D4">
              <w:rPr>
                <w:rFonts w:ascii="Arial" w:hAnsi="Arial" w:cs="Arial"/>
                <w:color w:val="000000"/>
                <w:sz w:val="20"/>
                <w:szCs w:val="20"/>
              </w:rPr>
              <w:t>0</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Norfolk</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932.30</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932.30</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913.65</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922.98</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904.52</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Plymouth</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963.72</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963.72</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944.45</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954.0</w:t>
            </w:r>
            <w:r w:rsidR="009B0696" w:rsidRPr="006D24D4">
              <w:rPr>
                <w:rFonts w:ascii="Arial" w:hAnsi="Arial" w:cs="Arial"/>
                <w:color w:val="000000"/>
                <w:sz w:val="20"/>
                <w:szCs w:val="20"/>
              </w:rPr>
              <w:t>9</w:t>
            </w:r>
          </w:p>
        </w:tc>
        <w:tc>
          <w:tcPr>
            <w:tcW w:w="2340" w:type="dxa"/>
          </w:tcPr>
          <w:p w:rsidR="00EB4298" w:rsidRPr="006D24D4" w:rsidRDefault="00EB4298" w:rsidP="006D24D4">
            <w:pPr>
              <w:jc w:val="right"/>
              <w:rPr>
                <w:rFonts w:ascii="Arial" w:hAnsi="Arial" w:cs="Arial"/>
                <w:sz w:val="20"/>
                <w:szCs w:val="20"/>
              </w:rPr>
            </w:pPr>
            <w:r w:rsidRPr="006D24D4">
              <w:rPr>
                <w:rFonts w:ascii="Arial" w:hAnsi="Arial" w:cs="Arial"/>
                <w:color w:val="000000"/>
                <w:sz w:val="20"/>
                <w:szCs w:val="20"/>
              </w:rPr>
              <w:t>935.0</w:t>
            </w:r>
            <w:r w:rsidR="006D24D4" w:rsidRPr="006D24D4">
              <w:rPr>
                <w:rFonts w:ascii="Arial" w:hAnsi="Arial" w:cs="Arial"/>
                <w:color w:val="000000"/>
                <w:sz w:val="20"/>
                <w:szCs w:val="20"/>
              </w:rPr>
              <w:t>1</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Suffolk</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972.25</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972.25</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952.81</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962.53</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943.28</w:t>
            </w:r>
          </w:p>
        </w:tc>
      </w:tr>
      <w:tr w:rsidR="00EB4298" w:rsidRPr="00A77C54" w:rsidTr="00BE2B5B">
        <w:tc>
          <w:tcPr>
            <w:tcW w:w="2430" w:type="dxa"/>
            <w:vAlign w:val="bottom"/>
          </w:tcPr>
          <w:p w:rsidR="00EB4298" w:rsidRPr="006D24D4" w:rsidRDefault="00EB4298" w:rsidP="00BE2B5B">
            <w:pPr>
              <w:rPr>
                <w:rFonts w:ascii="Arial" w:hAnsi="Arial" w:cs="Arial"/>
                <w:color w:val="000000"/>
                <w:sz w:val="20"/>
                <w:szCs w:val="20"/>
              </w:rPr>
            </w:pPr>
            <w:r w:rsidRPr="006D24D4">
              <w:rPr>
                <w:rFonts w:ascii="Arial" w:hAnsi="Arial" w:cs="Arial"/>
                <w:color w:val="000000"/>
                <w:sz w:val="20"/>
                <w:szCs w:val="20"/>
              </w:rPr>
              <w:t>Worcester</w:t>
            </w:r>
          </w:p>
        </w:tc>
        <w:tc>
          <w:tcPr>
            <w:tcW w:w="261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894.03</w:t>
            </w:r>
          </w:p>
        </w:tc>
        <w:tc>
          <w:tcPr>
            <w:tcW w:w="216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894.03</w:t>
            </w:r>
          </w:p>
        </w:tc>
        <w:tc>
          <w:tcPr>
            <w:tcW w:w="2340" w:type="dxa"/>
          </w:tcPr>
          <w:p w:rsidR="00EB4298" w:rsidRPr="006D24D4" w:rsidRDefault="00EB4298" w:rsidP="00BE2B5B">
            <w:pPr>
              <w:jc w:val="right"/>
              <w:rPr>
                <w:rFonts w:ascii="Arial" w:hAnsi="Arial" w:cs="Arial"/>
                <w:sz w:val="20"/>
                <w:szCs w:val="20"/>
              </w:rPr>
            </w:pPr>
            <w:r w:rsidRPr="006D24D4">
              <w:rPr>
                <w:rFonts w:ascii="Arial" w:hAnsi="Arial" w:cs="Arial"/>
                <w:color w:val="000000"/>
                <w:sz w:val="20"/>
                <w:szCs w:val="20"/>
              </w:rPr>
              <w:t>876.15</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885.0</w:t>
            </w:r>
            <w:r w:rsidR="009B0696" w:rsidRPr="006D24D4">
              <w:rPr>
                <w:rFonts w:ascii="Arial" w:hAnsi="Arial" w:cs="Arial"/>
                <w:color w:val="000000"/>
                <w:sz w:val="20"/>
                <w:szCs w:val="20"/>
              </w:rPr>
              <w:t>8</w:t>
            </w:r>
          </w:p>
        </w:tc>
        <w:tc>
          <w:tcPr>
            <w:tcW w:w="2340" w:type="dxa"/>
          </w:tcPr>
          <w:p w:rsidR="00EB4298" w:rsidRPr="006D24D4" w:rsidRDefault="00EB4298" w:rsidP="009B0696">
            <w:pPr>
              <w:jc w:val="right"/>
              <w:rPr>
                <w:rFonts w:ascii="Arial" w:hAnsi="Arial" w:cs="Arial"/>
                <w:sz w:val="20"/>
                <w:szCs w:val="20"/>
              </w:rPr>
            </w:pPr>
            <w:r w:rsidRPr="006D24D4">
              <w:rPr>
                <w:rFonts w:ascii="Arial" w:hAnsi="Arial" w:cs="Arial"/>
                <w:color w:val="000000"/>
                <w:sz w:val="20"/>
                <w:szCs w:val="20"/>
              </w:rPr>
              <w:t>867.3</w:t>
            </w:r>
            <w:r w:rsidR="009B0696" w:rsidRPr="006D24D4">
              <w:rPr>
                <w:rFonts w:ascii="Arial" w:hAnsi="Arial" w:cs="Arial"/>
                <w:color w:val="000000"/>
                <w:sz w:val="20"/>
                <w:szCs w:val="20"/>
              </w:rPr>
              <w:t>8</w:t>
            </w:r>
          </w:p>
        </w:tc>
      </w:tr>
      <w:tr w:rsidR="00F51B5F" w:rsidRPr="00A77C54" w:rsidTr="00BE2B5B">
        <w:tc>
          <w:tcPr>
            <w:tcW w:w="2430" w:type="dxa"/>
            <w:vAlign w:val="bottom"/>
          </w:tcPr>
          <w:p w:rsidR="00F51B5F" w:rsidRPr="00C015EA" w:rsidRDefault="00F51B5F" w:rsidP="00BE2B5B">
            <w:pPr>
              <w:rPr>
                <w:rFonts w:ascii="Arial" w:hAnsi="Arial" w:cs="Arial"/>
                <w:color w:val="000000"/>
                <w:sz w:val="20"/>
                <w:szCs w:val="20"/>
              </w:rPr>
            </w:pPr>
          </w:p>
        </w:tc>
        <w:tc>
          <w:tcPr>
            <w:tcW w:w="2610" w:type="dxa"/>
          </w:tcPr>
          <w:p w:rsidR="00F51B5F" w:rsidRPr="00351A0C" w:rsidRDefault="00F51B5F" w:rsidP="00BE2B5B">
            <w:pPr>
              <w:jc w:val="right"/>
              <w:rPr>
                <w:rFonts w:ascii="Arial" w:hAnsi="Arial" w:cs="Arial"/>
                <w:sz w:val="20"/>
                <w:szCs w:val="20"/>
              </w:rPr>
            </w:pPr>
          </w:p>
        </w:tc>
        <w:tc>
          <w:tcPr>
            <w:tcW w:w="2160" w:type="dxa"/>
          </w:tcPr>
          <w:p w:rsidR="00F51B5F" w:rsidRPr="002705B8" w:rsidRDefault="00F51B5F" w:rsidP="00BE2B5B">
            <w:pPr>
              <w:jc w:val="right"/>
              <w:rPr>
                <w:rFonts w:ascii="Arial" w:hAnsi="Arial" w:cs="Arial"/>
                <w:sz w:val="20"/>
                <w:szCs w:val="20"/>
              </w:rPr>
            </w:pPr>
          </w:p>
        </w:tc>
        <w:tc>
          <w:tcPr>
            <w:tcW w:w="2340" w:type="dxa"/>
          </w:tcPr>
          <w:p w:rsidR="00F51B5F" w:rsidRPr="002705B8" w:rsidRDefault="00F51B5F" w:rsidP="00BE2B5B">
            <w:pPr>
              <w:jc w:val="right"/>
              <w:rPr>
                <w:rFonts w:ascii="Arial" w:hAnsi="Arial" w:cs="Arial"/>
                <w:sz w:val="20"/>
                <w:szCs w:val="20"/>
              </w:rPr>
            </w:pPr>
          </w:p>
        </w:tc>
        <w:tc>
          <w:tcPr>
            <w:tcW w:w="2340" w:type="dxa"/>
          </w:tcPr>
          <w:p w:rsidR="00F51B5F" w:rsidRPr="00C015EA" w:rsidRDefault="00F51B5F" w:rsidP="00BE2B5B">
            <w:pPr>
              <w:jc w:val="right"/>
              <w:rPr>
                <w:rFonts w:ascii="Arial" w:hAnsi="Arial" w:cs="Arial"/>
                <w:sz w:val="20"/>
                <w:szCs w:val="20"/>
              </w:rPr>
            </w:pPr>
          </w:p>
        </w:tc>
        <w:tc>
          <w:tcPr>
            <w:tcW w:w="2340" w:type="dxa"/>
          </w:tcPr>
          <w:p w:rsidR="00F51B5F" w:rsidRPr="00C015EA" w:rsidRDefault="00F51B5F" w:rsidP="00BE2B5B">
            <w:pPr>
              <w:jc w:val="right"/>
              <w:rPr>
                <w:rFonts w:ascii="Arial" w:hAnsi="Arial" w:cs="Arial"/>
                <w:sz w:val="20"/>
                <w:szCs w:val="20"/>
              </w:rPr>
            </w:pPr>
          </w:p>
        </w:tc>
      </w:tr>
    </w:tbl>
    <w:p w:rsidR="00283A75" w:rsidRPr="005F465A" w:rsidRDefault="00283A75" w:rsidP="003C322B">
      <w:pPr>
        <w:tabs>
          <w:tab w:val="left" w:pos="450"/>
        </w:tabs>
        <w:autoSpaceDE w:val="0"/>
        <w:autoSpaceDN w:val="0"/>
        <w:adjustRightInd w:val="0"/>
        <w:ind w:left="-270"/>
        <w:rPr>
          <w:rFonts w:ascii="Calibri" w:hAnsi="Calibri" w:cs="Calibri"/>
          <w:color w:val="000000"/>
          <w:sz w:val="20"/>
          <w:szCs w:val="20"/>
        </w:rPr>
      </w:pPr>
      <w:r w:rsidRPr="005F465A">
        <w:rPr>
          <w:rFonts w:ascii="Calibri" w:hAnsi="Calibri" w:cs="Calibri"/>
          <w:color w:val="000000"/>
          <w:sz w:val="20"/>
          <w:szCs w:val="20"/>
        </w:rPr>
        <w:t>Note: See subsequent table for additional detail.</w:t>
      </w:r>
    </w:p>
    <w:p w:rsidR="00283A75" w:rsidRPr="005F465A" w:rsidRDefault="00856B6D" w:rsidP="003C322B">
      <w:pPr>
        <w:tabs>
          <w:tab w:val="left" w:pos="450"/>
        </w:tabs>
        <w:autoSpaceDE w:val="0"/>
        <w:autoSpaceDN w:val="0"/>
        <w:adjustRightInd w:val="0"/>
        <w:ind w:left="-270"/>
        <w:rPr>
          <w:rFonts w:ascii="Calibri" w:hAnsi="Calibri" w:cs="Calibri"/>
          <w:sz w:val="20"/>
          <w:szCs w:val="20"/>
        </w:rPr>
      </w:pPr>
      <w:r>
        <w:rPr>
          <w:rFonts w:ascii="Calibri" w:hAnsi="Calibri" w:cs="Calibri"/>
          <w:color w:val="000000"/>
          <w:sz w:val="20"/>
          <w:szCs w:val="20"/>
        </w:rPr>
        <w:t>1</w:t>
      </w:r>
      <w:r w:rsidR="00283A75" w:rsidRPr="005F465A">
        <w:rPr>
          <w:rFonts w:ascii="Calibri" w:hAnsi="Calibri" w:cs="Calibri"/>
          <w:color w:val="000000"/>
          <w:sz w:val="20"/>
          <w:szCs w:val="20"/>
        </w:rPr>
        <w:t>Rates do not apply to beneficiaries with End-Stage Renal Disease (ESRD) or those electing the Medicare hospice benefit. S</w:t>
      </w:r>
      <w:r w:rsidR="00283A75" w:rsidRPr="005F465A">
        <w:rPr>
          <w:rFonts w:ascii="Calibri" w:hAnsi="Calibri" w:cs="Calibri"/>
          <w:sz w:val="20"/>
          <w:szCs w:val="20"/>
        </w:rPr>
        <w:t>ee Section I</w:t>
      </w:r>
      <w:r w:rsidR="00283A75">
        <w:rPr>
          <w:rFonts w:ascii="Calibri" w:hAnsi="Calibri" w:cs="Calibri"/>
          <w:sz w:val="20"/>
          <w:szCs w:val="20"/>
        </w:rPr>
        <w:t>V</w:t>
      </w:r>
      <w:r w:rsidR="00283A75" w:rsidRPr="005F465A">
        <w:rPr>
          <w:rFonts w:ascii="Calibri" w:hAnsi="Calibri" w:cs="Calibri"/>
          <w:sz w:val="20"/>
          <w:szCs w:val="20"/>
        </w:rPr>
        <w:t xml:space="preserve"> for information on savings percentages.</w:t>
      </w:r>
    </w:p>
    <w:p w:rsidR="00283A75" w:rsidRPr="00C015EA" w:rsidRDefault="00856B6D" w:rsidP="00C015EA">
      <w:pPr>
        <w:autoSpaceDE w:val="0"/>
        <w:autoSpaceDN w:val="0"/>
        <w:adjustRightInd w:val="0"/>
        <w:ind w:left="-270"/>
        <w:rPr>
          <w:rFonts w:ascii="Calibri" w:hAnsi="Calibri" w:cs="Calibri"/>
          <w:color w:val="000000"/>
          <w:sz w:val="20"/>
          <w:szCs w:val="20"/>
        </w:rPr>
      </w:pPr>
      <w:r>
        <w:rPr>
          <w:rFonts w:ascii="Calibri" w:hAnsi="Calibri" w:cs="Calibri"/>
          <w:color w:val="000000"/>
          <w:sz w:val="20"/>
          <w:szCs w:val="20"/>
        </w:rPr>
        <w:t>2</w:t>
      </w:r>
      <w:r w:rsidR="00283A75" w:rsidRPr="00C015EA">
        <w:rPr>
          <w:rFonts w:ascii="Calibri" w:hAnsi="Calibri" w:cs="Calibri"/>
          <w:color w:val="000000"/>
          <w:sz w:val="20"/>
          <w:szCs w:val="20"/>
        </w:rPr>
        <w:t>Repricing to reflect most recent current hospital wage index and physician geographic practice cost index</w:t>
      </w:r>
      <w:r w:rsidR="00D04FA6">
        <w:rPr>
          <w:rFonts w:ascii="Calibri" w:hAnsi="Calibri" w:cs="Calibri"/>
          <w:color w:val="000000"/>
          <w:sz w:val="20"/>
          <w:szCs w:val="20"/>
        </w:rPr>
        <w:t>.</w:t>
      </w:r>
    </w:p>
    <w:p w:rsidR="00283A75" w:rsidRPr="00C015EA" w:rsidRDefault="00283A75" w:rsidP="00C015EA">
      <w:pPr>
        <w:autoSpaceDE w:val="0"/>
        <w:autoSpaceDN w:val="0"/>
        <w:adjustRightInd w:val="0"/>
        <w:ind w:left="-270"/>
        <w:rPr>
          <w:rFonts w:ascii="Calibri" w:hAnsi="Calibri" w:cs="Calibri"/>
          <w:color w:val="000000"/>
          <w:sz w:val="20"/>
          <w:szCs w:val="20"/>
        </w:rPr>
      </w:pPr>
      <w:r w:rsidRPr="00C015EA">
        <w:rPr>
          <w:rFonts w:ascii="Calibri" w:hAnsi="Calibri" w:cs="Calibri"/>
          <w:color w:val="000000"/>
          <w:sz w:val="20"/>
          <w:szCs w:val="20"/>
        </w:rPr>
        <w:t>.</w:t>
      </w:r>
    </w:p>
    <w:p w:rsidR="00283A75" w:rsidRDefault="00283A75" w:rsidP="003C322B">
      <w:pPr>
        <w:autoSpaceDE w:val="0"/>
        <w:autoSpaceDN w:val="0"/>
        <w:adjustRightInd w:val="0"/>
        <w:ind w:left="-270"/>
        <w:rPr>
          <w:rFonts w:ascii="Calibri" w:hAnsi="Calibri" w:cs="Calibri"/>
          <w:color w:val="000000"/>
          <w:sz w:val="20"/>
          <w:szCs w:val="20"/>
        </w:rPr>
        <w:sectPr w:rsidR="00283A75" w:rsidSect="00BE2B5B">
          <w:pgSz w:w="15840" w:h="12240" w:orient="landscape"/>
          <w:pgMar w:top="1800" w:right="1980" w:bottom="1440" w:left="1260" w:header="720" w:footer="720" w:gutter="0"/>
          <w:cols w:space="720"/>
          <w:docGrid w:linePitch="360"/>
        </w:sectPr>
      </w:pPr>
    </w:p>
    <w:tbl>
      <w:tblPr>
        <w:tblpPr w:leftFromText="180" w:rightFromText="180" w:vertAnchor="text" w:horzAnchor="margin" w:tblpY="200"/>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260"/>
        <w:gridCol w:w="1080"/>
        <w:gridCol w:w="1350"/>
        <w:gridCol w:w="1350"/>
        <w:gridCol w:w="1710"/>
        <w:gridCol w:w="1530"/>
        <w:gridCol w:w="1350"/>
        <w:gridCol w:w="1890"/>
      </w:tblGrid>
      <w:tr w:rsidR="00283A75" w:rsidRPr="00A77C54" w:rsidTr="00856B6D">
        <w:trPr>
          <w:trHeight w:val="260"/>
        </w:trPr>
        <w:tc>
          <w:tcPr>
            <w:tcW w:w="12888" w:type="dxa"/>
            <w:gridSpan w:val="9"/>
            <w:shd w:val="pct15" w:color="auto" w:fill="auto"/>
          </w:tcPr>
          <w:p w:rsidR="00283A75" w:rsidRPr="00A77C54" w:rsidRDefault="00283A75" w:rsidP="004D6FAF">
            <w:pPr>
              <w:autoSpaceDE w:val="0"/>
              <w:autoSpaceDN w:val="0"/>
              <w:adjustRightInd w:val="0"/>
              <w:rPr>
                <w:rFonts w:ascii="Calibri" w:hAnsi="Calibri" w:cs="Calibri"/>
                <w:b/>
                <w:color w:val="000000"/>
              </w:rPr>
            </w:pPr>
            <w:r>
              <w:rPr>
                <w:rFonts w:ascii="Calibri" w:hAnsi="Calibri" w:cs="Calibri"/>
                <w:b/>
                <w:color w:val="000000"/>
                <w:sz w:val="22"/>
                <w:szCs w:val="22"/>
              </w:rPr>
              <w:lastRenderedPageBreak/>
              <w:t>CY 2014</w:t>
            </w:r>
            <w:r w:rsidRPr="00A77C54">
              <w:rPr>
                <w:rFonts w:ascii="Calibri" w:hAnsi="Calibri" w:cs="Calibri"/>
                <w:b/>
                <w:color w:val="000000"/>
                <w:sz w:val="22"/>
                <w:szCs w:val="22"/>
              </w:rPr>
              <w:t xml:space="preserve"> Medicare </w:t>
            </w:r>
            <w:r w:rsidRPr="00C25646">
              <w:rPr>
                <w:rFonts w:ascii="Calibri" w:hAnsi="Calibri" w:cs="Calibri"/>
                <w:b/>
                <w:color w:val="000000"/>
                <w:sz w:val="22"/>
                <w:szCs w:val="22"/>
              </w:rPr>
              <w:t>A/B Baseline PMPM, Non-ESRD Beneficiaries, Standardized 1.0 Risk Score, by Demonstration County (Additional Detail)</w:t>
            </w:r>
            <w:r w:rsidR="00856B6D" w:rsidRPr="00C25646">
              <w:rPr>
                <w:rFonts w:ascii="Calibri" w:hAnsi="Calibri" w:cs="Calibri"/>
                <w:b/>
                <w:color w:val="000000"/>
                <w:sz w:val="22"/>
                <w:szCs w:val="22"/>
                <w:vertAlign w:val="superscript"/>
              </w:rPr>
              <w:t>1</w:t>
            </w:r>
            <w:r w:rsidR="00C25646" w:rsidRPr="00C25646">
              <w:rPr>
                <w:rFonts w:ascii="Calibri" w:hAnsi="Calibri" w:cs="Calibri"/>
                <w:b/>
                <w:color w:val="000000"/>
                <w:sz w:val="22"/>
                <w:szCs w:val="22"/>
              </w:rPr>
              <w:t>, January through March 2014</w:t>
            </w:r>
          </w:p>
        </w:tc>
      </w:tr>
      <w:tr w:rsidR="00856B6D" w:rsidRPr="005F465A" w:rsidTr="00856B6D">
        <w:trPr>
          <w:trHeight w:val="1430"/>
        </w:trPr>
        <w:tc>
          <w:tcPr>
            <w:tcW w:w="1368" w:type="dxa"/>
          </w:tcPr>
          <w:p w:rsidR="00283A75" w:rsidRPr="005F465A" w:rsidRDefault="00283A75" w:rsidP="003C322B">
            <w:pPr>
              <w:rPr>
                <w:rFonts w:ascii="Calibri" w:hAnsi="Calibri" w:cs="Calibri"/>
                <w:b/>
                <w:bCs/>
                <w:color w:val="000000"/>
              </w:rPr>
            </w:pPr>
            <w:r w:rsidRPr="005F465A">
              <w:rPr>
                <w:rFonts w:ascii="Calibri" w:hAnsi="Calibri" w:cs="Calibri"/>
                <w:b/>
                <w:bCs/>
                <w:color w:val="000000"/>
                <w:sz w:val="22"/>
                <w:szCs w:val="22"/>
              </w:rPr>
              <w:t>County</w:t>
            </w:r>
          </w:p>
        </w:tc>
        <w:tc>
          <w:tcPr>
            <w:tcW w:w="1260" w:type="dxa"/>
          </w:tcPr>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CY 2014 Published FFS Standardized County Rate</w:t>
            </w:r>
          </w:p>
        </w:tc>
        <w:tc>
          <w:tcPr>
            <w:tcW w:w="1080" w:type="dxa"/>
          </w:tcPr>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CY 2014 Percentage Update for Re-pricing</w:t>
            </w:r>
          </w:p>
          <w:p w:rsidR="00283A75" w:rsidRPr="00856B6D" w:rsidRDefault="00283A75" w:rsidP="003C322B">
            <w:pPr>
              <w:rPr>
                <w:rFonts w:ascii="Calibri" w:hAnsi="Calibri" w:cs="Calibri"/>
                <w:color w:val="000000"/>
                <w:sz w:val="18"/>
                <w:szCs w:val="18"/>
              </w:rPr>
            </w:pPr>
          </w:p>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(county-specific)</w:t>
            </w:r>
          </w:p>
        </w:tc>
        <w:tc>
          <w:tcPr>
            <w:tcW w:w="1350" w:type="dxa"/>
          </w:tcPr>
          <w:p w:rsidR="00856B6D" w:rsidRDefault="00283A75" w:rsidP="003C322B">
            <w:pPr>
              <w:rPr>
                <w:rFonts w:ascii="Calibri" w:hAnsi="Calibri" w:cs="Calibri"/>
                <w:color w:val="000000"/>
                <w:sz w:val="18"/>
                <w:szCs w:val="18"/>
              </w:rPr>
            </w:pPr>
            <w:r w:rsidRPr="00856B6D">
              <w:rPr>
                <w:rFonts w:ascii="Calibri" w:hAnsi="Calibri" w:cs="Calibri"/>
                <w:color w:val="000000"/>
                <w:sz w:val="18"/>
                <w:szCs w:val="18"/>
              </w:rPr>
              <w:t xml:space="preserve">CY 2014 Medicare A/B </w:t>
            </w:r>
          </w:p>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FFS Re-Priced Baseline</w:t>
            </w:r>
          </w:p>
          <w:p w:rsidR="00283A75" w:rsidRPr="00856B6D" w:rsidRDefault="00283A75" w:rsidP="003C322B">
            <w:pPr>
              <w:rPr>
                <w:rFonts w:ascii="Calibri" w:hAnsi="Calibri" w:cs="Calibri"/>
                <w:color w:val="000000"/>
                <w:sz w:val="18"/>
                <w:szCs w:val="18"/>
              </w:rPr>
            </w:pPr>
          </w:p>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(updated to incorporate repricing)</w:t>
            </w:r>
          </w:p>
        </w:tc>
        <w:tc>
          <w:tcPr>
            <w:tcW w:w="1350" w:type="dxa"/>
          </w:tcPr>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CY 2014 Medicare FFS A/B Baseline</w:t>
            </w:r>
          </w:p>
          <w:p w:rsidR="00283A75" w:rsidRPr="00856B6D" w:rsidRDefault="00283A75" w:rsidP="003C322B">
            <w:pPr>
              <w:rPr>
                <w:rFonts w:ascii="Calibri" w:hAnsi="Calibri" w:cs="Calibri"/>
                <w:color w:val="000000"/>
                <w:sz w:val="18"/>
                <w:szCs w:val="18"/>
              </w:rPr>
            </w:pPr>
          </w:p>
          <w:p w:rsidR="00283A75" w:rsidRPr="00856B6D" w:rsidRDefault="00283A75" w:rsidP="00F92A40">
            <w:pPr>
              <w:rPr>
                <w:rFonts w:ascii="Calibri" w:hAnsi="Calibri" w:cs="Calibri"/>
                <w:color w:val="000000"/>
                <w:sz w:val="18"/>
                <w:szCs w:val="18"/>
              </w:rPr>
            </w:pPr>
            <w:r w:rsidRPr="00856B6D">
              <w:rPr>
                <w:rFonts w:ascii="Calibri" w:hAnsi="Calibri" w:cs="Calibri"/>
                <w:color w:val="000000"/>
                <w:sz w:val="18"/>
                <w:szCs w:val="18"/>
              </w:rPr>
              <w:t xml:space="preserve">(updated by  </w:t>
            </w:r>
            <w:r w:rsidR="00F92A40" w:rsidRPr="00856B6D">
              <w:rPr>
                <w:rFonts w:ascii="Calibri" w:hAnsi="Calibri" w:cs="Calibri"/>
                <w:color w:val="000000"/>
                <w:sz w:val="18"/>
                <w:szCs w:val="18"/>
              </w:rPr>
              <w:t xml:space="preserve">1.89% </w:t>
            </w:r>
            <w:r w:rsidRPr="00856B6D">
              <w:rPr>
                <w:rFonts w:ascii="Calibri" w:hAnsi="Calibri" w:cs="Calibri"/>
                <w:color w:val="000000"/>
                <w:sz w:val="18"/>
                <w:szCs w:val="18"/>
              </w:rPr>
              <w:t xml:space="preserve"> bad debt adjustment)</w:t>
            </w:r>
          </w:p>
        </w:tc>
        <w:tc>
          <w:tcPr>
            <w:tcW w:w="1710" w:type="dxa"/>
          </w:tcPr>
          <w:p w:rsidR="00283A75" w:rsidRPr="00856B6D" w:rsidRDefault="00283A75" w:rsidP="00856B6D">
            <w:pPr>
              <w:rPr>
                <w:rFonts w:ascii="Calibri" w:hAnsi="Calibri" w:cs="Calibri"/>
                <w:color w:val="000000"/>
                <w:sz w:val="18"/>
                <w:szCs w:val="18"/>
              </w:rPr>
            </w:pPr>
            <w:r w:rsidRPr="00856B6D">
              <w:rPr>
                <w:rFonts w:ascii="Calibri" w:hAnsi="Calibri" w:cs="Calibri"/>
                <w:color w:val="000000"/>
                <w:sz w:val="18"/>
                <w:szCs w:val="18"/>
              </w:rPr>
              <w:t>CY 2014</w:t>
            </w:r>
            <w:r w:rsidRPr="00856B6D">
              <w:rPr>
                <w:rFonts w:ascii="Calibri" w:hAnsi="Calibri" w:cs="Calibri"/>
                <w:sz w:val="18"/>
                <w:szCs w:val="18"/>
              </w:rPr>
              <w:t xml:space="preserve"> Medicare FFS Final A/B Baseline</w:t>
            </w:r>
            <w:r w:rsidRPr="00856B6D">
              <w:rPr>
                <w:rFonts w:ascii="Calibri" w:hAnsi="Calibri" w:cs="Calibri"/>
                <w:bCs/>
                <w:color w:val="FF0000"/>
                <w:sz w:val="18"/>
                <w:szCs w:val="18"/>
              </w:rPr>
              <w:br/>
            </w:r>
            <w:r w:rsidRPr="00856B6D">
              <w:rPr>
                <w:rFonts w:ascii="Calibri" w:hAnsi="Calibri" w:cs="Calibri"/>
                <w:bCs/>
                <w:color w:val="FF0000"/>
                <w:sz w:val="18"/>
                <w:szCs w:val="18"/>
              </w:rPr>
              <w:br/>
            </w:r>
            <w:r w:rsidRPr="00856B6D">
              <w:rPr>
                <w:rFonts w:ascii="Calibri" w:hAnsi="Calibri" w:cs="Calibri"/>
                <w:sz w:val="18"/>
                <w:szCs w:val="18"/>
              </w:rPr>
              <w:t>(increased to offset application of coding intensity adjustment factor in CY 2014)</w:t>
            </w:r>
            <w:r w:rsidR="00856B6D" w:rsidRPr="00856B6D">
              <w:rPr>
                <w:rFonts w:ascii="Calibri" w:hAnsi="Calibri" w:cs="Calibri"/>
                <w:sz w:val="18"/>
                <w:szCs w:val="18"/>
                <w:vertAlign w:val="superscript"/>
              </w:rPr>
              <w:t>2</w:t>
            </w:r>
          </w:p>
        </w:tc>
        <w:tc>
          <w:tcPr>
            <w:tcW w:w="1530" w:type="dxa"/>
          </w:tcPr>
          <w:p w:rsidR="00283A75" w:rsidRPr="00856B6D" w:rsidRDefault="00283A75" w:rsidP="003C322B">
            <w:pPr>
              <w:rPr>
                <w:rFonts w:ascii="Calibri" w:hAnsi="Calibri" w:cs="Calibri"/>
                <w:color w:val="000000"/>
                <w:sz w:val="18"/>
                <w:szCs w:val="18"/>
              </w:rPr>
            </w:pPr>
            <w:r w:rsidRPr="00856B6D">
              <w:rPr>
                <w:rFonts w:ascii="Calibri" w:hAnsi="Calibri" w:cs="Calibri"/>
                <w:color w:val="000000"/>
                <w:sz w:val="18"/>
                <w:szCs w:val="18"/>
              </w:rPr>
              <w:t>CY 2014</w:t>
            </w:r>
            <w:r w:rsidR="00F92A40" w:rsidRPr="00856B6D">
              <w:rPr>
                <w:rFonts w:ascii="Calibri" w:hAnsi="Calibri" w:cs="Calibri"/>
                <w:color w:val="000000"/>
                <w:sz w:val="18"/>
                <w:szCs w:val="18"/>
              </w:rPr>
              <w:t xml:space="preserve"> </w:t>
            </w:r>
            <w:r w:rsidRPr="00856B6D">
              <w:rPr>
                <w:rFonts w:ascii="Calibri" w:hAnsi="Calibri" w:cs="Calibri"/>
                <w:color w:val="000000"/>
                <w:sz w:val="18"/>
                <w:szCs w:val="18"/>
              </w:rPr>
              <w:t xml:space="preserve">Updated Medicare A/B Baseline </w:t>
            </w:r>
          </w:p>
          <w:p w:rsidR="00283A75" w:rsidRPr="00856B6D" w:rsidRDefault="00283A75" w:rsidP="003C322B">
            <w:pPr>
              <w:rPr>
                <w:rFonts w:ascii="Calibri" w:hAnsi="Calibri" w:cs="Calibri"/>
                <w:color w:val="000000"/>
                <w:sz w:val="18"/>
                <w:szCs w:val="18"/>
              </w:rPr>
            </w:pPr>
          </w:p>
          <w:p w:rsidR="00283A75" w:rsidRPr="00856B6D" w:rsidRDefault="00283A75" w:rsidP="008E5006">
            <w:pPr>
              <w:rPr>
                <w:rFonts w:ascii="Calibri" w:hAnsi="Calibri" w:cs="Calibri"/>
                <w:color w:val="000000"/>
                <w:sz w:val="18"/>
                <w:szCs w:val="18"/>
              </w:rPr>
            </w:pPr>
            <w:r w:rsidRPr="00856B6D">
              <w:rPr>
                <w:rFonts w:ascii="Calibri" w:hAnsi="Calibri" w:cs="Calibri"/>
                <w:color w:val="000000"/>
                <w:sz w:val="18"/>
                <w:szCs w:val="18"/>
              </w:rPr>
              <w:t>(incorporating Final Medicare A/B FFS baseline and Medicare Advantage component)</w:t>
            </w:r>
          </w:p>
        </w:tc>
        <w:tc>
          <w:tcPr>
            <w:tcW w:w="1350" w:type="dxa"/>
          </w:tcPr>
          <w:p w:rsidR="00283A75" w:rsidRDefault="00283A75" w:rsidP="00856B6D">
            <w:pPr>
              <w:autoSpaceDE w:val="0"/>
              <w:autoSpaceDN w:val="0"/>
              <w:adjustRightInd w:val="0"/>
              <w:jc w:val="center"/>
              <w:rPr>
                <w:rFonts w:ascii="Calibri" w:hAnsi="Calibri" w:cs="Calibri"/>
                <w:color w:val="000000"/>
                <w:sz w:val="18"/>
                <w:szCs w:val="18"/>
              </w:rPr>
            </w:pPr>
            <w:r w:rsidRPr="00856B6D">
              <w:rPr>
                <w:rFonts w:ascii="Calibri" w:hAnsi="Calibri" w:cs="Calibri"/>
                <w:color w:val="000000"/>
                <w:sz w:val="18"/>
                <w:szCs w:val="18"/>
              </w:rPr>
              <w:t>CY 2014</w:t>
            </w:r>
            <w:r w:rsidRPr="00856B6D">
              <w:rPr>
                <w:rFonts w:ascii="Calibri" w:hAnsi="Calibri" w:cs="Calibri"/>
                <w:bCs/>
                <w:color w:val="000000"/>
                <w:sz w:val="18"/>
                <w:szCs w:val="18"/>
              </w:rPr>
              <w:t xml:space="preserve"> Medicare A/B Baseline, </w:t>
            </w:r>
            <w:r w:rsidR="00856B6D" w:rsidRPr="00856B6D">
              <w:rPr>
                <w:rFonts w:ascii="Calibri" w:hAnsi="Calibri" w:cs="Calibri"/>
                <w:bCs/>
                <w:color w:val="000000"/>
                <w:sz w:val="18"/>
                <w:szCs w:val="18"/>
              </w:rPr>
              <w:t xml:space="preserve">No </w:t>
            </w:r>
            <w:r w:rsidRPr="00856B6D">
              <w:rPr>
                <w:rFonts w:ascii="Calibri" w:hAnsi="Calibri" w:cs="Calibri"/>
                <w:bCs/>
                <w:color w:val="000000"/>
                <w:sz w:val="18"/>
                <w:szCs w:val="18"/>
              </w:rPr>
              <w:t>Savings Percentage Applied</w:t>
            </w:r>
            <w:r w:rsidRPr="00856B6D">
              <w:rPr>
                <w:rFonts w:ascii="Calibri" w:hAnsi="Calibri" w:cs="Calibri"/>
                <w:bCs/>
                <w:color w:val="000000"/>
                <w:sz w:val="18"/>
                <w:szCs w:val="18"/>
              </w:rPr>
              <w:br/>
            </w:r>
          </w:p>
          <w:p w:rsidR="00C25646" w:rsidRDefault="00C25646" w:rsidP="00856B6D">
            <w:pPr>
              <w:autoSpaceDE w:val="0"/>
              <w:autoSpaceDN w:val="0"/>
              <w:adjustRightInd w:val="0"/>
              <w:jc w:val="center"/>
              <w:rPr>
                <w:rFonts w:ascii="Calibri" w:hAnsi="Calibri" w:cs="Calibri"/>
                <w:color w:val="000000"/>
                <w:sz w:val="18"/>
                <w:szCs w:val="18"/>
              </w:rPr>
            </w:pPr>
          </w:p>
          <w:p w:rsidR="00C25646" w:rsidRPr="00856B6D" w:rsidRDefault="00C25646" w:rsidP="00856B6D">
            <w:pPr>
              <w:autoSpaceDE w:val="0"/>
              <w:autoSpaceDN w:val="0"/>
              <w:adjustRightInd w:val="0"/>
              <w:jc w:val="center"/>
              <w:rPr>
                <w:rFonts w:ascii="Calibri" w:hAnsi="Calibri" w:cs="Calibri"/>
                <w:color w:val="000000"/>
                <w:sz w:val="18"/>
                <w:szCs w:val="18"/>
              </w:rPr>
            </w:pPr>
            <w:r w:rsidRPr="00C25646">
              <w:rPr>
                <w:rFonts w:ascii="Calibri" w:hAnsi="Calibri" w:cs="Calibri"/>
                <w:color w:val="000000"/>
                <w:sz w:val="18"/>
                <w:szCs w:val="18"/>
              </w:rPr>
              <w:t>January to March 2014</w:t>
            </w:r>
          </w:p>
        </w:tc>
        <w:tc>
          <w:tcPr>
            <w:tcW w:w="1890" w:type="dxa"/>
          </w:tcPr>
          <w:p w:rsidR="00283A75" w:rsidRDefault="00283A75" w:rsidP="003C322B">
            <w:pPr>
              <w:autoSpaceDE w:val="0"/>
              <w:autoSpaceDN w:val="0"/>
              <w:adjustRightInd w:val="0"/>
              <w:jc w:val="center"/>
              <w:rPr>
                <w:rFonts w:ascii="Calibri" w:hAnsi="Calibri" w:cs="Calibri"/>
                <w:color w:val="000000"/>
                <w:sz w:val="18"/>
                <w:szCs w:val="18"/>
              </w:rPr>
            </w:pPr>
            <w:r w:rsidRPr="00856B6D">
              <w:rPr>
                <w:rFonts w:ascii="Calibri" w:hAnsi="Calibri" w:cs="Calibri"/>
                <w:color w:val="000000"/>
                <w:sz w:val="18"/>
                <w:szCs w:val="18"/>
              </w:rPr>
              <w:t xml:space="preserve">CY 2014 Medicare A/B PMPM Payment </w:t>
            </w:r>
            <w:r w:rsidRPr="00856B6D">
              <w:rPr>
                <w:rFonts w:ascii="Calibri" w:hAnsi="Calibri" w:cs="Calibri"/>
                <w:color w:val="000000"/>
                <w:sz w:val="18"/>
                <w:szCs w:val="18"/>
              </w:rPr>
              <w:br/>
            </w:r>
            <w:r w:rsidRPr="00856B6D">
              <w:rPr>
                <w:rFonts w:ascii="Calibri" w:hAnsi="Calibri" w:cs="Calibri"/>
                <w:color w:val="000000"/>
                <w:sz w:val="18"/>
                <w:szCs w:val="18"/>
              </w:rPr>
              <w:br/>
              <w:t>(2% sequestration reduction applied and prior to quality withhold)</w:t>
            </w:r>
          </w:p>
          <w:p w:rsidR="00C25646" w:rsidRDefault="00C25646" w:rsidP="003C322B">
            <w:pPr>
              <w:autoSpaceDE w:val="0"/>
              <w:autoSpaceDN w:val="0"/>
              <w:adjustRightInd w:val="0"/>
              <w:jc w:val="center"/>
              <w:rPr>
                <w:rFonts w:ascii="Calibri" w:hAnsi="Calibri" w:cs="Calibri"/>
                <w:color w:val="000000"/>
                <w:sz w:val="18"/>
                <w:szCs w:val="18"/>
              </w:rPr>
            </w:pPr>
          </w:p>
          <w:p w:rsidR="00C25646" w:rsidRPr="00856B6D" w:rsidRDefault="00C25646" w:rsidP="003C322B">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J</w:t>
            </w:r>
            <w:r w:rsidRPr="00C25646">
              <w:rPr>
                <w:rFonts w:ascii="Calibri" w:hAnsi="Calibri" w:cs="Calibri"/>
                <w:color w:val="000000"/>
                <w:sz w:val="18"/>
                <w:szCs w:val="18"/>
              </w:rPr>
              <w:t>anuary to March 2014</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Essex</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839.57</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1.45%</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851.72</w:t>
            </w:r>
          </w:p>
        </w:tc>
        <w:tc>
          <w:tcPr>
            <w:tcW w:w="1350" w:type="dxa"/>
          </w:tcPr>
          <w:p w:rsidR="00CD304B" w:rsidRPr="006D24D4" w:rsidRDefault="00CD304B" w:rsidP="005D02C0">
            <w:pPr>
              <w:jc w:val="right"/>
            </w:pPr>
            <w:r w:rsidRPr="006D24D4">
              <w:rPr>
                <w:rFonts w:ascii="Arial" w:hAnsi="Arial" w:cs="Arial"/>
                <w:sz w:val="20"/>
                <w:szCs w:val="20"/>
              </w:rPr>
              <w:t>867.82</w:t>
            </w:r>
          </w:p>
        </w:tc>
        <w:tc>
          <w:tcPr>
            <w:tcW w:w="1710" w:type="dxa"/>
          </w:tcPr>
          <w:p w:rsidR="00CD304B" w:rsidRPr="006D24D4" w:rsidRDefault="00CD304B" w:rsidP="005D02C0">
            <w:pPr>
              <w:jc w:val="right"/>
            </w:pPr>
            <w:r w:rsidRPr="006D24D4">
              <w:rPr>
                <w:rFonts w:ascii="Arial" w:hAnsi="Arial" w:cs="Arial"/>
                <w:sz w:val="20"/>
                <w:szCs w:val="20"/>
              </w:rPr>
              <w:t>912.63</w:t>
            </w:r>
          </w:p>
        </w:tc>
        <w:tc>
          <w:tcPr>
            <w:tcW w:w="1530" w:type="dxa"/>
          </w:tcPr>
          <w:p w:rsidR="00CD304B" w:rsidRPr="006D24D4" w:rsidRDefault="00CD304B" w:rsidP="005D02C0">
            <w:pPr>
              <w:jc w:val="right"/>
            </w:pPr>
            <w:r w:rsidRPr="006D24D4">
              <w:rPr>
                <w:rFonts w:ascii="Arial" w:hAnsi="Arial" w:cs="Arial"/>
                <w:color w:val="000000"/>
                <w:sz w:val="20"/>
                <w:szCs w:val="20"/>
              </w:rPr>
              <w:t>912.34</w:t>
            </w:r>
          </w:p>
        </w:tc>
        <w:tc>
          <w:tcPr>
            <w:tcW w:w="1350" w:type="dxa"/>
          </w:tcPr>
          <w:p w:rsidR="00CD304B" w:rsidRPr="006D24D4" w:rsidRDefault="00CD304B" w:rsidP="005D02C0">
            <w:pPr>
              <w:jc w:val="right"/>
            </w:pPr>
            <w:r w:rsidRPr="006D24D4">
              <w:rPr>
                <w:rFonts w:ascii="Arial" w:hAnsi="Arial" w:cs="Arial"/>
                <w:color w:val="000000"/>
                <w:sz w:val="20"/>
                <w:szCs w:val="20"/>
              </w:rPr>
              <w:t>912.34</w:t>
            </w:r>
          </w:p>
        </w:tc>
        <w:tc>
          <w:tcPr>
            <w:tcW w:w="1890" w:type="dxa"/>
          </w:tcPr>
          <w:p w:rsidR="00CD304B" w:rsidRPr="006D24D4" w:rsidRDefault="00CD304B" w:rsidP="00F36947">
            <w:pPr>
              <w:jc w:val="right"/>
            </w:pPr>
            <w:r w:rsidRPr="006D24D4">
              <w:rPr>
                <w:rFonts w:ascii="Arial" w:hAnsi="Arial" w:cs="Arial"/>
                <w:color w:val="000000"/>
                <w:sz w:val="20"/>
                <w:szCs w:val="20"/>
              </w:rPr>
              <w:t>894.0</w:t>
            </w:r>
            <w:r w:rsidR="00F36947" w:rsidRPr="006D24D4">
              <w:rPr>
                <w:rFonts w:ascii="Arial" w:hAnsi="Arial" w:cs="Arial"/>
                <w:color w:val="000000"/>
                <w:sz w:val="20"/>
                <w:szCs w:val="20"/>
              </w:rPr>
              <w:t>9</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Franklin</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713.21</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2.53%</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731.24</w:t>
            </w:r>
          </w:p>
        </w:tc>
        <w:tc>
          <w:tcPr>
            <w:tcW w:w="1350" w:type="dxa"/>
          </w:tcPr>
          <w:p w:rsidR="00CD304B" w:rsidRPr="006D24D4" w:rsidRDefault="00CD304B" w:rsidP="005D02C0">
            <w:pPr>
              <w:jc w:val="right"/>
            </w:pPr>
            <w:r w:rsidRPr="006D24D4">
              <w:rPr>
                <w:rFonts w:ascii="Arial" w:hAnsi="Arial" w:cs="Arial"/>
                <w:sz w:val="20"/>
                <w:szCs w:val="20"/>
              </w:rPr>
              <w:t>745.07</w:t>
            </w:r>
          </w:p>
        </w:tc>
        <w:tc>
          <w:tcPr>
            <w:tcW w:w="1710" w:type="dxa"/>
          </w:tcPr>
          <w:p w:rsidR="00CD304B" w:rsidRPr="006D24D4" w:rsidRDefault="00CD304B" w:rsidP="005D02C0">
            <w:pPr>
              <w:jc w:val="right"/>
            </w:pPr>
            <w:r w:rsidRPr="006D24D4">
              <w:rPr>
                <w:rFonts w:ascii="Arial" w:hAnsi="Arial" w:cs="Arial"/>
                <w:sz w:val="20"/>
                <w:szCs w:val="20"/>
              </w:rPr>
              <w:t>783.54</w:t>
            </w:r>
          </w:p>
        </w:tc>
        <w:tc>
          <w:tcPr>
            <w:tcW w:w="1530" w:type="dxa"/>
          </w:tcPr>
          <w:p w:rsidR="00CD304B" w:rsidRPr="006D24D4" w:rsidRDefault="00CD304B" w:rsidP="005D02C0">
            <w:pPr>
              <w:jc w:val="right"/>
            </w:pPr>
            <w:r w:rsidRPr="006D24D4">
              <w:rPr>
                <w:rFonts w:ascii="Arial" w:hAnsi="Arial" w:cs="Arial"/>
                <w:color w:val="000000"/>
                <w:sz w:val="20"/>
                <w:szCs w:val="20"/>
              </w:rPr>
              <w:t>783.82</w:t>
            </w:r>
          </w:p>
        </w:tc>
        <w:tc>
          <w:tcPr>
            <w:tcW w:w="1350" w:type="dxa"/>
          </w:tcPr>
          <w:p w:rsidR="00CD304B" w:rsidRPr="006D24D4" w:rsidRDefault="00CD304B" w:rsidP="005D02C0">
            <w:pPr>
              <w:jc w:val="right"/>
            </w:pPr>
            <w:r w:rsidRPr="006D24D4">
              <w:rPr>
                <w:rFonts w:ascii="Arial" w:hAnsi="Arial" w:cs="Arial"/>
                <w:color w:val="000000"/>
                <w:sz w:val="20"/>
                <w:szCs w:val="20"/>
              </w:rPr>
              <w:t>783.82</w:t>
            </w:r>
          </w:p>
        </w:tc>
        <w:tc>
          <w:tcPr>
            <w:tcW w:w="1890" w:type="dxa"/>
          </w:tcPr>
          <w:p w:rsidR="00CD304B" w:rsidRPr="006D24D4" w:rsidRDefault="00CD304B" w:rsidP="005D02C0">
            <w:pPr>
              <w:jc w:val="right"/>
            </w:pPr>
            <w:r w:rsidRPr="006D24D4">
              <w:rPr>
                <w:rFonts w:ascii="Arial" w:hAnsi="Arial" w:cs="Arial"/>
                <w:color w:val="000000"/>
                <w:sz w:val="20"/>
                <w:szCs w:val="20"/>
              </w:rPr>
              <w:t>768.14</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Hampden</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743.18</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2.72%</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763.36</w:t>
            </w:r>
          </w:p>
        </w:tc>
        <w:tc>
          <w:tcPr>
            <w:tcW w:w="1350" w:type="dxa"/>
          </w:tcPr>
          <w:p w:rsidR="00CD304B" w:rsidRPr="006D24D4" w:rsidRDefault="00CD304B" w:rsidP="005D02C0">
            <w:pPr>
              <w:jc w:val="right"/>
            </w:pPr>
            <w:r w:rsidRPr="006D24D4">
              <w:rPr>
                <w:rFonts w:ascii="Arial" w:hAnsi="Arial" w:cs="Arial"/>
                <w:sz w:val="20"/>
                <w:szCs w:val="20"/>
              </w:rPr>
              <w:t>777.79</w:t>
            </w:r>
          </w:p>
        </w:tc>
        <w:tc>
          <w:tcPr>
            <w:tcW w:w="1710" w:type="dxa"/>
          </w:tcPr>
          <w:p w:rsidR="00CD304B" w:rsidRPr="006D24D4" w:rsidRDefault="00CD304B" w:rsidP="005D02C0">
            <w:pPr>
              <w:jc w:val="right"/>
            </w:pPr>
            <w:r w:rsidRPr="006D24D4">
              <w:rPr>
                <w:rFonts w:ascii="Arial" w:hAnsi="Arial" w:cs="Arial"/>
                <w:sz w:val="20"/>
                <w:szCs w:val="20"/>
              </w:rPr>
              <w:t>817.95</w:t>
            </w:r>
          </w:p>
        </w:tc>
        <w:tc>
          <w:tcPr>
            <w:tcW w:w="1530" w:type="dxa"/>
          </w:tcPr>
          <w:p w:rsidR="00CD304B" w:rsidRPr="006D24D4" w:rsidRDefault="00CD304B" w:rsidP="005D02C0">
            <w:pPr>
              <w:jc w:val="right"/>
            </w:pPr>
            <w:r w:rsidRPr="006D24D4">
              <w:rPr>
                <w:rFonts w:ascii="Arial" w:hAnsi="Arial" w:cs="Arial"/>
                <w:color w:val="000000"/>
                <w:sz w:val="20"/>
                <w:szCs w:val="20"/>
              </w:rPr>
              <w:t>817.97</w:t>
            </w:r>
          </w:p>
        </w:tc>
        <w:tc>
          <w:tcPr>
            <w:tcW w:w="1350" w:type="dxa"/>
          </w:tcPr>
          <w:p w:rsidR="00CD304B" w:rsidRPr="006D24D4" w:rsidRDefault="00CD304B" w:rsidP="005D02C0">
            <w:pPr>
              <w:jc w:val="right"/>
            </w:pPr>
            <w:r w:rsidRPr="006D24D4">
              <w:rPr>
                <w:rFonts w:ascii="Arial" w:hAnsi="Arial" w:cs="Arial"/>
                <w:color w:val="000000"/>
                <w:sz w:val="20"/>
                <w:szCs w:val="20"/>
              </w:rPr>
              <w:t>817.97</w:t>
            </w:r>
          </w:p>
        </w:tc>
        <w:tc>
          <w:tcPr>
            <w:tcW w:w="1890" w:type="dxa"/>
          </w:tcPr>
          <w:p w:rsidR="00CD304B" w:rsidRPr="006D24D4" w:rsidRDefault="00CD304B" w:rsidP="00F36947">
            <w:pPr>
              <w:jc w:val="right"/>
            </w:pPr>
            <w:r w:rsidRPr="006D24D4">
              <w:rPr>
                <w:rFonts w:ascii="Arial" w:hAnsi="Arial" w:cs="Arial"/>
                <w:sz w:val="20"/>
                <w:szCs w:val="20"/>
              </w:rPr>
              <w:t>801.6</w:t>
            </w:r>
            <w:r w:rsidR="00F36947" w:rsidRPr="006D24D4">
              <w:rPr>
                <w:rFonts w:ascii="Arial" w:hAnsi="Arial" w:cs="Arial"/>
                <w:sz w:val="20"/>
                <w:szCs w:val="20"/>
              </w:rPr>
              <w:t>1</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Hampshire</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726.99</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2.64%</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746.20</w:t>
            </w:r>
          </w:p>
        </w:tc>
        <w:tc>
          <w:tcPr>
            <w:tcW w:w="1350" w:type="dxa"/>
          </w:tcPr>
          <w:p w:rsidR="00CD304B" w:rsidRPr="006D24D4" w:rsidRDefault="00CD304B" w:rsidP="005D02C0">
            <w:pPr>
              <w:jc w:val="right"/>
            </w:pPr>
            <w:r w:rsidRPr="006D24D4">
              <w:rPr>
                <w:rFonts w:ascii="Arial" w:hAnsi="Arial" w:cs="Arial"/>
                <w:sz w:val="20"/>
                <w:szCs w:val="20"/>
              </w:rPr>
              <w:t>760.31</w:t>
            </w:r>
          </w:p>
        </w:tc>
        <w:tc>
          <w:tcPr>
            <w:tcW w:w="1710" w:type="dxa"/>
          </w:tcPr>
          <w:p w:rsidR="00CD304B" w:rsidRPr="006D24D4" w:rsidRDefault="00CD304B" w:rsidP="005D02C0">
            <w:pPr>
              <w:jc w:val="right"/>
            </w:pPr>
            <w:r w:rsidRPr="006D24D4">
              <w:rPr>
                <w:rFonts w:ascii="Arial" w:hAnsi="Arial" w:cs="Arial"/>
                <w:sz w:val="20"/>
                <w:szCs w:val="20"/>
              </w:rPr>
              <w:t>799.56</w:t>
            </w:r>
          </w:p>
        </w:tc>
        <w:tc>
          <w:tcPr>
            <w:tcW w:w="1530" w:type="dxa"/>
          </w:tcPr>
          <w:p w:rsidR="00CD304B" w:rsidRPr="006D24D4" w:rsidRDefault="00CD304B" w:rsidP="005D02C0">
            <w:pPr>
              <w:jc w:val="right"/>
            </w:pPr>
            <w:r w:rsidRPr="006D24D4">
              <w:rPr>
                <w:rFonts w:ascii="Arial" w:hAnsi="Arial" w:cs="Arial"/>
                <w:color w:val="000000"/>
                <w:sz w:val="20"/>
                <w:szCs w:val="20"/>
              </w:rPr>
              <w:t>799.60</w:t>
            </w:r>
          </w:p>
        </w:tc>
        <w:tc>
          <w:tcPr>
            <w:tcW w:w="1350" w:type="dxa"/>
          </w:tcPr>
          <w:p w:rsidR="00CD304B" w:rsidRPr="006D24D4" w:rsidRDefault="00CD304B" w:rsidP="005D02C0">
            <w:pPr>
              <w:jc w:val="right"/>
            </w:pPr>
            <w:r w:rsidRPr="006D24D4">
              <w:rPr>
                <w:rFonts w:ascii="Arial" w:hAnsi="Arial" w:cs="Arial"/>
                <w:color w:val="000000"/>
                <w:sz w:val="20"/>
                <w:szCs w:val="20"/>
              </w:rPr>
              <w:t>799.60</w:t>
            </w:r>
          </w:p>
        </w:tc>
        <w:tc>
          <w:tcPr>
            <w:tcW w:w="1890" w:type="dxa"/>
          </w:tcPr>
          <w:p w:rsidR="00CD304B" w:rsidRPr="006D24D4" w:rsidRDefault="00CD304B" w:rsidP="005D02C0">
            <w:pPr>
              <w:jc w:val="right"/>
            </w:pPr>
            <w:r w:rsidRPr="006D24D4">
              <w:rPr>
                <w:rFonts w:ascii="Arial" w:hAnsi="Arial" w:cs="Arial"/>
                <w:color w:val="000000"/>
                <w:sz w:val="20"/>
                <w:szCs w:val="20"/>
              </w:rPr>
              <w:t>783.61</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Middlesex</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842.37</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1.56%</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855.47</w:t>
            </w:r>
          </w:p>
        </w:tc>
        <w:tc>
          <w:tcPr>
            <w:tcW w:w="1350" w:type="dxa"/>
          </w:tcPr>
          <w:p w:rsidR="00CD304B" w:rsidRPr="006D24D4" w:rsidRDefault="00CD304B" w:rsidP="005D02C0">
            <w:pPr>
              <w:jc w:val="right"/>
            </w:pPr>
            <w:r w:rsidRPr="006D24D4">
              <w:rPr>
                <w:rFonts w:ascii="Arial" w:hAnsi="Arial" w:cs="Arial"/>
                <w:sz w:val="20"/>
                <w:szCs w:val="20"/>
              </w:rPr>
              <w:t>871.64</w:t>
            </w:r>
          </w:p>
        </w:tc>
        <w:tc>
          <w:tcPr>
            <w:tcW w:w="1710" w:type="dxa"/>
          </w:tcPr>
          <w:p w:rsidR="00CD304B" w:rsidRPr="006D24D4" w:rsidRDefault="00CD304B" w:rsidP="005D02C0">
            <w:pPr>
              <w:jc w:val="right"/>
            </w:pPr>
            <w:r w:rsidRPr="006D24D4">
              <w:rPr>
                <w:rFonts w:ascii="Arial" w:hAnsi="Arial" w:cs="Arial"/>
                <w:sz w:val="20"/>
                <w:szCs w:val="20"/>
              </w:rPr>
              <w:t>916.65</w:t>
            </w:r>
          </w:p>
        </w:tc>
        <w:tc>
          <w:tcPr>
            <w:tcW w:w="1530" w:type="dxa"/>
          </w:tcPr>
          <w:p w:rsidR="00CD304B" w:rsidRPr="006D24D4" w:rsidRDefault="00CD304B" w:rsidP="005D02C0">
            <w:pPr>
              <w:jc w:val="right"/>
            </w:pPr>
            <w:r w:rsidRPr="006D24D4">
              <w:rPr>
                <w:rFonts w:ascii="Arial" w:hAnsi="Arial" w:cs="Arial"/>
                <w:color w:val="000000"/>
                <w:sz w:val="20"/>
                <w:szCs w:val="20"/>
              </w:rPr>
              <w:t>916.11</w:t>
            </w:r>
          </w:p>
        </w:tc>
        <w:tc>
          <w:tcPr>
            <w:tcW w:w="1350" w:type="dxa"/>
          </w:tcPr>
          <w:p w:rsidR="00CD304B" w:rsidRPr="006D24D4" w:rsidRDefault="00CD304B" w:rsidP="005D02C0">
            <w:pPr>
              <w:jc w:val="right"/>
            </w:pPr>
            <w:r w:rsidRPr="006D24D4">
              <w:rPr>
                <w:rFonts w:ascii="Arial" w:hAnsi="Arial" w:cs="Arial"/>
                <w:color w:val="000000"/>
                <w:sz w:val="20"/>
                <w:szCs w:val="20"/>
              </w:rPr>
              <w:t>916.11</w:t>
            </w:r>
          </w:p>
        </w:tc>
        <w:tc>
          <w:tcPr>
            <w:tcW w:w="1890" w:type="dxa"/>
          </w:tcPr>
          <w:p w:rsidR="00CD304B" w:rsidRPr="006D24D4" w:rsidRDefault="00CD304B" w:rsidP="005D02C0">
            <w:pPr>
              <w:jc w:val="right"/>
            </w:pPr>
            <w:r w:rsidRPr="006D24D4">
              <w:rPr>
                <w:rFonts w:ascii="Arial" w:hAnsi="Arial" w:cs="Arial"/>
                <w:color w:val="000000"/>
                <w:sz w:val="20"/>
                <w:szCs w:val="20"/>
              </w:rPr>
              <w:t>897.79</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Norfolk</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860.99</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1.10%</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870.42</w:t>
            </w:r>
          </w:p>
        </w:tc>
        <w:tc>
          <w:tcPr>
            <w:tcW w:w="1350" w:type="dxa"/>
          </w:tcPr>
          <w:p w:rsidR="00CD304B" w:rsidRPr="006D24D4" w:rsidRDefault="00CD304B" w:rsidP="005D02C0">
            <w:pPr>
              <w:jc w:val="right"/>
            </w:pPr>
            <w:r w:rsidRPr="006D24D4">
              <w:rPr>
                <w:rFonts w:ascii="Arial" w:hAnsi="Arial" w:cs="Arial"/>
                <w:sz w:val="20"/>
                <w:szCs w:val="20"/>
              </w:rPr>
              <w:t>886.87</w:t>
            </w:r>
          </w:p>
        </w:tc>
        <w:tc>
          <w:tcPr>
            <w:tcW w:w="1710" w:type="dxa"/>
          </w:tcPr>
          <w:p w:rsidR="00CD304B" w:rsidRPr="006D24D4" w:rsidRDefault="00CD304B" w:rsidP="005D02C0">
            <w:pPr>
              <w:jc w:val="right"/>
            </w:pPr>
            <w:r w:rsidRPr="006D24D4">
              <w:rPr>
                <w:rFonts w:ascii="Arial" w:hAnsi="Arial" w:cs="Arial"/>
                <w:sz w:val="20"/>
                <w:szCs w:val="20"/>
              </w:rPr>
              <w:t>932.66</w:t>
            </w:r>
          </w:p>
        </w:tc>
        <w:tc>
          <w:tcPr>
            <w:tcW w:w="1530" w:type="dxa"/>
          </w:tcPr>
          <w:p w:rsidR="00CD304B" w:rsidRPr="006D24D4" w:rsidRDefault="00CD304B" w:rsidP="005D02C0">
            <w:pPr>
              <w:jc w:val="right"/>
            </w:pPr>
            <w:r w:rsidRPr="006D24D4">
              <w:rPr>
                <w:rFonts w:ascii="Arial" w:hAnsi="Arial" w:cs="Arial"/>
                <w:color w:val="000000"/>
                <w:sz w:val="20"/>
                <w:szCs w:val="20"/>
              </w:rPr>
              <w:t>932.30</w:t>
            </w:r>
          </w:p>
        </w:tc>
        <w:tc>
          <w:tcPr>
            <w:tcW w:w="1350" w:type="dxa"/>
          </w:tcPr>
          <w:p w:rsidR="00CD304B" w:rsidRPr="006D24D4" w:rsidRDefault="00CD304B" w:rsidP="005D02C0">
            <w:pPr>
              <w:jc w:val="right"/>
            </w:pPr>
            <w:r w:rsidRPr="006D24D4">
              <w:rPr>
                <w:rFonts w:ascii="Arial" w:hAnsi="Arial" w:cs="Arial"/>
                <w:color w:val="000000"/>
                <w:sz w:val="20"/>
                <w:szCs w:val="20"/>
              </w:rPr>
              <w:t>932.30</w:t>
            </w:r>
          </w:p>
        </w:tc>
        <w:tc>
          <w:tcPr>
            <w:tcW w:w="1890" w:type="dxa"/>
          </w:tcPr>
          <w:p w:rsidR="00CD304B" w:rsidRPr="006D24D4" w:rsidRDefault="00CD304B" w:rsidP="005D02C0">
            <w:pPr>
              <w:jc w:val="right"/>
            </w:pPr>
            <w:r w:rsidRPr="006D24D4">
              <w:rPr>
                <w:rFonts w:ascii="Arial" w:hAnsi="Arial" w:cs="Arial"/>
                <w:color w:val="000000"/>
                <w:sz w:val="20"/>
                <w:szCs w:val="20"/>
              </w:rPr>
              <w:t>913.65</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Plymouth</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888.90</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1.23%</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899.83</w:t>
            </w:r>
          </w:p>
        </w:tc>
        <w:tc>
          <w:tcPr>
            <w:tcW w:w="1350" w:type="dxa"/>
          </w:tcPr>
          <w:p w:rsidR="00CD304B" w:rsidRPr="006D24D4" w:rsidRDefault="00CD304B" w:rsidP="005D02C0">
            <w:pPr>
              <w:jc w:val="right"/>
            </w:pPr>
            <w:r w:rsidRPr="006D24D4">
              <w:rPr>
                <w:rFonts w:ascii="Arial" w:hAnsi="Arial" w:cs="Arial"/>
                <w:sz w:val="20"/>
                <w:szCs w:val="20"/>
              </w:rPr>
              <w:t>916.84</w:t>
            </w:r>
          </w:p>
        </w:tc>
        <w:tc>
          <w:tcPr>
            <w:tcW w:w="1710" w:type="dxa"/>
          </w:tcPr>
          <w:p w:rsidR="00CD304B" w:rsidRPr="006D24D4" w:rsidRDefault="00CD304B" w:rsidP="005D02C0">
            <w:pPr>
              <w:jc w:val="right"/>
            </w:pPr>
            <w:r w:rsidRPr="006D24D4">
              <w:rPr>
                <w:rFonts w:ascii="Arial" w:hAnsi="Arial" w:cs="Arial"/>
                <w:sz w:val="20"/>
                <w:szCs w:val="20"/>
              </w:rPr>
              <w:t>964.18</w:t>
            </w:r>
          </w:p>
        </w:tc>
        <w:tc>
          <w:tcPr>
            <w:tcW w:w="1530" w:type="dxa"/>
          </w:tcPr>
          <w:p w:rsidR="00CD304B" w:rsidRPr="006D24D4" w:rsidRDefault="00CD304B" w:rsidP="005D02C0">
            <w:pPr>
              <w:jc w:val="right"/>
            </w:pPr>
            <w:r w:rsidRPr="006D24D4">
              <w:rPr>
                <w:rFonts w:ascii="Arial" w:hAnsi="Arial" w:cs="Arial"/>
                <w:color w:val="000000"/>
                <w:sz w:val="20"/>
                <w:szCs w:val="20"/>
              </w:rPr>
              <w:t>963.72</w:t>
            </w:r>
          </w:p>
        </w:tc>
        <w:tc>
          <w:tcPr>
            <w:tcW w:w="1350" w:type="dxa"/>
          </w:tcPr>
          <w:p w:rsidR="00CD304B" w:rsidRPr="006D24D4" w:rsidRDefault="00CD304B" w:rsidP="005D02C0">
            <w:pPr>
              <w:jc w:val="right"/>
            </w:pPr>
            <w:r w:rsidRPr="006D24D4">
              <w:rPr>
                <w:rFonts w:ascii="Arial" w:hAnsi="Arial" w:cs="Arial"/>
                <w:color w:val="000000"/>
                <w:sz w:val="20"/>
                <w:szCs w:val="20"/>
              </w:rPr>
              <w:t>963.72</w:t>
            </w:r>
          </w:p>
        </w:tc>
        <w:tc>
          <w:tcPr>
            <w:tcW w:w="1890" w:type="dxa"/>
          </w:tcPr>
          <w:p w:rsidR="00CD304B" w:rsidRPr="006D24D4" w:rsidRDefault="00CD304B" w:rsidP="005D02C0">
            <w:pPr>
              <w:jc w:val="right"/>
            </w:pPr>
            <w:r w:rsidRPr="006D24D4">
              <w:rPr>
                <w:rFonts w:ascii="Arial" w:hAnsi="Arial" w:cs="Arial"/>
                <w:color w:val="000000"/>
                <w:sz w:val="20"/>
                <w:szCs w:val="20"/>
              </w:rPr>
              <w:t>944.45</w:t>
            </w:r>
          </w:p>
        </w:tc>
      </w:tr>
      <w:tr w:rsidR="00CD304B" w:rsidRPr="005F465A" w:rsidTr="00856B6D">
        <w:trPr>
          <w:trHeight w:val="255"/>
        </w:trPr>
        <w:tc>
          <w:tcPr>
            <w:tcW w:w="1368" w:type="dxa"/>
            <w:vAlign w:val="bottom"/>
          </w:tcPr>
          <w:p w:rsidR="00CD304B" w:rsidRPr="006D24D4" w:rsidRDefault="00CD304B" w:rsidP="00C015EA">
            <w:pPr>
              <w:rPr>
                <w:rFonts w:ascii="Arial" w:hAnsi="Arial" w:cs="Arial"/>
                <w:color w:val="000000"/>
                <w:sz w:val="20"/>
                <w:szCs w:val="20"/>
              </w:rPr>
            </w:pPr>
            <w:r w:rsidRPr="006D24D4">
              <w:rPr>
                <w:rFonts w:ascii="Arial" w:hAnsi="Arial" w:cs="Arial"/>
                <w:color w:val="000000"/>
                <w:sz w:val="20"/>
                <w:szCs w:val="20"/>
              </w:rPr>
              <w:t>Suffolk</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895.51</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1.35%</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907.56</w:t>
            </w:r>
          </w:p>
        </w:tc>
        <w:tc>
          <w:tcPr>
            <w:tcW w:w="1350" w:type="dxa"/>
          </w:tcPr>
          <w:p w:rsidR="00CD304B" w:rsidRPr="006D24D4" w:rsidRDefault="00CD304B" w:rsidP="005D02C0">
            <w:pPr>
              <w:jc w:val="right"/>
            </w:pPr>
            <w:r w:rsidRPr="006D24D4">
              <w:rPr>
                <w:rFonts w:ascii="Arial" w:hAnsi="Arial" w:cs="Arial"/>
                <w:sz w:val="20"/>
                <w:szCs w:val="20"/>
              </w:rPr>
              <w:t>924.71</w:t>
            </w:r>
          </w:p>
        </w:tc>
        <w:tc>
          <w:tcPr>
            <w:tcW w:w="1710" w:type="dxa"/>
          </w:tcPr>
          <w:p w:rsidR="00CD304B" w:rsidRPr="006D24D4" w:rsidRDefault="00CD304B" w:rsidP="005D02C0">
            <w:pPr>
              <w:jc w:val="right"/>
            </w:pPr>
            <w:r w:rsidRPr="006D24D4">
              <w:rPr>
                <w:rFonts w:ascii="Arial" w:hAnsi="Arial" w:cs="Arial"/>
                <w:sz w:val="20"/>
                <w:szCs w:val="20"/>
              </w:rPr>
              <w:t>972.46</w:t>
            </w:r>
          </w:p>
        </w:tc>
        <w:tc>
          <w:tcPr>
            <w:tcW w:w="1530" w:type="dxa"/>
          </w:tcPr>
          <w:p w:rsidR="00CD304B" w:rsidRPr="006D24D4" w:rsidRDefault="00CD304B" w:rsidP="005D02C0">
            <w:pPr>
              <w:jc w:val="right"/>
            </w:pPr>
            <w:r w:rsidRPr="006D24D4">
              <w:rPr>
                <w:rFonts w:ascii="Arial" w:hAnsi="Arial" w:cs="Arial"/>
                <w:color w:val="000000"/>
                <w:sz w:val="20"/>
                <w:szCs w:val="20"/>
              </w:rPr>
              <w:t>972.25</w:t>
            </w:r>
          </w:p>
        </w:tc>
        <w:tc>
          <w:tcPr>
            <w:tcW w:w="1350" w:type="dxa"/>
          </w:tcPr>
          <w:p w:rsidR="00CD304B" w:rsidRPr="006D24D4" w:rsidRDefault="00CD304B" w:rsidP="005D02C0">
            <w:pPr>
              <w:jc w:val="right"/>
            </w:pPr>
            <w:r w:rsidRPr="006D24D4">
              <w:rPr>
                <w:rFonts w:ascii="Arial" w:hAnsi="Arial" w:cs="Arial"/>
                <w:color w:val="000000"/>
                <w:sz w:val="20"/>
                <w:szCs w:val="20"/>
              </w:rPr>
              <w:t>972.25</w:t>
            </w:r>
          </w:p>
        </w:tc>
        <w:tc>
          <w:tcPr>
            <w:tcW w:w="1890" w:type="dxa"/>
          </w:tcPr>
          <w:p w:rsidR="00CD304B" w:rsidRPr="006D24D4" w:rsidRDefault="00CD304B" w:rsidP="005D02C0">
            <w:pPr>
              <w:jc w:val="right"/>
            </w:pPr>
            <w:r w:rsidRPr="006D24D4">
              <w:rPr>
                <w:rFonts w:ascii="Arial" w:hAnsi="Arial" w:cs="Arial"/>
                <w:color w:val="000000"/>
                <w:sz w:val="20"/>
                <w:szCs w:val="20"/>
              </w:rPr>
              <w:t>952.81</w:t>
            </w:r>
          </w:p>
        </w:tc>
      </w:tr>
      <w:tr w:rsidR="00CD304B" w:rsidRPr="005F465A" w:rsidTr="00856B6D">
        <w:trPr>
          <w:trHeight w:val="266"/>
        </w:trPr>
        <w:tc>
          <w:tcPr>
            <w:tcW w:w="1368" w:type="dxa"/>
          </w:tcPr>
          <w:p w:rsidR="00CD304B" w:rsidRPr="006D24D4" w:rsidRDefault="00CD304B" w:rsidP="00856B6D">
            <w:pPr>
              <w:rPr>
                <w:rFonts w:ascii="Arial" w:hAnsi="Arial" w:cs="Arial"/>
                <w:color w:val="000000"/>
                <w:sz w:val="20"/>
                <w:szCs w:val="20"/>
              </w:rPr>
            </w:pPr>
            <w:r w:rsidRPr="006D24D4">
              <w:rPr>
                <w:rFonts w:ascii="Arial" w:hAnsi="Arial" w:cs="Arial"/>
                <w:color w:val="000000"/>
                <w:sz w:val="20"/>
                <w:szCs w:val="20"/>
              </w:rPr>
              <w:t>Worcester</w:t>
            </w:r>
          </w:p>
        </w:tc>
        <w:tc>
          <w:tcPr>
            <w:tcW w:w="1260" w:type="dxa"/>
            <w:noWrap/>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818.64</w:t>
            </w:r>
          </w:p>
        </w:tc>
        <w:tc>
          <w:tcPr>
            <w:tcW w:w="108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1.98%</w:t>
            </w:r>
          </w:p>
        </w:tc>
        <w:tc>
          <w:tcPr>
            <w:tcW w:w="1350" w:type="dxa"/>
          </w:tcPr>
          <w:p w:rsidR="00CD304B" w:rsidRPr="006D24D4" w:rsidRDefault="00CD304B">
            <w:pPr>
              <w:jc w:val="right"/>
              <w:rPr>
                <w:rFonts w:ascii="Arial" w:hAnsi="Arial" w:cs="Arial"/>
                <w:color w:val="000000"/>
                <w:sz w:val="20"/>
                <w:szCs w:val="20"/>
              </w:rPr>
            </w:pPr>
            <w:r w:rsidRPr="006D24D4">
              <w:rPr>
                <w:rFonts w:ascii="Arial" w:hAnsi="Arial" w:cs="Arial"/>
                <w:color w:val="000000"/>
                <w:sz w:val="20"/>
                <w:szCs w:val="20"/>
              </w:rPr>
              <w:t>834.86</w:t>
            </w:r>
          </w:p>
        </w:tc>
        <w:tc>
          <w:tcPr>
            <w:tcW w:w="1350" w:type="dxa"/>
          </w:tcPr>
          <w:p w:rsidR="00CD304B" w:rsidRPr="006D24D4" w:rsidRDefault="00CD304B" w:rsidP="00F92A40">
            <w:pPr>
              <w:jc w:val="right"/>
              <w:rPr>
                <w:rFonts w:ascii="Arial" w:hAnsi="Arial" w:cs="Arial"/>
                <w:sz w:val="20"/>
                <w:szCs w:val="20"/>
              </w:rPr>
            </w:pPr>
            <w:r w:rsidRPr="006D24D4">
              <w:rPr>
                <w:rFonts w:ascii="Arial" w:hAnsi="Arial" w:cs="Arial"/>
                <w:sz w:val="20"/>
                <w:szCs w:val="20"/>
              </w:rPr>
              <w:t>850.63</w:t>
            </w:r>
          </w:p>
          <w:p w:rsidR="00CD304B" w:rsidRPr="006D24D4" w:rsidRDefault="00CD304B" w:rsidP="005D02C0">
            <w:pPr>
              <w:jc w:val="right"/>
            </w:pPr>
          </w:p>
        </w:tc>
        <w:tc>
          <w:tcPr>
            <w:tcW w:w="1710" w:type="dxa"/>
          </w:tcPr>
          <w:p w:rsidR="00CD304B" w:rsidRPr="006D24D4" w:rsidRDefault="00CD304B" w:rsidP="005D02C0">
            <w:pPr>
              <w:jc w:val="right"/>
            </w:pPr>
            <w:r w:rsidRPr="006D24D4">
              <w:rPr>
                <w:rFonts w:ascii="Arial" w:hAnsi="Arial" w:cs="Arial"/>
                <w:sz w:val="20"/>
                <w:szCs w:val="20"/>
              </w:rPr>
              <w:t>894.56</w:t>
            </w:r>
          </w:p>
        </w:tc>
        <w:tc>
          <w:tcPr>
            <w:tcW w:w="1530" w:type="dxa"/>
          </w:tcPr>
          <w:p w:rsidR="00CD304B" w:rsidRPr="006D24D4" w:rsidRDefault="00CD304B" w:rsidP="005D02C0">
            <w:pPr>
              <w:jc w:val="right"/>
            </w:pPr>
            <w:r w:rsidRPr="006D24D4">
              <w:rPr>
                <w:rFonts w:ascii="Arial" w:hAnsi="Arial" w:cs="Arial"/>
                <w:color w:val="000000"/>
                <w:sz w:val="20"/>
                <w:szCs w:val="20"/>
              </w:rPr>
              <w:t>894.03</w:t>
            </w:r>
          </w:p>
        </w:tc>
        <w:tc>
          <w:tcPr>
            <w:tcW w:w="1350" w:type="dxa"/>
          </w:tcPr>
          <w:p w:rsidR="00CD304B" w:rsidRPr="006D24D4" w:rsidRDefault="00CD304B" w:rsidP="005D02C0">
            <w:pPr>
              <w:jc w:val="right"/>
            </w:pPr>
            <w:r w:rsidRPr="006D24D4">
              <w:rPr>
                <w:rFonts w:ascii="Arial" w:hAnsi="Arial" w:cs="Arial"/>
                <w:color w:val="000000"/>
                <w:sz w:val="20"/>
                <w:szCs w:val="20"/>
              </w:rPr>
              <w:t>894.03</w:t>
            </w:r>
          </w:p>
        </w:tc>
        <w:tc>
          <w:tcPr>
            <w:tcW w:w="1890" w:type="dxa"/>
          </w:tcPr>
          <w:p w:rsidR="00CD304B" w:rsidRPr="006D24D4" w:rsidRDefault="00CD304B" w:rsidP="005D02C0">
            <w:pPr>
              <w:jc w:val="right"/>
            </w:pPr>
            <w:r w:rsidRPr="006D24D4">
              <w:rPr>
                <w:rFonts w:ascii="Arial" w:hAnsi="Arial" w:cs="Arial"/>
                <w:color w:val="000000"/>
                <w:sz w:val="20"/>
                <w:szCs w:val="20"/>
              </w:rPr>
              <w:t>876.15</w:t>
            </w:r>
          </w:p>
        </w:tc>
      </w:tr>
      <w:tr w:rsidR="00283A75" w:rsidRPr="00F51B5F" w:rsidTr="00856B6D">
        <w:trPr>
          <w:trHeight w:val="255"/>
        </w:trPr>
        <w:tc>
          <w:tcPr>
            <w:tcW w:w="1368" w:type="dxa"/>
            <w:vAlign w:val="bottom"/>
          </w:tcPr>
          <w:p w:rsidR="00283A75" w:rsidRPr="00F51B5F" w:rsidRDefault="00283A75" w:rsidP="00C015EA">
            <w:pPr>
              <w:rPr>
                <w:rFonts w:ascii="Arial" w:hAnsi="Arial" w:cs="Arial"/>
                <w:color w:val="000000"/>
                <w:sz w:val="20"/>
                <w:szCs w:val="20"/>
              </w:rPr>
            </w:pPr>
          </w:p>
        </w:tc>
        <w:tc>
          <w:tcPr>
            <w:tcW w:w="8280" w:type="dxa"/>
            <w:gridSpan w:val="6"/>
            <w:noWrap/>
          </w:tcPr>
          <w:p w:rsidR="00283A75" w:rsidRPr="00F51B5F" w:rsidRDefault="00283A75" w:rsidP="00C015EA">
            <w:pPr>
              <w:jc w:val="right"/>
              <w:rPr>
                <w:rFonts w:ascii="Calibri" w:hAnsi="Calibri" w:cs="Calibri"/>
                <w:sz w:val="20"/>
                <w:szCs w:val="20"/>
              </w:rPr>
            </w:pPr>
          </w:p>
        </w:tc>
        <w:tc>
          <w:tcPr>
            <w:tcW w:w="1350" w:type="dxa"/>
          </w:tcPr>
          <w:p w:rsidR="00283A75" w:rsidRPr="00F51B5F" w:rsidRDefault="00283A75" w:rsidP="00C015EA">
            <w:pPr>
              <w:jc w:val="right"/>
              <w:rPr>
                <w:rFonts w:ascii="Calibri" w:hAnsi="Calibri" w:cs="Calibri"/>
                <w:sz w:val="20"/>
                <w:szCs w:val="20"/>
              </w:rPr>
            </w:pPr>
          </w:p>
        </w:tc>
        <w:tc>
          <w:tcPr>
            <w:tcW w:w="1890" w:type="dxa"/>
          </w:tcPr>
          <w:p w:rsidR="00283A75" w:rsidRPr="00F51B5F" w:rsidRDefault="00283A75" w:rsidP="00C015EA">
            <w:pPr>
              <w:jc w:val="right"/>
              <w:rPr>
                <w:rFonts w:ascii="Calibri" w:hAnsi="Calibri" w:cs="Calibri"/>
                <w:sz w:val="20"/>
                <w:szCs w:val="20"/>
              </w:rPr>
            </w:pPr>
          </w:p>
        </w:tc>
      </w:tr>
    </w:tbl>
    <w:p w:rsidR="00283A75" w:rsidRDefault="00283A75" w:rsidP="003C322B">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p w:rsidR="00283A75" w:rsidRPr="005F465A" w:rsidRDefault="00856B6D" w:rsidP="005D02C0">
      <w:pPr>
        <w:autoSpaceDE w:val="0"/>
        <w:autoSpaceDN w:val="0"/>
        <w:adjustRightInd w:val="0"/>
        <w:rPr>
          <w:rFonts w:ascii="Calibri" w:hAnsi="Calibri" w:cs="Calibri"/>
          <w:sz w:val="20"/>
          <w:szCs w:val="20"/>
        </w:rPr>
      </w:pPr>
      <w:r w:rsidRPr="00C25646">
        <w:rPr>
          <w:rFonts w:ascii="Calibri" w:hAnsi="Calibri" w:cs="Calibri"/>
          <w:color w:val="000000"/>
          <w:sz w:val="20"/>
          <w:szCs w:val="20"/>
        </w:rPr>
        <w:t xml:space="preserve">1 </w:t>
      </w:r>
      <w:r w:rsidR="00283A75" w:rsidRPr="00C25646">
        <w:rPr>
          <w:rFonts w:ascii="Calibri" w:hAnsi="Calibri" w:cs="Calibri"/>
          <w:color w:val="000000"/>
          <w:sz w:val="20"/>
          <w:szCs w:val="20"/>
        </w:rPr>
        <w:t>Rates do not apply to beneficiaries with End-Stage Renal Disease (ESRD) or those electing the Medicare hospice benefit. S</w:t>
      </w:r>
      <w:r w:rsidR="00283A75" w:rsidRPr="00C25646">
        <w:rPr>
          <w:rFonts w:ascii="Calibri" w:hAnsi="Calibri" w:cs="Calibri"/>
          <w:sz w:val="20"/>
          <w:szCs w:val="20"/>
        </w:rPr>
        <w:t>ee Section IV for information on savings percentages.</w:t>
      </w:r>
      <w:r w:rsidR="00C25646" w:rsidRPr="00C25646">
        <w:rPr>
          <w:rFonts w:ascii="Calibri" w:hAnsi="Calibri" w:cs="Calibri"/>
          <w:color w:val="000000"/>
          <w:sz w:val="20"/>
          <w:szCs w:val="20"/>
        </w:rPr>
        <w:t xml:space="preserve"> </w:t>
      </w:r>
      <w:r w:rsidR="00C25646">
        <w:rPr>
          <w:rFonts w:ascii="Calibri" w:hAnsi="Calibri" w:cs="Calibri"/>
          <w:color w:val="000000"/>
          <w:sz w:val="20"/>
          <w:szCs w:val="20"/>
        </w:rPr>
        <w:t>The figures included here represent the Medicare A/B baseline PMPM with no savings percentage applied for the period of January 1 through March 31, 2014.  As detailed in the prior table, for the period of April 1 through December 31, 2014, a 1% savings percentage will be applied to the Medicare A/B baseline PMPM.</w:t>
      </w:r>
    </w:p>
    <w:p w:rsidR="00283A75" w:rsidRDefault="00856B6D" w:rsidP="005D02C0">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2 </w:t>
      </w:r>
      <w:r w:rsidR="00283A75" w:rsidRPr="007119CC">
        <w:rPr>
          <w:rFonts w:ascii="Calibri" w:hAnsi="Calibri" w:cs="Calibri"/>
          <w:sz w:val="20"/>
          <w:szCs w:val="20"/>
        </w:rPr>
        <w:t>F</w:t>
      </w:r>
      <w:r w:rsidR="00283A75" w:rsidRPr="007119CC">
        <w:rPr>
          <w:rFonts w:ascii="Calibri" w:hAnsi="Calibri" w:cs="Calibri"/>
          <w:color w:val="000000"/>
          <w:sz w:val="20"/>
          <w:szCs w:val="20"/>
        </w:rPr>
        <w:t xml:space="preserve">or </w:t>
      </w:r>
      <w:r w:rsidR="00283A75">
        <w:rPr>
          <w:rFonts w:ascii="Calibri" w:hAnsi="Calibri" w:cs="Calibri"/>
          <w:color w:val="000000"/>
          <w:sz w:val="20"/>
          <w:szCs w:val="20"/>
        </w:rPr>
        <w:t>CY 2014</w:t>
      </w:r>
      <w:r w:rsidR="00283A75" w:rsidRPr="007119CC">
        <w:rPr>
          <w:rFonts w:ascii="Calibri" w:hAnsi="Calibri" w:cs="Calibri"/>
          <w:color w:val="000000"/>
          <w:sz w:val="20"/>
          <w:szCs w:val="20"/>
        </w:rPr>
        <w:t xml:space="preserve"> CMS will establish rates in a manner that does not lead to lower amounts for this coding intensity adjustment.  Operationally, due to systems limitations, CMS will still apply the coding intensity adjustment factor to the risk scores but </w:t>
      </w:r>
      <w:r w:rsidR="00283A75">
        <w:rPr>
          <w:rFonts w:ascii="Calibri" w:hAnsi="Calibri" w:cs="Calibri"/>
          <w:color w:val="000000"/>
          <w:sz w:val="20"/>
          <w:szCs w:val="20"/>
        </w:rPr>
        <w:t xml:space="preserve">has increased </w:t>
      </w:r>
      <w:r w:rsidR="00283A75" w:rsidRPr="007119CC">
        <w:rPr>
          <w:rFonts w:ascii="Calibri" w:hAnsi="Calibri" w:cs="Calibri"/>
          <w:color w:val="000000"/>
          <w:sz w:val="20"/>
          <w:szCs w:val="20"/>
        </w:rPr>
        <w:t>the FFS component of the Medicare A/B baseline for non-ESRD beneficiaries to offset this</w:t>
      </w:r>
      <w:r w:rsidR="00283A75">
        <w:rPr>
          <w:rFonts w:ascii="Calibri" w:hAnsi="Calibri" w:cs="Calibri"/>
          <w:color w:val="000000"/>
          <w:sz w:val="20"/>
          <w:szCs w:val="20"/>
        </w:rPr>
        <w:t>.  Specifically, CMS has increased the Medicare A/B baseline by a corresponding percentage;</w:t>
      </w:r>
      <w:r w:rsidR="00283A75" w:rsidRPr="007119CC">
        <w:rPr>
          <w:rFonts w:ascii="Calibri" w:hAnsi="Calibri" w:cs="Calibri"/>
          <w:color w:val="000000"/>
          <w:sz w:val="20"/>
          <w:szCs w:val="20"/>
        </w:rPr>
        <w:t xml:space="preserve"> </w:t>
      </w:r>
      <w:r w:rsidR="00283A75" w:rsidRPr="005F465A">
        <w:rPr>
          <w:rFonts w:ascii="Calibri" w:hAnsi="Calibri" w:cs="Calibri"/>
          <w:color w:val="000000"/>
          <w:sz w:val="20"/>
          <w:szCs w:val="20"/>
        </w:rPr>
        <w:t xml:space="preserve">(as above, the </w:t>
      </w:r>
      <w:r w:rsidR="00283A75">
        <w:rPr>
          <w:rFonts w:ascii="Calibri" w:hAnsi="Calibri" w:cs="Calibri"/>
          <w:color w:val="000000"/>
          <w:sz w:val="20"/>
          <w:szCs w:val="20"/>
        </w:rPr>
        <w:t>CY 2014</w:t>
      </w:r>
      <w:r w:rsidR="00283A75" w:rsidRPr="005F465A">
        <w:rPr>
          <w:rFonts w:ascii="Calibri" w:hAnsi="Calibri" w:cs="Calibri"/>
          <w:color w:val="000000"/>
          <w:sz w:val="20"/>
          <w:szCs w:val="20"/>
        </w:rPr>
        <w:t xml:space="preserve"> Medicare </w:t>
      </w:r>
      <w:r w:rsidR="00283A75">
        <w:rPr>
          <w:rFonts w:ascii="Calibri" w:hAnsi="Calibri" w:cs="Calibri"/>
          <w:color w:val="000000"/>
          <w:sz w:val="20"/>
          <w:szCs w:val="20"/>
        </w:rPr>
        <w:t xml:space="preserve">FFS </w:t>
      </w:r>
      <w:r w:rsidR="00283A75" w:rsidRPr="005F465A">
        <w:rPr>
          <w:rFonts w:ascii="Calibri" w:hAnsi="Calibri" w:cs="Calibri"/>
          <w:color w:val="000000"/>
          <w:sz w:val="20"/>
          <w:szCs w:val="20"/>
        </w:rPr>
        <w:t xml:space="preserve">A/B Baseline is divided by (1-the </w:t>
      </w:r>
      <w:r w:rsidR="00283A75">
        <w:rPr>
          <w:rFonts w:ascii="Calibri" w:hAnsi="Calibri" w:cs="Calibri"/>
          <w:color w:val="000000"/>
          <w:sz w:val="20"/>
          <w:szCs w:val="20"/>
        </w:rPr>
        <w:t>CY 2014</w:t>
      </w:r>
      <w:r w:rsidR="00283A75" w:rsidRPr="005F465A">
        <w:rPr>
          <w:rFonts w:ascii="Calibri" w:hAnsi="Calibri" w:cs="Calibri"/>
          <w:color w:val="000000"/>
          <w:sz w:val="20"/>
          <w:szCs w:val="20"/>
        </w:rPr>
        <w:t xml:space="preserve"> coding intensity adjustment factor of </w:t>
      </w:r>
      <w:r w:rsidR="00283A75">
        <w:rPr>
          <w:rFonts w:ascii="Calibri" w:hAnsi="Calibri" w:cs="Calibri"/>
          <w:color w:val="000000"/>
          <w:sz w:val="20"/>
          <w:szCs w:val="20"/>
        </w:rPr>
        <w:t>4.91%</w:t>
      </w:r>
      <w:r w:rsidR="00283A75" w:rsidRPr="005F465A">
        <w:rPr>
          <w:rFonts w:ascii="Calibri" w:hAnsi="Calibri" w:cs="Calibri"/>
          <w:color w:val="000000"/>
          <w:sz w:val="20"/>
          <w:szCs w:val="20"/>
        </w:rPr>
        <w:t xml:space="preserve">) to determine the </w:t>
      </w:r>
      <w:r w:rsidR="00283A75">
        <w:rPr>
          <w:rFonts w:ascii="Calibri" w:hAnsi="Calibri" w:cs="Calibri"/>
          <w:color w:val="000000"/>
          <w:sz w:val="20"/>
          <w:szCs w:val="20"/>
        </w:rPr>
        <w:t>CY 2014</w:t>
      </w:r>
      <w:r w:rsidR="00283A75" w:rsidRPr="005F465A">
        <w:rPr>
          <w:rFonts w:ascii="Calibri" w:hAnsi="Calibri" w:cs="Calibri"/>
          <w:color w:val="000000"/>
          <w:sz w:val="20"/>
          <w:szCs w:val="20"/>
        </w:rPr>
        <w:t xml:space="preserve"> Final Medicare</w:t>
      </w:r>
      <w:r w:rsidR="00283A75">
        <w:rPr>
          <w:rFonts w:ascii="Calibri" w:hAnsi="Calibri" w:cs="Calibri"/>
          <w:color w:val="000000"/>
          <w:sz w:val="20"/>
          <w:szCs w:val="20"/>
        </w:rPr>
        <w:t xml:space="preserve"> FFS</w:t>
      </w:r>
      <w:r w:rsidR="00283A75" w:rsidRPr="005F465A">
        <w:rPr>
          <w:rFonts w:ascii="Calibri" w:hAnsi="Calibri" w:cs="Calibri"/>
          <w:color w:val="000000"/>
          <w:sz w:val="20"/>
          <w:szCs w:val="20"/>
        </w:rPr>
        <w:t xml:space="preserve"> A/B</w:t>
      </w:r>
      <w:r w:rsidR="00283A75">
        <w:rPr>
          <w:rFonts w:ascii="Calibri" w:hAnsi="Calibri" w:cs="Calibri"/>
          <w:color w:val="000000"/>
          <w:sz w:val="20"/>
          <w:szCs w:val="20"/>
        </w:rPr>
        <w:t xml:space="preserve"> Baseline.</w:t>
      </w:r>
    </w:p>
    <w:p w:rsidR="00283A75" w:rsidRPr="00A77C54" w:rsidRDefault="00283A75" w:rsidP="003C322B">
      <w:pPr>
        <w:autoSpaceDE w:val="0"/>
        <w:autoSpaceDN w:val="0"/>
        <w:adjustRightInd w:val="0"/>
        <w:rPr>
          <w:rFonts w:ascii="Calibri" w:hAnsi="Calibri" w:cs="Calibri"/>
          <w:color w:val="000000"/>
          <w:sz w:val="20"/>
          <w:szCs w:val="20"/>
        </w:rPr>
        <w:sectPr w:rsidR="00283A75" w:rsidRPr="00A77C54" w:rsidSect="003C322B">
          <w:pgSz w:w="15840" w:h="12240" w:orient="landscape"/>
          <w:pgMar w:top="1800" w:right="1980" w:bottom="1440" w:left="1260" w:header="720" w:footer="720" w:gutter="0"/>
          <w:cols w:space="720"/>
          <w:docGrid w:linePitch="360"/>
        </w:sectPr>
      </w:pPr>
    </w:p>
    <w:p w:rsidR="00283A75" w:rsidRPr="00A77C54" w:rsidRDefault="00283A75" w:rsidP="007119CC">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lastRenderedPageBreak/>
        <w:t>The Medicare A/B PMPMs above will be risk adjusted at the beneficiary level using the existing CMS-HCC risk adjustment model.</w:t>
      </w:r>
    </w:p>
    <w:p w:rsidR="00283A75" w:rsidRPr="005F465A" w:rsidRDefault="00283A75" w:rsidP="007119CC">
      <w:pPr>
        <w:autoSpaceDE w:val="0"/>
        <w:autoSpaceDN w:val="0"/>
        <w:adjustRightInd w:val="0"/>
        <w:rPr>
          <w:rFonts w:ascii="Calibri" w:hAnsi="Calibri" w:cs="Calibri"/>
          <w:color w:val="000000"/>
          <w:sz w:val="22"/>
          <w:szCs w:val="22"/>
        </w:rPr>
      </w:pPr>
    </w:p>
    <w:p w:rsidR="00283A75" w:rsidRPr="00A77C54" w:rsidRDefault="00283A75" w:rsidP="007119CC">
      <w:pPr>
        <w:autoSpaceDE w:val="0"/>
        <w:autoSpaceDN w:val="0"/>
        <w:adjustRightInd w:val="0"/>
        <w:rPr>
          <w:rFonts w:ascii="Calibri" w:hAnsi="Calibri" w:cs="Calibri"/>
          <w:sz w:val="22"/>
          <w:szCs w:val="22"/>
        </w:rPr>
      </w:pPr>
      <w:r w:rsidRPr="005F465A">
        <w:rPr>
          <w:rFonts w:ascii="Calibri" w:hAnsi="Calibri" w:cs="Calibri"/>
          <w:i/>
          <w:color w:val="000000"/>
          <w:sz w:val="22"/>
          <w:szCs w:val="22"/>
        </w:rPr>
        <w:t>Beneficiaries with End-Stage Renal Disease (ESRD):</w:t>
      </w:r>
      <w:r w:rsidRPr="005F465A">
        <w:rPr>
          <w:rFonts w:ascii="Calibri" w:hAnsi="Calibri" w:cs="Calibri"/>
          <w:b/>
          <w:color w:val="000000"/>
          <w:sz w:val="22"/>
          <w:szCs w:val="22"/>
        </w:rPr>
        <w:t xml:space="preserve"> </w:t>
      </w:r>
      <w:r w:rsidRPr="005F465A">
        <w:rPr>
          <w:rFonts w:ascii="Calibri" w:hAnsi="Calibri" w:cs="Calibri"/>
          <w:color w:val="000000"/>
          <w:sz w:val="22"/>
          <w:szCs w:val="22"/>
        </w:rPr>
        <w:t xml:space="preserve">Separate Medicare A/B baselines and risk adjustment </w:t>
      </w:r>
      <w:r w:rsidRPr="005F465A">
        <w:rPr>
          <w:rFonts w:ascii="Calibri" w:hAnsi="Calibri" w:cs="Calibri"/>
          <w:sz w:val="22"/>
          <w:szCs w:val="22"/>
        </w:rPr>
        <w:t xml:space="preserve">will apply to enrollees with ESRD. </w:t>
      </w:r>
      <w:r w:rsidRPr="00F91D26">
        <w:rPr>
          <w:rFonts w:ascii="Calibri" w:hAnsi="Calibri" w:cs="Calibri"/>
          <w:sz w:val="22"/>
          <w:szCs w:val="22"/>
        </w:rPr>
        <w:t>The Medicare A/B baselines for beneficiaries with ESRD will vary by the enrollee’s ESRD status: dialysis, transplant, and functioning graft, as follows:</w:t>
      </w:r>
    </w:p>
    <w:p w:rsidR="00283A75" w:rsidRPr="00A77C54" w:rsidRDefault="00283A75" w:rsidP="007119CC">
      <w:pPr>
        <w:autoSpaceDE w:val="0"/>
        <w:autoSpaceDN w:val="0"/>
        <w:adjustRightInd w:val="0"/>
        <w:rPr>
          <w:rFonts w:ascii="Calibri" w:hAnsi="Calibri" w:cs="Calibri"/>
          <w:sz w:val="22"/>
          <w:szCs w:val="22"/>
        </w:rPr>
      </w:pPr>
    </w:p>
    <w:p w:rsidR="00283A75" w:rsidRPr="007119CC" w:rsidRDefault="00283A75" w:rsidP="007119CC">
      <w:pPr>
        <w:numPr>
          <w:ilvl w:val="0"/>
          <w:numId w:val="3"/>
        </w:numPr>
        <w:autoSpaceDE w:val="0"/>
        <w:autoSpaceDN w:val="0"/>
        <w:adjustRightInd w:val="0"/>
        <w:rPr>
          <w:rFonts w:ascii="Calibri" w:hAnsi="Calibri" w:cs="Calibri"/>
          <w:sz w:val="22"/>
          <w:szCs w:val="22"/>
        </w:rPr>
      </w:pPr>
      <w:r w:rsidRPr="007119CC">
        <w:rPr>
          <w:rFonts w:ascii="Calibri" w:hAnsi="Calibri" w:cs="Calibri"/>
          <w:b/>
          <w:sz w:val="22"/>
          <w:szCs w:val="22"/>
        </w:rPr>
        <w:t>Dialysis</w:t>
      </w:r>
      <w:r w:rsidRPr="007119CC">
        <w:rPr>
          <w:rFonts w:ascii="Calibri" w:hAnsi="Calibri" w:cs="Calibri"/>
          <w:sz w:val="22"/>
          <w:szCs w:val="22"/>
        </w:rPr>
        <w:t xml:space="preserve">: For enrollees in the dialysis status phase, the Medicare A/B baseline will be the </w:t>
      </w:r>
      <w:r>
        <w:rPr>
          <w:rFonts w:ascii="Calibri" w:hAnsi="Calibri" w:cs="Calibri"/>
          <w:sz w:val="22"/>
          <w:szCs w:val="22"/>
        </w:rPr>
        <w:t>CY 2014</w:t>
      </w:r>
      <w:r w:rsidRPr="007119CC">
        <w:rPr>
          <w:rFonts w:ascii="Calibri" w:hAnsi="Calibri" w:cs="Calibri"/>
          <w:sz w:val="22"/>
          <w:szCs w:val="22"/>
        </w:rPr>
        <w:t xml:space="preserve"> </w:t>
      </w:r>
      <w:r>
        <w:rPr>
          <w:rFonts w:ascii="Calibri" w:hAnsi="Calibri" w:cs="Calibri"/>
          <w:sz w:val="22"/>
          <w:szCs w:val="22"/>
        </w:rPr>
        <w:t xml:space="preserve">Massachusetts </w:t>
      </w:r>
      <w:r w:rsidRPr="007119CC">
        <w:rPr>
          <w:rFonts w:ascii="Calibri" w:hAnsi="Calibri" w:cs="Calibri"/>
          <w:sz w:val="22"/>
          <w:szCs w:val="22"/>
        </w:rPr>
        <w:t xml:space="preserve">ESRD dialysis state rate, updated to incorporate the impact of sequestration-related rate reductions. The </w:t>
      </w:r>
      <w:r>
        <w:rPr>
          <w:rFonts w:ascii="Calibri" w:hAnsi="Calibri" w:cs="Calibri"/>
          <w:sz w:val="22"/>
          <w:szCs w:val="22"/>
        </w:rPr>
        <w:t xml:space="preserve">CY 2014 ESRD dialysis state rate for Massachusetts </w:t>
      </w:r>
      <w:r w:rsidRPr="007119CC">
        <w:rPr>
          <w:rFonts w:ascii="Calibri" w:hAnsi="Calibri" w:cs="Calibri"/>
          <w:sz w:val="22"/>
          <w:szCs w:val="22"/>
        </w:rPr>
        <w:t>is $</w:t>
      </w:r>
      <w:r>
        <w:rPr>
          <w:rFonts w:ascii="Calibri" w:hAnsi="Calibri" w:cs="Calibri"/>
          <w:sz w:val="22"/>
          <w:szCs w:val="22"/>
        </w:rPr>
        <w:t>7,966.63</w:t>
      </w:r>
      <w:r w:rsidRPr="007119CC">
        <w:rPr>
          <w:rFonts w:ascii="Calibri" w:hAnsi="Calibri" w:cs="Calibri"/>
          <w:sz w:val="22"/>
          <w:szCs w:val="22"/>
        </w:rPr>
        <w:t xml:space="preserve"> PMPM; the updated </w:t>
      </w:r>
      <w:r>
        <w:rPr>
          <w:rFonts w:ascii="Calibri" w:hAnsi="Calibri" w:cs="Calibri"/>
          <w:sz w:val="22"/>
          <w:szCs w:val="22"/>
        </w:rPr>
        <w:t>CY 2014</w:t>
      </w:r>
      <w:r w:rsidRPr="007119CC">
        <w:rPr>
          <w:rFonts w:ascii="Calibri" w:hAnsi="Calibri" w:cs="Calibri"/>
          <w:sz w:val="22"/>
          <w:szCs w:val="22"/>
        </w:rPr>
        <w:t xml:space="preserve"> ESRD dialysis state rate incorporating a 2% sequestration reduction </w:t>
      </w:r>
      <w:r>
        <w:rPr>
          <w:rFonts w:ascii="Calibri" w:hAnsi="Calibri" w:cs="Calibri"/>
          <w:sz w:val="22"/>
          <w:szCs w:val="22"/>
        </w:rPr>
        <w:t xml:space="preserve">and prior to the application of the quality withhold </w:t>
      </w:r>
      <w:r w:rsidRPr="007119CC">
        <w:rPr>
          <w:rFonts w:ascii="Calibri" w:hAnsi="Calibri" w:cs="Calibri"/>
          <w:sz w:val="22"/>
          <w:szCs w:val="22"/>
        </w:rPr>
        <w:t>is $</w:t>
      </w:r>
      <w:r>
        <w:rPr>
          <w:rFonts w:ascii="Calibri" w:hAnsi="Calibri" w:cs="Calibri"/>
          <w:sz w:val="22"/>
          <w:szCs w:val="22"/>
        </w:rPr>
        <w:t>7,807.30</w:t>
      </w:r>
      <w:r w:rsidRPr="007119CC">
        <w:rPr>
          <w:rFonts w:ascii="Calibri" w:hAnsi="Calibri" w:cs="Calibri"/>
          <w:sz w:val="22"/>
          <w:szCs w:val="22"/>
        </w:rPr>
        <w:t xml:space="preserve"> PMPM. This will apply to applicable enrollees in all </w:t>
      </w:r>
      <w:r>
        <w:rPr>
          <w:rFonts w:ascii="Calibri" w:hAnsi="Calibri" w:cs="Calibri"/>
          <w:sz w:val="22"/>
          <w:szCs w:val="22"/>
        </w:rPr>
        <w:t xml:space="preserve">Demonstration </w:t>
      </w:r>
      <w:r w:rsidRPr="007119CC">
        <w:rPr>
          <w:rFonts w:ascii="Calibri" w:hAnsi="Calibri" w:cs="Calibri"/>
          <w:sz w:val="22"/>
          <w:szCs w:val="22"/>
        </w:rPr>
        <w:t>counties and will be risk adjusted using the existing HCC-ESRD risk adjustment model.</w:t>
      </w:r>
    </w:p>
    <w:p w:rsidR="00283A75" w:rsidRPr="00A77C54" w:rsidRDefault="00283A75" w:rsidP="007119CC">
      <w:pPr>
        <w:numPr>
          <w:ilvl w:val="0"/>
          <w:numId w:val="3"/>
        </w:numPr>
        <w:autoSpaceDE w:val="0"/>
        <w:autoSpaceDN w:val="0"/>
        <w:adjustRightInd w:val="0"/>
        <w:rPr>
          <w:rFonts w:ascii="Calibri" w:hAnsi="Calibri" w:cs="Calibri"/>
          <w:sz w:val="22"/>
          <w:szCs w:val="22"/>
        </w:rPr>
      </w:pPr>
      <w:r w:rsidRPr="00A77C54">
        <w:rPr>
          <w:rFonts w:ascii="Calibri" w:hAnsi="Calibri" w:cs="Calibri"/>
          <w:b/>
          <w:sz w:val="22"/>
          <w:szCs w:val="22"/>
        </w:rPr>
        <w:t>Transplant</w:t>
      </w:r>
      <w:r w:rsidRPr="00A77C54">
        <w:rPr>
          <w:rFonts w:ascii="Calibri" w:hAnsi="Calibri" w:cs="Calibri"/>
          <w:sz w:val="22"/>
          <w:szCs w:val="22"/>
        </w:rPr>
        <w:t>: For enrollees in the transplant status phase (inclusive of the 3-months post-transplant), the Medicare A/B baseline will be the</w:t>
      </w:r>
      <w:r>
        <w:rPr>
          <w:rFonts w:ascii="Calibri" w:hAnsi="Calibri" w:cs="Calibri"/>
          <w:sz w:val="22"/>
          <w:szCs w:val="22"/>
        </w:rPr>
        <w:t xml:space="preserve"> CY 2014 Massachusetts</w:t>
      </w:r>
      <w:r w:rsidRPr="00A77C54">
        <w:rPr>
          <w:rFonts w:ascii="Calibri" w:hAnsi="Calibri" w:cs="Calibri"/>
          <w:sz w:val="22"/>
          <w:szCs w:val="22"/>
        </w:rPr>
        <w:t xml:space="preserve"> ESRD dialysis state rate updated to incorporate the impact of sequestration-related rate reductions</w:t>
      </w:r>
      <w:r>
        <w:rPr>
          <w:rFonts w:ascii="Calibri" w:hAnsi="Calibri" w:cs="Calibri"/>
          <w:sz w:val="22"/>
          <w:szCs w:val="22"/>
        </w:rPr>
        <w:t xml:space="preserve">. </w:t>
      </w:r>
      <w:r w:rsidRPr="007119CC">
        <w:rPr>
          <w:rFonts w:ascii="Calibri" w:hAnsi="Calibri" w:cs="Calibri"/>
          <w:sz w:val="22"/>
          <w:szCs w:val="22"/>
        </w:rPr>
        <w:t xml:space="preserve">The </w:t>
      </w:r>
      <w:r>
        <w:rPr>
          <w:rFonts w:ascii="Calibri" w:hAnsi="Calibri" w:cs="Calibri"/>
          <w:sz w:val="22"/>
          <w:szCs w:val="22"/>
        </w:rPr>
        <w:t>CY 2014</w:t>
      </w:r>
      <w:r w:rsidRPr="007119CC">
        <w:rPr>
          <w:rFonts w:ascii="Calibri" w:hAnsi="Calibri" w:cs="Calibri"/>
          <w:sz w:val="22"/>
          <w:szCs w:val="22"/>
        </w:rPr>
        <w:t xml:space="preserve"> </w:t>
      </w:r>
      <w:r w:rsidRPr="00C015EA">
        <w:rPr>
          <w:rFonts w:ascii="Calibri" w:hAnsi="Calibri" w:cs="Calibri"/>
          <w:sz w:val="22"/>
          <w:szCs w:val="22"/>
        </w:rPr>
        <w:t>ESRD dialysis state rate for Massachusetts is $7,966.63 PMPM; the updated CY 2014 ESRD dialysis state rate incorporating a 2% sequestration reduction and prior to the application of the quality withhold is $7,807.30 PMPM</w:t>
      </w:r>
      <w:r w:rsidRPr="00A77C54">
        <w:rPr>
          <w:rFonts w:ascii="Calibri" w:hAnsi="Calibri" w:cs="Calibri"/>
          <w:sz w:val="22"/>
          <w:szCs w:val="22"/>
        </w:rPr>
        <w:t>. This will apply to applicable enrollees in all</w:t>
      </w:r>
      <w:r>
        <w:rPr>
          <w:rFonts w:ascii="Calibri" w:hAnsi="Calibri" w:cs="Calibri"/>
          <w:sz w:val="22"/>
          <w:szCs w:val="22"/>
        </w:rPr>
        <w:t xml:space="preserve"> Demonstration</w:t>
      </w:r>
      <w:r w:rsidRPr="00A77C54">
        <w:rPr>
          <w:rFonts w:ascii="Calibri" w:hAnsi="Calibri" w:cs="Calibri"/>
          <w:sz w:val="22"/>
          <w:szCs w:val="22"/>
        </w:rPr>
        <w:t xml:space="preserve"> counties and will be risk adjusted using the existing HCC-ESRD risk adjustment model.</w:t>
      </w:r>
    </w:p>
    <w:p w:rsidR="00283A75" w:rsidRDefault="00283A75" w:rsidP="007119CC">
      <w:pPr>
        <w:numPr>
          <w:ilvl w:val="0"/>
          <w:numId w:val="3"/>
        </w:numPr>
        <w:autoSpaceDE w:val="0"/>
        <w:autoSpaceDN w:val="0"/>
        <w:adjustRightInd w:val="0"/>
        <w:rPr>
          <w:rFonts w:ascii="Calibri" w:hAnsi="Calibri" w:cs="Calibri"/>
          <w:color w:val="000000"/>
          <w:sz w:val="22"/>
          <w:szCs w:val="22"/>
        </w:rPr>
      </w:pPr>
      <w:r w:rsidRPr="00A77C54">
        <w:rPr>
          <w:rFonts w:ascii="Calibri" w:hAnsi="Calibri" w:cs="Calibri"/>
          <w:b/>
          <w:color w:val="000000"/>
          <w:sz w:val="22"/>
          <w:szCs w:val="22"/>
        </w:rPr>
        <w:t>Functioning Graft:</w:t>
      </w:r>
      <w:r w:rsidRPr="00A77C54">
        <w:rPr>
          <w:rFonts w:ascii="Calibri" w:hAnsi="Calibri" w:cs="Calibri"/>
          <w:color w:val="000000"/>
          <w:sz w:val="22"/>
          <w:szCs w:val="22"/>
        </w:rPr>
        <w:t xml:space="preserve"> For enrollees in the functioning graft status phase (beginning at 4 months post-transplant) the Medicare A/B baseline will be the Medicare Advantage 3-star county rate</w:t>
      </w:r>
      <w:r>
        <w:rPr>
          <w:rFonts w:ascii="Calibri" w:hAnsi="Calibri" w:cs="Calibri"/>
          <w:color w:val="000000"/>
          <w:sz w:val="22"/>
          <w:szCs w:val="22"/>
        </w:rPr>
        <w:t>/benchmark (see table below)</w:t>
      </w:r>
      <w:r w:rsidRPr="00A77C54">
        <w:rPr>
          <w:rFonts w:ascii="Calibri" w:hAnsi="Calibri" w:cs="Calibri"/>
          <w:color w:val="000000"/>
          <w:sz w:val="22"/>
          <w:szCs w:val="22"/>
        </w:rPr>
        <w:t>. This Medicare A/B component will be risk adjusted using the existing HCC-ESRD risk adjustment model.</w:t>
      </w:r>
    </w:p>
    <w:p w:rsidR="00283A75" w:rsidRPr="00A77C54" w:rsidRDefault="00283A75" w:rsidP="005D02C0">
      <w:pPr>
        <w:spacing w:after="200" w:line="276" w:lineRule="auto"/>
        <w:rPr>
          <w:rFonts w:ascii="Calibri" w:hAnsi="Calibri" w:cs="Calibri"/>
          <w:sz w:val="22"/>
          <w:szCs w:val="22"/>
        </w:rPr>
      </w:pPr>
      <w:r>
        <w:rPr>
          <w:rFonts w:ascii="Calibri" w:hAnsi="Calibri" w:cs="Calibri"/>
          <w:color w:val="000000"/>
          <w:sz w:val="22"/>
          <w:szCs w:val="22"/>
        </w:rPr>
        <w:br w:type="page"/>
      </w:r>
      <w:r w:rsidRPr="00A77C54">
        <w:rPr>
          <w:rFonts w:ascii="Calibri" w:hAnsi="Calibri" w:cs="Calibri"/>
          <w:sz w:val="22"/>
          <w:szCs w:val="22"/>
        </w:rPr>
        <w:lastRenderedPageBreak/>
        <w:t>A savings percentage will not be applied to the Medicare A/B baseline for enrollees with ESRD (inclusive of those enrollees in the dialysis, transplant and functioning graft status phases).</w:t>
      </w:r>
    </w:p>
    <w:p w:rsidR="00283A75" w:rsidRDefault="00283A75" w:rsidP="00C01D88"/>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1679"/>
        <w:gridCol w:w="2491"/>
        <w:gridCol w:w="2178"/>
      </w:tblGrid>
      <w:tr w:rsidR="00283A75" w:rsidRPr="007119CC" w:rsidTr="007119CC">
        <w:tc>
          <w:tcPr>
            <w:tcW w:w="8658" w:type="dxa"/>
            <w:gridSpan w:val="4"/>
            <w:shd w:val="pct15" w:color="auto" w:fill="auto"/>
          </w:tcPr>
          <w:p w:rsidR="00283A75" w:rsidRPr="007119CC" w:rsidRDefault="00283A75" w:rsidP="007119CC">
            <w:pPr>
              <w:autoSpaceDE w:val="0"/>
              <w:autoSpaceDN w:val="0"/>
              <w:adjustRightInd w:val="0"/>
              <w:rPr>
                <w:rFonts w:ascii="Calibri" w:hAnsi="Calibri" w:cs="Calibri"/>
                <w:b/>
                <w:color w:val="000000"/>
              </w:rPr>
            </w:pPr>
            <w:r>
              <w:rPr>
                <w:rFonts w:ascii="Calibri" w:hAnsi="Calibri" w:cs="Calibri"/>
                <w:b/>
                <w:color w:val="000000"/>
                <w:sz w:val="22"/>
                <w:szCs w:val="22"/>
              </w:rPr>
              <w:t xml:space="preserve">CY 2014 </w:t>
            </w:r>
            <w:r w:rsidRPr="007119CC">
              <w:rPr>
                <w:rFonts w:ascii="Calibri" w:hAnsi="Calibri" w:cs="Calibri"/>
                <w:b/>
                <w:color w:val="000000"/>
                <w:sz w:val="22"/>
                <w:szCs w:val="22"/>
              </w:rPr>
              <w:t xml:space="preserve">Medicare A/B Baseline PMPM, ESRD Beneficiaries in Functioning Graft Status, Standardized 1.0 Risk </w:t>
            </w:r>
            <w:r>
              <w:rPr>
                <w:rFonts w:ascii="Calibri" w:hAnsi="Calibri" w:cs="Calibri"/>
                <w:b/>
                <w:color w:val="000000"/>
                <w:sz w:val="22"/>
                <w:szCs w:val="22"/>
              </w:rPr>
              <w:t>Score, by Demonstration County</w:t>
            </w:r>
          </w:p>
        </w:tc>
      </w:tr>
      <w:tr w:rsidR="00283A75" w:rsidRPr="007119CC" w:rsidTr="004D6FAF">
        <w:tc>
          <w:tcPr>
            <w:tcW w:w="2310" w:type="dxa"/>
          </w:tcPr>
          <w:p w:rsidR="00283A75" w:rsidRPr="003E6E67" w:rsidRDefault="00283A75" w:rsidP="004D6FAF">
            <w:pPr>
              <w:pStyle w:val="ListParagraph"/>
              <w:autoSpaceDE w:val="0"/>
              <w:autoSpaceDN w:val="0"/>
              <w:adjustRightInd w:val="0"/>
              <w:rPr>
                <w:rFonts w:ascii="Calibri" w:hAnsi="Calibri" w:cs="Calibri"/>
                <w:lang w:eastAsia="en-US"/>
              </w:rPr>
            </w:pPr>
            <w:r w:rsidRPr="003E6E67">
              <w:rPr>
                <w:rFonts w:ascii="Calibri" w:hAnsi="Calibri" w:cs="Calibri"/>
                <w:b/>
                <w:bCs/>
                <w:color w:val="000000"/>
                <w:sz w:val="22"/>
                <w:szCs w:val="22"/>
                <w:lang w:eastAsia="en-US"/>
              </w:rPr>
              <w:t>County</w:t>
            </w:r>
          </w:p>
        </w:tc>
        <w:tc>
          <w:tcPr>
            <w:tcW w:w="1679" w:type="dxa"/>
          </w:tcPr>
          <w:p w:rsidR="00283A75" w:rsidRPr="003E6E67" w:rsidRDefault="00283A75" w:rsidP="004D6FAF">
            <w:pPr>
              <w:pStyle w:val="ListParagraph"/>
              <w:autoSpaceDE w:val="0"/>
              <w:autoSpaceDN w:val="0"/>
              <w:adjustRightInd w:val="0"/>
              <w:rPr>
                <w:rFonts w:ascii="Calibri" w:hAnsi="Calibri" w:cs="Calibri"/>
                <w:lang w:eastAsia="en-US"/>
              </w:rPr>
            </w:pPr>
            <w:r w:rsidRPr="003E6E67">
              <w:rPr>
                <w:rFonts w:ascii="Calibri" w:hAnsi="Calibri" w:cs="Calibri"/>
                <w:color w:val="000000"/>
                <w:sz w:val="22"/>
                <w:szCs w:val="22"/>
                <w:lang w:eastAsia="en-US"/>
              </w:rPr>
              <w:t>CY 2014 3-Star County Rate (Benchmark)</w:t>
            </w:r>
          </w:p>
        </w:tc>
        <w:tc>
          <w:tcPr>
            <w:tcW w:w="2491" w:type="dxa"/>
          </w:tcPr>
          <w:p w:rsidR="00283A75" w:rsidRPr="003E6E67" w:rsidRDefault="00283A75" w:rsidP="004D6FAF">
            <w:pPr>
              <w:pStyle w:val="ListParagraph"/>
              <w:autoSpaceDE w:val="0"/>
              <w:autoSpaceDN w:val="0"/>
              <w:adjustRightInd w:val="0"/>
              <w:rPr>
                <w:rFonts w:ascii="Calibri" w:hAnsi="Calibri" w:cs="Calibri"/>
                <w:lang w:eastAsia="en-US"/>
              </w:rPr>
            </w:pPr>
            <w:r w:rsidRPr="003E6E67">
              <w:rPr>
                <w:rFonts w:ascii="Calibri" w:hAnsi="Calibri" w:cs="Calibri"/>
                <w:color w:val="000000"/>
                <w:sz w:val="22"/>
                <w:szCs w:val="22"/>
                <w:lang w:eastAsia="en-US"/>
              </w:rPr>
              <w:t xml:space="preserve">CY 2014 </w:t>
            </w:r>
            <w:r w:rsidRPr="003E6E67">
              <w:rPr>
                <w:rFonts w:ascii="Calibri" w:hAnsi="Calibri" w:cs="Calibri"/>
                <w:sz w:val="22"/>
                <w:szCs w:val="22"/>
                <w:lang w:eastAsia="en-US"/>
              </w:rPr>
              <w:t xml:space="preserve"> Final Medicare A/B PMPM Baseline</w:t>
            </w:r>
          </w:p>
          <w:p w:rsidR="00283A75" w:rsidRPr="003E6E67" w:rsidRDefault="00283A75" w:rsidP="004D6FAF">
            <w:pPr>
              <w:pStyle w:val="ListParagraph"/>
              <w:autoSpaceDE w:val="0"/>
              <w:autoSpaceDN w:val="0"/>
              <w:adjustRightInd w:val="0"/>
              <w:rPr>
                <w:rFonts w:ascii="Calibri" w:hAnsi="Calibri" w:cs="Calibri"/>
                <w:lang w:eastAsia="en-US"/>
              </w:rPr>
            </w:pPr>
          </w:p>
          <w:p w:rsidR="00283A75" w:rsidRPr="003E6E67" w:rsidRDefault="00283A75" w:rsidP="004D6FAF">
            <w:pPr>
              <w:pStyle w:val="ListParagraph"/>
              <w:autoSpaceDE w:val="0"/>
              <w:autoSpaceDN w:val="0"/>
              <w:adjustRightInd w:val="0"/>
              <w:rPr>
                <w:rFonts w:ascii="Calibri" w:hAnsi="Calibri" w:cs="Calibri"/>
                <w:lang w:eastAsia="en-US"/>
              </w:rPr>
            </w:pPr>
            <w:r w:rsidRPr="003E6E67">
              <w:rPr>
                <w:rFonts w:ascii="Calibri" w:hAnsi="Calibri" w:cs="Calibri"/>
                <w:sz w:val="22"/>
                <w:szCs w:val="22"/>
                <w:lang w:eastAsia="en-US"/>
              </w:rPr>
              <w:t xml:space="preserve">(increased to offset application of coding intensity adjustment factor in </w:t>
            </w:r>
            <w:r w:rsidRPr="003E6E67">
              <w:rPr>
                <w:rFonts w:ascii="Calibri" w:hAnsi="Calibri" w:cs="Calibri"/>
                <w:color w:val="000000"/>
                <w:sz w:val="22"/>
                <w:szCs w:val="22"/>
                <w:lang w:eastAsia="en-US"/>
              </w:rPr>
              <w:t>CY 2014</w:t>
            </w:r>
            <w:r w:rsidRPr="003E6E67">
              <w:rPr>
                <w:rFonts w:ascii="Calibri" w:hAnsi="Calibri" w:cs="Calibri"/>
                <w:sz w:val="22"/>
                <w:szCs w:val="22"/>
                <w:lang w:eastAsia="en-US"/>
              </w:rPr>
              <w:t>)*</w:t>
            </w:r>
          </w:p>
        </w:tc>
        <w:tc>
          <w:tcPr>
            <w:tcW w:w="2178" w:type="dxa"/>
          </w:tcPr>
          <w:p w:rsidR="00283A75" w:rsidRPr="007119CC" w:rsidRDefault="00283A75" w:rsidP="004D6FAF">
            <w:pPr>
              <w:rPr>
                <w:rFonts w:ascii="Calibri" w:hAnsi="Calibri" w:cs="Calibri"/>
                <w:color w:val="000000"/>
              </w:rPr>
            </w:pPr>
            <w:r>
              <w:rPr>
                <w:rFonts w:ascii="Calibri" w:hAnsi="Calibri" w:cs="Calibri"/>
                <w:color w:val="000000"/>
                <w:sz w:val="22"/>
                <w:szCs w:val="22"/>
              </w:rPr>
              <w:t>CY 2014</w:t>
            </w:r>
            <w:r w:rsidRPr="007119CC">
              <w:rPr>
                <w:rFonts w:ascii="Calibri" w:hAnsi="Calibri" w:cs="Calibri"/>
                <w:color w:val="000000"/>
                <w:sz w:val="22"/>
                <w:szCs w:val="22"/>
              </w:rPr>
              <w:t xml:space="preserve">  Sequestration Adjusted Rate </w:t>
            </w:r>
          </w:p>
          <w:p w:rsidR="00283A75" w:rsidRPr="007119CC" w:rsidRDefault="00283A75" w:rsidP="004D6FAF">
            <w:pPr>
              <w:rPr>
                <w:rFonts w:ascii="Calibri" w:hAnsi="Calibri" w:cs="Calibri"/>
                <w:color w:val="000000"/>
              </w:rPr>
            </w:pPr>
            <w:r w:rsidRPr="007119CC">
              <w:rPr>
                <w:rFonts w:ascii="Calibri" w:hAnsi="Calibri" w:cs="Calibri"/>
                <w:color w:val="000000"/>
                <w:sz w:val="22"/>
                <w:szCs w:val="22"/>
              </w:rPr>
              <w:br/>
              <w:t>(after application of 2% sequestration reduction and prior to quality withhold)</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Essex</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878.65</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924.02</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905.54</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Franklin</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871.18</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916.16</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897.84</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Hampden</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832.59</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875.58</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858.07</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Hampshire</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820.93</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863.32</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846.05</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Middlesex</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892.32</w:t>
            </w:r>
          </w:p>
        </w:tc>
        <w:tc>
          <w:tcPr>
            <w:tcW w:w="2491" w:type="dxa"/>
          </w:tcPr>
          <w:p w:rsidR="00634CAF" w:rsidRPr="00351A0C" w:rsidRDefault="00634CAF" w:rsidP="00F93994">
            <w:pPr>
              <w:jc w:val="right"/>
              <w:rPr>
                <w:rFonts w:asciiTheme="minorHAnsi" w:hAnsiTheme="minorHAnsi" w:cstheme="minorHAnsi"/>
                <w:sz w:val="22"/>
                <w:szCs w:val="22"/>
              </w:rPr>
            </w:pPr>
            <w:r w:rsidRPr="00351A0C">
              <w:rPr>
                <w:rFonts w:asciiTheme="minorHAnsi" w:hAnsiTheme="minorHAnsi" w:cstheme="minorHAnsi"/>
                <w:sz w:val="22"/>
                <w:szCs w:val="22"/>
              </w:rPr>
              <w:t>938.</w:t>
            </w:r>
            <w:r w:rsidR="00F93994" w:rsidRPr="00351A0C">
              <w:rPr>
                <w:rFonts w:asciiTheme="minorHAnsi" w:hAnsiTheme="minorHAnsi" w:cstheme="minorHAnsi"/>
                <w:sz w:val="22"/>
                <w:szCs w:val="22"/>
              </w:rPr>
              <w:t>39</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919.62</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Norfolk</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905.31</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952.0</w:t>
            </w:r>
            <w:r w:rsidR="00A81C5B" w:rsidRPr="00351A0C">
              <w:rPr>
                <w:rFonts w:asciiTheme="minorHAnsi" w:hAnsiTheme="minorHAnsi" w:cstheme="minorHAnsi"/>
                <w:sz w:val="22"/>
                <w:szCs w:val="22"/>
              </w:rPr>
              <w:t>5</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933.01</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Plymouth</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911.89</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958.98</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939.80</w:t>
            </w:r>
          </w:p>
        </w:tc>
      </w:tr>
      <w:tr w:rsidR="00634CAF" w:rsidRPr="00EB4298" w:rsidTr="00AE626B">
        <w:trPr>
          <w:trHeight w:val="70"/>
        </w:trPr>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Suffolk</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965.41</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1,015.26</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994.95</w:t>
            </w:r>
          </w:p>
        </w:tc>
      </w:tr>
      <w:tr w:rsidR="00634CAF" w:rsidRPr="00EB4298" w:rsidTr="00AE626B">
        <w:tc>
          <w:tcPr>
            <w:tcW w:w="2310" w:type="dxa"/>
            <w:vAlign w:val="bottom"/>
          </w:tcPr>
          <w:p w:rsidR="00634CAF" w:rsidRPr="00C25646" w:rsidRDefault="00634CAF" w:rsidP="00C015EA">
            <w:pPr>
              <w:rPr>
                <w:rFonts w:asciiTheme="minorHAnsi" w:hAnsiTheme="minorHAnsi" w:cstheme="minorHAnsi"/>
                <w:color w:val="000000"/>
                <w:sz w:val="22"/>
                <w:szCs w:val="22"/>
              </w:rPr>
            </w:pPr>
            <w:r w:rsidRPr="00C25646">
              <w:rPr>
                <w:rFonts w:asciiTheme="minorHAnsi" w:hAnsiTheme="minorHAnsi" w:cstheme="minorHAnsi"/>
                <w:color w:val="000000"/>
                <w:sz w:val="22"/>
                <w:szCs w:val="22"/>
              </w:rPr>
              <w:t>Worcester</w:t>
            </w:r>
          </w:p>
        </w:tc>
        <w:tc>
          <w:tcPr>
            <w:tcW w:w="1679"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848.48</w:t>
            </w:r>
          </w:p>
        </w:tc>
        <w:tc>
          <w:tcPr>
            <w:tcW w:w="2491" w:type="dxa"/>
          </w:tcPr>
          <w:p w:rsidR="00634CAF" w:rsidRPr="00351A0C" w:rsidRDefault="00634CAF">
            <w:pPr>
              <w:jc w:val="right"/>
              <w:rPr>
                <w:rFonts w:asciiTheme="minorHAnsi" w:hAnsiTheme="minorHAnsi" w:cstheme="minorHAnsi"/>
                <w:sz w:val="22"/>
                <w:szCs w:val="22"/>
              </w:rPr>
            </w:pPr>
            <w:r w:rsidRPr="00351A0C">
              <w:rPr>
                <w:rFonts w:asciiTheme="minorHAnsi" w:hAnsiTheme="minorHAnsi" w:cstheme="minorHAnsi"/>
                <w:sz w:val="22"/>
                <w:szCs w:val="22"/>
              </w:rPr>
              <w:t>892.29</w:t>
            </w:r>
          </w:p>
        </w:tc>
        <w:tc>
          <w:tcPr>
            <w:tcW w:w="2178" w:type="dxa"/>
            <w:vAlign w:val="center"/>
          </w:tcPr>
          <w:p w:rsidR="00634CAF" w:rsidRPr="00351A0C" w:rsidRDefault="00634CAF">
            <w:pPr>
              <w:jc w:val="right"/>
              <w:rPr>
                <w:rFonts w:asciiTheme="minorHAnsi" w:hAnsiTheme="minorHAnsi" w:cstheme="minorHAnsi"/>
                <w:color w:val="000000"/>
                <w:sz w:val="22"/>
                <w:szCs w:val="22"/>
              </w:rPr>
            </w:pPr>
            <w:r w:rsidRPr="00351A0C">
              <w:rPr>
                <w:rFonts w:asciiTheme="minorHAnsi" w:hAnsiTheme="minorHAnsi" w:cstheme="minorHAnsi"/>
                <w:color w:val="000000"/>
                <w:sz w:val="22"/>
                <w:szCs w:val="22"/>
              </w:rPr>
              <w:t>874.44</w:t>
            </w:r>
          </w:p>
        </w:tc>
      </w:tr>
    </w:tbl>
    <w:p w:rsidR="00283A75" w:rsidRPr="00AD1E7C" w:rsidRDefault="00283A75" w:rsidP="00AD1E7C">
      <w:pPr>
        <w:autoSpaceDE w:val="0"/>
        <w:autoSpaceDN w:val="0"/>
        <w:adjustRightInd w:val="0"/>
        <w:ind w:left="450"/>
        <w:rPr>
          <w:rFonts w:ascii="Calibri" w:hAnsi="Calibri" w:cs="Calibri"/>
          <w:color w:val="000000"/>
          <w:sz w:val="20"/>
          <w:szCs w:val="20"/>
        </w:rPr>
      </w:pPr>
      <w:r w:rsidRPr="00F51B5F">
        <w:rPr>
          <w:rFonts w:ascii="Calibri" w:hAnsi="Calibri" w:cs="Calibri"/>
          <w:color w:val="000000"/>
          <w:sz w:val="20"/>
          <w:szCs w:val="20"/>
        </w:rPr>
        <w:t>*</w:t>
      </w:r>
      <w:r w:rsidRPr="00F51B5F">
        <w:rPr>
          <w:rFonts w:ascii="Calibri" w:hAnsi="Calibri" w:cs="Calibri"/>
          <w:sz w:val="20"/>
          <w:szCs w:val="20"/>
        </w:rPr>
        <w:t>F</w:t>
      </w:r>
      <w:r w:rsidRPr="00F51B5F">
        <w:rPr>
          <w:rFonts w:ascii="Calibri" w:hAnsi="Calibri" w:cs="Calibri"/>
          <w:color w:val="000000"/>
          <w:sz w:val="20"/>
          <w:szCs w:val="20"/>
        </w:rPr>
        <w:t>or CY 2014 CMS will establish rates in a manner that does not lead to lower amounts for this coding</w:t>
      </w:r>
      <w:r w:rsidRPr="007119CC">
        <w:rPr>
          <w:rFonts w:ascii="Calibri" w:hAnsi="Calibri" w:cs="Calibri"/>
          <w:color w:val="000000"/>
          <w:sz w:val="20"/>
          <w:szCs w:val="20"/>
        </w:rPr>
        <w:t xml:space="preserve"> intensity adjustment.  Operationally, due to systems limitations, CMS will still apply the coding intensity </w:t>
      </w:r>
      <w:r w:rsidRPr="00AD1E7C">
        <w:rPr>
          <w:rFonts w:ascii="Calibri" w:hAnsi="Calibri" w:cs="Calibri"/>
          <w:color w:val="000000"/>
          <w:sz w:val="20"/>
          <w:szCs w:val="20"/>
        </w:rPr>
        <w:t xml:space="preserve">adjustment factor to the risk scores but has increased the Medicare </w:t>
      </w:r>
      <w:r>
        <w:rPr>
          <w:rFonts w:ascii="Calibri" w:hAnsi="Calibri" w:cs="Calibri"/>
          <w:color w:val="000000"/>
          <w:sz w:val="20"/>
          <w:szCs w:val="20"/>
        </w:rPr>
        <w:t xml:space="preserve">A/B baseline for beneficiaries </w:t>
      </w:r>
      <w:r w:rsidRPr="00AD1E7C">
        <w:rPr>
          <w:rFonts w:ascii="Calibri" w:hAnsi="Calibri" w:cs="Calibri"/>
          <w:color w:val="000000"/>
          <w:sz w:val="20"/>
          <w:szCs w:val="20"/>
        </w:rPr>
        <w:t xml:space="preserve">with an ESRD status of functioning graft to offset this.  Specifically, CMS has increased the Medicare A/B baseline by a corresponding percentage; as above, the </w:t>
      </w:r>
      <w:r>
        <w:rPr>
          <w:rFonts w:ascii="Calibri" w:hAnsi="Calibri" w:cs="Calibri"/>
          <w:color w:val="000000"/>
          <w:sz w:val="20"/>
          <w:szCs w:val="20"/>
        </w:rPr>
        <w:t>CY 2014</w:t>
      </w:r>
      <w:r w:rsidRPr="00AD1E7C">
        <w:rPr>
          <w:rFonts w:ascii="Calibri" w:hAnsi="Calibri" w:cs="Calibri"/>
          <w:color w:val="000000"/>
          <w:sz w:val="20"/>
          <w:szCs w:val="20"/>
        </w:rPr>
        <w:t xml:space="preserve"> Updated Medicare A/B Baseline is divided by (1-the </w:t>
      </w:r>
      <w:r>
        <w:rPr>
          <w:rFonts w:ascii="Calibri" w:hAnsi="Calibri" w:cs="Calibri"/>
          <w:color w:val="000000"/>
          <w:sz w:val="20"/>
          <w:szCs w:val="20"/>
        </w:rPr>
        <w:t>CY 2014</w:t>
      </w:r>
      <w:r w:rsidRPr="00AD1E7C">
        <w:rPr>
          <w:rFonts w:ascii="Calibri" w:hAnsi="Calibri" w:cs="Calibri"/>
          <w:color w:val="000000"/>
          <w:sz w:val="20"/>
          <w:szCs w:val="20"/>
        </w:rPr>
        <w:t xml:space="preserve"> coding intensity adjustment factor of </w:t>
      </w:r>
      <w:r>
        <w:rPr>
          <w:rFonts w:ascii="Calibri" w:hAnsi="Calibri" w:cs="Calibri"/>
          <w:color w:val="000000"/>
          <w:sz w:val="20"/>
          <w:szCs w:val="20"/>
        </w:rPr>
        <w:t>4.91</w:t>
      </w:r>
      <w:r w:rsidRPr="00AD1E7C">
        <w:rPr>
          <w:rFonts w:ascii="Calibri" w:hAnsi="Calibri" w:cs="Calibri"/>
          <w:color w:val="000000"/>
          <w:sz w:val="20"/>
          <w:szCs w:val="20"/>
        </w:rPr>
        <w:t xml:space="preserve">%) to determine the </w:t>
      </w:r>
      <w:r>
        <w:rPr>
          <w:rFonts w:ascii="Calibri" w:hAnsi="Calibri" w:cs="Calibri"/>
          <w:color w:val="000000"/>
          <w:sz w:val="20"/>
          <w:szCs w:val="20"/>
        </w:rPr>
        <w:t>CY 2014</w:t>
      </w:r>
      <w:r w:rsidRPr="00AD1E7C">
        <w:rPr>
          <w:rFonts w:ascii="Calibri" w:hAnsi="Calibri" w:cs="Calibri"/>
          <w:color w:val="000000"/>
          <w:sz w:val="20"/>
          <w:szCs w:val="20"/>
        </w:rPr>
        <w:t xml:space="preserve"> Final Medicare A/B Baseline.</w:t>
      </w:r>
      <w:r w:rsidRPr="00AD1E7C">
        <w:rPr>
          <w:rFonts w:ascii="Calibri" w:hAnsi="Calibri" w:cs="Calibri"/>
          <w:iCs/>
          <w:sz w:val="20"/>
          <w:szCs w:val="20"/>
        </w:rPr>
        <w:t xml:space="preserve"> For beneficiaries with an ESRD status of functioning graft status, the prospective payment will not include the adjustment to offset the application of coding intensity adjustment factor; this payment adjustment will be made on a retrospective basis.</w:t>
      </w:r>
    </w:p>
    <w:p w:rsidR="00283A75" w:rsidRPr="00AD1E7C" w:rsidRDefault="00283A75" w:rsidP="00524025">
      <w:pPr>
        <w:autoSpaceDE w:val="0"/>
        <w:autoSpaceDN w:val="0"/>
        <w:adjustRightInd w:val="0"/>
        <w:ind w:left="450"/>
        <w:rPr>
          <w:rFonts w:ascii="Calibri" w:hAnsi="Calibri" w:cs="Calibri"/>
          <w:color w:val="000000"/>
          <w:sz w:val="20"/>
          <w:szCs w:val="20"/>
        </w:rPr>
      </w:pPr>
    </w:p>
    <w:p w:rsidR="00283A75" w:rsidRDefault="00283A75" w:rsidP="00524025">
      <w:pPr>
        <w:ind w:left="540"/>
        <w:rPr>
          <w:rFonts w:ascii="Calibri" w:hAnsi="Calibri" w:cs="Calibri"/>
          <w:sz w:val="22"/>
          <w:szCs w:val="22"/>
        </w:rPr>
      </w:pP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i/>
          <w:color w:val="000000"/>
          <w:sz w:val="22"/>
          <w:szCs w:val="22"/>
        </w:rPr>
        <w:t xml:space="preserve">Beneficiaries Electing the Medicare Hospice Benefit: </w:t>
      </w:r>
      <w:r w:rsidRPr="00A77C54">
        <w:rPr>
          <w:rFonts w:ascii="Calibri" w:hAnsi="Calibri" w:cs="Calibri"/>
          <w:color w:val="000000"/>
          <w:sz w:val="22"/>
          <w:szCs w:val="22"/>
        </w:rPr>
        <w:t xml:space="preserve">If an enrollee elects to receive the Medicare hospice benefit, the enrollee will remain in the Demonstration but will obtain the hospice services through the Medicare FFS benefit. The </w:t>
      </w:r>
      <w:r>
        <w:rPr>
          <w:rFonts w:ascii="Calibri" w:hAnsi="Calibri" w:cs="Calibri"/>
          <w:color w:val="000000"/>
          <w:sz w:val="22"/>
          <w:szCs w:val="22"/>
        </w:rPr>
        <w:t xml:space="preserve">One Care plan </w:t>
      </w:r>
      <w:r w:rsidRPr="00A77C54">
        <w:rPr>
          <w:rFonts w:ascii="Calibri" w:hAnsi="Calibri" w:cs="Calibri"/>
          <w:color w:val="000000"/>
          <w:sz w:val="22"/>
          <w:szCs w:val="22"/>
        </w:rPr>
        <w:t xml:space="preserve">will no longer receive the Medicare A/B payment for that enrollee. Medicare hospice services and all other Original Medicare services will be paid under Medicare FFS. </w:t>
      </w:r>
      <w:r>
        <w:rPr>
          <w:rFonts w:ascii="Calibri" w:hAnsi="Calibri" w:cs="Calibri"/>
          <w:color w:val="000000"/>
          <w:sz w:val="22"/>
          <w:szCs w:val="22"/>
        </w:rPr>
        <w:t xml:space="preserve"> One Care plans </w:t>
      </w:r>
      <w:r w:rsidRPr="00A77C54">
        <w:rPr>
          <w:rFonts w:ascii="Calibri" w:hAnsi="Calibri" w:cs="Calibri"/>
          <w:color w:val="000000"/>
          <w:sz w:val="22"/>
          <w:szCs w:val="22"/>
        </w:rPr>
        <w:t xml:space="preserve">and providers of hospice services will be required to coordinate these services with the rest of the enrollee’s care, including with Medicaid and Part D benefits and any additional benefits </w:t>
      </w:r>
      <w:r w:rsidRPr="00C015EA">
        <w:rPr>
          <w:rFonts w:ascii="Calibri" w:hAnsi="Calibri" w:cs="Calibri"/>
          <w:color w:val="000000"/>
          <w:sz w:val="22"/>
          <w:szCs w:val="22"/>
        </w:rPr>
        <w:t>offered by the One Care plans.  One Care plans will continue to receive the Medicare Part D and</w:t>
      </w:r>
      <w:r w:rsidRPr="00A77C54">
        <w:rPr>
          <w:rFonts w:ascii="Calibri" w:hAnsi="Calibri" w:cs="Calibri"/>
          <w:color w:val="000000"/>
          <w:sz w:val="22"/>
          <w:szCs w:val="22"/>
        </w:rPr>
        <w:t xml:space="preserve"> Medicaid payments, for which no changes would occur. </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 xml:space="preserve">Medicare Part D Services </w:t>
      </w:r>
    </w:p>
    <w:p w:rsidR="00283A75" w:rsidRPr="002E475C" w:rsidRDefault="00283A75" w:rsidP="00C145F3">
      <w:pPr>
        <w:rPr>
          <w:rFonts w:ascii="Calibri" w:hAnsi="Calibri" w:cs="Calibri"/>
          <w:sz w:val="22"/>
          <w:szCs w:val="22"/>
        </w:rPr>
      </w:pPr>
      <w:r w:rsidRPr="002E475C">
        <w:rPr>
          <w:rFonts w:ascii="Calibri" w:hAnsi="Calibri" w:cs="Calibri"/>
          <w:color w:val="000000"/>
          <w:sz w:val="22"/>
          <w:szCs w:val="22"/>
        </w:rPr>
        <w:t>The Part D plan payment</w:t>
      </w:r>
      <w:r>
        <w:rPr>
          <w:rFonts w:ascii="Calibri" w:hAnsi="Calibri" w:cs="Calibri"/>
          <w:color w:val="000000"/>
          <w:sz w:val="22"/>
          <w:szCs w:val="22"/>
        </w:rPr>
        <w:t xml:space="preserve"> </w:t>
      </w:r>
      <w:r w:rsidRPr="002E475C">
        <w:rPr>
          <w:rFonts w:ascii="Calibri" w:hAnsi="Calibri" w:cs="Calibri"/>
          <w:color w:val="000000"/>
          <w:sz w:val="22"/>
          <w:szCs w:val="22"/>
        </w:rPr>
        <w:t xml:space="preserve">will be the </w:t>
      </w:r>
      <w:r>
        <w:rPr>
          <w:rFonts w:ascii="Calibri" w:hAnsi="Calibri" w:cs="Calibri"/>
          <w:color w:val="000000"/>
          <w:sz w:val="22"/>
          <w:szCs w:val="22"/>
        </w:rPr>
        <w:t xml:space="preserve">risk adjusted </w:t>
      </w:r>
      <w:r w:rsidRPr="002E475C">
        <w:rPr>
          <w:rFonts w:ascii="Calibri" w:hAnsi="Calibri" w:cs="Calibri"/>
          <w:color w:val="000000"/>
          <w:sz w:val="22"/>
          <w:szCs w:val="22"/>
        </w:rPr>
        <w:t>Part D national average monthly bid amount (NAMBA) for the payment year, adjusted for payment reductions resulting from sequestration applied to the non-</w:t>
      </w:r>
      <w:r w:rsidRPr="002E475C">
        <w:rPr>
          <w:rFonts w:ascii="Calibri" w:hAnsi="Calibri" w:cs="Calibri"/>
          <w:color w:val="000000"/>
          <w:sz w:val="22"/>
          <w:szCs w:val="22"/>
        </w:rPr>
        <w:lastRenderedPageBreak/>
        <w:t xml:space="preserve">premium portion of the NAMBA.  The non-premium portion is determined by subtracting the applicable regional </w:t>
      </w:r>
      <w:r w:rsidRPr="00C015EA">
        <w:rPr>
          <w:rFonts w:ascii="Calibri" w:hAnsi="Calibri" w:cs="Calibri"/>
          <w:color w:val="000000"/>
          <w:sz w:val="22"/>
          <w:szCs w:val="22"/>
        </w:rPr>
        <w:t>Low-Income Premium Subsidy Amount from the risk adjusted NAMBA.  To illustrate, the NAMBA for CY 2014 is $75.88 and the CY 2014 Low-Income Premium Subsidy Amount for Massachusetts is $27.99.  Thus, the updated Massachusetts Part D monthly per member per month payment for a beneficiary with a 1.0 RxHCC risk score applicable for CY 2014 is $74.92.   This amount incorporates a 2% sequestration reduction to the non-premium portion of the NAMBA.</w:t>
      </w:r>
      <w:r w:rsidRPr="002E475C">
        <w:rPr>
          <w:rFonts w:ascii="Calibri" w:hAnsi="Calibri" w:cs="Calibri"/>
          <w:color w:val="000000"/>
          <w:sz w:val="22"/>
          <w:szCs w:val="22"/>
        </w:rPr>
        <w:t xml:space="preserve">  </w:t>
      </w: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CMS will pay an average monthly prospective payment amount for the low income cost-sharing subsidy and Federal reinsurance amounts; these payments will be 100% cost reconciled after the payment year has ended. These prospective payments will be the same for all counties, and are shown below:</w:t>
      </w:r>
    </w:p>
    <w:p w:rsidR="00283A75" w:rsidRPr="00EB4298"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5D02C0">
        <w:rPr>
          <w:rFonts w:ascii="Calibri" w:hAnsi="Calibri" w:cs="Calibri"/>
          <w:color w:val="000000"/>
          <w:sz w:val="22"/>
          <w:szCs w:val="22"/>
        </w:rPr>
        <w:t xml:space="preserve">Massachusetts  </w:t>
      </w:r>
      <w:r w:rsidRPr="00EB4298">
        <w:rPr>
          <w:rFonts w:ascii="Calibri" w:hAnsi="Calibri" w:cs="Calibri"/>
          <w:color w:val="000000"/>
          <w:sz w:val="22"/>
          <w:szCs w:val="22"/>
        </w:rPr>
        <w:t>low income cost-sharing: $</w:t>
      </w:r>
      <w:r w:rsidR="00634CAF" w:rsidRPr="00EB4298">
        <w:rPr>
          <w:rFonts w:ascii="Calibri" w:hAnsi="Calibri" w:cs="Calibri"/>
          <w:color w:val="000000"/>
          <w:sz w:val="22"/>
          <w:szCs w:val="22"/>
        </w:rPr>
        <w:t>135.60</w:t>
      </w:r>
      <w:r w:rsidRPr="00EB4298">
        <w:rPr>
          <w:rFonts w:ascii="Calibri" w:hAnsi="Calibri" w:cs="Calibri"/>
          <w:color w:val="000000"/>
          <w:sz w:val="22"/>
          <w:szCs w:val="22"/>
        </w:rPr>
        <w:t xml:space="preserve"> PMPM</w:t>
      </w:r>
    </w:p>
    <w:p w:rsidR="00283A75" w:rsidRPr="00EB4298"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EB4298">
        <w:rPr>
          <w:rFonts w:ascii="Calibri" w:hAnsi="Calibri" w:cs="Calibri"/>
          <w:color w:val="000000"/>
          <w:sz w:val="22"/>
          <w:szCs w:val="22"/>
        </w:rPr>
        <w:t>Massachusetts reinsurance: $</w:t>
      </w:r>
      <w:r w:rsidR="00634CAF" w:rsidRPr="00EB4298">
        <w:rPr>
          <w:rFonts w:ascii="Calibri" w:hAnsi="Calibri" w:cs="Calibri"/>
          <w:color w:val="000000"/>
          <w:sz w:val="22"/>
          <w:szCs w:val="22"/>
        </w:rPr>
        <w:t>78.35</w:t>
      </w:r>
      <w:r w:rsidRPr="00EB4298">
        <w:rPr>
          <w:rFonts w:ascii="Calibri" w:hAnsi="Calibri" w:cs="Calibri"/>
          <w:color w:val="000000"/>
          <w:sz w:val="22"/>
          <w:szCs w:val="22"/>
        </w:rPr>
        <w:t xml:space="preserve"> PMPM </w:t>
      </w: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The low-income cost sharing and reinsurance subsidy amounts are exempt from mandatory payment reductions under sequestration. </w:t>
      </w: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A savings percentage will not be applied to the Part D component of the rate. Part D payments will not be subject to a quality withhold. </w:t>
      </w:r>
    </w:p>
    <w:p w:rsidR="00283A75" w:rsidRPr="00A77C54" w:rsidRDefault="00283A75" w:rsidP="00524025">
      <w:pPr>
        <w:tabs>
          <w:tab w:val="left" w:pos="90"/>
        </w:tabs>
        <w:autoSpaceDE w:val="0"/>
        <w:autoSpaceDN w:val="0"/>
        <w:adjustRightInd w:val="0"/>
        <w:rPr>
          <w:rFonts w:ascii="Calibri" w:hAnsi="Calibri" w:cs="Calibri"/>
          <w:color w:val="000000"/>
          <w:sz w:val="22"/>
          <w:szCs w:val="22"/>
        </w:rPr>
      </w:pPr>
    </w:p>
    <w:p w:rsidR="00283A75" w:rsidRPr="00A77C54" w:rsidRDefault="00283A75" w:rsidP="00524025">
      <w:pPr>
        <w:pStyle w:val="textilish"/>
        <w:tabs>
          <w:tab w:val="left" w:pos="90"/>
        </w:tabs>
        <w:spacing w:before="0" w:beforeAutospacing="0" w:after="240" w:afterAutospacing="0"/>
        <w:rPr>
          <w:rFonts w:ascii="Calibri" w:hAnsi="Calibri" w:cs="Calibri"/>
          <w:bCs/>
          <w:sz w:val="22"/>
          <w:szCs w:val="22"/>
        </w:rPr>
      </w:pPr>
      <w:r w:rsidRPr="00A77C54">
        <w:rPr>
          <w:rFonts w:ascii="Calibri" w:hAnsi="Calibri" w:cs="Calibri"/>
          <w:b/>
          <w:bCs/>
          <w:sz w:val="22"/>
          <w:szCs w:val="22"/>
          <w:u w:val="single"/>
        </w:rPr>
        <w:t>Additional Information</w:t>
      </w:r>
      <w:r w:rsidRPr="00A77C54">
        <w:rPr>
          <w:rFonts w:ascii="Calibri" w:hAnsi="Calibri" w:cs="Calibri"/>
          <w:b/>
          <w:bCs/>
          <w:i/>
          <w:sz w:val="22"/>
          <w:szCs w:val="22"/>
        </w:rPr>
        <w:t xml:space="preserve">: </w:t>
      </w:r>
      <w:r w:rsidRPr="00A77C54">
        <w:rPr>
          <w:rFonts w:ascii="Calibri" w:hAnsi="Calibri" w:cs="Calibri"/>
          <w:bCs/>
          <w:sz w:val="22"/>
          <w:szCs w:val="22"/>
        </w:rPr>
        <w:t>More information on the Medicare components of the rate under the Demonstration may be found online at</w:t>
      </w:r>
      <w:r>
        <w:rPr>
          <w:rFonts w:ascii="Calibri" w:hAnsi="Calibri" w:cs="Calibri"/>
          <w:bCs/>
          <w:sz w:val="22"/>
          <w:szCs w:val="22"/>
        </w:rPr>
        <w:t>:</w:t>
      </w:r>
      <w:r w:rsidRPr="00A77C54">
        <w:rPr>
          <w:rFonts w:ascii="Calibri" w:hAnsi="Calibri" w:cs="Calibri"/>
          <w:bCs/>
          <w:sz w:val="22"/>
          <w:szCs w:val="22"/>
        </w:rPr>
        <w:t xml:space="preserve"> </w:t>
      </w:r>
    </w:p>
    <w:p w:rsidR="00283A75" w:rsidRPr="005F465A" w:rsidRDefault="00205D76" w:rsidP="00524025">
      <w:pPr>
        <w:pStyle w:val="textilish"/>
        <w:tabs>
          <w:tab w:val="left" w:pos="90"/>
        </w:tabs>
        <w:spacing w:before="0" w:beforeAutospacing="0" w:after="240" w:afterAutospacing="0"/>
        <w:rPr>
          <w:rFonts w:ascii="Calibri" w:hAnsi="Calibri" w:cs="Calibri"/>
          <w:b/>
          <w:bCs/>
          <w:i/>
          <w:sz w:val="22"/>
          <w:szCs w:val="22"/>
        </w:rPr>
      </w:pPr>
      <w:hyperlink r:id="rId14" w:tgtFrame="_blank" w:tooltip="http://www.cms.gov/Medicare-Medicaid-Coordination/Medicare-and-Medicaid-Coordination/Medicare-Medicaid-Coordination-Office/Downloads/JointRateSettingProcess.pdfOpens in new window" w:history="1">
        <w:r w:rsidR="00283A75" w:rsidRPr="00A77C54">
          <w:rPr>
            <w:rStyle w:val="Hyperlink"/>
            <w:rFonts w:ascii="Calibri" w:hAnsi="Calibri" w:cs="Calibri"/>
            <w:sz w:val="22"/>
            <w:szCs w:val="22"/>
          </w:rPr>
          <w:t>http://www.cms.gov/Medicare-Medicaid-Coordination/Medicare-and-Medicaid-Coordination/Medicare-Medicaid-Coordination-Office/Downloads/JointRateSettingProcess.pdf</w:t>
        </w:r>
      </w:hyperlink>
    </w:p>
    <w:p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rsidR="00283A75" w:rsidRPr="005F465A" w:rsidRDefault="00283A75" w:rsidP="00524025">
      <w:pPr>
        <w:numPr>
          <w:ilvl w:val="0"/>
          <w:numId w:val="1"/>
        </w:numPr>
        <w:tabs>
          <w:tab w:val="left" w:pos="90"/>
          <w:tab w:val="left" w:pos="720"/>
        </w:tabs>
        <w:ind w:left="0" w:firstLine="0"/>
        <w:jc w:val="center"/>
        <w:rPr>
          <w:rFonts w:ascii="Calibri" w:hAnsi="Calibri" w:cs="Calibri"/>
          <w:b/>
          <w:sz w:val="22"/>
          <w:szCs w:val="22"/>
        </w:rPr>
      </w:pPr>
      <w:r w:rsidRPr="005F465A">
        <w:rPr>
          <w:rFonts w:ascii="Calibri" w:hAnsi="Calibri" w:cs="Calibri"/>
          <w:b/>
          <w:sz w:val="22"/>
          <w:szCs w:val="22"/>
        </w:rPr>
        <w:lastRenderedPageBreak/>
        <w:t>Savings Percentages and Quality Withholds</w:t>
      </w:r>
    </w:p>
    <w:p w:rsidR="00283A75" w:rsidRPr="005F465A" w:rsidRDefault="00283A75" w:rsidP="00524025">
      <w:pPr>
        <w:tabs>
          <w:tab w:val="left" w:pos="90"/>
        </w:tabs>
        <w:autoSpaceDE w:val="0"/>
        <w:autoSpaceDN w:val="0"/>
        <w:adjustRightInd w:val="0"/>
        <w:rPr>
          <w:rFonts w:ascii="Calibri" w:hAnsi="Calibri" w:cs="Calibri"/>
          <w:b/>
          <w:i/>
          <w:color w:val="000000"/>
          <w:sz w:val="22"/>
          <w:szCs w:val="22"/>
        </w:rPr>
      </w:pPr>
    </w:p>
    <w:p w:rsidR="00283A75" w:rsidRPr="008D3BF4" w:rsidRDefault="00283A75" w:rsidP="00524025">
      <w:pPr>
        <w:tabs>
          <w:tab w:val="left" w:pos="90"/>
        </w:tabs>
        <w:autoSpaceDE w:val="0"/>
        <w:autoSpaceDN w:val="0"/>
        <w:adjustRightInd w:val="0"/>
        <w:rPr>
          <w:rFonts w:ascii="Calibri" w:hAnsi="Calibri" w:cs="Calibri"/>
          <w:b/>
          <w:i/>
          <w:color w:val="000000"/>
          <w:sz w:val="22"/>
          <w:szCs w:val="22"/>
        </w:rPr>
      </w:pPr>
      <w:r w:rsidRPr="008D3BF4">
        <w:rPr>
          <w:rFonts w:ascii="Calibri" w:hAnsi="Calibri" w:cs="Calibri"/>
          <w:b/>
          <w:i/>
          <w:color w:val="000000"/>
          <w:sz w:val="22"/>
          <w:szCs w:val="22"/>
        </w:rPr>
        <w:t>Savings Percentages</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8D3BF4">
        <w:rPr>
          <w:rFonts w:ascii="Calibri" w:hAnsi="Calibri" w:cs="Calibri"/>
          <w:color w:val="000000"/>
          <w:sz w:val="22"/>
          <w:szCs w:val="22"/>
        </w:rPr>
        <w:t>One of the components of the capitated financial alignment model is the application of aggregate savings percentages</w:t>
      </w:r>
      <w:r w:rsidRPr="005F465A">
        <w:rPr>
          <w:rFonts w:ascii="Calibri" w:hAnsi="Calibri" w:cs="Calibri"/>
          <w:color w:val="000000"/>
          <w:sz w:val="22"/>
          <w:szCs w:val="22"/>
        </w:rPr>
        <w:t xml:space="preserve"> to reflect savings achievable through the coordination of services across Medicare and Medicaid. This is reflected in the rates through the application of aggregate savings percentages to both the Medicaid and Medicare A/B components of the rates. </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5D02C0">
        <w:rPr>
          <w:rFonts w:ascii="Calibri" w:hAnsi="Calibri" w:cs="Calibri"/>
          <w:color w:val="000000"/>
          <w:sz w:val="22"/>
          <w:szCs w:val="22"/>
        </w:rPr>
        <w:t>CMS and MassHealth established composite savings percentages for each year of the Demonstration, as</w:t>
      </w:r>
      <w:r w:rsidRPr="005F465A">
        <w:rPr>
          <w:rFonts w:ascii="Calibri" w:hAnsi="Calibri" w:cs="Calibri"/>
          <w:color w:val="000000"/>
          <w:sz w:val="22"/>
          <w:szCs w:val="22"/>
        </w:rPr>
        <w:t xml:space="preserve"> shown in the table below. The savings percentage will be applied to the Medicaid and Medicare A/B components of the rates, uniformly to all population groups</w:t>
      </w:r>
      <w:r>
        <w:rPr>
          <w:rFonts w:ascii="Calibri" w:hAnsi="Calibri" w:cs="Calibri"/>
          <w:color w:val="000000"/>
          <w:sz w:val="22"/>
          <w:szCs w:val="22"/>
        </w:rPr>
        <w:t>, unless otherwise noted in this report</w:t>
      </w:r>
      <w:r w:rsidRPr="005F465A">
        <w:rPr>
          <w:rFonts w:ascii="Calibri" w:hAnsi="Calibri" w:cs="Calibri"/>
          <w:color w:val="000000"/>
          <w:sz w:val="22"/>
          <w:szCs w:val="22"/>
        </w:rPr>
        <w:t xml:space="preserve">. The savings percentage will not be applied to the Part D component of the joint rate. </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520"/>
        <w:gridCol w:w="2340"/>
      </w:tblGrid>
      <w:tr w:rsidR="00283A75" w:rsidRPr="005F465A" w:rsidTr="004D6FAF">
        <w:tc>
          <w:tcPr>
            <w:tcW w:w="243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Year</w:t>
            </w:r>
          </w:p>
        </w:tc>
        <w:tc>
          <w:tcPr>
            <w:tcW w:w="252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Calendar dates</w:t>
            </w:r>
          </w:p>
        </w:tc>
        <w:tc>
          <w:tcPr>
            <w:tcW w:w="234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Savings percentage</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1</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 xml:space="preserve"> October 1, 2013 through March 31, 2014</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0%</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April 1, 2014 through Dec 31, 2014</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1%</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2</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2015 through Dec 31, 2015</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1.5%</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3</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2016 through Dec 31, 2016</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&gt;4%*</w:t>
            </w:r>
          </w:p>
        </w:tc>
      </w:tr>
    </w:tbl>
    <w:p w:rsidR="00283A75" w:rsidRDefault="00283A75" w:rsidP="005D02C0">
      <w:pPr>
        <w:autoSpaceDE w:val="0"/>
        <w:autoSpaceDN w:val="0"/>
        <w:adjustRightInd w:val="0"/>
        <w:ind w:left="540"/>
        <w:rPr>
          <w:rFonts w:ascii="Arial" w:hAnsi="Arial" w:cs="Arial"/>
          <w:color w:val="000000"/>
          <w:sz w:val="20"/>
          <w:szCs w:val="20"/>
        </w:rPr>
      </w:pPr>
    </w:p>
    <w:p w:rsidR="00283A75" w:rsidRDefault="00283A75" w:rsidP="005D02C0">
      <w:pPr>
        <w:autoSpaceDE w:val="0"/>
        <w:autoSpaceDN w:val="0"/>
        <w:adjustRightInd w:val="0"/>
        <w:ind w:left="540"/>
        <w:rPr>
          <w:rFonts w:ascii="Arial" w:hAnsi="Arial" w:cs="Arial"/>
          <w:color w:val="000000"/>
          <w:sz w:val="20"/>
          <w:szCs w:val="20"/>
        </w:rPr>
      </w:pPr>
      <w:r w:rsidRPr="00856B6D">
        <w:rPr>
          <w:rFonts w:asciiTheme="minorHAnsi" w:hAnsiTheme="minorHAnsi" w:cstheme="minorHAnsi"/>
          <w:color w:val="000000"/>
          <w:sz w:val="20"/>
          <w:szCs w:val="20"/>
        </w:rPr>
        <w:t>*</w:t>
      </w:r>
      <w:r w:rsidRPr="00856B6D">
        <w:rPr>
          <w:rFonts w:asciiTheme="minorHAnsi" w:hAnsiTheme="minorHAnsi" w:cstheme="minorHAnsi"/>
          <w:sz w:val="20"/>
          <w:szCs w:val="20"/>
        </w:rPr>
        <w:t xml:space="preserve"> In Demonstration Year 3, the 4% will be increased to make up for the amount of foregone savings from applying no savings factor in the first six months following the first effective enrollment date – in both CY 2013 and CY 2014 (in comparison to 1%). Because of the enrollment phase-in, there will be a disproportionately small number of member months in 2013 and the first 3 months of CY 2014. We estimate that the adjusted savings factor for Demonstration Year 3 will be approximately 4.2%, but the final percentage will be calculated based on actual enrollment experience in 2013 and 2014</w:t>
      </w:r>
      <w:r>
        <w:rPr>
          <w:rFonts w:ascii="Arial" w:hAnsi="Arial" w:cs="Arial"/>
          <w:sz w:val="20"/>
          <w:szCs w:val="20"/>
        </w:rPr>
        <w:t>.</w:t>
      </w:r>
    </w:p>
    <w:p w:rsidR="00283A75" w:rsidRPr="005F465A" w:rsidRDefault="00283A75" w:rsidP="005D02C0">
      <w:pPr>
        <w:tabs>
          <w:tab w:val="left" w:pos="90"/>
        </w:tabs>
        <w:autoSpaceDE w:val="0"/>
        <w:autoSpaceDN w:val="0"/>
        <w:adjustRightInd w:val="0"/>
        <w:ind w:left="54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Quality Withhold</w:t>
      </w:r>
    </w:p>
    <w:p w:rsidR="00283A75" w:rsidRDefault="00283A75" w:rsidP="00524025">
      <w:pPr>
        <w:autoSpaceDE w:val="0"/>
        <w:autoSpaceDN w:val="0"/>
        <w:adjustRightInd w:val="0"/>
        <w:rPr>
          <w:rFonts w:ascii="Calibri" w:hAnsi="Calibri" w:cs="Calibri"/>
          <w:color w:val="000000"/>
          <w:sz w:val="22"/>
          <w:szCs w:val="22"/>
        </w:rPr>
      </w:pPr>
      <w:r w:rsidRPr="005F465A">
        <w:rPr>
          <w:rFonts w:ascii="Calibri" w:hAnsi="Calibri" w:cs="Calibri"/>
          <w:color w:val="000000"/>
          <w:sz w:val="22"/>
          <w:szCs w:val="22"/>
        </w:rPr>
        <w:t>In Demonstration Year 1, a 1% quality withhold will be applied to the Medicaid and Medicare A/B components of the rate. The quality withhold will increase to 2% in Demonstration Year 2 and 3% in Demonstration Year 3.</w:t>
      </w:r>
    </w:p>
    <w:p w:rsidR="00283A75" w:rsidRDefault="00283A75" w:rsidP="00524025">
      <w:pPr>
        <w:autoSpaceDE w:val="0"/>
        <w:autoSpaceDN w:val="0"/>
        <w:adjustRightInd w:val="0"/>
        <w:rPr>
          <w:rFonts w:ascii="Calibri" w:hAnsi="Calibri" w:cs="Calibri"/>
          <w:color w:val="000000"/>
          <w:sz w:val="22"/>
          <w:szCs w:val="22"/>
        </w:rPr>
      </w:pPr>
    </w:p>
    <w:p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rsidR="00283A75" w:rsidRPr="005D02C0" w:rsidRDefault="00283A75" w:rsidP="00AD1E7C">
      <w:pPr>
        <w:autoSpaceDE w:val="0"/>
        <w:autoSpaceDN w:val="0"/>
        <w:adjustRightInd w:val="0"/>
        <w:jc w:val="center"/>
        <w:rPr>
          <w:rFonts w:ascii="Calibri" w:hAnsi="Calibri" w:cs="Calibri"/>
          <w:b/>
          <w:color w:val="000000"/>
          <w:sz w:val="22"/>
        </w:rPr>
      </w:pPr>
      <w:r w:rsidRPr="005D02C0">
        <w:rPr>
          <w:rFonts w:ascii="Calibri" w:hAnsi="Calibri" w:cs="Calibri"/>
          <w:b/>
          <w:color w:val="000000"/>
          <w:sz w:val="22"/>
        </w:rPr>
        <w:lastRenderedPageBreak/>
        <w:t xml:space="preserve">V. Risk Mitigation </w:t>
      </w:r>
    </w:p>
    <w:p w:rsidR="00283A75" w:rsidRPr="005D02C0" w:rsidRDefault="00283A75" w:rsidP="00AD1E7C">
      <w:pPr>
        <w:autoSpaceDE w:val="0"/>
        <w:autoSpaceDN w:val="0"/>
        <w:adjustRightInd w:val="0"/>
        <w:jc w:val="center"/>
        <w:rPr>
          <w:rFonts w:ascii="Calibri" w:hAnsi="Calibri" w:cs="Calibri"/>
          <w:b/>
          <w:color w:val="000000"/>
          <w:sz w:val="22"/>
        </w:rPr>
      </w:pPr>
    </w:p>
    <w:p w:rsidR="00283A75" w:rsidRPr="005D02C0" w:rsidRDefault="00283A75" w:rsidP="005D02C0">
      <w:pPr>
        <w:rPr>
          <w:rFonts w:ascii="Calibri" w:hAnsi="Calibri" w:cs="Calibri"/>
          <w:sz w:val="22"/>
          <w:szCs w:val="22"/>
        </w:rPr>
      </w:pPr>
      <w:r w:rsidRPr="005D02C0">
        <w:rPr>
          <w:rFonts w:ascii="Calibri" w:hAnsi="Calibri" w:cs="Calibri"/>
          <w:sz w:val="22"/>
          <w:szCs w:val="22"/>
        </w:rPr>
        <w:t>The MOU established two additional mechanisms, High Cost Risk Pools (HCRP) and Risk Corridors, to mitigate risk in the event of disproportionate enrollment of high need individuals in some One Care plans or adverse enrollment selection across the Demonstration as a whole.</w:t>
      </w: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b/>
          <w:i/>
          <w:sz w:val="22"/>
          <w:szCs w:val="22"/>
        </w:rPr>
      </w:pPr>
      <w:r w:rsidRPr="005D02C0">
        <w:rPr>
          <w:rFonts w:ascii="Calibri" w:hAnsi="Calibri" w:cs="Calibri"/>
          <w:b/>
          <w:i/>
          <w:sz w:val="22"/>
          <w:szCs w:val="22"/>
        </w:rPr>
        <w:t>High Cost Risk Pools (HCRPs)</w:t>
      </w:r>
    </w:p>
    <w:p w:rsidR="000D2E0D" w:rsidRPr="000D2E0D" w:rsidRDefault="000D2E0D" w:rsidP="000D2E0D">
      <w:pPr>
        <w:rPr>
          <w:rFonts w:asciiTheme="minorHAnsi" w:hAnsiTheme="minorHAnsi" w:cstheme="minorHAnsi"/>
          <w:sz w:val="22"/>
          <w:szCs w:val="22"/>
        </w:rPr>
      </w:pPr>
      <w:r w:rsidRPr="000D2E0D">
        <w:rPr>
          <w:rFonts w:asciiTheme="minorHAnsi" w:hAnsiTheme="minorHAnsi" w:cstheme="minorHAnsi"/>
          <w:sz w:val="22"/>
          <w:szCs w:val="22"/>
        </w:rPr>
        <w:t>MassHealth will establish HCRPs to offset the impact of disproportionate enrollment of high-cost enrollees across One Care plans. High-cost enrollees will be defined based on spending for select Medicaid long-term services and supports above a defined per enrollee threshold within MassHealth rating categories C3</w:t>
      </w:r>
      <w:r>
        <w:rPr>
          <w:rFonts w:asciiTheme="minorHAnsi" w:hAnsiTheme="minorHAnsi" w:cstheme="minorHAnsi"/>
          <w:sz w:val="22"/>
          <w:szCs w:val="22"/>
        </w:rPr>
        <w:t>A</w:t>
      </w:r>
      <w:r w:rsidRPr="000D2E0D">
        <w:rPr>
          <w:rFonts w:asciiTheme="minorHAnsi" w:hAnsiTheme="minorHAnsi" w:cstheme="minorHAnsi"/>
          <w:sz w:val="22"/>
          <w:szCs w:val="22"/>
        </w:rPr>
        <w:t xml:space="preserve"> (</w:t>
      </w:r>
      <w:r>
        <w:rPr>
          <w:rFonts w:asciiTheme="minorHAnsi" w:hAnsiTheme="minorHAnsi" w:cstheme="minorHAnsi"/>
          <w:sz w:val="22"/>
          <w:szCs w:val="22"/>
        </w:rPr>
        <w:t xml:space="preserve">High </w:t>
      </w:r>
      <w:r w:rsidRPr="000D2E0D">
        <w:rPr>
          <w:rFonts w:asciiTheme="minorHAnsi" w:hAnsiTheme="minorHAnsi" w:cstheme="minorHAnsi"/>
          <w:sz w:val="22"/>
          <w:szCs w:val="22"/>
        </w:rPr>
        <w:t>Community Need)</w:t>
      </w:r>
      <w:r>
        <w:rPr>
          <w:rFonts w:asciiTheme="minorHAnsi" w:hAnsiTheme="minorHAnsi" w:cstheme="minorHAnsi"/>
          <w:sz w:val="22"/>
          <w:szCs w:val="22"/>
        </w:rPr>
        <w:t>, C3B (Very High Community Need),</w:t>
      </w:r>
      <w:r w:rsidRPr="000D2E0D">
        <w:rPr>
          <w:rFonts w:asciiTheme="minorHAnsi" w:hAnsiTheme="minorHAnsi" w:cstheme="minorHAnsi"/>
          <w:sz w:val="22"/>
          <w:szCs w:val="22"/>
        </w:rPr>
        <w:t xml:space="preserve"> and F1 (Facility-based Care). For each of those rating categories, a portion of the MassHealth component of the rate will be withheld from capitations MassHealth pays to all One Care plans and held in a risk pool. The risk pool will be distributed among One Care plans in proportion to the amount of applicable spending above the per enrollee threshold that is attributed to each One Care plan for their high cost enrollees. In the event that the HCRP exceeds the amount of applicable spending that is over the threshold, any excess funds will be distributed to all One Care plans in proportion to their contributions to the pool.</w:t>
      </w:r>
    </w:p>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r w:rsidRPr="000D2E0D">
        <w:rPr>
          <w:rFonts w:asciiTheme="minorHAnsi" w:hAnsiTheme="minorHAnsi" w:cstheme="minorHAnsi"/>
          <w:sz w:val="22"/>
          <w:szCs w:val="22"/>
        </w:rPr>
        <w:t>Thresholds for CY 201</w:t>
      </w:r>
      <w:r>
        <w:rPr>
          <w:rFonts w:asciiTheme="minorHAnsi" w:hAnsiTheme="minorHAnsi" w:cstheme="minorHAnsi"/>
          <w:sz w:val="22"/>
          <w:szCs w:val="22"/>
        </w:rPr>
        <w:t>4</w:t>
      </w:r>
      <w:r w:rsidRPr="000D2E0D">
        <w:rPr>
          <w:rFonts w:asciiTheme="minorHAnsi" w:hAnsiTheme="minorHAnsi" w:cstheme="minorHAnsi"/>
          <w:sz w:val="22"/>
          <w:szCs w:val="22"/>
        </w:rPr>
        <w:t xml:space="preserve"> are on a PMPM basis, to account for the </w:t>
      </w:r>
      <w:r>
        <w:rPr>
          <w:rFonts w:asciiTheme="minorHAnsi" w:hAnsiTheme="minorHAnsi" w:cstheme="minorHAnsi"/>
          <w:sz w:val="22"/>
          <w:szCs w:val="22"/>
        </w:rPr>
        <w:t xml:space="preserve">continued </w:t>
      </w:r>
      <w:r w:rsidRPr="000D2E0D">
        <w:rPr>
          <w:rFonts w:asciiTheme="minorHAnsi" w:hAnsiTheme="minorHAnsi" w:cstheme="minorHAnsi"/>
          <w:sz w:val="22"/>
          <w:szCs w:val="22"/>
        </w:rPr>
        <w:t xml:space="preserve">phase-in enrollment that will occur </w:t>
      </w:r>
      <w:r>
        <w:rPr>
          <w:rFonts w:asciiTheme="minorHAnsi" w:hAnsiTheme="minorHAnsi" w:cstheme="minorHAnsi"/>
          <w:sz w:val="22"/>
          <w:szCs w:val="22"/>
        </w:rPr>
        <w:t>in CY 2014</w:t>
      </w:r>
      <w:r w:rsidRPr="000D2E0D">
        <w:rPr>
          <w:rFonts w:asciiTheme="minorHAnsi" w:hAnsiTheme="minorHAnsi" w:cstheme="minorHAnsi"/>
          <w:sz w:val="22"/>
          <w:szCs w:val="22"/>
        </w:rPr>
        <w:t>. In order to balance cash flow concerns with meaningful threshold amounts, the following threshold amounts and withhold rates have been selected for CY</w:t>
      </w:r>
      <w:r w:rsidR="00F56393">
        <w:rPr>
          <w:rFonts w:asciiTheme="minorHAnsi" w:hAnsiTheme="minorHAnsi" w:cstheme="minorHAnsi"/>
          <w:sz w:val="22"/>
          <w:szCs w:val="22"/>
        </w:rPr>
        <w:t xml:space="preserve"> </w:t>
      </w:r>
      <w:r w:rsidRPr="000D2E0D">
        <w:rPr>
          <w:rFonts w:asciiTheme="minorHAnsi" w:hAnsiTheme="minorHAnsi" w:cstheme="minorHAnsi"/>
          <w:sz w:val="22"/>
          <w:szCs w:val="22"/>
        </w:rPr>
        <w:t>201</w:t>
      </w:r>
      <w:r>
        <w:rPr>
          <w:rFonts w:asciiTheme="minorHAnsi" w:hAnsiTheme="minorHAnsi" w:cstheme="minorHAnsi"/>
          <w:sz w:val="22"/>
          <w:szCs w:val="22"/>
        </w:rPr>
        <w:t>4</w:t>
      </w:r>
      <w:r w:rsidRPr="000D2E0D">
        <w:rPr>
          <w:rFonts w:asciiTheme="minorHAnsi" w:hAnsiTheme="minorHAnsi" w:cstheme="minorHAnsi"/>
          <w:sz w:val="22"/>
          <w:szCs w:val="22"/>
        </w:rPr>
        <w:t>:</w:t>
      </w:r>
    </w:p>
    <w:p w:rsidR="000D2E0D" w:rsidRDefault="000D2E0D" w:rsidP="000D2E0D">
      <w:pPr>
        <w:rPr>
          <w:rFonts w:asciiTheme="minorHAnsi" w:hAnsiTheme="minorHAnsi" w:cstheme="minorHAnsi"/>
          <w:sz w:val="22"/>
          <w:szCs w:val="22"/>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321"/>
        <w:gridCol w:w="1530"/>
      </w:tblGrid>
      <w:tr w:rsidR="000D2E0D" w:rsidRPr="000D2E0D" w:rsidTr="00793864">
        <w:tc>
          <w:tcPr>
            <w:tcW w:w="1109"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Rating Category</w:t>
            </w:r>
          </w:p>
        </w:tc>
        <w:tc>
          <w:tcPr>
            <w:tcW w:w="1321"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Threshold</w:t>
            </w:r>
          </w:p>
        </w:tc>
        <w:tc>
          <w:tcPr>
            <w:tcW w:w="1530"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Withhold Rate</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C3A</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$4,000</w:t>
            </w:r>
          </w:p>
        </w:tc>
        <w:tc>
          <w:tcPr>
            <w:tcW w:w="1530"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1.7%</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C3B</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$7,000</w:t>
            </w:r>
          </w:p>
        </w:tc>
        <w:tc>
          <w:tcPr>
            <w:tcW w:w="1530"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1.4%</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F1</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w:t>
            </w:r>
            <w:r>
              <w:rPr>
                <w:rFonts w:asciiTheme="minorHAnsi" w:hAnsiTheme="minorHAnsi" w:cstheme="minorHAnsi"/>
                <w:sz w:val="22"/>
                <w:szCs w:val="22"/>
              </w:rPr>
              <w:t>27</w:t>
            </w:r>
            <w:r w:rsidRPr="000D2E0D">
              <w:rPr>
                <w:rFonts w:asciiTheme="minorHAnsi" w:hAnsiTheme="minorHAnsi" w:cstheme="minorHAnsi"/>
                <w:sz w:val="22"/>
                <w:szCs w:val="22"/>
              </w:rPr>
              <w:t>,</w:t>
            </w:r>
            <w:r>
              <w:rPr>
                <w:rFonts w:asciiTheme="minorHAnsi" w:hAnsiTheme="minorHAnsi" w:cstheme="minorHAnsi"/>
                <w:sz w:val="22"/>
                <w:szCs w:val="22"/>
              </w:rPr>
              <w:t>5</w:t>
            </w:r>
            <w:r w:rsidRPr="000D2E0D">
              <w:rPr>
                <w:rFonts w:asciiTheme="minorHAnsi" w:hAnsiTheme="minorHAnsi" w:cstheme="minorHAnsi"/>
                <w:sz w:val="22"/>
                <w:szCs w:val="22"/>
              </w:rPr>
              <w:t>00</w:t>
            </w:r>
          </w:p>
        </w:tc>
        <w:tc>
          <w:tcPr>
            <w:tcW w:w="1530"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1.</w:t>
            </w:r>
            <w:r>
              <w:rPr>
                <w:rFonts w:asciiTheme="minorHAnsi" w:hAnsiTheme="minorHAnsi" w:cstheme="minorHAnsi"/>
                <w:sz w:val="22"/>
                <w:szCs w:val="22"/>
              </w:rPr>
              <w:t>3</w:t>
            </w:r>
            <w:r w:rsidRPr="000D2E0D">
              <w:rPr>
                <w:rFonts w:asciiTheme="minorHAnsi" w:hAnsiTheme="minorHAnsi" w:cstheme="minorHAnsi"/>
                <w:sz w:val="22"/>
                <w:szCs w:val="22"/>
              </w:rPr>
              <w:t>%</w:t>
            </w:r>
          </w:p>
        </w:tc>
      </w:tr>
    </w:tbl>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r w:rsidRPr="000D2E0D">
        <w:rPr>
          <w:rFonts w:asciiTheme="minorHAnsi" w:hAnsiTheme="minorHAnsi" w:cstheme="minorHAnsi"/>
          <w:sz w:val="22"/>
          <w:szCs w:val="22"/>
        </w:rPr>
        <w:t>Services applicable towards the high cost threshold:</w:t>
      </w:r>
    </w:p>
    <w:p w:rsidR="000D2E0D" w:rsidRPr="000D2E0D" w:rsidRDefault="000D2E0D" w:rsidP="000D2E0D">
      <w:pPr>
        <w:rPr>
          <w:rFonts w:asciiTheme="minorHAnsi" w:hAnsiTheme="minorHAnsi" w:cstheme="minorHAnsi"/>
          <w:sz w:val="8"/>
          <w:szCs w:val="8"/>
        </w:rPr>
      </w:pP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State Plan LTSS excluding home health services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Cost-effective, non-State Plan services provided by One Care plans in place of State Plan LTSS (subject to MassHealth approval)</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IL-LTSS coordinator expenses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LTC Facility expenses beyond 100 days (F1 HCRP only)</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Behavioral Health Diversionary Services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Dental benefits offered to One Care plan enrollees</w:t>
      </w:r>
    </w:p>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r w:rsidRPr="000D2E0D">
        <w:rPr>
          <w:rFonts w:asciiTheme="minorHAnsi" w:hAnsiTheme="minorHAnsi" w:cstheme="minorHAnsi"/>
          <w:sz w:val="22"/>
          <w:szCs w:val="22"/>
        </w:rPr>
        <w:t xml:space="preserve">Applicable expense must be net of any enrollee Contribution to Care amounts. </w:t>
      </w: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b/>
          <w:i/>
          <w:sz w:val="22"/>
          <w:szCs w:val="22"/>
        </w:rPr>
      </w:pPr>
      <w:r w:rsidRPr="005D02C0">
        <w:rPr>
          <w:rFonts w:ascii="Calibri" w:hAnsi="Calibri" w:cs="Calibri"/>
          <w:b/>
          <w:i/>
          <w:sz w:val="22"/>
          <w:szCs w:val="22"/>
        </w:rPr>
        <w:t>Risk Corridors</w:t>
      </w:r>
    </w:p>
    <w:p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Risk corridors </w:t>
      </w:r>
      <w:r>
        <w:rPr>
          <w:rFonts w:ascii="Calibri" w:hAnsi="Calibri" w:cs="Calibri"/>
          <w:sz w:val="22"/>
          <w:szCs w:val="22"/>
        </w:rPr>
        <w:t>have been</w:t>
      </w:r>
      <w:r w:rsidRPr="005D02C0">
        <w:rPr>
          <w:rFonts w:ascii="Calibri" w:hAnsi="Calibri" w:cs="Calibri"/>
          <w:sz w:val="22"/>
          <w:szCs w:val="22"/>
        </w:rPr>
        <w:t xml:space="preserve"> established for Demonstration Year 1 (October 1, 2013 – December 31, 2014).  Risk corridors will not be applied for Demonstration Years 2 and 3 (Calendar Years 2015 and 2016, respectively). The Demonstration will utilize a tiered One Care plan-level symmetrical risk corridor to </w:t>
      </w:r>
      <w:r w:rsidRPr="005D02C0">
        <w:rPr>
          <w:rFonts w:ascii="Calibri" w:hAnsi="Calibri" w:cs="Calibri"/>
          <w:sz w:val="22"/>
          <w:szCs w:val="22"/>
        </w:rPr>
        <w:lastRenderedPageBreak/>
        <w:t xml:space="preserve">include all Medicare A/B and Medicaid eligible service and non-service expenditures, rounded to the nearest one tenth of a percent. The risk corridors will be reconciled after application of any HCRP or risk adjustment methodologies (e.g. CMS-HCC), and as if One Care plans had received the full quality withhold payment. </w:t>
      </w: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For gains and/or losses of less than or equal to 1%, or greater than 20%, the One Care plan bears 100% of the risk. For the portion of gains and/or losses from 1.1% through 3.0%, the One Care plan bears 10% of the risk and MassHealth and CMS share in the other 90%. For the portion of gains and/or losses of 3.1% through 20%, MassHealth and CMS will share 50% of the risk with the One Care plan. </w:t>
      </w:r>
    </w:p>
    <w:p w:rsidR="00283A75" w:rsidRPr="005D02C0" w:rsidRDefault="00283A75" w:rsidP="005D02C0">
      <w:pPr>
        <w:rPr>
          <w:rFonts w:ascii="Calibri" w:hAnsi="Calibri" w:cs="Calibri"/>
          <w:sz w:val="22"/>
          <w:szCs w:val="22"/>
        </w:rPr>
      </w:pPr>
    </w:p>
    <w:p w:rsidR="00283A75" w:rsidRDefault="00283A75" w:rsidP="005D02C0">
      <w:pPr>
        <w:rPr>
          <w:rFonts w:ascii="Calibri" w:hAnsi="Calibri" w:cs="Calibri"/>
          <w:sz w:val="22"/>
          <w:szCs w:val="22"/>
        </w:rPr>
      </w:pPr>
      <w:r w:rsidRPr="005D02C0">
        <w:rPr>
          <w:rFonts w:ascii="Calibri" w:hAnsi="Calibri" w:cs="Calibri"/>
          <w:sz w:val="22"/>
          <w:szCs w:val="22"/>
        </w:rPr>
        <w:t>The Medicare and Medicaid contributions to risk corridor payments or recoupments will be in proportion to their contributions to the Medicare A/B and MassHealth components of the capitation rate. Medicare will participate in risk corridor payments or recoupments from 1.1% through 8.9% of individual One Care plan gains or losses. All remaining payments or recoveries once Medicare has reached its maximum will be treated as Medicaid expenditures eligible for FMAP.</w:t>
      </w:r>
    </w:p>
    <w:p w:rsidR="00C5711F" w:rsidRDefault="00C5711F" w:rsidP="005D02C0">
      <w:pPr>
        <w:rPr>
          <w:rFonts w:ascii="Calibri" w:hAnsi="Calibri" w:cs="Calibri"/>
          <w:sz w:val="22"/>
          <w:szCs w:val="22"/>
        </w:rPr>
      </w:pPr>
    </w:p>
    <w:p w:rsidR="00C5711F" w:rsidRPr="00C5711F" w:rsidRDefault="00C5711F" w:rsidP="005D02C0">
      <w:pPr>
        <w:rPr>
          <w:rFonts w:asciiTheme="minorHAnsi" w:hAnsiTheme="minorHAnsi" w:cstheme="minorHAnsi"/>
          <w:sz w:val="22"/>
          <w:szCs w:val="22"/>
        </w:rPr>
      </w:pPr>
    </w:p>
    <w:p w:rsidR="00C5711F" w:rsidRPr="00C5711F" w:rsidRDefault="00C5711F" w:rsidP="00C5711F">
      <w:pPr>
        <w:pStyle w:val="ListParagraph"/>
        <w:numPr>
          <w:ilvl w:val="0"/>
          <w:numId w:val="15"/>
        </w:numPr>
        <w:autoSpaceDE w:val="0"/>
        <w:autoSpaceDN w:val="0"/>
        <w:adjustRightInd w:val="0"/>
        <w:ind w:left="0" w:firstLine="0"/>
        <w:jc w:val="center"/>
        <w:rPr>
          <w:rFonts w:asciiTheme="minorHAnsi" w:hAnsiTheme="minorHAnsi" w:cstheme="minorHAnsi"/>
          <w:b/>
        </w:rPr>
      </w:pPr>
      <w:r w:rsidRPr="00C5711F">
        <w:rPr>
          <w:rFonts w:asciiTheme="minorHAnsi" w:hAnsiTheme="minorHAnsi" w:cstheme="minorHAnsi"/>
          <w:b/>
          <w:sz w:val="22"/>
          <w:szCs w:val="22"/>
        </w:rPr>
        <w:t>MassHealth Data Book Summaries</w:t>
      </w:r>
    </w:p>
    <w:p w:rsidR="00C5711F" w:rsidRPr="00C5711F" w:rsidRDefault="00C5711F" w:rsidP="00C5711F">
      <w:pPr>
        <w:rPr>
          <w:rFonts w:asciiTheme="minorHAnsi" w:hAnsiTheme="minorHAnsi" w:cstheme="minorHAnsi"/>
          <w:sz w:val="22"/>
          <w:szCs w:val="22"/>
        </w:rPr>
      </w:pPr>
    </w:p>
    <w:p w:rsidR="00C5711F" w:rsidRPr="00C5711F" w:rsidRDefault="00C5711F" w:rsidP="00C5711F">
      <w:pPr>
        <w:rPr>
          <w:rFonts w:asciiTheme="minorHAnsi" w:hAnsiTheme="minorHAnsi" w:cstheme="minorHAnsi"/>
          <w:sz w:val="22"/>
          <w:szCs w:val="22"/>
        </w:rPr>
      </w:pPr>
      <w:r w:rsidRPr="00C5711F">
        <w:rPr>
          <w:rFonts w:asciiTheme="minorHAnsi" w:hAnsiTheme="minorHAnsi" w:cstheme="minorHAnsi"/>
          <w:sz w:val="22"/>
          <w:szCs w:val="22"/>
        </w:rPr>
        <w:t>Summary PMPMs for Medicaid and crossover claims from the MassHealth Data Book are included below. IBNR completion adjustments have been applied to the Medicaid expenditures. Expenditures are reported by calendar year, geographic region, rating category, and rate development category of service. Combined across calendar years, the Medicaid and crossover data represents the historical base data used to develop the MassHealth component of the rates.</w:t>
      </w:r>
    </w:p>
    <w:p w:rsidR="00C5711F" w:rsidRDefault="00C5711F" w:rsidP="00C5711F">
      <w:pPr>
        <w:autoSpaceDE w:val="0"/>
        <w:autoSpaceDN w:val="0"/>
        <w:adjustRightInd w:val="0"/>
        <w:jc w:val="center"/>
        <w:rPr>
          <w:rFonts w:ascii="Arial" w:hAnsi="Arial" w:cs="Arial"/>
          <w:sz w:val="22"/>
          <w:szCs w:val="22"/>
        </w:rPr>
        <w:sectPr w:rsidR="00C5711F" w:rsidSect="00400B87">
          <w:pgSz w:w="12240" w:h="15840"/>
          <w:pgMar w:top="1440" w:right="1440" w:bottom="1440" w:left="1440" w:header="720" w:footer="720" w:gutter="0"/>
          <w:cols w:space="720"/>
          <w:docGrid w:linePitch="360"/>
        </w:sectPr>
      </w:pPr>
    </w:p>
    <w:p w:rsidR="00464AA2" w:rsidRDefault="00464AA2" w:rsidP="00464AA2">
      <w:pPr>
        <w:autoSpaceDE w:val="0"/>
        <w:autoSpaceDN w:val="0"/>
        <w:adjustRightInd w:val="0"/>
        <w:jc w:val="center"/>
        <w:rPr>
          <w:rFonts w:ascii="Calibri" w:hAnsi="Calibri" w:cs="Calibri"/>
          <w:b/>
          <w:color w:val="000000"/>
          <w:sz w:val="22"/>
        </w:rPr>
      </w:pPr>
      <w:r>
        <w:rPr>
          <w:noProof/>
        </w:rPr>
        <w:lastRenderedPageBreak/>
        <w:drawing>
          <wp:inline distT="0" distB="0" distL="0" distR="0" wp14:anchorId="2DC6F05E" wp14:editId="44000B15">
            <wp:extent cx="6781800" cy="615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81800" cy="6153150"/>
                    </a:xfrm>
                    <a:prstGeom prst="rect">
                      <a:avLst/>
                    </a:prstGeom>
                    <a:noFill/>
                    <a:ln>
                      <a:noFill/>
                    </a:ln>
                  </pic:spPr>
                </pic:pic>
              </a:graphicData>
            </a:graphic>
          </wp:inline>
        </w:drawing>
      </w:r>
    </w:p>
    <w:p w:rsidR="00464AA2" w:rsidRDefault="00464AA2" w:rsidP="00464AA2">
      <w:pPr>
        <w:autoSpaceDE w:val="0"/>
        <w:autoSpaceDN w:val="0"/>
        <w:adjustRightInd w:val="0"/>
        <w:jc w:val="center"/>
        <w:rPr>
          <w:rFonts w:ascii="Calibri" w:hAnsi="Calibri" w:cs="Calibri"/>
          <w:b/>
          <w:color w:val="000000"/>
          <w:sz w:val="22"/>
        </w:rPr>
      </w:pPr>
      <w:r>
        <w:rPr>
          <w:noProof/>
        </w:rPr>
        <w:lastRenderedPageBreak/>
        <w:drawing>
          <wp:inline distT="0" distB="0" distL="0" distR="0" wp14:anchorId="64871AF8" wp14:editId="2E227F60">
            <wp:extent cx="6772275" cy="6153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72275" cy="6153150"/>
                    </a:xfrm>
                    <a:prstGeom prst="rect">
                      <a:avLst/>
                    </a:prstGeom>
                    <a:noFill/>
                    <a:ln>
                      <a:noFill/>
                    </a:ln>
                  </pic:spPr>
                </pic:pic>
              </a:graphicData>
            </a:graphic>
          </wp:inline>
        </w:drawing>
      </w:r>
    </w:p>
    <w:p w:rsidR="00464AA2" w:rsidRDefault="00464AA2" w:rsidP="00464AA2">
      <w:pPr>
        <w:autoSpaceDE w:val="0"/>
        <w:autoSpaceDN w:val="0"/>
        <w:adjustRightInd w:val="0"/>
        <w:jc w:val="center"/>
        <w:rPr>
          <w:rFonts w:ascii="Calibri" w:hAnsi="Calibri" w:cs="Calibri"/>
          <w:b/>
          <w:color w:val="000000"/>
          <w:sz w:val="22"/>
        </w:rPr>
      </w:pPr>
      <w:r>
        <w:rPr>
          <w:noProof/>
        </w:rPr>
        <w:lastRenderedPageBreak/>
        <w:drawing>
          <wp:inline distT="0" distB="0" distL="0" distR="0" wp14:anchorId="3088BAE5" wp14:editId="0876A043">
            <wp:extent cx="6800850" cy="615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0850" cy="6153150"/>
                    </a:xfrm>
                    <a:prstGeom prst="rect">
                      <a:avLst/>
                    </a:prstGeom>
                    <a:noFill/>
                    <a:ln>
                      <a:noFill/>
                    </a:ln>
                  </pic:spPr>
                </pic:pic>
              </a:graphicData>
            </a:graphic>
          </wp:inline>
        </w:drawing>
      </w:r>
    </w:p>
    <w:p w:rsidR="00464AA2" w:rsidRDefault="00464AA2" w:rsidP="00464AA2">
      <w:pPr>
        <w:autoSpaceDE w:val="0"/>
        <w:autoSpaceDN w:val="0"/>
        <w:adjustRightInd w:val="0"/>
        <w:jc w:val="center"/>
        <w:rPr>
          <w:rFonts w:ascii="Calibri" w:hAnsi="Calibri" w:cs="Calibri"/>
          <w:b/>
          <w:color w:val="000000"/>
          <w:sz w:val="22"/>
        </w:rPr>
      </w:pPr>
      <w:r>
        <w:rPr>
          <w:noProof/>
        </w:rPr>
        <w:lastRenderedPageBreak/>
        <w:drawing>
          <wp:inline distT="0" distB="0" distL="0" distR="0" wp14:anchorId="7F4CDEE4" wp14:editId="430FCC89">
            <wp:extent cx="6791325" cy="6153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91325" cy="6153150"/>
                    </a:xfrm>
                    <a:prstGeom prst="rect">
                      <a:avLst/>
                    </a:prstGeom>
                    <a:noFill/>
                    <a:ln>
                      <a:noFill/>
                    </a:ln>
                  </pic:spPr>
                </pic:pic>
              </a:graphicData>
            </a:graphic>
          </wp:inline>
        </w:drawing>
      </w:r>
    </w:p>
    <w:p w:rsidR="00283A75" w:rsidRPr="00AD1E7C" w:rsidRDefault="00283A75" w:rsidP="00AD1E7C">
      <w:pPr>
        <w:autoSpaceDE w:val="0"/>
        <w:autoSpaceDN w:val="0"/>
        <w:adjustRightInd w:val="0"/>
        <w:jc w:val="center"/>
        <w:rPr>
          <w:rFonts w:ascii="Calibri" w:hAnsi="Calibri" w:cs="Calibri"/>
          <w:b/>
          <w:color w:val="000000"/>
          <w:sz w:val="22"/>
        </w:rPr>
      </w:pPr>
    </w:p>
    <w:sectPr w:rsidR="00283A75" w:rsidRPr="00AD1E7C" w:rsidSect="00464AA2">
      <w:headerReference w:type="default" r:id="rId19"/>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76" w:rsidRDefault="00205D76" w:rsidP="00C01D88">
      <w:r>
        <w:separator/>
      </w:r>
    </w:p>
  </w:endnote>
  <w:endnote w:type="continuationSeparator" w:id="0">
    <w:p w:rsidR="00205D76" w:rsidRDefault="00205D76"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Default="000E5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Pr="008B7879" w:rsidRDefault="000E56AB"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0F3E2C">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Default="000E5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76" w:rsidRDefault="00205D76" w:rsidP="00C01D88">
      <w:r>
        <w:separator/>
      </w:r>
    </w:p>
  </w:footnote>
  <w:footnote w:type="continuationSeparator" w:id="0">
    <w:p w:rsidR="00205D76" w:rsidRDefault="00205D76"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Default="000E56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Pr="00C5711F" w:rsidRDefault="000E56AB" w:rsidP="00140363">
    <w:pPr>
      <w:jc w:val="center"/>
      <w:rPr>
        <w:rFonts w:asciiTheme="minorHAnsi" w:hAnsiTheme="minorHAnsi" w:cstheme="minorHAnsi"/>
        <w:b/>
        <w:sz w:val="28"/>
        <w:szCs w:val="28"/>
      </w:rPr>
    </w:pPr>
    <w:r w:rsidRPr="00C5711F">
      <w:rPr>
        <w:rFonts w:asciiTheme="minorHAnsi" w:hAnsiTheme="minorHAnsi" w:cstheme="minorHAnsi"/>
        <w:b/>
        <w:sz w:val="28"/>
        <w:szCs w:val="28"/>
      </w:rPr>
      <w:t xml:space="preserve">Demonstration to Integrate Care for Dual Eligible Individuals </w:t>
    </w:r>
  </w:p>
  <w:p w:rsidR="000E56AB" w:rsidRPr="00C5711F" w:rsidRDefault="000E56AB" w:rsidP="00140363">
    <w:pPr>
      <w:jc w:val="center"/>
      <w:rPr>
        <w:rFonts w:asciiTheme="minorHAnsi" w:hAnsiTheme="minorHAnsi" w:cstheme="minorHAnsi"/>
        <w:b/>
        <w:sz w:val="28"/>
        <w:szCs w:val="28"/>
      </w:rPr>
    </w:pPr>
    <w:r w:rsidRPr="00C5711F">
      <w:rPr>
        <w:rFonts w:asciiTheme="minorHAnsi" w:hAnsiTheme="minorHAnsi" w:cstheme="minorHAnsi"/>
        <w:b/>
        <w:sz w:val="28"/>
        <w:szCs w:val="28"/>
      </w:rPr>
      <w:t>(One Care)</w:t>
    </w:r>
  </w:p>
  <w:p w:rsidR="000E56AB" w:rsidRPr="00C5711F" w:rsidRDefault="000E56AB" w:rsidP="002F5D76">
    <w:pPr>
      <w:pStyle w:val="Header"/>
      <w:jc w:val="center"/>
      <w:rPr>
        <w:rFonts w:asciiTheme="minorHAnsi" w:hAnsiTheme="minorHAnsi" w:cstheme="minorHAnsi"/>
        <w:b/>
        <w:sz w:val="28"/>
        <w:szCs w:val="28"/>
      </w:rPr>
    </w:pPr>
    <w:r w:rsidRPr="00C5711F">
      <w:rPr>
        <w:rFonts w:asciiTheme="minorHAnsi" w:hAnsiTheme="minorHAnsi" w:cstheme="minorHAnsi"/>
        <w:b/>
        <w:sz w:val="28"/>
        <w:szCs w:val="28"/>
      </w:rPr>
      <w:t xml:space="preserve"> CY 2014 </w:t>
    </w:r>
    <w:r>
      <w:rPr>
        <w:rFonts w:asciiTheme="minorHAnsi" w:hAnsiTheme="minorHAnsi" w:cstheme="minorHAnsi"/>
        <w:b/>
        <w:sz w:val="28"/>
        <w:szCs w:val="28"/>
      </w:rPr>
      <w:t>Final</w:t>
    </w:r>
    <w:r w:rsidRPr="00C5711F">
      <w:rPr>
        <w:rFonts w:asciiTheme="minorHAnsi" w:hAnsiTheme="minorHAnsi" w:cstheme="minorHAnsi"/>
        <w:b/>
        <w:sz w:val="28"/>
        <w:szCs w:val="28"/>
      </w:rPr>
      <w:t xml:space="preserve"> Rate Report, </w:t>
    </w:r>
    <w:r>
      <w:rPr>
        <w:rFonts w:asciiTheme="minorHAnsi" w:hAnsiTheme="minorHAnsi" w:cstheme="minorHAnsi"/>
        <w:b/>
        <w:sz w:val="28"/>
        <w:szCs w:val="28"/>
      </w:rPr>
      <w:t>January 29, 2014</w:t>
    </w:r>
  </w:p>
  <w:p w:rsidR="000E56AB" w:rsidRDefault="000E56AB" w:rsidP="004D6F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Default="000E56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AB" w:rsidRPr="00793864" w:rsidRDefault="000E56AB" w:rsidP="00140363">
    <w:pPr>
      <w:jc w:val="center"/>
      <w:rPr>
        <w:rFonts w:asciiTheme="minorHAnsi" w:hAnsiTheme="minorHAnsi" w:cstheme="minorHAnsi"/>
        <w:b/>
        <w:sz w:val="28"/>
        <w:szCs w:val="28"/>
      </w:rPr>
    </w:pPr>
    <w:r w:rsidRPr="00793864">
      <w:rPr>
        <w:rFonts w:asciiTheme="minorHAnsi" w:hAnsiTheme="minorHAnsi" w:cstheme="minorHAnsi"/>
        <w:b/>
        <w:sz w:val="28"/>
        <w:szCs w:val="28"/>
      </w:rPr>
      <w:t xml:space="preserve">Demonstration to Integrate Care for Dual Eligible Individuals </w:t>
    </w:r>
  </w:p>
  <w:p w:rsidR="000E56AB" w:rsidRPr="00793864" w:rsidRDefault="000E56AB" w:rsidP="00140363">
    <w:pPr>
      <w:jc w:val="center"/>
      <w:rPr>
        <w:rFonts w:asciiTheme="minorHAnsi" w:hAnsiTheme="minorHAnsi" w:cstheme="minorHAnsi"/>
        <w:b/>
        <w:sz w:val="28"/>
        <w:szCs w:val="28"/>
      </w:rPr>
    </w:pPr>
    <w:r w:rsidRPr="00793864">
      <w:rPr>
        <w:rFonts w:asciiTheme="minorHAnsi" w:hAnsiTheme="minorHAnsi" w:cstheme="minorHAnsi"/>
        <w:b/>
        <w:sz w:val="28"/>
        <w:szCs w:val="28"/>
      </w:rPr>
      <w:t>(One Care)</w:t>
    </w:r>
  </w:p>
  <w:p w:rsidR="000E56AB" w:rsidRPr="00C5711F" w:rsidRDefault="000E56AB" w:rsidP="002F5D76">
    <w:pPr>
      <w:pStyle w:val="Header"/>
      <w:jc w:val="center"/>
      <w:rPr>
        <w:rFonts w:asciiTheme="minorHAnsi" w:hAnsiTheme="minorHAnsi" w:cstheme="minorHAnsi"/>
        <w:b/>
      </w:rPr>
    </w:pPr>
    <w:r w:rsidRPr="00793864">
      <w:rPr>
        <w:rFonts w:asciiTheme="minorHAnsi" w:hAnsiTheme="minorHAnsi" w:cstheme="minorHAnsi"/>
        <w:b/>
        <w:sz w:val="28"/>
        <w:szCs w:val="28"/>
      </w:rPr>
      <w:t xml:space="preserve"> CY 2014 </w:t>
    </w:r>
    <w:r>
      <w:rPr>
        <w:rFonts w:asciiTheme="minorHAnsi" w:hAnsiTheme="minorHAnsi" w:cstheme="minorHAnsi"/>
        <w:b/>
        <w:sz w:val="28"/>
        <w:szCs w:val="28"/>
      </w:rPr>
      <w:t>Final</w:t>
    </w:r>
    <w:r w:rsidRPr="00793864">
      <w:rPr>
        <w:rFonts w:asciiTheme="minorHAnsi" w:hAnsiTheme="minorHAnsi" w:cstheme="minorHAnsi"/>
        <w:b/>
        <w:sz w:val="28"/>
        <w:szCs w:val="28"/>
      </w:rPr>
      <w:t xml:space="preserve"> Rate Report, </w:t>
    </w:r>
    <w:r>
      <w:rPr>
        <w:rFonts w:asciiTheme="minorHAnsi" w:hAnsiTheme="minorHAnsi" w:cstheme="minorHAnsi"/>
        <w:b/>
        <w:sz w:val="28"/>
        <w:szCs w:val="28"/>
      </w:rPr>
      <w:t>January 29, 2014</w:t>
    </w:r>
  </w:p>
  <w:p w:rsidR="000E56AB" w:rsidRPr="00C5711F" w:rsidRDefault="000E56AB" w:rsidP="00C5711F">
    <w:pPr>
      <w:pStyle w:val="Header"/>
      <w:jc w:val="center"/>
      <w:rPr>
        <w:rFonts w:asciiTheme="minorHAnsi" w:hAnsiTheme="minorHAnsi" w:cstheme="minorHAnsi"/>
      </w:rPr>
    </w:pPr>
    <w:r w:rsidRPr="00C5711F">
      <w:rPr>
        <w:rFonts w:asciiTheme="minorHAnsi" w:hAnsiTheme="minorHAnsi" w:cstheme="minorHAnsi"/>
        <w:b/>
      </w:rPr>
      <w:t>MassHealth Data Book Summaries with IBNR</w:t>
    </w:r>
  </w:p>
  <w:p w:rsidR="000E56AB" w:rsidRPr="00C5711F" w:rsidRDefault="000E56AB" w:rsidP="002F5D76">
    <w:pPr>
      <w:pStyle w:val="Header"/>
      <w:jc w:val="center"/>
      <w:rPr>
        <w:rFonts w:asciiTheme="minorHAnsi" w:hAnsiTheme="minorHAnsi" w:cstheme="minorHAnsi"/>
        <w:b/>
        <w:sz w:val="28"/>
        <w:szCs w:val="28"/>
      </w:rPr>
    </w:pPr>
  </w:p>
  <w:p w:rsidR="000E56AB" w:rsidRDefault="000E56AB" w:rsidP="004D6F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E61"/>
    <w:multiLevelType w:val="multilevel"/>
    <w:tmpl w:val="C6D426BA"/>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FA16F4"/>
    <w:multiLevelType w:val="hybridMultilevel"/>
    <w:tmpl w:val="6DE2E0F6"/>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D3047ED"/>
    <w:multiLevelType w:val="hybridMultilevel"/>
    <w:tmpl w:val="4B34619C"/>
    <w:lvl w:ilvl="0" w:tplc="E02C783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50DCD"/>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7">
    <w:nsid w:val="48A06AAF"/>
    <w:multiLevelType w:val="hybridMultilevel"/>
    <w:tmpl w:val="121E4876"/>
    <w:lvl w:ilvl="0" w:tplc="D83E5B50">
      <w:start w:val="6"/>
      <w:numFmt w:val="upperRoman"/>
      <w:lvlText w:val="%1."/>
      <w:lvlJc w:val="right"/>
      <w:pPr>
        <w:ind w:left="7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65E3D"/>
    <w:multiLevelType w:val="hybridMultilevel"/>
    <w:tmpl w:val="04C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F1B7E"/>
    <w:multiLevelType w:val="hybridMultilevel"/>
    <w:tmpl w:val="DC984B4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0">
    <w:nsid w:val="53301849"/>
    <w:multiLevelType w:val="hybridMultilevel"/>
    <w:tmpl w:val="AA44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B7C52"/>
    <w:multiLevelType w:val="hybridMultilevel"/>
    <w:tmpl w:val="6F9660B2"/>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5"/>
  </w:num>
  <w:num w:numId="4">
    <w:abstractNumId w:val="1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3"/>
  </w:num>
  <w:num w:numId="10">
    <w:abstractNumId w:val="14"/>
  </w:num>
  <w:num w:numId="11">
    <w:abstractNumId w:val="11"/>
  </w:num>
  <w:num w:numId="12">
    <w:abstractNumId w:val="6"/>
  </w:num>
  <w:num w:numId="13">
    <w:abstractNumId w:val="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225B2"/>
    <w:rsid w:val="00051F3C"/>
    <w:rsid w:val="00075B0F"/>
    <w:rsid w:val="000D2E0D"/>
    <w:rsid w:val="000E56AB"/>
    <w:rsid w:val="000F3E2C"/>
    <w:rsid w:val="00104DD3"/>
    <w:rsid w:val="00105225"/>
    <w:rsid w:val="00140363"/>
    <w:rsid w:val="00141C51"/>
    <w:rsid w:val="001946C0"/>
    <w:rsid w:val="001A2DF9"/>
    <w:rsid w:val="001B4226"/>
    <w:rsid w:val="001C1F45"/>
    <w:rsid w:val="00205D76"/>
    <w:rsid w:val="002075A7"/>
    <w:rsid w:val="0021035D"/>
    <w:rsid w:val="00212F2A"/>
    <w:rsid w:val="0023174F"/>
    <w:rsid w:val="00232788"/>
    <w:rsid w:val="00253331"/>
    <w:rsid w:val="00263D60"/>
    <w:rsid w:val="002705B8"/>
    <w:rsid w:val="00283A75"/>
    <w:rsid w:val="00290BF2"/>
    <w:rsid w:val="002A5C89"/>
    <w:rsid w:val="002B3D7C"/>
    <w:rsid w:val="002E3CBA"/>
    <w:rsid w:val="002E475C"/>
    <w:rsid w:val="002F5D76"/>
    <w:rsid w:val="003013E0"/>
    <w:rsid w:val="003164FC"/>
    <w:rsid w:val="00316F96"/>
    <w:rsid w:val="00327A21"/>
    <w:rsid w:val="00351A0C"/>
    <w:rsid w:val="00373140"/>
    <w:rsid w:val="00397617"/>
    <w:rsid w:val="003A70D0"/>
    <w:rsid w:val="003C322B"/>
    <w:rsid w:val="003E6E67"/>
    <w:rsid w:val="003F2879"/>
    <w:rsid w:val="00400B87"/>
    <w:rsid w:val="0043154D"/>
    <w:rsid w:val="00461127"/>
    <w:rsid w:val="00463157"/>
    <w:rsid w:val="00464AA2"/>
    <w:rsid w:val="004D6FAF"/>
    <w:rsid w:val="004E1E18"/>
    <w:rsid w:val="004F2033"/>
    <w:rsid w:val="00524025"/>
    <w:rsid w:val="00552C91"/>
    <w:rsid w:val="00582B97"/>
    <w:rsid w:val="00585B0A"/>
    <w:rsid w:val="005B5452"/>
    <w:rsid w:val="005D02C0"/>
    <w:rsid w:val="005E4048"/>
    <w:rsid w:val="005F465A"/>
    <w:rsid w:val="006215D6"/>
    <w:rsid w:val="00634CAF"/>
    <w:rsid w:val="00655BC0"/>
    <w:rsid w:val="00675A63"/>
    <w:rsid w:val="006A15FD"/>
    <w:rsid w:val="006C20ED"/>
    <w:rsid w:val="006D24D4"/>
    <w:rsid w:val="007119CC"/>
    <w:rsid w:val="00727C6A"/>
    <w:rsid w:val="00737FBB"/>
    <w:rsid w:val="00755603"/>
    <w:rsid w:val="00792945"/>
    <w:rsid w:val="00793864"/>
    <w:rsid w:val="007D5306"/>
    <w:rsid w:val="007D5A6C"/>
    <w:rsid w:val="00812E46"/>
    <w:rsid w:val="008314FB"/>
    <w:rsid w:val="00856B6D"/>
    <w:rsid w:val="00861D50"/>
    <w:rsid w:val="008749D7"/>
    <w:rsid w:val="008809FA"/>
    <w:rsid w:val="008B7879"/>
    <w:rsid w:val="008D3BF4"/>
    <w:rsid w:val="008E5006"/>
    <w:rsid w:val="008E5CA0"/>
    <w:rsid w:val="008F1B0D"/>
    <w:rsid w:val="008F2C09"/>
    <w:rsid w:val="0090656A"/>
    <w:rsid w:val="00923787"/>
    <w:rsid w:val="00973731"/>
    <w:rsid w:val="009824A8"/>
    <w:rsid w:val="009959A9"/>
    <w:rsid w:val="009B0696"/>
    <w:rsid w:val="009E03EE"/>
    <w:rsid w:val="009F1146"/>
    <w:rsid w:val="009F29CC"/>
    <w:rsid w:val="00A10C08"/>
    <w:rsid w:val="00A470B9"/>
    <w:rsid w:val="00A50B13"/>
    <w:rsid w:val="00A554EE"/>
    <w:rsid w:val="00A63C95"/>
    <w:rsid w:val="00A77C54"/>
    <w:rsid w:val="00A81C5B"/>
    <w:rsid w:val="00AA2B21"/>
    <w:rsid w:val="00AD1E7C"/>
    <w:rsid w:val="00AE626B"/>
    <w:rsid w:val="00B07336"/>
    <w:rsid w:val="00B22092"/>
    <w:rsid w:val="00B5305C"/>
    <w:rsid w:val="00B71AFF"/>
    <w:rsid w:val="00B755FF"/>
    <w:rsid w:val="00B861B1"/>
    <w:rsid w:val="00B92B81"/>
    <w:rsid w:val="00BA788E"/>
    <w:rsid w:val="00BB0350"/>
    <w:rsid w:val="00BB61C9"/>
    <w:rsid w:val="00BB7942"/>
    <w:rsid w:val="00BE2B5B"/>
    <w:rsid w:val="00C015EA"/>
    <w:rsid w:val="00C01D88"/>
    <w:rsid w:val="00C145F3"/>
    <w:rsid w:val="00C25646"/>
    <w:rsid w:val="00C2602D"/>
    <w:rsid w:val="00C5711F"/>
    <w:rsid w:val="00C80594"/>
    <w:rsid w:val="00CD304B"/>
    <w:rsid w:val="00CF7B8E"/>
    <w:rsid w:val="00D020C1"/>
    <w:rsid w:val="00D04FA6"/>
    <w:rsid w:val="00D537E5"/>
    <w:rsid w:val="00E11C73"/>
    <w:rsid w:val="00E95B9B"/>
    <w:rsid w:val="00EA3947"/>
    <w:rsid w:val="00EB2D4B"/>
    <w:rsid w:val="00EB4298"/>
    <w:rsid w:val="00EB7513"/>
    <w:rsid w:val="00EC39D3"/>
    <w:rsid w:val="00EC3E5B"/>
    <w:rsid w:val="00EC7301"/>
    <w:rsid w:val="00EF2A3D"/>
    <w:rsid w:val="00F36947"/>
    <w:rsid w:val="00F45426"/>
    <w:rsid w:val="00F51B5F"/>
    <w:rsid w:val="00F56393"/>
    <w:rsid w:val="00F758A4"/>
    <w:rsid w:val="00F76B52"/>
    <w:rsid w:val="00F91D26"/>
    <w:rsid w:val="00F92A40"/>
    <w:rsid w:val="00F93994"/>
    <w:rsid w:val="00F96AC3"/>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F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basedOn w:val="Normal"/>
    <w:link w:val="CommentTextChar"/>
    <w:uiPriority w:val="99"/>
    <w:rsid w:val="00C01D88"/>
    <w:rPr>
      <w:sz w:val="20"/>
      <w:szCs w:val="20"/>
    </w:rPr>
  </w:style>
  <w:style w:type="character" w:customStyle="1" w:styleId="CommentTextChar">
    <w:name w:val="Comment Text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99"/>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paragraph" w:styleId="ListBullet">
    <w:name w:val="List Bullet"/>
    <w:basedOn w:val="Normal"/>
    <w:uiPriority w:val="99"/>
    <w:unhideWhenUsed/>
    <w:rsid w:val="0090656A"/>
    <w:pPr>
      <w:numPr>
        <w:ilvl w:val="4"/>
        <w:numId w:val="6"/>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90656A"/>
    <w:pPr>
      <w:numPr>
        <w:ilvl w:val="5"/>
        <w:numId w:val="6"/>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90656A"/>
    <w:pPr>
      <w:numPr>
        <w:ilvl w:val="6"/>
        <w:numId w:val="6"/>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90656A"/>
    <w:pPr>
      <w:numPr>
        <w:ilvl w:val="7"/>
        <w:numId w:val="6"/>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327A21"/>
    <w:rPr>
      <w:b/>
      <w:bCs/>
    </w:rPr>
  </w:style>
  <w:style w:type="paragraph" w:styleId="PlainText">
    <w:name w:val="Plain Text"/>
    <w:basedOn w:val="Normal"/>
    <w:link w:val="PlainTextChar"/>
    <w:rsid w:val="00327A21"/>
    <w:rPr>
      <w:rFonts w:ascii="Consolas" w:eastAsia="PMingLiU" w:hAnsi="Consolas"/>
      <w:sz w:val="21"/>
      <w:szCs w:val="21"/>
    </w:rPr>
  </w:style>
  <w:style w:type="character" w:customStyle="1" w:styleId="PlainTextChar">
    <w:name w:val="Plain Text Char"/>
    <w:basedOn w:val="DefaultParagraphFont"/>
    <w:link w:val="PlainText"/>
    <w:rsid w:val="00327A21"/>
    <w:rPr>
      <w:rFonts w:ascii="Consolas" w:eastAsia="PMingLiU"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F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basedOn w:val="Normal"/>
    <w:link w:val="CommentTextChar"/>
    <w:uiPriority w:val="99"/>
    <w:rsid w:val="00C01D88"/>
    <w:rPr>
      <w:sz w:val="20"/>
      <w:szCs w:val="20"/>
    </w:rPr>
  </w:style>
  <w:style w:type="character" w:customStyle="1" w:styleId="CommentTextChar">
    <w:name w:val="Comment Text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99"/>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paragraph" w:styleId="ListBullet">
    <w:name w:val="List Bullet"/>
    <w:basedOn w:val="Normal"/>
    <w:uiPriority w:val="99"/>
    <w:unhideWhenUsed/>
    <w:rsid w:val="0090656A"/>
    <w:pPr>
      <w:numPr>
        <w:ilvl w:val="4"/>
        <w:numId w:val="6"/>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90656A"/>
    <w:pPr>
      <w:numPr>
        <w:ilvl w:val="5"/>
        <w:numId w:val="6"/>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90656A"/>
    <w:pPr>
      <w:numPr>
        <w:ilvl w:val="6"/>
        <w:numId w:val="6"/>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90656A"/>
    <w:pPr>
      <w:numPr>
        <w:ilvl w:val="7"/>
        <w:numId w:val="6"/>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327A21"/>
    <w:rPr>
      <w:b/>
      <w:bCs/>
    </w:rPr>
  </w:style>
  <w:style w:type="paragraph" w:styleId="PlainText">
    <w:name w:val="Plain Text"/>
    <w:basedOn w:val="Normal"/>
    <w:link w:val="PlainTextChar"/>
    <w:rsid w:val="00327A21"/>
    <w:rPr>
      <w:rFonts w:ascii="Consolas" w:eastAsia="PMingLiU" w:hAnsi="Consolas"/>
      <w:sz w:val="21"/>
      <w:szCs w:val="21"/>
    </w:rPr>
  </w:style>
  <w:style w:type="character" w:customStyle="1" w:styleId="PlainTextChar">
    <w:name w:val="Plain Text Char"/>
    <w:basedOn w:val="DefaultParagraphFont"/>
    <w:link w:val="PlainText"/>
    <w:rsid w:val="00327A21"/>
    <w:rPr>
      <w:rFonts w:ascii="Consolas" w:eastAsia="PMingLiU"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229682575">
      <w:bodyDiv w:val="1"/>
      <w:marLeft w:val="0"/>
      <w:marRight w:val="0"/>
      <w:marTop w:val="0"/>
      <w:marBottom w:val="0"/>
      <w:divBdr>
        <w:top w:val="none" w:sz="0" w:space="0" w:color="auto"/>
        <w:left w:val="none" w:sz="0" w:space="0" w:color="auto"/>
        <w:bottom w:val="none" w:sz="0" w:space="0" w:color="auto"/>
        <w:right w:val="none" w:sz="0" w:space="0" w:color="auto"/>
      </w:divBdr>
    </w:div>
    <w:div w:id="1303929847">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747262792">
      <w:bodyDiv w:val="1"/>
      <w:marLeft w:val="0"/>
      <w:marRight w:val="0"/>
      <w:marTop w:val="0"/>
      <w:marBottom w:val="0"/>
      <w:divBdr>
        <w:top w:val="none" w:sz="0" w:space="0" w:color="auto"/>
        <w:left w:val="none" w:sz="0" w:space="0" w:color="auto"/>
        <w:bottom w:val="none" w:sz="0" w:space="0" w:color="auto"/>
        <w:right w:val="none" w:sz="0" w:space="0" w:color="auto"/>
      </w:divBdr>
    </w:div>
    <w:div w:id="19588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ms.gov/Medicare-Medicaid-Coordination/Medicare-and-Medicaid-Coordination/Medicare-Medicaid-Coordination-Office/Downloads/JointRateSetting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6291</Words>
  <Characters>35863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2014-01-07T17:30:00Z</cp:lastPrinted>
  <dcterms:created xsi:type="dcterms:W3CDTF">2017-12-21T16:56:00Z</dcterms:created>
  <dcterms:modified xsi:type="dcterms:W3CDTF">2017-12-21T16:56:00Z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