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4E515A" w14:textId="77777777" w:rsidR="00A7060E" w:rsidRDefault="00A7060E" w:rsidP="00140363">
      <w:pPr>
        <w:rPr>
          <w:rFonts w:ascii="Calibri" w:hAnsi="Calibri" w:cs="Calibri"/>
          <w:sz w:val="22"/>
          <w:szCs w:val="22"/>
        </w:rPr>
      </w:pPr>
      <w:bookmarkStart w:id="0" w:name="_GoBack"/>
      <w:bookmarkEnd w:id="0"/>
    </w:p>
    <w:p w14:paraId="2F58E070" w14:textId="6F1236F7" w:rsidR="0076056B" w:rsidRPr="00480A2C" w:rsidRDefault="0076056B" w:rsidP="0076056B">
      <w:pPr>
        <w:pStyle w:val="Default"/>
        <w:rPr>
          <w:b/>
          <w:bCs/>
          <w:sz w:val="22"/>
          <w:szCs w:val="22"/>
        </w:rPr>
      </w:pPr>
      <w:r w:rsidRPr="00480A2C">
        <w:rPr>
          <w:sz w:val="22"/>
          <w:szCs w:val="22"/>
        </w:rPr>
        <w:t xml:space="preserve">MassHealth, in conjunction with the Centers for Medicare and Medicaid Services (CMS), is </w:t>
      </w:r>
      <w:r w:rsidRPr="00E41495">
        <w:rPr>
          <w:sz w:val="22"/>
          <w:szCs w:val="22"/>
        </w:rPr>
        <w:t xml:space="preserve">releasing updated final Medicaid and Medicare components of the CY 2015 rates for the Massachusetts Demonstration to Integrate Care for Dual Eligible Individuals (One Care). These adjustments were available to One Care plans through execution of contract amendments and are conditional upon continued participation in the demonstration through </w:t>
      </w:r>
      <w:r w:rsidR="00890FA3">
        <w:rPr>
          <w:sz w:val="22"/>
          <w:szCs w:val="22"/>
        </w:rPr>
        <w:t xml:space="preserve">December 31, </w:t>
      </w:r>
      <w:r w:rsidRPr="00E41495">
        <w:rPr>
          <w:sz w:val="22"/>
          <w:szCs w:val="22"/>
        </w:rPr>
        <w:t>2016. In accordance with the Three</w:t>
      </w:r>
      <w:r w:rsidR="00BA284F">
        <w:rPr>
          <w:sz w:val="22"/>
          <w:szCs w:val="22"/>
        </w:rPr>
        <w:t>-</w:t>
      </w:r>
      <w:r w:rsidRPr="00E41495">
        <w:rPr>
          <w:sz w:val="22"/>
          <w:szCs w:val="22"/>
        </w:rPr>
        <w:t xml:space="preserve">Way Contract as amended </w:t>
      </w:r>
      <w:r w:rsidR="00BC010B">
        <w:rPr>
          <w:sz w:val="22"/>
          <w:szCs w:val="22"/>
        </w:rPr>
        <w:t xml:space="preserve">and restated </w:t>
      </w:r>
      <w:r w:rsidRPr="00E41495">
        <w:rPr>
          <w:sz w:val="22"/>
          <w:szCs w:val="22"/>
        </w:rPr>
        <w:t xml:space="preserve">in </w:t>
      </w:r>
      <w:r w:rsidRPr="00A863FC">
        <w:rPr>
          <w:sz w:val="22"/>
          <w:szCs w:val="22"/>
        </w:rPr>
        <w:t>December 2015</w:t>
      </w:r>
      <w:r w:rsidRPr="00E41495">
        <w:rPr>
          <w:sz w:val="22"/>
          <w:szCs w:val="22"/>
        </w:rPr>
        <w:t>, these updates to the rates replace the Demonstration rates included in the CY 2015 rate rep</w:t>
      </w:r>
      <w:r w:rsidR="002B5B35">
        <w:rPr>
          <w:sz w:val="22"/>
          <w:szCs w:val="22"/>
        </w:rPr>
        <w:t>ort dated March 5, 2015.</w:t>
      </w:r>
    </w:p>
    <w:p w14:paraId="2FF82501" w14:textId="77777777" w:rsidR="00283A75" w:rsidRPr="003774BE" w:rsidRDefault="00283A75" w:rsidP="00140363">
      <w:pPr>
        <w:rPr>
          <w:rFonts w:ascii="Calibri" w:hAnsi="Calibri" w:cs="Calibri"/>
          <w:sz w:val="22"/>
          <w:szCs w:val="22"/>
        </w:rPr>
      </w:pPr>
    </w:p>
    <w:p w14:paraId="5DB073D3" w14:textId="77777777" w:rsidR="00283A75" w:rsidRPr="003774BE" w:rsidRDefault="00283A75" w:rsidP="00C01D88">
      <w:pPr>
        <w:tabs>
          <w:tab w:val="left" w:pos="4140"/>
        </w:tabs>
        <w:rPr>
          <w:rFonts w:ascii="Calibri" w:hAnsi="Calibri" w:cs="Calibri"/>
          <w:sz w:val="22"/>
          <w:szCs w:val="22"/>
        </w:rPr>
      </w:pPr>
      <w:r w:rsidRPr="003774BE">
        <w:rPr>
          <w:rFonts w:ascii="Calibri" w:hAnsi="Calibri" w:cs="Calibri"/>
          <w:sz w:val="22"/>
          <w:szCs w:val="22"/>
        </w:rPr>
        <w:t xml:space="preserve">The general principles of the rate development process for the Demonstration have been outlined in the Memorandum of Understanding (MOU) between CMS and the Commonwealth of Massachusetts, and </w:t>
      </w:r>
      <w:r w:rsidR="000B31CF">
        <w:rPr>
          <w:rFonts w:ascii="Calibri" w:hAnsi="Calibri" w:cs="Calibri"/>
          <w:sz w:val="22"/>
          <w:szCs w:val="22"/>
        </w:rPr>
        <w:t xml:space="preserve">in </w:t>
      </w:r>
      <w:r w:rsidRPr="003774BE">
        <w:rPr>
          <w:rFonts w:ascii="Calibri" w:hAnsi="Calibri" w:cs="Calibri"/>
          <w:sz w:val="22"/>
          <w:szCs w:val="22"/>
        </w:rPr>
        <w:t xml:space="preserve">the three-way contract between CMS, the Commonwealth of Massachusetts, and the One Care plans (Medicare-Medicaid </w:t>
      </w:r>
      <w:r w:rsidR="0063226D">
        <w:rPr>
          <w:rFonts w:ascii="Calibri" w:hAnsi="Calibri" w:cs="Calibri"/>
          <w:sz w:val="22"/>
          <w:szCs w:val="22"/>
        </w:rPr>
        <w:t>P</w:t>
      </w:r>
      <w:r w:rsidRPr="003774BE">
        <w:rPr>
          <w:rFonts w:ascii="Calibri" w:hAnsi="Calibri" w:cs="Calibri"/>
          <w:sz w:val="22"/>
          <w:szCs w:val="22"/>
        </w:rPr>
        <w:t>lans).</w:t>
      </w:r>
    </w:p>
    <w:p w14:paraId="55584509" w14:textId="77777777" w:rsidR="00283A75" w:rsidRPr="003774BE" w:rsidRDefault="00283A75" w:rsidP="00C01D88">
      <w:pPr>
        <w:tabs>
          <w:tab w:val="left" w:pos="4140"/>
        </w:tabs>
        <w:rPr>
          <w:rFonts w:ascii="Calibri" w:hAnsi="Calibri" w:cs="Calibri"/>
          <w:sz w:val="22"/>
          <w:szCs w:val="22"/>
        </w:rPr>
      </w:pPr>
    </w:p>
    <w:p w14:paraId="365D4CE0" w14:textId="4F0DB243" w:rsidR="00283A75" w:rsidRPr="00387FDC" w:rsidRDefault="00536656" w:rsidP="00C1440F">
      <w:pPr>
        <w:tabs>
          <w:tab w:val="left" w:pos="4140"/>
        </w:tabs>
        <w:rPr>
          <w:rFonts w:ascii="Calibri" w:hAnsi="Calibri" w:cs="Calibri"/>
          <w:sz w:val="22"/>
          <w:szCs w:val="22"/>
        </w:rPr>
      </w:pPr>
      <w:r w:rsidRPr="00140363">
        <w:rPr>
          <w:rFonts w:ascii="Calibri" w:hAnsi="Calibri" w:cs="Calibri"/>
          <w:sz w:val="22"/>
          <w:szCs w:val="22"/>
        </w:rPr>
        <w:t>Included</w:t>
      </w:r>
      <w:r w:rsidRPr="00C01D88">
        <w:rPr>
          <w:rFonts w:ascii="Calibri" w:hAnsi="Calibri" w:cs="Calibri"/>
          <w:sz w:val="22"/>
          <w:szCs w:val="22"/>
        </w:rPr>
        <w:t xml:space="preserve"> in this report are </w:t>
      </w:r>
      <w:r>
        <w:rPr>
          <w:rFonts w:ascii="Calibri" w:hAnsi="Calibri" w:cs="Calibri"/>
          <w:sz w:val="22"/>
          <w:szCs w:val="22"/>
        </w:rPr>
        <w:t xml:space="preserve">final CY 2015 Medicaid rates and </w:t>
      </w:r>
      <w:r w:rsidRPr="00A63C95">
        <w:rPr>
          <w:rFonts w:ascii="Calibri" w:hAnsi="Calibri" w:cs="Calibri"/>
          <w:sz w:val="22"/>
          <w:szCs w:val="22"/>
        </w:rPr>
        <w:t>Medicare county base rates</w:t>
      </w:r>
      <w:r w:rsidR="007F5F51">
        <w:rPr>
          <w:rFonts w:ascii="Calibri" w:hAnsi="Calibri" w:cs="Calibri"/>
          <w:sz w:val="22"/>
          <w:szCs w:val="22"/>
        </w:rPr>
        <w:t xml:space="preserve"> </w:t>
      </w:r>
      <w:r w:rsidR="00960531">
        <w:rPr>
          <w:rFonts w:ascii="Calibri" w:hAnsi="Calibri" w:cs="Calibri"/>
          <w:sz w:val="22"/>
          <w:szCs w:val="22"/>
        </w:rPr>
        <w:t>for One Care plans that execute</w:t>
      </w:r>
      <w:r w:rsidR="00C479F4">
        <w:rPr>
          <w:rFonts w:ascii="Calibri" w:hAnsi="Calibri" w:cs="Calibri"/>
          <w:sz w:val="22"/>
          <w:szCs w:val="22"/>
        </w:rPr>
        <w:t>d</w:t>
      </w:r>
      <w:r w:rsidR="007F5F51">
        <w:rPr>
          <w:rFonts w:ascii="Calibri" w:hAnsi="Calibri" w:cs="Calibri"/>
          <w:sz w:val="22"/>
          <w:szCs w:val="22"/>
        </w:rPr>
        <w:t xml:space="preserve"> the above described contract amendments</w:t>
      </w:r>
      <w:r w:rsidR="00283A75" w:rsidRPr="00387FDC">
        <w:rPr>
          <w:rFonts w:ascii="Calibri" w:hAnsi="Calibri" w:cs="Calibri"/>
          <w:sz w:val="22"/>
          <w:szCs w:val="22"/>
        </w:rPr>
        <w:t xml:space="preserve">. </w:t>
      </w:r>
      <w:r w:rsidR="0028302E">
        <w:rPr>
          <w:rFonts w:ascii="Calibri" w:hAnsi="Calibri" w:cs="Calibri"/>
          <w:sz w:val="22"/>
          <w:szCs w:val="22"/>
        </w:rPr>
        <w:t xml:space="preserve">The </w:t>
      </w:r>
      <w:r w:rsidR="00C1440F">
        <w:rPr>
          <w:rFonts w:ascii="Calibri" w:hAnsi="Calibri" w:cs="Calibri"/>
          <w:sz w:val="22"/>
          <w:szCs w:val="22"/>
        </w:rPr>
        <w:t xml:space="preserve">final </w:t>
      </w:r>
      <w:r w:rsidR="0028302E">
        <w:rPr>
          <w:rFonts w:ascii="Calibri" w:hAnsi="Calibri" w:cs="Calibri"/>
          <w:sz w:val="22"/>
          <w:szCs w:val="22"/>
        </w:rPr>
        <w:t>CY 2015 Medicare A/</w:t>
      </w:r>
      <w:r w:rsidR="0028302E" w:rsidRPr="00BC6054">
        <w:rPr>
          <w:rFonts w:ascii="Calibri" w:hAnsi="Calibri" w:cs="Calibri"/>
          <w:sz w:val="22"/>
          <w:szCs w:val="22"/>
        </w:rPr>
        <w:t xml:space="preserve">B </w:t>
      </w:r>
      <w:r w:rsidR="00BC6054" w:rsidRPr="00BC6054">
        <w:rPr>
          <w:rFonts w:ascii="Calibri" w:hAnsi="Calibri" w:cs="Calibri"/>
          <w:sz w:val="22"/>
          <w:szCs w:val="22"/>
        </w:rPr>
        <w:t xml:space="preserve">and Medicaid </w:t>
      </w:r>
      <w:r w:rsidR="0028302E" w:rsidRPr="00BC6054">
        <w:rPr>
          <w:rFonts w:ascii="Calibri" w:hAnsi="Calibri" w:cs="Calibri"/>
          <w:sz w:val="22"/>
          <w:szCs w:val="22"/>
        </w:rPr>
        <w:t xml:space="preserve">rates </w:t>
      </w:r>
      <w:r w:rsidR="00C1440F" w:rsidRPr="00BC6054">
        <w:rPr>
          <w:rFonts w:ascii="Calibri" w:hAnsi="Calibri" w:cs="Calibri"/>
          <w:sz w:val="22"/>
          <w:szCs w:val="22"/>
        </w:rPr>
        <w:t xml:space="preserve">included in this report </w:t>
      </w:r>
      <w:r w:rsidR="0028302E" w:rsidRPr="00BC6054">
        <w:rPr>
          <w:rFonts w:ascii="Calibri" w:hAnsi="Calibri" w:cs="Calibri"/>
          <w:sz w:val="22"/>
          <w:szCs w:val="22"/>
        </w:rPr>
        <w:t>reflect the elimination of the savings percentage for Demonstration Year 2</w:t>
      </w:r>
      <w:r w:rsidR="00BC6054" w:rsidRPr="00BC6054">
        <w:rPr>
          <w:rFonts w:ascii="Calibri" w:hAnsi="Calibri" w:cs="Calibri"/>
          <w:sz w:val="22"/>
          <w:szCs w:val="22"/>
        </w:rPr>
        <w:t>.</w:t>
      </w:r>
      <w:r w:rsidR="0028302E" w:rsidRPr="00BC6054">
        <w:rPr>
          <w:rFonts w:ascii="Calibri" w:hAnsi="Calibri" w:cs="Calibri"/>
          <w:sz w:val="22"/>
          <w:szCs w:val="22"/>
        </w:rPr>
        <w:t xml:space="preserve"> </w:t>
      </w:r>
      <w:r w:rsidR="00BC6054" w:rsidRPr="00BC6054">
        <w:rPr>
          <w:rFonts w:ascii="Calibri" w:hAnsi="Calibri" w:cs="Calibri"/>
          <w:sz w:val="22"/>
          <w:szCs w:val="22"/>
        </w:rPr>
        <w:t>The final rates also reflect</w:t>
      </w:r>
      <w:r w:rsidR="00BC6054">
        <w:rPr>
          <w:rFonts w:ascii="Calibri" w:hAnsi="Calibri" w:cs="Calibri"/>
          <w:sz w:val="22"/>
          <w:szCs w:val="22"/>
        </w:rPr>
        <w:t xml:space="preserve"> </w:t>
      </w:r>
      <w:r w:rsidR="0028302E">
        <w:rPr>
          <w:rFonts w:ascii="Calibri" w:hAnsi="Calibri" w:cs="Calibri"/>
          <w:sz w:val="22"/>
          <w:szCs w:val="22"/>
        </w:rPr>
        <w:t>an increase of 5% to the FFS component of the Medicare A/B rate for non-ESRD beneficiaries. The reduction to the quality withhold amount is reflected in the quality withhold section of th</w:t>
      </w:r>
      <w:r w:rsidR="00C26326">
        <w:rPr>
          <w:rFonts w:ascii="Calibri" w:hAnsi="Calibri" w:cs="Calibri"/>
          <w:sz w:val="22"/>
          <w:szCs w:val="22"/>
        </w:rPr>
        <w:t>is</w:t>
      </w:r>
      <w:r w:rsidR="0028302E">
        <w:rPr>
          <w:rFonts w:ascii="Calibri" w:hAnsi="Calibri" w:cs="Calibri"/>
          <w:sz w:val="22"/>
          <w:szCs w:val="22"/>
        </w:rPr>
        <w:t xml:space="preserve"> report.</w:t>
      </w:r>
      <w:r w:rsidR="00387FDC" w:rsidRPr="00387FDC">
        <w:rPr>
          <w:rFonts w:asciiTheme="minorHAnsi" w:hAnsiTheme="minorHAnsi" w:cstheme="minorHAnsi"/>
          <w:color w:val="000000"/>
          <w:sz w:val="22"/>
          <w:szCs w:val="22"/>
        </w:rPr>
        <w:t xml:space="preserve"> </w:t>
      </w:r>
    </w:p>
    <w:p w14:paraId="345B08B7" w14:textId="77777777" w:rsidR="00A7060E" w:rsidRDefault="00A7060E" w:rsidP="00C01D88">
      <w:pPr>
        <w:tabs>
          <w:tab w:val="left" w:pos="4140"/>
        </w:tabs>
        <w:rPr>
          <w:rFonts w:ascii="Calibri" w:hAnsi="Calibri" w:cs="Calibri"/>
          <w:sz w:val="22"/>
          <w:szCs w:val="22"/>
        </w:rPr>
      </w:pPr>
    </w:p>
    <w:p w14:paraId="236A1811" w14:textId="77777777" w:rsidR="00283A75" w:rsidRDefault="00283A75" w:rsidP="00C01D88">
      <w:pPr>
        <w:tabs>
          <w:tab w:val="left" w:pos="4140"/>
        </w:tabs>
        <w:rPr>
          <w:rFonts w:ascii="Calibri" w:hAnsi="Calibri" w:cs="Calibri"/>
          <w:sz w:val="22"/>
          <w:szCs w:val="22"/>
        </w:rPr>
      </w:pPr>
    </w:p>
    <w:p w14:paraId="382A17DF" w14:textId="77777777" w:rsidR="00283A75" w:rsidRPr="0023174F" w:rsidRDefault="00283A75" w:rsidP="00C01D88">
      <w:pPr>
        <w:numPr>
          <w:ilvl w:val="0"/>
          <w:numId w:val="1"/>
        </w:numPr>
        <w:tabs>
          <w:tab w:val="left" w:pos="720"/>
        </w:tabs>
        <w:ind w:left="360" w:firstLine="0"/>
        <w:jc w:val="center"/>
        <w:rPr>
          <w:rFonts w:ascii="Calibri" w:hAnsi="Calibri" w:cs="Calibri"/>
          <w:b/>
          <w:sz w:val="22"/>
          <w:szCs w:val="22"/>
        </w:rPr>
      </w:pPr>
      <w:r w:rsidRPr="0023174F">
        <w:rPr>
          <w:rFonts w:ascii="Calibri" w:hAnsi="Calibri" w:cs="Calibri"/>
          <w:b/>
          <w:sz w:val="22"/>
          <w:szCs w:val="22"/>
        </w:rPr>
        <w:t>Components of the Capitation Rate</w:t>
      </w:r>
    </w:p>
    <w:p w14:paraId="41E29BBB" w14:textId="77777777" w:rsidR="00283A75" w:rsidRPr="0023174F" w:rsidRDefault="00283A75" w:rsidP="00C01D88">
      <w:pPr>
        <w:rPr>
          <w:rFonts w:ascii="Calibri" w:hAnsi="Calibri" w:cs="Calibri"/>
          <w:sz w:val="22"/>
          <w:szCs w:val="22"/>
        </w:rPr>
      </w:pPr>
    </w:p>
    <w:p w14:paraId="2D7D26FB" w14:textId="77777777" w:rsidR="00283A75" w:rsidRPr="0023174F" w:rsidRDefault="00283A75" w:rsidP="00C01D88">
      <w:pPr>
        <w:pStyle w:val="RFR-Level3-A-Text"/>
        <w:ind w:left="0"/>
        <w:rPr>
          <w:rFonts w:ascii="Calibri" w:hAnsi="Calibri" w:cs="Calibri"/>
          <w:sz w:val="22"/>
          <w:szCs w:val="22"/>
        </w:rPr>
      </w:pPr>
      <w:r w:rsidRPr="00EB2D4B">
        <w:rPr>
          <w:rFonts w:ascii="Calibri" w:hAnsi="Calibri" w:cs="Calibri"/>
          <w:sz w:val="22"/>
          <w:szCs w:val="22"/>
        </w:rPr>
        <w:t xml:space="preserve">CMS and </w:t>
      </w:r>
      <w:r>
        <w:rPr>
          <w:rFonts w:ascii="Calibri" w:hAnsi="Calibri" w:cs="Calibri"/>
          <w:sz w:val="22"/>
          <w:szCs w:val="22"/>
        </w:rPr>
        <w:t xml:space="preserve">MassHealth </w:t>
      </w:r>
      <w:r w:rsidRPr="00EB2D4B">
        <w:rPr>
          <w:rFonts w:ascii="Calibri" w:hAnsi="Calibri" w:cs="Calibri"/>
          <w:sz w:val="22"/>
          <w:szCs w:val="22"/>
        </w:rPr>
        <w:t xml:space="preserve">will each contribute to the global </w:t>
      </w:r>
      <w:r>
        <w:rPr>
          <w:rFonts w:ascii="Calibri" w:hAnsi="Calibri" w:cs="Calibri"/>
          <w:sz w:val="22"/>
          <w:szCs w:val="22"/>
        </w:rPr>
        <w:t xml:space="preserve">capitation payment. CMS and MassHealth </w:t>
      </w:r>
      <w:r w:rsidRPr="00EB2D4B">
        <w:rPr>
          <w:rFonts w:ascii="Calibri" w:hAnsi="Calibri" w:cs="Calibri"/>
          <w:sz w:val="22"/>
          <w:szCs w:val="22"/>
        </w:rPr>
        <w:t xml:space="preserve">will each make monthly payments to </w:t>
      </w:r>
      <w:r>
        <w:rPr>
          <w:rFonts w:ascii="Calibri" w:hAnsi="Calibri" w:cs="Calibri"/>
          <w:sz w:val="22"/>
          <w:szCs w:val="22"/>
        </w:rPr>
        <w:t>One Care plans</w:t>
      </w:r>
      <w:r w:rsidRPr="00EB2D4B">
        <w:rPr>
          <w:rFonts w:ascii="Calibri" w:hAnsi="Calibri" w:cs="Calibri"/>
          <w:sz w:val="22"/>
          <w:szCs w:val="22"/>
        </w:rPr>
        <w:t xml:space="preserve"> for their components of the capitated rate. </w:t>
      </w:r>
      <w:r>
        <w:rPr>
          <w:rFonts w:ascii="Calibri" w:hAnsi="Calibri" w:cs="Calibri"/>
          <w:sz w:val="22"/>
          <w:szCs w:val="22"/>
        </w:rPr>
        <w:t xml:space="preserve"> One Care plans </w:t>
      </w:r>
      <w:r w:rsidRPr="00EB2D4B">
        <w:rPr>
          <w:rFonts w:ascii="Calibri" w:hAnsi="Calibri" w:cs="Calibri"/>
          <w:sz w:val="22"/>
          <w:szCs w:val="22"/>
        </w:rPr>
        <w:t xml:space="preserve">will receive three monthly payments for each enrollee: one amount from CMS reflecting coverage of Medicare Parts A/B services, one amount from CMS reflecting coverage of Medicare Part D services, and a third amount from </w:t>
      </w:r>
      <w:r>
        <w:rPr>
          <w:rFonts w:ascii="Calibri" w:hAnsi="Calibri" w:cs="Calibri"/>
          <w:sz w:val="22"/>
          <w:szCs w:val="22"/>
        </w:rPr>
        <w:t>MassHealth</w:t>
      </w:r>
      <w:r w:rsidRPr="00EB2D4B">
        <w:rPr>
          <w:rFonts w:ascii="Calibri" w:hAnsi="Calibri" w:cs="Calibri"/>
          <w:sz w:val="22"/>
          <w:szCs w:val="22"/>
        </w:rPr>
        <w:t xml:space="preserve"> reflecting coverage of Medicaid services.</w:t>
      </w:r>
      <w:r w:rsidRPr="0023174F">
        <w:rPr>
          <w:rFonts w:ascii="Calibri" w:hAnsi="Calibri" w:cs="Calibri"/>
          <w:sz w:val="22"/>
          <w:szCs w:val="22"/>
        </w:rPr>
        <w:t xml:space="preserve"> </w:t>
      </w:r>
    </w:p>
    <w:p w14:paraId="354D410D" w14:textId="77777777" w:rsidR="00283A75" w:rsidRPr="0023174F" w:rsidRDefault="00283A75" w:rsidP="00C01D88">
      <w:pPr>
        <w:rPr>
          <w:rFonts w:ascii="Calibri" w:hAnsi="Calibri" w:cs="Calibri"/>
          <w:sz w:val="22"/>
          <w:szCs w:val="22"/>
        </w:rPr>
      </w:pPr>
    </w:p>
    <w:p w14:paraId="6FC56FB4" w14:textId="77777777" w:rsidR="00283A75" w:rsidRPr="005B5452" w:rsidRDefault="00283A75" w:rsidP="00C01D88">
      <w:pPr>
        <w:pStyle w:val="RFR-Level3-A-Text"/>
        <w:ind w:left="0"/>
        <w:rPr>
          <w:rFonts w:ascii="Calibri" w:hAnsi="Calibri" w:cs="Calibri"/>
          <w:sz w:val="22"/>
          <w:szCs w:val="22"/>
        </w:rPr>
      </w:pPr>
      <w:r w:rsidRPr="005B5452">
        <w:rPr>
          <w:rFonts w:ascii="Calibri" w:hAnsi="Calibri" w:cs="Calibri"/>
          <w:sz w:val="22"/>
          <w:szCs w:val="22"/>
        </w:rPr>
        <w:t>The Medicare Parts A/B</w:t>
      </w:r>
      <w:r>
        <w:rPr>
          <w:rFonts w:ascii="Calibri" w:hAnsi="Calibri" w:cs="Calibri"/>
          <w:sz w:val="22"/>
          <w:szCs w:val="22"/>
        </w:rPr>
        <w:t xml:space="preserve"> rate component w</w:t>
      </w:r>
      <w:r w:rsidRPr="005B5452">
        <w:rPr>
          <w:rFonts w:ascii="Calibri" w:hAnsi="Calibri" w:cs="Calibri"/>
          <w:sz w:val="22"/>
          <w:szCs w:val="22"/>
        </w:rPr>
        <w:t xml:space="preserve">ill be risk adjusted using the Medicare Advantage CMS-HCC </w:t>
      </w:r>
      <w:r>
        <w:rPr>
          <w:rFonts w:ascii="Calibri" w:hAnsi="Calibri" w:cs="Calibri"/>
          <w:sz w:val="22"/>
          <w:szCs w:val="22"/>
        </w:rPr>
        <w:t>and CMS HCC-ESRD m</w:t>
      </w:r>
      <w:r w:rsidRPr="005B5452">
        <w:rPr>
          <w:rFonts w:ascii="Calibri" w:hAnsi="Calibri" w:cs="Calibri"/>
          <w:sz w:val="22"/>
          <w:szCs w:val="22"/>
        </w:rPr>
        <w:t>odel</w:t>
      </w:r>
      <w:r>
        <w:rPr>
          <w:rFonts w:ascii="Calibri" w:hAnsi="Calibri" w:cs="Calibri"/>
          <w:sz w:val="22"/>
          <w:szCs w:val="22"/>
        </w:rPr>
        <w:t>s</w:t>
      </w:r>
      <w:r w:rsidRPr="005B5452">
        <w:rPr>
          <w:rFonts w:ascii="Calibri" w:hAnsi="Calibri" w:cs="Calibri"/>
          <w:sz w:val="22"/>
          <w:szCs w:val="22"/>
        </w:rPr>
        <w:t xml:space="preserve">. The Medicare Part D payment will be risk adjusted using the Part D RxHCC </w:t>
      </w:r>
      <w:r>
        <w:rPr>
          <w:rFonts w:ascii="Calibri" w:hAnsi="Calibri" w:cs="Calibri"/>
          <w:sz w:val="22"/>
          <w:szCs w:val="22"/>
        </w:rPr>
        <w:t>m</w:t>
      </w:r>
      <w:r w:rsidRPr="005B5452">
        <w:rPr>
          <w:rFonts w:ascii="Calibri" w:hAnsi="Calibri" w:cs="Calibri"/>
          <w:sz w:val="22"/>
          <w:szCs w:val="22"/>
        </w:rPr>
        <w:t xml:space="preserve">odel. </w:t>
      </w:r>
      <w:r>
        <w:rPr>
          <w:rFonts w:ascii="Calibri" w:hAnsi="Calibri" w:cs="Calibri"/>
          <w:sz w:val="22"/>
          <w:szCs w:val="22"/>
        </w:rPr>
        <w:t xml:space="preserve"> To adjust the Medicaid component, MassHealth’s methodology assigns each enrollee t</w:t>
      </w:r>
      <w:r w:rsidRPr="005B5452">
        <w:rPr>
          <w:rFonts w:ascii="Calibri" w:hAnsi="Calibri" w:cs="Calibri"/>
          <w:sz w:val="22"/>
          <w:szCs w:val="22"/>
        </w:rPr>
        <w:t>o a rating category (RC) according to the individual enrollee’s</w:t>
      </w:r>
      <w:r>
        <w:rPr>
          <w:rFonts w:ascii="Calibri" w:hAnsi="Calibri" w:cs="Calibri"/>
          <w:sz w:val="22"/>
          <w:szCs w:val="22"/>
        </w:rPr>
        <w:t xml:space="preserve"> clinical status and setting of care. </w:t>
      </w:r>
      <w:r w:rsidRPr="005B5452">
        <w:rPr>
          <w:rFonts w:ascii="Calibri" w:hAnsi="Calibri" w:cs="Calibri"/>
          <w:sz w:val="22"/>
          <w:szCs w:val="22"/>
        </w:rPr>
        <w:t xml:space="preserve"> </w:t>
      </w:r>
    </w:p>
    <w:p w14:paraId="045B4062" w14:textId="77777777" w:rsidR="00283A75" w:rsidRPr="00EB2D4B" w:rsidRDefault="00283A75" w:rsidP="00C01D88"/>
    <w:p w14:paraId="3BC1A9F9" w14:textId="77777777" w:rsidR="00283A75" w:rsidRPr="00C01D88" w:rsidRDefault="00283A75" w:rsidP="00C01D88">
      <w:pPr>
        <w:autoSpaceDE w:val="0"/>
        <w:autoSpaceDN w:val="0"/>
        <w:adjustRightInd w:val="0"/>
        <w:rPr>
          <w:rFonts w:ascii="Calibri" w:hAnsi="Calibri" w:cs="Calibri"/>
          <w:color w:val="000000"/>
          <w:sz w:val="22"/>
          <w:szCs w:val="22"/>
        </w:rPr>
      </w:pPr>
      <w:r w:rsidRPr="00C01D88">
        <w:rPr>
          <w:rFonts w:ascii="Calibri" w:hAnsi="Calibri" w:cs="Calibri"/>
          <w:color w:val="000000"/>
          <w:sz w:val="22"/>
          <w:szCs w:val="22"/>
        </w:rPr>
        <w:t xml:space="preserve">Section II of this report provides information on </w:t>
      </w:r>
      <w:r>
        <w:rPr>
          <w:rFonts w:ascii="Calibri" w:hAnsi="Calibri" w:cs="Calibri"/>
          <w:color w:val="000000"/>
          <w:sz w:val="22"/>
          <w:szCs w:val="22"/>
        </w:rPr>
        <w:t xml:space="preserve">the MassHealth </w:t>
      </w:r>
      <w:r w:rsidRPr="00C01D88">
        <w:rPr>
          <w:rFonts w:ascii="Calibri" w:hAnsi="Calibri" w:cs="Calibri"/>
          <w:color w:val="000000"/>
          <w:sz w:val="22"/>
          <w:szCs w:val="22"/>
        </w:rPr>
        <w:t>component of the capitation rate. Section III includes the Medicare Parts A/B and Medicare Part D components of the rate.</w:t>
      </w:r>
      <w:r w:rsidR="00F07402" w:rsidRPr="00F07402">
        <w:rPr>
          <w:rFonts w:asciiTheme="minorHAnsi" w:hAnsiTheme="minorHAnsi" w:cstheme="minorHAnsi"/>
          <w:color w:val="000000"/>
          <w:sz w:val="22"/>
          <w:szCs w:val="22"/>
        </w:rPr>
        <w:t xml:space="preserve"> </w:t>
      </w:r>
      <w:r w:rsidR="00F07402" w:rsidRPr="000A3B39">
        <w:rPr>
          <w:rFonts w:asciiTheme="minorHAnsi" w:hAnsiTheme="minorHAnsi" w:cstheme="minorHAnsi"/>
          <w:color w:val="000000"/>
          <w:sz w:val="22"/>
          <w:szCs w:val="22"/>
        </w:rPr>
        <w:t xml:space="preserve">Section </w:t>
      </w:r>
      <w:r w:rsidR="00F07402">
        <w:rPr>
          <w:rFonts w:asciiTheme="minorHAnsi" w:hAnsiTheme="minorHAnsi" w:cstheme="minorHAnsi"/>
          <w:color w:val="000000"/>
          <w:sz w:val="22"/>
          <w:szCs w:val="22"/>
        </w:rPr>
        <w:t>IV</w:t>
      </w:r>
      <w:r w:rsidR="00F07402" w:rsidRPr="000A3B39">
        <w:rPr>
          <w:rFonts w:asciiTheme="minorHAnsi" w:hAnsiTheme="minorHAnsi" w:cstheme="minorHAnsi"/>
          <w:color w:val="000000"/>
          <w:sz w:val="22"/>
          <w:szCs w:val="22"/>
        </w:rPr>
        <w:t xml:space="preserve"> includes information on the savings percentages and quality withholds.</w:t>
      </w:r>
      <w:r w:rsidR="00F07402">
        <w:rPr>
          <w:rFonts w:asciiTheme="minorHAnsi" w:hAnsiTheme="minorHAnsi" w:cstheme="minorHAnsi"/>
          <w:color w:val="000000"/>
          <w:sz w:val="22"/>
          <w:szCs w:val="22"/>
        </w:rPr>
        <w:t xml:space="preserve">  Section V includes information on risk mitigation.</w:t>
      </w:r>
    </w:p>
    <w:p w14:paraId="0FA27C0B" w14:textId="77777777" w:rsidR="00283A75" w:rsidRPr="00C01D88" w:rsidRDefault="00283A75">
      <w:pPr>
        <w:spacing w:after="200" w:line="276" w:lineRule="auto"/>
        <w:rPr>
          <w:rFonts w:ascii="Calibri" w:hAnsi="Calibri" w:cs="Calibri"/>
          <w:color w:val="000000"/>
          <w:sz w:val="22"/>
          <w:szCs w:val="22"/>
        </w:rPr>
      </w:pPr>
      <w:r w:rsidRPr="00C01D88">
        <w:rPr>
          <w:rFonts w:ascii="Calibri" w:hAnsi="Calibri" w:cs="Calibri"/>
          <w:color w:val="000000"/>
          <w:sz w:val="22"/>
          <w:szCs w:val="22"/>
        </w:rPr>
        <w:br w:type="page"/>
      </w:r>
    </w:p>
    <w:p w14:paraId="677D6984" w14:textId="77777777" w:rsidR="00283A75" w:rsidRDefault="00283A75" w:rsidP="00C01D88">
      <w:pPr>
        <w:numPr>
          <w:ilvl w:val="0"/>
          <w:numId w:val="1"/>
        </w:numPr>
        <w:tabs>
          <w:tab w:val="left" w:pos="720"/>
        </w:tabs>
        <w:ind w:left="360" w:firstLine="0"/>
        <w:jc w:val="center"/>
        <w:rPr>
          <w:rFonts w:ascii="Calibri" w:hAnsi="Calibri" w:cs="Calibri"/>
          <w:b/>
          <w:sz w:val="22"/>
          <w:szCs w:val="22"/>
        </w:rPr>
      </w:pPr>
      <w:r>
        <w:rPr>
          <w:rFonts w:ascii="Calibri" w:hAnsi="Calibri" w:cs="Calibri"/>
          <w:b/>
          <w:sz w:val="22"/>
          <w:szCs w:val="22"/>
        </w:rPr>
        <w:lastRenderedPageBreak/>
        <w:t>MassHealth  Component of the Rate</w:t>
      </w:r>
      <w:r w:rsidR="00972C61">
        <w:rPr>
          <w:rFonts w:ascii="Calibri" w:hAnsi="Calibri" w:cs="Calibri"/>
          <w:b/>
          <w:sz w:val="22"/>
          <w:szCs w:val="22"/>
        </w:rPr>
        <w:t xml:space="preserve"> – CY 2015</w:t>
      </w:r>
    </w:p>
    <w:p w14:paraId="28A4B640" w14:textId="77777777" w:rsidR="002E4F81" w:rsidRDefault="002E4F81" w:rsidP="002E4F81">
      <w:pPr>
        <w:tabs>
          <w:tab w:val="left" w:pos="720"/>
        </w:tabs>
        <w:ind w:left="360"/>
        <w:rPr>
          <w:rFonts w:ascii="Calibri" w:hAnsi="Calibri" w:cs="Calibri"/>
          <w:b/>
          <w:sz w:val="22"/>
          <w:szCs w:val="22"/>
        </w:rPr>
      </w:pPr>
    </w:p>
    <w:p w14:paraId="55E4D7E6" w14:textId="77777777" w:rsidR="00536656" w:rsidRPr="00263D60" w:rsidRDefault="00536656" w:rsidP="00536656">
      <w:pPr>
        <w:rPr>
          <w:rFonts w:asciiTheme="minorHAnsi" w:hAnsiTheme="minorHAnsi" w:cstheme="minorHAnsi"/>
          <w:sz w:val="22"/>
          <w:szCs w:val="22"/>
        </w:rPr>
      </w:pPr>
      <w:r w:rsidRPr="00263D60">
        <w:rPr>
          <w:rFonts w:asciiTheme="minorHAnsi" w:hAnsiTheme="minorHAnsi" w:cstheme="minorHAnsi"/>
          <w:sz w:val="22"/>
          <w:szCs w:val="22"/>
        </w:rPr>
        <w:t>MassHealth county rates are included below, accompanied by supporting information pertinent to their development. This content includes historical base data production details, adjustments applied to the historical base data, and trend factors used to project historical base data forward to the contract period.</w:t>
      </w:r>
    </w:p>
    <w:p w14:paraId="473B753C" w14:textId="77777777" w:rsidR="00536656" w:rsidRPr="00FA5FF5" w:rsidRDefault="00536656" w:rsidP="00536656">
      <w:pPr>
        <w:rPr>
          <w:rFonts w:ascii="Arial" w:hAnsi="Arial" w:cs="Arial"/>
        </w:rPr>
      </w:pPr>
    </w:p>
    <w:p w14:paraId="4F0D611A" w14:textId="77777777" w:rsidR="00536656" w:rsidRPr="00FA5FF5" w:rsidRDefault="00536656" w:rsidP="00536656">
      <w:pPr>
        <w:rPr>
          <w:rFonts w:ascii="Arial" w:hAnsi="Arial" w:cs="Arial"/>
        </w:rPr>
      </w:pPr>
    </w:p>
    <w:p w14:paraId="4F530846" w14:textId="77777777" w:rsidR="00536656" w:rsidRPr="003C413A" w:rsidRDefault="00536656" w:rsidP="00536656">
      <w:pPr>
        <w:rPr>
          <w:rFonts w:asciiTheme="minorHAnsi" w:hAnsiTheme="minorHAnsi" w:cstheme="minorHAnsi"/>
          <w:b/>
          <w:sz w:val="22"/>
          <w:szCs w:val="22"/>
          <w:u w:val="single"/>
        </w:rPr>
      </w:pPr>
      <w:r w:rsidRPr="003C413A">
        <w:rPr>
          <w:rFonts w:asciiTheme="minorHAnsi" w:hAnsiTheme="minorHAnsi" w:cstheme="minorHAnsi"/>
          <w:b/>
          <w:sz w:val="22"/>
          <w:szCs w:val="22"/>
          <w:u w:val="single"/>
        </w:rPr>
        <w:t>MassHealth Component of Rate:</w:t>
      </w:r>
    </w:p>
    <w:p w14:paraId="3E59A536" w14:textId="40CAE234" w:rsidR="0076056B" w:rsidRDefault="0076056B" w:rsidP="00536656">
      <w:pPr>
        <w:rPr>
          <w:rFonts w:asciiTheme="minorHAnsi" w:hAnsiTheme="minorHAnsi" w:cstheme="minorHAnsi"/>
          <w:sz w:val="22"/>
          <w:szCs w:val="22"/>
        </w:rPr>
      </w:pPr>
      <w:r w:rsidRPr="0076056B">
        <w:rPr>
          <w:rFonts w:asciiTheme="minorHAnsi" w:hAnsiTheme="minorHAnsi" w:cstheme="minorHAnsi"/>
          <w:sz w:val="22"/>
          <w:szCs w:val="22"/>
        </w:rPr>
        <w:t>Updated MassHealth rates for CY2015 effective January 1, 2015 through December 31, 2015 are listed below, by Massachusetts county and MassHealth rating category for the Demonstration. These adjustments were available to One Care plans through execution of contract amendments</w:t>
      </w:r>
      <w:r w:rsidR="001E2366">
        <w:rPr>
          <w:rFonts w:asciiTheme="minorHAnsi" w:hAnsiTheme="minorHAnsi" w:cstheme="minorHAnsi"/>
          <w:sz w:val="22"/>
          <w:szCs w:val="22"/>
        </w:rPr>
        <w:t xml:space="preserve"> in December 2015</w:t>
      </w:r>
      <w:r w:rsidRPr="0076056B">
        <w:rPr>
          <w:rFonts w:asciiTheme="minorHAnsi" w:hAnsiTheme="minorHAnsi" w:cstheme="minorHAnsi"/>
          <w:sz w:val="22"/>
          <w:szCs w:val="22"/>
        </w:rPr>
        <w:t xml:space="preserve"> and are conditional upon continued participation in the demonstration through </w:t>
      </w:r>
      <w:r w:rsidR="00890FA3">
        <w:rPr>
          <w:rFonts w:asciiTheme="minorHAnsi" w:hAnsiTheme="minorHAnsi" w:cstheme="minorHAnsi"/>
          <w:sz w:val="22"/>
          <w:szCs w:val="22"/>
        </w:rPr>
        <w:t xml:space="preserve">December 31, </w:t>
      </w:r>
      <w:r w:rsidRPr="0076056B">
        <w:rPr>
          <w:rFonts w:asciiTheme="minorHAnsi" w:hAnsiTheme="minorHAnsi" w:cstheme="minorHAnsi"/>
          <w:sz w:val="22"/>
          <w:szCs w:val="22"/>
        </w:rPr>
        <w:t xml:space="preserve">2016. In accordance with the contract amendments, the quality withhold (see Section IV) and the savings percentage (see Section V) have both been reduced to 0% for Demonstration Year 2. </w:t>
      </w:r>
    </w:p>
    <w:p w14:paraId="0A08FCFE" w14:textId="77777777" w:rsidR="0076056B" w:rsidRPr="00480A2C" w:rsidRDefault="0076056B" w:rsidP="0076056B">
      <w:pPr>
        <w:pStyle w:val="Default"/>
        <w:rPr>
          <w:b/>
          <w:bCs/>
          <w:sz w:val="22"/>
          <w:szCs w:val="22"/>
        </w:rPr>
      </w:pPr>
    </w:p>
    <w:p w14:paraId="15DE6555" w14:textId="77777777" w:rsidR="0076056B" w:rsidRPr="00480A2C" w:rsidRDefault="0076056B" w:rsidP="0076056B">
      <w:pPr>
        <w:pStyle w:val="Default"/>
        <w:rPr>
          <w:sz w:val="22"/>
          <w:szCs w:val="22"/>
        </w:rPr>
      </w:pPr>
    </w:p>
    <w:tbl>
      <w:tblPr>
        <w:tblW w:w="9683" w:type="dxa"/>
        <w:tblBorders>
          <w:top w:val="single" w:sz="4" w:space="0" w:color="auto"/>
          <w:bottom w:val="single" w:sz="4" w:space="0" w:color="auto"/>
          <w:insideH w:val="single" w:sz="4" w:space="0" w:color="auto"/>
        </w:tblBorders>
        <w:tblLayout w:type="fixed"/>
        <w:tblCellMar>
          <w:left w:w="72" w:type="dxa"/>
          <w:right w:w="72" w:type="dxa"/>
        </w:tblCellMar>
        <w:tblLook w:val="01E0" w:firstRow="1" w:lastRow="1" w:firstColumn="1" w:lastColumn="1" w:noHBand="0" w:noVBand="0"/>
      </w:tblPr>
      <w:tblGrid>
        <w:gridCol w:w="1382"/>
        <w:gridCol w:w="1383"/>
        <w:gridCol w:w="1383"/>
        <w:gridCol w:w="1382"/>
        <w:gridCol w:w="1383"/>
        <w:gridCol w:w="1383"/>
        <w:gridCol w:w="1387"/>
      </w:tblGrid>
      <w:tr w:rsidR="0076056B" w:rsidRPr="00480A2C" w14:paraId="62ED04BF" w14:textId="77777777" w:rsidTr="00D819AE">
        <w:trPr>
          <w:cantSplit/>
          <w:tblHeader/>
        </w:trPr>
        <w:tc>
          <w:tcPr>
            <w:tcW w:w="968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FE2252E" w14:textId="77777777" w:rsidR="0076056B" w:rsidRPr="00480A2C" w:rsidRDefault="0076056B" w:rsidP="00D819AE">
            <w:pPr>
              <w:pStyle w:val="TableHeadingText"/>
              <w:spacing w:before="0"/>
              <w:jc w:val="center"/>
              <w:rPr>
                <w:sz w:val="22"/>
                <w:szCs w:val="22"/>
              </w:rPr>
            </w:pPr>
            <w:r w:rsidRPr="00480A2C">
              <w:rPr>
                <w:sz w:val="22"/>
                <w:szCs w:val="22"/>
              </w:rPr>
              <w:t>MassHealth Component of County Rate</w:t>
            </w:r>
          </w:p>
          <w:p w14:paraId="71B90B22" w14:textId="77777777" w:rsidR="0076056B" w:rsidRPr="00480A2C" w:rsidRDefault="0076056B" w:rsidP="00D819AE">
            <w:pPr>
              <w:pStyle w:val="TableHeadingText"/>
              <w:spacing w:before="0"/>
              <w:jc w:val="center"/>
              <w:rPr>
                <w:sz w:val="22"/>
                <w:szCs w:val="22"/>
              </w:rPr>
            </w:pPr>
            <w:r w:rsidRPr="00480A2C">
              <w:rPr>
                <w:sz w:val="22"/>
                <w:szCs w:val="22"/>
              </w:rPr>
              <w:t>Effective January 1, 2015 through December 31, 2015</w:t>
            </w:r>
          </w:p>
        </w:tc>
      </w:tr>
      <w:tr w:rsidR="0076056B" w:rsidRPr="00480A2C" w14:paraId="304F157A" w14:textId="77777777" w:rsidTr="00D819AE">
        <w:trPr>
          <w:cantSplit/>
          <w:tblHeader/>
        </w:trPr>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14:paraId="39DBF4B8" w14:textId="77777777" w:rsidR="0076056B" w:rsidRPr="00480A2C" w:rsidRDefault="0076056B" w:rsidP="00D819AE">
            <w:pPr>
              <w:pStyle w:val="TableHeadingText"/>
              <w:spacing w:before="0"/>
              <w:jc w:val="center"/>
              <w:rPr>
                <w:sz w:val="22"/>
                <w:szCs w:val="22"/>
              </w:rPr>
            </w:pPr>
            <w:r w:rsidRPr="00480A2C">
              <w:rPr>
                <w:sz w:val="22"/>
                <w:szCs w:val="22"/>
              </w:rPr>
              <w:t>County</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center"/>
          </w:tcPr>
          <w:p w14:paraId="46480ECF" w14:textId="77777777" w:rsidR="0076056B" w:rsidRPr="00480A2C" w:rsidRDefault="0076056B" w:rsidP="00D819AE">
            <w:pPr>
              <w:pStyle w:val="TableHeadingText"/>
              <w:spacing w:before="0"/>
              <w:jc w:val="center"/>
              <w:rPr>
                <w:sz w:val="22"/>
                <w:szCs w:val="22"/>
              </w:rPr>
            </w:pPr>
            <w:r w:rsidRPr="00480A2C">
              <w:rPr>
                <w:sz w:val="22"/>
                <w:szCs w:val="22"/>
              </w:rPr>
              <w:t>C1 – Community Other</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center"/>
          </w:tcPr>
          <w:p w14:paraId="556CFE7A" w14:textId="77777777" w:rsidR="0076056B" w:rsidRPr="00480A2C" w:rsidRDefault="0076056B" w:rsidP="00D819AE">
            <w:pPr>
              <w:pStyle w:val="TableHeadingText"/>
              <w:spacing w:before="0"/>
              <w:jc w:val="center"/>
              <w:rPr>
                <w:sz w:val="22"/>
                <w:szCs w:val="22"/>
              </w:rPr>
            </w:pPr>
            <w:r w:rsidRPr="00480A2C">
              <w:rPr>
                <w:sz w:val="22"/>
                <w:szCs w:val="22"/>
              </w:rPr>
              <w:t>C2A – Community High Behavioral Health</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14:paraId="516B8202" w14:textId="77777777" w:rsidR="0076056B" w:rsidRPr="00480A2C" w:rsidRDefault="0076056B" w:rsidP="00D819AE">
            <w:pPr>
              <w:pStyle w:val="TableHeadingText"/>
              <w:spacing w:before="0"/>
              <w:jc w:val="center"/>
              <w:rPr>
                <w:sz w:val="22"/>
                <w:szCs w:val="22"/>
              </w:rPr>
            </w:pPr>
            <w:r w:rsidRPr="00480A2C">
              <w:rPr>
                <w:sz w:val="22"/>
                <w:szCs w:val="22"/>
              </w:rPr>
              <w:t>C2B – Community Very High Behavioral Health</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center"/>
          </w:tcPr>
          <w:p w14:paraId="246771F3" w14:textId="77777777" w:rsidR="0076056B" w:rsidRPr="00480A2C" w:rsidRDefault="0076056B" w:rsidP="00D819AE">
            <w:pPr>
              <w:pStyle w:val="TableHeadingText"/>
              <w:spacing w:before="0"/>
              <w:jc w:val="center"/>
              <w:rPr>
                <w:sz w:val="22"/>
                <w:szCs w:val="22"/>
              </w:rPr>
            </w:pPr>
            <w:r w:rsidRPr="00480A2C">
              <w:rPr>
                <w:sz w:val="22"/>
                <w:szCs w:val="22"/>
              </w:rPr>
              <w:t>C3A – High Community Need</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center"/>
          </w:tcPr>
          <w:p w14:paraId="2F8B4E58" w14:textId="77777777" w:rsidR="0076056B" w:rsidRPr="00480A2C" w:rsidRDefault="0076056B" w:rsidP="00D819AE">
            <w:pPr>
              <w:pStyle w:val="TableHeadingText"/>
              <w:spacing w:before="0"/>
              <w:jc w:val="center"/>
              <w:rPr>
                <w:sz w:val="22"/>
                <w:szCs w:val="22"/>
              </w:rPr>
            </w:pPr>
            <w:r w:rsidRPr="00480A2C">
              <w:rPr>
                <w:sz w:val="22"/>
                <w:szCs w:val="22"/>
              </w:rPr>
              <w:t>C3B – Very High Community Need</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0E49625C" w14:textId="77777777" w:rsidR="0076056B" w:rsidRPr="00480A2C" w:rsidRDefault="0076056B" w:rsidP="00D819AE">
            <w:pPr>
              <w:pStyle w:val="TableHeadingText"/>
              <w:spacing w:before="0"/>
              <w:jc w:val="center"/>
              <w:rPr>
                <w:sz w:val="22"/>
                <w:szCs w:val="22"/>
              </w:rPr>
            </w:pPr>
            <w:r w:rsidRPr="00480A2C">
              <w:rPr>
                <w:sz w:val="22"/>
                <w:szCs w:val="22"/>
              </w:rPr>
              <w:t>F1 – Facility-based Care</w:t>
            </w:r>
          </w:p>
        </w:tc>
      </w:tr>
      <w:tr w:rsidR="0076056B" w:rsidRPr="00480A2C" w14:paraId="0C2B2CEB" w14:textId="77777777" w:rsidTr="00D819AE">
        <w:trPr>
          <w:cantSplit/>
        </w:trPr>
        <w:tc>
          <w:tcPr>
            <w:tcW w:w="1382" w:type="dxa"/>
            <w:tcBorders>
              <w:left w:val="single" w:sz="4" w:space="0" w:color="auto"/>
              <w:right w:val="single" w:sz="4" w:space="0" w:color="auto"/>
            </w:tcBorders>
            <w:shd w:val="clear" w:color="auto" w:fill="auto"/>
          </w:tcPr>
          <w:p w14:paraId="64F7A9AF" w14:textId="77777777" w:rsidR="0076056B" w:rsidRPr="00480A2C" w:rsidRDefault="0076056B" w:rsidP="00D819AE">
            <w:pPr>
              <w:pStyle w:val="TableText"/>
              <w:rPr>
                <w:sz w:val="22"/>
                <w:szCs w:val="22"/>
              </w:rPr>
            </w:pPr>
            <w:r w:rsidRPr="00480A2C">
              <w:rPr>
                <w:sz w:val="22"/>
                <w:szCs w:val="22"/>
              </w:rPr>
              <w:t>Essex</w:t>
            </w:r>
          </w:p>
        </w:tc>
        <w:tc>
          <w:tcPr>
            <w:tcW w:w="1383" w:type="dxa"/>
            <w:tcBorders>
              <w:left w:val="single" w:sz="4" w:space="0" w:color="auto"/>
              <w:right w:val="single" w:sz="4" w:space="0" w:color="auto"/>
            </w:tcBorders>
            <w:shd w:val="clear" w:color="auto" w:fill="auto"/>
          </w:tcPr>
          <w:p w14:paraId="0C35798A" w14:textId="77777777" w:rsidR="0076056B" w:rsidRPr="00480A2C" w:rsidRDefault="0076056B" w:rsidP="00D819AE">
            <w:pPr>
              <w:pStyle w:val="TableText"/>
              <w:rPr>
                <w:sz w:val="22"/>
                <w:szCs w:val="22"/>
              </w:rPr>
            </w:pPr>
            <w:r w:rsidRPr="00480A2C">
              <w:rPr>
                <w:sz w:val="22"/>
                <w:szCs w:val="22"/>
              </w:rPr>
              <w:t>$125.64</w:t>
            </w:r>
          </w:p>
        </w:tc>
        <w:tc>
          <w:tcPr>
            <w:tcW w:w="1383" w:type="dxa"/>
            <w:tcBorders>
              <w:left w:val="single" w:sz="4" w:space="0" w:color="auto"/>
              <w:right w:val="single" w:sz="4" w:space="0" w:color="auto"/>
            </w:tcBorders>
            <w:shd w:val="clear" w:color="auto" w:fill="auto"/>
          </w:tcPr>
          <w:p w14:paraId="7A846A3D" w14:textId="77777777" w:rsidR="0076056B" w:rsidRPr="00480A2C" w:rsidRDefault="0076056B" w:rsidP="00D819AE">
            <w:pPr>
              <w:pStyle w:val="TableText"/>
              <w:rPr>
                <w:sz w:val="22"/>
                <w:szCs w:val="22"/>
              </w:rPr>
            </w:pPr>
            <w:r w:rsidRPr="00480A2C">
              <w:rPr>
                <w:sz w:val="22"/>
                <w:szCs w:val="22"/>
              </w:rPr>
              <w:t>$400.88</w:t>
            </w:r>
          </w:p>
        </w:tc>
        <w:tc>
          <w:tcPr>
            <w:tcW w:w="1382" w:type="dxa"/>
            <w:tcBorders>
              <w:left w:val="single" w:sz="4" w:space="0" w:color="auto"/>
              <w:right w:val="single" w:sz="4" w:space="0" w:color="auto"/>
            </w:tcBorders>
          </w:tcPr>
          <w:p w14:paraId="44EC8E76" w14:textId="77777777" w:rsidR="0076056B" w:rsidRPr="00480A2C" w:rsidRDefault="0076056B" w:rsidP="00D819AE">
            <w:pPr>
              <w:pStyle w:val="TableText"/>
              <w:rPr>
                <w:sz w:val="22"/>
                <w:szCs w:val="22"/>
              </w:rPr>
            </w:pPr>
            <w:r w:rsidRPr="00480A2C">
              <w:rPr>
                <w:sz w:val="22"/>
                <w:szCs w:val="22"/>
              </w:rPr>
              <w:t>$608.28</w:t>
            </w:r>
          </w:p>
        </w:tc>
        <w:tc>
          <w:tcPr>
            <w:tcW w:w="1383" w:type="dxa"/>
            <w:tcBorders>
              <w:left w:val="single" w:sz="4" w:space="0" w:color="auto"/>
              <w:right w:val="single" w:sz="4" w:space="0" w:color="auto"/>
            </w:tcBorders>
          </w:tcPr>
          <w:p w14:paraId="422218B6" w14:textId="77777777" w:rsidR="0076056B" w:rsidRPr="00480A2C" w:rsidRDefault="0076056B" w:rsidP="00D819AE">
            <w:pPr>
              <w:pStyle w:val="TableText"/>
              <w:rPr>
                <w:sz w:val="22"/>
                <w:szCs w:val="22"/>
              </w:rPr>
            </w:pPr>
            <w:r w:rsidRPr="00480A2C">
              <w:rPr>
                <w:sz w:val="22"/>
                <w:szCs w:val="22"/>
              </w:rPr>
              <w:t>$2,928.86</w:t>
            </w:r>
          </w:p>
        </w:tc>
        <w:tc>
          <w:tcPr>
            <w:tcW w:w="1383" w:type="dxa"/>
            <w:tcBorders>
              <w:left w:val="single" w:sz="4" w:space="0" w:color="auto"/>
              <w:right w:val="single" w:sz="4" w:space="0" w:color="auto"/>
            </w:tcBorders>
          </w:tcPr>
          <w:p w14:paraId="311AE1C6" w14:textId="77777777" w:rsidR="0076056B" w:rsidRPr="00480A2C" w:rsidRDefault="0076056B" w:rsidP="00D819AE">
            <w:pPr>
              <w:pStyle w:val="TableText"/>
              <w:rPr>
                <w:sz w:val="22"/>
                <w:szCs w:val="22"/>
              </w:rPr>
            </w:pPr>
            <w:r w:rsidRPr="00480A2C">
              <w:rPr>
                <w:sz w:val="22"/>
                <w:szCs w:val="22"/>
              </w:rPr>
              <w:t>$5,678.51</w:t>
            </w:r>
          </w:p>
        </w:tc>
        <w:tc>
          <w:tcPr>
            <w:tcW w:w="1387" w:type="dxa"/>
            <w:tcBorders>
              <w:left w:val="single" w:sz="4" w:space="0" w:color="auto"/>
              <w:right w:val="single" w:sz="4" w:space="0" w:color="auto"/>
            </w:tcBorders>
          </w:tcPr>
          <w:p w14:paraId="6F5432BB" w14:textId="77777777" w:rsidR="0076056B" w:rsidRPr="00480A2C" w:rsidRDefault="0076056B" w:rsidP="00D819AE">
            <w:pPr>
              <w:pStyle w:val="TableText"/>
              <w:rPr>
                <w:sz w:val="22"/>
                <w:szCs w:val="22"/>
              </w:rPr>
            </w:pPr>
            <w:r w:rsidRPr="00480A2C">
              <w:rPr>
                <w:sz w:val="22"/>
                <w:szCs w:val="22"/>
              </w:rPr>
              <w:t>$9,549.09</w:t>
            </w:r>
          </w:p>
        </w:tc>
      </w:tr>
      <w:tr w:rsidR="0076056B" w:rsidRPr="00480A2C" w14:paraId="782E7EF0" w14:textId="77777777" w:rsidTr="00D819AE">
        <w:trPr>
          <w:cantSplit/>
        </w:trPr>
        <w:tc>
          <w:tcPr>
            <w:tcW w:w="1382" w:type="dxa"/>
            <w:tcBorders>
              <w:left w:val="single" w:sz="4" w:space="0" w:color="auto"/>
              <w:right w:val="single" w:sz="4" w:space="0" w:color="auto"/>
            </w:tcBorders>
            <w:shd w:val="clear" w:color="auto" w:fill="auto"/>
          </w:tcPr>
          <w:p w14:paraId="6F66E5F2" w14:textId="77777777" w:rsidR="0076056B" w:rsidRPr="00480A2C" w:rsidRDefault="0076056B" w:rsidP="00D819AE">
            <w:pPr>
              <w:pStyle w:val="TableText"/>
              <w:rPr>
                <w:sz w:val="22"/>
                <w:szCs w:val="22"/>
              </w:rPr>
            </w:pPr>
            <w:r w:rsidRPr="00480A2C">
              <w:rPr>
                <w:sz w:val="22"/>
                <w:szCs w:val="22"/>
              </w:rPr>
              <w:t>Franklin</w:t>
            </w:r>
          </w:p>
        </w:tc>
        <w:tc>
          <w:tcPr>
            <w:tcW w:w="1383" w:type="dxa"/>
            <w:tcBorders>
              <w:left w:val="single" w:sz="4" w:space="0" w:color="auto"/>
              <w:right w:val="single" w:sz="4" w:space="0" w:color="auto"/>
            </w:tcBorders>
            <w:shd w:val="clear" w:color="auto" w:fill="auto"/>
          </w:tcPr>
          <w:p w14:paraId="5990660E" w14:textId="77777777" w:rsidR="0076056B" w:rsidRPr="00480A2C" w:rsidRDefault="0076056B" w:rsidP="00D819AE">
            <w:pPr>
              <w:pStyle w:val="TableText"/>
              <w:rPr>
                <w:sz w:val="22"/>
                <w:szCs w:val="22"/>
              </w:rPr>
            </w:pPr>
            <w:r w:rsidRPr="00480A2C">
              <w:rPr>
                <w:sz w:val="22"/>
                <w:szCs w:val="22"/>
              </w:rPr>
              <w:t>$117.97</w:t>
            </w:r>
          </w:p>
        </w:tc>
        <w:tc>
          <w:tcPr>
            <w:tcW w:w="1383" w:type="dxa"/>
            <w:tcBorders>
              <w:left w:val="single" w:sz="4" w:space="0" w:color="auto"/>
              <w:right w:val="single" w:sz="4" w:space="0" w:color="auto"/>
            </w:tcBorders>
            <w:shd w:val="clear" w:color="auto" w:fill="auto"/>
          </w:tcPr>
          <w:p w14:paraId="13A80BB8" w14:textId="77777777" w:rsidR="0076056B" w:rsidRPr="00480A2C" w:rsidRDefault="0076056B" w:rsidP="00D819AE">
            <w:pPr>
              <w:pStyle w:val="TableText"/>
              <w:rPr>
                <w:sz w:val="22"/>
                <w:szCs w:val="22"/>
              </w:rPr>
            </w:pPr>
            <w:r w:rsidRPr="00480A2C">
              <w:rPr>
                <w:sz w:val="22"/>
                <w:szCs w:val="22"/>
              </w:rPr>
              <w:t>$372.05</w:t>
            </w:r>
          </w:p>
        </w:tc>
        <w:tc>
          <w:tcPr>
            <w:tcW w:w="1382" w:type="dxa"/>
            <w:tcBorders>
              <w:left w:val="single" w:sz="4" w:space="0" w:color="auto"/>
              <w:right w:val="single" w:sz="4" w:space="0" w:color="auto"/>
            </w:tcBorders>
          </w:tcPr>
          <w:p w14:paraId="30D64326" w14:textId="77777777" w:rsidR="0076056B" w:rsidRPr="00480A2C" w:rsidRDefault="0076056B" w:rsidP="00D819AE">
            <w:pPr>
              <w:pStyle w:val="TableText"/>
              <w:rPr>
                <w:sz w:val="22"/>
                <w:szCs w:val="22"/>
              </w:rPr>
            </w:pPr>
            <w:r w:rsidRPr="00480A2C">
              <w:rPr>
                <w:sz w:val="22"/>
                <w:szCs w:val="22"/>
              </w:rPr>
              <w:t>$564.57</w:t>
            </w:r>
          </w:p>
        </w:tc>
        <w:tc>
          <w:tcPr>
            <w:tcW w:w="1383" w:type="dxa"/>
            <w:tcBorders>
              <w:left w:val="single" w:sz="4" w:space="0" w:color="auto"/>
              <w:right w:val="single" w:sz="4" w:space="0" w:color="auto"/>
            </w:tcBorders>
          </w:tcPr>
          <w:p w14:paraId="26DAD037" w14:textId="77777777" w:rsidR="0076056B" w:rsidRPr="00480A2C" w:rsidRDefault="0076056B" w:rsidP="00D819AE">
            <w:pPr>
              <w:pStyle w:val="TableText"/>
              <w:rPr>
                <w:sz w:val="22"/>
                <w:szCs w:val="22"/>
              </w:rPr>
            </w:pPr>
            <w:r w:rsidRPr="00480A2C">
              <w:rPr>
                <w:sz w:val="22"/>
                <w:szCs w:val="22"/>
              </w:rPr>
              <w:t>$3,042.13</w:t>
            </w:r>
          </w:p>
        </w:tc>
        <w:tc>
          <w:tcPr>
            <w:tcW w:w="1383" w:type="dxa"/>
            <w:tcBorders>
              <w:left w:val="single" w:sz="4" w:space="0" w:color="auto"/>
              <w:right w:val="single" w:sz="4" w:space="0" w:color="auto"/>
            </w:tcBorders>
          </w:tcPr>
          <w:p w14:paraId="3372856E" w14:textId="77777777" w:rsidR="0076056B" w:rsidRPr="00480A2C" w:rsidRDefault="0076056B" w:rsidP="00D819AE">
            <w:pPr>
              <w:pStyle w:val="TableText"/>
              <w:rPr>
                <w:sz w:val="22"/>
                <w:szCs w:val="22"/>
              </w:rPr>
            </w:pPr>
            <w:r w:rsidRPr="00480A2C">
              <w:rPr>
                <w:sz w:val="22"/>
                <w:szCs w:val="22"/>
              </w:rPr>
              <w:t>$5,230.77</w:t>
            </w:r>
          </w:p>
        </w:tc>
        <w:tc>
          <w:tcPr>
            <w:tcW w:w="1387" w:type="dxa"/>
            <w:tcBorders>
              <w:left w:val="single" w:sz="4" w:space="0" w:color="auto"/>
              <w:right w:val="single" w:sz="4" w:space="0" w:color="auto"/>
            </w:tcBorders>
          </w:tcPr>
          <w:p w14:paraId="4B759052" w14:textId="77777777" w:rsidR="0076056B" w:rsidRPr="00480A2C" w:rsidRDefault="0076056B" w:rsidP="00D819AE">
            <w:pPr>
              <w:pStyle w:val="TableText"/>
              <w:rPr>
                <w:sz w:val="22"/>
                <w:szCs w:val="22"/>
              </w:rPr>
            </w:pPr>
            <w:r w:rsidRPr="00480A2C">
              <w:rPr>
                <w:sz w:val="22"/>
                <w:szCs w:val="22"/>
              </w:rPr>
              <w:t>$8,416.49</w:t>
            </w:r>
          </w:p>
        </w:tc>
      </w:tr>
      <w:tr w:rsidR="0076056B" w:rsidRPr="00480A2C" w14:paraId="40AD802D" w14:textId="77777777" w:rsidTr="00D819AE">
        <w:trPr>
          <w:cantSplit/>
        </w:trPr>
        <w:tc>
          <w:tcPr>
            <w:tcW w:w="1382" w:type="dxa"/>
            <w:tcBorders>
              <w:left w:val="single" w:sz="4" w:space="0" w:color="auto"/>
              <w:right w:val="single" w:sz="4" w:space="0" w:color="auto"/>
            </w:tcBorders>
            <w:shd w:val="clear" w:color="auto" w:fill="auto"/>
          </w:tcPr>
          <w:p w14:paraId="2AC8C5A2" w14:textId="77777777" w:rsidR="0076056B" w:rsidRPr="00480A2C" w:rsidRDefault="0076056B" w:rsidP="00D819AE">
            <w:pPr>
              <w:pStyle w:val="TableText"/>
              <w:rPr>
                <w:sz w:val="22"/>
                <w:szCs w:val="22"/>
              </w:rPr>
            </w:pPr>
            <w:r w:rsidRPr="00480A2C">
              <w:rPr>
                <w:sz w:val="22"/>
                <w:szCs w:val="22"/>
              </w:rPr>
              <w:t>Hampden</w:t>
            </w:r>
          </w:p>
        </w:tc>
        <w:tc>
          <w:tcPr>
            <w:tcW w:w="1383" w:type="dxa"/>
            <w:tcBorders>
              <w:left w:val="single" w:sz="4" w:space="0" w:color="auto"/>
              <w:right w:val="single" w:sz="4" w:space="0" w:color="auto"/>
            </w:tcBorders>
            <w:shd w:val="clear" w:color="auto" w:fill="auto"/>
          </w:tcPr>
          <w:p w14:paraId="7352A8D9" w14:textId="77777777" w:rsidR="0076056B" w:rsidRPr="00480A2C" w:rsidRDefault="0076056B" w:rsidP="00D819AE">
            <w:pPr>
              <w:pStyle w:val="TableText"/>
              <w:rPr>
                <w:sz w:val="22"/>
                <w:szCs w:val="22"/>
              </w:rPr>
            </w:pPr>
            <w:r w:rsidRPr="00480A2C">
              <w:rPr>
                <w:sz w:val="22"/>
                <w:szCs w:val="22"/>
              </w:rPr>
              <w:t>$117.97</w:t>
            </w:r>
          </w:p>
        </w:tc>
        <w:tc>
          <w:tcPr>
            <w:tcW w:w="1383" w:type="dxa"/>
            <w:tcBorders>
              <w:left w:val="single" w:sz="4" w:space="0" w:color="auto"/>
              <w:right w:val="single" w:sz="4" w:space="0" w:color="auto"/>
            </w:tcBorders>
            <w:shd w:val="clear" w:color="auto" w:fill="auto"/>
          </w:tcPr>
          <w:p w14:paraId="4524743C" w14:textId="77777777" w:rsidR="0076056B" w:rsidRPr="00480A2C" w:rsidRDefault="0076056B" w:rsidP="00D819AE">
            <w:pPr>
              <w:pStyle w:val="TableText"/>
              <w:rPr>
                <w:sz w:val="22"/>
                <w:szCs w:val="22"/>
              </w:rPr>
            </w:pPr>
            <w:r w:rsidRPr="00480A2C">
              <w:rPr>
                <w:sz w:val="22"/>
                <w:szCs w:val="22"/>
              </w:rPr>
              <w:t>$372.05</w:t>
            </w:r>
          </w:p>
        </w:tc>
        <w:tc>
          <w:tcPr>
            <w:tcW w:w="1382" w:type="dxa"/>
            <w:tcBorders>
              <w:left w:val="single" w:sz="4" w:space="0" w:color="auto"/>
              <w:right w:val="single" w:sz="4" w:space="0" w:color="auto"/>
            </w:tcBorders>
          </w:tcPr>
          <w:p w14:paraId="228BEEC0" w14:textId="77777777" w:rsidR="0076056B" w:rsidRPr="00480A2C" w:rsidRDefault="0076056B" w:rsidP="00D819AE">
            <w:pPr>
              <w:pStyle w:val="TableText"/>
              <w:rPr>
                <w:sz w:val="22"/>
                <w:szCs w:val="22"/>
              </w:rPr>
            </w:pPr>
            <w:r w:rsidRPr="00480A2C">
              <w:rPr>
                <w:sz w:val="22"/>
                <w:szCs w:val="22"/>
              </w:rPr>
              <w:t>$564.57</w:t>
            </w:r>
          </w:p>
        </w:tc>
        <w:tc>
          <w:tcPr>
            <w:tcW w:w="1383" w:type="dxa"/>
            <w:tcBorders>
              <w:left w:val="single" w:sz="4" w:space="0" w:color="auto"/>
              <w:right w:val="single" w:sz="4" w:space="0" w:color="auto"/>
            </w:tcBorders>
          </w:tcPr>
          <w:p w14:paraId="6D530421" w14:textId="77777777" w:rsidR="0076056B" w:rsidRPr="00480A2C" w:rsidRDefault="0076056B" w:rsidP="00D819AE">
            <w:pPr>
              <w:pStyle w:val="TableText"/>
              <w:rPr>
                <w:sz w:val="22"/>
                <w:szCs w:val="22"/>
              </w:rPr>
            </w:pPr>
            <w:r w:rsidRPr="00480A2C">
              <w:rPr>
                <w:sz w:val="22"/>
                <w:szCs w:val="22"/>
              </w:rPr>
              <w:t>$3,042.13</w:t>
            </w:r>
          </w:p>
        </w:tc>
        <w:tc>
          <w:tcPr>
            <w:tcW w:w="1383" w:type="dxa"/>
            <w:tcBorders>
              <w:left w:val="single" w:sz="4" w:space="0" w:color="auto"/>
              <w:right w:val="single" w:sz="4" w:space="0" w:color="auto"/>
            </w:tcBorders>
          </w:tcPr>
          <w:p w14:paraId="24D251AA" w14:textId="77777777" w:rsidR="0076056B" w:rsidRPr="00480A2C" w:rsidRDefault="0076056B" w:rsidP="00D819AE">
            <w:pPr>
              <w:pStyle w:val="TableText"/>
              <w:rPr>
                <w:sz w:val="22"/>
                <w:szCs w:val="22"/>
              </w:rPr>
            </w:pPr>
            <w:r w:rsidRPr="00480A2C">
              <w:rPr>
                <w:sz w:val="22"/>
                <w:szCs w:val="22"/>
              </w:rPr>
              <w:t>$5,230.77</w:t>
            </w:r>
          </w:p>
        </w:tc>
        <w:tc>
          <w:tcPr>
            <w:tcW w:w="1387" w:type="dxa"/>
            <w:tcBorders>
              <w:left w:val="single" w:sz="4" w:space="0" w:color="auto"/>
              <w:right w:val="single" w:sz="4" w:space="0" w:color="auto"/>
            </w:tcBorders>
          </w:tcPr>
          <w:p w14:paraId="33939AFC" w14:textId="77777777" w:rsidR="0076056B" w:rsidRPr="00480A2C" w:rsidRDefault="0076056B" w:rsidP="00D819AE">
            <w:pPr>
              <w:pStyle w:val="TableText"/>
              <w:rPr>
                <w:sz w:val="22"/>
                <w:szCs w:val="22"/>
              </w:rPr>
            </w:pPr>
            <w:r w:rsidRPr="00480A2C">
              <w:rPr>
                <w:sz w:val="22"/>
                <w:szCs w:val="22"/>
              </w:rPr>
              <w:t>$8,416.49</w:t>
            </w:r>
          </w:p>
        </w:tc>
      </w:tr>
      <w:tr w:rsidR="0076056B" w:rsidRPr="00480A2C" w14:paraId="10EE40BB" w14:textId="77777777" w:rsidTr="00D819AE">
        <w:trPr>
          <w:cantSplit/>
        </w:trPr>
        <w:tc>
          <w:tcPr>
            <w:tcW w:w="1382" w:type="dxa"/>
            <w:tcBorders>
              <w:left w:val="single" w:sz="4" w:space="0" w:color="auto"/>
              <w:right w:val="single" w:sz="4" w:space="0" w:color="auto"/>
            </w:tcBorders>
            <w:shd w:val="clear" w:color="auto" w:fill="auto"/>
          </w:tcPr>
          <w:p w14:paraId="5B1B14E3" w14:textId="77777777" w:rsidR="0076056B" w:rsidRPr="00480A2C" w:rsidRDefault="0076056B" w:rsidP="00D819AE">
            <w:pPr>
              <w:pStyle w:val="TableText"/>
              <w:rPr>
                <w:sz w:val="22"/>
                <w:szCs w:val="22"/>
              </w:rPr>
            </w:pPr>
            <w:r w:rsidRPr="00480A2C">
              <w:rPr>
                <w:sz w:val="22"/>
                <w:szCs w:val="22"/>
              </w:rPr>
              <w:t>Hampshire</w:t>
            </w:r>
          </w:p>
        </w:tc>
        <w:tc>
          <w:tcPr>
            <w:tcW w:w="1383" w:type="dxa"/>
            <w:tcBorders>
              <w:left w:val="single" w:sz="4" w:space="0" w:color="auto"/>
              <w:right w:val="single" w:sz="4" w:space="0" w:color="auto"/>
            </w:tcBorders>
            <w:shd w:val="clear" w:color="auto" w:fill="auto"/>
          </w:tcPr>
          <w:p w14:paraId="38FD40CD" w14:textId="77777777" w:rsidR="0076056B" w:rsidRPr="00480A2C" w:rsidRDefault="0076056B" w:rsidP="00D819AE">
            <w:pPr>
              <w:pStyle w:val="TableText"/>
              <w:rPr>
                <w:sz w:val="22"/>
                <w:szCs w:val="22"/>
              </w:rPr>
            </w:pPr>
            <w:r w:rsidRPr="00480A2C">
              <w:rPr>
                <w:sz w:val="22"/>
                <w:szCs w:val="22"/>
              </w:rPr>
              <w:t>$117.97</w:t>
            </w:r>
          </w:p>
        </w:tc>
        <w:tc>
          <w:tcPr>
            <w:tcW w:w="1383" w:type="dxa"/>
            <w:tcBorders>
              <w:left w:val="single" w:sz="4" w:space="0" w:color="auto"/>
              <w:right w:val="single" w:sz="4" w:space="0" w:color="auto"/>
            </w:tcBorders>
            <w:shd w:val="clear" w:color="auto" w:fill="auto"/>
          </w:tcPr>
          <w:p w14:paraId="66ABC75F" w14:textId="77777777" w:rsidR="0076056B" w:rsidRPr="00480A2C" w:rsidRDefault="0076056B" w:rsidP="00D819AE">
            <w:pPr>
              <w:pStyle w:val="TableText"/>
              <w:rPr>
                <w:sz w:val="22"/>
                <w:szCs w:val="22"/>
              </w:rPr>
            </w:pPr>
            <w:r w:rsidRPr="00480A2C">
              <w:rPr>
                <w:sz w:val="22"/>
                <w:szCs w:val="22"/>
              </w:rPr>
              <w:t>$372.05</w:t>
            </w:r>
          </w:p>
        </w:tc>
        <w:tc>
          <w:tcPr>
            <w:tcW w:w="1382" w:type="dxa"/>
            <w:tcBorders>
              <w:left w:val="single" w:sz="4" w:space="0" w:color="auto"/>
              <w:right w:val="single" w:sz="4" w:space="0" w:color="auto"/>
            </w:tcBorders>
          </w:tcPr>
          <w:p w14:paraId="670C6B9D" w14:textId="77777777" w:rsidR="0076056B" w:rsidRPr="00480A2C" w:rsidRDefault="0076056B" w:rsidP="00D819AE">
            <w:pPr>
              <w:pStyle w:val="TableText"/>
              <w:rPr>
                <w:sz w:val="22"/>
                <w:szCs w:val="22"/>
              </w:rPr>
            </w:pPr>
            <w:r w:rsidRPr="00480A2C">
              <w:rPr>
                <w:sz w:val="22"/>
                <w:szCs w:val="22"/>
              </w:rPr>
              <w:t>$564.57</w:t>
            </w:r>
          </w:p>
        </w:tc>
        <w:tc>
          <w:tcPr>
            <w:tcW w:w="1383" w:type="dxa"/>
            <w:tcBorders>
              <w:left w:val="single" w:sz="4" w:space="0" w:color="auto"/>
              <w:right w:val="single" w:sz="4" w:space="0" w:color="auto"/>
            </w:tcBorders>
          </w:tcPr>
          <w:p w14:paraId="628959A6" w14:textId="77777777" w:rsidR="0076056B" w:rsidRPr="00480A2C" w:rsidRDefault="0076056B" w:rsidP="00D819AE">
            <w:pPr>
              <w:pStyle w:val="TableText"/>
              <w:rPr>
                <w:sz w:val="22"/>
                <w:szCs w:val="22"/>
              </w:rPr>
            </w:pPr>
            <w:r w:rsidRPr="00480A2C">
              <w:rPr>
                <w:sz w:val="22"/>
                <w:szCs w:val="22"/>
              </w:rPr>
              <w:t>$3,042.13</w:t>
            </w:r>
          </w:p>
        </w:tc>
        <w:tc>
          <w:tcPr>
            <w:tcW w:w="1383" w:type="dxa"/>
            <w:tcBorders>
              <w:left w:val="single" w:sz="4" w:space="0" w:color="auto"/>
              <w:right w:val="single" w:sz="4" w:space="0" w:color="auto"/>
            </w:tcBorders>
          </w:tcPr>
          <w:p w14:paraId="4A41198F" w14:textId="77777777" w:rsidR="0076056B" w:rsidRPr="00480A2C" w:rsidRDefault="0076056B" w:rsidP="00D819AE">
            <w:pPr>
              <w:pStyle w:val="TableText"/>
              <w:rPr>
                <w:sz w:val="22"/>
                <w:szCs w:val="22"/>
              </w:rPr>
            </w:pPr>
            <w:r w:rsidRPr="00480A2C">
              <w:rPr>
                <w:sz w:val="22"/>
                <w:szCs w:val="22"/>
              </w:rPr>
              <w:t>$5,230.77</w:t>
            </w:r>
          </w:p>
        </w:tc>
        <w:tc>
          <w:tcPr>
            <w:tcW w:w="1387" w:type="dxa"/>
            <w:tcBorders>
              <w:left w:val="single" w:sz="4" w:space="0" w:color="auto"/>
              <w:right w:val="single" w:sz="4" w:space="0" w:color="auto"/>
            </w:tcBorders>
          </w:tcPr>
          <w:p w14:paraId="3E7E5E23" w14:textId="77777777" w:rsidR="0076056B" w:rsidRPr="00480A2C" w:rsidRDefault="0076056B" w:rsidP="00D819AE">
            <w:pPr>
              <w:pStyle w:val="TableText"/>
              <w:rPr>
                <w:sz w:val="22"/>
                <w:szCs w:val="22"/>
              </w:rPr>
            </w:pPr>
            <w:r w:rsidRPr="00480A2C">
              <w:rPr>
                <w:sz w:val="22"/>
                <w:szCs w:val="22"/>
              </w:rPr>
              <w:t>$8,416.49</w:t>
            </w:r>
          </w:p>
        </w:tc>
      </w:tr>
      <w:tr w:rsidR="0076056B" w:rsidRPr="00480A2C" w14:paraId="532CCB62" w14:textId="77777777" w:rsidTr="00D819AE">
        <w:trPr>
          <w:cantSplit/>
        </w:trPr>
        <w:tc>
          <w:tcPr>
            <w:tcW w:w="1382" w:type="dxa"/>
            <w:tcBorders>
              <w:left w:val="single" w:sz="4" w:space="0" w:color="auto"/>
              <w:right w:val="single" w:sz="4" w:space="0" w:color="auto"/>
            </w:tcBorders>
            <w:shd w:val="clear" w:color="auto" w:fill="auto"/>
          </w:tcPr>
          <w:p w14:paraId="1F35FB82" w14:textId="77777777" w:rsidR="0076056B" w:rsidRPr="00480A2C" w:rsidRDefault="0076056B" w:rsidP="00D819AE">
            <w:pPr>
              <w:pStyle w:val="TableText"/>
              <w:rPr>
                <w:sz w:val="22"/>
                <w:szCs w:val="22"/>
              </w:rPr>
            </w:pPr>
            <w:r w:rsidRPr="00480A2C">
              <w:rPr>
                <w:sz w:val="22"/>
                <w:szCs w:val="22"/>
              </w:rPr>
              <w:t>Middlesex</w:t>
            </w:r>
          </w:p>
        </w:tc>
        <w:tc>
          <w:tcPr>
            <w:tcW w:w="1383" w:type="dxa"/>
            <w:tcBorders>
              <w:left w:val="single" w:sz="4" w:space="0" w:color="auto"/>
              <w:right w:val="single" w:sz="4" w:space="0" w:color="auto"/>
            </w:tcBorders>
            <w:shd w:val="clear" w:color="auto" w:fill="auto"/>
          </w:tcPr>
          <w:p w14:paraId="74FE7F31" w14:textId="77777777" w:rsidR="0076056B" w:rsidRPr="00480A2C" w:rsidRDefault="0076056B" w:rsidP="00D819AE">
            <w:pPr>
              <w:pStyle w:val="TableText"/>
              <w:rPr>
                <w:sz w:val="22"/>
                <w:szCs w:val="22"/>
              </w:rPr>
            </w:pPr>
            <w:r w:rsidRPr="00480A2C">
              <w:rPr>
                <w:sz w:val="22"/>
                <w:szCs w:val="22"/>
              </w:rPr>
              <w:t>$125.64</w:t>
            </w:r>
          </w:p>
        </w:tc>
        <w:tc>
          <w:tcPr>
            <w:tcW w:w="1383" w:type="dxa"/>
            <w:tcBorders>
              <w:left w:val="single" w:sz="4" w:space="0" w:color="auto"/>
              <w:right w:val="single" w:sz="4" w:space="0" w:color="auto"/>
            </w:tcBorders>
            <w:shd w:val="clear" w:color="auto" w:fill="auto"/>
          </w:tcPr>
          <w:p w14:paraId="62627A41" w14:textId="77777777" w:rsidR="0076056B" w:rsidRPr="00480A2C" w:rsidRDefault="0076056B" w:rsidP="00D819AE">
            <w:pPr>
              <w:pStyle w:val="TableText"/>
              <w:rPr>
                <w:sz w:val="22"/>
                <w:szCs w:val="22"/>
              </w:rPr>
            </w:pPr>
            <w:r w:rsidRPr="00480A2C">
              <w:rPr>
                <w:sz w:val="22"/>
                <w:szCs w:val="22"/>
              </w:rPr>
              <w:t>$400.88</w:t>
            </w:r>
          </w:p>
        </w:tc>
        <w:tc>
          <w:tcPr>
            <w:tcW w:w="1382" w:type="dxa"/>
            <w:tcBorders>
              <w:left w:val="single" w:sz="4" w:space="0" w:color="auto"/>
              <w:right w:val="single" w:sz="4" w:space="0" w:color="auto"/>
            </w:tcBorders>
          </w:tcPr>
          <w:p w14:paraId="76F8E866" w14:textId="77777777" w:rsidR="0076056B" w:rsidRPr="00480A2C" w:rsidRDefault="0076056B" w:rsidP="00D819AE">
            <w:pPr>
              <w:pStyle w:val="TableText"/>
              <w:rPr>
                <w:sz w:val="22"/>
                <w:szCs w:val="22"/>
              </w:rPr>
            </w:pPr>
            <w:r w:rsidRPr="00480A2C">
              <w:rPr>
                <w:sz w:val="22"/>
                <w:szCs w:val="22"/>
              </w:rPr>
              <w:t>$608.28</w:t>
            </w:r>
          </w:p>
        </w:tc>
        <w:tc>
          <w:tcPr>
            <w:tcW w:w="1383" w:type="dxa"/>
            <w:tcBorders>
              <w:left w:val="single" w:sz="4" w:space="0" w:color="auto"/>
              <w:right w:val="single" w:sz="4" w:space="0" w:color="auto"/>
            </w:tcBorders>
          </w:tcPr>
          <w:p w14:paraId="45F89A9F" w14:textId="77777777" w:rsidR="0076056B" w:rsidRPr="00480A2C" w:rsidRDefault="0076056B" w:rsidP="00D819AE">
            <w:pPr>
              <w:pStyle w:val="TableText"/>
              <w:rPr>
                <w:sz w:val="22"/>
                <w:szCs w:val="22"/>
              </w:rPr>
            </w:pPr>
            <w:r w:rsidRPr="00480A2C">
              <w:rPr>
                <w:sz w:val="22"/>
                <w:szCs w:val="22"/>
              </w:rPr>
              <w:t>$2,928.86</w:t>
            </w:r>
          </w:p>
        </w:tc>
        <w:tc>
          <w:tcPr>
            <w:tcW w:w="1383" w:type="dxa"/>
            <w:tcBorders>
              <w:left w:val="single" w:sz="4" w:space="0" w:color="auto"/>
              <w:right w:val="single" w:sz="4" w:space="0" w:color="auto"/>
            </w:tcBorders>
          </w:tcPr>
          <w:p w14:paraId="6D50B27B" w14:textId="77777777" w:rsidR="0076056B" w:rsidRPr="00480A2C" w:rsidRDefault="0076056B" w:rsidP="00D819AE">
            <w:pPr>
              <w:pStyle w:val="TableText"/>
              <w:rPr>
                <w:sz w:val="22"/>
                <w:szCs w:val="22"/>
              </w:rPr>
            </w:pPr>
            <w:r w:rsidRPr="00480A2C">
              <w:rPr>
                <w:sz w:val="22"/>
                <w:szCs w:val="22"/>
              </w:rPr>
              <w:t>$5,678.51</w:t>
            </w:r>
          </w:p>
        </w:tc>
        <w:tc>
          <w:tcPr>
            <w:tcW w:w="1387" w:type="dxa"/>
            <w:tcBorders>
              <w:left w:val="single" w:sz="4" w:space="0" w:color="auto"/>
              <w:right w:val="single" w:sz="4" w:space="0" w:color="auto"/>
            </w:tcBorders>
          </w:tcPr>
          <w:p w14:paraId="4BDC0807" w14:textId="77777777" w:rsidR="0076056B" w:rsidRPr="00480A2C" w:rsidRDefault="0076056B" w:rsidP="00D819AE">
            <w:pPr>
              <w:pStyle w:val="TableText"/>
              <w:rPr>
                <w:sz w:val="22"/>
                <w:szCs w:val="22"/>
              </w:rPr>
            </w:pPr>
            <w:r w:rsidRPr="00480A2C">
              <w:rPr>
                <w:sz w:val="22"/>
                <w:szCs w:val="22"/>
              </w:rPr>
              <w:t>$9,549.09</w:t>
            </w:r>
          </w:p>
        </w:tc>
      </w:tr>
      <w:tr w:rsidR="0076056B" w:rsidRPr="00480A2C" w14:paraId="234F9B0D" w14:textId="77777777" w:rsidTr="00D819AE">
        <w:trPr>
          <w:cantSplit/>
        </w:trPr>
        <w:tc>
          <w:tcPr>
            <w:tcW w:w="1382" w:type="dxa"/>
            <w:tcBorders>
              <w:left w:val="single" w:sz="4" w:space="0" w:color="auto"/>
              <w:right w:val="single" w:sz="4" w:space="0" w:color="auto"/>
            </w:tcBorders>
            <w:shd w:val="clear" w:color="auto" w:fill="auto"/>
          </w:tcPr>
          <w:p w14:paraId="78835C71" w14:textId="77777777" w:rsidR="0076056B" w:rsidRPr="00480A2C" w:rsidRDefault="0076056B" w:rsidP="00D819AE">
            <w:pPr>
              <w:pStyle w:val="TableText"/>
              <w:rPr>
                <w:sz w:val="22"/>
                <w:szCs w:val="22"/>
              </w:rPr>
            </w:pPr>
            <w:r w:rsidRPr="00480A2C">
              <w:rPr>
                <w:sz w:val="22"/>
                <w:szCs w:val="22"/>
              </w:rPr>
              <w:t>Norfolk</w:t>
            </w:r>
          </w:p>
        </w:tc>
        <w:tc>
          <w:tcPr>
            <w:tcW w:w="1383" w:type="dxa"/>
            <w:tcBorders>
              <w:left w:val="single" w:sz="4" w:space="0" w:color="auto"/>
              <w:right w:val="single" w:sz="4" w:space="0" w:color="auto"/>
            </w:tcBorders>
            <w:shd w:val="clear" w:color="auto" w:fill="auto"/>
          </w:tcPr>
          <w:p w14:paraId="627E6631" w14:textId="77777777" w:rsidR="0076056B" w:rsidRPr="00480A2C" w:rsidRDefault="0076056B" w:rsidP="00D819AE">
            <w:pPr>
              <w:pStyle w:val="TableText"/>
              <w:rPr>
                <w:sz w:val="22"/>
                <w:szCs w:val="22"/>
              </w:rPr>
            </w:pPr>
            <w:r w:rsidRPr="00480A2C">
              <w:rPr>
                <w:sz w:val="22"/>
                <w:szCs w:val="22"/>
              </w:rPr>
              <w:t>$125.64</w:t>
            </w:r>
          </w:p>
        </w:tc>
        <w:tc>
          <w:tcPr>
            <w:tcW w:w="1383" w:type="dxa"/>
            <w:tcBorders>
              <w:left w:val="single" w:sz="4" w:space="0" w:color="auto"/>
              <w:right w:val="single" w:sz="4" w:space="0" w:color="auto"/>
            </w:tcBorders>
            <w:shd w:val="clear" w:color="auto" w:fill="auto"/>
          </w:tcPr>
          <w:p w14:paraId="26234B7B" w14:textId="77777777" w:rsidR="0076056B" w:rsidRPr="00480A2C" w:rsidRDefault="0076056B" w:rsidP="00D819AE">
            <w:pPr>
              <w:pStyle w:val="TableText"/>
              <w:rPr>
                <w:sz w:val="22"/>
                <w:szCs w:val="22"/>
              </w:rPr>
            </w:pPr>
            <w:r w:rsidRPr="00480A2C">
              <w:rPr>
                <w:sz w:val="22"/>
                <w:szCs w:val="22"/>
              </w:rPr>
              <w:t>$400.88</w:t>
            </w:r>
          </w:p>
        </w:tc>
        <w:tc>
          <w:tcPr>
            <w:tcW w:w="1382" w:type="dxa"/>
            <w:tcBorders>
              <w:left w:val="single" w:sz="4" w:space="0" w:color="auto"/>
              <w:right w:val="single" w:sz="4" w:space="0" w:color="auto"/>
            </w:tcBorders>
          </w:tcPr>
          <w:p w14:paraId="331373D1" w14:textId="77777777" w:rsidR="0076056B" w:rsidRPr="00480A2C" w:rsidRDefault="0076056B" w:rsidP="00D819AE">
            <w:pPr>
              <w:pStyle w:val="TableText"/>
              <w:rPr>
                <w:sz w:val="22"/>
                <w:szCs w:val="22"/>
              </w:rPr>
            </w:pPr>
            <w:r w:rsidRPr="00480A2C">
              <w:rPr>
                <w:sz w:val="22"/>
                <w:szCs w:val="22"/>
              </w:rPr>
              <w:t>$608.28</w:t>
            </w:r>
          </w:p>
        </w:tc>
        <w:tc>
          <w:tcPr>
            <w:tcW w:w="1383" w:type="dxa"/>
            <w:tcBorders>
              <w:left w:val="single" w:sz="4" w:space="0" w:color="auto"/>
              <w:right w:val="single" w:sz="4" w:space="0" w:color="auto"/>
            </w:tcBorders>
          </w:tcPr>
          <w:p w14:paraId="0C4EF35E" w14:textId="77777777" w:rsidR="0076056B" w:rsidRPr="00480A2C" w:rsidRDefault="0076056B" w:rsidP="00D819AE">
            <w:pPr>
              <w:pStyle w:val="TableText"/>
              <w:rPr>
                <w:sz w:val="22"/>
                <w:szCs w:val="22"/>
              </w:rPr>
            </w:pPr>
            <w:r w:rsidRPr="00480A2C">
              <w:rPr>
                <w:sz w:val="22"/>
                <w:szCs w:val="22"/>
              </w:rPr>
              <w:t>$2,928.86</w:t>
            </w:r>
          </w:p>
        </w:tc>
        <w:tc>
          <w:tcPr>
            <w:tcW w:w="1383" w:type="dxa"/>
            <w:tcBorders>
              <w:left w:val="single" w:sz="4" w:space="0" w:color="auto"/>
              <w:right w:val="single" w:sz="4" w:space="0" w:color="auto"/>
            </w:tcBorders>
          </w:tcPr>
          <w:p w14:paraId="4BDB19D7" w14:textId="77777777" w:rsidR="0076056B" w:rsidRPr="00480A2C" w:rsidRDefault="0076056B" w:rsidP="00D819AE">
            <w:pPr>
              <w:pStyle w:val="TableText"/>
              <w:rPr>
                <w:sz w:val="22"/>
                <w:szCs w:val="22"/>
              </w:rPr>
            </w:pPr>
            <w:r w:rsidRPr="00480A2C">
              <w:rPr>
                <w:sz w:val="22"/>
                <w:szCs w:val="22"/>
              </w:rPr>
              <w:t>$5,678.51</w:t>
            </w:r>
          </w:p>
        </w:tc>
        <w:tc>
          <w:tcPr>
            <w:tcW w:w="1387" w:type="dxa"/>
            <w:tcBorders>
              <w:left w:val="single" w:sz="4" w:space="0" w:color="auto"/>
              <w:right w:val="single" w:sz="4" w:space="0" w:color="auto"/>
            </w:tcBorders>
          </w:tcPr>
          <w:p w14:paraId="2F7B2BE4" w14:textId="77777777" w:rsidR="0076056B" w:rsidRPr="00480A2C" w:rsidRDefault="0076056B" w:rsidP="00D819AE">
            <w:pPr>
              <w:pStyle w:val="TableText"/>
              <w:rPr>
                <w:sz w:val="22"/>
                <w:szCs w:val="22"/>
              </w:rPr>
            </w:pPr>
            <w:r w:rsidRPr="00480A2C">
              <w:rPr>
                <w:sz w:val="22"/>
                <w:szCs w:val="22"/>
              </w:rPr>
              <w:t>$9,549.09</w:t>
            </w:r>
          </w:p>
        </w:tc>
      </w:tr>
      <w:tr w:rsidR="0076056B" w:rsidRPr="00480A2C" w14:paraId="7EF0C037" w14:textId="77777777" w:rsidTr="00D819AE">
        <w:trPr>
          <w:cantSplit/>
        </w:trPr>
        <w:tc>
          <w:tcPr>
            <w:tcW w:w="1382" w:type="dxa"/>
            <w:tcBorders>
              <w:left w:val="single" w:sz="4" w:space="0" w:color="auto"/>
              <w:right w:val="single" w:sz="4" w:space="0" w:color="auto"/>
            </w:tcBorders>
            <w:shd w:val="clear" w:color="auto" w:fill="auto"/>
          </w:tcPr>
          <w:p w14:paraId="3FFC17AA" w14:textId="77777777" w:rsidR="0076056B" w:rsidRPr="00480A2C" w:rsidRDefault="0076056B" w:rsidP="00D819AE">
            <w:pPr>
              <w:pStyle w:val="TableText"/>
              <w:rPr>
                <w:sz w:val="22"/>
                <w:szCs w:val="22"/>
              </w:rPr>
            </w:pPr>
            <w:r w:rsidRPr="00480A2C">
              <w:rPr>
                <w:sz w:val="22"/>
                <w:szCs w:val="22"/>
              </w:rPr>
              <w:t>Plymouth</w:t>
            </w:r>
          </w:p>
        </w:tc>
        <w:tc>
          <w:tcPr>
            <w:tcW w:w="1383" w:type="dxa"/>
            <w:tcBorders>
              <w:left w:val="single" w:sz="4" w:space="0" w:color="auto"/>
              <w:right w:val="single" w:sz="4" w:space="0" w:color="auto"/>
            </w:tcBorders>
            <w:shd w:val="clear" w:color="auto" w:fill="auto"/>
          </w:tcPr>
          <w:p w14:paraId="4524BBB6" w14:textId="77777777" w:rsidR="0076056B" w:rsidRPr="00480A2C" w:rsidRDefault="0076056B" w:rsidP="00D819AE">
            <w:pPr>
              <w:pStyle w:val="TableText"/>
              <w:rPr>
                <w:sz w:val="22"/>
                <w:szCs w:val="22"/>
              </w:rPr>
            </w:pPr>
            <w:r w:rsidRPr="00480A2C">
              <w:rPr>
                <w:sz w:val="22"/>
                <w:szCs w:val="22"/>
              </w:rPr>
              <w:t>$147.76</w:t>
            </w:r>
          </w:p>
        </w:tc>
        <w:tc>
          <w:tcPr>
            <w:tcW w:w="1383" w:type="dxa"/>
            <w:tcBorders>
              <w:left w:val="single" w:sz="4" w:space="0" w:color="auto"/>
              <w:right w:val="single" w:sz="4" w:space="0" w:color="auto"/>
            </w:tcBorders>
            <w:shd w:val="clear" w:color="auto" w:fill="auto"/>
          </w:tcPr>
          <w:p w14:paraId="2D41FEA0" w14:textId="77777777" w:rsidR="0076056B" w:rsidRPr="00480A2C" w:rsidRDefault="0076056B" w:rsidP="00D819AE">
            <w:pPr>
              <w:pStyle w:val="TableText"/>
              <w:rPr>
                <w:sz w:val="22"/>
                <w:szCs w:val="22"/>
              </w:rPr>
            </w:pPr>
            <w:r w:rsidRPr="00480A2C">
              <w:rPr>
                <w:sz w:val="22"/>
                <w:szCs w:val="22"/>
              </w:rPr>
              <w:t>$470.21</w:t>
            </w:r>
          </w:p>
        </w:tc>
        <w:tc>
          <w:tcPr>
            <w:tcW w:w="1382" w:type="dxa"/>
            <w:tcBorders>
              <w:left w:val="single" w:sz="4" w:space="0" w:color="auto"/>
              <w:right w:val="single" w:sz="4" w:space="0" w:color="auto"/>
            </w:tcBorders>
          </w:tcPr>
          <w:p w14:paraId="57D1FADE" w14:textId="77777777" w:rsidR="0076056B" w:rsidRPr="00480A2C" w:rsidRDefault="0076056B" w:rsidP="00D819AE">
            <w:pPr>
              <w:pStyle w:val="TableText"/>
              <w:rPr>
                <w:sz w:val="22"/>
                <w:szCs w:val="22"/>
              </w:rPr>
            </w:pPr>
            <w:r w:rsidRPr="00480A2C">
              <w:rPr>
                <w:sz w:val="22"/>
                <w:szCs w:val="22"/>
              </w:rPr>
              <w:t>$713.53</w:t>
            </w:r>
          </w:p>
        </w:tc>
        <w:tc>
          <w:tcPr>
            <w:tcW w:w="1383" w:type="dxa"/>
            <w:tcBorders>
              <w:left w:val="single" w:sz="4" w:space="0" w:color="auto"/>
              <w:right w:val="single" w:sz="4" w:space="0" w:color="auto"/>
            </w:tcBorders>
          </w:tcPr>
          <w:p w14:paraId="2D920013" w14:textId="77777777" w:rsidR="0076056B" w:rsidRPr="00480A2C" w:rsidRDefault="0076056B" w:rsidP="00D819AE">
            <w:pPr>
              <w:pStyle w:val="TableText"/>
              <w:rPr>
                <w:sz w:val="22"/>
                <w:szCs w:val="22"/>
              </w:rPr>
            </w:pPr>
            <w:r w:rsidRPr="00480A2C">
              <w:rPr>
                <w:sz w:val="22"/>
                <w:szCs w:val="22"/>
              </w:rPr>
              <w:t>$2,911.99</w:t>
            </w:r>
          </w:p>
        </w:tc>
        <w:tc>
          <w:tcPr>
            <w:tcW w:w="1383" w:type="dxa"/>
            <w:tcBorders>
              <w:left w:val="single" w:sz="4" w:space="0" w:color="auto"/>
              <w:right w:val="single" w:sz="4" w:space="0" w:color="auto"/>
            </w:tcBorders>
          </w:tcPr>
          <w:p w14:paraId="5519A22E" w14:textId="77777777" w:rsidR="0076056B" w:rsidRPr="00480A2C" w:rsidRDefault="0076056B" w:rsidP="00D819AE">
            <w:pPr>
              <w:pStyle w:val="TableText"/>
              <w:rPr>
                <w:sz w:val="22"/>
                <w:szCs w:val="22"/>
              </w:rPr>
            </w:pPr>
            <w:r w:rsidRPr="00480A2C">
              <w:rPr>
                <w:sz w:val="22"/>
                <w:szCs w:val="22"/>
              </w:rPr>
              <w:t>$5,771.61</w:t>
            </w:r>
          </w:p>
        </w:tc>
        <w:tc>
          <w:tcPr>
            <w:tcW w:w="1387" w:type="dxa"/>
            <w:tcBorders>
              <w:left w:val="single" w:sz="4" w:space="0" w:color="auto"/>
              <w:right w:val="single" w:sz="4" w:space="0" w:color="auto"/>
            </w:tcBorders>
          </w:tcPr>
          <w:p w14:paraId="536FB147" w14:textId="77777777" w:rsidR="0076056B" w:rsidRPr="00480A2C" w:rsidRDefault="0076056B" w:rsidP="00D819AE">
            <w:pPr>
              <w:pStyle w:val="TableText"/>
              <w:rPr>
                <w:sz w:val="22"/>
                <w:szCs w:val="22"/>
              </w:rPr>
            </w:pPr>
            <w:r w:rsidRPr="00480A2C">
              <w:rPr>
                <w:sz w:val="22"/>
                <w:szCs w:val="22"/>
              </w:rPr>
              <w:t>$8,192.29</w:t>
            </w:r>
          </w:p>
        </w:tc>
      </w:tr>
      <w:tr w:rsidR="0076056B" w:rsidRPr="00480A2C" w14:paraId="07CF2179" w14:textId="77777777" w:rsidTr="00D819AE">
        <w:trPr>
          <w:cantSplit/>
        </w:trPr>
        <w:tc>
          <w:tcPr>
            <w:tcW w:w="1382" w:type="dxa"/>
            <w:tcBorders>
              <w:left w:val="single" w:sz="4" w:space="0" w:color="auto"/>
              <w:right w:val="single" w:sz="4" w:space="0" w:color="auto"/>
            </w:tcBorders>
            <w:shd w:val="clear" w:color="auto" w:fill="auto"/>
          </w:tcPr>
          <w:p w14:paraId="750AEC7F" w14:textId="77777777" w:rsidR="0076056B" w:rsidRPr="00480A2C" w:rsidRDefault="0076056B" w:rsidP="00D819AE">
            <w:pPr>
              <w:pStyle w:val="TableText"/>
              <w:rPr>
                <w:sz w:val="22"/>
                <w:szCs w:val="22"/>
              </w:rPr>
            </w:pPr>
            <w:r w:rsidRPr="00480A2C">
              <w:rPr>
                <w:sz w:val="22"/>
                <w:szCs w:val="22"/>
              </w:rPr>
              <w:t>Suffolk</w:t>
            </w:r>
          </w:p>
        </w:tc>
        <w:tc>
          <w:tcPr>
            <w:tcW w:w="1383" w:type="dxa"/>
            <w:tcBorders>
              <w:left w:val="single" w:sz="4" w:space="0" w:color="auto"/>
              <w:right w:val="single" w:sz="4" w:space="0" w:color="auto"/>
            </w:tcBorders>
            <w:shd w:val="clear" w:color="auto" w:fill="auto"/>
          </w:tcPr>
          <w:p w14:paraId="3F1FC158" w14:textId="77777777" w:rsidR="0076056B" w:rsidRPr="00480A2C" w:rsidRDefault="0076056B" w:rsidP="00D819AE">
            <w:pPr>
              <w:pStyle w:val="TableText"/>
              <w:rPr>
                <w:sz w:val="22"/>
                <w:szCs w:val="22"/>
              </w:rPr>
            </w:pPr>
            <w:r w:rsidRPr="00480A2C">
              <w:rPr>
                <w:sz w:val="22"/>
                <w:szCs w:val="22"/>
              </w:rPr>
              <w:t>$125.64</w:t>
            </w:r>
          </w:p>
        </w:tc>
        <w:tc>
          <w:tcPr>
            <w:tcW w:w="1383" w:type="dxa"/>
            <w:tcBorders>
              <w:left w:val="single" w:sz="4" w:space="0" w:color="auto"/>
              <w:right w:val="single" w:sz="4" w:space="0" w:color="auto"/>
            </w:tcBorders>
            <w:shd w:val="clear" w:color="auto" w:fill="auto"/>
          </w:tcPr>
          <w:p w14:paraId="40491487" w14:textId="77777777" w:rsidR="0076056B" w:rsidRPr="00480A2C" w:rsidRDefault="0076056B" w:rsidP="00D819AE">
            <w:pPr>
              <w:pStyle w:val="TableText"/>
              <w:rPr>
                <w:sz w:val="22"/>
                <w:szCs w:val="22"/>
              </w:rPr>
            </w:pPr>
            <w:r w:rsidRPr="00480A2C">
              <w:rPr>
                <w:sz w:val="22"/>
                <w:szCs w:val="22"/>
              </w:rPr>
              <w:t>$400.88</w:t>
            </w:r>
          </w:p>
        </w:tc>
        <w:tc>
          <w:tcPr>
            <w:tcW w:w="1382" w:type="dxa"/>
            <w:tcBorders>
              <w:left w:val="single" w:sz="4" w:space="0" w:color="auto"/>
              <w:right w:val="single" w:sz="4" w:space="0" w:color="auto"/>
            </w:tcBorders>
          </w:tcPr>
          <w:p w14:paraId="4EA5446D" w14:textId="77777777" w:rsidR="0076056B" w:rsidRPr="00480A2C" w:rsidRDefault="0076056B" w:rsidP="00D819AE">
            <w:pPr>
              <w:pStyle w:val="TableText"/>
              <w:rPr>
                <w:sz w:val="22"/>
                <w:szCs w:val="22"/>
              </w:rPr>
            </w:pPr>
            <w:r w:rsidRPr="00480A2C">
              <w:rPr>
                <w:sz w:val="22"/>
                <w:szCs w:val="22"/>
              </w:rPr>
              <w:t>$608.28</w:t>
            </w:r>
          </w:p>
        </w:tc>
        <w:tc>
          <w:tcPr>
            <w:tcW w:w="1383" w:type="dxa"/>
            <w:tcBorders>
              <w:left w:val="single" w:sz="4" w:space="0" w:color="auto"/>
              <w:right w:val="single" w:sz="4" w:space="0" w:color="auto"/>
            </w:tcBorders>
          </w:tcPr>
          <w:p w14:paraId="353EEB15" w14:textId="77777777" w:rsidR="0076056B" w:rsidRPr="00480A2C" w:rsidRDefault="0076056B" w:rsidP="00D819AE">
            <w:pPr>
              <w:pStyle w:val="TableText"/>
              <w:rPr>
                <w:sz w:val="22"/>
                <w:szCs w:val="22"/>
              </w:rPr>
            </w:pPr>
            <w:r w:rsidRPr="00480A2C">
              <w:rPr>
                <w:sz w:val="22"/>
                <w:szCs w:val="22"/>
              </w:rPr>
              <w:t>$2,928.86</w:t>
            </w:r>
          </w:p>
        </w:tc>
        <w:tc>
          <w:tcPr>
            <w:tcW w:w="1383" w:type="dxa"/>
            <w:tcBorders>
              <w:left w:val="single" w:sz="4" w:space="0" w:color="auto"/>
              <w:right w:val="single" w:sz="4" w:space="0" w:color="auto"/>
            </w:tcBorders>
          </w:tcPr>
          <w:p w14:paraId="49CD442B" w14:textId="77777777" w:rsidR="0076056B" w:rsidRPr="00480A2C" w:rsidRDefault="0076056B" w:rsidP="00D819AE">
            <w:pPr>
              <w:pStyle w:val="TableText"/>
              <w:rPr>
                <w:sz w:val="22"/>
                <w:szCs w:val="22"/>
              </w:rPr>
            </w:pPr>
            <w:r w:rsidRPr="00480A2C">
              <w:rPr>
                <w:sz w:val="22"/>
                <w:szCs w:val="22"/>
              </w:rPr>
              <w:t>$5,678.51</w:t>
            </w:r>
          </w:p>
        </w:tc>
        <w:tc>
          <w:tcPr>
            <w:tcW w:w="1387" w:type="dxa"/>
            <w:tcBorders>
              <w:left w:val="single" w:sz="4" w:space="0" w:color="auto"/>
              <w:right w:val="single" w:sz="4" w:space="0" w:color="auto"/>
            </w:tcBorders>
          </w:tcPr>
          <w:p w14:paraId="62BD00A8" w14:textId="77777777" w:rsidR="0076056B" w:rsidRPr="00480A2C" w:rsidRDefault="0076056B" w:rsidP="00D819AE">
            <w:pPr>
              <w:pStyle w:val="TableText"/>
              <w:rPr>
                <w:sz w:val="22"/>
                <w:szCs w:val="22"/>
              </w:rPr>
            </w:pPr>
            <w:r w:rsidRPr="00480A2C">
              <w:rPr>
                <w:sz w:val="22"/>
                <w:szCs w:val="22"/>
              </w:rPr>
              <w:t>$9,549.09</w:t>
            </w:r>
          </w:p>
        </w:tc>
      </w:tr>
      <w:tr w:rsidR="0076056B" w:rsidRPr="00480A2C" w14:paraId="38FC894E" w14:textId="77777777" w:rsidTr="00D819AE">
        <w:trPr>
          <w:cantSplit/>
        </w:trPr>
        <w:tc>
          <w:tcPr>
            <w:tcW w:w="1382" w:type="dxa"/>
            <w:tcBorders>
              <w:left w:val="single" w:sz="4" w:space="0" w:color="auto"/>
              <w:right w:val="single" w:sz="4" w:space="0" w:color="auto"/>
            </w:tcBorders>
            <w:shd w:val="clear" w:color="auto" w:fill="auto"/>
          </w:tcPr>
          <w:p w14:paraId="3043DCC6" w14:textId="77777777" w:rsidR="0076056B" w:rsidRPr="00480A2C" w:rsidRDefault="0076056B" w:rsidP="00D819AE">
            <w:pPr>
              <w:pStyle w:val="TableText"/>
              <w:rPr>
                <w:sz w:val="22"/>
                <w:szCs w:val="22"/>
              </w:rPr>
            </w:pPr>
            <w:r w:rsidRPr="00480A2C">
              <w:rPr>
                <w:sz w:val="22"/>
                <w:szCs w:val="22"/>
              </w:rPr>
              <w:t>Worcester</w:t>
            </w:r>
          </w:p>
        </w:tc>
        <w:tc>
          <w:tcPr>
            <w:tcW w:w="1383" w:type="dxa"/>
            <w:tcBorders>
              <w:left w:val="single" w:sz="4" w:space="0" w:color="auto"/>
              <w:right w:val="single" w:sz="4" w:space="0" w:color="auto"/>
            </w:tcBorders>
            <w:shd w:val="clear" w:color="auto" w:fill="auto"/>
          </w:tcPr>
          <w:p w14:paraId="36796C26" w14:textId="77777777" w:rsidR="0076056B" w:rsidRPr="00480A2C" w:rsidRDefault="0076056B" w:rsidP="00D819AE">
            <w:pPr>
              <w:pStyle w:val="TableText"/>
              <w:rPr>
                <w:sz w:val="22"/>
                <w:szCs w:val="22"/>
              </w:rPr>
            </w:pPr>
            <w:r w:rsidRPr="00480A2C">
              <w:rPr>
                <w:sz w:val="22"/>
                <w:szCs w:val="22"/>
              </w:rPr>
              <w:t>$117.97</w:t>
            </w:r>
          </w:p>
        </w:tc>
        <w:tc>
          <w:tcPr>
            <w:tcW w:w="1383" w:type="dxa"/>
            <w:tcBorders>
              <w:left w:val="single" w:sz="4" w:space="0" w:color="auto"/>
              <w:right w:val="single" w:sz="4" w:space="0" w:color="auto"/>
            </w:tcBorders>
            <w:shd w:val="clear" w:color="auto" w:fill="auto"/>
          </w:tcPr>
          <w:p w14:paraId="6B36CDEF" w14:textId="77777777" w:rsidR="0076056B" w:rsidRPr="00480A2C" w:rsidRDefault="0076056B" w:rsidP="00D819AE">
            <w:pPr>
              <w:pStyle w:val="TableText"/>
              <w:rPr>
                <w:sz w:val="22"/>
                <w:szCs w:val="22"/>
              </w:rPr>
            </w:pPr>
            <w:r w:rsidRPr="00480A2C">
              <w:rPr>
                <w:sz w:val="22"/>
                <w:szCs w:val="22"/>
              </w:rPr>
              <w:t>$372.05</w:t>
            </w:r>
          </w:p>
        </w:tc>
        <w:tc>
          <w:tcPr>
            <w:tcW w:w="1382" w:type="dxa"/>
            <w:tcBorders>
              <w:left w:val="single" w:sz="4" w:space="0" w:color="auto"/>
              <w:right w:val="single" w:sz="4" w:space="0" w:color="auto"/>
            </w:tcBorders>
          </w:tcPr>
          <w:p w14:paraId="30874BC0" w14:textId="77777777" w:rsidR="0076056B" w:rsidRPr="00480A2C" w:rsidRDefault="0076056B" w:rsidP="00D819AE">
            <w:pPr>
              <w:pStyle w:val="TableText"/>
              <w:rPr>
                <w:sz w:val="22"/>
                <w:szCs w:val="22"/>
              </w:rPr>
            </w:pPr>
            <w:r w:rsidRPr="00480A2C">
              <w:rPr>
                <w:sz w:val="22"/>
                <w:szCs w:val="22"/>
              </w:rPr>
              <w:t>$564.57</w:t>
            </w:r>
          </w:p>
        </w:tc>
        <w:tc>
          <w:tcPr>
            <w:tcW w:w="1383" w:type="dxa"/>
            <w:tcBorders>
              <w:left w:val="single" w:sz="4" w:space="0" w:color="auto"/>
              <w:right w:val="single" w:sz="4" w:space="0" w:color="auto"/>
            </w:tcBorders>
          </w:tcPr>
          <w:p w14:paraId="5171DD64" w14:textId="77777777" w:rsidR="0076056B" w:rsidRPr="00480A2C" w:rsidRDefault="0076056B" w:rsidP="00D819AE">
            <w:pPr>
              <w:pStyle w:val="TableText"/>
              <w:rPr>
                <w:sz w:val="22"/>
                <w:szCs w:val="22"/>
              </w:rPr>
            </w:pPr>
            <w:r w:rsidRPr="00480A2C">
              <w:rPr>
                <w:sz w:val="22"/>
                <w:szCs w:val="22"/>
              </w:rPr>
              <w:t>$3,042.13</w:t>
            </w:r>
          </w:p>
        </w:tc>
        <w:tc>
          <w:tcPr>
            <w:tcW w:w="1383" w:type="dxa"/>
            <w:tcBorders>
              <w:left w:val="single" w:sz="4" w:space="0" w:color="auto"/>
              <w:right w:val="single" w:sz="4" w:space="0" w:color="auto"/>
            </w:tcBorders>
          </w:tcPr>
          <w:p w14:paraId="18471A99" w14:textId="77777777" w:rsidR="0076056B" w:rsidRPr="00480A2C" w:rsidRDefault="0076056B" w:rsidP="00D819AE">
            <w:pPr>
              <w:pStyle w:val="TableText"/>
              <w:rPr>
                <w:sz w:val="22"/>
                <w:szCs w:val="22"/>
              </w:rPr>
            </w:pPr>
            <w:r w:rsidRPr="00480A2C">
              <w:rPr>
                <w:sz w:val="22"/>
                <w:szCs w:val="22"/>
              </w:rPr>
              <w:t>$5,230.77</w:t>
            </w:r>
          </w:p>
        </w:tc>
        <w:tc>
          <w:tcPr>
            <w:tcW w:w="1387" w:type="dxa"/>
            <w:tcBorders>
              <w:left w:val="single" w:sz="4" w:space="0" w:color="auto"/>
              <w:right w:val="single" w:sz="4" w:space="0" w:color="auto"/>
            </w:tcBorders>
          </w:tcPr>
          <w:p w14:paraId="7AD42E2E" w14:textId="77777777" w:rsidR="0076056B" w:rsidRPr="00480A2C" w:rsidRDefault="0076056B" w:rsidP="00D819AE">
            <w:pPr>
              <w:pStyle w:val="TableText"/>
              <w:rPr>
                <w:sz w:val="22"/>
                <w:szCs w:val="22"/>
              </w:rPr>
            </w:pPr>
            <w:r w:rsidRPr="00480A2C">
              <w:rPr>
                <w:sz w:val="22"/>
                <w:szCs w:val="22"/>
              </w:rPr>
              <w:t>$8,416.49</w:t>
            </w:r>
          </w:p>
        </w:tc>
      </w:tr>
    </w:tbl>
    <w:p w14:paraId="4B2C5312" w14:textId="77777777" w:rsidR="0076056B" w:rsidRPr="00480A2C" w:rsidRDefault="0076056B" w:rsidP="0076056B"/>
    <w:p w14:paraId="51C0EAB2" w14:textId="77777777" w:rsidR="0076056B" w:rsidRPr="00480A2C" w:rsidRDefault="0076056B" w:rsidP="0076056B">
      <w:pPr>
        <w:pStyle w:val="Default"/>
        <w:rPr>
          <w:sz w:val="22"/>
          <w:szCs w:val="22"/>
        </w:rPr>
      </w:pPr>
      <w:r w:rsidRPr="00480A2C">
        <w:rPr>
          <w:b/>
          <w:bCs/>
          <w:i/>
          <w:iCs/>
          <w:sz w:val="22"/>
          <w:szCs w:val="22"/>
        </w:rPr>
        <w:t xml:space="preserve">Rate Enhancements: </w:t>
      </w:r>
    </w:p>
    <w:p w14:paraId="34EB4103" w14:textId="48063F07" w:rsidR="00C479F4" w:rsidRDefault="00C479F4" w:rsidP="00C479F4">
      <w:pPr>
        <w:rPr>
          <w:rFonts w:asciiTheme="minorHAnsi" w:hAnsiTheme="minorHAnsi"/>
        </w:rPr>
      </w:pPr>
      <w:r w:rsidRPr="00B3163D">
        <w:rPr>
          <w:rFonts w:asciiTheme="minorHAnsi" w:hAnsiTheme="minorHAnsi"/>
        </w:rPr>
        <w:t xml:space="preserve">CMS and MassHealth identified </w:t>
      </w:r>
      <w:r>
        <w:rPr>
          <w:rFonts w:asciiTheme="minorHAnsi" w:hAnsiTheme="minorHAnsi"/>
        </w:rPr>
        <w:t xml:space="preserve">additional costs in </w:t>
      </w:r>
      <w:r w:rsidR="00627164">
        <w:rPr>
          <w:rFonts w:asciiTheme="minorHAnsi" w:hAnsiTheme="minorHAnsi"/>
        </w:rPr>
        <w:t>fee-for-service (</w:t>
      </w:r>
      <w:r>
        <w:rPr>
          <w:rFonts w:asciiTheme="minorHAnsi" w:hAnsiTheme="minorHAnsi"/>
        </w:rPr>
        <w:t>FFS</w:t>
      </w:r>
      <w:r w:rsidR="00627164">
        <w:rPr>
          <w:rFonts w:asciiTheme="minorHAnsi" w:hAnsiTheme="minorHAnsi"/>
        </w:rPr>
        <w:t>)</w:t>
      </w:r>
      <w:r>
        <w:rPr>
          <w:rFonts w:asciiTheme="minorHAnsi" w:hAnsiTheme="minorHAnsi"/>
        </w:rPr>
        <w:t xml:space="preserve"> to consider in the development of</w:t>
      </w:r>
      <w:r w:rsidR="00890FA3">
        <w:rPr>
          <w:rFonts w:asciiTheme="minorHAnsi" w:hAnsiTheme="minorHAnsi"/>
        </w:rPr>
        <w:t xml:space="preserve"> </w:t>
      </w:r>
      <w:r>
        <w:rPr>
          <w:rFonts w:asciiTheme="minorHAnsi" w:hAnsiTheme="minorHAnsi"/>
        </w:rPr>
        <w:t xml:space="preserve">the MassHealth component of the </w:t>
      </w:r>
      <w:r w:rsidRPr="00B3163D">
        <w:rPr>
          <w:rFonts w:asciiTheme="minorHAnsi" w:hAnsiTheme="minorHAnsi"/>
        </w:rPr>
        <w:t>capitation rates</w:t>
      </w:r>
      <w:r>
        <w:rPr>
          <w:rFonts w:asciiTheme="minorHAnsi" w:hAnsiTheme="minorHAnsi"/>
        </w:rPr>
        <w:t>, including: updated MassHealth administrative costs in FFS; Elder Affairs Home Care program; Health Safety Net (HSN) dental wrap services</w:t>
      </w:r>
      <w:r w:rsidR="00627164">
        <w:rPr>
          <w:rFonts w:asciiTheme="minorHAnsi" w:hAnsiTheme="minorHAnsi"/>
        </w:rPr>
        <w:t>; certain behavioral health services</w:t>
      </w:r>
      <w:r>
        <w:rPr>
          <w:rFonts w:asciiTheme="minorHAnsi" w:hAnsiTheme="minorHAnsi"/>
        </w:rPr>
        <w:t>; and behavioral health services and substance use disorder treatment and complex care management</w:t>
      </w:r>
      <w:r w:rsidR="00627164">
        <w:rPr>
          <w:rFonts w:asciiTheme="minorHAnsi" w:hAnsiTheme="minorHAnsi"/>
        </w:rPr>
        <w:t xml:space="preserve"> available in One Care</w:t>
      </w:r>
      <w:r>
        <w:rPr>
          <w:rFonts w:asciiTheme="minorHAnsi" w:hAnsiTheme="minorHAnsi"/>
        </w:rPr>
        <w:t xml:space="preserve">. </w:t>
      </w:r>
    </w:p>
    <w:p w14:paraId="4029D95F" w14:textId="77777777" w:rsidR="00C479F4" w:rsidRDefault="00C479F4" w:rsidP="00C479F4">
      <w:pPr>
        <w:rPr>
          <w:rFonts w:asciiTheme="minorHAnsi" w:hAnsiTheme="minorHAnsi"/>
        </w:rPr>
      </w:pPr>
    </w:p>
    <w:p w14:paraId="243A84E8" w14:textId="32ACCFE7" w:rsidR="00C479F4" w:rsidRPr="00480A2C" w:rsidRDefault="00C479F4" w:rsidP="00C479F4">
      <w:r w:rsidRPr="00B3163D">
        <w:rPr>
          <w:rFonts w:asciiTheme="minorHAnsi" w:hAnsiTheme="minorHAnsi"/>
        </w:rPr>
        <w:t>These adjustments were available to One Care plans following execution of contract amendments</w:t>
      </w:r>
      <w:r w:rsidR="001E2366">
        <w:rPr>
          <w:rFonts w:asciiTheme="minorHAnsi" w:hAnsiTheme="minorHAnsi"/>
        </w:rPr>
        <w:t xml:space="preserve"> in December 2015</w:t>
      </w:r>
      <w:r w:rsidRPr="00B3163D">
        <w:rPr>
          <w:rFonts w:asciiTheme="minorHAnsi" w:hAnsiTheme="minorHAnsi"/>
        </w:rPr>
        <w:t xml:space="preserve"> and are conditional upon continued participation in the demonstration through </w:t>
      </w:r>
      <w:r w:rsidR="00956F7C">
        <w:rPr>
          <w:rFonts w:asciiTheme="minorHAnsi" w:hAnsiTheme="minorHAnsi"/>
        </w:rPr>
        <w:t xml:space="preserve">December 31, </w:t>
      </w:r>
      <w:r w:rsidRPr="00B3163D">
        <w:rPr>
          <w:rFonts w:asciiTheme="minorHAnsi" w:hAnsiTheme="minorHAnsi"/>
        </w:rPr>
        <w:t xml:space="preserve">2016. </w:t>
      </w:r>
      <w:r>
        <w:rPr>
          <w:rFonts w:asciiTheme="minorHAnsi" w:hAnsiTheme="minorHAnsi"/>
        </w:rPr>
        <w:t xml:space="preserve">The </w:t>
      </w:r>
      <w:r w:rsidRPr="00B3163D">
        <w:rPr>
          <w:rFonts w:asciiTheme="minorHAnsi" w:hAnsiTheme="minorHAnsi"/>
        </w:rPr>
        <w:t>impact on the rates, by region and rating category</w:t>
      </w:r>
      <w:r>
        <w:rPr>
          <w:rFonts w:asciiTheme="minorHAnsi" w:hAnsiTheme="minorHAnsi"/>
        </w:rPr>
        <w:t xml:space="preserve"> were as follows:</w:t>
      </w:r>
    </w:p>
    <w:p w14:paraId="0A8DE38C" w14:textId="162692C4" w:rsidR="0076056B" w:rsidRPr="00B3163D" w:rsidRDefault="0076056B" w:rsidP="00552616">
      <w:pPr>
        <w:rPr>
          <w:rFonts w:asciiTheme="minorHAnsi" w:hAnsiTheme="minorHAnsi"/>
        </w:rPr>
      </w:pPr>
    </w:p>
    <w:p w14:paraId="0CE0356B" w14:textId="77777777" w:rsidR="0076056B" w:rsidRPr="00480A2C" w:rsidRDefault="0076056B" w:rsidP="0076056B"/>
    <w:tbl>
      <w:tblPr>
        <w:tblW w:w="5000" w:type="pct"/>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795"/>
        <w:gridCol w:w="1226"/>
        <w:gridCol w:w="1225"/>
        <w:gridCol w:w="1225"/>
        <w:gridCol w:w="1225"/>
        <w:gridCol w:w="1225"/>
        <w:gridCol w:w="1223"/>
      </w:tblGrid>
      <w:tr w:rsidR="0076056B" w:rsidRPr="00480A2C" w14:paraId="0B7CABD9" w14:textId="77777777" w:rsidTr="00D819AE">
        <w:trPr>
          <w:cantSplit/>
          <w:tblHeader/>
        </w:trPr>
        <w:tc>
          <w:tcPr>
            <w:tcW w:w="981" w:type="pct"/>
            <w:tcBorders>
              <w:top w:val="single" w:sz="8" w:space="0" w:color="auto"/>
              <w:bottom w:val="single" w:sz="8" w:space="0" w:color="auto"/>
            </w:tcBorders>
            <w:shd w:val="clear" w:color="auto" w:fill="C0C0C0"/>
            <w:vAlign w:val="bottom"/>
          </w:tcPr>
          <w:p w14:paraId="005F1FF2" w14:textId="77777777" w:rsidR="0076056B" w:rsidRPr="00480A2C" w:rsidRDefault="0076056B" w:rsidP="00D819AE">
            <w:pPr>
              <w:pStyle w:val="TableHeadingText"/>
              <w:rPr>
                <w:sz w:val="22"/>
                <w:szCs w:val="22"/>
              </w:rPr>
            </w:pPr>
            <w:r w:rsidRPr="00480A2C">
              <w:rPr>
                <w:sz w:val="22"/>
                <w:szCs w:val="22"/>
              </w:rPr>
              <w:t>Region</w:t>
            </w:r>
          </w:p>
        </w:tc>
        <w:tc>
          <w:tcPr>
            <w:tcW w:w="670" w:type="pct"/>
            <w:tcBorders>
              <w:top w:val="single" w:sz="8" w:space="0" w:color="auto"/>
              <w:bottom w:val="single" w:sz="8" w:space="0" w:color="auto"/>
            </w:tcBorders>
            <w:shd w:val="clear" w:color="auto" w:fill="C0C0C0"/>
            <w:vAlign w:val="bottom"/>
          </w:tcPr>
          <w:p w14:paraId="5C592F39" w14:textId="77777777" w:rsidR="0076056B" w:rsidRPr="00480A2C" w:rsidRDefault="0076056B" w:rsidP="00D819AE">
            <w:pPr>
              <w:pStyle w:val="TableHeadingText"/>
              <w:rPr>
                <w:sz w:val="22"/>
                <w:szCs w:val="22"/>
              </w:rPr>
            </w:pPr>
            <w:r w:rsidRPr="00480A2C">
              <w:rPr>
                <w:sz w:val="22"/>
                <w:szCs w:val="22"/>
              </w:rPr>
              <w:t>C1</w:t>
            </w:r>
          </w:p>
        </w:tc>
        <w:tc>
          <w:tcPr>
            <w:tcW w:w="670" w:type="pct"/>
            <w:tcBorders>
              <w:top w:val="single" w:sz="8" w:space="0" w:color="auto"/>
              <w:bottom w:val="single" w:sz="8" w:space="0" w:color="auto"/>
            </w:tcBorders>
            <w:shd w:val="clear" w:color="auto" w:fill="C0C0C0"/>
            <w:vAlign w:val="bottom"/>
          </w:tcPr>
          <w:p w14:paraId="64759345" w14:textId="77777777" w:rsidR="0076056B" w:rsidRPr="00480A2C" w:rsidRDefault="0076056B" w:rsidP="00D819AE">
            <w:pPr>
              <w:pStyle w:val="TableHeadingText"/>
              <w:rPr>
                <w:sz w:val="22"/>
                <w:szCs w:val="22"/>
              </w:rPr>
            </w:pPr>
            <w:r w:rsidRPr="00480A2C">
              <w:rPr>
                <w:sz w:val="22"/>
                <w:szCs w:val="22"/>
              </w:rPr>
              <w:t>C2A</w:t>
            </w:r>
          </w:p>
        </w:tc>
        <w:tc>
          <w:tcPr>
            <w:tcW w:w="670" w:type="pct"/>
            <w:tcBorders>
              <w:top w:val="single" w:sz="8" w:space="0" w:color="auto"/>
              <w:bottom w:val="single" w:sz="8" w:space="0" w:color="auto"/>
            </w:tcBorders>
            <w:shd w:val="clear" w:color="auto" w:fill="C0C0C0"/>
          </w:tcPr>
          <w:p w14:paraId="0D9FA612" w14:textId="77777777" w:rsidR="0076056B" w:rsidRPr="00480A2C" w:rsidRDefault="0076056B" w:rsidP="00D819AE">
            <w:pPr>
              <w:pStyle w:val="TableHeadingText"/>
              <w:rPr>
                <w:sz w:val="22"/>
                <w:szCs w:val="22"/>
              </w:rPr>
            </w:pPr>
            <w:r w:rsidRPr="00480A2C">
              <w:rPr>
                <w:sz w:val="22"/>
                <w:szCs w:val="22"/>
              </w:rPr>
              <w:t>C2B</w:t>
            </w:r>
          </w:p>
        </w:tc>
        <w:tc>
          <w:tcPr>
            <w:tcW w:w="670" w:type="pct"/>
            <w:tcBorders>
              <w:top w:val="single" w:sz="8" w:space="0" w:color="auto"/>
              <w:bottom w:val="single" w:sz="8" w:space="0" w:color="auto"/>
            </w:tcBorders>
            <w:shd w:val="clear" w:color="auto" w:fill="C0C0C0"/>
            <w:vAlign w:val="bottom"/>
          </w:tcPr>
          <w:p w14:paraId="40B2B883" w14:textId="77777777" w:rsidR="0076056B" w:rsidRPr="00480A2C" w:rsidRDefault="0076056B" w:rsidP="00D819AE">
            <w:pPr>
              <w:pStyle w:val="TableHeadingText"/>
              <w:rPr>
                <w:sz w:val="22"/>
                <w:szCs w:val="22"/>
              </w:rPr>
            </w:pPr>
            <w:r w:rsidRPr="00480A2C">
              <w:rPr>
                <w:sz w:val="22"/>
                <w:szCs w:val="22"/>
              </w:rPr>
              <w:t>C3A</w:t>
            </w:r>
          </w:p>
        </w:tc>
        <w:tc>
          <w:tcPr>
            <w:tcW w:w="670" w:type="pct"/>
            <w:tcBorders>
              <w:top w:val="single" w:sz="8" w:space="0" w:color="auto"/>
              <w:bottom w:val="single" w:sz="8" w:space="0" w:color="auto"/>
            </w:tcBorders>
            <w:shd w:val="clear" w:color="auto" w:fill="C0C0C0"/>
          </w:tcPr>
          <w:p w14:paraId="235D475E" w14:textId="77777777" w:rsidR="0076056B" w:rsidRPr="00480A2C" w:rsidRDefault="0076056B" w:rsidP="00D819AE">
            <w:pPr>
              <w:pStyle w:val="TableHeadingText"/>
              <w:rPr>
                <w:sz w:val="22"/>
                <w:szCs w:val="22"/>
              </w:rPr>
            </w:pPr>
            <w:r w:rsidRPr="00480A2C">
              <w:rPr>
                <w:sz w:val="22"/>
                <w:szCs w:val="22"/>
              </w:rPr>
              <w:t>C3B</w:t>
            </w:r>
          </w:p>
        </w:tc>
        <w:tc>
          <w:tcPr>
            <w:tcW w:w="670" w:type="pct"/>
            <w:tcBorders>
              <w:top w:val="single" w:sz="8" w:space="0" w:color="auto"/>
              <w:bottom w:val="single" w:sz="8" w:space="0" w:color="auto"/>
            </w:tcBorders>
            <w:shd w:val="clear" w:color="auto" w:fill="C0C0C0"/>
            <w:vAlign w:val="bottom"/>
          </w:tcPr>
          <w:p w14:paraId="4C87A974" w14:textId="77777777" w:rsidR="0076056B" w:rsidRPr="00480A2C" w:rsidRDefault="0076056B" w:rsidP="00D819AE">
            <w:pPr>
              <w:pStyle w:val="TableHeadingText"/>
              <w:rPr>
                <w:sz w:val="22"/>
                <w:szCs w:val="22"/>
              </w:rPr>
            </w:pPr>
            <w:r w:rsidRPr="00480A2C">
              <w:rPr>
                <w:sz w:val="22"/>
                <w:szCs w:val="22"/>
              </w:rPr>
              <w:t>F1</w:t>
            </w:r>
          </w:p>
        </w:tc>
      </w:tr>
      <w:tr w:rsidR="0076056B" w:rsidRPr="00480A2C" w14:paraId="7820F309" w14:textId="77777777" w:rsidTr="00D819AE">
        <w:trPr>
          <w:cantSplit/>
        </w:trPr>
        <w:tc>
          <w:tcPr>
            <w:tcW w:w="981" w:type="pct"/>
            <w:tcBorders>
              <w:top w:val="single" w:sz="8" w:space="0" w:color="auto"/>
            </w:tcBorders>
            <w:shd w:val="clear" w:color="auto" w:fill="auto"/>
          </w:tcPr>
          <w:p w14:paraId="48D95C1A" w14:textId="77777777" w:rsidR="0076056B" w:rsidRPr="00480A2C" w:rsidRDefault="0076056B" w:rsidP="00D819AE">
            <w:pPr>
              <w:pStyle w:val="TableText"/>
              <w:rPr>
                <w:sz w:val="22"/>
                <w:szCs w:val="22"/>
              </w:rPr>
            </w:pPr>
            <w:r w:rsidRPr="00480A2C">
              <w:rPr>
                <w:sz w:val="22"/>
                <w:szCs w:val="22"/>
              </w:rPr>
              <w:t>Eastern</w:t>
            </w:r>
          </w:p>
        </w:tc>
        <w:tc>
          <w:tcPr>
            <w:tcW w:w="670" w:type="pct"/>
            <w:tcBorders>
              <w:top w:val="single" w:sz="8" w:space="0" w:color="auto"/>
            </w:tcBorders>
            <w:shd w:val="clear" w:color="auto" w:fill="auto"/>
          </w:tcPr>
          <w:p w14:paraId="55AF3B18" w14:textId="77777777" w:rsidR="0076056B" w:rsidRPr="00480A2C" w:rsidRDefault="0076056B" w:rsidP="00D819AE">
            <w:pPr>
              <w:pStyle w:val="TableText"/>
              <w:rPr>
                <w:sz w:val="22"/>
                <w:szCs w:val="22"/>
              </w:rPr>
            </w:pPr>
            <w:r w:rsidRPr="00480A2C">
              <w:rPr>
                <w:sz w:val="22"/>
                <w:szCs w:val="22"/>
              </w:rPr>
              <w:t>8.6%</w:t>
            </w:r>
          </w:p>
        </w:tc>
        <w:tc>
          <w:tcPr>
            <w:tcW w:w="670" w:type="pct"/>
            <w:tcBorders>
              <w:top w:val="single" w:sz="8" w:space="0" w:color="auto"/>
            </w:tcBorders>
            <w:shd w:val="clear" w:color="auto" w:fill="auto"/>
          </w:tcPr>
          <w:p w14:paraId="3E7AE5E7" w14:textId="77777777" w:rsidR="0076056B" w:rsidRPr="00480A2C" w:rsidRDefault="0076056B" w:rsidP="00D819AE">
            <w:pPr>
              <w:pStyle w:val="TableText"/>
              <w:rPr>
                <w:sz w:val="22"/>
                <w:szCs w:val="22"/>
              </w:rPr>
            </w:pPr>
            <w:r w:rsidRPr="00480A2C">
              <w:rPr>
                <w:sz w:val="22"/>
                <w:szCs w:val="22"/>
              </w:rPr>
              <w:t>12.1%</w:t>
            </w:r>
          </w:p>
        </w:tc>
        <w:tc>
          <w:tcPr>
            <w:tcW w:w="670" w:type="pct"/>
            <w:tcBorders>
              <w:top w:val="single" w:sz="8" w:space="0" w:color="auto"/>
            </w:tcBorders>
          </w:tcPr>
          <w:p w14:paraId="0BD2B520" w14:textId="77777777" w:rsidR="0076056B" w:rsidRPr="00480A2C" w:rsidRDefault="0076056B" w:rsidP="00D819AE">
            <w:pPr>
              <w:pStyle w:val="TableText"/>
              <w:rPr>
                <w:sz w:val="22"/>
                <w:szCs w:val="22"/>
              </w:rPr>
            </w:pPr>
            <w:r w:rsidRPr="00480A2C">
              <w:rPr>
                <w:sz w:val="22"/>
                <w:szCs w:val="22"/>
              </w:rPr>
              <w:t>13.5%</w:t>
            </w:r>
          </w:p>
        </w:tc>
        <w:tc>
          <w:tcPr>
            <w:tcW w:w="670" w:type="pct"/>
            <w:tcBorders>
              <w:top w:val="single" w:sz="8" w:space="0" w:color="auto"/>
            </w:tcBorders>
            <w:shd w:val="clear" w:color="auto" w:fill="auto"/>
          </w:tcPr>
          <w:p w14:paraId="2D7B36D0" w14:textId="77777777" w:rsidR="0076056B" w:rsidRPr="00480A2C" w:rsidRDefault="0076056B" w:rsidP="00D819AE">
            <w:pPr>
              <w:pStyle w:val="TableText"/>
              <w:rPr>
                <w:sz w:val="22"/>
                <w:szCs w:val="22"/>
              </w:rPr>
            </w:pPr>
            <w:r w:rsidRPr="00480A2C">
              <w:rPr>
                <w:sz w:val="22"/>
                <w:szCs w:val="22"/>
              </w:rPr>
              <w:t>2.4%</w:t>
            </w:r>
          </w:p>
        </w:tc>
        <w:tc>
          <w:tcPr>
            <w:tcW w:w="670" w:type="pct"/>
            <w:tcBorders>
              <w:top w:val="single" w:sz="8" w:space="0" w:color="auto"/>
            </w:tcBorders>
          </w:tcPr>
          <w:p w14:paraId="6AF28727" w14:textId="77777777" w:rsidR="0076056B" w:rsidRPr="00480A2C" w:rsidRDefault="0076056B" w:rsidP="00D819AE">
            <w:pPr>
              <w:pStyle w:val="TableText"/>
              <w:rPr>
                <w:sz w:val="22"/>
                <w:szCs w:val="22"/>
              </w:rPr>
            </w:pPr>
            <w:r w:rsidRPr="00480A2C">
              <w:rPr>
                <w:sz w:val="22"/>
                <w:szCs w:val="22"/>
              </w:rPr>
              <w:t>4.3%</w:t>
            </w:r>
          </w:p>
        </w:tc>
        <w:tc>
          <w:tcPr>
            <w:tcW w:w="670" w:type="pct"/>
            <w:tcBorders>
              <w:top w:val="single" w:sz="8" w:space="0" w:color="auto"/>
            </w:tcBorders>
            <w:shd w:val="clear" w:color="auto" w:fill="auto"/>
          </w:tcPr>
          <w:p w14:paraId="7537C8D8" w14:textId="77777777" w:rsidR="0076056B" w:rsidRPr="00480A2C" w:rsidRDefault="0076056B" w:rsidP="00D819AE">
            <w:pPr>
              <w:pStyle w:val="TableText"/>
              <w:rPr>
                <w:sz w:val="22"/>
                <w:szCs w:val="22"/>
              </w:rPr>
            </w:pPr>
            <w:r w:rsidRPr="00480A2C">
              <w:rPr>
                <w:sz w:val="22"/>
                <w:szCs w:val="22"/>
              </w:rPr>
              <w:t>7.6%</w:t>
            </w:r>
          </w:p>
        </w:tc>
      </w:tr>
      <w:tr w:rsidR="0076056B" w:rsidRPr="00480A2C" w14:paraId="31DE084C" w14:textId="77777777" w:rsidTr="00D819AE">
        <w:trPr>
          <w:cantSplit/>
        </w:trPr>
        <w:tc>
          <w:tcPr>
            <w:tcW w:w="981" w:type="pct"/>
            <w:shd w:val="clear" w:color="auto" w:fill="auto"/>
          </w:tcPr>
          <w:p w14:paraId="2318A81E" w14:textId="77777777" w:rsidR="0076056B" w:rsidRPr="00480A2C" w:rsidRDefault="0076056B" w:rsidP="00D819AE">
            <w:pPr>
              <w:pStyle w:val="TableText"/>
              <w:rPr>
                <w:sz w:val="22"/>
                <w:szCs w:val="22"/>
              </w:rPr>
            </w:pPr>
            <w:r w:rsidRPr="00480A2C">
              <w:rPr>
                <w:sz w:val="22"/>
                <w:szCs w:val="22"/>
              </w:rPr>
              <w:t>Western</w:t>
            </w:r>
          </w:p>
        </w:tc>
        <w:tc>
          <w:tcPr>
            <w:tcW w:w="670" w:type="pct"/>
            <w:shd w:val="clear" w:color="auto" w:fill="auto"/>
          </w:tcPr>
          <w:p w14:paraId="03F64684" w14:textId="77777777" w:rsidR="0076056B" w:rsidRPr="00480A2C" w:rsidRDefault="0076056B" w:rsidP="00D819AE">
            <w:pPr>
              <w:pStyle w:val="TableText"/>
              <w:rPr>
                <w:sz w:val="22"/>
                <w:szCs w:val="22"/>
              </w:rPr>
            </w:pPr>
            <w:r w:rsidRPr="00480A2C">
              <w:rPr>
                <w:sz w:val="22"/>
                <w:szCs w:val="22"/>
              </w:rPr>
              <w:t>8.1%</w:t>
            </w:r>
          </w:p>
        </w:tc>
        <w:tc>
          <w:tcPr>
            <w:tcW w:w="670" w:type="pct"/>
            <w:shd w:val="clear" w:color="auto" w:fill="auto"/>
          </w:tcPr>
          <w:p w14:paraId="19FBF199" w14:textId="77777777" w:rsidR="0076056B" w:rsidRPr="00480A2C" w:rsidRDefault="0076056B" w:rsidP="00D819AE">
            <w:pPr>
              <w:pStyle w:val="TableText"/>
              <w:rPr>
                <w:sz w:val="22"/>
                <w:szCs w:val="22"/>
              </w:rPr>
            </w:pPr>
            <w:r w:rsidRPr="00480A2C">
              <w:rPr>
                <w:sz w:val="22"/>
                <w:szCs w:val="22"/>
              </w:rPr>
              <w:t>11.8%</w:t>
            </w:r>
          </w:p>
        </w:tc>
        <w:tc>
          <w:tcPr>
            <w:tcW w:w="670" w:type="pct"/>
          </w:tcPr>
          <w:p w14:paraId="71704489" w14:textId="77777777" w:rsidR="0076056B" w:rsidRPr="00480A2C" w:rsidRDefault="0076056B" w:rsidP="00D819AE">
            <w:pPr>
              <w:pStyle w:val="TableText"/>
              <w:rPr>
                <w:sz w:val="22"/>
                <w:szCs w:val="22"/>
              </w:rPr>
            </w:pPr>
            <w:r w:rsidRPr="00480A2C">
              <w:rPr>
                <w:sz w:val="22"/>
                <w:szCs w:val="22"/>
              </w:rPr>
              <w:t>13.3%</w:t>
            </w:r>
          </w:p>
        </w:tc>
        <w:tc>
          <w:tcPr>
            <w:tcW w:w="670" w:type="pct"/>
            <w:shd w:val="clear" w:color="auto" w:fill="auto"/>
          </w:tcPr>
          <w:p w14:paraId="7B022052" w14:textId="77777777" w:rsidR="0076056B" w:rsidRPr="00480A2C" w:rsidRDefault="0076056B" w:rsidP="00D819AE">
            <w:pPr>
              <w:pStyle w:val="TableText"/>
              <w:rPr>
                <w:sz w:val="22"/>
                <w:szCs w:val="22"/>
              </w:rPr>
            </w:pPr>
            <w:r w:rsidRPr="00480A2C">
              <w:rPr>
                <w:sz w:val="22"/>
                <w:szCs w:val="22"/>
              </w:rPr>
              <w:t>15.8%</w:t>
            </w:r>
          </w:p>
        </w:tc>
        <w:tc>
          <w:tcPr>
            <w:tcW w:w="670" w:type="pct"/>
          </w:tcPr>
          <w:p w14:paraId="1B9EE101" w14:textId="77777777" w:rsidR="0076056B" w:rsidRPr="00480A2C" w:rsidRDefault="0076056B" w:rsidP="00D819AE">
            <w:pPr>
              <w:pStyle w:val="TableText"/>
              <w:rPr>
                <w:sz w:val="22"/>
                <w:szCs w:val="22"/>
              </w:rPr>
            </w:pPr>
            <w:r w:rsidRPr="00480A2C">
              <w:rPr>
                <w:sz w:val="22"/>
                <w:szCs w:val="22"/>
              </w:rPr>
              <w:t>4.7%</w:t>
            </w:r>
          </w:p>
        </w:tc>
        <w:tc>
          <w:tcPr>
            <w:tcW w:w="670" w:type="pct"/>
            <w:shd w:val="clear" w:color="auto" w:fill="auto"/>
          </w:tcPr>
          <w:p w14:paraId="392A968A" w14:textId="77777777" w:rsidR="0076056B" w:rsidRPr="00480A2C" w:rsidRDefault="0076056B" w:rsidP="00D819AE">
            <w:pPr>
              <w:pStyle w:val="TableText"/>
              <w:rPr>
                <w:sz w:val="22"/>
                <w:szCs w:val="22"/>
              </w:rPr>
            </w:pPr>
            <w:r w:rsidRPr="00480A2C">
              <w:rPr>
                <w:sz w:val="22"/>
                <w:szCs w:val="22"/>
              </w:rPr>
              <w:t>9.5%</w:t>
            </w:r>
          </w:p>
        </w:tc>
      </w:tr>
      <w:tr w:rsidR="0076056B" w:rsidRPr="00480A2C" w14:paraId="4D8771C1" w14:textId="77777777" w:rsidTr="00D819AE">
        <w:trPr>
          <w:cantSplit/>
        </w:trPr>
        <w:tc>
          <w:tcPr>
            <w:tcW w:w="981" w:type="pct"/>
            <w:shd w:val="clear" w:color="auto" w:fill="auto"/>
          </w:tcPr>
          <w:p w14:paraId="2DF10F1F" w14:textId="77777777" w:rsidR="0076056B" w:rsidRPr="00480A2C" w:rsidRDefault="0076056B" w:rsidP="00D819AE">
            <w:pPr>
              <w:pStyle w:val="TableText"/>
              <w:rPr>
                <w:sz w:val="22"/>
                <w:szCs w:val="22"/>
              </w:rPr>
            </w:pPr>
            <w:r w:rsidRPr="00480A2C">
              <w:rPr>
                <w:sz w:val="22"/>
                <w:szCs w:val="22"/>
              </w:rPr>
              <w:t>The Cape</w:t>
            </w:r>
          </w:p>
        </w:tc>
        <w:tc>
          <w:tcPr>
            <w:tcW w:w="670" w:type="pct"/>
            <w:shd w:val="clear" w:color="auto" w:fill="auto"/>
          </w:tcPr>
          <w:p w14:paraId="13DDE4FE" w14:textId="77777777" w:rsidR="0076056B" w:rsidRPr="00480A2C" w:rsidRDefault="0076056B" w:rsidP="00D819AE">
            <w:pPr>
              <w:pStyle w:val="TableText"/>
              <w:rPr>
                <w:sz w:val="22"/>
                <w:szCs w:val="22"/>
              </w:rPr>
            </w:pPr>
            <w:r w:rsidRPr="00480A2C">
              <w:rPr>
                <w:sz w:val="22"/>
                <w:szCs w:val="22"/>
              </w:rPr>
              <w:t>11.7%</w:t>
            </w:r>
          </w:p>
        </w:tc>
        <w:tc>
          <w:tcPr>
            <w:tcW w:w="670" w:type="pct"/>
            <w:shd w:val="clear" w:color="auto" w:fill="auto"/>
          </w:tcPr>
          <w:p w14:paraId="42A697C0" w14:textId="77777777" w:rsidR="0076056B" w:rsidRPr="00480A2C" w:rsidRDefault="0076056B" w:rsidP="00D819AE">
            <w:pPr>
              <w:pStyle w:val="TableText"/>
              <w:rPr>
                <w:sz w:val="22"/>
                <w:szCs w:val="22"/>
              </w:rPr>
            </w:pPr>
            <w:r w:rsidRPr="00480A2C">
              <w:rPr>
                <w:sz w:val="22"/>
                <w:szCs w:val="22"/>
              </w:rPr>
              <w:t>13.3%</w:t>
            </w:r>
          </w:p>
        </w:tc>
        <w:tc>
          <w:tcPr>
            <w:tcW w:w="670" w:type="pct"/>
          </w:tcPr>
          <w:p w14:paraId="0C18726D" w14:textId="77777777" w:rsidR="0076056B" w:rsidRPr="00480A2C" w:rsidRDefault="0076056B" w:rsidP="00D819AE">
            <w:pPr>
              <w:pStyle w:val="TableText"/>
              <w:rPr>
                <w:sz w:val="22"/>
                <w:szCs w:val="22"/>
              </w:rPr>
            </w:pPr>
            <w:r w:rsidRPr="00480A2C">
              <w:rPr>
                <w:sz w:val="22"/>
                <w:szCs w:val="22"/>
              </w:rPr>
              <w:t>14.5%</w:t>
            </w:r>
          </w:p>
        </w:tc>
        <w:tc>
          <w:tcPr>
            <w:tcW w:w="670" w:type="pct"/>
            <w:shd w:val="clear" w:color="auto" w:fill="auto"/>
          </w:tcPr>
          <w:p w14:paraId="20EA72A0" w14:textId="77777777" w:rsidR="0076056B" w:rsidRPr="00480A2C" w:rsidRDefault="0076056B" w:rsidP="00D819AE">
            <w:pPr>
              <w:pStyle w:val="TableText"/>
              <w:rPr>
                <w:sz w:val="22"/>
                <w:szCs w:val="22"/>
              </w:rPr>
            </w:pPr>
            <w:r w:rsidRPr="00480A2C">
              <w:rPr>
                <w:sz w:val="22"/>
                <w:szCs w:val="22"/>
              </w:rPr>
              <w:t>0.0%</w:t>
            </w:r>
          </w:p>
        </w:tc>
        <w:tc>
          <w:tcPr>
            <w:tcW w:w="670" w:type="pct"/>
          </w:tcPr>
          <w:p w14:paraId="5D3C3259" w14:textId="77777777" w:rsidR="0076056B" w:rsidRPr="00480A2C" w:rsidRDefault="0076056B" w:rsidP="00D819AE">
            <w:pPr>
              <w:pStyle w:val="TableText"/>
              <w:rPr>
                <w:sz w:val="22"/>
                <w:szCs w:val="22"/>
              </w:rPr>
            </w:pPr>
            <w:r w:rsidRPr="00480A2C">
              <w:rPr>
                <w:sz w:val="22"/>
                <w:szCs w:val="22"/>
              </w:rPr>
              <w:t>4.3%</w:t>
            </w:r>
          </w:p>
        </w:tc>
        <w:tc>
          <w:tcPr>
            <w:tcW w:w="670" w:type="pct"/>
            <w:shd w:val="clear" w:color="auto" w:fill="auto"/>
          </w:tcPr>
          <w:p w14:paraId="69647272" w14:textId="77777777" w:rsidR="0076056B" w:rsidRPr="00480A2C" w:rsidRDefault="0076056B" w:rsidP="00D819AE">
            <w:pPr>
              <w:pStyle w:val="TableText"/>
              <w:rPr>
                <w:sz w:val="22"/>
                <w:szCs w:val="22"/>
              </w:rPr>
            </w:pPr>
            <w:r w:rsidRPr="00480A2C">
              <w:rPr>
                <w:sz w:val="22"/>
                <w:szCs w:val="22"/>
              </w:rPr>
              <w:t>10.3%</w:t>
            </w:r>
          </w:p>
        </w:tc>
      </w:tr>
    </w:tbl>
    <w:p w14:paraId="6023D9FE" w14:textId="77777777" w:rsidR="0076056B" w:rsidRPr="00480A2C" w:rsidRDefault="0076056B" w:rsidP="0076056B">
      <w:pPr>
        <w:autoSpaceDE w:val="0"/>
        <w:autoSpaceDN w:val="0"/>
        <w:adjustRightInd w:val="0"/>
      </w:pPr>
    </w:p>
    <w:p w14:paraId="75B7B5B2" w14:textId="77777777" w:rsidR="00536656" w:rsidRPr="004A5E16" w:rsidRDefault="00536656" w:rsidP="00536656">
      <w:pPr>
        <w:rPr>
          <w:rFonts w:asciiTheme="minorHAnsi" w:hAnsiTheme="minorHAnsi" w:cstheme="minorHAnsi"/>
          <w:sz w:val="22"/>
          <w:szCs w:val="22"/>
          <w:highlight w:val="lightGray"/>
        </w:rPr>
      </w:pPr>
    </w:p>
    <w:p w14:paraId="3A08C4B6" w14:textId="77777777" w:rsidR="00536656" w:rsidRPr="00272452" w:rsidRDefault="00536656" w:rsidP="00536656">
      <w:pPr>
        <w:rPr>
          <w:rFonts w:asciiTheme="minorHAnsi" w:hAnsiTheme="minorHAnsi" w:cstheme="minorHAnsi"/>
          <w:b/>
          <w:sz w:val="22"/>
          <w:szCs w:val="22"/>
          <w:u w:val="single"/>
        </w:rPr>
      </w:pPr>
      <w:r w:rsidRPr="00272452">
        <w:rPr>
          <w:rFonts w:asciiTheme="minorHAnsi" w:hAnsiTheme="minorHAnsi" w:cstheme="minorHAnsi"/>
          <w:b/>
          <w:sz w:val="22"/>
          <w:szCs w:val="22"/>
          <w:u w:val="single"/>
        </w:rPr>
        <w:t>Historical Base Data Development:</w:t>
      </w:r>
    </w:p>
    <w:p w14:paraId="7D6F4B43" w14:textId="77777777" w:rsidR="00536656" w:rsidRPr="004A5E16" w:rsidRDefault="00536656" w:rsidP="00536656">
      <w:pPr>
        <w:rPr>
          <w:rFonts w:asciiTheme="minorHAnsi" w:hAnsiTheme="minorHAnsi" w:cstheme="minorHAnsi"/>
          <w:sz w:val="22"/>
          <w:szCs w:val="22"/>
        </w:rPr>
      </w:pPr>
      <w:r w:rsidRPr="00272452">
        <w:rPr>
          <w:rFonts w:asciiTheme="minorHAnsi" w:hAnsiTheme="minorHAnsi" w:cstheme="minorHAnsi"/>
          <w:sz w:val="22"/>
          <w:szCs w:val="22"/>
        </w:rPr>
        <w:t xml:space="preserve">The historical Medicaid and crossover expenditures for </w:t>
      </w:r>
      <w:r w:rsidRPr="004A5E16">
        <w:rPr>
          <w:rFonts w:asciiTheme="minorHAnsi" w:hAnsiTheme="minorHAnsi" w:cstheme="minorHAnsi"/>
          <w:sz w:val="22"/>
          <w:szCs w:val="22"/>
        </w:rPr>
        <w:t>SFY2012 and SFY2013, with incurred but not reported (IBNR) completion adjustments applied, formed the historical base data used to develop the MassHealth component of the rates.</w:t>
      </w:r>
    </w:p>
    <w:p w14:paraId="31A73EAE" w14:textId="77777777" w:rsidR="00536656" w:rsidRPr="004A5E16" w:rsidRDefault="00536656" w:rsidP="00536656">
      <w:pPr>
        <w:rPr>
          <w:rFonts w:asciiTheme="minorHAnsi" w:hAnsiTheme="minorHAnsi" w:cstheme="minorHAnsi"/>
          <w:sz w:val="22"/>
          <w:szCs w:val="22"/>
        </w:rPr>
      </w:pPr>
    </w:p>
    <w:p w14:paraId="781C5E11" w14:textId="77777777" w:rsidR="00536656" w:rsidRPr="004A5E16" w:rsidRDefault="00536656" w:rsidP="00536656">
      <w:pPr>
        <w:rPr>
          <w:rFonts w:asciiTheme="minorHAnsi" w:hAnsiTheme="minorHAnsi" w:cstheme="minorHAnsi"/>
          <w:sz w:val="22"/>
          <w:szCs w:val="22"/>
          <w:highlight w:val="lightGray"/>
        </w:rPr>
      </w:pPr>
      <w:r w:rsidRPr="004A5E16">
        <w:rPr>
          <w:rFonts w:asciiTheme="minorHAnsi" w:hAnsiTheme="minorHAnsi" w:cstheme="minorHAnsi"/>
          <w:sz w:val="22"/>
          <w:szCs w:val="22"/>
        </w:rPr>
        <w:t xml:space="preserve">The historical base data can be created by taking Medicaid and crossover expenditures reported in the MassHealth Information Sharing Package shared with One Care plans, using the mapping provided below to map detailed base data categories of service to rate development categories of service, mapping One Care counties to geographic regions (see </w:t>
      </w:r>
      <w:r w:rsidRPr="004A5E16">
        <w:rPr>
          <w:rFonts w:asciiTheme="minorHAnsi" w:hAnsiTheme="minorHAnsi" w:cstheme="minorHAnsi"/>
          <w:i/>
          <w:sz w:val="22"/>
          <w:szCs w:val="22"/>
        </w:rPr>
        <w:t>Counties and Regions</w:t>
      </w:r>
      <w:r w:rsidRPr="004A5E16">
        <w:rPr>
          <w:rFonts w:asciiTheme="minorHAnsi" w:hAnsiTheme="minorHAnsi" w:cstheme="minorHAnsi"/>
          <w:sz w:val="22"/>
          <w:szCs w:val="22"/>
        </w:rPr>
        <w:t xml:space="preserve"> subsection</w:t>
      </w:r>
      <w:r w:rsidRPr="003C413A">
        <w:rPr>
          <w:rFonts w:asciiTheme="minorHAnsi" w:hAnsiTheme="minorHAnsi" w:cstheme="minorHAnsi"/>
          <w:sz w:val="22"/>
          <w:szCs w:val="22"/>
        </w:rPr>
        <w:t>), and applying the completion factors also included below. For convenience, per member per month (PMPM) expenditures with IBNR are provided at the end of this report in Section VI for Medicaid and crossover claims by calendar year, region, rating category and category of service.</w:t>
      </w:r>
    </w:p>
    <w:p w14:paraId="7351AF9A" w14:textId="77777777" w:rsidR="00536656" w:rsidRPr="004A5E16" w:rsidRDefault="00536656" w:rsidP="00536656">
      <w:pPr>
        <w:rPr>
          <w:rFonts w:asciiTheme="minorHAnsi" w:hAnsiTheme="minorHAnsi" w:cstheme="minorHAnsi"/>
          <w:sz w:val="22"/>
          <w:szCs w:val="22"/>
          <w:highlight w:val="lightGray"/>
        </w:rPr>
      </w:pPr>
    </w:p>
    <w:p w14:paraId="1FCAA9D9" w14:textId="77777777" w:rsidR="00536656" w:rsidRPr="003C413A" w:rsidRDefault="00536656" w:rsidP="00536656">
      <w:pPr>
        <w:rPr>
          <w:rFonts w:asciiTheme="minorHAnsi" w:hAnsiTheme="minorHAnsi" w:cstheme="minorHAnsi"/>
          <w:sz w:val="22"/>
          <w:szCs w:val="22"/>
        </w:rPr>
      </w:pPr>
      <w:r w:rsidRPr="003C413A">
        <w:rPr>
          <w:rFonts w:asciiTheme="minorHAnsi" w:hAnsiTheme="minorHAnsi" w:cstheme="minorHAnsi"/>
          <w:b/>
          <w:bCs/>
          <w:i/>
          <w:iCs/>
          <w:sz w:val="22"/>
          <w:szCs w:val="22"/>
        </w:rPr>
        <w:t>Rating Categories</w:t>
      </w:r>
      <w:r w:rsidRPr="003C413A">
        <w:rPr>
          <w:rFonts w:asciiTheme="minorHAnsi" w:hAnsiTheme="minorHAnsi" w:cstheme="minorHAnsi"/>
          <w:sz w:val="22"/>
          <w:szCs w:val="22"/>
        </w:rPr>
        <w:t>:</w:t>
      </w:r>
    </w:p>
    <w:p w14:paraId="3CE2A9E5" w14:textId="77777777" w:rsidR="00536656" w:rsidRPr="004A5E16" w:rsidRDefault="00536656" w:rsidP="00536656">
      <w:pPr>
        <w:rPr>
          <w:rFonts w:asciiTheme="minorHAnsi" w:hAnsiTheme="minorHAnsi"/>
          <w:sz w:val="22"/>
          <w:szCs w:val="22"/>
        </w:rPr>
      </w:pPr>
      <w:r w:rsidRPr="00272452">
        <w:rPr>
          <w:rFonts w:asciiTheme="minorHAnsi" w:hAnsiTheme="minorHAnsi"/>
          <w:sz w:val="22"/>
          <w:szCs w:val="22"/>
        </w:rPr>
        <w:t>MassHealth assigns members to a rating category based on institutional status (long-term facility versus community), diagnosis information, and the minimum data set — home care (MDS–HC) assessment tool.</w:t>
      </w:r>
      <w:r w:rsidRPr="004A5E16">
        <w:rPr>
          <w:rFonts w:asciiTheme="minorHAnsi" w:hAnsiTheme="minorHAnsi"/>
          <w:sz w:val="22"/>
          <w:szCs w:val="22"/>
        </w:rPr>
        <w:t xml:space="preserve"> Because rates are set based on historical FFS claims data, for rate-setting purposes MassHealth stratifies members into rating categories using a proxy method, which is summarized in the table below. </w:t>
      </w:r>
    </w:p>
    <w:p w14:paraId="5E9C9BA5" w14:textId="77777777" w:rsidR="00536656" w:rsidRPr="004A5E16" w:rsidRDefault="00536656" w:rsidP="00536656">
      <w:pPr>
        <w:rPr>
          <w:rFonts w:asciiTheme="minorHAnsi" w:hAnsiTheme="minorHAnsi"/>
          <w:sz w:val="22"/>
          <w:szCs w:val="22"/>
        </w:rPr>
      </w:pPr>
    </w:p>
    <w:tbl>
      <w:tblPr>
        <w:tblW w:w="8730" w:type="dxa"/>
        <w:tblInd w:w="72"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2250"/>
        <w:gridCol w:w="6480"/>
      </w:tblGrid>
      <w:tr w:rsidR="00536656" w:rsidRPr="004A5E16" w14:paraId="158EDB30" w14:textId="77777777" w:rsidTr="00536656">
        <w:trPr>
          <w:cantSplit/>
          <w:tblHeader/>
        </w:trPr>
        <w:tc>
          <w:tcPr>
            <w:tcW w:w="2250" w:type="dxa"/>
            <w:tcBorders>
              <w:top w:val="single" w:sz="8" w:space="0" w:color="auto"/>
              <w:bottom w:val="single" w:sz="8" w:space="0" w:color="auto"/>
            </w:tcBorders>
            <w:shd w:val="clear" w:color="auto" w:fill="BFBFBF" w:themeFill="background1" w:themeFillShade="BF"/>
            <w:vAlign w:val="bottom"/>
          </w:tcPr>
          <w:p w14:paraId="390BE089" w14:textId="77777777" w:rsidR="00536656" w:rsidRPr="004A5E16" w:rsidRDefault="00536656" w:rsidP="00536656">
            <w:pPr>
              <w:pStyle w:val="TableHeadingText"/>
              <w:rPr>
                <w:rFonts w:asciiTheme="minorHAnsi" w:hAnsiTheme="minorHAnsi"/>
                <w:sz w:val="22"/>
                <w:szCs w:val="22"/>
              </w:rPr>
            </w:pPr>
            <w:r w:rsidRPr="004A5E16">
              <w:rPr>
                <w:rFonts w:asciiTheme="minorHAnsi" w:hAnsiTheme="minorHAnsi"/>
                <w:sz w:val="22"/>
                <w:szCs w:val="22"/>
              </w:rPr>
              <w:lastRenderedPageBreak/>
              <w:t>Rating Category</w:t>
            </w:r>
          </w:p>
        </w:tc>
        <w:tc>
          <w:tcPr>
            <w:tcW w:w="6480" w:type="dxa"/>
            <w:tcBorders>
              <w:top w:val="single" w:sz="8" w:space="0" w:color="auto"/>
              <w:bottom w:val="single" w:sz="8" w:space="0" w:color="auto"/>
            </w:tcBorders>
            <w:shd w:val="clear" w:color="auto" w:fill="BFBFBF" w:themeFill="background1" w:themeFillShade="BF"/>
            <w:vAlign w:val="bottom"/>
          </w:tcPr>
          <w:p w14:paraId="17B1A836" w14:textId="77777777" w:rsidR="00536656" w:rsidRPr="004A5E16" w:rsidRDefault="00536656" w:rsidP="00536656">
            <w:pPr>
              <w:pStyle w:val="TableHeadingText"/>
              <w:rPr>
                <w:rFonts w:asciiTheme="minorHAnsi" w:hAnsiTheme="minorHAnsi"/>
                <w:sz w:val="22"/>
                <w:szCs w:val="22"/>
              </w:rPr>
            </w:pPr>
            <w:r w:rsidRPr="004A5E16">
              <w:rPr>
                <w:rFonts w:asciiTheme="minorHAnsi" w:hAnsiTheme="minorHAnsi"/>
                <w:sz w:val="22"/>
                <w:szCs w:val="22"/>
              </w:rPr>
              <w:t>Description</w:t>
            </w:r>
          </w:p>
        </w:tc>
      </w:tr>
      <w:tr w:rsidR="00536656" w:rsidRPr="004A5E16" w14:paraId="0A823646" w14:textId="77777777" w:rsidTr="00536656">
        <w:trPr>
          <w:cantSplit/>
        </w:trPr>
        <w:tc>
          <w:tcPr>
            <w:tcW w:w="2250" w:type="dxa"/>
            <w:tcBorders>
              <w:top w:val="single" w:sz="8" w:space="0" w:color="auto"/>
            </w:tcBorders>
            <w:shd w:val="clear" w:color="auto" w:fill="auto"/>
          </w:tcPr>
          <w:p w14:paraId="247B836D" w14:textId="77777777" w:rsidR="00536656" w:rsidRPr="004A5E16" w:rsidRDefault="00536656" w:rsidP="00536656">
            <w:pPr>
              <w:pStyle w:val="TableText"/>
              <w:rPr>
                <w:rFonts w:asciiTheme="minorHAnsi" w:hAnsiTheme="minorHAnsi"/>
                <w:sz w:val="22"/>
                <w:szCs w:val="22"/>
              </w:rPr>
            </w:pPr>
            <w:r w:rsidRPr="004A5E16">
              <w:rPr>
                <w:rFonts w:asciiTheme="minorHAnsi" w:hAnsiTheme="minorHAnsi"/>
                <w:sz w:val="22"/>
                <w:szCs w:val="22"/>
              </w:rPr>
              <w:t>F1: Facility-Based Care</w:t>
            </w:r>
          </w:p>
        </w:tc>
        <w:tc>
          <w:tcPr>
            <w:tcW w:w="6480" w:type="dxa"/>
            <w:tcBorders>
              <w:top w:val="single" w:sz="8" w:space="0" w:color="auto"/>
            </w:tcBorders>
            <w:shd w:val="clear" w:color="auto" w:fill="auto"/>
          </w:tcPr>
          <w:p w14:paraId="316DAEE9" w14:textId="77777777" w:rsidR="00536656" w:rsidRPr="004A5E16" w:rsidRDefault="00536656" w:rsidP="00536656">
            <w:pPr>
              <w:pStyle w:val="TableText"/>
              <w:rPr>
                <w:rFonts w:asciiTheme="minorHAnsi" w:hAnsiTheme="minorHAnsi"/>
                <w:sz w:val="22"/>
                <w:szCs w:val="22"/>
                <w:u w:val="single"/>
              </w:rPr>
            </w:pPr>
            <w:r w:rsidRPr="004A5E16">
              <w:rPr>
                <w:rFonts w:asciiTheme="minorHAnsi" w:hAnsiTheme="minorHAnsi"/>
                <w:sz w:val="22"/>
                <w:szCs w:val="22"/>
                <w:u w:val="single"/>
              </w:rPr>
              <w:t>Demonstration Process</w:t>
            </w:r>
          </w:p>
          <w:p w14:paraId="57DBF0F7" w14:textId="77777777" w:rsidR="00536656" w:rsidRPr="004A5E16" w:rsidRDefault="00536656" w:rsidP="00536656">
            <w:pPr>
              <w:pStyle w:val="TableText"/>
              <w:rPr>
                <w:rFonts w:asciiTheme="minorHAnsi" w:hAnsiTheme="minorHAnsi"/>
                <w:sz w:val="22"/>
                <w:szCs w:val="22"/>
              </w:rPr>
            </w:pPr>
            <w:r w:rsidRPr="004A5E16">
              <w:rPr>
                <w:rFonts w:asciiTheme="minorHAnsi" w:hAnsiTheme="minorHAnsi"/>
                <w:sz w:val="22"/>
                <w:szCs w:val="22"/>
              </w:rPr>
              <w:t>Includes individuals identified by MassHealth as having a long-term facility stay of more than 90 days. Applicable facilities include nursing facilities, chronic rehabilitation, and psychiatric hospitals.</w:t>
            </w:r>
          </w:p>
          <w:p w14:paraId="2BB82925" w14:textId="77777777" w:rsidR="00536656" w:rsidRPr="004A5E16" w:rsidRDefault="00536656" w:rsidP="00536656">
            <w:pPr>
              <w:pStyle w:val="TableText"/>
              <w:rPr>
                <w:rFonts w:asciiTheme="minorHAnsi" w:hAnsiTheme="minorHAnsi"/>
                <w:sz w:val="22"/>
                <w:szCs w:val="22"/>
                <w:u w:val="single"/>
              </w:rPr>
            </w:pPr>
            <w:r w:rsidRPr="004A5E16">
              <w:rPr>
                <w:rFonts w:asciiTheme="minorHAnsi" w:hAnsiTheme="minorHAnsi"/>
                <w:sz w:val="22"/>
                <w:szCs w:val="22"/>
                <w:u w:val="single"/>
              </w:rPr>
              <w:t>Proxy Method</w:t>
            </w:r>
          </w:p>
          <w:p w14:paraId="530F3C1E" w14:textId="77777777" w:rsidR="00536656" w:rsidRPr="004A5E16" w:rsidRDefault="00536656" w:rsidP="00536656">
            <w:pPr>
              <w:pStyle w:val="TableText"/>
              <w:rPr>
                <w:rFonts w:asciiTheme="minorHAnsi" w:hAnsiTheme="minorHAnsi"/>
                <w:sz w:val="22"/>
                <w:szCs w:val="22"/>
              </w:rPr>
            </w:pPr>
            <w:r w:rsidRPr="004A5E16">
              <w:rPr>
                <w:rFonts w:asciiTheme="minorHAnsi" w:hAnsiTheme="minorHAnsi"/>
                <w:sz w:val="22"/>
                <w:szCs w:val="22"/>
              </w:rPr>
              <w:t>The base data for this rating category was developed based on member months and expenditures in a facility beyond the first 90 days. Applicable facilities include nursing facilities, chronic rehabilitation, and psychiatric hospitals.</w:t>
            </w:r>
          </w:p>
        </w:tc>
      </w:tr>
      <w:tr w:rsidR="00536656" w:rsidRPr="004A5E16" w14:paraId="13426436" w14:textId="77777777" w:rsidTr="00536656">
        <w:trPr>
          <w:cantSplit/>
        </w:trPr>
        <w:tc>
          <w:tcPr>
            <w:tcW w:w="2250" w:type="dxa"/>
            <w:shd w:val="clear" w:color="auto" w:fill="auto"/>
          </w:tcPr>
          <w:p w14:paraId="4068DA12" w14:textId="77777777" w:rsidR="00536656" w:rsidRPr="004A5E16" w:rsidRDefault="00536656" w:rsidP="00536656">
            <w:pPr>
              <w:pStyle w:val="TableText"/>
              <w:rPr>
                <w:rFonts w:asciiTheme="minorHAnsi" w:hAnsiTheme="minorHAnsi"/>
                <w:sz w:val="22"/>
                <w:szCs w:val="22"/>
              </w:rPr>
            </w:pPr>
            <w:r w:rsidRPr="004A5E16">
              <w:rPr>
                <w:rFonts w:asciiTheme="minorHAnsi" w:hAnsiTheme="minorHAnsi"/>
                <w:sz w:val="22"/>
                <w:szCs w:val="22"/>
              </w:rPr>
              <w:t xml:space="preserve">C3: Community Tier 3  </w:t>
            </w:r>
          </w:p>
        </w:tc>
        <w:tc>
          <w:tcPr>
            <w:tcW w:w="6480" w:type="dxa"/>
            <w:shd w:val="clear" w:color="auto" w:fill="auto"/>
          </w:tcPr>
          <w:p w14:paraId="1182B8B0" w14:textId="77777777" w:rsidR="00536656" w:rsidRPr="004A5E16" w:rsidRDefault="00536656" w:rsidP="00536656">
            <w:pPr>
              <w:pStyle w:val="TableText"/>
              <w:rPr>
                <w:rFonts w:asciiTheme="minorHAnsi" w:hAnsiTheme="minorHAnsi"/>
                <w:sz w:val="22"/>
                <w:szCs w:val="22"/>
                <w:u w:val="single"/>
              </w:rPr>
            </w:pPr>
            <w:r w:rsidRPr="004A5E16">
              <w:rPr>
                <w:rFonts w:asciiTheme="minorHAnsi" w:hAnsiTheme="minorHAnsi"/>
                <w:sz w:val="22"/>
                <w:szCs w:val="22"/>
                <w:u w:val="single"/>
              </w:rPr>
              <w:t>Demonstration Process</w:t>
            </w:r>
          </w:p>
          <w:p w14:paraId="5EF3EABD" w14:textId="77777777" w:rsidR="00536656" w:rsidRPr="004A5E16" w:rsidRDefault="00536656" w:rsidP="00536656">
            <w:pPr>
              <w:pStyle w:val="TableText"/>
              <w:rPr>
                <w:rFonts w:asciiTheme="minorHAnsi" w:hAnsiTheme="minorHAnsi"/>
                <w:sz w:val="22"/>
                <w:szCs w:val="22"/>
              </w:rPr>
            </w:pPr>
            <w:r w:rsidRPr="004A5E16">
              <w:rPr>
                <w:rFonts w:asciiTheme="minorHAnsi" w:hAnsiTheme="minorHAnsi"/>
                <w:sz w:val="22"/>
                <w:szCs w:val="22"/>
              </w:rPr>
              <w:t xml:space="preserve">Includes individuals who do not meet F1 criteria and for whom a </w:t>
            </w:r>
            <w:r w:rsidRPr="004A5E16">
              <w:rPr>
                <w:rFonts w:asciiTheme="minorHAnsi" w:hAnsiTheme="minorHAnsi"/>
                <w:sz w:val="22"/>
                <w:szCs w:val="22"/>
              </w:rPr>
              <w:br/>
              <w:t xml:space="preserve">MDS-HC assessment indicates: </w:t>
            </w:r>
          </w:p>
          <w:p w14:paraId="4E813458" w14:textId="77777777" w:rsidR="00536656" w:rsidRPr="004A5E16" w:rsidRDefault="00536656" w:rsidP="00536656">
            <w:pPr>
              <w:pStyle w:val="TableBullet1"/>
              <w:numPr>
                <w:ilvl w:val="4"/>
                <w:numId w:val="21"/>
              </w:numPr>
              <w:rPr>
                <w:rFonts w:asciiTheme="minorHAnsi" w:hAnsiTheme="minorHAnsi"/>
                <w:sz w:val="22"/>
                <w:szCs w:val="22"/>
              </w:rPr>
            </w:pPr>
            <w:r w:rsidRPr="004A5E16">
              <w:rPr>
                <w:rFonts w:asciiTheme="minorHAnsi" w:hAnsiTheme="minorHAnsi"/>
                <w:sz w:val="22"/>
                <w:szCs w:val="22"/>
              </w:rPr>
              <w:t xml:space="preserve">Have a skilled nursing need to be met by the One Care plan seven days a week. </w:t>
            </w:r>
          </w:p>
          <w:p w14:paraId="4DC1EC15" w14:textId="77777777" w:rsidR="00536656" w:rsidRPr="004A5E16" w:rsidRDefault="00536656" w:rsidP="00536656">
            <w:pPr>
              <w:pStyle w:val="TableBullet1"/>
              <w:numPr>
                <w:ilvl w:val="4"/>
                <w:numId w:val="21"/>
              </w:numPr>
              <w:rPr>
                <w:rFonts w:asciiTheme="minorHAnsi" w:hAnsiTheme="minorHAnsi"/>
                <w:sz w:val="22"/>
                <w:szCs w:val="22"/>
              </w:rPr>
            </w:pPr>
            <w:r w:rsidRPr="004A5E16">
              <w:rPr>
                <w:rFonts w:asciiTheme="minorHAnsi" w:hAnsiTheme="minorHAnsi"/>
                <w:sz w:val="22"/>
                <w:szCs w:val="22"/>
              </w:rPr>
              <w:t xml:space="preserve">Have two or more activities of daily living (ADL) limitations, and three or more days a week of skilled nursing needs to be met by the One Care plan. </w:t>
            </w:r>
          </w:p>
          <w:p w14:paraId="238AD2D9" w14:textId="77777777" w:rsidR="00536656" w:rsidRPr="004A5E16" w:rsidRDefault="00536656" w:rsidP="00536656">
            <w:pPr>
              <w:pStyle w:val="TableBullet1"/>
              <w:numPr>
                <w:ilvl w:val="4"/>
                <w:numId w:val="21"/>
              </w:numPr>
              <w:rPr>
                <w:rFonts w:asciiTheme="minorHAnsi" w:hAnsiTheme="minorHAnsi"/>
                <w:sz w:val="22"/>
                <w:szCs w:val="22"/>
              </w:rPr>
            </w:pPr>
            <w:r w:rsidRPr="004A5E16">
              <w:rPr>
                <w:rFonts w:asciiTheme="minorHAnsi" w:hAnsiTheme="minorHAnsi"/>
                <w:sz w:val="22"/>
                <w:szCs w:val="22"/>
              </w:rPr>
              <w:t>Have four or more ADL limitations.</w:t>
            </w:r>
          </w:p>
          <w:p w14:paraId="1FC793EB" w14:textId="77777777" w:rsidR="00536656" w:rsidRPr="004A5E16" w:rsidRDefault="00536656" w:rsidP="00536656">
            <w:pPr>
              <w:pStyle w:val="TableText"/>
              <w:rPr>
                <w:rFonts w:asciiTheme="minorHAnsi" w:hAnsiTheme="minorHAnsi"/>
                <w:sz w:val="22"/>
                <w:szCs w:val="22"/>
                <w:u w:val="single"/>
              </w:rPr>
            </w:pPr>
            <w:r w:rsidRPr="004A5E16">
              <w:rPr>
                <w:rFonts w:asciiTheme="minorHAnsi" w:hAnsiTheme="minorHAnsi"/>
                <w:sz w:val="22"/>
                <w:szCs w:val="22"/>
                <w:u w:val="single"/>
              </w:rPr>
              <w:t>Proxy Method</w:t>
            </w:r>
          </w:p>
          <w:p w14:paraId="468263FB" w14:textId="77777777" w:rsidR="00536656" w:rsidRPr="004A5E16" w:rsidRDefault="00536656" w:rsidP="00536656">
            <w:pPr>
              <w:pStyle w:val="TableText"/>
              <w:rPr>
                <w:rFonts w:asciiTheme="minorHAnsi" w:hAnsiTheme="minorHAnsi"/>
                <w:sz w:val="22"/>
                <w:szCs w:val="22"/>
              </w:rPr>
            </w:pPr>
            <w:r w:rsidRPr="004A5E16">
              <w:rPr>
                <w:rFonts w:asciiTheme="minorHAnsi" w:hAnsiTheme="minorHAnsi"/>
                <w:sz w:val="22"/>
                <w:szCs w:val="22"/>
              </w:rPr>
              <w:t>The base data for this rating category was developed based on member months and expenditures not in F1 that are within episodes of three plus consecutive months in which a member is in a facility and/or using more than $500 in community-based long-term services and supports (LTSS).</w:t>
            </w:r>
          </w:p>
        </w:tc>
      </w:tr>
      <w:tr w:rsidR="00536656" w:rsidRPr="004A5E16" w14:paraId="426E0CD4" w14:textId="77777777" w:rsidTr="00536656">
        <w:trPr>
          <w:cantSplit/>
        </w:trPr>
        <w:tc>
          <w:tcPr>
            <w:tcW w:w="2250" w:type="dxa"/>
            <w:shd w:val="clear" w:color="auto" w:fill="auto"/>
          </w:tcPr>
          <w:p w14:paraId="750B1ECA" w14:textId="77777777" w:rsidR="00536656" w:rsidRPr="003C413A" w:rsidRDefault="00536656" w:rsidP="00536656">
            <w:pPr>
              <w:pStyle w:val="TableText"/>
              <w:rPr>
                <w:rFonts w:asciiTheme="minorHAnsi" w:hAnsiTheme="minorHAnsi"/>
                <w:sz w:val="22"/>
                <w:szCs w:val="22"/>
              </w:rPr>
            </w:pPr>
            <w:r w:rsidRPr="003C413A">
              <w:rPr>
                <w:rFonts w:asciiTheme="minorHAnsi" w:hAnsiTheme="minorHAnsi"/>
                <w:sz w:val="22"/>
                <w:szCs w:val="22"/>
              </w:rPr>
              <w:lastRenderedPageBreak/>
              <w:t xml:space="preserve">C2: Community Tier 2 </w:t>
            </w:r>
          </w:p>
        </w:tc>
        <w:tc>
          <w:tcPr>
            <w:tcW w:w="6480" w:type="dxa"/>
            <w:shd w:val="clear" w:color="auto" w:fill="auto"/>
          </w:tcPr>
          <w:p w14:paraId="46A92DE8" w14:textId="77777777" w:rsidR="00536656" w:rsidRPr="00272452" w:rsidRDefault="00536656" w:rsidP="00536656">
            <w:pPr>
              <w:pStyle w:val="TableText"/>
              <w:rPr>
                <w:rFonts w:asciiTheme="minorHAnsi" w:hAnsiTheme="minorHAnsi"/>
                <w:sz w:val="22"/>
                <w:szCs w:val="22"/>
                <w:u w:val="single"/>
              </w:rPr>
            </w:pPr>
            <w:r w:rsidRPr="00272452">
              <w:rPr>
                <w:rFonts w:asciiTheme="minorHAnsi" w:hAnsiTheme="minorHAnsi"/>
                <w:sz w:val="22"/>
                <w:szCs w:val="22"/>
                <w:u w:val="single"/>
              </w:rPr>
              <w:t>Demonstration Process</w:t>
            </w:r>
          </w:p>
          <w:p w14:paraId="6353074E" w14:textId="77777777" w:rsidR="00536656" w:rsidRPr="004A5E16" w:rsidRDefault="00536656" w:rsidP="00536656">
            <w:pPr>
              <w:pStyle w:val="TableText"/>
              <w:rPr>
                <w:rFonts w:asciiTheme="minorHAnsi" w:hAnsiTheme="minorHAnsi"/>
                <w:sz w:val="22"/>
                <w:szCs w:val="22"/>
              </w:rPr>
            </w:pPr>
            <w:r w:rsidRPr="00272452">
              <w:rPr>
                <w:rFonts w:asciiTheme="minorHAnsi" w:hAnsiTheme="minorHAnsi"/>
                <w:sz w:val="22"/>
                <w:szCs w:val="22"/>
              </w:rPr>
              <w:t xml:space="preserve">Includes individuals who do not meet F1 or C3 criteria and who have one or more of the following behavioral health diagnoses listed by ICD-9 code, validated by medical records, reflecting an ongoing, chronic condition such as schizophrenia or episodic mood disorders, psychosis, or alcohol/drug </w:t>
            </w:r>
            <w:r w:rsidRPr="004A5E16">
              <w:rPr>
                <w:rFonts w:asciiTheme="minorHAnsi" w:hAnsiTheme="minorHAnsi"/>
                <w:sz w:val="22"/>
                <w:szCs w:val="22"/>
              </w:rPr>
              <w:t xml:space="preserve">dependence, not in remission: </w:t>
            </w:r>
          </w:p>
          <w:p w14:paraId="034C1601" w14:textId="77777777" w:rsidR="00536656" w:rsidRPr="004A5E16" w:rsidRDefault="00536656" w:rsidP="00536656">
            <w:pPr>
              <w:pStyle w:val="TableBullet1"/>
              <w:numPr>
                <w:ilvl w:val="4"/>
                <w:numId w:val="21"/>
              </w:numPr>
              <w:rPr>
                <w:rFonts w:asciiTheme="minorHAnsi" w:hAnsiTheme="minorHAnsi"/>
                <w:sz w:val="22"/>
                <w:szCs w:val="22"/>
              </w:rPr>
            </w:pPr>
            <w:r w:rsidRPr="004A5E16">
              <w:rPr>
                <w:rFonts w:asciiTheme="minorHAnsi" w:hAnsiTheme="minorHAnsi"/>
                <w:sz w:val="22"/>
                <w:szCs w:val="22"/>
              </w:rPr>
              <w:t xml:space="preserve">295.xx. </w:t>
            </w:r>
          </w:p>
          <w:p w14:paraId="18F4CF9A" w14:textId="77777777" w:rsidR="00536656" w:rsidRPr="004A5E16" w:rsidRDefault="00536656" w:rsidP="00536656">
            <w:pPr>
              <w:pStyle w:val="TableBullet1"/>
              <w:numPr>
                <w:ilvl w:val="4"/>
                <w:numId w:val="21"/>
              </w:numPr>
              <w:rPr>
                <w:rFonts w:asciiTheme="minorHAnsi" w:hAnsiTheme="minorHAnsi"/>
                <w:sz w:val="22"/>
                <w:szCs w:val="22"/>
              </w:rPr>
            </w:pPr>
            <w:r w:rsidRPr="004A5E16">
              <w:rPr>
                <w:rFonts w:asciiTheme="minorHAnsi" w:hAnsiTheme="minorHAnsi"/>
                <w:sz w:val="22"/>
                <w:szCs w:val="22"/>
              </w:rPr>
              <w:t xml:space="preserve">296.xx. </w:t>
            </w:r>
          </w:p>
          <w:p w14:paraId="02CCF302" w14:textId="77777777" w:rsidR="00536656" w:rsidRPr="004A5E16" w:rsidRDefault="00536656" w:rsidP="00536656">
            <w:pPr>
              <w:pStyle w:val="TableBullet1"/>
              <w:numPr>
                <w:ilvl w:val="4"/>
                <w:numId w:val="21"/>
              </w:numPr>
              <w:rPr>
                <w:rFonts w:asciiTheme="minorHAnsi" w:hAnsiTheme="minorHAnsi"/>
                <w:sz w:val="22"/>
                <w:szCs w:val="22"/>
              </w:rPr>
            </w:pPr>
            <w:r w:rsidRPr="004A5E16">
              <w:rPr>
                <w:rFonts w:asciiTheme="minorHAnsi" w:hAnsiTheme="minorHAnsi"/>
                <w:sz w:val="22"/>
                <w:szCs w:val="22"/>
              </w:rPr>
              <w:t xml:space="preserve">298.9x. </w:t>
            </w:r>
          </w:p>
          <w:p w14:paraId="0B9356B7" w14:textId="77777777" w:rsidR="00536656" w:rsidRPr="004A5E16" w:rsidRDefault="00536656" w:rsidP="00536656">
            <w:pPr>
              <w:pStyle w:val="TableBullet1"/>
              <w:numPr>
                <w:ilvl w:val="4"/>
                <w:numId w:val="21"/>
              </w:numPr>
              <w:rPr>
                <w:rFonts w:asciiTheme="minorHAnsi" w:hAnsiTheme="minorHAnsi"/>
                <w:sz w:val="22"/>
                <w:szCs w:val="22"/>
              </w:rPr>
            </w:pPr>
            <w:r w:rsidRPr="004A5E16">
              <w:rPr>
                <w:rFonts w:asciiTheme="minorHAnsi" w:hAnsiTheme="minorHAnsi"/>
                <w:sz w:val="22"/>
                <w:szCs w:val="22"/>
              </w:rPr>
              <w:t xml:space="preserve">303.90, 303.91, 303.92. </w:t>
            </w:r>
          </w:p>
          <w:p w14:paraId="2E726CCC" w14:textId="77777777" w:rsidR="00536656" w:rsidRPr="004A5E16" w:rsidRDefault="00536656" w:rsidP="00536656">
            <w:pPr>
              <w:pStyle w:val="TableBullet1"/>
              <w:numPr>
                <w:ilvl w:val="4"/>
                <w:numId w:val="21"/>
              </w:numPr>
              <w:rPr>
                <w:rFonts w:asciiTheme="minorHAnsi" w:hAnsiTheme="minorHAnsi"/>
                <w:sz w:val="22"/>
                <w:szCs w:val="22"/>
              </w:rPr>
            </w:pPr>
            <w:r w:rsidRPr="004A5E16">
              <w:rPr>
                <w:rFonts w:asciiTheme="minorHAnsi" w:hAnsiTheme="minorHAnsi"/>
                <w:sz w:val="22"/>
                <w:szCs w:val="22"/>
              </w:rPr>
              <w:t xml:space="preserve">304.xx excluding 304.x3. </w:t>
            </w:r>
          </w:p>
          <w:p w14:paraId="76C48F0F" w14:textId="77777777" w:rsidR="00536656" w:rsidRPr="004A5E16" w:rsidRDefault="00536656" w:rsidP="00536656">
            <w:pPr>
              <w:pStyle w:val="TableText"/>
              <w:rPr>
                <w:rFonts w:asciiTheme="minorHAnsi" w:hAnsiTheme="minorHAnsi"/>
                <w:sz w:val="22"/>
                <w:szCs w:val="22"/>
                <w:u w:val="single"/>
              </w:rPr>
            </w:pPr>
            <w:r w:rsidRPr="004A5E16">
              <w:rPr>
                <w:rFonts w:asciiTheme="minorHAnsi" w:hAnsiTheme="minorHAnsi"/>
                <w:sz w:val="22"/>
                <w:szCs w:val="22"/>
                <w:u w:val="single"/>
              </w:rPr>
              <w:t>Proxy Method</w:t>
            </w:r>
          </w:p>
          <w:p w14:paraId="6DB135E9" w14:textId="77777777" w:rsidR="00536656" w:rsidRPr="004A5E16" w:rsidRDefault="00536656" w:rsidP="00536656">
            <w:pPr>
              <w:pStyle w:val="TableText"/>
              <w:rPr>
                <w:rFonts w:asciiTheme="minorHAnsi" w:hAnsiTheme="minorHAnsi"/>
                <w:sz w:val="22"/>
                <w:szCs w:val="22"/>
              </w:rPr>
            </w:pPr>
            <w:r w:rsidRPr="004A5E16">
              <w:rPr>
                <w:rFonts w:asciiTheme="minorHAnsi" w:hAnsiTheme="minorHAnsi"/>
                <w:sz w:val="22"/>
                <w:szCs w:val="22"/>
              </w:rPr>
              <w:t xml:space="preserve">The base data for this rating category was developed based on member months and expenditures not in F1 or C3, who had any claims in the Medicaid FFS data with a qualifying diagnosis (listed above) and/or non-outpatient claims in the Medicare–Medicaid crossover or Medicare FFS data with a qualifying diagnosis (listed above). </w:t>
            </w:r>
          </w:p>
        </w:tc>
      </w:tr>
      <w:tr w:rsidR="00536656" w:rsidRPr="004A5E16" w14:paraId="0B108D4B" w14:textId="77777777" w:rsidTr="00536656">
        <w:trPr>
          <w:cantSplit/>
        </w:trPr>
        <w:tc>
          <w:tcPr>
            <w:tcW w:w="2250" w:type="dxa"/>
            <w:shd w:val="clear" w:color="auto" w:fill="auto"/>
          </w:tcPr>
          <w:p w14:paraId="12EEEB1F" w14:textId="77777777" w:rsidR="00536656" w:rsidRPr="003C413A" w:rsidRDefault="00536656" w:rsidP="00536656">
            <w:pPr>
              <w:pStyle w:val="TableText"/>
              <w:rPr>
                <w:rFonts w:asciiTheme="minorHAnsi" w:hAnsiTheme="minorHAnsi"/>
                <w:sz w:val="22"/>
                <w:szCs w:val="22"/>
              </w:rPr>
            </w:pPr>
            <w:r w:rsidRPr="003C413A">
              <w:rPr>
                <w:rFonts w:asciiTheme="minorHAnsi" w:hAnsiTheme="minorHAnsi"/>
                <w:sz w:val="22"/>
                <w:szCs w:val="22"/>
              </w:rPr>
              <w:t>C1: Community Tier 1 — Community Other</w:t>
            </w:r>
          </w:p>
        </w:tc>
        <w:tc>
          <w:tcPr>
            <w:tcW w:w="6480" w:type="dxa"/>
            <w:shd w:val="clear" w:color="auto" w:fill="auto"/>
          </w:tcPr>
          <w:p w14:paraId="72BED063" w14:textId="77777777" w:rsidR="00536656" w:rsidRPr="00272452" w:rsidRDefault="00536656" w:rsidP="00536656">
            <w:pPr>
              <w:pStyle w:val="TableText"/>
              <w:rPr>
                <w:rFonts w:asciiTheme="minorHAnsi" w:hAnsiTheme="minorHAnsi"/>
                <w:sz w:val="22"/>
                <w:szCs w:val="22"/>
                <w:u w:val="single"/>
              </w:rPr>
            </w:pPr>
            <w:r w:rsidRPr="00272452">
              <w:rPr>
                <w:rFonts w:asciiTheme="minorHAnsi" w:hAnsiTheme="minorHAnsi"/>
                <w:sz w:val="22"/>
                <w:szCs w:val="22"/>
                <w:u w:val="single"/>
              </w:rPr>
              <w:t>Demonstration Process</w:t>
            </w:r>
          </w:p>
          <w:p w14:paraId="1D4D54C9" w14:textId="77777777" w:rsidR="00536656" w:rsidRPr="00272452" w:rsidRDefault="00536656" w:rsidP="00536656">
            <w:pPr>
              <w:pStyle w:val="TableText"/>
              <w:rPr>
                <w:rFonts w:asciiTheme="minorHAnsi" w:hAnsiTheme="minorHAnsi"/>
                <w:sz w:val="22"/>
                <w:szCs w:val="22"/>
              </w:rPr>
            </w:pPr>
            <w:r w:rsidRPr="00272452">
              <w:rPr>
                <w:rFonts w:asciiTheme="minorHAnsi" w:hAnsiTheme="minorHAnsi"/>
                <w:sz w:val="22"/>
                <w:szCs w:val="22"/>
              </w:rPr>
              <w:t>Includes individuals in the community who do not meet the F1, C3, or C2 criteria.</w:t>
            </w:r>
          </w:p>
          <w:p w14:paraId="3ABA6F5F" w14:textId="77777777" w:rsidR="00536656" w:rsidRPr="004A5E16" w:rsidRDefault="00536656" w:rsidP="00536656">
            <w:pPr>
              <w:pStyle w:val="TableText"/>
              <w:rPr>
                <w:rFonts w:asciiTheme="minorHAnsi" w:hAnsiTheme="minorHAnsi"/>
                <w:sz w:val="22"/>
                <w:szCs w:val="22"/>
                <w:u w:val="single"/>
              </w:rPr>
            </w:pPr>
            <w:r w:rsidRPr="004A5E16">
              <w:rPr>
                <w:rFonts w:asciiTheme="minorHAnsi" w:hAnsiTheme="minorHAnsi"/>
                <w:sz w:val="22"/>
                <w:szCs w:val="22"/>
                <w:u w:val="single"/>
              </w:rPr>
              <w:t>Proxy Method</w:t>
            </w:r>
          </w:p>
          <w:p w14:paraId="1D4F6CE0" w14:textId="77777777" w:rsidR="00536656" w:rsidRPr="004A5E16" w:rsidRDefault="00536656" w:rsidP="00536656">
            <w:pPr>
              <w:pStyle w:val="TableText"/>
              <w:rPr>
                <w:rFonts w:asciiTheme="minorHAnsi" w:hAnsiTheme="minorHAnsi"/>
                <w:sz w:val="22"/>
                <w:szCs w:val="22"/>
              </w:rPr>
            </w:pPr>
            <w:r w:rsidRPr="004A5E16">
              <w:rPr>
                <w:rFonts w:asciiTheme="minorHAnsi" w:hAnsiTheme="minorHAnsi"/>
                <w:sz w:val="22"/>
                <w:szCs w:val="22"/>
              </w:rPr>
              <w:t xml:space="preserve">The base data for this rating category was developed based on member months and expenditures not in F1, C3, or C2. </w:t>
            </w:r>
          </w:p>
        </w:tc>
      </w:tr>
    </w:tbl>
    <w:p w14:paraId="15092767" w14:textId="77777777" w:rsidR="00536656" w:rsidRPr="004A5E16" w:rsidRDefault="00536656" w:rsidP="00536656">
      <w:pPr>
        <w:rPr>
          <w:rFonts w:asciiTheme="minorHAnsi" w:hAnsiTheme="minorHAnsi" w:cstheme="minorHAnsi"/>
          <w:sz w:val="22"/>
          <w:szCs w:val="22"/>
        </w:rPr>
      </w:pPr>
    </w:p>
    <w:p w14:paraId="1B3953E4"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After an enrollee is assessed, the MDS-HC assessed rating category may differ from the rating category into which he or she was proxied at enrollment.   To address this issue, MassHealth began making retroactive rating category adjustments to plans’ monthly capitation payments in October 2014,</w:t>
      </w:r>
      <w:r w:rsidRPr="004A5E16">
        <w:rPr>
          <w:rFonts w:ascii="Arial" w:hAnsi="Arial" w:cs="Arial"/>
          <w:sz w:val="20"/>
          <w:szCs w:val="20"/>
        </w:rPr>
        <w:t xml:space="preserve"> </w:t>
      </w:r>
      <w:r w:rsidRPr="004A5E16">
        <w:rPr>
          <w:rFonts w:asciiTheme="minorHAnsi" w:hAnsiTheme="minorHAnsi" w:cs="Arial"/>
          <w:sz w:val="22"/>
          <w:szCs w:val="22"/>
        </w:rPr>
        <w:t>compensating plans for up to 3 months of difference between assessed and proxied rating categories. </w:t>
      </w:r>
    </w:p>
    <w:p w14:paraId="01541185" w14:textId="77777777" w:rsidR="00536656" w:rsidRPr="004A5E16" w:rsidRDefault="00536656" w:rsidP="00536656">
      <w:pPr>
        <w:rPr>
          <w:rFonts w:asciiTheme="minorHAnsi" w:hAnsiTheme="minorHAnsi" w:cstheme="minorHAnsi"/>
          <w:sz w:val="22"/>
          <w:szCs w:val="22"/>
        </w:rPr>
      </w:pPr>
    </w:p>
    <w:p w14:paraId="1130DDEE" w14:textId="77777777" w:rsidR="00536656" w:rsidRPr="004A5E16" w:rsidRDefault="00536656" w:rsidP="00536656">
      <w:pPr>
        <w:pStyle w:val="Heading2"/>
        <w:rPr>
          <w:rFonts w:asciiTheme="minorHAnsi" w:hAnsiTheme="minorHAnsi"/>
          <w:sz w:val="22"/>
          <w:szCs w:val="22"/>
        </w:rPr>
      </w:pPr>
      <w:r w:rsidRPr="004A5E16">
        <w:rPr>
          <w:rFonts w:asciiTheme="minorHAnsi" w:hAnsiTheme="minorHAnsi"/>
          <w:sz w:val="22"/>
          <w:szCs w:val="22"/>
        </w:rPr>
        <w:t>C2 Rating Category Split</w:t>
      </w:r>
    </w:p>
    <w:p w14:paraId="1ABEB94C" w14:textId="60D92D29" w:rsidR="00536656" w:rsidRPr="004A5E16" w:rsidRDefault="00536656" w:rsidP="00536656">
      <w:pPr>
        <w:rPr>
          <w:rFonts w:asciiTheme="minorHAnsi" w:hAnsiTheme="minorHAnsi"/>
          <w:sz w:val="22"/>
          <w:szCs w:val="22"/>
        </w:rPr>
      </w:pPr>
      <w:r w:rsidRPr="004A5E16">
        <w:rPr>
          <w:rFonts w:asciiTheme="minorHAnsi" w:hAnsiTheme="minorHAnsi"/>
          <w:sz w:val="22"/>
          <w:szCs w:val="22"/>
        </w:rPr>
        <w:t>In order to further mitigate risk of adverse risk selection to One Care plans, MassHealth further refine</w:t>
      </w:r>
      <w:r w:rsidR="00C479F4">
        <w:rPr>
          <w:rFonts w:asciiTheme="minorHAnsi" w:hAnsiTheme="minorHAnsi"/>
          <w:sz w:val="22"/>
          <w:szCs w:val="22"/>
        </w:rPr>
        <w:t>d</w:t>
      </w:r>
      <w:r w:rsidRPr="004A5E16">
        <w:rPr>
          <w:rFonts w:asciiTheme="minorHAnsi" w:hAnsiTheme="minorHAnsi"/>
          <w:sz w:val="22"/>
          <w:szCs w:val="22"/>
        </w:rPr>
        <w:t xml:space="preserve"> the C2 RC, classifying enrollees into:</w:t>
      </w:r>
    </w:p>
    <w:p w14:paraId="21D762AE" w14:textId="77777777" w:rsidR="00536656" w:rsidRPr="004A5E16" w:rsidRDefault="00536656" w:rsidP="00536656">
      <w:pPr>
        <w:numPr>
          <w:ilvl w:val="0"/>
          <w:numId w:val="12"/>
        </w:numPr>
        <w:rPr>
          <w:rFonts w:asciiTheme="minorHAnsi" w:hAnsiTheme="minorHAnsi" w:cstheme="minorHAnsi"/>
          <w:sz w:val="22"/>
          <w:szCs w:val="22"/>
        </w:rPr>
      </w:pPr>
      <w:r w:rsidRPr="004A5E16">
        <w:rPr>
          <w:rFonts w:asciiTheme="minorHAnsi" w:hAnsiTheme="minorHAnsi" w:cstheme="minorHAnsi"/>
          <w:sz w:val="22"/>
          <w:szCs w:val="22"/>
        </w:rPr>
        <w:t xml:space="preserve">C2A: Community Tier 2 – Community High Behavioral Health </w:t>
      </w:r>
    </w:p>
    <w:p w14:paraId="5EF162AC" w14:textId="77777777" w:rsidR="00536656" w:rsidRPr="004A5E16" w:rsidRDefault="00536656" w:rsidP="00536656">
      <w:pPr>
        <w:numPr>
          <w:ilvl w:val="0"/>
          <w:numId w:val="12"/>
        </w:numPr>
        <w:rPr>
          <w:rFonts w:asciiTheme="minorHAnsi" w:hAnsiTheme="minorHAnsi" w:cstheme="minorHAnsi"/>
          <w:sz w:val="22"/>
          <w:szCs w:val="22"/>
        </w:rPr>
      </w:pPr>
      <w:r w:rsidRPr="004A5E16">
        <w:rPr>
          <w:rFonts w:asciiTheme="minorHAnsi" w:hAnsiTheme="minorHAnsi" w:cstheme="minorHAnsi"/>
          <w:sz w:val="22"/>
          <w:szCs w:val="22"/>
        </w:rPr>
        <w:t xml:space="preserve">C2B: Community Tier 2 – Community Very High Behavioral Health </w:t>
      </w:r>
    </w:p>
    <w:p w14:paraId="6D633E2E" w14:textId="77777777" w:rsidR="00536656" w:rsidRPr="004A5E16" w:rsidRDefault="00536656" w:rsidP="00536656">
      <w:pPr>
        <w:rPr>
          <w:rFonts w:asciiTheme="minorHAnsi" w:hAnsiTheme="minorHAnsi" w:cstheme="minorHAnsi"/>
          <w:sz w:val="22"/>
          <w:szCs w:val="22"/>
        </w:rPr>
      </w:pPr>
    </w:p>
    <w:p w14:paraId="13555D34"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 xml:space="preserve">The C2B rating category includes all the requirements of the 2013 C2-Community High Behavioral Health rating category, but also includes criteria related to specific co-morbid behavioral health and substance abuse conditions. The C2B rating category will include individuals with at least one mental health diagnosis (295.xx, 296.xx, 298.9x), </w:t>
      </w:r>
      <w:r w:rsidRPr="004A5E16">
        <w:rPr>
          <w:rStyle w:val="Strong"/>
          <w:rFonts w:asciiTheme="minorHAnsi" w:hAnsiTheme="minorHAnsi" w:cstheme="minorHAnsi"/>
          <w:sz w:val="22"/>
          <w:szCs w:val="22"/>
        </w:rPr>
        <w:t>and</w:t>
      </w:r>
      <w:r w:rsidRPr="004A5E16">
        <w:rPr>
          <w:rFonts w:asciiTheme="minorHAnsi" w:hAnsiTheme="minorHAnsi" w:cstheme="minorHAnsi"/>
          <w:sz w:val="22"/>
          <w:szCs w:val="22"/>
        </w:rPr>
        <w:t xml:space="preserve"> at least one substance abuse diagnosis (303.90, </w:t>
      </w:r>
      <w:r w:rsidRPr="004A5E16">
        <w:rPr>
          <w:rFonts w:asciiTheme="minorHAnsi" w:hAnsiTheme="minorHAnsi" w:cstheme="minorHAnsi"/>
          <w:sz w:val="22"/>
          <w:szCs w:val="22"/>
        </w:rPr>
        <w:lastRenderedPageBreak/>
        <w:t>303.91, 303.92, 303.93, 304.xx). Any individual that meets the overall C2 criteria, but does not meet the C2B criteria, would be classified as C2A.</w:t>
      </w:r>
    </w:p>
    <w:p w14:paraId="4CE55C59" w14:textId="77777777" w:rsidR="00536656" w:rsidRPr="004A5E16" w:rsidRDefault="00536656" w:rsidP="00536656">
      <w:pPr>
        <w:rPr>
          <w:rFonts w:asciiTheme="minorHAnsi" w:hAnsiTheme="minorHAnsi" w:cstheme="minorHAnsi"/>
          <w:sz w:val="22"/>
          <w:szCs w:val="22"/>
        </w:rPr>
      </w:pPr>
    </w:p>
    <w:p w14:paraId="16148E9D" w14:textId="77777777" w:rsidR="00536656" w:rsidRPr="003C413A" w:rsidRDefault="00536656" w:rsidP="00536656">
      <w:pPr>
        <w:rPr>
          <w:rFonts w:asciiTheme="minorHAnsi" w:hAnsiTheme="minorHAnsi"/>
          <w:b/>
          <w:sz w:val="22"/>
          <w:szCs w:val="22"/>
        </w:rPr>
      </w:pPr>
      <w:r w:rsidRPr="00E5258F">
        <w:rPr>
          <w:rFonts w:asciiTheme="minorHAnsi" w:hAnsiTheme="minorHAnsi"/>
          <w:b/>
          <w:sz w:val="22"/>
          <w:szCs w:val="22"/>
        </w:rPr>
        <w:t>C3 Rating Category Split</w:t>
      </w:r>
    </w:p>
    <w:p w14:paraId="2DAFCD11" w14:textId="06A6746F" w:rsidR="00536656" w:rsidRPr="003C413A" w:rsidRDefault="00536656" w:rsidP="00536656">
      <w:pPr>
        <w:rPr>
          <w:rFonts w:asciiTheme="minorHAnsi" w:hAnsiTheme="minorHAnsi"/>
          <w:sz w:val="22"/>
          <w:szCs w:val="22"/>
        </w:rPr>
      </w:pPr>
      <w:r w:rsidRPr="003C413A">
        <w:rPr>
          <w:rFonts w:asciiTheme="minorHAnsi" w:hAnsiTheme="minorHAnsi"/>
          <w:sz w:val="22"/>
          <w:szCs w:val="22"/>
        </w:rPr>
        <w:t>In order to further mitigate risk of adverse risk selection to One Care plans, MassHealth further refine</w:t>
      </w:r>
      <w:r w:rsidR="00627164">
        <w:rPr>
          <w:rFonts w:asciiTheme="minorHAnsi" w:hAnsiTheme="minorHAnsi"/>
          <w:sz w:val="22"/>
          <w:szCs w:val="22"/>
        </w:rPr>
        <w:t>d</w:t>
      </w:r>
      <w:r w:rsidRPr="003C413A">
        <w:rPr>
          <w:rFonts w:asciiTheme="minorHAnsi" w:hAnsiTheme="minorHAnsi"/>
          <w:sz w:val="22"/>
          <w:szCs w:val="22"/>
        </w:rPr>
        <w:t xml:space="preserve"> the C3 RC, classifying enrollees into:</w:t>
      </w:r>
    </w:p>
    <w:p w14:paraId="4C5AC936" w14:textId="77777777" w:rsidR="00536656" w:rsidRPr="00272452" w:rsidRDefault="00536656" w:rsidP="00536656">
      <w:pPr>
        <w:rPr>
          <w:rFonts w:asciiTheme="minorHAnsi" w:hAnsiTheme="minorHAnsi" w:cstheme="minorHAnsi"/>
          <w:sz w:val="22"/>
          <w:szCs w:val="22"/>
        </w:rPr>
      </w:pPr>
    </w:p>
    <w:p w14:paraId="51E5F3C2" w14:textId="77777777" w:rsidR="00536656" w:rsidRPr="00272452" w:rsidRDefault="00536656" w:rsidP="00536656">
      <w:pPr>
        <w:numPr>
          <w:ilvl w:val="0"/>
          <w:numId w:val="12"/>
        </w:numPr>
        <w:rPr>
          <w:rFonts w:asciiTheme="minorHAnsi" w:hAnsiTheme="minorHAnsi" w:cstheme="minorHAnsi"/>
          <w:sz w:val="22"/>
          <w:szCs w:val="22"/>
        </w:rPr>
      </w:pPr>
      <w:r w:rsidRPr="00272452">
        <w:rPr>
          <w:rFonts w:asciiTheme="minorHAnsi" w:hAnsiTheme="minorHAnsi" w:cstheme="minorHAnsi"/>
          <w:sz w:val="22"/>
          <w:szCs w:val="22"/>
        </w:rPr>
        <w:t>C3A: Community Tier 3 – High Community Need</w:t>
      </w:r>
    </w:p>
    <w:p w14:paraId="7DC53CD4" w14:textId="77777777" w:rsidR="00536656" w:rsidRPr="004A5E16" w:rsidRDefault="00536656" w:rsidP="00536656">
      <w:pPr>
        <w:numPr>
          <w:ilvl w:val="0"/>
          <w:numId w:val="12"/>
        </w:numPr>
        <w:rPr>
          <w:rFonts w:asciiTheme="minorHAnsi" w:hAnsiTheme="minorHAnsi" w:cstheme="minorHAnsi"/>
          <w:sz w:val="22"/>
          <w:szCs w:val="22"/>
        </w:rPr>
      </w:pPr>
      <w:r w:rsidRPr="004A5E16">
        <w:rPr>
          <w:rFonts w:asciiTheme="minorHAnsi" w:hAnsiTheme="minorHAnsi" w:cstheme="minorHAnsi"/>
          <w:sz w:val="22"/>
          <w:szCs w:val="22"/>
        </w:rPr>
        <w:t>C3B: Community Tier 3 – Very High Community Need</w:t>
      </w:r>
    </w:p>
    <w:p w14:paraId="12BB8BAD" w14:textId="77777777" w:rsidR="00536656" w:rsidRPr="004A5E16" w:rsidRDefault="00536656" w:rsidP="00536656">
      <w:pPr>
        <w:ind w:left="1080"/>
        <w:rPr>
          <w:rFonts w:asciiTheme="minorHAnsi" w:hAnsiTheme="minorHAnsi" w:cstheme="minorHAnsi"/>
          <w:sz w:val="22"/>
          <w:szCs w:val="22"/>
        </w:rPr>
      </w:pPr>
    </w:p>
    <w:p w14:paraId="3FEA2CA9"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The C3B rating category includes all the requirements of the 2013 C3-High Community Needs rating category, but also includes criteria related to specific diagnoses.  The C3B rating category will include individuals with a diagnosis of Quadriplegia (ICD-9 344.0x and 343.2x), ALS (ICD-9 335.20), Muscular Dystrophy (ICD-9 359.0x and 359.1x), and/or Respirator Dependence (ICD-9 V461x).  Any individual that meets the overall C3 criteria, but does not meet the C3B criteria, would be classified as C3A.</w:t>
      </w:r>
    </w:p>
    <w:p w14:paraId="15C02DCF" w14:textId="77777777" w:rsidR="00536656" w:rsidRPr="004A5E16" w:rsidRDefault="00536656" w:rsidP="00536656">
      <w:pPr>
        <w:pStyle w:val="PlainText"/>
        <w:tabs>
          <w:tab w:val="num" w:pos="1800"/>
        </w:tabs>
        <w:rPr>
          <w:rFonts w:asciiTheme="minorHAnsi" w:hAnsiTheme="minorHAnsi" w:cstheme="minorHAnsi"/>
          <w:sz w:val="22"/>
          <w:szCs w:val="22"/>
          <w:highlight w:val="lightGray"/>
        </w:rPr>
      </w:pPr>
    </w:p>
    <w:p w14:paraId="08AA0C95" w14:textId="77777777" w:rsidR="00536656" w:rsidRPr="003C413A" w:rsidRDefault="00536656" w:rsidP="00536656">
      <w:pPr>
        <w:pStyle w:val="PlainText"/>
        <w:tabs>
          <w:tab w:val="num" w:pos="1800"/>
        </w:tabs>
        <w:rPr>
          <w:rFonts w:asciiTheme="minorHAnsi" w:hAnsiTheme="minorHAnsi" w:cstheme="minorHAnsi"/>
          <w:b/>
          <w:sz w:val="22"/>
          <w:szCs w:val="22"/>
        </w:rPr>
      </w:pPr>
      <w:r w:rsidRPr="003C413A">
        <w:rPr>
          <w:rFonts w:asciiTheme="minorHAnsi" w:hAnsiTheme="minorHAnsi" w:cstheme="minorHAnsi"/>
          <w:b/>
          <w:sz w:val="22"/>
          <w:szCs w:val="22"/>
        </w:rPr>
        <w:t>Rate Relativity Factors</w:t>
      </w:r>
    </w:p>
    <w:p w14:paraId="7EB1744F" w14:textId="77777777" w:rsidR="00536656" w:rsidRPr="004A5E16" w:rsidRDefault="00536656" w:rsidP="00536656">
      <w:pPr>
        <w:pStyle w:val="PlainText"/>
        <w:tabs>
          <w:tab w:val="num" w:pos="1800"/>
        </w:tabs>
        <w:rPr>
          <w:rFonts w:asciiTheme="minorHAnsi" w:hAnsiTheme="minorHAnsi" w:cstheme="minorHAnsi"/>
          <w:b/>
          <w:sz w:val="22"/>
          <w:szCs w:val="22"/>
        </w:rPr>
      </w:pPr>
      <w:r w:rsidRPr="00272452">
        <w:rPr>
          <w:rFonts w:asciiTheme="minorHAnsi" w:hAnsiTheme="minorHAnsi" w:cstheme="minorHAnsi"/>
          <w:sz w:val="22"/>
          <w:szCs w:val="22"/>
        </w:rPr>
        <w:t>The rate relativity process used to develop the capitatio</w:t>
      </w:r>
      <w:r w:rsidRPr="004A5E16">
        <w:rPr>
          <w:rFonts w:asciiTheme="minorHAnsi" w:hAnsiTheme="minorHAnsi" w:cstheme="minorHAnsi"/>
          <w:sz w:val="22"/>
          <w:szCs w:val="22"/>
        </w:rPr>
        <w:t>n rates for the C2A/C2B and C3A/C3B rating categories can be described at a high level as:</w:t>
      </w:r>
    </w:p>
    <w:p w14:paraId="78C80623" w14:textId="77777777" w:rsidR="00536656" w:rsidRPr="004A5E16" w:rsidRDefault="00536656" w:rsidP="00536656">
      <w:pPr>
        <w:pStyle w:val="PlainText"/>
        <w:numPr>
          <w:ilvl w:val="0"/>
          <w:numId w:val="11"/>
        </w:numPr>
        <w:spacing w:after="120"/>
        <w:rPr>
          <w:rFonts w:asciiTheme="minorHAnsi" w:hAnsiTheme="minorHAnsi" w:cstheme="minorHAnsi"/>
          <w:sz w:val="22"/>
          <w:szCs w:val="22"/>
        </w:rPr>
      </w:pPr>
      <w:r w:rsidRPr="004A5E16">
        <w:rPr>
          <w:rFonts w:asciiTheme="minorHAnsi" w:hAnsiTheme="minorHAnsi" w:cstheme="minorHAnsi"/>
          <w:sz w:val="22"/>
          <w:szCs w:val="22"/>
        </w:rPr>
        <w:t>Relative total costs of C2A/C2B and C3A/C3B to the overall C2 and C3 rating categories, respectively, were developed using the base data.</w:t>
      </w:r>
    </w:p>
    <w:p w14:paraId="2CA06E44" w14:textId="77777777" w:rsidR="00536656" w:rsidRPr="004A5E16" w:rsidRDefault="00536656" w:rsidP="00536656">
      <w:pPr>
        <w:pStyle w:val="PlainText"/>
        <w:numPr>
          <w:ilvl w:val="0"/>
          <w:numId w:val="11"/>
        </w:numPr>
        <w:spacing w:after="120"/>
        <w:rPr>
          <w:rFonts w:asciiTheme="minorHAnsi" w:hAnsiTheme="minorHAnsi" w:cstheme="minorHAnsi"/>
          <w:sz w:val="22"/>
          <w:szCs w:val="22"/>
        </w:rPr>
      </w:pPr>
      <w:r w:rsidRPr="004A5E16">
        <w:rPr>
          <w:rFonts w:asciiTheme="minorHAnsi" w:hAnsiTheme="minorHAnsi" w:cstheme="minorHAnsi"/>
          <w:sz w:val="22"/>
          <w:szCs w:val="22"/>
        </w:rPr>
        <w:t>Projected costs for the C2 and C3 rating categories were developed by region following the same process as was used for CY 2013 rates.</w:t>
      </w:r>
    </w:p>
    <w:p w14:paraId="21B302CB" w14:textId="77777777" w:rsidR="00536656" w:rsidRPr="004A5E16" w:rsidRDefault="00536656" w:rsidP="00536656">
      <w:pPr>
        <w:pStyle w:val="PlainText"/>
        <w:numPr>
          <w:ilvl w:val="0"/>
          <w:numId w:val="11"/>
        </w:numPr>
        <w:spacing w:after="120"/>
        <w:rPr>
          <w:rFonts w:asciiTheme="minorHAnsi" w:hAnsiTheme="minorHAnsi" w:cstheme="minorHAnsi"/>
          <w:sz w:val="22"/>
          <w:szCs w:val="22"/>
        </w:rPr>
      </w:pPr>
      <w:r w:rsidRPr="004A5E16">
        <w:rPr>
          <w:rFonts w:asciiTheme="minorHAnsi" w:hAnsiTheme="minorHAnsi" w:cstheme="minorHAnsi"/>
          <w:sz w:val="22"/>
          <w:szCs w:val="22"/>
        </w:rPr>
        <w:t>The C2A/C2B and the C3A/C3B relativity factors were applied to the total projected medical PMPM for the C2 and C3 rating categories, respectively, to develop projected costs for the C2A/C2B and C3A/C3B rating categories.</w:t>
      </w:r>
    </w:p>
    <w:p w14:paraId="6B7EE249" w14:textId="77777777" w:rsidR="00536656" w:rsidRPr="004A5E16" w:rsidRDefault="00536656" w:rsidP="00536656">
      <w:pPr>
        <w:pStyle w:val="PlainText"/>
        <w:numPr>
          <w:ilvl w:val="0"/>
          <w:numId w:val="11"/>
        </w:numPr>
        <w:spacing w:after="120"/>
        <w:rPr>
          <w:rFonts w:asciiTheme="minorHAnsi" w:hAnsiTheme="minorHAnsi" w:cstheme="minorHAnsi"/>
          <w:sz w:val="22"/>
          <w:szCs w:val="22"/>
        </w:rPr>
      </w:pPr>
      <w:r w:rsidRPr="004A5E16">
        <w:rPr>
          <w:rFonts w:asciiTheme="minorHAnsi" w:hAnsiTheme="minorHAnsi" w:cstheme="minorHAnsi"/>
          <w:sz w:val="22"/>
          <w:szCs w:val="22"/>
        </w:rPr>
        <w:t>Adjustments for administration, seasonality, savings and enrollee contribution to care were applied to produce the final capitation rates.</w:t>
      </w:r>
    </w:p>
    <w:p w14:paraId="7DBC01BA" w14:textId="77777777" w:rsidR="00536656" w:rsidRPr="004A5E16" w:rsidRDefault="00536656" w:rsidP="00536656">
      <w:pPr>
        <w:rPr>
          <w:rFonts w:asciiTheme="minorHAnsi" w:hAnsiTheme="minorHAnsi" w:cstheme="minorHAnsi"/>
          <w:sz w:val="22"/>
          <w:szCs w:val="22"/>
        </w:rPr>
      </w:pPr>
    </w:p>
    <w:p w14:paraId="309B3C79"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The C2A and C2B rate relativity factors applied to the C2 projected expenditures are:</w:t>
      </w:r>
    </w:p>
    <w:p w14:paraId="4E6BCA31" w14:textId="77777777" w:rsidR="00536656" w:rsidRPr="004A5E16" w:rsidRDefault="00536656" w:rsidP="00536656">
      <w:pPr>
        <w:rPr>
          <w:rFonts w:asciiTheme="minorHAnsi" w:hAnsiTheme="minorHAnsi" w:cstheme="minorHAnsi"/>
          <w:sz w:val="22"/>
          <w:szCs w:val="22"/>
        </w:rPr>
      </w:pPr>
    </w:p>
    <w:tbl>
      <w:tblPr>
        <w:tblW w:w="4050" w:type="dxa"/>
        <w:tblInd w:w="2808" w:type="dxa"/>
        <w:tblLook w:val="04A0" w:firstRow="1" w:lastRow="0" w:firstColumn="1" w:lastColumn="0" w:noHBand="0" w:noVBand="1"/>
      </w:tblPr>
      <w:tblGrid>
        <w:gridCol w:w="960"/>
        <w:gridCol w:w="960"/>
        <w:gridCol w:w="983"/>
        <w:gridCol w:w="1147"/>
      </w:tblGrid>
      <w:tr w:rsidR="00536656" w:rsidRPr="004A5E16" w14:paraId="434E19DF" w14:textId="77777777" w:rsidTr="00536656">
        <w:trPr>
          <w:trHeight w:val="315"/>
        </w:trPr>
        <w:tc>
          <w:tcPr>
            <w:tcW w:w="9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838AAA5" w14:textId="77777777" w:rsidR="00536656" w:rsidRPr="004A5E16" w:rsidRDefault="00536656" w:rsidP="00536656">
            <w:pPr>
              <w:rPr>
                <w:rFonts w:asciiTheme="minorHAnsi" w:hAnsiTheme="minorHAnsi" w:cstheme="minorHAnsi"/>
                <w:color w:val="000000"/>
                <w:sz w:val="22"/>
                <w:szCs w:val="22"/>
              </w:rPr>
            </w:pPr>
            <w:r w:rsidRPr="004A5E16">
              <w:rPr>
                <w:rFonts w:asciiTheme="minorHAnsi" w:hAnsiTheme="minorHAnsi" w:cstheme="minorHAnsi"/>
                <w:color w:val="000000"/>
                <w:sz w:val="22"/>
                <w:szCs w:val="22"/>
              </w:rPr>
              <w:t> </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14:paraId="50F7448C" w14:textId="77777777" w:rsidR="00536656" w:rsidRPr="004A5E16" w:rsidRDefault="00536656" w:rsidP="00536656">
            <w:pPr>
              <w:rPr>
                <w:rFonts w:asciiTheme="minorHAnsi" w:hAnsiTheme="minorHAnsi" w:cstheme="minorHAnsi"/>
                <w:color w:val="000000"/>
                <w:sz w:val="22"/>
                <w:szCs w:val="22"/>
              </w:rPr>
            </w:pPr>
            <w:r w:rsidRPr="004A5E16">
              <w:rPr>
                <w:rFonts w:asciiTheme="minorHAnsi" w:hAnsiTheme="minorHAnsi" w:cstheme="minorHAnsi"/>
                <w:color w:val="000000"/>
                <w:sz w:val="22"/>
                <w:szCs w:val="22"/>
              </w:rPr>
              <w:t>Eastern</w:t>
            </w:r>
          </w:p>
        </w:tc>
        <w:tc>
          <w:tcPr>
            <w:tcW w:w="983" w:type="dxa"/>
            <w:tcBorders>
              <w:top w:val="single" w:sz="8" w:space="0" w:color="auto"/>
              <w:left w:val="nil"/>
              <w:bottom w:val="single" w:sz="4" w:space="0" w:color="auto"/>
              <w:right w:val="single" w:sz="4" w:space="0" w:color="auto"/>
            </w:tcBorders>
            <w:shd w:val="clear" w:color="auto" w:fill="auto"/>
            <w:noWrap/>
            <w:vAlign w:val="bottom"/>
            <w:hideMark/>
          </w:tcPr>
          <w:p w14:paraId="390D8913" w14:textId="77777777" w:rsidR="00536656" w:rsidRPr="004A5E16" w:rsidRDefault="00536656" w:rsidP="00536656">
            <w:pPr>
              <w:rPr>
                <w:rFonts w:asciiTheme="minorHAnsi" w:hAnsiTheme="minorHAnsi" w:cstheme="minorHAnsi"/>
                <w:color w:val="000000"/>
                <w:sz w:val="22"/>
                <w:szCs w:val="22"/>
              </w:rPr>
            </w:pPr>
            <w:r w:rsidRPr="004A5E16">
              <w:rPr>
                <w:rFonts w:asciiTheme="minorHAnsi" w:hAnsiTheme="minorHAnsi" w:cstheme="minorHAnsi"/>
                <w:color w:val="000000"/>
                <w:sz w:val="22"/>
                <w:szCs w:val="22"/>
              </w:rPr>
              <w:t>Western</w:t>
            </w:r>
          </w:p>
        </w:tc>
        <w:tc>
          <w:tcPr>
            <w:tcW w:w="1147" w:type="dxa"/>
            <w:tcBorders>
              <w:top w:val="single" w:sz="8" w:space="0" w:color="auto"/>
              <w:left w:val="nil"/>
              <w:bottom w:val="single" w:sz="4" w:space="0" w:color="auto"/>
              <w:right w:val="single" w:sz="8" w:space="0" w:color="auto"/>
            </w:tcBorders>
            <w:shd w:val="clear" w:color="auto" w:fill="auto"/>
            <w:noWrap/>
            <w:vAlign w:val="bottom"/>
            <w:hideMark/>
          </w:tcPr>
          <w:p w14:paraId="57506C0D" w14:textId="77777777" w:rsidR="00536656" w:rsidRPr="004A5E16" w:rsidRDefault="00536656" w:rsidP="00536656">
            <w:pPr>
              <w:rPr>
                <w:rFonts w:asciiTheme="minorHAnsi" w:hAnsiTheme="minorHAnsi" w:cstheme="minorHAnsi"/>
                <w:color w:val="000000"/>
                <w:sz w:val="22"/>
                <w:szCs w:val="22"/>
              </w:rPr>
            </w:pPr>
            <w:r w:rsidRPr="004A5E16">
              <w:rPr>
                <w:rFonts w:asciiTheme="minorHAnsi" w:hAnsiTheme="minorHAnsi" w:cstheme="minorHAnsi"/>
                <w:color w:val="000000"/>
                <w:sz w:val="22"/>
                <w:szCs w:val="22"/>
              </w:rPr>
              <w:t>The Cape</w:t>
            </w:r>
          </w:p>
        </w:tc>
      </w:tr>
      <w:tr w:rsidR="00536656" w:rsidRPr="004A5E16" w14:paraId="310CE194" w14:textId="77777777" w:rsidTr="00536656">
        <w:trPr>
          <w:trHeight w:val="31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643501D" w14:textId="77777777" w:rsidR="00536656" w:rsidRPr="004A5E16" w:rsidRDefault="00536656" w:rsidP="00536656">
            <w:pPr>
              <w:rPr>
                <w:rFonts w:asciiTheme="minorHAnsi" w:hAnsiTheme="minorHAnsi" w:cstheme="minorHAnsi"/>
                <w:color w:val="000000"/>
                <w:sz w:val="22"/>
                <w:szCs w:val="22"/>
              </w:rPr>
            </w:pPr>
            <w:r w:rsidRPr="004A5E16">
              <w:rPr>
                <w:rFonts w:asciiTheme="minorHAnsi" w:hAnsiTheme="minorHAnsi" w:cstheme="minorHAnsi"/>
                <w:color w:val="000000"/>
                <w:sz w:val="22"/>
                <w:szCs w:val="22"/>
              </w:rPr>
              <w:t>C2A</w:t>
            </w:r>
          </w:p>
        </w:tc>
        <w:tc>
          <w:tcPr>
            <w:tcW w:w="960" w:type="dxa"/>
            <w:tcBorders>
              <w:top w:val="nil"/>
              <w:left w:val="nil"/>
              <w:bottom w:val="single" w:sz="4" w:space="0" w:color="auto"/>
              <w:right w:val="single" w:sz="4" w:space="0" w:color="auto"/>
            </w:tcBorders>
            <w:shd w:val="clear" w:color="auto" w:fill="auto"/>
            <w:noWrap/>
            <w:vAlign w:val="center"/>
          </w:tcPr>
          <w:p w14:paraId="7F6522AD"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-9.4%</w:t>
            </w:r>
          </w:p>
        </w:tc>
        <w:tc>
          <w:tcPr>
            <w:tcW w:w="983" w:type="dxa"/>
            <w:tcBorders>
              <w:top w:val="nil"/>
              <w:left w:val="nil"/>
              <w:bottom w:val="single" w:sz="4" w:space="0" w:color="auto"/>
              <w:right w:val="single" w:sz="4" w:space="0" w:color="auto"/>
            </w:tcBorders>
            <w:shd w:val="clear" w:color="auto" w:fill="auto"/>
            <w:noWrap/>
            <w:vAlign w:val="center"/>
          </w:tcPr>
          <w:p w14:paraId="65F04540"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-8.5%</w:t>
            </w:r>
          </w:p>
        </w:tc>
        <w:tc>
          <w:tcPr>
            <w:tcW w:w="1147" w:type="dxa"/>
            <w:tcBorders>
              <w:top w:val="nil"/>
              <w:left w:val="nil"/>
              <w:bottom w:val="single" w:sz="4" w:space="0" w:color="auto"/>
              <w:right w:val="single" w:sz="8" w:space="0" w:color="auto"/>
            </w:tcBorders>
            <w:shd w:val="clear" w:color="auto" w:fill="auto"/>
            <w:noWrap/>
            <w:vAlign w:val="center"/>
          </w:tcPr>
          <w:p w14:paraId="4D9D9293"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-8.9%</w:t>
            </w:r>
          </w:p>
        </w:tc>
      </w:tr>
      <w:tr w:rsidR="00536656" w:rsidRPr="004A5E16" w14:paraId="69AF8E78" w14:textId="77777777" w:rsidTr="00536656">
        <w:trPr>
          <w:trHeight w:val="315"/>
        </w:trPr>
        <w:tc>
          <w:tcPr>
            <w:tcW w:w="960" w:type="dxa"/>
            <w:tcBorders>
              <w:top w:val="nil"/>
              <w:left w:val="single" w:sz="8" w:space="0" w:color="auto"/>
              <w:bottom w:val="single" w:sz="8" w:space="0" w:color="auto"/>
              <w:right w:val="single" w:sz="4" w:space="0" w:color="auto"/>
            </w:tcBorders>
            <w:shd w:val="clear" w:color="auto" w:fill="auto"/>
            <w:noWrap/>
            <w:vAlign w:val="bottom"/>
            <w:hideMark/>
          </w:tcPr>
          <w:p w14:paraId="5636ABE1" w14:textId="77777777" w:rsidR="00536656" w:rsidRPr="004A5E16" w:rsidRDefault="00536656" w:rsidP="00536656">
            <w:pPr>
              <w:rPr>
                <w:rFonts w:asciiTheme="minorHAnsi" w:hAnsiTheme="minorHAnsi" w:cstheme="minorHAnsi"/>
                <w:color w:val="000000"/>
                <w:sz w:val="22"/>
                <w:szCs w:val="22"/>
              </w:rPr>
            </w:pPr>
            <w:r w:rsidRPr="004A5E16">
              <w:rPr>
                <w:rFonts w:asciiTheme="minorHAnsi" w:hAnsiTheme="minorHAnsi" w:cstheme="minorHAnsi"/>
                <w:color w:val="000000"/>
                <w:sz w:val="22"/>
                <w:szCs w:val="22"/>
              </w:rPr>
              <w:t>C2B</w:t>
            </w:r>
          </w:p>
        </w:tc>
        <w:tc>
          <w:tcPr>
            <w:tcW w:w="960" w:type="dxa"/>
            <w:tcBorders>
              <w:top w:val="nil"/>
              <w:left w:val="nil"/>
              <w:bottom w:val="single" w:sz="8" w:space="0" w:color="auto"/>
              <w:right w:val="single" w:sz="4" w:space="0" w:color="auto"/>
            </w:tcBorders>
            <w:shd w:val="clear" w:color="auto" w:fill="auto"/>
            <w:noWrap/>
            <w:vAlign w:val="center"/>
          </w:tcPr>
          <w:p w14:paraId="0A6CAAA9"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37.4%</w:t>
            </w:r>
          </w:p>
        </w:tc>
        <w:tc>
          <w:tcPr>
            <w:tcW w:w="983" w:type="dxa"/>
            <w:tcBorders>
              <w:top w:val="nil"/>
              <w:left w:val="nil"/>
              <w:bottom w:val="single" w:sz="8" w:space="0" w:color="auto"/>
              <w:right w:val="single" w:sz="4" w:space="0" w:color="auto"/>
            </w:tcBorders>
            <w:shd w:val="clear" w:color="auto" w:fill="auto"/>
            <w:noWrap/>
            <w:vAlign w:val="center"/>
          </w:tcPr>
          <w:p w14:paraId="05DBD9A8"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38.8%</w:t>
            </w:r>
          </w:p>
        </w:tc>
        <w:tc>
          <w:tcPr>
            <w:tcW w:w="1147" w:type="dxa"/>
            <w:tcBorders>
              <w:top w:val="nil"/>
              <w:left w:val="nil"/>
              <w:bottom w:val="single" w:sz="8" w:space="0" w:color="auto"/>
              <w:right w:val="single" w:sz="8" w:space="0" w:color="auto"/>
            </w:tcBorders>
            <w:shd w:val="clear" w:color="auto" w:fill="auto"/>
            <w:noWrap/>
            <w:vAlign w:val="center"/>
          </w:tcPr>
          <w:p w14:paraId="5E39C7B7"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38.3%</w:t>
            </w:r>
          </w:p>
        </w:tc>
      </w:tr>
    </w:tbl>
    <w:p w14:paraId="0EF98D61" w14:textId="77777777" w:rsidR="00536656" w:rsidRPr="004A5E16" w:rsidRDefault="00536656" w:rsidP="00536656">
      <w:pPr>
        <w:rPr>
          <w:rFonts w:asciiTheme="minorHAnsi" w:hAnsiTheme="minorHAnsi" w:cstheme="minorHAnsi"/>
          <w:sz w:val="22"/>
          <w:szCs w:val="22"/>
        </w:rPr>
      </w:pPr>
    </w:p>
    <w:p w14:paraId="16B1786A"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The C3A and C3B rate relativity factors applied to the C3 projected expenditures are:</w:t>
      </w:r>
    </w:p>
    <w:p w14:paraId="31653A7F" w14:textId="77777777" w:rsidR="00536656" w:rsidRPr="004A5E16" w:rsidRDefault="00536656" w:rsidP="00536656">
      <w:pPr>
        <w:rPr>
          <w:rFonts w:asciiTheme="minorHAnsi" w:hAnsiTheme="minorHAnsi" w:cstheme="minorHAnsi"/>
          <w:sz w:val="22"/>
          <w:szCs w:val="22"/>
        </w:rPr>
      </w:pPr>
    </w:p>
    <w:tbl>
      <w:tblPr>
        <w:tblW w:w="4050" w:type="dxa"/>
        <w:tblInd w:w="2808" w:type="dxa"/>
        <w:tblLook w:val="04A0" w:firstRow="1" w:lastRow="0" w:firstColumn="1" w:lastColumn="0" w:noHBand="0" w:noVBand="1"/>
      </w:tblPr>
      <w:tblGrid>
        <w:gridCol w:w="960"/>
        <w:gridCol w:w="960"/>
        <w:gridCol w:w="983"/>
        <w:gridCol w:w="1147"/>
      </w:tblGrid>
      <w:tr w:rsidR="00536656" w:rsidRPr="004A5E16" w14:paraId="5DCD1C8C" w14:textId="77777777" w:rsidTr="00536656">
        <w:trPr>
          <w:trHeight w:val="315"/>
        </w:trPr>
        <w:tc>
          <w:tcPr>
            <w:tcW w:w="9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381F8A0" w14:textId="77777777" w:rsidR="00536656" w:rsidRPr="004A5E16" w:rsidRDefault="00536656" w:rsidP="00536656">
            <w:pPr>
              <w:rPr>
                <w:rFonts w:asciiTheme="minorHAnsi" w:hAnsiTheme="minorHAnsi" w:cstheme="minorHAnsi"/>
                <w:color w:val="000000"/>
                <w:sz w:val="22"/>
                <w:szCs w:val="22"/>
              </w:rPr>
            </w:pPr>
            <w:r w:rsidRPr="004A5E16">
              <w:rPr>
                <w:rFonts w:asciiTheme="minorHAnsi" w:hAnsiTheme="minorHAnsi" w:cstheme="minorHAnsi"/>
                <w:color w:val="000000"/>
                <w:sz w:val="22"/>
                <w:szCs w:val="22"/>
              </w:rPr>
              <w:t> </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14:paraId="7C2BC778" w14:textId="77777777" w:rsidR="00536656" w:rsidRPr="004A5E16" w:rsidRDefault="00536656" w:rsidP="00536656">
            <w:pPr>
              <w:rPr>
                <w:rFonts w:asciiTheme="minorHAnsi" w:hAnsiTheme="minorHAnsi" w:cstheme="minorHAnsi"/>
                <w:color w:val="000000"/>
                <w:sz w:val="22"/>
                <w:szCs w:val="22"/>
              </w:rPr>
            </w:pPr>
            <w:r w:rsidRPr="004A5E16">
              <w:rPr>
                <w:rFonts w:asciiTheme="minorHAnsi" w:hAnsiTheme="minorHAnsi" w:cstheme="minorHAnsi"/>
                <w:color w:val="000000"/>
                <w:sz w:val="22"/>
                <w:szCs w:val="22"/>
              </w:rPr>
              <w:t>Eastern</w:t>
            </w:r>
          </w:p>
        </w:tc>
        <w:tc>
          <w:tcPr>
            <w:tcW w:w="983" w:type="dxa"/>
            <w:tcBorders>
              <w:top w:val="single" w:sz="8" w:space="0" w:color="auto"/>
              <w:left w:val="nil"/>
              <w:bottom w:val="single" w:sz="4" w:space="0" w:color="auto"/>
              <w:right w:val="single" w:sz="4" w:space="0" w:color="auto"/>
            </w:tcBorders>
            <w:shd w:val="clear" w:color="auto" w:fill="auto"/>
            <w:noWrap/>
            <w:vAlign w:val="bottom"/>
            <w:hideMark/>
          </w:tcPr>
          <w:p w14:paraId="36905363" w14:textId="77777777" w:rsidR="00536656" w:rsidRPr="004A5E16" w:rsidRDefault="00536656" w:rsidP="00536656">
            <w:pPr>
              <w:rPr>
                <w:rFonts w:asciiTheme="minorHAnsi" w:hAnsiTheme="minorHAnsi" w:cstheme="minorHAnsi"/>
                <w:color w:val="000000"/>
                <w:sz w:val="22"/>
                <w:szCs w:val="22"/>
              </w:rPr>
            </w:pPr>
            <w:r w:rsidRPr="004A5E16">
              <w:rPr>
                <w:rFonts w:asciiTheme="minorHAnsi" w:hAnsiTheme="minorHAnsi" w:cstheme="minorHAnsi"/>
                <w:color w:val="000000"/>
                <w:sz w:val="22"/>
                <w:szCs w:val="22"/>
              </w:rPr>
              <w:t>Western</w:t>
            </w:r>
          </w:p>
        </w:tc>
        <w:tc>
          <w:tcPr>
            <w:tcW w:w="1147" w:type="dxa"/>
            <w:tcBorders>
              <w:top w:val="single" w:sz="8" w:space="0" w:color="auto"/>
              <w:left w:val="nil"/>
              <w:bottom w:val="single" w:sz="4" w:space="0" w:color="auto"/>
              <w:right w:val="single" w:sz="8" w:space="0" w:color="auto"/>
            </w:tcBorders>
            <w:shd w:val="clear" w:color="auto" w:fill="auto"/>
            <w:noWrap/>
            <w:vAlign w:val="bottom"/>
            <w:hideMark/>
          </w:tcPr>
          <w:p w14:paraId="59DBBC21" w14:textId="77777777" w:rsidR="00536656" w:rsidRPr="004A5E16" w:rsidRDefault="00536656" w:rsidP="00536656">
            <w:pPr>
              <w:rPr>
                <w:rFonts w:asciiTheme="minorHAnsi" w:hAnsiTheme="minorHAnsi" w:cstheme="minorHAnsi"/>
                <w:color w:val="000000"/>
                <w:sz w:val="22"/>
                <w:szCs w:val="22"/>
              </w:rPr>
            </w:pPr>
            <w:r w:rsidRPr="004A5E16">
              <w:rPr>
                <w:rFonts w:asciiTheme="minorHAnsi" w:hAnsiTheme="minorHAnsi" w:cstheme="minorHAnsi"/>
                <w:color w:val="000000"/>
                <w:sz w:val="22"/>
                <w:szCs w:val="22"/>
              </w:rPr>
              <w:t>The Cape</w:t>
            </w:r>
          </w:p>
        </w:tc>
      </w:tr>
      <w:tr w:rsidR="00536656" w:rsidRPr="004A5E16" w14:paraId="29000B40" w14:textId="77777777" w:rsidTr="00536656">
        <w:trPr>
          <w:trHeight w:val="31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0CD098B" w14:textId="77777777" w:rsidR="00536656" w:rsidRPr="004A5E16" w:rsidRDefault="00536656" w:rsidP="00536656">
            <w:pPr>
              <w:rPr>
                <w:rFonts w:asciiTheme="minorHAnsi" w:hAnsiTheme="minorHAnsi" w:cstheme="minorHAnsi"/>
                <w:color w:val="000000"/>
                <w:sz w:val="22"/>
                <w:szCs w:val="22"/>
              </w:rPr>
            </w:pPr>
            <w:r w:rsidRPr="004A5E16">
              <w:rPr>
                <w:rFonts w:asciiTheme="minorHAnsi" w:hAnsiTheme="minorHAnsi" w:cstheme="minorHAnsi"/>
                <w:color w:val="000000"/>
                <w:sz w:val="22"/>
                <w:szCs w:val="22"/>
              </w:rPr>
              <w:t>C3A</w:t>
            </w:r>
          </w:p>
        </w:tc>
        <w:tc>
          <w:tcPr>
            <w:tcW w:w="960" w:type="dxa"/>
            <w:tcBorders>
              <w:top w:val="nil"/>
              <w:left w:val="nil"/>
              <w:bottom w:val="single" w:sz="4" w:space="0" w:color="auto"/>
              <w:right w:val="single" w:sz="4" w:space="0" w:color="auto"/>
            </w:tcBorders>
            <w:shd w:val="clear" w:color="auto" w:fill="auto"/>
            <w:noWrap/>
            <w:vAlign w:val="center"/>
          </w:tcPr>
          <w:p w14:paraId="74F3D570"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-6.7%</w:t>
            </w:r>
          </w:p>
        </w:tc>
        <w:tc>
          <w:tcPr>
            <w:tcW w:w="983" w:type="dxa"/>
            <w:tcBorders>
              <w:top w:val="nil"/>
              <w:left w:val="nil"/>
              <w:bottom w:val="single" w:sz="4" w:space="0" w:color="auto"/>
              <w:right w:val="single" w:sz="4" w:space="0" w:color="auto"/>
            </w:tcBorders>
            <w:shd w:val="clear" w:color="auto" w:fill="auto"/>
            <w:noWrap/>
            <w:vAlign w:val="center"/>
          </w:tcPr>
          <w:p w14:paraId="49500F84"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-6.8%</w:t>
            </w:r>
          </w:p>
        </w:tc>
        <w:tc>
          <w:tcPr>
            <w:tcW w:w="1147" w:type="dxa"/>
            <w:tcBorders>
              <w:top w:val="nil"/>
              <w:left w:val="nil"/>
              <w:bottom w:val="single" w:sz="4" w:space="0" w:color="auto"/>
              <w:right w:val="single" w:sz="8" w:space="0" w:color="auto"/>
            </w:tcBorders>
            <w:shd w:val="clear" w:color="auto" w:fill="auto"/>
            <w:noWrap/>
            <w:vAlign w:val="center"/>
          </w:tcPr>
          <w:p w14:paraId="1F700F1A"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-9.4%</w:t>
            </w:r>
          </w:p>
        </w:tc>
      </w:tr>
      <w:tr w:rsidR="00536656" w:rsidRPr="004A5E16" w14:paraId="596A6CB4" w14:textId="77777777" w:rsidTr="00536656">
        <w:trPr>
          <w:trHeight w:val="315"/>
        </w:trPr>
        <w:tc>
          <w:tcPr>
            <w:tcW w:w="960" w:type="dxa"/>
            <w:tcBorders>
              <w:top w:val="nil"/>
              <w:left w:val="single" w:sz="8" w:space="0" w:color="auto"/>
              <w:bottom w:val="single" w:sz="8" w:space="0" w:color="auto"/>
              <w:right w:val="single" w:sz="4" w:space="0" w:color="auto"/>
            </w:tcBorders>
            <w:shd w:val="clear" w:color="auto" w:fill="auto"/>
            <w:noWrap/>
            <w:vAlign w:val="bottom"/>
            <w:hideMark/>
          </w:tcPr>
          <w:p w14:paraId="01BC4F93" w14:textId="77777777" w:rsidR="00536656" w:rsidRPr="004A5E16" w:rsidRDefault="00536656" w:rsidP="00536656">
            <w:pPr>
              <w:rPr>
                <w:rFonts w:asciiTheme="minorHAnsi" w:hAnsiTheme="minorHAnsi" w:cstheme="minorHAnsi"/>
                <w:color w:val="000000"/>
                <w:sz w:val="22"/>
                <w:szCs w:val="22"/>
              </w:rPr>
            </w:pPr>
            <w:r w:rsidRPr="004A5E16">
              <w:rPr>
                <w:rFonts w:asciiTheme="minorHAnsi" w:hAnsiTheme="minorHAnsi" w:cstheme="minorHAnsi"/>
                <w:color w:val="000000"/>
                <w:sz w:val="22"/>
                <w:szCs w:val="22"/>
              </w:rPr>
              <w:t>C3B</w:t>
            </w:r>
          </w:p>
        </w:tc>
        <w:tc>
          <w:tcPr>
            <w:tcW w:w="960" w:type="dxa"/>
            <w:tcBorders>
              <w:top w:val="nil"/>
              <w:left w:val="nil"/>
              <w:bottom w:val="single" w:sz="8" w:space="0" w:color="auto"/>
              <w:right w:val="single" w:sz="4" w:space="0" w:color="auto"/>
            </w:tcBorders>
            <w:shd w:val="clear" w:color="auto" w:fill="auto"/>
            <w:noWrap/>
            <w:vAlign w:val="center"/>
          </w:tcPr>
          <w:p w14:paraId="30456C28"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78.0%</w:t>
            </w:r>
          </w:p>
        </w:tc>
        <w:tc>
          <w:tcPr>
            <w:tcW w:w="983" w:type="dxa"/>
            <w:tcBorders>
              <w:top w:val="nil"/>
              <w:left w:val="nil"/>
              <w:bottom w:val="single" w:sz="8" w:space="0" w:color="auto"/>
              <w:right w:val="single" w:sz="4" w:space="0" w:color="auto"/>
            </w:tcBorders>
            <w:shd w:val="clear" w:color="auto" w:fill="auto"/>
            <w:noWrap/>
            <w:vAlign w:val="center"/>
          </w:tcPr>
          <w:p w14:paraId="72530562"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77.8%</w:t>
            </w:r>
          </w:p>
        </w:tc>
        <w:tc>
          <w:tcPr>
            <w:tcW w:w="1147" w:type="dxa"/>
            <w:tcBorders>
              <w:top w:val="nil"/>
              <w:left w:val="nil"/>
              <w:bottom w:val="single" w:sz="8" w:space="0" w:color="auto"/>
              <w:right w:val="single" w:sz="8" w:space="0" w:color="auto"/>
            </w:tcBorders>
            <w:shd w:val="clear" w:color="auto" w:fill="auto"/>
            <w:noWrap/>
            <w:vAlign w:val="center"/>
          </w:tcPr>
          <w:p w14:paraId="7602830C"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72.8%</w:t>
            </w:r>
          </w:p>
        </w:tc>
      </w:tr>
    </w:tbl>
    <w:p w14:paraId="62D90D48" w14:textId="77777777" w:rsidR="00536656" w:rsidRPr="004A5E16" w:rsidRDefault="00536656" w:rsidP="00536656">
      <w:pPr>
        <w:rPr>
          <w:rFonts w:asciiTheme="minorHAnsi" w:hAnsiTheme="minorHAnsi" w:cstheme="minorHAnsi"/>
          <w:sz w:val="22"/>
          <w:szCs w:val="22"/>
          <w:highlight w:val="lightGray"/>
        </w:rPr>
      </w:pPr>
    </w:p>
    <w:p w14:paraId="3BDF5F78" w14:textId="77777777" w:rsidR="00536656" w:rsidRPr="004A5E16" w:rsidRDefault="00536656" w:rsidP="00536656">
      <w:pPr>
        <w:rPr>
          <w:rFonts w:asciiTheme="minorHAnsi" w:hAnsiTheme="minorHAnsi" w:cstheme="minorHAnsi"/>
          <w:sz w:val="22"/>
          <w:szCs w:val="22"/>
          <w:highlight w:val="lightGray"/>
        </w:rPr>
      </w:pPr>
    </w:p>
    <w:p w14:paraId="035E500B" w14:textId="77777777" w:rsidR="00536656" w:rsidRPr="003C413A" w:rsidRDefault="00536656" w:rsidP="00536656">
      <w:pPr>
        <w:rPr>
          <w:rFonts w:asciiTheme="minorHAnsi" w:hAnsiTheme="minorHAnsi" w:cstheme="minorHAnsi"/>
          <w:sz w:val="22"/>
          <w:szCs w:val="22"/>
          <w:u w:val="single"/>
        </w:rPr>
      </w:pPr>
      <w:r w:rsidRPr="004A5E16">
        <w:rPr>
          <w:rFonts w:asciiTheme="minorHAnsi" w:hAnsiTheme="minorHAnsi" w:cstheme="minorHAnsi"/>
          <w:b/>
          <w:i/>
          <w:sz w:val="22"/>
          <w:szCs w:val="22"/>
          <w:highlight w:val="lightGray"/>
        </w:rPr>
        <w:br w:type="page"/>
      </w:r>
      <w:r w:rsidRPr="003C413A">
        <w:rPr>
          <w:rFonts w:asciiTheme="minorHAnsi" w:hAnsiTheme="minorHAnsi" w:cstheme="minorHAnsi"/>
          <w:b/>
          <w:i/>
          <w:sz w:val="22"/>
          <w:szCs w:val="22"/>
        </w:rPr>
        <w:lastRenderedPageBreak/>
        <w:t>Category of Service Mapping:</w:t>
      </w:r>
    </w:p>
    <w:p w14:paraId="54317A7B" w14:textId="77777777" w:rsidR="00536656" w:rsidRPr="004A5E16" w:rsidRDefault="00536656" w:rsidP="00536656">
      <w:pPr>
        <w:rPr>
          <w:rFonts w:asciiTheme="minorHAnsi" w:hAnsiTheme="minorHAnsi" w:cstheme="minorHAnsi"/>
          <w:sz w:val="22"/>
          <w:szCs w:val="22"/>
        </w:rPr>
      </w:pPr>
      <w:r w:rsidRPr="00272452">
        <w:rPr>
          <w:rFonts w:asciiTheme="minorHAnsi" w:hAnsiTheme="minorHAnsi" w:cstheme="minorHAnsi"/>
          <w:sz w:val="22"/>
          <w:szCs w:val="22"/>
        </w:rPr>
        <w:t xml:space="preserve">The following is a category of service mapping between the services reflected in the MassHealth </w:t>
      </w:r>
      <w:r w:rsidRPr="004A5E16">
        <w:rPr>
          <w:rFonts w:asciiTheme="minorHAnsi" w:hAnsiTheme="minorHAnsi" w:cstheme="minorHAnsi"/>
          <w:sz w:val="22"/>
          <w:szCs w:val="22"/>
        </w:rPr>
        <w:t>base data and the service categories used in the rate development process. Descriptions of the MassHealth detailed categories of service can be found in Section 3 of the MassHealth Information Sharing Package, “Base Data Detail.”</w:t>
      </w:r>
    </w:p>
    <w:p w14:paraId="09349B47" w14:textId="77777777" w:rsidR="00536656" w:rsidRPr="004A5E16" w:rsidRDefault="00536656" w:rsidP="00536656">
      <w:pPr>
        <w:rPr>
          <w:rFonts w:asciiTheme="minorHAnsi" w:hAnsiTheme="minorHAnsi" w:cstheme="minorHAnsi"/>
          <w:sz w:val="22"/>
          <w:szCs w:val="22"/>
        </w:rPr>
      </w:pPr>
    </w:p>
    <w:p w14:paraId="4235970F" w14:textId="77777777" w:rsidR="00536656" w:rsidRPr="004A5E16" w:rsidRDefault="00536656" w:rsidP="00536656">
      <w:pPr>
        <w:spacing w:line="360" w:lineRule="auto"/>
        <w:rPr>
          <w:rFonts w:asciiTheme="minorHAnsi" w:hAnsiTheme="minorHAnsi" w:cstheme="minorHAnsi"/>
          <w:sz w:val="22"/>
          <w:szCs w:val="22"/>
        </w:rPr>
      </w:pPr>
      <w:r w:rsidRPr="004A5E16">
        <w:rPr>
          <w:rFonts w:asciiTheme="minorHAnsi" w:hAnsiTheme="minorHAnsi" w:cstheme="minorHAnsi"/>
          <w:sz w:val="22"/>
          <w:szCs w:val="22"/>
        </w:rPr>
        <w:t>Medicaid Claims:</w:t>
      </w:r>
    </w:p>
    <w:tbl>
      <w:tblPr>
        <w:tblW w:w="6360" w:type="dxa"/>
        <w:jc w:val="center"/>
        <w:tblLook w:val="0000" w:firstRow="0" w:lastRow="0" w:firstColumn="0" w:lastColumn="0" w:noHBand="0" w:noVBand="0"/>
      </w:tblPr>
      <w:tblGrid>
        <w:gridCol w:w="2500"/>
        <w:gridCol w:w="3860"/>
      </w:tblGrid>
      <w:tr w:rsidR="00536656" w:rsidRPr="004A5E16" w14:paraId="347AC9CA" w14:textId="77777777" w:rsidTr="00536656">
        <w:trPr>
          <w:trHeight w:val="493"/>
          <w:jc w:val="center"/>
        </w:trPr>
        <w:tc>
          <w:tcPr>
            <w:tcW w:w="2500" w:type="dxa"/>
            <w:tcBorders>
              <w:top w:val="single" w:sz="8" w:space="0" w:color="auto"/>
              <w:left w:val="single" w:sz="8" w:space="0" w:color="auto"/>
              <w:bottom w:val="single" w:sz="8" w:space="0" w:color="auto"/>
              <w:right w:val="single" w:sz="4" w:space="0" w:color="auto"/>
            </w:tcBorders>
            <w:shd w:val="clear" w:color="auto" w:fill="auto"/>
            <w:vAlign w:val="bottom"/>
          </w:tcPr>
          <w:p w14:paraId="1CF0F0FE" w14:textId="77777777" w:rsidR="00536656" w:rsidRPr="004A5E16" w:rsidRDefault="00536656" w:rsidP="00536656">
            <w:pPr>
              <w:jc w:val="center"/>
              <w:rPr>
                <w:rFonts w:asciiTheme="minorHAnsi" w:hAnsiTheme="minorHAnsi" w:cstheme="minorHAnsi"/>
                <w:b/>
                <w:bCs/>
                <w:sz w:val="22"/>
                <w:szCs w:val="22"/>
              </w:rPr>
            </w:pPr>
            <w:r w:rsidRPr="004A5E16">
              <w:rPr>
                <w:rFonts w:asciiTheme="minorHAnsi" w:hAnsiTheme="minorHAnsi" w:cstheme="minorHAnsi"/>
                <w:b/>
                <w:bCs/>
                <w:sz w:val="22"/>
                <w:szCs w:val="22"/>
              </w:rPr>
              <w:t>Rate Development Category of Service</w:t>
            </w:r>
          </w:p>
        </w:tc>
        <w:tc>
          <w:tcPr>
            <w:tcW w:w="3860" w:type="dxa"/>
            <w:tcBorders>
              <w:top w:val="single" w:sz="8" w:space="0" w:color="auto"/>
              <w:left w:val="nil"/>
              <w:bottom w:val="single" w:sz="8" w:space="0" w:color="auto"/>
              <w:right w:val="single" w:sz="8" w:space="0" w:color="auto"/>
            </w:tcBorders>
            <w:shd w:val="clear" w:color="auto" w:fill="auto"/>
            <w:vAlign w:val="bottom"/>
          </w:tcPr>
          <w:p w14:paraId="625A123E" w14:textId="77777777" w:rsidR="00536656" w:rsidRPr="004A5E16" w:rsidRDefault="00536656" w:rsidP="00536656">
            <w:pPr>
              <w:jc w:val="center"/>
              <w:rPr>
                <w:rFonts w:asciiTheme="minorHAnsi" w:hAnsiTheme="minorHAnsi" w:cstheme="minorHAnsi"/>
                <w:b/>
                <w:bCs/>
                <w:sz w:val="22"/>
                <w:szCs w:val="22"/>
              </w:rPr>
            </w:pPr>
            <w:r w:rsidRPr="004A5E16">
              <w:rPr>
                <w:rFonts w:asciiTheme="minorHAnsi" w:hAnsiTheme="minorHAnsi" w:cstheme="minorHAnsi"/>
                <w:b/>
                <w:bCs/>
                <w:sz w:val="22"/>
                <w:szCs w:val="22"/>
              </w:rPr>
              <w:t>MassHealth Base Data</w:t>
            </w:r>
            <w:r w:rsidRPr="004A5E16">
              <w:rPr>
                <w:rFonts w:asciiTheme="minorHAnsi" w:hAnsiTheme="minorHAnsi" w:cstheme="minorHAnsi"/>
                <w:b/>
                <w:bCs/>
                <w:sz w:val="22"/>
                <w:szCs w:val="22"/>
              </w:rPr>
              <w:br/>
              <w:t>Detailed Category of Service</w:t>
            </w:r>
          </w:p>
        </w:tc>
      </w:tr>
      <w:tr w:rsidR="00536656" w:rsidRPr="004A5E16" w14:paraId="7E8CF5A0" w14:textId="77777777" w:rsidTr="00536656">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659C081F"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Inpatient – Non-MH/SA</w:t>
            </w:r>
          </w:p>
        </w:tc>
        <w:tc>
          <w:tcPr>
            <w:tcW w:w="3860" w:type="dxa"/>
            <w:tcBorders>
              <w:top w:val="nil"/>
              <w:left w:val="nil"/>
              <w:bottom w:val="single" w:sz="4" w:space="0" w:color="auto"/>
              <w:right w:val="single" w:sz="8" w:space="0" w:color="auto"/>
            </w:tcBorders>
            <w:shd w:val="clear" w:color="auto" w:fill="auto"/>
            <w:noWrap/>
            <w:vAlign w:val="bottom"/>
          </w:tcPr>
          <w:p w14:paraId="2DF080E1"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IP – Non-Behavioral Health</w:t>
            </w:r>
          </w:p>
        </w:tc>
      </w:tr>
      <w:tr w:rsidR="00536656" w:rsidRPr="004A5E16" w14:paraId="237837BC" w14:textId="77777777" w:rsidTr="00536656">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00B7FCAE"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Inpatient MH/SA</w:t>
            </w:r>
          </w:p>
        </w:tc>
        <w:tc>
          <w:tcPr>
            <w:tcW w:w="3860" w:type="dxa"/>
            <w:tcBorders>
              <w:top w:val="nil"/>
              <w:left w:val="nil"/>
              <w:bottom w:val="single" w:sz="4" w:space="0" w:color="auto"/>
              <w:right w:val="single" w:sz="8" w:space="0" w:color="auto"/>
            </w:tcBorders>
            <w:shd w:val="clear" w:color="auto" w:fill="auto"/>
            <w:noWrap/>
            <w:vAlign w:val="bottom"/>
          </w:tcPr>
          <w:p w14:paraId="2D6554F0"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IP – Behavioral Health</w:t>
            </w:r>
          </w:p>
        </w:tc>
      </w:tr>
      <w:tr w:rsidR="00536656" w:rsidRPr="004A5E16" w14:paraId="08635BA3" w14:textId="77777777" w:rsidTr="00536656">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55FEDD48"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Hospital Outpatient</w:t>
            </w:r>
          </w:p>
        </w:tc>
        <w:tc>
          <w:tcPr>
            <w:tcW w:w="3860" w:type="dxa"/>
            <w:tcBorders>
              <w:top w:val="nil"/>
              <w:left w:val="nil"/>
              <w:bottom w:val="single" w:sz="4" w:space="0" w:color="auto"/>
              <w:right w:val="single" w:sz="8" w:space="0" w:color="auto"/>
            </w:tcBorders>
            <w:shd w:val="clear" w:color="auto" w:fill="auto"/>
            <w:noWrap/>
            <w:vAlign w:val="bottom"/>
          </w:tcPr>
          <w:p w14:paraId="2D7BFB45"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Hospital Outpatient</w:t>
            </w:r>
          </w:p>
        </w:tc>
      </w:tr>
      <w:tr w:rsidR="00536656" w:rsidRPr="004A5E16" w14:paraId="53457F93" w14:textId="77777777" w:rsidTr="00536656">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66BF4053"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Outpatient MH/SA</w:t>
            </w:r>
          </w:p>
        </w:tc>
        <w:tc>
          <w:tcPr>
            <w:tcW w:w="3860" w:type="dxa"/>
            <w:tcBorders>
              <w:top w:val="nil"/>
              <w:left w:val="nil"/>
              <w:bottom w:val="single" w:sz="4" w:space="0" w:color="auto"/>
              <w:right w:val="single" w:sz="8" w:space="0" w:color="auto"/>
            </w:tcBorders>
            <w:shd w:val="clear" w:color="auto" w:fill="auto"/>
            <w:noWrap/>
            <w:vAlign w:val="bottom"/>
          </w:tcPr>
          <w:p w14:paraId="52138E43"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Outpatient BH</w:t>
            </w:r>
          </w:p>
        </w:tc>
      </w:tr>
      <w:tr w:rsidR="00536656" w:rsidRPr="004A5E16" w14:paraId="075D1D1A" w14:textId="77777777" w:rsidTr="00536656">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2C3BFF13"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Professional</w:t>
            </w:r>
          </w:p>
        </w:tc>
        <w:tc>
          <w:tcPr>
            <w:tcW w:w="3860" w:type="dxa"/>
            <w:tcBorders>
              <w:top w:val="nil"/>
              <w:left w:val="nil"/>
              <w:bottom w:val="single" w:sz="4" w:space="0" w:color="auto"/>
              <w:right w:val="single" w:sz="8" w:space="0" w:color="auto"/>
            </w:tcBorders>
            <w:shd w:val="clear" w:color="auto" w:fill="auto"/>
            <w:noWrap/>
            <w:vAlign w:val="bottom"/>
          </w:tcPr>
          <w:p w14:paraId="14B5391F"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Professional</w:t>
            </w:r>
          </w:p>
        </w:tc>
      </w:tr>
      <w:tr w:rsidR="00536656" w:rsidRPr="004A5E16" w14:paraId="009D61DD" w14:textId="77777777" w:rsidTr="00536656">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1A3222D3"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HCBS/Home Health</w:t>
            </w:r>
          </w:p>
        </w:tc>
        <w:tc>
          <w:tcPr>
            <w:tcW w:w="3860" w:type="dxa"/>
            <w:tcBorders>
              <w:top w:val="nil"/>
              <w:left w:val="nil"/>
              <w:bottom w:val="single" w:sz="4" w:space="0" w:color="auto"/>
              <w:right w:val="single" w:sz="8" w:space="0" w:color="auto"/>
            </w:tcBorders>
            <w:shd w:val="clear" w:color="auto" w:fill="auto"/>
            <w:noWrap/>
            <w:vAlign w:val="bottom"/>
          </w:tcPr>
          <w:p w14:paraId="106EAADC"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Community LTSS</w:t>
            </w:r>
          </w:p>
        </w:tc>
      </w:tr>
      <w:tr w:rsidR="00536656" w:rsidRPr="004A5E16" w14:paraId="4DE1DADE" w14:textId="77777777" w:rsidTr="00536656">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30C007A5"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LTC Facility</w:t>
            </w:r>
          </w:p>
        </w:tc>
        <w:tc>
          <w:tcPr>
            <w:tcW w:w="3860" w:type="dxa"/>
            <w:tcBorders>
              <w:top w:val="nil"/>
              <w:left w:val="nil"/>
              <w:bottom w:val="single" w:sz="4" w:space="0" w:color="auto"/>
              <w:right w:val="single" w:sz="8" w:space="0" w:color="auto"/>
            </w:tcBorders>
            <w:shd w:val="clear" w:color="auto" w:fill="auto"/>
            <w:noWrap/>
            <w:vAlign w:val="bottom"/>
          </w:tcPr>
          <w:p w14:paraId="51F20CCC"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LTC</w:t>
            </w:r>
          </w:p>
        </w:tc>
      </w:tr>
      <w:tr w:rsidR="00536656" w:rsidRPr="004A5E16" w14:paraId="3AB6E1AD" w14:textId="77777777" w:rsidTr="00536656">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6C965641"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Pharmacy (Non-Part D)</w:t>
            </w:r>
          </w:p>
        </w:tc>
        <w:tc>
          <w:tcPr>
            <w:tcW w:w="3860" w:type="dxa"/>
            <w:tcBorders>
              <w:top w:val="nil"/>
              <w:left w:val="nil"/>
              <w:bottom w:val="single" w:sz="4" w:space="0" w:color="auto"/>
              <w:right w:val="single" w:sz="8" w:space="0" w:color="auto"/>
            </w:tcBorders>
            <w:shd w:val="clear" w:color="auto" w:fill="auto"/>
            <w:noWrap/>
            <w:vAlign w:val="bottom"/>
          </w:tcPr>
          <w:p w14:paraId="5E77F31F"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Non-Part D Pharmacy</w:t>
            </w:r>
          </w:p>
        </w:tc>
      </w:tr>
      <w:tr w:rsidR="00536656" w:rsidRPr="004A5E16" w14:paraId="03A4B4BB" w14:textId="77777777" w:rsidTr="00536656">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14FC7587"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DME and Supplies</w:t>
            </w:r>
          </w:p>
        </w:tc>
        <w:tc>
          <w:tcPr>
            <w:tcW w:w="3860" w:type="dxa"/>
            <w:tcBorders>
              <w:top w:val="nil"/>
              <w:left w:val="nil"/>
              <w:bottom w:val="single" w:sz="4" w:space="0" w:color="auto"/>
              <w:right w:val="single" w:sz="8" w:space="0" w:color="auto"/>
            </w:tcBorders>
            <w:shd w:val="clear" w:color="auto" w:fill="auto"/>
            <w:noWrap/>
            <w:vAlign w:val="bottom"/>
          </w:tcPr>
          <w:p w14:paraId="3435810E"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DME and Supplies</w:t>
            </w:r>
          </w:p>
        </w:tc>
      </w:tr>
      <w:tr w:rsidR="00536656" w:rsidRPr="004A5E16" w14:paraId="79F7B99F" w14:textId="77777777" w:rsidTr="00536656">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60B617B7"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Transportation</w:t>
            </w:r>
          </w:p>
        </w:tc>
        <w:tc>
          <w:tcPr>
            <w:tcW w:w="3860" w:type="dxa"/>
            <w:tcBorders>
              <w:top w:val="nil"/>
              <w:left w:val="nil"/>
              <w:bottom w:val="single" w:sz="4" w:space="0" w:color="auto"/>
              <w:right w:val="single" w:sz="8" w:space="0" w:color="auto"/>
            </w:tcBorders>
            <w:shd w:val="clear" w:color="auto" w:fill="auto"/>
            <w:noWrap/>
            <w:vAlign w:val="bottom"/>
          </w:tcPr>
          <w:p w14:paraId="44B8A0A5"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Transportation</w:t>
            </w:r>
          </w:p>
        </w:tc>
      </w:tr>
      <w:tr w:rsidR="00536656" w:rsidRPr="004A5E16" w14:paraId="4B906E52" w14:textId="77777777" w:rsidTr="00536656">
        <w:trPr>
          <w:trHeight w:val="270"/>
          <w:jc w:val="center"/>
        </w:trPr>
        <w:tc>
          <w:tcPr>
            <w:tcW w:w="2500" w:type="dxa"/>
            <w:tcBorders>
              <w:top w:val="nil"/>
              <w:left w:val="single" w:sz="8" w:space="0" w:color="auto"/>
              <w:bottom w:val="single" w:sz="8" w:space="0" w:color="auto"/>
              <w:right w:val="single" w:sz="4" w:space="0" w:color="auto"/>
            </w:tcBorders>
            <w:shd w:val="clear" w:color="auto" w:fill="auto"/>
            <w:noWrap/>
            <w:vAlign w:val="bottom"/>
          </w:tcPr>
          <w:p w14:paraId="2F99073E"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All Other</w:t>
            </w:r>
          </w:p>
        </w:tc>
        <w:tc>
          <w:tcPr>
            <w:tcW w:w="3860" w:type="dxa"/>
            <w:tcBorders>
              <w:top w:val="nil"/>
              <w:left w:val="nil"/>
              <w:bottom w:val="single" w:sz="8" w:space="0" w:color="auto"/>
              <w:right w:val="single" w:sz="8" w:space="0" w:color="auto"/>
            </w:tcBorders>
            <w:shd w:val="clear" w:color="auto" w:fill="auto"/>
            <w:noWrap/>
            <w:vAlign w:val="bottom"/>
          </w:tcPr>
          <w:p w14:paraId="1CB7A061"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Other Services</w:t>
            </w:r>
          </w:p>
        </w:tc>
      </w:tr>
    </w:tbl>
    <w:p w14:paraId="7EE52BC2" w14:textId="77777777" w:rsidR="00536656" w:rsidRPr="004A5E16" w:rsidRDefault="00536656" w:rsidP="00536656">
      <w:pPr>
        <w:rPr>
          <w:rFonts w:asciiTheme="minorHAnsi" w:hAnsiTheme="minorHAnsi" w:cstheme="minorHAnsi"/>
          <w:sz w:val="22"/>
          <w:szCs w:val="22"/>
        </w:rPr>
      </w:pPr>
    </w:p>
    <w:p w14:paraId="38CCA7DD" w14:textId="77777777" w:rsidR="00536656" w:rsidRPr="003C413A" w:rsidRDefault="00536656" w:rsidP="00536656">
      <w:pPr>
        <w:spacing w:line="360" w:lineRule="auto"/>
        <w:rPr>
          <w:rFonts w:asciiTheme="minorHAnsi" w:hAnsiTheme="minorHAnsi" w:cstheme="minorHAnsi"/>
          <w:sz w:val="22"/>
          <w:szCs w:val="22"/>
        </w:rPr>
      </w:pPr>
      <w:r w:rsidRPr="004A5E16">
        <w:rPr>
          <w:rFonts w:asciiTheme="minorHAnsi" w:hAnsiTheme="minorHAnsi" w:cstheme="minorHAnsi"/>
          <w:sz w:val="22"/>
          <w:szCs w:val="22"/>
        </w:rPr>
        <w:t>Crossover Claims:</w:t>
      </w:r>
    </w:p>
    <w:tbl>
      <w:tblPr>
        <w:tblW w:w="6360" w:type="dxa"/>
        <w:jc w:val="center"/>
        <w:tblLook w:val="0000" w:firstRow="0" w:lastRow="0" w:firstColumn="0" w:lastColumn="0" w:noHBand="0" w:noVBand="0"/>
      </w:tblPr>
      <w:tblGrid>
        <w:gridCol w:w="2500"/>
        <w:gridCol w:w="3860"/>
      </w:tblGrid>
      <w:tr w:rsidR="00536656" w:rsidRPr="004A5E16" w14:paraId="47599970" w14:textId="77777777" w:rsidTr="00536656">
        <w:trPr>
          <w:trHeight w:val="538"/>
          <w:jc w:val="center"/>
        </w:trPr>
        <w:tc>
          <w:tcPr>
            <w:tcW w:w="2500" w:type="dxa"/>
            <w:tcBorders>
              <w:top w:val="single" w:sz="8" w:space="0" w:color="auto"/>
              <w:left w:val="single" w:sz="8" w:space="0" w:color="auto"/>
              <w:bottom w:val="single" w:sz="8" w:space="0" w:color="auto"/>
              <w:right w:val="single" w:sz="4" w:space="0" w:color="auto"/>
            </w:tcBorders>
            <w:shd w:val="clear" w:color="auto" w:fill="auto"/>
            <w:vAlign w:val="bottom"/>
          </w:tcPr>
          <w:p w14:paraId="1E50A2D4" w14:textId="77777777" w:rsidR="00536656" w:rsidRPr="00272452" w:rsidRDefault="00536656" w:rsidP="00536656">
            <w:pPr>
              <w:jc w:val="center"/>
              <w:rPr>
                <w:rFonts w:asciiTheme="minorHAnsi" w:hAnsiTheme="minorHAnsi" w:cstheme="minorHAnsi"/>
                <w:b/>
                <w:bCs/>
                <w:sz w:val="22"/>
                <w:szCs w:val="22"/>
              </w:rPr>
            </w:pPr>
            <w:r w:rsidRPr="00272452">
              <w:rPr>
                <w:rFonts w:asciiTheme="minorHAnsi" w:hAnsiTheme="minorHAnsi" w:cstheme="minorHAnsi"/>
                <w:b/>
                <w:bCs/>
                <w:sz w:val="22"/>
                <w:szCs w:val="22"/>
              </w:rPr>
              <w:t>Rate Development Category of Service</w:t>
            </w:r>
          </w:p>
        </w:tc>
        <w:tc>
          <w:tcPr>
            <w:tcW w:w="3860" w:type="dxa"/>
            <w:tcBorders>
              <w:top w:val="single" w:sz="8" w:space="0" w:color="auto"/>
              <w:left w:val="nil"/>
              <w:bottom w:val="single" w:sz="8" w:space="0" w:color="auto"/>
              <w:right w:val="single" w:sz="8" w:space="0" w:color="auto"/>
            </w:tcBorders>
            <w:shd w:val="clear" w:color="auto" w:fill="auto"/>
            <w:vAlign w:val="bottom"/>
          </w:tcPr>
          <w:p w14:paraId="168354D1" w14:textId="77777777" w:rsidR="00536656" w:rsidRPr="004A5E16" w:rsidRDefault="00536656" w:rsidP="00536656">
            <w:pPr>
              <w:jc w:val="center"/>
              <w:rPr>
                <w:rFonts w:asciiTheme="minorHAnsi" w:hAnsiTheme="minorHAnsi" w:cstheme="minorHAnsi"/>
                <w:b/>
                <w:bCs/>
                <w:sz w:val="22"/>
                <w:szCs w:val="22"/>
              </w:rPr>
            </w:pPr>
            <w:r w:rsidRPr="00272452">
              <w:rPr>
                <w:rFonts w:asciiTheme="minorHAnsi" w:hAnsiTheme="minorHAnsi" w:cstheme="minorHAnsi"/>
                <w:b/>
                <w:bCs/>
                <w:sz w:val="22"/>
                <w:szCs w:val="22"/>
              </w:rPr>
              <w:t>MassHealth Base Data</w:t>
            </w:r>
            <w:r w:rsidRPr="004A5E16">
              <w:rPr>
                <w:rFonts w:asciiTheme="minorHAnsi" w:hAnsiTheme="minorHAnsi" w:cstheme="minorHAnsi"/>
                <w:b/>
                <w:bCs/>
                <w:sz w:val="22"/>
                <w:szCs w:val="22"/>
              </w:rPr>
              <w:t xml:space="preserve"> </w:t>
            </w:r>
            <w:r w:rsidRPr="004A5E16">
              <w:rPr>
                <w:rFonts w:asciiTheme="minorHAnsi" w:hAnsiTheme="minorHAnsi" w:cstheme="minorHAnsi"/>
                <w:b/>
                <w:bCs/>
                <w:sz w:val="22"/>
                <w:szCs w:val="22"/>
              </w:rPr>
              <w:br/>
              <w:t>Detailed Category of Service</w:t>
            </w:r>
          </w:p>
        </w:tc>
      </w:tr>
      <w:tr w:rsidR="00536656" w:rsidRPr="004A5E16" w14:paraId="03F56E02" w14:textId="77777777" w:rsidTr="00536656">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53602A6A"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Inpatient – Non-MH/SA</w:t>
            </w:r>
          </w:p>
        </w:tc>
        <w:tc>
          <w:tcPr>
            <w:tcW w:w="3860" w:type="dxa"/>
            <w:tcBorders>
              <w:top w:val="nil"/>
              <w:left w:val="nil"/>
              <w:bottom w:val="single" w:sz="4" w:space="0" w:color="auto"/>
              <w:right w:val="single" w:sz="8" w:space="0" w:color="auto"/>
            </w:tcBorders>
            <w:shd w:val="clear" w:color="auto" w:fill="auto"/>
            <w:noWrap/>
            <w:vAlign w:val="bottom"/>
          </w:tcPr>
          <w:p w14:paraId="2B47FE59"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IP – Non-Behavioral Health</w:t>
            </w:r>
          </w:p>
        </w:tc>
      </w:tr>
      <w:tr w:rsidR="00536656" w:rsidRPr="004A5E16" w14:paraId="3D10C45C" w14:textId="77777777" w:rsidTr="00536656">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14:paraId="7989F5C0"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Inpatient MH/SA</w:t>
            </w:r>
          </w:p>
        </w:tc>
        <w:tc>
          <w:tcPr>
            <w:tcW w:w="3860" w:type="dxa"/>
            <w:tcBorders>
              <w:top w:val="nil"/>
              <w:left w:val="nil"/>
              <w:bottom w:val="nil"/>
              <w:right w:val="single" w:sz="8" w:space="0" w:color="auto"/>
            </w:tcBorders>
            <w:shd w:val="clear" w:color="auto" w:fill="auto"/>
            <w:noWrap/>
            <w:vAlign w:val="bottom"/>
          </w:tcPr>
          <w:p w14:paraId="3CA5BB57"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IP - Mental Health</w:t>
            </w:r>
          </w:p>
        </w:tc>
      </w:tr>
      <w:tr w:rsidR="00536656" w:rsidRPr="004A5E16" w14:paraId="0BD581B6" w14:textId="77777777" w:rsidTr="00536656">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4749C966"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 </w:t>
            </w:r>
          </w:p>
        </w:tc>
        <w:tc>
          <w:tcPr>
            <w:tcW w:w="3860" w:type="dxa"/>
            <w:tcBorders>
              <w:top w:val="nil"/>
              <w:left w:val="nil"/>
              <w:bottom w:val="single" w:sz="4" w:space="0" w:color="auto"/>
              <w:right w:val="single" w:sz="8" w:space="0" w:color="auto"/>
            </w:tcBorders>
            <w:shd w:val="clear" w:color="auto" w:fill="auto"/>
            <w:noWrap/>
            <w:vAlign w:val="bottom"/>
          </w:tcPr>
          <w:p w14:paraId="74C02EEF"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IP – Substance Abuse</w:t>
            </w:r>
          </w:p>
        </w:tc>
      </w:tr>
      <w:tr w:rsidR="00536656" w:rsidRPr="004A5E16" w14:paraId="17711858" w14:textId="77777777" w:rsidTr="00536656">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14:paraId="18DDD266"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Hospital Outpatient</w:t>
            </w:r>
          </w:p>
        </w:tc>
        <w:tc>
          <w:tcPr>
            <w:tcW w:w="3860" w:type="dxa"/>
            <w:tcBorders>
              <w:top w:val="nil"/>
              <w:left w:val="nil"/>
              <w:bottom w:val="nil"/>
              <w:right w:val="single" w:sz="8" w:space="0" w:color="auto"/>
            </w:tcBorders>
            <w:shd w:val="clear" w:color="auto" w:fill="auto"/>
            <w:noWrap/>
            <w:vAlign w:val="bottom"/>
          </w:tcPr>
          <w:p w14:paraId="10DD5E23"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HOP – ER / Urgent Care</w:t>
            </w:r>
          </w:p>
        </w:tc>
      </w:tr>
      <w:tr w:rsidR="00536656" w:rsidRPr="004A5E16" w14:paraId="69449CF6" w14:textId="77777777" w:rsidTr="00536656">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14:paraId="68BFA136"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 </w:t>
            </w:r>
          </w:p>
        </w:tc>
        <w:tc>
          <w:tcPr>
            <w:tcW w:w="3860" w:type="dxa"/>
            <w:tcBorders>
              <w:top w:val="nil"/>
              <w:left w:val="nil"/>
              <w:bottom w:val="nil"/>
              <w:right w:val="single" w:sz="8" w:space="0" w:color="auto"/>
            </w:tcBorders>
            <w:shd w:val="clear" w:color="auto" w:fill="auto"/>
            <w:noWrap/>
            <w:vAlign w:val="bottom"/>
          </w:tcPr>
          <w:p w14:paraId="1A988C21"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HOP - Lab / Rad</w:t>
            </w:r>
          </w:p>
        </w:tc>
      </w:tr>
      <w:tr w:rsidR="00536656" w:rsidRPr="004A5E16" w14:paraId="6D24B556" w14:textId="77777777" w:rsidTr="00536656">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14:paraId="08467472"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 </w:t>
            </w:r>
          </w:p>
        </w:tc>
        <w:tc>
          <w:tcPr>
            <w:tcW w:w="3860" w:type="dxa"/>
            <w:tcBorders>
              <w:top w:val="nil"/>
              <w:left w:val="nil"/>
              <w:bottom w:val="nil"/>
              <w:right w:val="single" w:sz="8" w:space="0" w:color="auto"/>
            </w:tcBorders>
            <w:shd w:val="clear" w:color="auto" w:fill="auto"/>
            <w:noWrap/>
            <w:vAlign w:val="bottom"/>
          </w:tcPr>
          <w:p w14:paraId="11EDDC2F"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HOP – Other</w:t>
            </w:r>
          </w:p>
        </w:tc>
      </w:tr>
      <w:tr w:rsidR="00536656" w:rsidRPr="004A5E16" w14:paraId="264C954C" w14:textId="77777777" w:rsidTr="00536656">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14:paraId="344DA246"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 </w:t>
            </w:r>
          </w:p>
        </w:tc>
        <w:tc>
          <w:tcPr>
            <w:tcW w:w="3860" w:type="dxa"/>
            <w:tcBorders>
              <w:top w:val="nil"/>
              <w:left w:val="nil"/>
              <w:bottom w:val="nil"/>
              <w:right w:val="single" w:sz="8" w:space="0" w:color="auto"/>
            </w:tcBorders>
            <w:shd w:val="clear" w:color="auto" w:fill="auto"/>
            <w:noWrap/>
            <w:vAlign w:val="bottom"/>
          </w:tcPr>
          <w:p w14:paraId="21571EFD"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HOP – Pharmacy</w:t>
            </w:r>
          </w:p>
        </w:tc>
      </w:tr>
      <w:tr w:rsidR="00536656" w:rsidRPr="004A5E16" w14:paraId="5F2904FE" w14:textId="77777777" w:rsidTr="00536656">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63083FBA"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 </w:t>
            </w:r>
          </w:p>
        </w:tc>
        <w:tc>
          <w:tcPr>
            <w:tcW w:w="3860" w:type="dxa"/>
            <w:tcBorders>
              <w:top w:val="nil"/>
              <w:left w:val="nil"/>
              <w:bottom w:val="single" w:sz="4" w:space="0" w:color="auto"/>
              <w:right w:val="single" w:sz="8" w:space="0" w:color="auto"/>
            </w:tcBorders>
            <w:shd w:val="clear" w:color="auto" w:fill="auto"/>
            <w:noWrap/>
            <w:vAlign w:val="bottom"/>
          </w:tcPr>
          <w:p w14:paraId="4E81A879"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HOP – PT/OT/ST</w:t>
            </w:r>
          </w:p>
        </w:tc>
      </w:tr>
      <w:tr w:rsidR="00536656" w:rsidRPr="004A5E16" w14:paraId="22DAB1D5" w14:textId="77777777" w:rsidTr="00536656">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14:paraId="43B178B6"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Outpatient MH/SA</w:t>
            </w:r>
          </w:p>
        </w:tc>
        <w:tc>
          <w:tcPr>
            <w:tcW w:w="3860" w:type="dxa"/>
            <w:tcBorders>
              <w:top w:val="nil"/>
              <w:left w:val="nil"/>
              <w:bottom w:val="nil"/>
              <w:right w:val="single" w:sz="8" w:space="0" w:color="auto"/>
            </w:tcBorders>
            <w:shd w:val="clear" w:color="auto" w:fill="auto"/>
            <w:noWrap/>
            <w:vAlign w:val="bottom"/>
          </w:tcPr>
          <w:p w14:paraId="0A70C24D"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HOP - Behavioral Health</w:t>
            </w:r>
          </w:p>
        </w:tc>
      </w:tr>
      <w:tr w:rsidR="00536656" w:rsidRPr="004A5E16" w14:paraId="043229A5" w14:textId="77777777" w:rsidTr="00536656">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3AE4F226"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 </w:t>
            </w:r>
          </w:p>
        </w:tc>
        <w:tc>
          <w:tcPr>
            <w:tcW w:w="3860" w:type="dxa"/>
            <w:tcBorders>
              <w:top w:val="nil"/>
              <w:left w:val="nil"/>
              <w:bottom w:val="single" w:sz="4" w:space="0" w:color="auto"/>
              <w:right w:val="single" w:sz="8" w:space="0" w:color="auto"/>
            </w:tcBorders>
            <w:shd w:val="clear" w:color="auto" w:fill="auto"/>
            <w:noWrap/>
            <w:vAlign w:val="bottom"/>
          </w:tcPr>
          <w:p w14:paraId="7C2A775D"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Prof – Behavioral Health</w:t>
            </w:r>
          </w:p>
        </w:tc>
      </w:tr>
      <w:tr w:rsidR="00536656" w:rsidRPr="004A5E16" w14:paraId="1A2D80C9" w14:textId="77777777" w:rsidTr="00536656">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14:paraId="13743FFD"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Professional</w:t>
            </w:r>
          </w:p>
        </w:tc>
        <w:tc>
          <w:tcPr>
            <w:tcW w:w="3860" w:type="dxa"/>
            <w:tcBorders>
              <w:top w:val="nil"/>
              <w:left w:val="nil"/>
              <w:bottom w:val="nil"/>
              <w:right w:val="single" w:sz="8" w:space="0" w:color="auto"/>
            </w:tcBorders>
            <w:shd w:val="clear" w:color="auto" w:fill="auto"/>
            <w:noWrap/>
            <w:vAlign w:val="bottom"/>
          </w:tcPr>
          <w:p w14:paraId="6DC7845B"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Prof – HIP Visits</w:t>
            </w:r>
          </w:p>
        </w:tc>
      </w:tr>
      <w:tr w:rsidR="00536656" w:rsidRPr="004A5E16" w14:paraId="584EF4F8" w14:textId="77777777" w:rsidTr="00536656">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14:paraId="5EB25DE2"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 </w:t>
            </w:r>
          </w:p>
        </w:tc>
        <w:tc>
          <w:tcPr>
            <w:tcW w:w="3860" w:type="dxa"/>
            <w:tcBorders>
              <w:top w:val="nil"/>
              <w:left w:val="nil"/>
              <w:bottom w:val="nil"/>
              <w:right w:val="single" w:sz="8" w:space="0" w:color="auto"/>
            </w:tcBorders>
            <w:shd w:val="clear" w:color="auto" w:fill="auto"/>
            <w:noWrap/>
            <w:vAlign w:val="bottom"/>
          </w:tcPr>
          <w:p w14:paraId="7BC89026"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Prof – Lab / Rad</w:t>
            </w:r>
          </w:p>
        </w:tc>
      </w:tr>
      <w:tr w:rsidR="00536656" w:rsidRPr="004A5E16" w14:paraId="3957BC40" w14:textId="77777777" w:rsidTr="00536656">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14:paraId="6818AEF9"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 </w:t>
            </w:r>
          </w:p>
        </w:tc>
        <w:tc>
          <w:tcPr>
            <w:tcW w:w="3860" w:type="dxa"/>
            <w:tcBorders>
              <w:top w:val="nil"/>
              <w:left w:val="nil"/>
              <w:bottom w:val="nil"/>
              <w:right w:val="single" w:sz="8" w:space="0" w:color="auto"/>
            </w:tcBorders>
            <w:shd w:val="clear" w:color="auto" w:fill="auto"/>
            <w:noWrap/>
            <w:vAlign w:val="bottom"/>
          </w:tcPr>
          <w:p w14:paraId="15FD8158"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Prof – OP Visits</w:t>
            </w:r>
          </w:p>
        </w:tc>
      </w:tr>
      <w:tr w:rsidR="00536656" w:rsidRPr="004A5E16" w14:paraId="4081828C" w14:textId="77777777" w:rsidTr="00536656">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75DDAE53"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 </w:t>
            </w:r>
          </w:p>
        </w:tc>
        <w:tc>
          <w:tcPr>
            <w:tcW w:w="3860" w:type="dxa"/>
            <w:tcBorders>
              <w:top w:val="nil"/>
              <w:left w:val="nil"/>
              <w:bottom w:val="single" w:sz="4" w:space="0" w:color="auto"/>
              <w:right w:val="single" w:sz="8" w:space="0" w:color="auto"/>
            </w:tcBorders>
            <w:shd w:val="clear" w:color="auto" w:fill="auto"/>
            <w:noWrap/>
            <w:vAlign w:val="bottom"/>
          </w:tcPr>
          <w:p w14:paraId="5475A681"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Prof – Other</w:t>
            </w:r>
          </w:p>
        </w:tc>
      </w:tr>
      <w:tr w:rsidR="00536656" w:rsidRPr="004A5E16" w14:paraId="7BBDBAEE" w14:textId="77777777" w:rsidTr="00536656">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437A0CFA"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HCBS/Home Health</w:t>
            </w:r>
          </w:p>
        </w:tc>
        <w:tc>
          <w:tcPr>
            <w:tcW w:w="3860" w:type="dxa"/>
            <w:tcBorders>
              <w:top w:val="nil"/>
              <w:left w:val="nil"/>
              <w:bottom w:val="single" w:sz="4" w:space="0" w:color="auto"/>
              <w:right w:val="single" w:sz="8" w:space="0" w:color="auto"/>
            </w:tcBorders>
            <w:shd w:val="clear" w:color="auto" w:fill="auto"/>
            <w:noWrap/>
            <w:vAlign w:val="bottom"/>
          </w:tcPr>
          <w:p w14:paraId="3C509DAD"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Home Health</w:t>
            </w:r>
          </w:p>
        </w:tc>
      </w:tr>
      <w:tr w:rsidR="00536656" w:rsidRPr="004A5E16" w14:paraId="15180E11" w14:textId="77777777" w:rsidTr="00536656">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38B9286F"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LTC Facility</w:t>
            </w:r>
          </w:p>
        </w:tc>
        <w:tc>
          <w:tcPr>
            <w:tcW w:w="3860" w:type="dxa"/>
            <w:tcBorders>
              <w:top w:val="nil"/>
              <w:left w:val="nil"/>
              <w:bottom w:val="single" w:sz="4" w:space="0" w:color="auto"/>
              <w:right w:val="single" w:sz="8" w:space="0" w:color="auto"/>
            </w:tcBorders>
            <w:shd w:val="clear" w:color="auto" w:fill="auto"/>
            <w:noWrap/>
            <w:vAlign w:val="bottom"/>
          </w:tcPr>
          <w:p w14:paraId="3250FA6C"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SNF</w:t>
            </w:r>
          </w:p>
          <w:p w14:paraId="67A3E1BD"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Hospice</w:t>
            </w:r>
          </w:p>
        </w:tc>
      </w:tr>
      <w:tr w:rsidR="00536656" w:rsidRPr="004A5E16" w14:paraId="2C09AE0D" w14:textId="77777777" w:rsidTr="00536656">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56E0660F"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DME and Supplies</w:t>
            </w:r>
          </w:p>
        </w:tc>
        <w:tc>
          <w:tcPr>
            <w:tcW w:w="3860" w:type="dxa"/>
            <w:tcBorders>
              <w:top w:val="nil"/>
              <w:left w:val="nil"/>
              <w:bottom w:val="single" w:sz="4" w:space="0" w:color="auto"/>
              <w:right w:val="single" w:sz="8" w:space="0" w:color="auto"/>
            </w:tcBorders>
            <w:shd w:val="clear" w:color="auto" w:fill="auto"/>
            <w:noWrap/>
            <w:vAlign w:val="bottom"/>
          </w:tcPr>
          <w:p w14:paraId="79B83D04"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DME and Supplies</w:t>
            </w:r>
          </w:p>
        </w:tc>
      </w:tr>
      <w:tr w:rsidR="00536656" w:rsidRPr="004A5E16" w14:paraId="17EF2120" w14:textId="77777777" w:rsidTr="00536656">
        <w:trPr>
          <w:trHeight w:val="270"/>
          <w:jc w:val="center"/>
        </w:trPr>
        <w:tc>
          <w:tcPr>
            <w:tcW w:w="2500" w:type="dxa"/>
            <w:tcBorders>
              <w:top w:val="nil"/>
              <w:left w:val="single" w:sz="8" w:space="0" w:color="auto"/>
              <w:bottom w:val="single" w:sz="8" w:space="0" w:color="auto"/>
              <w:right w:val="single" w:sz="4" w:space="0" w:color="auto"/>
            </w:tcBorders>
            <w:shd w:val="clear" w:color="auto" w:fill="auto"/>
            <w:noWrap/>
            <w:vAlign w:val="bottom"/>
          </w:tcPr>
          <w:p w14:paraId="0A66FC45"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Transportation</w:t>
            </w:r>
          </w:p>
        </w:tc>
        <w:tc>
          <w:tcPr>
            <w:tcW w:w="3860" w:type="dxa"/>
            <w:tcBorders>
              <w:top w:val="nil"/>
              <w:left w:val="nil"/>
              <w:bottom w:val="single" w:sz="8" w:space="0" w:color="auto"/>
              <w:right w:val="single" w:sz="8" w:space="0" w:color="auto"/>
            </w:tcBorders>
            <w:shd w:val="clear" w:color="auto" w:fill="auto"/>
            <w:noWrap/>
            <w:vAlign w:val="bottom"/>
          </w:tcPr>
          <w:p w14:paraId="2BE8AAD9"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Transportation</w:t>
            </w:r>
          </w:p>
        </w:tc>
      </w:tr>
    </w:tbl>
    <w:p w14:paraId="4BD67761" w14:textId="77777777" w:rsidR="00536656" w:rsidRPr="004A5E16" w:rsidRDefault="00536656" w:rsidP="00536656">
      <w:pPr>
        <w:rPr>
          <w:rFonts w:asciiTheme="minorHAnsi" w:hAnsiTheme="minorHAnsi" w:cstheme="minorHAnsi"/>
          <w:sz w:val="22"/>
          <w:szCs w:val="22"/>
          <w:highlight w:val="lightGray"/>
        </w:rPr>
      </w:pPr>
    </w:p>
    <w:p w14:paraId="7DAEAB43" w14:textId="77777777" w:rsidR="00536656" w:rsidRPr="00F14593" w:rsidRDefault="00536656" w:rsidP="00536656">
      <w:pPr>
        <w:rPr>
          <w:rFonts w:asciiTheme="minorHAnsi" w:hAnsiTheme="minorHAnsi" w:cstheme="minorHAnsi"/>
          <w:sz w:val="22"/>
          <w:szCs w:val="22"/>
          <w:u w:val="single"/>
        </w:rPr>
      </w:pPr>
      <w:r w:rsidRPr="003C413A">
        <w:rPr>
          <w:rFonts w:asciiTheme="minorHAnsi" w:hAnsiTheme="minorHAnsi" w:cstheme="minorHAnsi"/>
          <w:b/>
          <w:i/>
          <w:sz w:val="22"/>
          <w:szCs w:val="22"/>
        </w:rPr>
        <w:t>Historical Base Data Completion Factors</w:t>
      </w:r>
      <w:r w:rsidRPr="003C413A">
        <w:rPr>
          <w:rFonts w:asciiTheme="minorHAnsi" w:hAnsiTheme="minorHAnsi" w:cstheme="minorHAnsi"/>
          <w:sz w:val="22"/>
          <w:szCs w:val="22"/>
        </w:rPr>
        <w:t>:</w:t>
      </w:r>
    </w:p>
    <w:p w14:paraId="30ED202D" w14:textId="77777777" w:rsidR="00536656" w:rsidRPr="004A5E16" w:rsidRDefault="00536656" w:rsidP="00536656">
      <w:pPr>
        <w:rPr>
          <w:rFonts w:asciiTheme="minorHAnsi" w:hAnsiTheme="minorHAnsi" w:cstheme="minorHAnsi"/>
          <w:sz w:val="22"/>
          <w:szCs w:val="22"/>
        </w:rPr>
      </w:pPr>
      <w:r w:rsidRPr="00272452">
        <w:rPr>
          <w:rFonts w:asciiTheme="minorHAnsi" w:hAnsiTheme="minorHAnsi" w:cstheme="minorHAnsi"/>
          <w:sz w:val="22"/>
          <w:szCs w:val="22"/>
        </w:rPr>
        <w:t>The MassHealth base d</w:t>
      </w:r>
      <w:r w:rsidRPr="004A5E16">
        <w:rPr>
          <w:rFonts w:asciiTheme="minorHAnsi" w:hAnsiTheme="minorHAnsi" w:cstheme="minorHAnsi"/>
          <w:sz w:val="22"/>
          <w:szCs w:val="22"/>
        </w:rPr>
        <w:t>ata do not reflect an estimate for IBNR expenditures. Medicaid and crossover claims processed by MassHealth through December 2013 are reported in the MassHealth base data. To construct the historical base data, the following completion factors have been applied to both the Medicaid data and the crossover data reported in the Data Book.</w:t>
      </w:r>
    </w:p>
    <w:p w14:paraId="13F83B7D" w14:textId="77777777" w:rsidR="00536656" w:rsidRPr="004A5E16" w:rsidRDefault="00536656" w:rsidP="00536656">
      <w:pPr>
        <w:rPr>
          <w:rFonts w:asciiTheme="minorHAnsi" w:hAnsiTheme="minorHAnsi" w:cstheme="minorHAnsi"/>
          <w:sz w:val="22"/>
          <w:szCs w:val="22"/>
        </w:rPr>
      </w:pPr>
    </w:p>
    <w:p w14:paraId="350ED56C" w14:textId="77777777" w:rsidR="00536656" w:rsidRPr="004A5E16" w:rsidRDefault="00536656" w:rsidP="00536656">
      <w:pPr>
        <w:rPr>
          <w:rFonts w:asciiTheme="minorHAnsi" w:hAnsiTheme="minorHAnsi" w:cstheme="minorHAnsi"/>
          <w:sz w:val="22"/>
          <w:szCs w:val="22"/>
        </w:rPr>
      </w:pPr>
    </w:p>
    <w:tbl>
      <w:tblPr>
        <w:tblW w:w="4795" w:type="dxa"/>
        <w:jc w:val="center"/>
        <w:tblLook w:val="0000" w:firstRow="0" w:lastRow="0" w:firstColumn="0" w:lastColumn="0" w:noHBand="0" w:noVBand="0"/>
      </w:tblPr>
      <w:tblGrid>
        <w:gridCol w:w="2875"/>
        <w:gridCol w:w="960"/>
        <w:gridCol w:w="960"/>
      </w:tblGrid>
      <w:tr w:rsidR="00536656" w:rsidRPr="004A5E16" w14:paraId="0E3A8220" w14:textId="77777777" w:rsidTr="00536656">
        <w:trPr>
          <w:trHeight w:val="255"/>
          <w:jc w:val="center"/>
        </w:trPr>
        <w:tc>
          <w:tcPr>
            <w:tcW w:w="2875" w:type="dxa"/>
            <w:tcBorders>
              <w:top w:val="nil"/>
              <w:left w:val="nil"/>
              <w:bottom w:val="nil"/>
              <w:right w:val="nil"/>
            </w:tcBorders>
            <w:shd w:val="clear" w:color="auto" w:fill="auto"/>
            <w:noWrap/>
            <w:vAlign w:val="bottom"/>
          </w:tcPr>
          <w:p w14:paraId="151E4DC1" w14:textId="77777777" w:rsidR="00536656" w:rsidRPr="004A5E16" w:rsidRDefault="00536656" w:rsidP="00536656">
            <w:pPr>
              <w:rPr>
                <w:rFonts w:asciiTheme="minorHAnsi" w:hAnsiTheme="minorHAnsi" w:cstheme="minorHAnsi"/>
                <w:sz w:val="22"/>
                <w:szCs w:val="22"/>
              </w:rPr>
            </w:pPr>
          </w:p>
        </w:tc>
        <w:tc>
          <w:tcPr>
            <w:tcW w:w="1920" w:type="dxa"/>
            <w:gridSpan w:val="2"/>
            <w:tcBorders>
              <w:top w:val="single" w:sz="4" w:space="0" w:color="auto"/>
              <w:left w:val="single" w:sz="4" w:space="0" w:color="auto"/>
              <w:bottom w:val="single" w:sz="4" w:space="0" w:color="auto"/>
              <w:right w:val="single" w:sz="4" w:space="0" w:color="000000"/>
            </w:tcBorders>
            <w:shd w:val="clear" w:color="auto" w:fill="969696"/>
            <w:noWrap/>
            <w:vAlign w:val="center"/>
          </w:tcPr>
          <w:p w14:paraId="46999D76" w14:textId="77777777" w:rsidR="00536656" w:rsidRPr="004A5E16" w:rsidRDefault="00536656" w:rsidP="00536656">
            <w:pPr>
              <w:jc w:val="center"/>
              <w:rPr>
                <w:rFonts w:asciiTheme="minorHAnsi" w:hAnsiTheme="minorHAnsi" w:cstheme="minorHAnsi"/>
                <w:b/>
                <w:bCs/>
                <w:sz w:val="22"/>
                <w:szCs w:val="22"/>
              </w:rPr>
            </w:pPr>
            <w:r w:rsidRPr="004A5E16">
              <w:rPr>
                <w:rFonts w:asciiTheme="minorHAnsi" w:hAnsiTheme="minorHAnsi" w:cstheme="minorHAnsi"/>
                <w:b/>
                <w:bCs/>
                <w:sz w:val="22"/>
                <w:szCs w:val="22"/>
              </w:rPr>
              <w:t>Medicaid Claims Completion Factors</w:t>
            </w:r>
          </w:p>
        </w:tc>
      </w:tr>
      <w:tr w:rsidR="00536656" w:rsidRPr="004A5E16" w14:paraId="7538F996" w14:textId="77777777" w:rsidTr="00536656">
        <w:trPr>
          <w:trHeight w:val="255"/>
          <w:jc w:val="center"/>
        </w:trPr>
        <w:tc>
          <w:tcPr>
            <w:tcW w:w="2875" w:type="dxa"/>
            <w:tcBorders>
              <w:top w:val="single" w:sz="4" w:space="0" w:color="auto"/>
              <w:left w:val="single" w:sz="4" w:space="0" w:color="auto"/>
              <w:bottom w:val="nil"/>
              <w:right w:val="single" w:sz="4" w:space="0" w:color="auto"/>
            </w:tcBorders>
            <w:shd w:val="clear" w:color="auto" w:fill="969696"/>
            <w:noWrap/>
            <w:vAlign w:val="center"/>
          </w:tcPr>
          <w:p w14:paraId="759EB953" w14:textId="77777777" w:rsidR="00536656" w:rsidRPr="004A5E16" w:rsidRDefault="00536656" w:rsidP="00536656">
            <w:pPr>
              <w:rPr>
                <w:rFonts w:asciiTheme="minorHAnsi" w:hAnsiTheme="minorHAnsi" w:cstheme="minorHAnsi"/>
                <w:b/>
                <w:bCs/>
                <w:sz w:val="22"/>
                <w:szCs w:val="22"/>
              </w:rPr>
            </w:pPr>
            <w:r w:rsidRPr="004A5E16">
              <w:rPr>
                <w:rFonts w:asciiTheme="minorHAnsi" w:hAnsiTheme="minorHAnsi" w:cstheme="minorHAnsi"/>
                <w:b/>
                <w:bCs/>
                <w:sz w:val="22"/>
                <w:szCs w:val="22"/>
              </w:rPr>
              <w:t>Category of Service</w:t>
            </w:r>
          </w:p>
        </w:tc>
        <w:tc>
          <w:tcPr>
            <w:tcW w:w="960" w:type="dxa"/>
            <w:tcBorders>
              <w:top w:val="nil"/>
              <w:left w:val="nil"/>
              <w:bottom w:val="nil"/>
              <w:right w:val="single" w:sz="4" w:space="0" w:color="auto"/>
            </w:tcBorders>
            <w:shd w:val="clear" w:color="auto" w:fill="969696"/>
            <w:noWrap/>
            <w:vAlign w:val="center"/>
          </w:tcPr>
          <w:p w14:paraId="65388BBA" w14:textId="77777777" w:rsidR="00536656" w:rsidRPr="004A5E16" w:rsidRDefault="00536656" w:rsidP="00536656">
            <w:pPr>
              <w:jc w:val="center"/>
              <w:rPr>
                <w:rFonts w:asciiTheme="minorHAnsi" w:hAnsiTheme="minorHAnsi" w:cstheme="minorHAnsi"/>
                <w:b/>
                <w:bCs/>
                <w:sz w:val="22"/>
                <w:szCs w:val="22"/>
              </w:rPr>
            </w:pPr>
            <w:r w:rsidRPr="004A5E16">
              <w:rPr>
                <w:rFonts w:asciiTheme="minorHAnsi" w:hAnsiTheme="minorHAnsi" w:cstheme="minorHAnsi"/>
                <w:b/>
                <w:bCs/>
                <w:sz w:val="22"/>
                <w:szCs w:val="22"/>
              </w:rPr>
              <w:t>SFY 2012</w:t>
            </w:r>
          </w:p>
        </w:tc>
        <w:tc>
          <w:tcPr>
            <w:tcW w:w="960" w:type="dxa"/>
            <w:tcBorders>
              <w:top w:val="nil"/>
              <w:left w:val="nil"/>
              <w:bottom w:val="nil"/>
              <w:right w:val="single" w:sz="4" w:space="0" w:color="auto"/>
            </w:tcBorders>
            <w:shd w:val="clear" w:color="auto" w:fill="969696"/>
            <w:noWrap/>
            <w:vAlign w:val="center"/>
          </w:tcPr>
          <w:p w14:paraId="45555209" w14:textId="77777777" w:rsidR="00536656" w:rsidRPr="004A5E16" w:rsidRDefault="00536656" w:rsidP="00536656">
            <w:pPr>
              <w:jc w:val="center"/>
              <w:rPr>
                <w:rFonts w:asciiTheme="minorHAnsi" w:hAnsiTheme="minorHAnsi" w:cstheme="minorHAnsi"/>
                <w:b/>
                <w:bCs/>
                <w:sz w:val="22"/>
                <w:szCs w:val="22"/>
              </w:rPr>
            </w:pPr>
            <w:r w:rsidRPr="004A5E16">
              <w:rPr>
                <w:rFonts w:asciiTheme="minorHAnsi" w:hAnsiTheme="minorHAnsi" w:cstheme="minorHAnsi"/>
                <w:b/>
                <w:bCs/>
                <w:sz w:val="22"/>
                <w:szCs w:val="22"/>
              </w:rPr>
              <w:t>SFY 2013</w:t>
            </w:r>
          </w:p>
        </w:tc>
      </w:tr>
      <w:tr w:rsidR="00536656" w:rsidRPr="004A5E16" w14:paraId="49F0161B" w14:textId="77777777" w:rsidTr="00536656">
        <w:trPr>
          <w:trHeight w:val="255"/>
          <w:jc w:val="center"/>
        </w:trPr>
        <w:tc>
          <w:tcPr>
            <w:tcW w:w="2875" w:type="dxa"/>
            <w:tcBorders>
              <w:top w:val="single" w:sz="4" w:space="0" w:color="auto"/>
              <w:left w:val="single" w:sz="4" w:space="0" w:color="auto"/>
              <w:bottom w:val="single" w:sz="4" w:space="0" w:color="C0C0C0"/>
              <w:right w:val="single" w:sz="4" w:space="0" w:color="auto"/>
            </w:tcBorders>
            <w:shd w:val="clear" w:color="auto" w:fill="auto"/>
            <w:noWrap/>
            <w:vAlign w:val="center"/>
          </w:tcPr>
          <w:p w14:paraId="25CBD2ED"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Inpatient – Non-MH/SA</w:t>
            </w:r>
          </w:p>
        </w:tc>
        <w:tc>
          <w:tcPr>
            <w:tcW w:w="960" w:type="dxa"/>
            <w:tcBorders>
              <w:top w:val="single" w:sz="4" w:space="0" w:color="auto"/>
              <w:left w:val="single" w:sz="4" w:space="0" w:color="C0C0C0"/>
              <w:bottom w:val="single" w:sz="4" w:space="0" w:color="C0C0C0"/>
              <w:right w:val="single" w:sz="4" w:space="0" w:color="auto"/>
            </w:tcBorders>
            <w:shd w:val="clear" w:color="auto" w:fill="auto"/>
            <w:noWrap/>
          </w:tcPr>
          <w:p w14:paraId="17678313"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1.001</w:t>
            </w:r>
          </w:p>
        </w:tc>
        <w:tc>
          <w:tcPr>
            <w:tcW w:w="960" w:type="dxa"/>
            <w:tcBorders>
              <w:top w:val="single" w:sz="4" w:space="0" w:color="auto"/>
              <w:left w:val="single" w:sz="4" w:space="0" w:color="C0C0C0"/>
              <w:bottom w:val="single" w:sz="4" w:space="0" w:color="C0C0C0"/>
              <w:right w:val="single" w:sz="4" w:space="0" w:color="auto"/>
            </w:tcBorders>
            <w:shd w:val="clear" w:color="auto" w:fill="auto"/>
            <w:noWrap/>
          </w:tcPr>
          <w:p w14:paraId="791C337C"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1.022</w:t>
            </w:r>
          </w:p>
        </w:tc>
      </w:tr>
      <w:tr w:rsidR="00536656" w:rsidRPr="004A5E16" w14:paraId="248072E5" w14:textId="77777777" w:rsidTr="00536656">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14:paraId="1A8CDF9B"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Inpatient MH/SA</w:t>
            </w:r>
          </w:p>
        </w:tc>
        <w:tc>
          <w:tcPr>
            <w:tcW w:w="960" w:type="dxa"/>
            <w:tcBorders>
              <w:top w:val="nil"/>
              <w:left w:val="single" w:sz="4" w:space="0" w:color="C0C0C0"/>
              <w:bottom w:val="single" w:sz="4" w:space="0" w:color="C0C0C0"/>
              <w:right w:val="single" w:sz="4" w:space="0" w:color="auto"/>
            </w:tcBorders>
            <w:shd w:val="clear" w:color="auto" w:fill="auto"/>
            <w:noWrap/>
          </w:tcPr>
          <w:p w14:paraId="296AEFF6"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1.001</w:t>
            </w:r>
          </w:p>
        </w:tc>
        <w:tc>
          <w:tcPr>
            <w:tcW w:w="960" w:type="dxa"/>
            <w:tcBorders>
              <w:top w:val="nil"/>
              <w:left w:val="single" w:sz="4" w:space="0" w:color="C0C0C0"/>
              <w:bottom w:val="single" w:sz="4" w:space="0" w:color="C0C0C0"/>
              <w:right w:val="single" w:sz="4" w:space="0" w:color="auto"/>
            </w:tcBorders>
            <w:shd w:val="clear" w:color="auto" w:fill="auto"/>
            <w:noWrap/>
          </w:tcPr>
          <w:p w14:paraId="0684821E"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1.022</w:t>
            </w:r>
          </w:p>
        </w:tc>
      </w:tr>
      <w:tr w:rsidR="00536656" w:rsidRPr="004A5E16" w14:paraId="15709A2E" w14:textId="77777777" w:rsidTr="00536656">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14:paraId="6EC4854B"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Hospital Outpatient</w:t>
            </w:r>
          </w:p>
        </w:tc>
        <w:tc>
          <w:tcPr>
            <w:tcW w:w="960" w:type="dxa"/>
            <w:tcBorders>
              <w:top w:val="nil"/>
              <w:left w:val="single" w:sz="4" w:space="0" w:color="C0C0C0"/>
              <w:bottom w:val="single" w:sz="4" w:space="0" w:color="C0C0C0"/>
              <w:right w:val="single" w:sz="4" w:space="0" w:color="auto"/>
            </w:tcBorders>
            <w:shd w:val="clear" w:color="auto" w:fill="auto"/>
            <w:noWrap/>
          </w:tcPr>
          <w:p w14:paraId="043A80BE"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1.000</w:t>
            </w:r>
          </w:p>
        </w:tc>
        <w:tc>
          <w:tcPr>
            <w:tcW w:w="960" w:type="dxa"/>
            <w:tcBorders>
              <w:top w:val="nil"/>
              <w:left w:val="single" w:sz="4" w:space="0" w:color="C0C0C0"/>
              <w:bottom w:val="single" w:sz="4" w:space="0" w:color="C0C0C0"/>
              <w:right w:val="single" w:sz="4" w:space="0" w:color="auto"/>
            </w:tcBorders>
            <w:shd w:val="clear" w:color="auto" w:fill="auto"/>
            <w:noWrap/>
          </w:tcPr>
          <w:p w14:paraId="53699B1D"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1.007</w:t>
            </w:r>
          </w:p>
        </w:tc>
      </w:tr>
      <w:tr w:rsidR="00536656" w:rsidRPr="004A5E16" w14:paraId="53320536" w14:textId="77777777" w:rsidTr="00536656">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14:paraId="1BD786BE"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Outpatient MH/SA</w:t>
            </w:r>
          </w:p>
        </w:tc>
        <w:tc>
          <w:tcPr>
            <w:tcW w:w="960" w:type="dxa"/>
            <w:tcBorders>
              <w:top w:val="nil"/>
              <w:left w:val="single" w:sz="4" w:space="0" w:color="C0C0C0"/>
              <w:bottom w:val="single" w:sz="4" w:space="0" w:color="C0C0C0"/>
              <w:right w:val="single" w:sz="4" w:space="0" w:color="auto"/>
            </w:tcBorders>
            <w:shd w:val="clear" w:color="auto" w:fill="auto"/>
            <w:noWrap/>
          </w:tcPr>
          <w:p w14:paraId="3658EB0F"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1.000</w:t>
            </w:r>
          </w:p>
        </w:tc>
        <w:tc>
          <w:tcPr>
            <w:tcW w:w="960" w:type="dxa"/>
            <w:tcBorders>
              <w:top w:val="nil"/>
              <w:left w:val="single" w:sz="4" w:space="0" w:color="C0C0C0"/>
              <w:bottom w:val="single" w:sz="4" w:space="0" w:color="C0C0C0"/>
              <w:right w:val="single" w:sz="4" w:space="0" w:color="auto"/>
            </w:tcBorders>
            <w:shd w:val="clear" w:color="auto" w:fill="auto"/>
            <w:noWrap/>
          </w:tcPr>
          <w:p w14:paraId="0C3E7598"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1.007</w:t>
            </w:r>
          </w:p>
        </w:tc>
      </w:tr>
      <w:tr w:rsidR="00536656" w:rsidRPr="004A5E16" w14:paraId="717240E1" w14:textId="77777777" w:rsidTr="00536656">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14:paraId="40FEBCE9"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Professional</w:t>
            </w:r>
          </w:p>
        </w:tc>
        <w:tc>
          <w:tcPr>
            <w:tcW w:w="960" w:type="dxa"/>
            <w:tcBorders>
              <w:top w:val="nil"/>
              <w:left w:val="single" w:sz="4" w:space="0" w:color="C0C0C0"/>
              <w:bottom w:val="single" w:sz="4" w:space="0" w:color="C0C0C0"/>
              <w:right w:val="single" w:sz="4" w:space="0" w:color="auto"/>
            </w:tcBorders>
            <w:shd w:val="clear" w:color="auto" w:fill="auto"/>
            <w:noWrap/>
          </w:tcPr>
          <w:p w14:paraId="07A21DC0"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1.000</w:t>
            </w:r>
          </w:p>
        </w:tc>
        <w:tc>
          <w:tcPr>
            <w:tcW w:w="960" w:type="dxa"/>
            <w:tcBorders>
              <w:top w:val="nil"/>
              <w:left w:val="single" w:sz="4" w:space="0" w:color="C0C0C0"/>
              <w:bottom w:val="single" w:sz="4" w:space="0" w:color="C0C0C0"/>
              <w:right w:val="single" w:sz="4" w:space="0" w:color="auto"/>
            </w:tcBorders>
            <w:shd w:val="clear" w:color="auto" w:fill="auto"/>
            <w:noWrap/>
          </w:tcPr>
          <w:p w14:paraId="715BFFD3"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1.007</w:t>
            </w:r>
          </w:p>
        </w:tc>
      </w:tr>
      <w:tr w:rsidR="00536656" w:rsidRPr="004A5E16" w14:paraId="06AF49FE" w14:textId="77777777" w:rsidTr="00536656">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14:paraId="472FE210"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HCBS/Home Health</w:t>
            </w:r>
          </w:p>
        </w:tc>
        <w:tc>
          <w:tcPr>
            <w:tcW w:w="960" w:type="dxa"/>
            <w:tcBorders>
              <w:top w:val="nil"/>
              <w:left w:val="single" w:sz="4" w:space="0" w:color="C0C0C0"/>
              <w:bottom w:val="single" w:sz="4" w:space="0" w:color="C0C0C0"/>
              <w:right w:val="single" w:sz="4" w:space="0" w:color="auto"/>
            </w:tcBorders>
            <w:shd w:val="clear" w:color="auto" w:fill="auto"/>
            <w:noWrap/>
          </w:tcPr>
          <w:p w14:paraId="13005010"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1.010</w:t>
            </w:r>
          </w:p>
        </w:tc>
        <w:tc>
          <w:tcPr>
            <w:tcW w:w="960" w:type="dxa"/>
            <w:tcBorders>
              <w:top w:val="nil"/>
              <w:left w:val="single" w:sz="4" w:space="0" w:color="C0C0C0"/>
              <w:bottom w:val="single" w:sz="4" w:space="0" w:color="C0C0C0"/>
              <w:right w:val="single" w:sz="4" w:space="0" w:color="auto"/>
            </w:tcBorders>
            <w:shd w:val="clear" w:color="auto" w:fill="auto"/>
            <w:noWrap/>
          </w:tcPr>
          <w:p w14:paraId="0E0C3DE6"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1.013</w:t>
            </w:r>
          </w:p>
        </w:tc>
      </w:tr>
      <w:tr w:rsidR="00536656" w:rsidRPr="004A5E16" w14:paraId="6D1665C8" w14:textId="77777777" w:rsidTr="00536656">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14:paraId="0DB659E9"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LTC Facility</w:t>
            </w:r>
          </w:p>
        </w:tc>
        <w:tc>
          <w:tcPr>
            <w:tcW w:w="960" w:type="dxa"/>
            <w:tcBorders>
              <w:top w:val="nil"/>
              <w:left w:val="single" w:sz="4" w:space="0" w:color="C0C0C0"/>
              <w:bottom w:val="single" w:sz="4" w:space="0" w:color="C0C0C0"/>
              <w:right w:val="single" w:sz="4" w:space="0" w:color="auto"/>
            </w:tcBorders>
            <w:shd w:val="clear" w:color="auto" w:fill="auto"/>
            <w:noWrap/>
          </w:tcPr>
          <w:p w14:paraId="27A401CF"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1.000</w:t>
            </w:r>
          </w:p>
        </w:tc>
        <w:tc>
          <w:tcPr>
            <w:tcW w:w="960" w:type="dxa"/>
            <w:tcBorders>
              <w:top w:val="nil"/>
              <w:left w:val="single" w:sz="4" w:space="0" w:color="C0C0C0"/>
              <w:bottom w:val="single" w:sz="4" w:space="0" w:color="C0C0C0"/>
              <w:right w:val="single" w:sz="4" w:space="0" w:color="auto"/>
            </w:tcBorders>
            <w:shd w:val="clear" w:color="auto" w:fill="auto"/>
            <w:noWrap/>
          </w:tcPr>
          <w:p w14:paraId="59E62496"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1.008</w:t>
            </w:r>
          </w:p>
        </w:tc>
      </w:tr>
      <w:tr w:rsidR="00536656" w:rsidRPr="004A5E16" w14:paraId="7F5D148B" w14:textId="77777777" w:rsidTr="00536656">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14:paraId="0F4B9AF3"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Pharmacy (Non-Part D)</w:t>
            </w:r>
          </w:p>
        </w:tc>
        <w:tc>
          <w:tcPr>
            <w:tcW w:w="960" w:type="dxa"/>
            <w:tcBorders>
              <w:top w:val="nil"/>
              <w:left w:val="single" w:sz="4" w:space="0" w:color="C0C0C0"/>
              <w:bottom w:val="single" w:sz="4" w:space="0" w:color="C0C0C0"/>
              <w:right w:val="single" w:sz="4" w:space="0" w:color="auto"/>
            </w:tcBorders>
            <w:shd w:val="clear" w:color="auto" w:fill="auto"/>
            <w:noWrap/>
          </w:tcPr>
          <w:p w14:paraId="62842854"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1.000</w:t>
            </w:r>
          </w:p>
        </w:tc>
        <w:tc>
          <w:tcPr>
            <w:tcW w:w="960" w:type="dxa"/>
            <w:tcBorders>
              <w:top w:val="nil"/>
              <w:left w:val="single" w:sz="4" w:space="0" w:color="C0C0C0"/>
              <w:bottom w:val="single" w:sz="4" w:space="0" w:color="C0C0C0"/>
              <w:right w:val="single" w:sz="4" w:space="0" w:color="auto"/>
            </w:tcBorders>
            <w:shd w:val="clear" w:color="auto" w:fill="auto"/>
            <w:noWrap/>
          </w:tcPr>
          <w:p w14:paraId="030C065F"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1.008</w:t>
            </w:r>
          </w:p>
        </w:tc>
      </w:tr>
      <w:tr w:rsidR="00536656" w:rsidRPr="004A5E16" w14:paraId="7217FB14" w14:textId="77777777" w:rsidTr="00536656">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14:paraId="30EA14E1"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DME &amp; Supplies</w:t>
            </w:r>
          </w:p>
        </w:tc>
        <w:tc>
          <w:tcPr>
            <w:tcW w:w="960" w:type="dxa"/>
            <w:tcBorders>
              <w:top w:val="nil"/>
              <w:left w:val="single" w:sz="4" w:space="0" w:color="C0C0C0"/>
              <w:bottom w:val="single" w:sz="4" w:space="0" w:color="C0C0C0"/>
              <w:right w:val="single" w:sz="4" w:space="0" w:color="auto"/>
            </w:tcBorders>
            <w:shd w:val="clear" w:color="auto" w:fill="auto"/>
            <w:noWrap/>
          </w:tcPr>
          <w:p w14:paraId="1F2FDA60"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1.000</w:t>
            </w:r>
          </w:p>
        </w:tc>
        <w:tc>
          <w:tcPr>
            <w:tcW w:w="960" w:type="dxa"/>
            <w:tcBorders>
              <w:top w:val="nil"/>
              <w:left w:val="single" w:sz="4" w:space="0" w:color="C0C0C0"/>
              <w:bottom w:val="single" w:sz="4" w:space="0" w:color="C0C0C0"/>
              <w:right w:val="single" w:sz="4" w:space="0" w:color="auto"/>
            </w:tcBorders>
            <w:shd w:val="clear" w:color="auto" w:fill="auto"/>
            <w:noWrap/>
          </w:tcPr>
          <w:p w14:paraId="09D9582A"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1.008</w:t>
            </w:r>
          </w:p>
        </w:tc>
      </w:tr>
      <w:tr w:rsidR="00536656" w:rsidRPr="004A5E16" w14:paraId="401B2D96" w14:textId="77777777" w:rsidTr="00536656">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14:paraId="1D081478"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Transportation</w:t>
            </w:r>
          </w:p>
        </w:tc>
        <w:tc>
          <w:tcPr>
            <w:tcW w:w="960" w:type="dxa"/>
            <w:tcBorders>
              <w:top w:val="nil"/>
              <w:left w:val="single" w:sz="4" w:space="0" w:color="C0C0C0"/>
              <w:bottom w:val="single" w:sz="4" w:space="0" w:color="C0C0C0"/>
              <w:right w:val="single" w:sz="4" w:space="0" w:color="auto"/>
            </w:tcBorders>
            <w:shd w:val="clear" w:color="auto" w:fill="auto"/>
            <w:noWrap/>
          </w:tcPr>
          <w:p w14:paraId="5A061024"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1.000</w:t>
            </w:r>
          </w:p>
        </w:tc>
        <w:tc>
          <w:tcPr>
            <w:tcW w:w="960" w:type="dxa"/>
            <w:tcBorders>
              <w:top w:val="nil"/>
              <w:left w:val="single" w:sz="4" w:space="0" w:color="C0C0C0"/>
              <w:bottom w:val="single" w:sz="4" w:space="0" w:color="C0C0C0"/>
              <w:right w:val="single" w:sz="4" w:space="0" w:color="auto"/>
            </w:tcBorders>
            <w:shd w:val="clear" w:color="auto" w:fill="auto"/>
            <w:noWrap/>
          </w:tcPr>
          <w:p w14:paraId="35A61909"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1.008</w:t>
            </w:r>
          </w:p>
        </w:tc>
      </w:tr>
      <w:tr w:rsidR="00536656" w:rsidRPr="004A5E16" w14:paraId="77B680CD" w14:textId="77777777" w:rsidTr="00536656">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14:paraId="6DB0999F"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All Other</w:t>
            </w:r>
          </w:p>
        </w:tc>
        <w:tc>
          <w:tcPr>
            <w:tcW w:w="960" w:type="dxa"/>
            <w:tcBorders>
              <w:top w:val="nil"/>
              <w:left w:val="single" w:sz="4" w:space="0" w:color="C0C0C0"/>
              <w:bottom w:val="single" w:sz="4" w:space="0" w:color="C0C0C0"/>
              <w:right w:val="single" w:sz="4" w:space="0" w:color="auto"/>
            </w:tcBorders>
            <w:shd w:val="clear" w:color="auto" w:fill="auto"/>
            <w:noWrap/>
          </w:tcPr>
          <w:p w14:paraId="2B026991"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1.000</w:t>
            </w:r>
          </w:p>
        </w:tc>
        <w:tc>
          <w:tcPr>
            <w:tcW w:w="960" w:type="dxa"/>
            <w:tcBorders>
              <w:top w:val="nil"/>
              <w:left w:val="single" w:sz="4" w:space="0" w:color="C0C0C0"/>
              <w:bottom w:val="single" w:sz="4" w:space="0" w:color="C0C0C0"/>
              <w:right w:val="single" w:sz="4" w:space="0" w:color="auto"/>
            </w:tcBorders>
            <w:shd w:val="clear" w:color="auto" w:fill="auto"/>
            <w:noWrap/>
          </w:tcPr>
          <w:p w14:paraId="16989C72"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1.008</w:t>
            </w:r>
          </w:p>
        </w:tc>
      </w:tr>
      <w:tr w:rsidR="00536656" w:rsidRPr="004A5E16" w14:paraId="3FFDA666" w14:textId="77777777" w:rsidTr="00536656">
        <w:trPr>
          <w:trHeight w:val="255"/>
          <w:jc w:val="center"/>
        </w:trPr>
        <w:tc>
          <w:tcPr>
            <w:tcW w:w="2875" w:type="dxa"/>
            <w:tcBorders>
              <w:top w:val="nil"/>
              <w:left w:val="single" w:sz="4" w:space="0" w:color="auto"/>
              <w:bottom w:val="single" w:sz="4" w:space="0" w:color="auto"/>
              <w:right w:val="single" w:sz="4" w:space="0" w:color="auto"/>
            </w:tcBorders>
            <w:shd w:val="clear" w:color="auto" w:fill="auto"/>
            <w:noWrap/>
            <w:vAlign w:val="center"/>
          </w:tcPr>
          <w:p w14:paraId="2F782BF0"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All Services</w:t>
            </w:r>
          </w:p>
        </w:tc>
        <w:tc>
          <w:tcPr>
            <w:tcW w:w="960" w:type="dxa"/>
            <w:tcBorders>
              <w:top w:val="nil"/>
              <w:left w:val="single" w:sz="4" w:space="0" w:color="C0C0C0"/>
              <w:bottom w:val="single" w:sz="4" w:space="0" w:color="auto"/>
              <w:right w:val="single" w:sz="4" w:space="0" w:color="auto"/>
            </w:tcBorders>
            <w:shd w:val="clear" w:color="auto" w:fill="auto"/>
            <w:noWrap/>
          </w:tcPr>
          <w:p w14:paraId="303A6C95"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1.005</w:t>
            </w:r>
          </w:p>
        </w:tc>
        <w:tc>
          <w:tcPr>
            <w:tcW w:w="960" w:type="dxa"/>
            <w:tcBorders>
              <w:top w:val="nil"/>
              <w:left w:val="single" w:sz="4" w:space="0" w:color="C0C0C0"/>
              <w:bottom w:val="single" w:sz="4" w:space="0" w:color="auto"/>
              <w:right w:val="single" w:sz="4" w:space="0" w:color="auto"/>
            </w:tcBorders>
            <w:shd w:val="clear" w:color="auto" w:fill="auto"/>
            <w:noWrap/>
          </w:tcPr>
          <w:p w14:paraId="4C64542A"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1.012</w:t>
            </w:r>
          </w:p>
        </w:tc>
      </w:tr>
    </w:tbl>
    <w:p w14:paraId="00E57A6A" w14:textId="77777777" w:rsidR="00536656" w:rsidRPr="004A5E16" w:rsidRDefault="00536656" w:rsidP="00536656">
      <w:pPr>
        <w:rPr>
          <w:rFonts w:asciiTheme="minorHAnsi" w:hAnsiTheme="minorHAnsi" w:cstheme="minorHAnsi"/>
          <w:sz w:val="22"/>
          <w:szCs w:val="22"/>
        </w:rPr>
      </w:pPr>
    </w:p>
    <w:p w14:paraId="7E95E26F" w14:textId="77777777" w:rsidR="00536656" w:rsidRPr="004A5E16" w:rsidRDefault="00536656" w:rsidP="00536656">
      <w:pPr>
        <w:rPr>
          <w:rFonts w:asciiTheme="minorHAnsi" w:hAnsiTheme="minorHAnsi" w:cstheme="minorHAnsi"/>
          <w:sz w:val="22"/>
          <w:szCs w:val="22"/>
        </w:rPr>
      </w:pPr>
    </w:p>
    <w:tbl>
      <w:tblPr>
        <w:tblW w:w="4795" w:type="dxa"/>
        <w:jc w:val="center"/>
        <w:tblLook w:val="0000" w:firstRow="0" w:lastRow="0" w:firstColumn="0" w:lastColumn="0" w:noHBand="0" w:noVBand="0"/>
      </w:tblPr>
      <w:tblGrid>
        <w:gridCol w:w="2875"/>
        <w:gridCol w:w="960"/>
        <w:gridCol w:w="960"/>
      </w:tblGrid>
      <w:tr w:rsidR="00536656" w:rsidRPr="004A5E16" w14:paraId="7EB72099" w14:textId="77777777" w:rsidTr="00536656">
        <w:trPr>
          <w:trHeight w:val="255"/>
          <w:jc w:val="center"/>
        </w:trPr>
        <w:tc>
          <w:tcPr>
            <w:tcW w:w="2875" w:type="dxa"/>
            <w:tcBorders>
              <w:top w:val="nil"/>
              <w:left w:val="nil"/>
              <w:bottom w:val="nil"/>
              <w:right w:val="nil"/>
            </w:tcBorders>
            <w:shd w:val="clear" w:color="auto" w:fill="auto"/>
            <w:noWrap/>
            <w:vAlign w:val="bottom"/>
          </w:tcPr>
          <w:p w14:paraId="571CC9CA" w14:textId="77777777" w:rsidR="00536656" w:rsidRPr="004A5E16" w:rsidRDefault="00536656" w:rsidP="00536656">
            <w:pPr>
              <w:rPr>
                <w:rFonts w:asciiTheme="minorHAnsi" w:hAnsiTheme="minorHAnsi" w:cstheme="minorHAnsi"/>
                <w:sz w:val="22"/>
                <w:szCs w:val="22"/>
              </w:rPr>
            </w:pPr>
          </w:p>
        </w:tc>
        <w:tc>
          <w:tcPr>
            <w:tcW w:w="1920" w:type="dxa"/>
            <w:gridSpan w:val="2"/>
            <w:tcBorders>
              <w:top w:val="single" w:sz="4" w:space="0" w:color="auto"/>
              <w:left w:val="single" w:sz="4" w:space="0" w:color="auto"/>
              <w:bottom w:val="single" w:sz="4" w:space="0" w:color="auto"/>
              <w:right w:val="single" w:sz="4" w:space="0" w:color="000000"/>
            </w:tcBorders>
            <w:shd w:val="clear" w:color="auto" w:fill="969696"/>
            <w:noWrap/>
            <w:vAlign w:val="center"/>
          </w:tcPr>
          <w:p w14:paraId="06762D5E" w14:textId="77777777" w:rsidR="00536656" w:rsidRPr="004A5E16" w:rsidRDefault="00536656" w:rsidP="00536656">
            <w:pPr>
              <w:jc w:val="center"/>
              <w:rPr>
                <w:rFonts w:asciiTheme="minorHAnsi" w:hAnsiTheme="minorHAnsi" w:cstheme="minorHAnsi"/>
                <w:b/>
                <w:bCs/>
                <w:sz w:val="22"/>
                <w:szCs w:val="22"/>
              </w:rPr>
            </w:pPr>
            <w:r w:rsidRPr="004A5E16">
              <w:rPr>
                <w:rFonts w:asciiTheme="minorHAnsi" w:hAnsiTheme="minorHAnsi" w:cstheme="minorHAnsi"/>
                <w:b/>
                <w:bCs/>
                <w:sz w:val="22"/>
                <w:szCs w:val="22"/>
              </w:rPr>
              <w:t>Crossover Claims Completion Factors</w:t>
            </w:r>
          </w:p>
        </w:tc>
      </w:tr>
      <w:tr w:rsidR="00536656" w:rsidRPr="004A5E16" w14:paraId="2215A641" w14:textId="77777777" w:rsidTr="00536656">
        <w:trPr>
          <w:trHeight w:val="255"/>
          <w:jc w:val="center"/>
        </w:trPr>
        <w:tc>
          <w:tcPr>
            <w:tcW w:w="2875" w:type="dxa"/>
            <w:tcBorders>
              <w:top w:val="single" w:sz="4" w:space="0" w:color="auto"/>
              <w:left w:val="single" w:sz="4" w:space="0" w:color="auto"/>
              <w:bottom w:val="nil"/>
              <w:right w:val="single" w:sz="4" w:space="0" w:color="auto"/>
            </w:tcBorders>
            <w:shd w:val="clear" w:color="auto" w:fill="969696"/>
            <w:noWrap/>
            <w:vAlign w:val="center"/>
          </w:tcPr>
          <w:p w14:paraId="526A894A" w14:textId="77777777" w:rsidR="00536656" w:rsidRPr="004A5E16" w:rsidRDefault="00536656" w:rsidP="00536656">
            <w:pPr>
              <w:rPr>
                <w:rFonts w:asciiTheme="minorHAnsi" w:hAnsiTheme="minorHAnsi" w:cstheme="minorHAnsi"/>
                <w:b/>
                <w:bCs/>
                <w:sz w:val="22"/>
                <w:szCs w:val="22"/>
              </w:rPr>
            </w:pPr>
            <w:r w:rsidRPr="004A5E16">
              <w:rPr>
                <w:rFonts w:asciiTheme="minorHAnsi" w:hAnsiTheme="minorHAnsi" w:cstheme="minorHAnsi"/>
                <w:b/>
                <w:bCs/>
                <w:sz w:val="22"/>
                <w:szCs w:val="22"/>
              </w:rPr>
              <w:t>Category of Service</w:t>
            </w:r>
          </w:p>
        </w:tc>
        <w:tc>
          <w:tcPr>
            <w:tcW w:w="960" w:type="dxa"/>
            <w:tcBorders>
              <w:top w:val="nil"/>
              <w:left w:val="nil"/>
              <w:bottom w:val="nil"/>
              <w:right w:val="single" w:sz="4" w:space="0" w:color="auto"/>
            </w:tcBorders>
            <w:shd w:val="clear" w:color="auto" w:fill="969696"/>
            <w:noWrap/>
            <w:vAlign w:val="center"/>
          </w:tcPr>
          <w:p w14:paraId="5C21B186" w14:textId="77777777" w:rsidR="00536656" w:rsidRPr="004A5E16" w:rsidRDefault="00536656" w:rsidP="00536656">
            <w:pPr>
              <w:jc w:val="center"/>
              <w:rPr>
                <w:rFonts w:asciiTheme="minorHAnsi" w:hAnsiTheme="minorHAnsi" w:cstheme="minorHAnsi"/>
                <w:b/>
                <w:bCs/>
                <w:sz w:val="22"/>
                <w:szCs w:val="22"/>
              </w:rPr>
            </w:pPr>
            <w:r w:rsidRPr="004A5E16">
              <w:rPr>
                <w:rFonts w:asciiTheme="minorHAnsi" w:hAnsiTheme="minorHAnsi" w:cstheme="minorHAnsi"/>
                <w:b/>
                <w:bCs/>
                <w:sz w:val="22"/>
                <w:szCs w:val="22"/>
              </w:rPr>
              <w:t>SFY 2012</w:t>
            </w:r>
          </w:p>
        </w:tc>
        <w:tc>
          <w:tcPr>
            <w:tcW w:w="960" w:type="dxa"/>
            <w:tcBorders>
              <w:top w:val="nil"/>
              <w:left w:val="nil"/>
              <w:bottom w:val="nil"/>
              <w:right w:val="single" w:sz="4" w:space="0" w:color="auto"/>
            </w:tcBorders>
            <w:shd w:val="clear" w:color="auto" w:fill="969696"/>
            <w:noWrap/>
            <w:vAlign w:val="center"/>
          </w:tcPr>
          <w:p w14:paraId="13A45320" w14:textId="77777777" w:rsidR="00536656" w:rsidRPr="004A5E16" w:rsidRDefault="00536656" w:rsidP="00536656">
            <w:pPr>
              <w:jc w:val="center"/>
              <w:rPr>
                <w:rFonts w:asciiTheme="minorHAnsi" w:hAnsiTheme="minorHAnsi" w:cstheme="minorHAnsi"/>
                <w:b/>
                <w:bCs/>
                <w:sz w:val="22"/>
                <w:szCs w:val="22"/>
              </w:rPr>
            </w:pPr>
            <w:r w:rsidRPr="004A5E16">
              <w:rPr>
                <w:rFonts w:asciiTheme="minorHAnsi" w:hAnsiTheme="minorHAnsi" w:cstheme="minorHAnsi"/>
                <w:b/>
                <w:bCs/>
                <w:sz w:val="22"/>
                <w:szCs w:val="22"/>
              </w:rPr>
              <w:t>SFY 2013</w:t>
            </w:r>
          </w:p>
        </w:tc>
      </w:tr>
      <w:tr w:rsidR="00536656" w:rsidRPr="004A5E16" w14:paraId="77570EA9" w14:textId="77777777" w:rsidTr="00536656">
        <w:trPr>
          <w:trHeight w:val="255"/>
          <w:jc w:val="center"/>
        </w:trPr>
        <w:tc>
          <w:tcPr>
            <w:tcW w:w="2875" w:type="dxa"/>
            <w:tcBorders>
              <w:top w:val="single" w:sz="4" w:space="0" w:color="auto"/>
              <w:left w:val="single" w:sz="4" w:space="0" w:color="auto"/>
              <w:bottom w:val="single" w:sz="4" w:space="0" w:color="C0C0C0"/>
              <w:right w:val="single" w:sz="4" w:space="0" w:color="auto"/>
            </w:tcBorders>
            <w:shd w:val="clear" w:color="auto" w:fill="auto"/>
            <w:noWrap/>
            <w:vAlign w:val="center"/>
          </w:tcPr>
          <w:p w14:paraId="3397C4DC"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Inpatient – Non-MH/SA</w:t>
            </w:r>
          </w:p>
        </w:tc>
        <w:tc>
          <w:tcPr>
            <w:tcW w:w="960" w:type="dxa"/>
            <w:tcBorders>
              <w:top w:val="single" w:sz="4" w:space="0" w:color="auto"/>
              <w:left w:val="single" w:sz="4" w:space="0" w:color="C0C0C0"/>
              <w:bottom w:val="single" w:sz="4" w:space="0" w:color="C0C0C0"/>
              <w:right w:val="single" w:sz="4" w:space="0" w:color="auto"/>
            </w:tcBorders>
            <w:shd w:val="clear" w:color="auto" w:fill="auto"/>
            <w:noWrap/>
          </w:tcPr>
          <w:p w14:paraId="6067FD11"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1.001</w:t>
            </w:r>
          </w:p>
        </w:tc>
        <w:tc>
          <w:tcPr>
            <w:tcW w:w="960" w:type="dxa"/>
            <w:tcBorders>
              <w:top w:val="single" w:sz="4" w:space="0" w:color="auto"/>
              <w:left w:val="single" w:sz="4" w:space="0" w:color="C0C0C0"/>
              <w:bottom w:val="single" w:sz="4" w:space="0" w:color="C0C0C0"/>
              <w:right w:val="single" w:sz="4" w:space="0" w:color="auto"/>
            </w:tcBorders>
            <w:shd w:val="clear" w:color="auto" w:fill="auto"/>
            <w:noWrap/>
          </w:tcPr>
          <w:p w14:paraId="10646A84"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1.035</w:t>
            </w:r>
          </w:p>
        </w:tc>
      </w:tr>
      <w:tr w:rsidR="00536656" w:rsidRPr="004A5E16" w14:paraId="3791F65F" w14:textId="77777777" w:rsidTr="00536656">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14:paraId="61DA58E3"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Inpatient MH/SA</w:t>
            </w:r>
          </w:p>
        </w:tc>
        <w:tc>
          <w:tcPr>
            <w:tcW w:w="960" w:type="dxa"/>
            <w:tcBorders>
              <w:top w:val="nil"/>
              <w:left w:val="single" w:sz="4" w:space="0" w:color="C0C0C0"/>
              <w:bottom w:val="single" w:sz="4" w:space="0" w:color="C0C0C0"/>
              <w:right w:val="single" w:sz="4" w:space="0" w:color="auto"/>
            </w:tcBorders>
            <w:shd w:val="clear" w:color="auto" w:fill="auto"/>
            <w:noWrap/>
          </w:tcPr>
          <w:p w14:paraId="1090E119"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1.001</w:t>
            </w:r>
          </w:p>
        </w:tc>
        <w:tc>
          <w:tcPr>
            <w:tcW w:w="960" w:type="dxa"/>
            <w:tcBorders>
              <w:top w:val="nil"/>
              <w:left w:val="single" w:sz="4" w:space="0" w:color="C0C0C0"/>
              <w:bottom w:val="single" w:sz="4" w:space="0" w:color="C0C0C0"/>
              <w:right w:val="single" w:sz="4" w:space="0" w:color="auto"/>
            </w:tcBorders>
            <w:shd w:val="clear" w:color="auto" w:fill="auto"/>
            <w:noWrap/>
          </w:tcPr>
          <w:p w14:paraId="21182D63"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1.035</w:t>
            </w:r>
          </w:p>
        </w:tc>
      </w:tr>
      <w:tr w:rsidR="00536656" w:rsidRPr="004A5E16" w14:paraId="324C4BFA" w14:textId="77777777" w:rsidTr="00536656">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14:paraId="75A57852"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Hospital Outpatient</w:t>
            </w:r>
          </w:p>
        </w:tc>
        <w:tc>
          <w:tcPr>
            <w:tcW w:w="960" w:type="dxa"/>
            <w:tcBorders>
              <w:top w:val="nil"/>
              <w:left w:val="single" w:sz="4" w:space="0" w:color="C0C0C0"/>
              <w:bottom w:val="single" w:sz="4" w:space="0" w:color="C0C0C0"/>
              <w:right w:val="single" w:sz="4" w:space="0" w:color="auto"/>
            </w:tcBorders>
            <w:shd w:val="clear" w:color="auto" w:fill="auto"/>
            <w:noWrap/>
          </w:tcPr>
          <w:p w14:paraId="6805CB83"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1.005</w:t>
            </w:r>
          </w:p>
        </w:tc>
        <w:tc>
          <w:tcPr>
            <w:tcW w:w="960" w:type="dxa"/>
            <w:tcBorders>
              <w:top w:val="nil"/>
              <w:left w:val="single" w:sz="4" w:space="0" w:color="C0C0C0"/>
              <w:bottom w:val="single" w:sz="4" w:space="0" w:color="C0C0C0"/>
              <w:right w:val="single" w:sz="4" w:space="0" w:color="auto"/>
            </w:tcBorders>
            <w:shd w:val="clear" w:color="auto" w:fill="auto"/>
            <w:noWrap/>
          </w:tcPr>
          <w:p w14:paraId="415D45D1"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1.027</w:t>
            </w:r>
          </w:p>
        </w:tc>
      </w:tr>
      <w:tr w:rsidR="00536656" w:rsidRPr="004A5E16" w14:paraId="790F8E9E" w14:textId="77777777" w:rsidTr="00536656">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14:paraId="340B829F"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Outpatient MH/SA</w:t>
            </w:r>
          </w:p>
        </w:tc>
        <w:tc>
          <w:tcPr>
            <w:tcW w:w="960" w:type="dxa"/>
            <w:tcBorders>
              <w:top w:val="nil"/>
              <w:left w:val="single" w:sz="4" w:space="0" w:color="C0C0C0"/>
              <w:bottom w:val="single" w:sz="4" w:space="0" w:color="C0C0C0"/>
              <w:right w:val="single" w:sz="4" w:space="0" w:color="auto"/>
            </w:tcBorders>
            <w:shd w:val="clear" w:color="auto" w:fill="auto"/>
            <w:noWrap/>
          </w:tcPr>
          <w:p w14:paraId="389EEE92"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1.005</w:t>
            </w:r>
          </w:p>
        </w:tc>
        <w:tc>
          <w:tcPr>
            <w:tcW w:w="960" w:type="dxa"/>
            <w:tcBorders>
              <w:top w:val="nil"/>
              <w:left w:val="single" w:sz="4" w:space="0" w:color="C0C0C0"/>
              <w:bottom w:val="single" w:sz="4" w:space="0" w:color="C0C0C0"/>
              <w:right w:val="single" w:sz="4" w:space="0" w:color="auto"/>
            </w:tcBorders>
            <w:shd w:val="clear" w:color="auto" w:fill="auto"/>
            <w:noWrap/>
          </w:tcPr>
          <w:p w14:paraId="44332497"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1.027</w:t>
            </w:r>
          </w:p>
        </w:tc>
      </w:tr>
      <w:tr w:rsidR="00536656" w:rsidRPr="004A5E16" w14:paraId="7F56FE89" w14:textId="77777777" w:rsidTr="00536656">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14:paraId="64DF3477"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Professional</w:t>
            </w:r>
          </w:p>
        </w:tc>
        <w:tc>
          <w:tcPr>
            <w:tcW w:w="960" w:type="dxa"/>
            <w:tcBorders>
              <w:top w:val="nil"/>
              <w:left w:val="single" w:sz="4" w:space="0" w:color="C0C0C0"/>
              <w:bottom w:val="single" w:sz="4" w:space="0" w:color="C0C0C0"/>
              <w:right w:val="single" w:sz="4" w:space="0" w:color="auto"/>
            </w:tcBorders>
            <w:shd w:val="clear" w:color="auto" w:fill="auto"/>
            <w:noWrap/>
          </w:tcPr>
          <w:p w14:paraId="61EC96D0"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1.005</w:t>
            </w:r>
          </w:p>
        </w:tc>
        <w:tc>
          <w:tcPr>
            <w:tcW w:w="960" w:type="dxa"/>
            <w:tcBorders>
              <w:top w:val="nil"/>
              <w:left w:val="single" w:sz="4" w:space="0" w:color="C0C0C0"/>
              <w:bottom w:val="single" w:sz="4" w:space="0" w:color="C0C0C0"/>
              <w:right w:val="single" w:sz="4" w:space="0" w:color="auto"/>
            </w:tcBorders>
            <w:shd w:val="clear" w:color="auto" w:fill="auto"/>
            <w:noWrap/>
          </w:tcPr>
          <w:p w14:paraId="4C62A4BF"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1.027</w:t>
            </w:r>
          </w:p>
        </w:tc>
      </w:tr>
      <w:tr w:rsidR="00536656" w:rsidRPr="004A5E16" w14:paraId="1A606083" w14:textId="77777777" w:rsidTr="00536656">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14:paraId="476FD517"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HCBS/Home Health</w:t>
            </w:r>
          </w:p>
        </w:tc>
        <w:tc>
          <w:tcPr>
            <w:tcW w:w="960" w:type="dxa"/>
            <w:tcBorders>
              <w:top w:val="nil"/>
              <w:left w:val="single" w:sz="4" w:space="0" w:color="C0C0C0"/>
              <w:bottom w:val="single" w:sz="4" w:space="0" w:color="C0C0C0"/>
              <w:right w:val="single" w:sz="4" w:space="0" w:color="auto"/>
            </w:tcBorders>
            <w:shd w:val="clear" w:color="auto" w:fill="auto"/>
            <w:noWrap/>
          </w:tcPr>
          <w:p w14:paraId="284EAEFF"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1.000</w:t>
            </w:r>
          </w:p>
        </w:tc>
        <w:tc>
          <w:tcPr>
            <w:tcW w:w="960" w:type="dxa"/>
            <w:tcBorders>
              <w:top w:val="nil"/>
              <w:left w:val="single" w:sz="4" w:space="0" w:color="C0C0C0"/>
              <w:bottom w:val="single" w:sz="4" w:space="0" w:color="C0C0C0"/>
              <w:right w:val="single" w:sz="4" w:space="0" w:color="auto"/>
            </w:tcBorders>
            <w:shd w:val="clear" w:color="auto" w:fill="auto"/>
            <w:noWrap/>
          </w:tcPr>
          <w:p w14:paraId="6D9C25BB"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1.000</w:t>
            </w:r>
          </w:p>
        </w:tc>
      </w:tr>
      <w:tr w:rsidR="00536656" w:rsidRPr="004A5E16" w14:paraId="6872E609" w14:textId="77777777" w:rsidTr="00536656">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14:paraId="7E633284"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LTC Facility</w:t>
            </w:r>
          </w:p>
        </w:tc>
        <w:tc>
          <w:tcPr>
            <w:tcW w:w="960" w:type="dxa"/>
            <w:tcBorders>
              <w:top w:val="nil"/>
              <w:left w:val="single" w:sz="4" w:space="0" w:color="C0C0C0"/>
              <w:bottom w:val="single" w:sz="4" w:space="0" w:color="C0C0C0"/>
              <w:right w:val="single" w:sz="4" w:space="0" w:color="auto"/>
            </w:tcBorders>
            <w:shd w:val="clear" w:color="auto" w:fill="auto"/>
            <w:noWrap/>
          </w:tcPr>
          <w:p w14:paraId="3E95E33F"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1.001</w:t>
            </w:r>
          </w:p>
        </w:tc>
        <w:tc>
          <w:tcPr>
            <w:tcW w:w="960" w:type="dxa"/>
            <w:tcBorders>
              <w:top w:val="nil"/>
              <w:left w:val="single" w:sz="4" w:space="0" w:color="C0C0C0"/>
              <w:bottom w:val="single" w:sz="4" w:space="0" w:color="C0C0C0"/>
              <w:right w:val="single" w:sz="4" w:space="0" w:color="auto"/>
            </w:tcBorders>
            <w:shd w:val="clear" w:color="auto" w:fill="auto"/>
            <w:noWrap/>
          </w:tcPr>
          <w:p w14:paraId="173BB3F1"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1.010</w:t>
            </w:r>
          </w:p>
        </w:tc>
      </w:tr>
      <w:tr w:rsidR="00536656" w:rsidRPr="004A5E16" w14:paraId="1EDECF7E" w14:textId="77777777" w:rsidTr="00536656">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14:paraId="1AEFDE09"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Pharmacy (Non-Part D)</w:t>
            </w:r>
          </w:p>
        </w:tc>
        <w:tc>
          <w:tcPr>
            <w:tcW w:w="960" w:type="dxa"/>
            <w:tcBorders>
              <w:top w:val="nil"/>
              <w:left w:val="single" w:sz="4" w:space="0" w:color="C0C0C0"/>
              <w:bottom w:val="single" w:sz="4" w:space="0" w:color="C0C0C0"/>
              <w:right w:val="single" w:sz="4" w:space="0" w:color="auto"/>
            </w:tcBorders>
            <w:shd w:val="clear" w:color="auto" w:fill="auto"/>
            <w:noWrap/>
          </w:tcPr>
          <w:p w14:paraId="7F25AEEC"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1.006</w:t>
            </w:r>
          </w:p>
        </w:tc>
        <w:tc>
          <w:tcPr>
            <w:tcW w:w="960" w:type="dxa"/>
            <w:tcBorders>
              <w:top w:val="nil"/>
              <w:left w:val="single" w:sz="4" w:space="0" w:color="C0C0C0"/>
              <w:bottom w:val="single" w:sz="4" w:space="0" w:color="C0C0C0"/>
              <w:right w:val="single" w:sz="4" w:space="0" w:color="auto"/>
            </w:tcBorders>
            <w:shd w:val="clear" w:color="auto" w:fill="auto"/>
            <w:noWrap/>
          </w:tcPr>
          <w:p w14:paraId="63B481A7"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1.056</w:t>
            </w:r>
          </w:p>
        </w:tc>
      </w:tr>
      <w:tr w:rsidR="00536656" w:rsidRPr="004A5E16" w14:paraId="4A763C64" w14:textId="77777777" w:rsidTr="00536656">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14:paraId="64CAD6DC"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DME &amp; Supplies</w:t>
            </w:r>
          </w:p>
        </w:tc>
        <w:tc>
          <w:tcPr>
            <w:tcW w:w="960" w:type="dxa"/>
            <w:tcBorders>
              <w:top w:val="nil"/>
              <w:left w:val="single" w:sz="4" w:space="0" w:color="C0C0C0"/>
              <w:bottom w:val="single" w:sz="4" w:space="0" w:color="C0C0C0"/>
              <w:right w:val="single" w:sz="4" w:space="0" w:color="auto"/>
            </w:tcBorders>
            <w:shd w:val="clear" w:color="auto" w:fill="auto"/>
            <w:noWrap/>
          </w:tcPr>
          <w:p w14:paraId="54A197B4"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1.006</w:t>
            </w:r>
          </w:p>
        </w:tc>
        <w:tc>
          <w:tcPr>
            <w:tcW w:w="960" w:type="dxa"/>
            <w:tcBorders>
              <w:top w:val="nil"/>
              <w:left w:val="single" w:sz="4" w:space="0" w:color="C0C0C0"/>
              <w:bottom w:val="single" w:sz="4" w:space="0" w:color="C0C0C0"/>
              <w:right w:val="single" w:sz="4" w:space="0" w:color="auto"/>
            </w:tcBorders>
            <w:shd w:val="clear" w:color="auto" w:fill="auto"/>
            <w:noWrap/>
          </w:tcPr>
          <w:p w14:paraId="5645AFCD"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1.056</w:t>
            </w:r>
          </w:p>
        </w:tc>
      </w:tr>
      <w:tr w:rsidR="00536656" w:rsidRPr="004A5E16" w14:paraId="3F4F12A9" w14:textId="77777777" w:rsidTr="00536656">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14:paraId="34F797E7"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Transportation</w:t>
            </w:r>
          </w:p>
        </w:tc>
        <w:tc>
          <w:tcPr>
            <w:tcW w:w="960" w:type="dxa"/>
            <w:tcBorders>
              <w:top w:val="nil"/>
              <w:left w:val="single" w:sz="4" w:space="0" w:color="C0C0C0"/>
              <w:bottom w:val="single" w:sz="4" w:space="0" w:color="C0C0C0"/>
              <w:right w:val="single" w:sz="4" w:space="0" w:color="auto"/>
            </w:tcBorders>
            <w:shd w:val="clear" w:color="auto" w:fill="auto"/>
            <w:noWrap/>
          </w:tcPr>
          <w:p w14:paraId="198B4F03"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1.006</w:t>
            </w:r>
          </w:p>
        </w:tc>
        <w:tc>
          <w:tcPr>
            <w:tcW w:w="960" w:type="dxa"/>
            <w:tcBorders>
              <w:top w:val="nil"/>
              <w:left w:val="single" w:sz="4" w:space="0" w:color="C0C0C0"/>
              <w:bottom w:val="single" w:sz="4" w:space="0" w:color="C0C0C0"/>
              <w:right w:val="single" w:sz="4" w:space="0" w:color="auto"/>
            </w:tcBorders>
            <w:shd w:val="clear" w:color="auto" w:fill="auto"/>
            <w:noWrap/>
          </w:tcPr>
          <w:p w14:paraId="1062F49E"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1.056</w:t>
            </w:r>
          </w:p>
        </w:tc>
      </w:tr>
      <w:tr w:rsidR="00536656" w:rsidRPr="004A5E16" w14:paraId="6A683577" w14:textId="77777777" w:rsidTr="00536656">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14:paraId="578BBF40"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All Other</w:t>
            </w:r>
          </w:p>
        </w:tc>
        <w:tc>
          <w:tcPr>
            <w:tcW w:w="960" w:type="dxa"/>
            <w:tcBorders>
              <w:top w:val="nil"/>
              <w:left w:val="single" w:sz="4" w:space="0" w:color="C0C0C0"/>
              <w:bottom w:val="single" w:sz="4" w:space="0" w:color="C0C0C0"/>
              <w:right w:val="single" w:sz="4" w:space="0" w:color="auto"/>
            </w:tcBorders>
            <w:shd w:val="clear" w:color="auto" w:fill="auto"/>
            <w:noWrap/>
          </w:tcPr>
          <w:p w14:paraId="2734DCA2"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1.006</w:t>
            </w:r>
          </w:p>
        </w:tc>
        <w:tc>
          <w:tcPr>
            <w:tcW w:w="960" w:type="dxa"/>
            <w:tcBorders>
              <w:top w:val="nil"/>
              <w:left w:val="single" w:sz="4" w:space="0" w:color="C0C0C0"/>
              <w:bottom w:val="single" w:sz="4" w:space="0" w:color="C0C0C0"/>
              <w:right w:val="single" w:sz="4" w:space="0" w:color="auto"/>
            </w:tcBorders>
            <w:shd w:val="clear" w:color="auto" w:fill="auto"/>
            <w:noWrap/>
          </w:tcPr>
          <w:p w14:paraId="3200F949"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1.056</w:t>
            </w:r>
          </w:p>
        </w:tc>
      </w:tr>
      <w:tr w:rsidR="00536656" w:rsidRPr="004A5E16" w14:paraId="3F7F001A" w14:textId="77777777" w:rsidTr="00536656">
        <w:trPr>
          <w:trHeight w:val="255"/>
          <w:jc w:val="center"/>
        </w:trPr>
        <w:tc>
          <w:tcPr>
            <w:tcW w:w="2875" w:type="dxa"/>
            <w:tcBorders>
              <w:top w:val="nil"/>
              <w:left w:val="single" w:sz="4" w:space="0" w:color="auto"/>
              <w:bottom w:val="single" w:sz="4" w:space="0" w:color="auto"/>
              <w:right w:val="single" w:sz="4" w:space="0" w:color="auto"/>
            </w:tcBorders>
            <w:shd w:val="clear" w:color="auto" w:fill="auto"/>
            <w:noWrap/>
            <w:vAlign w:val="center"/>
          </w:tcPr>
          <w:p w14:paraId="3AD80F2A"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All Services</w:t>
            </w:r>
          </w:p>
        </w:tc>
        <w:tc>
          <w:tcPr>
            <w:tcW w:w="960" w:type="dxa"/>
            <w:tcBorders>
              <w:top w:val="nil"/>
              <w:left w:val="single" w:sz="4" w:space="0" w:color="C0C0C0"/>
              <w:bottom w:val="single" w:sz="4" w:space="0" w:color="auto"/>
              <w:right w:val="single" w:sz="4" w:space="0" w:color="auto"/>
            </w:tcBorders>
            <w:shd w:val="clear" w:color="auto" w:fill="auto"/>
            <w:noWrap/>
          </w:tcPr>
          <w:p w14:paraId="0DCA9E8B"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1.003</w:t>
            </w:r>
          </w:p>
        </w:tc>
        <w:tc>
          <w:tcPr>
            <w:tcW w:w="960" w:type="dxa"/>
            <w:tcBorders>
              <w:top w:val="nil"/>
              <w:left w:val="single" w:sz="4" w:space="0" w:color="C0C0C0"/>
              <w:bottom w:val="single" w:sz="4" w:space="0" w:color="auto"/>
              <w:right w:val="single" w:sz="4" w:space="0" w:color="auto"/>
            </w:tcBorders>
            <w:shd w:val="clear" w:color="auto" w:fill="auto"/>
            <w:noWrap/>
          </w:tcPr>
          <w:p w14:paraId="3130FDA2" w14:textId="77777777" w:rsidR="00536656" w:rsidRPr="004A5E16" w:rsidRDefault="00536656" w:rsidP="00536656">
            <w:pPr>
              <w:jc w:val="right"/>
              <w:rPr>
                <w:rFonts w:asciiTheme="minorHAnsi" w:hAnsiTheme="minorHAnsi" w:cstheme="minorHAnsi"/>
                <w:sz w:val="22"/>
                <w:szCs w:val="22"/>
              </w:rPr>
            </w:pPr>
            <w:r w:rsidRPr="004A5E16">
              <w:rPr>
                <w:rFonts w:asciiTheme="minorHAnsi" w:hAnsiTheme="minorHAnsi" w:cstheme="minorHAnsi"/>
                <w:sz w:val="22"/>
                <w:szCs w:val="22"/>
              </w:rPr>
              <w:t>1.028</w:t>
            </w:r>
          </w:p>
        </w:tc>
      </w:tr>
    </w:tbl>
    <w:p w14:paraId="75F59A1A" w14:textId="77777777" w:rsidR="00536656" w:rsidRPr="00F14593" w:rsidRDefault="00536656" w:rsidP="00536656">
      <w:pPr>
        <w:rPr>
          <w:rFonts w:asciiTheme="minorHAnsi" w:hAnsiTheme="minorHAnsi" w:cstheme="minorHAnsi"/>
          <w:sz w:val="22"/>
          <w:szCs w:val="22"/>
          <w:u w:val="single"/>
        </w:rPr>
      </w:pPr>
      <w:r w:rsidRPr="00F14593">
        <w:rPr>
          <w:rFonts w:asciiTheme="minorHAnsi" w:hAnsiTheme="minorHAnsi" w:cstheme="minorHAnsi"/>
          <w:b/>
          <w:i/>
          <w:sz w:val="22"/>
          <w:szCs w:val="22"/>
        </w:rPr>
        <w:lastRenderedPageBreak/>
        <w:t>Counties and Regions</w:t>
      </w:r>
      <w:r w:rsidRPr="00F14593">
        <w:rPr>
          <w:rFonts w:asciiTheme="minorHAnsi" w:hAnsiTheme="minorHAnsi" w:cstheme="minorHAnsi"/>
          <w:sz w:val="22"/>
          <w:szCs w:val="22"/>
        </w:rPr>
        <w:t>:</w:t>
      </w:r>
    </w:p>
    <w:p w14:paraId="6A25BFF8" w14:textId="77777777" w:rsidR="00536656" w:rsidRPr="004A5E16" w:rsidRDefault="00536656" w:rsidP="00536656">
      <w:pPr>
        <w:pStyle w:val="ListBullet"/>
        <w:numPr>
          <w:ilvl w:val="0"/>
          <w:numId w:val="0"/>
        </w:numPr>
        <w:rPr>
          <w:rFonts w:asciiTheme="minorHAnsi" w:hAnsiTheme="minorHAnsi" w:cstheme="minorHAnsi"/>
        </w:rPr>
      </w:pPr>
      <w:r w:rsidRPr="00272452">
        <w:rPr>
          <w:rFonts w:asciiTheme="minorHAnsi" w:hAnsiTheme="minorHAnsi" w:cstheme="minorHAnsi"/>
        </w:rPr>
        <w:t>Rates will be paid on a Massachusetts county and MassHealth rating category basis. Rates, however, have been developed regionally. F</w:t>
      </w:r>
      <w:r w:rsidRPr="004A5E16">
        <w:rPr>
          <w:rFonts w:asciiTheme="minorHAnsi" w:hAnsiTheme="minorHAnsi" w:cstheme="minorHAnsi"/>
        </w:rPr>
        <w:t>ive counties are not included in any of the One Care plan service areas:</w:t>
      </w:r>
    </w:p>
    <w:p w14:paraId="454275EB" w14:textId="77777777" w:rsidR="00536656" w:rsidRPr="004A5E16" w:rsidRDefault="00536656" w:rsidP="00536656">
      <w:pPr>
        <w:pStyle w:val="ListBullet"/>
        <w:numPr>
          <w:ilvl w:val="0"/>
          <w:numId w:val="0"/>
        </w:numPr>
        <w:rPr>
          <w:rFonts w:asciiTheme="minorHAnsi" w:hAnsiTheme="minorHAnsi" w:cstheme="minorHAnsi"/>
        </w:rPr>
      </w:pPr>
    </w:p>
    <w:p w14:paraId="21B296A2" w14:textId="77777777" w:rsidR="00536656" w:rsidRPr="004A5E16" w:rsidRDefault="00536656" w:rsidP="00536656">
      <w:pPr>
        <w:pStyle w:val="ListBullet"/>
        <w:numPr>
          <w:ilvl w:val="0"/>
          <w:numId w:val="8"/>
        </w:numPr>
        <w:outlineLvl w:val="4"/>
        <w:rPr>
          <w:rFonts w:asciiTheme="minorHAnsi" w:hAnsiTheme="minorHAnsi" w:cstheme="minorHAnsi"/>
        </w:rPr>
      </w:pPr>
      <w:r w:rsidRPr="004A5E16">
        <w:rPr>
          <w:rFonts w:asciiTheme="minorHAnsi" w:hAnsiTheme="minorHAnsi" w:cstheme="minorHAnsi"/>
        </w:rPr>
        <w:t xml:space="preserve">Barnstable. </w:t>
      </w:r>
    </w:p>
    <w:p w14:paraId="5B498BA8" w14:textId="77777777" w:rsidR="00536656" w:rsidRPr="004A5E16" w:rsidRDefault="00536656" w:rsidP="00536656">
      <w:pPr>
        <w:pStyle w:val="ListBullet"/>
        <w:numPr>
          <w:ilvl w:val="0"/>
          <w:numId w:val="8"/>
        </w:numPr>
        <w:outlineLvl w:val="4"/>
        <w:rPr>
          <w:rFonts w:asciiTheme="minorHAnsi" w:hAnsiTheme="minorHAnsi" w:cstheme="minorHAnsi"/>
        </w:rPr>
      </w:pPr>
      <w:r w:rsidRPr="004A5E16">
        <w:rPr>
          <w:rFonts w:asciiTheme="minorHAnsi" w:hAnsiTheme="minorHAnsi" w:cstheme="minorHAnsi"/>
        </w:rPr>
        <w:t xml:space="preserve">Bristol. </w:t>
      </w:r>
    </w:p>
    <w:p w14:paraId="2F7F9ED3" w14:textId="77777777" w:rsidR="00536656" w:rsidRPr="004A5E16" w:rsidRDefault="00536656" w:rsidP="00536656">
      <w:pPr>
        <w:pStyle w:val="ListBullet"/>
        <w:numPr>
          <w:ilvl w:val="0"/>
          <w:numId w:val="8"/>
        </w:numPr>
        <w:outlineLvl w:val="4"/>
        <w:rPr>
          <w:rFonts w:asciiTheme="minorHAnsi" w:hAnsiTheme="minorHAnsi" w:cstheme="minorHAnsi"/>
        </w:rPr>
      </w:pPr>
      <w:r w:rsidRPr="004A5E16">
        <w:rPr>
          <w:rFonts w:asciiTheme="minorHAnsi" w:hAnsiTheme="minorHAnsi" w:cstheme="minorHAnsi"/>
        </w:rPr>
        <w:t>Berkshire.</w:t>
      </w:r>
    </w:p>
    <w:p w14:paraId="4DFCC29E" w14:textId="77777777" w:rsidR="00536656" w:rsidRPr="004A5E16" w:rsidRDefault="00536656" w:rsidP="00536656">
      <w:pPr>
        <w:pStyle w:val="ListBullet"/>
        <w:numPr>
          <w:ilvl w:val="0"/>
          <w:numId w:val="8"/>
        </w:numPr>
        <w:outlineLvl w:val="4"/>
        <w:rPr>
          <w:rFonts w:asciiTheme="minorHAnsi" w:hAnsiTheme="minorHAnsi" w:cstheme="minorHAnsi"/>
        </w:rPr>
      </w:pPr>
      <w:r w:rsidRPr="004A5E16">
        <w:rPr>
          <w:rFonts w:asciiTheme="minorHAnsi" w:hAnsiTheme="minorHAnsi" w:cstheme="minorHAnsi"/>
        </w:rPr>
        <w:t xml:space="preserve">Dukes. </w:t>
      </w:r>
    </w:p>
    <w:p w14:paraId="74C3098D" w14:textId="77777777" w:rsidR="00536656" w:rsidRPr="004A5E16" w:rsidRDefault="00536656" w:rsidP="00536656">
      <w:pPr>
        <w:pStyle w:val="ListBullet"/>
        <w:numPr>
          <w:ilvl w:val="0"/>
          <w:numId w:val="8"/>
        </w:numPr>
        <w:outlineLvl w:val="4"/>
        <w:rPr>
          <w:rFonts w:asciiTheme="minorHAnsi" w:hAnsiTheme="minorHAnsi" w:cstheme="minorHAnsi"/>
        </w:rPr>
      </w:pPr>
      <w:r w:rsidRPr="004A5E16">
        <w:rPr>
          <w:rFonts w:asciiTheme="minorHAnsi" w:hAnsiTheme="minorHAnsi" w:cstheme="minorHAnsi"/>
        </w:rPr>
        <w:t>Nantucket.</w:t>
      </w:r>
    </w:p>
    <w:p w14:paraId="79526479" w14:textId="77777777" w:rsidR="00536656" w:rsidRPr="004A5E16" w:rsidRDefault="00536656" w:rsidP="00536656">
      <w:pPr>
        <w:pStyle w:val="ListBullet"/>
        <w:numPr>
          <w:ilvl w:val="0"/>
          <w:numId w:val="0"/>
        </w:numPr>
        <w:ind w:left="360" w:hanging="360"/>
        <w:rPr>
          <w:rFonts w:asciiTheme="minorHAnsi" w:hAnsiTheme="minorHAnsi" w:cstheme="minorHAnsi"/>
          <w:color w:val="000080"/>
        </w:rPr>
      </w:pPr>
    </w:p>
    <w:p w14:paraId="68E578B4" w14:textId="77777777" w:rsidR="00536656" w:rsidRPr="00272452" w:rsidRDefault="00536656" w:rsidP="00536656">
      <w:pPr>
        <w:pStyle w:val="ListBullet"/>
        <w:numPr>
          <w:ilvl w:val="0"/>
          <w:numId w:val="0"/>
        </w:numPr>
        <w:rPr>
          <w:rFonts w:asciiTheme="minorHAnsi" w:hAnsiTheme="minorHAnsi" w:cstheme="minorHAnsi"/>
        </w:rPr>
      </w:pPr>
      <w:r w:rsidRPr="004A5E16">
        <w:rPr>
          <w:rFonts w:asciiTheme="minorHAnsi" w:hAnsiTheme="minorHAnsi" w:cstheme="minorHAnsi"/>
        </w:rPr>
        <w:t xml:space="preserve">Since the </w:t>
      </w:r>
      <w:r>
        <w:rPr>
          <w:rFonts w:asciiTheme="minorHAnsi" w:hAnsiTheme="minorHAnsi" w:cstheme="minorHAnsi"/>
        </w:rPr>
        <w:t>D</w:t>
      </w:r>
      <w:r w:rsidRPr="00272452">
        <w:rPr>
          <w:rFonts w:asciiTheme="minorHAnsi" w:hAnsiTheme="minorHAnsi" w:cstheme="minorHAnsi"/>
        </w:rPr>
        <w:t>emonstration does not currently operate in these counties, any applicable claims and eligibility data for these counties has been removed from the base data.  The resulting geographic classifications are as follows:</w:t>
      </w:r>
    </w:p>
    <w:p w14:paraId="4654903F" w14:textId="77777777" w:rsidR="00536656" w:rsidRPr="00272452" w:rsidRDefault="00536656" w:rsidP="00536656">
      <w:pPr>
        <w:rPr>
          <w:rFonts w:asciiTheme="minorHAnsi" w:hAnsiTheme="minorHAnsi" w:cstheme="minorHAnsi"/>
          <w:sz w:val="22"/>
          <w:szCs w:val="22"/>
        </w:rPr>
      </w:pPr>
    </w:p>
    <w:p w14:paraId="352E8838"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Eastern:</w:t>
      </w:r>
      <w:r w:rsidRPr="004A5E16">
        <w:rPr>
          <w:rFonts w:asciiTheme="minorHAnsi" w:hAnsiTheme="minorHAnsi" w:cstheme="minorHAnsi"/>
          <w:sz w:val="22"/>
          <w:szCs w:val="22"/>
        </w:rPr>
        <w:tab/>
        <w:t>Essex, Middlesex, Norfolk and Suffolk counties</w:t>
      </w:r>
    </w:p>
    <w:p w14:paraId="552CA32F"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Western:</w:t>
      </w:r>
      <w:r w:rsidRPr="004A5E16">
        <w:rPr>
          <w:rFonts w:asciiTheme="minorHAnsi" w:hAnsiTheme="minorHAnsi" w:cstheme="minorHAnsi"/>
          <w:sz w:val="22"/>
          <w:szCs w:val="22"/>
        </w:rPr>
        <w:tab/>
        <w:t>Franklin, Hampden, Hampshire and Worcester counties</w:t>
      </w:r>
    </w:p>
    <w:p w14:paraId="2C7D2FEC"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 xml:space="preserve">The Cape: </w:t>
      </w:r>
      <w:r w:rsidRPr="004A5E16">
        <w:rPr>
          <w:rFonts w:asciiTheme="minorHAnsi" w:hAnsiTheme="minorHAnsi" w:cstheme="minorHAnsi"/>
          <w:sz w:val="22"/>
          <w:szCs w:val="22"/>
        </w:rPr>
        <w:tab/>
        <w:t>Plymouth county</w:t>
      </w:r>
    </w:p>
    <w:p w14:paraId="59A42F26" w14:textId="77777777" w:rsidR="00536656" w:rsidRPr="004A5E16" w:rsidRDefault="00536656" w:rsidP="00536656">
      <w:pPr>
        <w:rPr>
          <w:rFonts w:asciiTheme="minorHAnsi" w:hAnsiTheme="minorHAnsi" w:cstheme="minorHAnsi"/>
          <w:sz w:val="22"/>
          <w:szCs w:val="22"/>
        </w:rPr>
      </w:pPr>
    </w:p>
    <w:p w14:paraId="0AB1AA69"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Adjustment information below is provided by geographic region.</w:t>
      </w:r>
    </w:p>
    <w:p w14:paraId="5CE33D4F" w14:textId="77777777" w:rsidR="00536656" w:rsidRPr="004A5E16" w:rsidRDefault="00536656" w:rsidP="00536656">
      <w:pPr>
        <w:rPr>
          <w:rFonts w:asciiTheme="minorHAnsi" w:hAnsiTheme="minorHAnsi" w:cstheme="minorHAnsi"/>
          <w:sz w:val="22"/>
          <w:szCs w:val="22"/>
        </w:rPr>
      </w:pPr>
    </w:p>
    <w:p w14:paraId="14B3DE43" w14:textId="77777777" w:rsidR="00536656" w:rsidRPr="004A5E16" w:rsidRDefault="00536656" w:rsidP="00536656">
      <w:pPr>
        <w:rPr>
          <w:rFonts w:asciiTheme="minorHAnsi" w:hAnsiTheme="minorHAnsi" w:cstheme="minorHAnsi"/>
          <w:b/>
          <w:sz w:val="22"/>
          <w:szCs w:val="22"/>
          <w:u w:val="single"/>
        </w:rPr>
      </w:pPr>
      <w:r w:rsidRPr="004A5E16">
        <w:rPr>
          <w:rFonts w:asciiTheme="minorHAnsi" w:hAnsiTheme="minorHAnsi" w:cstheme="minorHAnsi"/>
          <w:b/>
          <w:sz w:val="22"/>
          <w:szCs w:val="22"/>
          <w:u w:val="single"/>
        </w:rPr>
        <w:t>Adjustments to Historical Base Data:</w:t>
      </w:r>
    </w:p>
    <w:p w14:paraId="53626CA8" w14:textId="77777777" w:rsidR="00536656" w:rsidRPr="00272452"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As outlined in Appendix 6 of the MOU for this Demonstration and further detailed in Section 4 of the three-way contract, rates have been developed based on expected costs for this population had the Demonstration not existed. The adjustments included below</w:t>
      </w:r>
      <w:r w:rsidRPr="00F14593">
        <w:rPr>
          <w:rFonts w:asciiTheme="minorHAnsi" w:hAnsiTheme="minorHAnsi" w:cstheme="minorHAnsi"/>
          <w:sz w:val="22"/>
          <w:szCs w:val="22"/>
        </w:rPr>
        <w:t xml:space="preserve"> have been made to the historical base data to reflect the benefits and costs that will apply in CY201</w:t>
      </w:r>
      <w:r w:rsidRPr="00272452">
        <w:rPr>
          <w:rFonts w:asciiTheme="minorHAnsi" w:hAnsiTheme="minorHAnsi" w:cstheme="minorHAnsi"/>
          <w:sz w:val="22"/>
          <w:szCs w:val="22"/>
        </w:rPr>
        <w:t>5 to fee-for-service dual eligible individuals. As described above, most adjustments specific to the C2 and C3 rating categories are made prior to the application of C2A/C2B and C3A/C3B relativity factors to the projected rates.</w:t>
      </w:r>
    </w:p>
    <w:p w14:paraId="01EF4B57" w14:textId="77777777" w:rsidR="00536656" w:rsidRPr="00272452" w:rsidRDefault="00536656" w:rsidP="00536656">
      <w:pPr>
        <w:rPr>
          <w:rFonts w:asciiTheme="minorHAnsi" w:hAnsiTheme="minorHAnsi" w:cstheme="minorHAnsi"/>
          <w:sz w:val="22"/>
          <w:szCs w:val="22"/>
        </w:rPr>
      </w:pPr>
    </w:p>
    <w:p w14:paraId="542A0812" w14:textId="77777777" w:rsidR="00536656" w:rsidRPr="004A5E16" w:rsidRDefault="00536656" w:rsidP="00536656">
      <w:pPr>
        <w:pStyle w:val="Heading2"/>
        <w:rPr>
          <w:rFonts w:asciiTheme="minorHAnsi" w:hAnsiTheme="minorHAnsi"/>
          <w:i/>
          <w:sz w:val="22"/>
          <w:szCs w:val="22"/>
        </w:rPr>
      </w:pPr>
      <w:r w:rsidRPr="004A5E16">
        <w:rPr>
          <w:rFonts w:asciiTheme="minorHAnsi" w:hAnsiTheme="minorHAnsi"/>
          <w:i/>
          <w:sz w:val="22"/>
          <w:szCs w:val="22"/>
        </w:rPr>
        <w:t>Primary Care Fee Increase in the ACA:</w:t>
      </w:r>
    </w:p>
    <w:p w14:paraId="6B846E9C" w14:textId="3ACD8770" w:rsidR="00536656" w:rsidRPr="004A5E16" w:rsidRDefault="00536656" w:rsidP="00536656">
      <w:pPr>
        <w:rPr>
          <w:rFonts w:asciiTheme="minorHAnsi" w:hAnsiTheme="minorHAnsi"/>
          <w:sz w:val="22"/>
          <w:szCs w:val="22"/>
        </w:rPr>
      </w:pPr>
      <w:r w:rsidRPr="004A5E16">
        <w:rPr>
          <w:rFonts w:asciiTheme="minorHAnsi" w:hAnsiTheme="minorHAnsi"/>
          <w:sz w:val="22"/>
          <w:szCs w:val="22"/>
        </w:rPr>
        <w:t>In accordance with ACA Section 1202, MassHealth raised its payment rates for primary care in January 2013. While primary care tends to be covered under Medicare for dual eligibles, this fee increase impacted the FFS Medicaid cross-over claim costs for primary care. MassHealth has opted to discontinue the ACA Section 1202 fee increases on January 1, 2015. Because a portion of the base data for RY15 included these increased payments, an adjustment was made to remove the impact of the fee increase from the professional line</w:t>
      </w:r>
      <w:r w:rsidR="00552616">
        <w:rPr>
          <w:rFonts w:asciiTheme="minorHAnsi" w:hAnsiTheme="minorHAnsi"/>
          <w:sz w:val="22"/>
          <w:szCs w:val="22"/>
        </w:rPr>
        <w:t>.</w:t>
      </w:r>
      <w:r w:rsidRPr="004A5E16">
        <w:rPr>
          <w:rFonts w:asciiTheme="minorHAnsi" w:hAnsiTheme="minorHAnsi"/>
          <w:sz w:val="22"/>
          <w:szCs w:val="22"/>
        </w:rPr>
        <w:t xml:space="preserve"> </w:t>
      </w:r>
    </w:p>
    <w:p w14:paraId="52943FDF" w14:textId="77777777" w:rsidR="00536656" w:rsidRPr="004A5E16" w:rsidRDefault="00536656" w:rsidP="00536656">
      <w:pPr>
        <w:rPr>
          <w:rFonts w:asciiTheme="minorHAnsi" w:hAnsiTheme="minorHAnsi"/>
          <w:sz w:val="22"/>
          <w:szCs w:val="22"/>
        </w:rPr>
      </w:pPr>
    </w:p>
    <w:p w14:paraId="4045DC95" w14:textId="77777777" w:rsidR="00536656" w:rsidRDefault="00536656" w:rsidP="00536656">
      <w:pPr>
        <w:pStyle w:val="Heading2"/>
        <w:rPr>
          <w:rFonts w:asciiTheme="minorHAnsi" w:hAnsiTheme="minorHAnsi"/>
          <w:i/>
          <w:sz w:val="22"/>
          <w:szCs w:val="22"/>
        </w:rPr>
      </w:pPr>
      <w:r w:rsidRPr="004A5E16">
        <w:rPr>
          <w:rFonts w:asciiTheme="minorHAnsi" w:hAnsiTheme="minorHAnsi"/>
          <w:i/>
          <w:sz w:val="22"/>
          <w:szCs w:val="22"/>
        </w:rPr>
        <w:t>MassHealth Home Health Appeals:</w:t>
      </w:r>
    </w:p>
    <w:p w14:paraId="532C292D" w14:textId="47DD313D" w:rsidR="00536656" w:rsidRPr="004A5E16" w:rsidRDefault="00536656" w:rsidP="00536656">
      <w:pPr>
        <w:rPr>
          <w:rFonts w:asciiTheme="minorHAnsi" w:hAnsiTheme="minorHAnsi"/>
          <w:sz w:val="22"/>
          <w:szCs w:val="22"/>
        </w:rPr>
      </w:pPr>
      <w:r w:rsidRPr="004A5E16">
        <w:rPr>
          <w:rFonts w:asciiTheme="minorHAnsi" w:hAnsiTheme="minorHAnsi" w:cstheme="minorHAnsi"/>
          <w:sz w:val="22"/>
          <w:szCs w:val="22"/>
        </w:rPr>
        <w:t xml:space="preserve">The MassHealth historical base data include some home health service payments that have been subsequently appealed by MassHealth and billed to Medicare. Successful appeals are not adjusted in the MassHealth claims system due to the mechanism by which MassHealth processes such recoupments. </w:t>
      </w:r>
      <w:r w:rsidRPr="004A5E16">
        <w:rPr>
          <w:rFonts w:asciiTheme="minorHAnsi" w:hAnsiTheme="minorHAnsi"/>
          <w:sz w:val="22"/>
          <w:szCs w:val="22"/>
        </w:rPr>
        <w:t xml:space="preserve">Information on the amount recovered is captured on a cash basis rather than date of service basis and isn’t specific to the target duals population. Annually, recoveries total approximately $2.4M to $3.8M for the entire dual-eligible population. Target duals represent about 40% of all duals (including partial duals), and staff involved in these recoveries anecdotally suspect </w:t>
      </w:r>
      <w:r w:rsidRPr="004A5E16">
        <w:rPr>
          <w:rFonts w:asciiTheme="minorHAnsi" w:hAnsiTheme="minorHAnsi"/>
          <w:sz w:val="22"/>
          <w:szCs w:val="22"/>
        </w:rPr>
        <w:lastRenderedPageBreak/>
        <w:t xml:space="preserve">appeals for home health provided to </w:t>
      </w:r>
      <w:r w:rsidRPr="00F14593">
        <w:rPr>
          <w:rFonts w:asciiTheme="minorHAnsi" w:hAnsiTheme="minorHAnsi"/>
          <w:sz w:val="22"/>
          <w:szCs w:val="22"/>
        </w:rPr>
        <w:t xml:space="preserve">duals with disabilities are less likely than appeals for home health provided to seniors, based on the nature of the services provided. </w:t>
      </w:r>
      <w:r w:rsidRPr="00272452">
        <w:rPr>
          <w:rFonts w:asciiTheme="minorHAnsi" w:hAnsiTheme="minorHAnsi"/>
          <w:sz w:val="22"/>
          <w:szCs w:val="22"/>
        </w:rPr>
        <w:t>Therefore, a reasonable estimate of Medicare home health included in the base data is approximately $1M annually. The $1M annual approximation was based on recovery dollars for the entire state (all 14 counties). To account for the removal of the five counties that are not included in one of the One Care plans service areas, the $1M annual figure was applied to the S</w:t>
      </w:r>
      <w:r w:rsidRPr="004A5E16">
        <w:rPr>
          <w:rFonts w:asciiTheme="minorHAnsi" w:hAnsiTheme="minorHAnsi"/>
          <w:sz w:val="22"/>
          <w:szCs w:val="22"/>
        </w:rPr>
        <w:t>FY2012 and SFY2013 base data for the entire state, and the adjustment was applied to the county-excluded base.</w:t>
      </w:r>
    </w:p>
    <w:p w14:paraId="60349683" w14:textId="77777777" w:rsidR="00536656" w:rsidRPr="004A5E16" w:rsidRDefault="00536656" w:rsidP="00536656">
      <w:pPr>
        <w:rPr>
          <w:rFonts w:asciiTheme="minorHAnsi" w:hAnsiTheme="minorHAnsi"/>
          <w:sz w:val="22"/>
          <w:szCs w:val="22"/>
        </w:rPr>
      </w:pPr>
    </w:p>
    <w:p w14:paraId="5C7F0065" w14:textId="77777777" w:rsidR="00536656" w:rsidRPr="004A5E16" w:rsidRDefault="00536656" w:rsidP="00536656">
      <w:pPr>
        <w:pStyle w:val="Heading2"/>
        <w:rPr>
          <w:rFonts w:asciiTheme="minorHAnsi" w:hAnsiTheme="minorHAnsi"/>
          <w:i/>
          <w:sz w:val="22"/>
          <w:szCs w:val="22"/>
        </w:rPr>
      </w:pPr>
      <w:r w:rsidRPr="004A5E16">
        <w:rPr>
          <w:rFonts w:asciiTheme="minorHAnsi" w:hAnsiTheme="minorHAnsi"/>
          <w:i/>
          <w:sz w:val="22"/>
          <w:szCs w:val="22"/>
        </w:rPr>
        <w:t>Personal Care Attendant (PCA) Overtime:</w:t>
      </w:r>
    </w:p>
    <w:p w14:paraId="0F3F169C" w14:textId="79D1A79B" w:rsidR="00536656" w:rsidRPr="004A5E16" w:rsidRDefault="00536656" w:rsidP="00536656">
      <w:pPr>
        <w:rPr>
          <w:rFonts w:asciiTheme="minorHAnsi" w:hAnsiTheme="minorHAnsi"/>
          <w:sz w:val="22"/>
          <w:szCs w:val="22"/>
        </w:rPr>
      </w:pPr>
      <w:r w:rsidRPr="004A5E16">
        <w:rPr>
          <w:rFonts w:asciiTheme="minorHAnsi" w:hAnsiTheme="minorHAnsi"/>
          <w:sz w:val="22"/>
          <w:szCs w:val="22"/>
        </w:rPr>
        <w:t>Based on information available at the time of rate development, MassHealth’s actuary assumed that effective July 1, 2015, MassHealth would be considered a joint employer of PCAs for the purposes of the Fair Labor Standards Act (FLSA). Consistent with the FLSA, MassHealth would be required to cover eligible overtime pay for PCA services. MassHealth anticipated a 5.6% increase to PCA service costs related to this change for RY15. This figure was adjusted to reflect the mix of services in the HCBS/Home Health service category, by rating category</w:t>
      </w:r>
      <w:r w:rsidR="00552616">
        <w:rPr>
          <w:rFonts w:asciiTheme="minorHAnsi" w:hAnsiTheme="minorHAnsi"/>
          <w:sz w:val="22"/>
          <w:szCs w:val="22"/>
        </w:rPr>
        <w:t xml:space="preserve">. </w:t>
      </w:r>
    </w:p>
    <w:p w14:paraId="02531214" w14:textId="77777777" w:rsidR="00536656" w:rsidRPr="004A5E16" w:rsidRDefault="00536656" w:rsidP="00536656">
      <w:pPr>
        <w:rPr>
          <w:rFonts w:asciiTheme="minorHAnsi" w:hAnsiTheme="minorHAnsi"/>
          <w:sz w:val="22"/>
          <w:szCs w:val="22"/>
        </w:rPr>
      </w:pPr>
    </w:p>
    <w:p w14:paraId="611C712C" w14:textId="77777777" w:rsidR="00536656" w:rsidRPr="004A5E16" w:rsidRDefault="00536656" w:rsidP="00536656">
      <w:pPr>
        <w:pStyle w:val="Heading2"/>
        <w:rPr>
          <w:rFonts w:asciiTheme="minorHAnsi" w:hAnsiTheme="minorHAnsi"/>
          <w:i/>
          <w:sz w:val="22"/>
          <w:szCs w:val="22"/>
        </w:rPr>
      </w:pPr>
      <w:r w:rsidRPr="004A5E16">
        <w:rPr>
          <w:rFonts w:asciiTheme="minorHAnsi" w:hAnsiTheme="minorHAnsi"/>
          <w:i/>
          <w:sz w:val="22"/>
          <w:szCs w:val="22"/>
        </w:rPr>
        <w:t>Pharmacy Rebates:</w:t>
      </w:r>
    </w:p>
    <w:p w14:paraId="1B2E821F" w14:textId="77777777" w:rsidR="00536656" w:rsidRPr="004A5E16" w:rsidRDefault="00536656" w:rsidP="00536656">
      <w:pPr>
        <w:rPr>
          <w:rFonts w:asciiTheme="minorHAnsi" w:hAnsiTheme="minorHAnsi"/>
          <w:sz w:val="22"/>
          <w:szCs w:val="22"/>
        </w:rPr>
      </w:pPr>
      <w:r w:rsidRPr="004A5E16">
        <w:rPr>
          <w:rFonts w:asciiTheme="minorHAnsi" w:hAnsiTheme="minorHAnsi"/>
          <w:sz w:val="22"/>
          <w:szCs w:val="22"/>
        </w:rPr>
        <w:t>The MassHealth One Care historical base data does not reflect potential Federal Omnibus Budget Reconciliation Act (OBRA) rebates. Potential OBRA rebates on non-Part D drugs comprise an estimated 4.3% of total pharmacy spending for the entire state. This rebate percentage is based on forecasts developed by MassHealth for all dual eligibles (including partial duals and waiver participants) in the state under the age of 65 during SFY2013. This percentage was then applied to the base data reflecting the excluded counties. In addition, MassHealth now has an agreement in place for supplemental rebates on diabetic test strips. MassHealth estimated that there is approximately $1.37M in potential rebates in SFY2012 and SFY2013 on diabetic test strips for the entire dual eligible population. This number was adjusted to reflect the target duals population and is expected to produce an extra 5.1% in pharmacy rebates for this population.</w:t>
      </w:r>
    </w:p>
    <w:p w14:paraId="6242B0A2" w14:textId="77777777" w:rsidR="00536656" w:rsidRPr="004A5E16" w:rsidRDefault="00536656" w:rsidP="00536656">
      <w:pPr>
        <w:rPr>
          <w:rFonts w:asciiTheme="minorHAnsi" w:hAnsiTheme="minorHAnsi"/>
          <w:sz w:val="22"/>
          <w:szCs w:val="22"/>
        </w:rPr>
      </w:pPr>
      <w:r w:rsidRPr="004A5E16">
        <w:rPr>
          <w:rFonts w:asciiTheme="minorHAnsi" w:hAnsiTheme="minorHAnsi"/>
          <w:sz w:val="22"/>
          <w:szCs w:val="22"/>
        </w:rPr>
        <w:t> </w:t>
      </w:r>
    </w:p>
    <w:p w14:paraId="337F1ABB" w14:textId="77777777" w:rsidR="00536656" w:rsidRPr="004A5E16" w:rsidRDefault="00536656" w:rsidP="00536656">
      <w:pPr>
        <w:pStyle w:val="Heading3"/>
        <w:rPr>
          <w:rFonts w:asciiTheme="minorHAnsi" w:hAnsiTheme="minorHAnsi"/>
          <w:sz w:val="22"/>
          <w:szCs w:val="22"/>
        </w:rPr>
      </w:pPr>
      <w:r w:rsidRPr="004A5E16">
        <w:rPr>
          <w:rFonts w:asciiTheme="minorHAnsi" w:hAnsiTheme="minorHAnsi"/>
          <w:sz w:val="22"/>
          <w:szCs w:val="22"/>
        </w:rPr>
        <w:t>Medicare Improvements for Patients and Providers Act:</w:t>
      </w:r>
    </w:p>
    <w:p w14:paraId="2E3156A5" w14:textId="7B17CFEE" w:rsidR="00536656" w:rsidRPr="004A5E16" w:rsidRDefault="00536656" w:rsidP="00536656">
      <w:pPr>
        <w:rPr>
          <w:rFonts w:asciiTheme="minorHAnsi" w:hAnsiTheme="minorHAnsi"/>
          <w:sz w:val="22"/>
          <w:szCs w:val="22"/>
        </w:rPr>
      </w:pPr>
      <w:r w:rsidRPr="004A5E16">
        <w:rPr>
          <w:rFonts w:asciiTheme="minorHAnsi" w:hAnsiTheme="minorHAnsi"/>
          <w:sz w:val="22"/>
          <w:szCs w:val="22"/>
        </w:rPr>
        <w:t xml:space="preserve">As of January 1, 2013, Medicare Part D began covering barbiturates (used in the treatment of epilepsy, cancer, or a chronic mental health disorder) and benzodiazepines. For the first 18 months of the SFY2012 and SFY2013 base period, these drugs were covered by MassHealth. Mercer reviewed historical pharmacy experience for these specific drugs and made a downward adjustment to reflect the shift of responsibility from Medicaid to Medicare Part D for payment for these medications. </w:t>
      </w:r>
    </w:p>
    <w:p w14:paraId="35D5C232" w14:textId="77777777" w:rsidR="00536656" w:rsidRPr="004A5E16" w:rsidRDefault="00536656" w:rsidP="00536656">
      <w:pPr>
        <w:rPr>
          <w:rFonts w:asciiTheme="minorHAnsi" w:hAnsiTheme="minorHAnsi"/>
          <w:sz w:val="22"/>
          <w:szCs w:val="22"/>
        </w:rPr>
      </w:pPr>
    </w:p>
    <w:p w14:paraId="117E2BBD" w14:textId="77777777" w:rsidR="00536656" w:rsidRPr="004A5E16" w:rsidRDefault="00536656" w:rsidP="00536656">
      <w:pPr>
        <w:pStyle w:val="Heading2"/>
        <w:rPr>
          <w:rFonts w:asciiTheme="minorHAnsi" w:hAnsiTheme="minorHAnsi"/>
          <w:i/>
          <w:sz w:val="22"/>
          <w:szCs w:val="22"/>
        </w:rPr>
      </w:pPr>
      <w:r w:rsidRPr="004A5E16">
        <w:rPr>
          <w:rFonts w:asciiTheme="minorHAnsi" w:hAnsiTheme="minorHAnsi"/>
          <w:i/>
          <w:sz w:val="22"/>
          <w:szCs w:val="22"/>
        </w:rPr>
        <w:t>Dental Benefit Changes:</w:t>
      </w:r>
    </w:p>
    <w:p w14:paraId="3060A357" w14:textId="77777777" w:rsidR="00536656" w:rsidRPr="004A5E16" w:rsidRDefault="00536656" w:rsidP="00536656">
      <w:pPr>
        <w:rPr>
          <w:rFonts w:asciiTheme="minorHAnsi" w:hAnsiTheme="minorHAnsi"/>
          <w:sz w:val="22"/>
          <w:szCs w:val="22"/>
        </w:rPr>
      </w:pPr>
      <w:r w:rsidRPr="004A5E16">
        <w:rPr>
          <w:rFonts w:asciiTheme="minorHAnsi" w:hAnsiTheme="minorHAnsi"/>
          <w:sz w:val="22"/>
          <w:szCs w:val="22"/>
        </w:rPr>
        <w:t xml:space="preserve">The MassHealth dental benefit for adults was reduced effective July 2010. Effective </w:t>
      </w:r>
      <w:r w:rsidRPr="004A5E16">
        <w:rPr>
          <w:rFonts w:asciiTheme="minorHAnsi" w:hAnsiTheme="minorHAnsi"/>
          <w:sz w:val="22"/>
          <w:szCs w:val="22"/>
        </w:rPr>
        <w:br/>
        <w:t>January 1, 2013, MassHealth restored composite fillings for front teeth to the adult dental benefit. Effective March 1, 2014, MassHealth restored its adult dental benefit to include:</w:t>
      </w:r>
    </w:p>
    <w:p w14:paraId="0667047F" w14:textId="77777777" w:rsidR="00536656" w:rsidRPr="004A5E16" w:rsidRDefault="00536656" w:rsidP="00536656">
      <w:pPr>
        <w:rPr>
          <w:rFonts w:asciiTheme="minorHAnsi" w:hAnsiTheme="minorHAnsi"/>
          <w:sz w:val="22"/>
          <w:szCs w:val="22"/>
          <w:highlight w:val="lightGray"/>
        </w:rPr>
      </w:pPr>
    </w:p>
    <w:tbl>
      <w:tblPr>
        <w:tblW w:w="6312" w:type="dxa"/>
        <w:tblInd w:w="72" w:type="dxa"/>
        <w:tblBorders>
          <w:top w:val="single" w:sz="4" w:space="0" w:color="auto"/>
          <w:bottom w:val="single" w:sz="4" w:space="0" w:color="auto"/>
          <w:insideH w:val="single" w:sz="4" w:space="0" w:color="auto"/>
          <w:insideV w:val="single" w:sz="4" w:space="0" w:color="auto"/>
        </w:tblBorders>
        <w:shd w:val="clear" w:color="auto" w:fill="FFFFFF"/>
        <w:tblCellMar>
          <w:left w:w="72" w:type="dxa"/>
          <w:right w:w="72" w:type="dxa"/>
        </w:tblCellMar>
        <w:tblLook w:val="0000" w:firstRow="0" w:lastRow="0" w:firstColumn="0" w:lastColumn="0" w:noHBand="0" w:noVBand="0"/>
      </w:tblPr>
      <w:tblGrid>
        <w:gridCol w:w="6312"/>
      </w:tblGrid>
      <w:tr w:rsidR="00536656" w:rsidRPr="004A5E16" w14:paraId="39C5486B" w14:textId="77777777" w:rsidTr="00536656">
        <w:trPr>
          <w:cantSplit/>
          <w:tblHeader/>
        </w:trPr>
        <w:tc>
          <w:tcPr>
            <w:tcW w:w="6312" w:type="dxa"/>
            <w:tcBorders>
              <w:top w:val="single" w:sz="8" w:space="0" w:color="auto"/>
              <w:bottom w:val="single" w:sz="8" w:space="0" w:color="auto"/>
            </w:tcBorders>
            <w:shd w:val="clear" w:color="auto" w:fill="FFFFFF"/>
            <w:noWrap/>
            <w:vAlign w:val="bottom"/>
          </w:tcPr>
          <w:p w14:paraId="39241EFB" w14:textId="77777777" w:rsidR="00536656" w:rsidRPr="00F14593" w:rsidRDefault="00536656" w:rsidP="00536656">
            <w:pPr>
              <w:pStyle w:val="TableHeadingText"/>
              <w:rPr>
                <w:rFonts w:asciiTheme="minorHAnsi" w:eastAsia="MS Mincho" w:hAnsiTheme="minorHAnsi"/>
                <w:sz w:val="22"/>
                <w:szCs w:val="22"/>
                <w:lang w:eastAsia="ja-JP"/>
              </w:rPr>
            </w:pPr>
            <w:r w:rsidRPr="00F14593">
              <w:rPr>
                <w:rFonts w:asciiTheme="minorHAnsi" w:eastAsia="MS Mincho" w:hAnsiTheme="minorHAnsi"/>
                <w:sz w:val="22"/>
                <w:szCs w:val="22"/>
                <w:lang w:eastAsia="ja-JP"/>
              </w:rPr>
              <w:t>D2140 - AMALGAM ONE SURFACE, PRIMARY OR PERMANE</w:t>
            </w:r>
          </w:p>
        </w:tc>
      </w:tr>
      <w:tr w:rsidR="00536656" w:rsidRPr="004A5E16" w14:paraId="774E44A6" w14:textId="77777777" w:rsidTr="00536656">
        <w:trPr>
          <w:cantSplit/>
        </w:trPr>
        <w:tc>
          <w:tcPr>
            <w:tcW w:w="6312" w:type="dxa"/>
            <w:tcBorders>
              <w:top w:val="single" w:sz="8" w:space="0" w:color="auto"/>
            </w:tcBorders>
            <w:shd w:val="clear" w:color="auto" w:fill="FFFFFF"/>
            <w:noWrap/>
          </w:tcPr>
          <w:p w14:paraId="6078046A" w14:textId="77777777" w:rsidR="00536656" w:rsidRPr="004A5E16" w:rsidRDefault="00536656" w:rsidP="00536656">
            <w:pPr>
              <w:pStyle w:val="TableText"/>
              <w:rPr>
                <w:rFonts w:asciiTheme="minorHAnsi" w:eastAsia="MS Mincho" w:hAnsiTheme="minorHAnsi"/>
                <w:sz w:val="22"/>
                <w:szCs w:val="22"/>
                <w:lang w:eastAsia="ja-JP"/>
              </w:rPr>
            </w:pPr>
            <w:r w:rsidRPr="004A5E16">
              <w:rPr>
                <w:rFonts w:asciiTheme="minorHAnsi" w:eastAsia="MS Mincho" w:hAnsiTheme="minorHAnsi"/>
                <w:sz w:val="22"/>
                <w:szCs w:val="22"/>
                <w:lang w:eastAsia="ja-JP"/>
              </w:rPr>
              <w:t>D2150 - AMALGAM TWO SURFACES, PRIMARY OR PERMAN</w:t>
            </w:r>
          </w:p>
        </w:tc>
      </w:tr>
      <w:tr w:rsidR="00536656" w:rsidRPr="004A5E16" w14:paraId="47DB5032" w14:textId="77777777" w:rsidTr="00536656">
        <w:trPr>
          <w:cantSplit/>
        </w:trPr>
        <w:tc>
          <w:tcPr>
            <w:tcW w:w="6312" w:type="dxa"/>
            <w:shd w:val="clear" w:color="auto" w:fill="FFFFFF"/>
            <w:noWrap/>
          </w:tcPr>
          <w:p w14:paraId="10AC94F6" w14:textId="77777777" w:rsidR="00536656" w:rsidRPr="004A5E16" w:rsidRDefault="00536656" w:rsidP="00536656">
            <w:pPr>
              <w:pStyle w:val="TableText"/>
              <w:rPr>
                <w:rFonts w:asciiTheme="minorHAnsi" w:eastAsia="MS Mincho" w:hAnsiTheme="minorHAnsi"/>
                <w:sz w:val="22"/>
                <w:szCs w:val="22"/>
                <w:lang w:eastAsia="ja-JP"/>
              </w:rPr>
            </w:pPr>
            <w:r w:rsidRPr="004A5E16">
              <w:rPr>
                <w:rFonts w:asciiTheme="minorHAnsi" w:eastAsia="MS Mincho" w:hAnsiTheme="minorHAnsi"/>
                <w:sz w:val="22"/>
                <w:szCs w:val="22"/>
                <w:lang w:eastAsia="ja-JP"/>
              </w:rPr>
              <w:t>D2160 - AMALGAM THREE SURFACES, PRIMARY OR PERM</w:t>
            </w:r>
          </w:p>
        </w:tc>
      </w:tr>
      <w:tr w:rsidR="00536656" w:rsidRPr="004A5E16" w14:paraId="7EC7FD3E" w14:textId="77777777" w:rsidTr="00536656">
        <w:trPr>
          <w:cantSplit/>
        </w:trPr>
        <w:tc>
          <w:tcPr>
            <w:tcW w:w="6312" w:type="dxa"/>
            <w:shd w:val="clear" w:color="auto" w:fill="FFFFFF"/>
            <w:noWrap/>
          </w:tcPr>
          <w:p w14:paraId="43A07C29" w14:textId="77777777" w:rsidR="00536656" w:rsidRPr="004A5E16" w:rsidRDefault="00536656" w:rsidP="00536656">
            <w:pPr>
              <w:pStyle w:val="TableText"/>
              <w:rPr>
                <w:rFonts w:asciiTheme="minorHAnsi" w:eastAsia="MS Mincho" w:hAnsiTheme="minorHAnsi"/>
                <w:sz w:val="22"/>
                <w:szCs w:val="22"/>
                <w:lang w:eastAsia="ja-JP"/>
              </w:rPr>
            </w:pPr>
            <w:r w:rsidRPr="004A5E16">
              <w:rPr>
                <w:rFonts w:asciiTheme="minorHAnsi" w:eastAsia="MS Mincho" w:hAnsiTheme="minorHAnsi"/>
                <w:sz w:val="22"/>
                <w:szCs w:val="22"/>
                <w:lang w:eastAsia="ja-JP"/>
              </w:rPr>
              <w:lastRenderedPageBreak/>
              <w:t>D2161 - AMALGAM FOUR OR MORE SURFACES PRIMARY O</w:t>
            </w:r>
          </w:p>
        </w:tc>
      </w:tr>
      <w:tr w:rsidR="00536656" w:rsidRPr="004A5E16" w14:paraId="35935251" w14:textId="77777777" w:rsidTr="00536656">
        <w:trPr>
          <w:cantSplit/>
        </w:trPr>
        <w:tc>
          <w:tcPr>
            <w:tcW w:w="6312" w:type="dxa"/>
            <w:shd w:val="clear" w:color="auto" w:fill="FFFFFF"/>
            <w:noWrap/>
          </w:tcPr>
          <w:p w14:paraId="594B373F" w14:textId="77777777" w:rsidR="00536656" w:rsidRPr="004A5E16" w:rsidRDefault="00536656" w:rsidP="00536656">
            <w:pPr>
              <w:pStyle w:val="TableText"/>
              <w:rPr>
                <w:rFonts w:asciiTheme="minorHAnsi" w:eastAsia="MS Mincho" w:hAnsiTheme="minorHAnsi"/>
                <w:sz w:val="22"/>
                <w:szCs w:val="22"/>
                <w:lang w:eastAsia="ja-JP"/>
              </w:rPr>
            </w:pPr>
            <w:r w:rsidRPr="004A5E16">
              <w:rPr>
                <w:rFonts w:asciiTheme="minorHAnsi" w:eastAsia="MS Mincho" w:hAnsiTheme="minorHAnsi"/>
                <w:sz w:val="22"/>
                <w:szCs w:val="22"/>
                <w:lang w:eastAsia="ja-JP"/>
              </w:rPr>
              <w:t>D2332 - RESIN-THREE SURFACES</w:t>
            </w:r>
          </w:p>
        </w:tc>
      </w:tr>
      <w:tr w:rsidR="00536656" w:rsidRPr="004A5E16" w14:paraId="26EC1B8C" w14:textId="77777777" w:rsidTr="00536656">
        <w:trPr>
          <w:cantSplit/>
        </w:trPr>
        <w:tc>
          <w:tcPr>
            <w:tcW w:w="6312" w:type="dxa"/>
            <w:shd w:val="clear" w:color="auto" w:fill="FFFFFF"/>
            <w:noWrap/>
          </w:tcPr>
          <w:p w14:paraId="6FC9AC83" w14:textId="77777777" w:rsidR="00536656" w:rsidRPr="004A5E16" w:rsidRDefault="00536656" w:rsidP="00536656">
            <w:pPr>
              <w:pStyle w:val="TableText"/>
              <w:rPr>
                <w:rFonts w:asciiTheme="minorHAnsi" w:eastAsia="MS Mincho" w:hAnsiTheme="minorHAnsi"/>
                <w:sz w:val="22"/>
                <w:szCs w:val="22"/>
                <w:lang w:eastAsia="ja-JP"/>
              </w:rPr>
            </w:pPr>
            <w:r w:rsidRPr="004A5E16">
              <w:rPr>
                <w:rFonts w:asciiTheme="minorHAnsi" w:eastAsia="MS Mincho" w:hAnsiTheme="minorHAnsi"/>
                <w:sz w:val="22"/>
                <w:szCs w:val="22"/>
                <w:lang w:eastAsia="ja-JP"/>
              </w:rPr>
              <w:t>D2335 - RESIN - FOUR/MORE SURFACES INVOLVING IN</w:t>
            </w:r>
          </w:p>
        </w:tc>
      </w:tr>
      <w:tr w:rsidR="00536656" w:rsidRPr="004A5E16" w14:paraId="7C6E4768" w14:textId="77777777" w:rsidTr="00536656">
        <w:trPr>
          <w:cantSplit/>
        </w:trPr>
        <w:tc>
          <w:tcPr>
            <w:tcW w:w="6312" w:type="dxa"/>
            <w:shd w:val="clear" w:color="auto" w:fill="FFFFFF"/>
            <w:noWrap/>
          </w:tcPr>
          <w:p w14:paraId="4AE98A5F" w14:textId="77777777" w:rsidR="00536656" w:rsidRPr="004A5E16" w:rsidRDefault="00536656" w:rsidP="00536656">
            <w:pPr>
              <w:pStyle w:val="TableText"/>
              <w:rPr>
                <w:rFonts w:asciiTheme="minorHAnsi" w:eastAsia="MS Mincho" w:hAnsiTheme="minorHAnsi"/>
                <w:sz w:val="22"/>
                <w:szCs w:val="22"/>
                <w:lang w:eastAsia="ja-JP"/>
              </w:rPr>
            </w:pPr>
            <w:r w:rsidRPr="004A5E16">
              <w:rPr>
                <w:rFonts w:asciiTheme="minorHAnsi" w:eastAsia="MS Mincho" w:hAnsiTheme="minorHAnsi"/>
                <w:sz w:val="22"/>
                <w:szCs w:val="22"/>
                <w:lang w:eastAsia="ja-JP"/>
              </w:rPr>
              <w:t>D2391 - RESIN-BASED COMPOSITE-ONE SURFACE, POST</w:t>
            </w:r>
          </w:p>
        </w:tc>
      </w:tr>
      <w:tr w:rsidR="00536656" w:rsidRPr="004A5E16" w14:paraId="4A6861A3" w14:textId="77777777" w:rsidTr="00536656">
        <w:trPr>
          <w:cantSplit/>
        </w:trPr>
        <w:tc>
          <w:tcPr>
            <w:tcW w:w="6312" w:type="dxa"/>
            <w:shd w:val="clear" w:color="auto" w:fill="FFFFFF"/>
            <w:noWrap/>
          </w:tcPr>
          <w:p w14:paraId="2DB66C60" w14:textId="77777777" w:rsidR="00536656" w:rsidRPr="004A5E16" w:rsidRDefault="00536656" w:rsidP="00536656">
            <w:pPr>
              <w:pStyle w:val="TableText"/>
              <w:rPr>
                <w:rFonts w:asciiTheme="minorHAnsi" w:eastAsia="MS Mincho" w:hAnsiTheme="minorHAnsi"/>
                <w:sz w:val="22"/>
                <w:szCs w:val="22"/>
                <w:lang w:eastAsia="ja-JP"/>
              </w:rPr>
            </w:pPr>
            <w:r w:rsidRPr="004A5E16">
              <w:rPr>
                <w:rFonts w:asciiTheme="minorHAnsi" w:eastAsia="MS Mincho" w:hAnsiTheme="minorHAnsi"/>
                <w:sz w:val="22"/>
                <w:szCs w:val="22"/>
                <w:lang w:eastAsia="ja-JP"/>
              </w:rPr>
              <w:t>D2392 - RESIN-BASED COMPOSITE SURFACES,POSTERIO</w:t>
            </w:r>
          </w:p>
        </w:tc>
      </w:tr>
      <w:tr w:rsidR="00536656" w:rsidRPr="004A5E16" w14:paraId="59CC093B" w14:textId="77777777" w:rsidTr="00536656">
        <w:trPr>
          <w:cantSplit/>
        </w:trPr>
        <w:tc>
          <w:tcPr>
            <w:tcW w:w="6312" w:type="dxa"/>
            <w:shd w:val="clear" w:color="auto" w:fill="FFFFFF"/>
            <w:noWrap/>
          </w:tcPr>
          <w:p w14:paraId="21767DFD" w14:textId="77777777" w:rsidR="00536656" w:rsidRPr="004A5E16" w:rsidRDefault="00536656" w:rsidP="00536656">
            <w:pPr>
              <w:pStyle w:val="TableText"/>
              <w:rPr>
                <w:rFonts w:asciiTheme="minorHAnsi" w:eastAsia="MS Mincho" w:hAnsiTheme="minorHAnsi"/>
                <w:sz w:val="22"/>
                <w:szCs w:val="22"/>
                <w:lang w:eastAsia="ja-JP"/>
              </w:rPr>
            </w:pPr>
            <w:r w:rsidRPr="004A5E16">
              <w:rPr>
                <w:rFonts w:asciiTheme="minorHAnsi" w:eastAsia="MS Mincho" w:hAnsiTheme="minorHAnsi"/>
                <w:sz w:val="22"/>
                <w:szCs w:val="22"/>
                <w:lang w:eastAsia="ja-JP"/>
              </w:rPr>
              <w:t>D2393 - RESIN-BASED COMPOSITE 3 OR MORE SURFACE</w:t>
            </w:r>
          </w:p>
        </w:tc>
      </w:tr>
      <w:tr w:rsidR="00536656" w:rsidRPr="004A5E16" w14:paraId="090D5F74" w14:textId="77777777" w:rsidTr="00536656">
        <w:trPr>
          <w:cantSplit/>
        </w:trPr>
        <w:tc>
          <w:tcPr>
            <w:tcW w:w="6312" w:type="dxa"/>
            <w:shd w:val="clear" w:color="auto" w:fill="FFFFFF"/>
            <w:noWrap/>
          </w:tcPr>
          <w:p w14:paraId="038B10BA" w14:textId="77777777" w:rsidR="00536656" w:rsidRPr="004A5E16" w:rsidRDefault="00536656" w:rsidP="00536656">
            <w:pPr>
              <w:pStyle w:val="TableText"/>
              <w:rPr>
                <w:rFonts w:asciiTheme="minorHAnsi" w:eastAsia="MS Mincho" w:hAnsiTheme="minorHAnsi"/>
                <w:sz w:val="22"/>
                <w:szCs w:val="22"/>
                <w:lang w:eastAsia="ja-JP"/>
              </w:rPr>
            </w:pPr>
            <w:r w:rsidRPr="004A5E16">
              <w:rPr>
                <w:rFonts w:asciiTheme="minorHAnsi" w:eastAsia="MS Mincho" w:hAnsiTheme="minorHAnsi"/>
                <w:sz w:val="22"/>
                <w:szCs w:val="22"/>
                <w:lang w:eastAsia="ja-JP"/>
              </w:rPr>
              <w:t>D2394 - RESIN-BASED COMPOSITE 4+ SURFACES, POST</w:t>
            </w:r>
          </w:p>
        </w:tc>
      </w:tr>
    </w:tbl>
    <w:p w14:paraId="61139B3D" w14:textId="77777777" w:rsidR="00536656" w:rsidRPr="004A5E16" w:rsidRDefault="00536656" w:rsidP="00536656">
      <w:pPr>
        <w:rPr>
          <w:rFonts w:asciiTheme="minorHAnsi" w:hAnsiTheme="minorHAnsi"/>
          <w:sz w:val="22"/>
          <w:szCs w:val="22"/>
        </w:rPr>
      </w:pPr>
    </w:p>
    <w:p w14:paraId="4837528B" w14:textId="5B90C995" w:rsidR="00536656" w:rsidRPr="004A5E16" w:rsidRDefault="00536656" w:rsidP="00536656">
      <w:pPr>
        <w:rPr>
          <w:rFonts w:asciiTheme="minorHAnsi" w:hAnsiTheme="minorHAnsi"/>
          <w:sz w:val="22"/>
          <w:szCs w:val="22"/>
        </w:rPr>
      </w:pPr>
      <w:r w:rsidRPr="004A5E16">
        <w:rPr>
          <w:rFonts w:asciiTheme="minorHAnsi" w:hAnsiTheme="minorHAnsi"/>
          <w:sz w:val="22"/>
          <w:szCs w:val="22"/>
        </w:rPr>
        <w:t>Effective May 15, 2015, MassHealth restore</w:t>
      </w:r>
      <w:r w:rsidR="00C479F4">
        <w:rPr>
          <w:rFonts w:asciiTheme="minorHAnsi" w:hAnsiTheme="minorHAnsi"/>
          <w:sz w:val="22"/>
          <w:szCs w:val="22"/>
        </w:rPr>
        <w:t>d</w:t>
      </w:r>
      <w:r w:rsidRPr="004A5E16">
        <w:rPr>
          <w:rFonts w:asciiTheme="minorHAnsi" w:hAnsiTheme="minorHAnsi"/>
          <w:sz w:val="22"/>
          <w:szCs w:val="22"/>
        </w:rPr>
        <w:t xml:space="preserve"> its denture benefits to include:</w:t>
      </w:r>
    </w:p>
    <w:p w14:paraId="0D66811B" w14:textId="77777777" w:rsidR="00536656" w:rsidRPr="004A5E16" w:rsidRDefault="00536656" w:rsidP="00536656">
      <w:pPr>
        <w:rPr>
          <w:rFonts w:asciiTheme="minorHAnsi" w:hAnsiTheme="minorHAnsi"/>
          <w:sz w:val="22"/>
          <w:szCs w:val="22"/>
        </w:rPr>
      </w:pPr>
    </w:p>
    <w:tbl>
      <w:tblPr>
        <w:tblW w:w="7842" w:type="dxa"/>
        <w:tblInd w:w="72" w:type="dxa"/>
        <w:tblBorders>
          <w:top w:val="single" w:sz="4" w:space="0" w:color="auto"/>
          <w:bottom w:val="single" w:sz="4" w:space="0" w:color="auto"/>
          <w:insideH w:val="single" w:sz="4" w:space="0" w:color="auto"/>
          <w:insideV w:val="single" w:sz="4" w:space="0" w:color="auto"/>
        </w:tblBorders>
        <w:shd w:val="clear" w:color="auto" w:fill="FFFFFF"/>
        <w:tblCellMar>
          <w:left w:w="72" w:type="dxa"/>
          <w:right w:w="72" w:type="dxa"/>
        </w:tblCellMar>
        <w:tblLook w:val="0000" w:firstRow="0" w:lastRow="0" w:firstColumn="0" w:lastColumn="0" w:noHBand="0" w:noVBand="0"/>
      </w:tblPr>
      <w:tblGrid>
        <w:gridCol w:w="7842"/>
      </w:tblGrid>
      <w:tr w:rsidR="00536656" w:rsidRPr="004A5E16" w14:paraId="5E78EB9A" w14:textId="77777777" w:rsidTr="00536656">
        <w:trPr>
          <w:cantSplit/>
          <w:tblHeader/>
        </w:trPr>
        <w:tc>
          <w:tcPr>
            <w:tcW w:w="7842" w:type="dxa"/>
            <w:tcBorders>
              <w:top w:val="single" w:sz="8" w:space="0" w:color="auto"/>
              <w:bottom w:val="single" w:sz="8" w:space="0" w:color="auto"/>
            </w:tcBorders>
            <w:shd w:val="clear" w:color="auto" w:fill="FFFFFF"/>
            <w:noWrap/>
            <w:vAlign w:val="bottom"/>
          </w:tcPr>
          <w:p w14:paraId="30739DC9" w14:textId="77777777" w:rsidR="00536656" w:rsidRPr="004A5E16" w:rsidRDefault="00536656" w:rsidP="00536656">
            <w:pPr>
              <w:pStyle w:val="TableHeadingText"/>
              <w:rPr>
                <w:rFonts w:asciiTheme="minorHAnsi" w:eastAsia="MS Mincho" w:hAnsiTheme="minorHAnsi"/>
                <w:sz w:val="22"/>
                <w:szCs w:val="22"/>
                <w:lang w:eastAsia="ja-JP"/>
              </w:rPr>
            </w:pPr>
            <w:r w:rsidRPr="004A5E16">
              <w:rPr>
                <w:rFonts w:asciiTheme="minorHAnsi" w:eastAsia="MS Mincho" w:hAnsiTheme="minorHAnsi"/>
                <w:sz w:val="22"/>
                <w:szCs w:val="22"/>
                <w:lang w:eastAsia="ja-JP"/>
              </w:rPr>
              <w:t>D5110 – COMPLETE DENTURES (INCLUDING ROUTINE POST-DELIVERY CARE)</w:t>
            </w:r>
          </w:p>
        </w:tc>
      </w:tr>
      <w:tr w:rsidR="00536656" w:rsidRPr="004A5E16" w14:paraId="18A99515" w14:textId="77777777" w:rsidTr="00536656">
        <w:trPr>
          <w:cantSplit/>
        </w:trPr>
        <w:tc>
          <w:tcPr>
            <w:tcW w:w="7842" w:type="dxa"/>
            <w:tcBorders>
              <w:top w:val="single" w:sz="8" w:space="0" w:color="auto"/>
            </w:tcBorders>
            <w:shd w:val="clear" w:color="auto" w:fill="FFFFFF"/>
            <w:noWrap/>
          </w:tcPr>
          <w:p w14:paraId="5FF36D00" w14:textId="77777777" w:rsidR="00536656" w:rsidRPr="004A5E16" w:rsidRDefault="00536656" w:rsidP="00536656">
            <w:pPr>
              <w:pStyle w:val="TableText"/>
              <w:rPr>
                <w:rFonts w:asciiTheme="minorHAnsi" w:eastAsia="MS Mincho" w:hAnsiTheme="minorHAnsi"/>
                <w:sz w:val="22"/>
                <w:szCs w:val="22"/>
                <w:lang w:eastAsia="ja-JP"/>
              </w:rPr>
            </w:pPr>
            <w:r w:rsidRPr="004A5E16">
              <w:rPr>
                <w:rFonts w:asciiTheme="minorHAnsi" w:eastAsia="MS Mincho" w:hAnsiTheme="minorHAnsi"/>
                <w:sz w:val="22"/>
                <w:szCs w:val="22"/>
                <w:lang w:eastAsia="ja-JP"/>
              </w:rPr>
              <w:t>D5120 – COMPLETE DENTURES (INCLUDING ROUTINE POST-DELIVERY CARE)</w:t>
            </w:r>
          </w:p>
        </w:tc>
      </w:tr>
      <w:tr w:rsidR="00536656" w:rsidRPr="004A5E16" w14:paraId="09C47AB8" w14:textId="77777777" w:rsidTr="00536656">
        <w:trPr>
          <w:cantSplit/>
        </w:trPr>
        <w:tc>
          <w:tcPr>
            <w:tcW w:w="7842" w:type="dxa"/>
            <w:shd w:val="clear" w:color="auto" w:fill="FFFFFF"/>
            <w:noWrap/>
          </w:tcPr>
          <w:p w14:paraId="3CC918AD" w14:textId="77777777" w:rsidR="00536656" w:rsidRPr="004A5E16" w:rsidRDefault="00536656" w:rsidP="00536656">
            <w:pPr>
              <w:pStyle w:val="TableText"/>
              <w:rPr>
                <w:rFonts w:asciiTheme="minorHAnsi" w:eastAsia="MS Mincho" w:hAnsiTheme="minorHAnsi"/>
                <w:sz w:val="22"/>
                <w:szCs w:val="22"/>
                <w:lang w:eastAsia="ja-JP"/>
              </w:rPr>
            </w:pPr>
            <w:r w:rsidRPr="004A5E16">
              <w:rPr>
                <w:rFonts w:asciiTheme="minorHAnsi" w:eastAsia="MS Mincho" w:hAnsiTheme="minorHAnsi"/>
                <w:sz w:val="22"/>
                <w:szCs w:val="22"/>
                <w:lang w:eastAsia="ja-JP"/>
              </w:rPr>
              <w:t>D5211 – PARTIAL DENTURES (INCLUDING ANY CONVENTIONAL CLASPS, RESTS, AND TEETH)</w:t>
            </w:r>
          </w:p>
        </w:tc>
      </w:tr>
      <w:tr w:rsidR="00536656" w:rsidRPr="004A5E16" w14:paraId="336008DB" w14:textId="77777777" w:rsidTr="00536656">
        <w:trPr>
          <w:cantSplit/>
        </w:trPr>
        <w:tc>
          <w:tcPr>
            <w:tcW w:w="7842" w:type="dxa"/>
            <w:shd w:val="clear" w:color="auto" w:fill="FFFFFF"/>
            <w:noWrap/>
          </w:tcPr>
          <w:p w14:paraId="51A49E76" w14:textId="77777777" w:rsidR="00536656" w:rsidRPr="004A5E16" w:rsidRDefault="00536656" w:rsidP="00536656">
            <w:pPr>
              <w:pStyle w:val="TableText"/>
              <w:rPr>
                <w:rFonts w:asciiTheme="minorHAnsi" w:eastAsia="MS Mincho" w:hAnsiTheme="minorHAnsi"/>
                <w:sz w:val="22"/>
                <w:szCs w:val="22"/>
                <w:lang w:eastAsia="ja-JP"/>
              </w:rPr>
            </w:pPr>
            <w:r w:rsidRPr="004A5E16">
              <w:rPr>
                <w:rFonts w:asciiTheme="minorHAnsi" w:eastAsia="MS Mincho" w:hAnsiTheme="minorHAnsi"/>
                <w:sz w:val="22"/>
                <w:szCs w:val="22"/>
                <w:lang w:eastAsia="ja-JP"/>
              </w:rPr>
              <w:t>D5212 - PARTIAL DENTURES (INCLUDING ANY CONVENTIONAL CLASPS, RESTS, AND TEETH)</w:t>
            </w:r>
          </w:p>
        </w:tc>
      </w:tr>
    </w:tbl>
    <w:p w14:paraId="06409A4B" w14:textId="77777777" w:rsidR="00536656" w:rsidRPr="004A5E16" w:rsidRDefault="00536656" w:rsidP="00536656">
      <w:pPr>
        <w:rPr>
          <w:rFonts w:asciiTheme="minorHAnsi" w:hAnsiTheme="minorHAnsi"/>
          <w:sz w:val="22"/>
          <w:szCs w:val="22"/>
          <w:highlight w:val="lightGray"/>
        </w:rPr>
      </w:pPr>
    </w:p>
    <w:p w14:paraId="776BF5D3" w14:textId="5C92372A" w:rsidR="00536656" w:rsidRPr="00272452" w:rsidRDefault="00536656" w:rsidP="00536656">
      <w:pPr>
        <w:rPr>
          <w:rFonts w:asciiTheme="minorHAnsi" w:hAnsiTheme="minorHAnsi"/>
          <w:sz w:val="22"/>
          <w:szCs w:val="22"/>
        </w:rPr>
      </w:pPr>
      <w:r w:rsidRPr="00F14593">
        <w:rPr>
          <w:rFonts w:asciiTheme="minorHAnsi" w:hAnsiTheme="minorHAnsi"/>
          <w:sz w:val="22"/>
          <w:szCs w:val="22"/>
        </w:rPr>
        <w:t>The adjustments below have been applied to the All Other COS historical base data to reflect the net effect of these benefit changes</w:t>
      </w:r>
      <w:r w:rsidR="00552616">
        <w:rPr>
          <w:rFonts w:asciiTheme="minorHAnsi" w:hAnsiTheme="minorHAnsi"/>
          <w:sz w:val="22"/>
          <w:szCs w:val="22"/>
        </w:rPr>
        <w:t>.</w:t>
      </w:r>
    </w:p>
    <w:p w14:paraId="03C2A3E8" w14:textId="77777777" w:rsidR="00536656" w:rsidRPr="00272452" w:rsidRDefault="00536656" w:rsidP="00536656">
      <w:pPr>
        <w:rPr>
          <w:rFonts w:asciiTheme="minorHAnsi" w:hAnsiTheme="minorHAnsi"/>
          <w:sz w:val="22"/>
          <w:szCs w:val="22"/>
        </w:rPr>
      </w:pPr>
    </w:p>
    <w:p w14:paraId="166E89A2" w14:textId="77777777" w:rsidR="00536656" w:rsidRPr="004A5E16" w:rsidRDefault="00536656" w:rsidP="00536656">
      <w:pPr>
        <w:pStyle w:val="Heading2"/>
        <w:rPr>
          <w:rFonts w:asciiTheme="minorHAnsi" w:hAnsiTheme="minorHAnsi"/>
          <w:i/>
          <w:sz w:val="22"/>
          <w:szCs w:val="22"/>
        </w:rPr>
      </w:pPr>
      <w:r w:rsidRPr="004A5E16">
        <w:rPr>
          <w:rFonts w:asciiTheme="minorHAnsi" w:hAnsiTheme="minorHAnsi"/>
          <w:i/>
          <w:sz w:val="22"/>
          <w:szCs w:val="22"/>
        </w:rPr>
        <w:t>Gender Reassignment Coverage:</w:t>
      </w:r>
    </w:p>
    <w:p w14:paraId="64AC7E83" w14:textId="72AED378" w:rsidR="00536656" w:rsidRPr="004A5E16" w:rsidRDefault="00536656" w:rsidP="00536656">
      <w:pPr>
        <w:rPr>
          <w:rFonts w:asciiTheme="minorHAnsi" w:hAnsiTheme="minorHAnsi"/>
          <w:sz w:val="22"/>
          <w:szCs w:val="22"/>
        </w:rPr>
      </w:pPr>
      <w:r w:rsidRPr="004A5E16">
        <w:rPr>
          <w:rFonts w:asciiTheme="minorHAnsi" w:hAnsiTheme="minorHAnsi"/>
          <w:sz w:val="22"/>
          <w:szCs w:val="22"/>
        </w:rPr>
        <w:t>In RY15, the Commonwealth will cover costs for services related to gender reassignment procedures for individuals with transgender/gender identity disorder. Prevalence rates were reviewed from studies related to gender reassignment, as well as potential cost of services for gender reassignment procedures. MassHealth is including the following small upward adjustments to the inpatient — non- MH/SA COS to cover the MassHealth costs associated with gender reassignment procedures</w:t>
      </w:r>
      <w:r w:rsidR="00552616">
        <w:rPr>
          <w:rFonts w:asciiTheme="minorHAnsi" w:hAnsiTheme="minorHAnsi"/>
          <w:sz w:val="22"/>
          <w:szCs w:val="22"/>
        </w:rPr>
        <w:t>.</w:t>
      </w:r>
    </w:p>
    <w:p w14:paraId="364AA260" w14:textId="37F385E0" w:rsidR="00536656" w:rsidRPr="004A5E16" w:rsidRDefault="00536656" w:rsidP="00536656">
      <w:pPr>
        <w:rPr>
          <w:rFonts w:asciiTheme="minorHAnsi" w:hAnsiTheme="minorHAnsi"/>
          <w:b/>
          <w:sz w:val="22"/>
          <w:szCs w:val="22"/>
        </w:rPr>
      </w:pPr>
    </w:p>
    <w:p w14:paraId="6C23CE47" w14:textId="77777777" w:rsidR="00536656" w:rsidRPr="004A5E16" w:rsidRDefault="00536656" w:rsidP="00536656">
      <w:pPr>
        <w:rPr>
          <w:rFonts w:asciiTheme="minorHAnsi" w:hAnsiTheme="minorHAnsi" w:cstheme="minorHAnsi"/>
          <w:b/>
          <w:i/>
          <w:sz w:val="22"/>
          <w:szCs w:val="22"/>
        </w:rPr>
      </w:pPr>
      <w:r w:rsidRPr="004A5E16">
        <w:rPr>
          <w:rFonts w:asciiTheme="minorHAnsi" w:hAnsiTheme="minorHAnsi" w:cstheme="minorHAnsi"/>
          <w:b/>
          <w:i/>
          <w:sz w:val="22"/>
          <w:szCs w:val="22"/>
        </w:rPr>
        <w:t>Enrollee Contributions to Care:</w:t>
      </w:r>
    </w:p>
    <w:p w14:paraId="34AD7533" w14:textId="77777777" w:rsidR="00536656" w:rsidRPr="004A5E16" w:rsidRDefault="00536656" w:rsidP="00536656">
      <w:pPr>
        <w:rPr>
          <w:rFonts w:asciiTheme="minorHAnsi" w:hAnsiTheme="minorHAnsi" w:cstheme="minorHAnsi"/>
          <w:sz w:val="22"/>
          <w:szCs w:val="22"/>
        </w:rPr>
      </w:pPr>
      <w:r w:rsidRPr="004A5E16">
        <w:rPr>
          <w:rFonts w:asciiTheme="minorHAnsi" w:hAnsiTheme="minorHAnsi" w:cstheme="minorHAnsi"/>
          <w:sz w:val="22"/>
          <w:szCs w:val="22"/>
        </w:rPr>
        <w:t>The MassHealth historical base data reflect costs net of contributions to care or patient-paid amounts (PPA) paid by individuals in facilities. These costs have been included in rates through the adjustments displayed below, and enrollee contributions to care will be deducted from capitation payments on an individual enrollee basis. These adjustments are based on, and have been applied to, both Medicaid only and crossover claims.</w:t>
      </w:r>
    </w:p>
    <w:p w14:paraId="7D7605A8" w14:textId="77777777" w:rsidR="00536656" w:rsidRPr="004A5E16" w:rsidRDefault="00536656" w:rsidP="00536656">
      <w:pPr>
        <w:rPr>
          <w:rFonts w:asciiTheme="minorHAnsi" w:hAnsiTheme="minorHAnsi" w:cstheme="minorHAnsi"/>
          <w:sz w:val="22"/>
          <w:szCs w:val="22"/>
        </w:rPr>
      </w:pPr>
    </w:p>
    <w:p w14:paraId="03A687D1" w14:textId="77777777" w:rsidR="00536656" w:rsidRPr="004A5E16" w:rsidRDefault="00536656" w:rsidP="00536656">
      <w:pPr>
        <w:rPr>
          <w:rFonts w:asciiTheme="minorHAnsi" w:hAnsiTheme="minorHAnsi" w:cstheme="minorHAnsi"/>
          <w:sz w:val="22"/>
          <w:szCs w:val="22"/>
        </w:rPr>
      </w:pPr>
    </w:p>
    <w:p w14:paraId="26B514F9" w14:textId="77777777" w:rsidR="00536656" w:rsidRPr="004A5E16" w:rsidRDefault="00536656" w:rsidP="00536656">
      <w:pPr>
        <w:rPr>
          <w:rFonts w:asciiTheme="minorHAnsi" w:hAnsiTheme="minorHAnsi" w:cstheme="minorHAnsi"/>
          <w:b/>
          <w:i/>
          <w:sz w:val="22"/>
          <w:szCs w:val="22"/>
        </w:rPr>
      </w:pPr>
    </w:p>
    <w:p w14:paraId="080B5A46" w14:textId="77777777" w:rsidR="00536656" w:rsidRDefault="00536656" w:rsidP="00536656">
      <w:pPr>
        <w:rPr>
          <w:rFonts w:asciiTheme="minorHAnsi" w:hAnsiTheme="minorHAnsi" w:cstheme="minorHAnsi"/>
          <w:b/>
          <w:i/>
          <w:sz w:val="22"/>
          <w:szCs w:val="22"/>
        </w:rPr>
      </w:pPr>
    </w:p>
    <w:p w14:paraId="3692D5DE" w14:textId="77777777" w:rsidR="00536656" w:rsidRDefault="00536656" w:rsidP="00536656">
      <w:pPr>
        <w:rPr>
          <w:rFonts w:asciiTheme="minorHAnsi" w:hAnsiTheme="minorHAnsi" w:cstheme="minorHAnsi"/>
          <w:b/>
          <w:i/>
          <w:sz w:val="22"/>
          <w:szCs w:val="22"/>
        </w:rPr>
      </w:pPr>
    </w:p>
    <w:p w14:paraId="7C0496AD" w14:textId="77777777" w:rsidR="00BA284F" w:rsidRDefault="00BA284F" w:rsidP="00536656">
      <w:pPr>
        <w:rPr>
          <w:rFonts w:asciiTheme="minorHAnsi" w:hAnsiTheme="minorHAnsi" w:cstheme="minorHAnsi"/>
          <w:b/>
          <w:i/>
          <w:sz w:val="22"/>
          <w:szCs w:val="22"/>
        </w:rPr>
      </w:pPr>
    </w:p>
    <w:p w14:paraId="57155A91" w14:textId="77777777" w:rsidR="00BA284F" w:rsidRDefault="00BA284F" w:rsidP="00536656">
      <w:pPr>
        <w:rPr>
          <w:rFonts w:asciiTheme="minorHAnsi" w:hAnsiTheme="minorHAnsi" w:cstheme="minorHAnsi"/>
          <w:b/>
          <w:i/>
          <w:sz w:val="22"/>
          <w:szCs w:val="22"/>
        </w:rPr>
      </w:pPr>
    </w:p>
    <w:p w14:paraId="0BF26934" w14:textId="77777777" w:rsidR="00536656" w:rsidRPr="004A5E16" w:rsidRDefault="00536656" w:rsidP="00536656">
      <w:pPr>
        <w:rPr>
          <w:rFonts w:asciiTheme="minorHAnsi" w:hAnsiTheme="minorHAnsi" w:cstheme="minorHAnsi"/>
          <w:b/>
          <w:i/>
          <w:sz w:val="22"/>
          <w:szCs w:val="22"/>
        </w:rPr>
      </w:pPr>
      <w:r w:rsidRPr="004A5E16">
        <w:rPr>
          <w:rFonts w:asciiTheme="minorHAnsi" w:hAnsiTheme="minorHAnsi" w:cstheme="minorHAnsi"/>
          <w:b/>
          <w:i/>
          <w:sz w:val="22"/>
          <w:szCs w:val="22"/>
        </w:rPr>
        <w:lastRenderedPageBreak/>
        <w:t>Trend Factors Applied to Adjusted Historical Base Data:</w:t>
      </w:r>
    </w:p>
    <w:p w14:paraId="6DBAB413" w14:textId="77777777" w:rsidR="00536656" w:rsidRPr="004A5E16" w:rsidRDefault="00536656" w:rsidP="00536656">
      <w:pPr>
        <w:tabs>
          <w:tab w:val="left" w:pos="0"/>
        </w:tabs>
        <w:autoSpaceDE w:val="0"/>
        <w:autoSpaceDN w:val="0"/>
        <w:adjustRightInd w:val="0"/>
        <w:rPr>
          <w:rFonts w:asciiTheme="minorHAnsi" w:hAnsiTheme="minorHAnsi" w:cstheme="minorHAnsi"/>
          <w:sz w:val="22"/>
          <w:szCs w:val="22"/>
        </w:rPr>
      </w:pPr>
      <w:r w:rsidRPr="004A5E16">
        <w:rPr>
          <w:rFonts w:asciiTheme="minorHAnsi" w:hAnsiTheme="minorHAnsi" w:cstheme="minorHAnsi"/>
          <w:sz w:val="22"/>
          <w:szCs w:val="22"/>
        </w:rPr>
        <w:t xml:space="preserve">The following trend factors have been applied </w:t>
      </w:r>
      <w:r w:rsidRPr="004A5E16">
        <w:rPr>
          <w:rFonts w:asciiTheme="minorHAnsi" w:hAnsiTheme="minorHAnsi"/>
          <w:sz w:val="22"/>
          <w:szCs w:val="22"/>
        </w:rPr>
        <w:t>for 36 months from the midpoint of the base period (July 1, 2012) to the midpoint of the contract period (July 1, 2015).</w:t>
      </w:r>
    </w:p>
    <w:p w14:paraId="2E9B21FB" w14:textId="77777777" w:rsidR="00536656" w:rsidRPr="004A5E16" w:rsidRDefault="00536656" w:rsidP="00536656">
      <w:pPr>
        <w:rPr>
          <w:highlight w:val="lightGray"/>
        </w:rPr>
      </w:pPr>
    </w:p>
    <w:tbl>
      <w:tblPr>
        <w:tblW w:w="7940" w:type="dxa"/>
        <w:jc w:val="center"/>
        <w:tblBorders>
          <w:top w:val="single" w:sz="4" w:space="0" w:color="auto"/>
          <w:left w:val="single" w:sz="4" w:space="0" w:color="auto"/>
          <w:bottom w:val="single" w:sz="4" w:space="0" w:color="auto"/>
          <w:right w:val="single" w:sz="4" w:space="0" w:color="auto"/>
          <w:insideV w:val="single" w:sz="4" w:space="0" w:color="auto"/>
        </w:tblBorders>
        <w:tblCellMar>
          <w:left w:w="72" w:type="dxa"/>
          <w:right w:w="72" w:type="dxa"/>
        </w:tblCellMar>
        <w:tblLook w:val="0000" w:firstRow="0" w:lastRow="0" w:firstColumn="0" w:lastColumn="0" w:noHBand="0" w:noVBand="0"/>
      </w:tblPr>
      <w:tblGrid>
        <w:gridCol w:w="4248"/>
        <w:gridCol w:w="923"/>
        <w:gridCol w:w="923"/>
        <w:gridCol w:w="923"/>
        <w:gridCol w:w="923"/>
      </w:tblGrid>
      <w:tr w:rsidR="00536656" w:rsidRPr="004A5E16" w14:paraId="5ABD3AB1" w14:textId="77777777" w:rsidTr="00536656">
        <w:trPr>
          <w:cantSplit/>
          <w:trHeight w:val="264"/>
          <w:jc w:val="center"/>
        </w:trPr>
        <w:tc>
          <w:tcPr>
            <w:tcW w:w="4248" w:type="dxa"/>
            <w:tcBorders>
              <w:top w:val="single" w:sz="4" w:space="0" w:color="auto"/>
              <w:bottom w:val="single" w:sz="4" w:space="0" w:color="auto"/>
            </w:tcBorders>
            <w:shd w:val="clear" w:color="auto" w:fill="BFBFBF" w:themeFill="background1" w:themeFillShade="BF"/>
            <w:noWrap/>
          </w:tcPr>
          <w:p w14:paraId="10737560" w14:textId="77777777" w:rsidR="00536656" w:rsidRPr="00F14593" w:rsidRDefault="00536656" w:rsidP="00536656">
            <w:pPr>
              <w:pStyle w:val="TableText"/>
              <w:rPr>
                <w:rFonts w:asciiTheme="minorHAnsi" w:hAnsiTheme="minorHAnsi"/>
                <w:b/>
                <w:sz w:val="18"/>
                <w:szCs w:val="18"/>
              </w:rPr>
            </w:pPr>
            <w:r w:rsidRPr="00F14593">
              <w:rPr>
                <w:rFonts w:asciiTheme="minorHAnsi" w:hAnsiTheme="minorHAnsi"/>
                <w:b/>
                <w:sz w:val="18"/>
                <w:szCs w:val="18"/>
              </w:rPr>
              <w:t>Medicaid Trends by Category of Service</w:t>
            </w:r>
          </w:p>
        </w:tc>
        <w:tc>
          <w:tcPr>
            <w:tcW w:w="923" w:type="dxa"/>
            <w:tcBorders>
              <w:top w:val="single" w:sz="4" w:space="0" w:color="auto"/>
              <w:bottom w:val="single" w:sz="4" w:space="0" w:color="auto"/>
            </w:tcBorders>
            <w:shd w:val="clear" w:color="auto" w:fill="BFBFBF" w:themeFill="background1" w:themeFillShade="BF"/>
            <w:noWrap/>
          </w:tcPr>
          <w:p w14:paraId="386A9986" w14:textId="77777777" w:rsidR="00536656" w:rsidRPr="00272452" w:rsidRDefault="00536656" w:rsidP="00536656">
            <w:pPr>
              <w:pStyle w:val="TableText"/>
              <w:rPr>
                <w:rFonts w:asciiTheme="minorHAnsi" w:hAnsiTheme="minorHAnsi"/>
                <w:b/>
                <w:sz w:val="18"/>
                <w:szCs w:val="18"/>
              </w:rPr>
            </w:pPr>
            <w:r w:rsidRPr="00272452">
              <w:rPr>
                <w:rFonts w:asciiTheme="minorHAnsi" w:hAnsiTheme="minorHAnsi"/>
                <w:b/>
                <w:sz w:val="18"/>
                <w:szCs w:val="18"/>
              </w:rPr>
              <w:t>C1</w:t>
            </w:r>
          </w:p>
        </w:tc>
        <w:tc>
          <w:tcPr>
            <w:tcW w:w="923" w:type="dxa"/>
            <w:tcBorders>
              <w:top w:val="single" w:sz="4" w:space="0" w:color="auto"/>
              <w:bottom w:val="single" w:sz="4" w:space="0" w:color="auto"/>
            </w:tcBorders>
            <w:shd w:val="clear" w:color="auto" w:fill="BFBFBF" w:themeFill="background1" w:themeFillShade="BF"/>
            <w:noWrap/>
          </w:tcPr>
          <w:p w14:paraId="6C90859D" w14:textId="77777777" w:rsidR="00536656" w:rsidRPr="00272452" w:rsidRDefault="00536656" w:rsidP="00536656">
            <w:pPr>
              <w:pStyle w:val="TableText"/>
              <w:rPr>
                <w:rFonts w:asciiTheme="minorHAnsi" w:hAnsiTheme="minorHAnsi"/>
                <w:b/>
                <w:sz w:val="18"/>
                <w:szCs w:val="18"/>
              </w:rPr>
            </w:pPr>
            <w:r w:rsidRPr="00272452">
              <w:rPr>
                <w:rFonts w:asciiTheme="minorHAnsi" w:hAnsiTheme="minorHAnsi"/>
                <w:b/>
                <w:sz w:val="18"/>
                <w:szCs w:val="18"/>
              </w:rPr>
              <w:t>C2</w:t>
            </w:r>
          </w:p>
        </w:tc>
        <w:tc>
          <w:tcPr>
            <w:tcW w:w="923" w:type="dxa"/>
            <w:tcBorders>
              <w:top w:val="single" w:sz="4" w:space="0" w:color="auto"/>
              <w:bottom w:val="single" w:sz="4" w:space="0" w:color="auto"/>
            </w:tcBorders>
            <w:shd w:val="clear" w:color="auto" w:fill="BFBFBF" w:themeFill="background1" w:themeFillShade="BF"/>
            <w:noWrap/>
          </w:tcPr>
          <w:p w14:paraId="7F62D35D" w14:textId="77777777" w:rsidR="00536656" w:rsidRPr="00272452" w:rsidRDefault="00536656" w:rsidP="00536656">
            <w:pPr>
              <w:pStyle w:val="TableText"/>
              <w:rPr>
                <w:rFonts w:asciiTheme="minorHAnsi" w:hAnsiTheme="minorHAnsi"/>
                <w:b/>
                <w:sz w:val="18"/>
                <w:szCs w:val="18"/>
              </w:rPr>
            </w:pPr>
            <w:r w:rsidRPr="00272452">
              <w:rPr>
                <w:rFonts w:asciiTheme="minorHAnsi" w:hAnsiTheme="minorHAnsi"/>
                <w:b/>
                <w:sz w:val="18"/>
                <w:szCs w:val="18"/>
              </w:rPr>
              <w:t>C3</w:t>
            </w:r>
          </w:p>
        </w:tc>
        <w:tc>
          <w:tcPr>
            <w:tcW w:w="923" w:type="dxa"/>
            <w:tcBorders>
              <w:top w:val="single" w:sz="4" w:space="0" w:color="auto"/>
              <w:bottom w:val="single" w:sz="4" w:space="0" w:color="auto"/>
            </w:tcBorders>
            <w:shd w:val="clear" w:color="auto" w:fill="BFBFBF" w:themeFill="background1" w:themeFillShade="BF"/>
            <w:noWrap/>
          </w:tcPr>
          <w:p w14:paraId="0D539664" w14:textId="77777777" w:rsidR="00536656" w:rsidRPr="004A5E16" w:rsidRDefault="00536656" w:rsidP="00536656">
            <w:pPr>
              <w:pStyle w:val="TableText"/>
              <w:rPr>
                <w:rFonts w:asciiTheme="minorHAnsi" w:hAnsiTheme="minorHAnsi"/>
                <w:b/>
                <w:sz w:val="18"/>
                <w:szCs w:val="18"/>
              </w:rPr>
            </w:pPr>
            <w:r w:rsidRPr="004A5E16">
              <w:rPr>
                <w:rFonts w:asciiTheme="minorHAnsi" w:hAnsiTheme="minorHAnsi"/>
                <w:b/>
                <w:sz w:val="18"/>
                <w:szCs w:val="18"/>
              </w:rPr>
              <w:t>F1</w:t>
            </w:r>
          </w:p>
        </w:tc>
      </w:tr>
      <w:tr w:rsidR="00536656" w:rsidRPr="004A5E16" w14:paraId="637AFBED" w14:textId="77777777" w:rsidTr="00536656">
        <w:trPr>
          <w:cantSplit/>
          <w:trHeight w:val="264"/>
          <w:jc w:val="center"/>
        </w:trPr>
        <w:tc>
          <w:tcPr>
            <w:tcW w:w="4248" w:type="dxa"/>
            <w:tcBorders>
              <w:top w:val="single" w:sz="4" w:space="0" w:color="auto"/>
              <w:bottom w:val="single" w:sz="4" w:space="0" w:color="D9D9D9" w:themeColor="background1" w:themeShade="D9"/>
            </w:tcBorders>
            <w:shd w:val="clear" w:color="auto" w:fill="auto"/>
            <w:noWrap/>
          </w:tcPr>
          <w:p w14:paraId="28817344"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Inpatient — Non-MH/SA</w:t>
            </w:r>
          </w:p>
        </w:tc>
        <w:tc>
          <w:tcPr>
            <w:tcW w:w="923" w:type="dxa"/>
            <w:tcBorders>
              <w:top w:val="single" w:sz="4" w:space="0" w:color="auto"/>
              <w:bottom w:val="single" w:sz="4" w:space="0" w:color="D9D9D9" w:themeColor="background1" w:themeShade="D9"/>
            </w:tcBorders>
            <w:shd w:val="clear" w:color="auto" w:fill="auto"/>
            <w:noWrap/>
          </w:tcPr>
          <w:p w14:paraId="092FBED0"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3.5%</w:t>
            </w:r>
          </w:p>
        </w:tc>
        <w:tc>
          <w:tcPr>
            <w:tcW w:w="923" w:type="dxa"/>
            <w:tcBorders>
              <w:top w:val="single" w:sz="4" w:space="0" w:color="auto"/>
              <w:bottom w:val="single" w:sz="4" w:space="0" w:color="D9D9D9" w:themeColor="background1" w:themeShade="D9"/>
            </w:tcBorders>
            <w:shd w:val="clear" w:color="auto" w:fill="auto"/>
            <w:noWrap/>
          </w:tcPr>
          <w:p w14:paraId="07B7F381"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3.5%</w:t>
            </w:r>
          </w:p>
        </w:tc>
        <w:tc>
          <w:tcPr>
            <w:tcW w:w="923" w:type="dxa"/>
            <w:tcBorders>
              <w:top w:val="single" w:sz="4" w:space="0" w:color="auto"/>
              <w:bottom w:val="single" w:sz="4" w:space="0" w:color="D9D9D9" w:themeColor="background1" w:themeShade="D9"/>
            </w:tcBorders>
            <w:shd w:val="clear" w:color="auto" w:fill="auto"/>
            <w:noWrap/>
          </w:tcPr>
          <w:p w14:paraId="37054958"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4.0%</w:t>
            </w:r>
          </w:p>
        </w:tc>
        <w:tc>
          <w:tcPr>
            <w:tcW w:w="923" w:type="dxa"/>
            <w:tcBorders>
              <w:top w:val="single" w:sz="4" w:space="0" w:color="auto"/>
              <w:bottom w:val="single" w:sz="4" w:space="0" w:color="D9D9D9" w:themeColor="background1" w:themeShade="D9"/>
            </w:tcBorders>
            <w:shd w:val="clear" w:color="auto" w:fill="auto"/>
            <w:noWrap/>
          </w:tcPr>
          <w:p w14:paraId="60DB989F"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3.5%</w:t>
            </w:r>
          </w:p>
        </w:tc>
      </w:tr>
      <w:tr w:rsidR="00536656" w:rsidRPr="004A5E16" w14:paraId="3959AD52" w14:textId="77777777" w:rsidTr="00536656">
        <w:trPr>
          <w:cantSplit/>
          <w:trHeight w:val="253"/>
          <w:jc w:val="center"/>
        </w:trPr>
        <w:tc>
          <w:tcPr>
            <w:tcW w:w="4248" w:type="dxa"/>
            <w:tcBorders>
              <w:top w:val="single" w:sz="4" w:space="0" w:color="D9D9D9" w:themeColor="background1" w:themeShade="D9"/>
              <w:bottom w:val="single" w:sz="4" w:space="0" w:color="D9D9D9" w:themeColor="background1" w:themeShade="D9"/>
            </w:tcBorders>
            <w:shd w:val="clear" w:color="auto" w:fill="auto"/>
            <w:noWrap/>
          </w:tcPr>
          <w:p w14:paraId="001FB015"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Inpatient MH/SA</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14:paraId="5AB2C834"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4.5%</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14:paraId="17B76409"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4.5%</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14:paraId="718579C5"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5.5%</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14:paraId="289D65DE"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5.0%</w:t>
            </w:r>
          </w:p>
        </w:tc>
      </w:tr>
      <w:tr w:rsidR="00536656" w:rsidRPr="004A5E16" w14:paraId="69289505" w14:textId="77777777" w:rsidTr="00536656">
        <w:trPr>
          <w:cantSplit/>
          <w:trHeight w:val="264"/>
          <w:jc w:val="center"/>
        </w:trPr>
        <w:tc>
          <w:tcPr>
            <w:tcW w:w="4248" w:type="dxa"/>
            <w:tcBorders>
              <w:top w:val="single" w:sz="4" w:space="0" w:color="D9D9D9" w:themeColor="background1" w:themeShade="D9"/>
              <w:bottom w:val="single" w:sz="4" w:space="0" w:color="D9D9D9" w:themeColor="background1" w:themeShade="D9"/>
            </w:tcBorders>
            <w:shd w:val="clear" w:color="auto" w:fill="auto"/>
            <w:noWrap/>
          </w:tcPr>
          <w:p w14:paraId="405AFB0E"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Hospital Outpatient</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14:paraId="7D5E20DF"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3.5%</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14:paraId="1F201495"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3.5%</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14:paraId="2CC25E7D"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3.0%</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14:paraId="37AFAA64"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3.5%</w:t>
            </w:r>
          </w:p>
        </w:tc>
      </w:tr>
      <w:tr w:rsidR="00536656" w:rsidRPr="004A5E16" w14:paraId="0D5F2DD5" w14:textId="77777777" w:rsidTr="00536656">
        <w:trPr>
          <w:cantSplit/>
          <w:trHeight w:val="253"/>
          <w:jc w:val="center"/>
        </w:trPr>
        <w:tc>
          <w:tcPr>
            <w:tcW w:w="4248" w:type="dxa"/>
            <w:tcBorders>
              <w:top w:val="single" w:sz="4" w:space="0" w:color="D9D9D9" w:themeColor="background1" w:themeShade="D9"/>
              <w:bottom w:val="single" w:sz="4" w:space="0" w:color="D9D9D9" w:themeColor="background1" w:themeShade="D9"/>
            </w:tcBorders>
            <w:shd w:val="clear" w:color="auto" w:fill="auto"/>
            <w:noWrap/>
          </w:tcPr>
          <w:p w14:paraId="54E9C0B9"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Outpatient MH/SA</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14:paraId="2693663B"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4.8%</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14:paraId="7FC5A3EC"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4.3%</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14:paraId="5C2E814E"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4.3%</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14:paraId="7F236ED0"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4.8%</w:t>
            </w:r>
          </w:p>
        </w:tc>
      </w:tr>
      <w:tr w:rsidR="00536656" w:rsidRPr="004A5E16" w14:paraId="56B3EE39" w14:textId="77777777" w:rsidTr="00536656">
        <w:trPr>
          <w:cantSplit/>
          <w:trHeight w:val="253"/>
          <w:jc w:val="center"/>
        </w:trPr>
        <w:tc>
          <w:tcPr>
            <w:tcW w:w="4248" w:type="dxa"/>
            <w:tcBorders>
              <w:top w:val="single" w:sz="4" w:space="0" w:color="D9D9D9" w:themeColor="background1" w:themeShade="D9"/>
              <w:bottom w:val="single" w:sz="4" w:space="0" w:color="D9D9D9" w:themeColor="background1" w:themeShade="D9"/>
            </w:tcBorders>
            <w:shd w:val="clear" w:color="auto" w:fill="auto"/>
            <w:noWrap/>
          </w:tcPr>
          <w:p w14:paraId="176DF90E"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Professional</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14:paraId="70F85C29"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4.5%</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14:paraId="02F47514"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4.5%</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14:paraId="773C2E32"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3.5%</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14:paraId="5AC51B44"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3.5%</w:t>
            </w:r>
          </w:p>
        </w:tc>
      </w:tr>
      <w:tr w:rsidR="00536656" w:rsidRPr="004A5E16" w14:paraId="3FBA6173" w14:textId="77777777" w:rsidTr="00536656">
        <w:trPr>
          <w:cantSplit/>
          <w:trHeight w:val="264"/>
          <w:jc w:val="center"/>
        </w:trPr>
        <w:tc>
          <w:tcPr>
            <w:tcW w:w="4248" w:type="dxa"/>
            <w:tcBorders>
              <w:top w:val="single" w:sz="4" w:space="0" w:color="D9D9D9" w:themeColor="background1" w:themeShade="D9"/>
              <w:bottom w:val="single" w:sz="4" w:space="0" w:color="D9D9D9" w:themeColor="background1" w:themeShade="D9"/>
            </w:tcBorders>
            <w:shd w:val="clear" w:color="auto" w:fill="auto"/>
            <w:noWrap/>
          </w:tcPr>
          <w:p w14:paraId="4FC6D779"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HCBS/Home Health</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14:paraId="1A4523D6"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3.9%</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14:paraId="697C8B47"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4.4%</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14:paraId="69F80805"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4.4%</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14:paraId="6B5890DD"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4.4%</w:t>
            </w:r>
          </w:p>
        </w:tc>
      </w:tr>
      <w:tr w:rsidR="00536656" w:rsidRPr="004A5E16" w14:paraId="70507485" w14:textId="77777777" w:rsidTr="00536656">
        <w:trPr>
          <w:cantSplit/>
          <w:trHeight w:val="253"/>
          <w:jc w:val="center"/>
        </w:trPr>
        <w:tc>
          <w:tcPr>
            <w:tcW w:w="4248" w:type="dxa"/>
            <w:tcBorders>
              <w:top w:val="single" w:sz="4" w:space="0" w:color="D9D9D9" w:themeColor="background1" w:themeShade="D9"/>
              <w:bottom w:val="single" w:sz="4" w:space="0" w:color="D9D9D9" w:themeColor="background1" w:themeShade="D9"/>
            </w:tcBorders>
            <w:shd w:val="clear" w:color="auto" w:fill="auto"/>
            <w:noWrap/>
          </w:tcPr>
          <w:p w14:paraId="6C3959A8"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LTC Facility</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14:paraId="6F317CE9"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2.9%</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14:paraId="5891F2A6"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2.9%</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14:paraId="7216BBD1"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2.9%</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14:paraId="6D30483E"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2.9%</w:t>
            </w:r>
          </w:p>
        </w:tc>
      </w:tr>
      <w:tr w:rsidR="00536656" w:rsidRPr="004A5E16" w14:paraId="090D4E2D" w14:textId="77777777" w:rsidTr="00536656">
        <w:trPr>
          <w:cantSplit/>
          <w:trHeight w:val="253"/>
          <w:jc w:val="center"/>
        </w:trPr>
        <w:tc>
          <w:tcPr>
            <w:tcW w:w="4248" w:type="dxa"/>
            <w:tcBorders>
              <w:top w:val="single" w:sz="4" w:space="0" w:color="D9D9D9" w:themeColor="background1" w:themeShade="D9"/>
              <w:bottom w:val="single" w:sz="4" w:space="0" w:color="D9D9D9" w:themeColor="background1" w:themeShade="D9"/>
            </w:tcBorders>
            <w:shd w:val="clear" w:color="auto" w:fill="auto"/>
            <w:noWrap/>
          </w:tcPr>
          <w:p w14:paraId="59931836"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Pharmacy (Non-Part D)</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14:paraId="7B14C03B"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4.0%</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14:paraId="661F97DC"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4.0%</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14:paraId="6511B9A6"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3.5%</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14:paraId="740BF044"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3.0%</w:t>
            </w:r>
          </w:p>
        </w:tc>
      </w:tr>
      <w:tr w:rsidR="00536656" w:rsidRPr="004A5E16" w14:paraId="29D1E4F5" w14:textId="77777777" w:rsidTr="00536656">
        <w:trPr>
          <w:cantSplit/>
          <w:trHeight w:val="253"/>
          <w:jc w:val="center"/>
        </w:trPr>
        <w:tc>
          <w:tcPr>
            <w:tcW w:w="4248" w:type="dxa"/>
            <w:tcBorders>
              <w:top w:val="single" w:sz="4" w:space="0" w:color="D9D9D9" w:themeColor="background1" w:themeShade="D9"/>
              <w:bottom w:val="single" w:sz="4" w:space="0" w:color="D9D9D9" w:themeColor="background1" w:themeShade="D9"/>
            </w:tcBorders>
            <w:shd w:val="clear" w:color="auto" w:fill="auto"/>
            <w:noWrap/>
          </w:tcPr>
          <w:p w14:paraId="5E7CD65C"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DME and Supplies</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14:paraId="7638623B"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3.0%</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14:paraId="6C1D7754"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3.0%</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14:paraId="4177C222"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3.0%</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14:paraId="2A5F6C7E"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2.0%</w:t>
            </w:r>
          </w:p>
        </w:tc>
      </w:tr>
      <w:tr w:rsidR="00536656" w:rsidRPr="004A5E16" w14:paraId="63EB9FDB" w14:textId="77777777" w:rsidTr="00536656">
        <w:trPr>
          <w:cantSplit/>
          <w:trHeight w:val="253"/>
          <w:jc w:val="center"/>
        </w:trPr>
        <w:tc>
          <w:tcPr>
            <w:tcW w:w="4248" w:type="dxa"/>
            <w:tcBorders>
              <w:top w:val="single" w:sz="4" w:space="0" w:color="D9D9D9" w:themeColor="background1" w:themeShade="D9"/>
              <w:bottom w:val="single" w:sz="4" w:space="0" w:color="D9D9D9" w:themeColor="background1" w:themeShade="D9"/>
            </w:tcBorders>
            <w:shd w:val="clear" w:color="auto" w:fill="auto"/>
            <w:noWrap/>
          </w:tcPr>
          <w:p w14:paraId="744953E8"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Transportation</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14:paraId="3C24E15E"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4.5%</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14:paraId="6DE6B72D"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4.5%</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14:paraId="470E25FE"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4.5%</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14:paraId="04D469CD"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4.5%</w:t>
            </w:r>
          </w:p>
        </w:tc>
      </w:tr>
      <w:tr w:rsidR="00536656" w:rsidRPr="004A5E16" w14:paraId="72F9FEB6" w14:textId="77777777" w:rsidTr="00536656">
        <w:trPr>
          <w:cantSplit/>
          <w:trHeight w:val="264"/>
          <w:jc w:val="center"/>
        </w:trPr>
        <w:tc>
          <w:tcPr>
            <w:tcW w:w="4248" w:type="dxa"/>
            <w:tcBorders>
              <w:top w:val="single" w:sz="4" w:space="0" w:color="D9D9D9" w:themeColor="background1" w:themeShade="D9"/>
              <w:bottom w:val="single" w:sz="4" w:space="0" w:color="auto"/>
            </w:tcBorders>
            <w:shd w:val="clear" w:color="auto" w:fill="auto"/>
            <w:noWrap/>
          </w:tcPr>
          <w:p w14:paraId="61609236"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All Other</w:t>
            </w:r>
          </w:p>
        </w:tc>
        <w:tc>
          <w:tcPr>
            <w:tcW w:w="923" w:type="dxa"/>
            <w:tcBorders>
              <w:top w:val="single" w:sz="4" w:space="0" w:color="D9D9D9" w:themeColor="background1" w:themeShade="D9"/>
              <w:bottom w:val="single" w:sz="4" w:space="0" w:color="auto"/>
            </w:tcBorders>
            <w:shd w:val="clear" w:color="auto" w:fill="auto"/>
            <w:noWrap/>
          </w:tcPr>
          <w:p w14:paraId="50D612E8"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4.5%</w:t>
            </w:r>
          </w:p>
        </w:tc>
        <w:tc>
          <w:tcPr>
            <w:tcW w:w="923" w:type="dxa"/>
            <w:tcBorders>
              <w:top w:val="single" w:sz="4" w:space="0" w:color="D9D9D9" w:themeColor="background1" w:themeShade="D9"/>
              <w:bottom w:val="single" w:sz="4" w:space="0" w:color="auto"/>
            </w:tcBorders>
            <w:shd w:val="clear" w:color="auto" w:fill="auto"/>
            <w:noWrap/>
          </w:tcPr>
          <w:p w14:paraId="3FA040B2"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4.5%</w:t>
            </w:r>
          </w:p>
        </w:tc>
        <w:tc>
          <w:tcPr>
            <w:tcW w:w="923" w:type="dxa"/>
            <w:tcBorders>
              <w:top w:val="single" w:sz="4" w:space="0" w:color="D9D9D9" w:themeColor="background1" w:themeShade="D9"/>
              <w:bottom w:val="single" w:sz="4" w:space="0" w:color="auto"/>
            </w:tcBorders>
            <w:shd w:val="clear" w:color="auto" w:fill="auto"/>
            <w:noWrap/>
          </w:tcPr>
          <w:p w14:paraId="01DED485"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4.5%</w:t>
            </w:r>
          </w:p>
        </w:tc>
        <w:tc>
          <w:tcPr>
            <w:tcW w:w="923" w:type="dxa"/>
            <w:tcBorders>
              <w:top w:val="single" w:sz="4" w:space="0" w:color="D9D9D9" w:themeColor="background1" w:themeShade="D9"/>
              <w:bottom w:val="single" w:sz="4" w:space="0" w:color="auto"/>
            </w:tcBorders>
            <w:shd w:val="clear" w:color="auto" w:fill="auto"/>
            <w:noWrap/>
          </w:tcPr>
          <w:p w14:paraId="5C8B9C5A"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3.0%</w:t>
            </w:r>
          </w:p>
        </w:tc>
      </w:tr>
    </w:tbl>
    <w:p w14:paraId="7BAD9109" w14:textId="77777777" w:rsidR="00536656" w:rsidRPr="004A5E16" w:rsidRDefault="00536656" w:rsidP="00536656">
      <w:pPr>
        <w:pStyle w:val="TableText"/>
        <w:rPr>
          <w:rFonts w:asciiTheme="minorHAnsi" w:hAnsiTheme="minorHAnsi"/>
          <w:sz w:val="18"/>
          <w:szCs w:val="18"/>
        </w:rPr>
      </w:pPr>
    </w:p>
    <w:tbl>
      <w:tblPr>
        <w:tblW w:w="7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4248"/>
        <w:gridCol w:w="923"/>
        <w:gridCol w:w="923"/>
        <w:gridCol w:w="923"/>
        <w:gridCol w:w="923"/>
      </w:tblGrid>
      <w:tr w:rsidR="00536656" w:rsidRPr="004A5E16" w14:paraId="64127752" w14:textId="77777777" w:rsidTr="00536656">
        <w:trPr>
          <w:cantSplit/>
          <w:trHeight w:val="264"/>
          <w:jc w:val="center"/>
        </w:trPr>
        <w:tc>
          <w:tcPr>
            <w:tcW w:w="4248" w:type="dxa"/>
            <w:shd w:val="clear" w:color="auto" w:fill="BFBFBF" w:themeFill="background1" w:themeFillShade="BF"/>
            <w:noWrap/>
          </w:tcPr>
          <w:p w14:paraId="4CA20F76" w14:textId="77777777" w:rsidR="00536656" w:rsidRPr="004A5E16" w:rsidRDefault="00536656" w:rsidP="00536656">
            <w:pPr>
              <w:pStyle w:val="TableText"/>
              <w:rPr>
                <w:rFonts w:asciiTheme="minorHAnsi" w:hAnsiTheme="minorHAnsi"/>
                <w:b/>
                <w:sz w:val="18"/>
                <w:szCs w:val="18"/>
              </w:rPr>
            </w:pPr>
            <w:r w:rsidRPr="004A5E16">
              <w:rPr>
                <w:rFonts w:asciiTheme="minorHAnsi" w:hAnsiTheme="minorHAnsi"/>
                <w:b/>
                <w:sz w:val="18"/>
                <w:szCs w:val="18"/>
              </w:rPr>
              <w:t>Crossover Trends</w:t>
            </w:r>
          </w:p>
        </w:tc>
        <w:tc>
          <w:tcPr>
            <w:tcW w:w="923" w:type="dxa"/>
            <w:shd w:val="clear" w:color="auto" w:fill="BFBFBF" w:themeFill="background1" w:themeFillShade="BF"/>
            <w:noWrap/>
          </w:tcPr>
          <w:p w14:paraId="00381230" w14:textId="77777777" w:rsidR="00536656" w:rsidRPr="004A5E16" w:rsidRDefault="00536656" w:rsidP="00536656">
            <w:pPr>
              <w:pStyle w:val="TableText"/>
              <w:rPr>
                <w:rFonts w:asciiTheme="minorHAnsi" w:hAnsiTheme="minorHAnsi"/>
                <w:b/>
                <w:sz w:val="18"/>
                <w:szCs w:val="18"/>
              </w:rPr>
            </w:pPr>
            <w:r w:rsidRPr="004A5E16">
              <w:rPr>
                <w:rFonts w:asciiTheme="minorHAnsi" w:hAnsiTheme="minorHAnsi"/>
                <w:b/>
                <w:sz w:val="18"/>
                <w:szCs w:val="18"/>
              </w:rPr>
              <w:t>C1</w:t>
            </w:r>
          </w:p>
        </w:tc>
        <w:tc>
          <w:tcPr>
            <w:tcW w:w="923" w:type="dxa"/>
            <w:shd w:val="clear" w:color="auto" w:fill="BFBFBF" w:themeFill="background1" w:themeFillShade="BF"/>
            <w:noWrap/>
          </w:tcPr>
          <w:p w14:paraId="021E79A2" w14:textId="77777777" w:rsidR="00536656" w:rsidRPr="004A5E16" w:rsidRDefault="00536656" w:rsidP="00536656">
            <w:pPr>
              <w:pStyle w:val="TableText"/>
              <w:rPr>
                <w:rFonts w:asciiTheme="minorHAnsi" w:hAnsiTheme="minorHAnsi"/>
                <w:b/>
                <w:sz w:val="18"/>
                <w:szCs w:val="18"/>
              </w:rPr>
            </w:pPr>
            <w:r w:rsidRPr="004A5E16">
              <w:rPr>
                <w:rFonts w:asciiTheme="minorHAnsi" w:hAnsiTheme="minorHAnsi"/>
                <w:b/>
                <w:sz w:val="18"/>
                <w:szCs w:val="18"/>
              </w:rPr>
              <w:t>C2</w:t>
            </w:r>
          </w:p>
        </w:tc>
        <w:tc>
          <w:tcPr>
            <w:tcW w:w="923" w:type="dxa"/>
            <w:shd w:val="clear" w:color="auto" w:fill="BFBFBF" w:themeFill="background1" w:themeFillShade="BF"/>
            <w:noWrap/>
          </w:tcPr>
          <w:p w14:paraId="662CE62F" w14:textId="77777777" w:rsidR="00536656" w:rsidRPr="004A5E16" w:rsidRDefault="00536656" w:rsidP="00536656">
            <w:pPr>
              <w:pStyle w:val="TableText"/>
              <w:rPr>
                <w:rFonts w:asciiTheme="minorHAnsi" w:hAnsiTheme="minorHAnsi"/>
                <w:b/>
                <w:sz w:val="18"/>
                <w:szCs w:val="18"/>
              </w:rPr>
            </w:pPr>
            <w:r w:rsidRPr="004A5E16">
              <w:rPr>
                <w:rFonts w:asciiTheme="minorHAnsi" w:hAnsiTheme="minorHAnsi"/>
                <w:b/>
                <w:sz w:val="18"/>
                <w:szCs w:val="18"/>
              </w:rPr>
              <w:t>C3</w:t>
            </w:r>
          </w:p>
        </w:tc>
        <w:tc>
          <w:tcPr>
            <w:tcW w:w="923" w:type="dxa"/>
            <w:shd w:val="clear" w:color="auto" w:fill="BFBFBF" w:themeFill="background1" w:themeFillShade="BF"/>
            <w:noWrap/>
          </w:tcPr>
          <w:p w14:paraId="63879957" w14:textId="77777777" w:rsidR="00536656" w:rsidRPr="004A5E16" w:rsidRDefault="00536656" w:rsidP="00536656">
            <w:pPr>
              <w:pStyle w:val="TableText"/>
              <w:rPr>
                <w:rFonts w:asciiTheme="minorHAnsi" w:hAnsiTheme="minorHAnsi"/>
                <w:b/>
                <w:sz w:val="18"/>
                <w:szCs w:val="18"/>
              </w:rPr>
            </w:pPr>
            <w:r w:rsidRPr="004A5E16">
              <w:rPr>
                <w:rFonts w:asciiTheme="minorHAnsi" w:hAnsiTheme="minorHAnsi"/>
                <w:b/>
                <w:sz w:val="18"/>
                <w:szCs w:val="18"/>
              </w:rPr>
              <w:t>F1</w:t>
            </w:r>
          </w:p>
        </w:tc>
      </w:tr>
      <w:tr w:rsidR="00536656" w:rsidRPr="004A5E16" w14:paraId="28802910" w14:textId="77777777" w:rsidTr="00536656">
        <w:trPr>
          <w:cantSplit/>
          <w:trHeight w:val="264"/>
          <w:jc w:val="center"/>
        </w:trPr>
        <w:tc>
          <w:tcPr>
            <w:tcW w:w="4248" w:type="dxa"/>
            <w:shd w:val="clear" w:color="auto" w:fill="auto"/>
            <w:noWrap/>
          </w:tcPr>
          <w:p w14:paraId="33786107"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All Services</w:t>
            </w:r>
          </w:p>
        </w:tc>
        <w:tc>
          <w:tcPr>
            <w:tcW w:w="923" w:type="dxa"/>
            <w:shd w:val="clear" w:color="auto" w:fill="auto"/>
            <w:noWrap/>
          </w:tcPr>
          <w:p w14:paraId="2C2F1406"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4.5%</w:t>
            </w:r>
          </w:p>
        </w:tc>
        <w:tc>
          <w:tcPr>
            <w:tcW w:w="923" w:type="dxa"/>
            <w:shd w:val="clear" w:color="auto" w:fill="auto"/>
            <w:noWrap/>
          </w:tcPr>
          <w:p w14:paraId="251FF2CA"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4.5%</w:t>
            </w:r>
          </w:p>
        </w:tc>
        <w:tc>
          <w:tcPr>
            <w:tcW w:w="923" w:type="dxa"/>
            <w:shd w:val="clear" w:color="auto" w:fill="auto"/>
            <w:noWrap/>
          </w:tcPr>
          <w:p w14:paraId="55B1E33B"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3.0%</w:t>
            </w:r>
          </w:p>
        </w:tc>
        <w:tc>
          <w:tcPr>
            <w:tcW w:w="923" w:type="dxa"/>
            <w:shd w:val="clear" w:color="auto" w:fill="auto"/>
            <w:noWrap/>
          </w:tcPr>
          <w:p w14:paraId="246742F3"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3.0%</w:t>
            </w:r>
          </w:p>
        </w:tc>
      </w:tr>
    </w:tbl>
    <w:p w14:paraId="57B41AE9" w14:textId="77777777" w:rsidR="00536656" w:rsidRPr="004A5E16" w:rsidRDefault="00536656" w:rsidP="00536656">
      <w:pPr>
        <w:autoSpaceDE w:val="0"/>
        <w:autoSpaceDN w:val="0"/>
        <w:adjustRightInd w:val="0"/>
        <w:rPr>
          <w:szCs w:val="22"/>
        </w:rPr>
      </w:pPr>
    </w:p>
    <w:p w14:paraId="33793D27" w14:textId="77777777" w:rsidR="00536656" w:rsidRPr="004A5E16" w:rsidRDefault="00536656" w:rsidP="00536656">
      <w:pPr>
        <w:pStyle w:val="Heading2"/>
        <w:rPr>
          <w:rFonts w:asciiTheme="minorHAnsi" w:hAnsiTheme="minorHAnsi"/>
          <w:i/>
          <w:sz w:val="22"/>
          <w:szCs w:val="22"/>
        </w:rPr>
      </w:pPr>
      <w:r w:rsidRPr="004A5E16">
        <w:rPr>
          <w:rFonts w:asciiTheme="minorHAnsi" w:hAnsiTheme="minorHAnsi"/>
          <w:i/>
          <w:sz w:val="22"/>
          <w:szCs w:val="22"/>
        </w:rPr>
        <w:t>Relational Modeling:</w:t>
      </w:r>
    </w:p>
    <w:p w14:paraId="4D2BD935" w14:textId="77777777" w:rsidR="00536656" w:rsidRPr="004A5E16" w:rsidRDefault="00536656" w:rsidP="00536656">
      <w:pPr>
        <w:rPr>
          <w:rFonts w:asciiTheme="minorHAnsi" w:hAnsiTheme="minorHAnsi"/>
          <w:sz w:val="22"/>
          <w:szCs w:val="22"/>
        </w:rPr>
      </w:pPr>
      <w:r w:rsidRPr="004A5E16">
        <w:rPr>
          <w:rFonts w:asciiTheme="minorHAnsi" w:hAnsiTheme="minorHAnsi"/>
          <w:sz w:val="22"/>
          <w:szCs w:val="22"/>
        </w:rPr>
        <w:t>Prior to finalizing the medical component of the capitation rates, the projected PMPM values (after trend and program changes) were compared with the prior year’s rates. Mercer used this information, along with base data from prior year’s rates, to identify any unexpected changes at the region level. For some regions, there was only a limited amount of experience available, which can create rate volatility over time. To mitigate some of these unanticipated changes, adjustments were made to shift funds among regions without impacting the aggregate cost for the rating category overall. This relational modeling was used for the C1, C2, and F1 rating categories as shown below:</w:t>
      </w:r>
    </w:p>
    <w:p w14:paraId="2638B081" w14:textId="77777777" w:rsidR="00536656" w:rsidRPr="004A5E16" w:rsidRDefault="00536656" w:rsidP="00536656">
      <w:pPr>
        <w:rPr>
          <w:rFonts w:asciiTheme="minorHAnsi" w:hAnsi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5"/>
        <w:gridCol w:w="1843"/>
        <w:gridCol w:w="1843"/>
        <w:gridCol w:w="1843"/>
        <w:gridCol w:w="1844"/>
      </w:tblGrid>
      <w:tr w:rsidR="00536656" w:rsidRPr="004A5E16" w14:paraId="00A68C6B" w14:textId="77777777" w:rsidTr="00536656">
        <w:tc>
          <w:tcPr>
            <w:tcW w:w="1735" w:type="dxa"/>
            <w:shd w:val="clear" w:color="auto" w:fill="BFBFBF" w:themeFill="background1" w:themeFillShade="BF"/>
          </w:tcPr>
          <w:p w14:paraId="67D80E11" w14:textId="77777777" w:rsidR="00536656" w:rsidRPr="004A5E16" w:rsidRDefault="00536656" w:rsidP="00536656">
            <w:pPr>
              <w:rPr>
                <w:rFonts w:asciiTheme="minorHAnsi" w:hAnsiTheme="minorHAnsi"/>
                <w:b/>
                <w:sz w:val="18"/>
                <w:szCs w:val="18"/>
              </w:rPr>
            </w:pPr>
            <w:r w:rsidRPr="004A5E16">
              <w:rPr>
                <w:rFonts w:asciiTheme="minorHAnsi" w:hAnsiTheme="minorHAnsi"/>
                <w:b/>
                <w:sz w:val="18"/>
                <w:szCs w:val="18"/>
              </w:rPr>
              <w:t>Region</w:t>
            </w:r>
          </w:p>
        </w:tc>
        <w:tc>
          <w:tcPr>
            <w:tcW w:w="1843" w:type="dxa"/>
            <w:shd w:val="clear" w:color="auto" w:fill="BFBFBF" w:themeFill="background1" w:themeFillShade="BF"/>
          </w:tcPr>
          <w:p w14:paraId="66A08DC5" w14:textId="77777777" w:rsidR="00536656" w:rsidRPr="004A5E16" w:rsidRDefault="00536656" w:rsidP="00536656">
            <w:pPr>
              <w:pStyle w:val="TableHeadingText"/>
              <w:rPr>
                <w:rFonts w:asciiTheme="minorHAnsi" w:hAnsiTheme="minorHAnsi"/>
                <w:szCs w:val="18"/>
              </w:rPr>
            </w:pPr>
            <w:r w:rsidRPr="004A5E16">
              <w:rPr>
                <w:rFonts w:asciiTheme="minorHAnsi" w:hAnsiTheme="minorHAnsi"/>
                <w:szCs w:val="18"/>
              </w:rPr>
              <w:t>C1</w:t>
            </w:r>
          </w:p>
        </w:tc>
        <w:tc>
          <w:tcPr>
            <w:tcW w:w="1843" w:type="dxa"/>
            <w:shd w:val="clear" w:color="auto" w:fill="BFBFBF" w:themeFill="background1" w:themeFillShade="BF"/>
          </w:tcPr>
          <w:p w14:paraId="386BB87A" w14:textId="77777777" w:rsidR="00536656" w:rsidRPr="004A5E16" w:rsidRDefault="00536656" w:rsidP="00536656">
            <w:pPr>
              <w:pStyle w:val="TableHeadingText"/>
              <w:rPr>
                <w:rFonts w:asciiTheme="minorHAnsi" w:hAnsiTheme="minorHAnsi"/>
                <w:szCs w:val="18"/>
              </w:rPr>
            </w:pPr>
            <w:r w:rsidRPr="004A5E16">
              <w:rPr>
                <w:rFonts w:asciiTheme="minorHAnsi" w:hAnsiTheme="minorHAnsi"/>
                <w:szCs w:val="18"/>
              </w:rPr>
              <w:t>C2</w:t>
            </w:r>
          </w:p>
        </w:tc>
        <w:tc>
          <w:tcPr>
            <w:tcW w:w="1843" w:type="dxa"/>
            <w:shd w:val="clear" w:color="auto" w:fill="BFBFBF" w:themeFill="background1" w:themeFillShade="BF"/>
          </w:tcPr>
          <w:p w14:paraId="1790E81B" w14:textId="77777777" w:rsidR="00536656" w:rsidRPr="004A5E16" w:rsidRDefault="00536656" w:rsidP="00536656">
            <w:pPr>
              <w:pStyle w:val="TableHeadingText"/>
              <w:rPr>
                <w:rFonts w:asciiTheme="minorHAnsi" w:hAnsiTheme="minorHAnsi"/>
                <w:szCs w:val="18"/>
              </w:rPr>
            </w:pPr>
            <w:r w:rsidRPr="004A5E16">
              <w:rPr>
                <w:rFonts w:asciiTheme="minorHAnsi" w:hAnsiTheme="minorHAnsi"/>
                <w:szCs w:val="18"/>
              </w:rPr>
              <w:t>C3</w:t>
            </w:r>
          </w:p>
        </w:tc>
        <w:tc>
          <w:tcPr>
            <w:tcW w:w="1844" w:type="dxa"/>
            <w:shd w:val="clear" w:color="auto" w:fill="BFBFBF" w:themeFill="background1" w:themeFillShade="BF"/>
          </w:tcPr>
          <w:p w14:paraId="2D2507BC" w14:textId="77777777" w:rsidR="00536656" w:rsidRPr="004A5E16" w:rsidRDefault="00536656" w:rsidP="00536656">
            <w:pPr>
              <w:pStyle w:val="TableHeadingText"/>
              <w:rPr>
                <w:rFonts w:asciiTheme="minorHAnsi" w:hAnsiTheme="minorHAnsi"/>
                <w:szCs w:val="18"/>
              </w:rPr>
            </w:pPr>
            <w:r w:rsidRPr="004A5E16">
              <w:rPr>
                <w:rFonts w:asciiTheme="minorHAnsi" w:hAnsiTheme="minorHAnsi"/>
                <w:szCs w:val="18"/>
              </w:rPr>
              <w:t>F1</w:t>
            </w:r>
          </w:p>
        </w:tc>
      </w:tr>
      <w:tr w:rsidR="00536656" w:rsidRPr="004A5E16" w14:paraId="4D5AE1FE" w14:textId="77777777" w:rsidTr="00536656">
        <w:tc>
          <w:tcPr>
            <w:tcW w:w="1735" w:type="dxa"/>
            <w:shd w:val="clear" w:color="auto" w:fill="auto"/>
          </w:tcPr>
          <w:p w14:paraId="1065A58A"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Eastern</w:t>
            </w:r>
          </w:p>
        </w:tc>
        <w:tc>
          <w:tcPr>
            <w:tcW w:w="1843" w:type="dxa"/>
            <w:shd w:val="clear" w:color="auto" w:fill="auto"/>
            <w:vAlign w:val="bottom"/>
          </w:tcPr>
          <w:p w14:paraId="268C493F"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1.010</w:t>
            </w:r>
          </w:p>
        </w:tc>
        <w:tc>
          <w:tcPr>
            <w:tcW w:w="1843" w:type="dxa"/>
            <w:shd w:val="clear" w:color="auto" w:fill="auto"/>
            <w:vAlign w:val="bottom"/>
          </w:tcPr>
          <w:p w14:paraId="6EE2B802"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0.990</w:t>
            </w:r>
          </w:p>
        </w:tc>
        <w:tc>
          <w:tcPr>
            <w:tcW w:w="1843" w:type="dxa"/>
            <w:shd w:val="clear" w:color="auto" w:fill="auto"/>
            <w:vAlign w:val="bottom"/>
          </w:tcPr>
          <w:p w14:paraId="0ABA1D2D"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1.000</w:t>
            </w:r>
          </w:p>
        </w:tc>
        <w:tc>
          <w:tcPr>
            <w:tcW w:w="1844" w:type="dxa"/>
            <w:shd w:val="clear" w:color="auto" w:fill="auto"/>
            <w:vAlign w:val="bottom"/>
          </w:tcPr>
          <w:p w14:paraId="20FE0D8F"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1.008</w:t>
            </w:r>
          </w:p>
        </w:tc>
      </w:tr>
      <w:tr w:rsidR="00536656" w:rsidRPr="004A5E16" w14:paraId="70FBBC7D" w14:textId="77777777" w:rsidTr="00536656">
        <w:tc>
          <w:tcPr>
            <w:tcW w:w="1735" w:type="dxa"/>
            <w:shd w:val="clear" w:color="auto" w:fill="auto"/>
          </w:tcPr>
          <w:p w14:paraId="329CAC35"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Western</w:t>
            </w:r>
          </w:p>
        </w:tc>
        <w:tc>
          <w:tcPr>
            <w:tcW w:w="1843" w:type="dxa"/>
            <w:shd w:val="clear" w:color="auto" w:fill="auto"/>
            <w:vAlign w:val="bottom"/>
          </w:tcPr>
          <w:p w14:paraId="3F874C6A"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1.005</w:t>
            </w:r>
          </w:p>
        </w:tc>
        <w:tc>
          <w:tcPr>
            <w:tcW w:w="1843" w:type="dxa"/>
            <w:shd w:val="clear" w:color="auto" w:fill="auto"/>
            <w:vAlign w:val="bottom"/>
          </w:tcPr>
          <w:p w14:paraId="448B4C35"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0.991</w:t>
            </w:r>
          </w:p>
        </w:tc>
        <w:tc>
          <w:tcPr>
            <w:tcW w:w="1843" w:type="dxa"/>
            <w:shd w:val="clear" w:color="auto" w:fill="auto"/>
            <w:vAlign w:val="bottom"/>
          </w:tcPr>
          <w:p w14:paraId="2EF774F5"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1.000</w:t>
            </w:r>
          </w:p>
        </w:tc>
        <w:tc>
          <w:tcPr>
            <w:tcW w:w="1844" w:type="dxa"/>
            <w:shd w:val="clear" w:color="auto" w:fill="auto"/>
            <w:vAlign w:val="bottom"/>
          </w:tcPr>
          <w:p w14:paraId="664E9D77"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0.980</w:t>
            </w:r>
          </w:p>
        </w:tc>
      </w:tr>
      <w:tr w:rsidR="00536656" w:rsidRPr="004A5E16" w14:paraId="17B9C27D" w14:textId="77777777" w:rsidTr="00536656">
        <w:tc>
          <w:tcPr>
            <w:tcW w:w="1735" w:type="dxa"/>
            <w:shd w:val="clear" w:color="auto" w:fill="auto"/>
          </w:tcPr>
          <w:p w14:paraId="047AF496"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The Cape</w:t>
            </w:r>
          </w:p>
        </w:tc>
        <w:tc>
          <w:tcPr>
            <w:tcW w:w="1843" w:type="dxa"/>
            <w:shd w:val="clear" w:color="auto" w:fill="auto"/>
            <w:vAlign w:val="bottom"/>
          </w:tcPr>
          <w:p w14:paraId="7C05C4A1"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0.921</w:t>
            </w:r>
          </w:p>
        </w:tc>
        <w:tc>
          <w:tcPr>
            <w:tcW w:w="1843" w:type="dxa"/>
            <w:shd w:val="clear" w:color="auto" w:fill="auto"/>
            <w:vAlign w:val="bottom"/>
          </w:tcPr>
          <w:p w14:paraId="04553FCA"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1.092</w:t>
            </w:r>
          </w:p>
        </w:tc>
        <w:tc>
          <w:tcPr>
            <w:tcW w:w="1843" w:type="dxa"/>
            <w:shd w:val="clear" w:color="auto" w:fill="auto"/>
            <w:vAlign w:val="bottom"/>
          </w:tcPr>
          <w:p w14:paraId="557CE00E"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1.000</w:t>
            </w:r>
          </w:p>
        </w:tc>
        <w:tc>
          <w:tcPr>
            <w:tcW w:w="1844" w:type="dxa"/>
            <w:shd w:val="clear" w:color="auto" w:fill="auto"/>
            <w:vAlign w:val="bottom"/>
          </w:tcPr>
          <w:p w14:paraId="32AC515A" w14:textId="77777777" w:rsidR="00536656" w:rsidRPr="004A5E16" w:rsidRDefault="00536656" w:rsidP="00536656">
            <w:pPr>
              <w:pStyle w:val="TableText"/>
              <w:rPr>
                <w:rFonts w:asciiTheme="minorHAnsi" w:hAnsiTheme="minorHAnsi"/>
                <w:sz w:val="18"/>
                <w:szCs w:val="18"/>
              </w:rPr>
            </w:pPr>
            <w:r w:rsidRPr="004A5E16">
              <w:rPr>
                <w:rFonts w:asciiTheme="minorHAnsi" w:hAnsiTheme="minorHAnsi"/>
                <w:sz w:val="18"/>
                <w:szCs w:val="18"/>
              </w:rPr>
              <w:t>0.991</w:t>
            </w:r>
          </w:p>
        </w:tc>
      </w:tr>
    </w:tbl>
    <w:p w14:paraId="4C66F240" w14:textId="77777777" w:rsidR="00536656" w:rsidRPr="004A5E16" w:rsidRDefault="00536656" w:rsidP="00536656">
      <w:pPr>
        <w:rPr>
          <w:rFonts w:asciiTheme="minorHAnsi" w:hAnsiTheme="minorHAnsi" w:cstheme="minorHAnsi"/>
          <w:b/>
          <w:i/>
          <w:sz w:val="22"/>
          <w:szCs w:val="22"/>
        </w:rPr>
      </w:pPr>
    </w:p>
    <w:p w14:paraId="24686DF9" w14:textId="77777777" w:rsidR="00536656" w:rsidRPr="005C335C" w:rsidRDefault="00536656" w:rsidP="00536656">
      <w:pPr>
        <w:rPr>
          <w:rFonts w:asciiTheme="minorHAnsi" w:hAnsiTheme="minorHAnsi" w:cstheme="minorHAnsi"/>
          <w:b/>
          <w:i/>
          <w:sz w:val="22"/>
          <w:szCs w:val="22"/>
        </w:rPr>
      </w:pPr>
      <w:r w:rsidRPr="005C335C">
        <w:rPr>
          <w:rFonts w:asciiTheme="minorHAnsi" w:hAnsiTheme="minorHAnsi" w:cstheme="minorHAnsi"/>
          <w:b/>
          <w:i/>
          <w:sz w:val="22"/>
          <w:szCs w:val="22"/>
        </w:rPr>
        <w:t>Medicaid Administrative Expenses:</w:t>
      </w:r>
    </w:p>
    <w:p w14:paraId="554FB270" w14:textId="1463AFC7" w:rsidR="00536656" w:rsidRPr="004A5E16" w:rsidRDefault="00536656" w:rsidP="00536656">
      <w:pPr>
        <w:rPr>
          <w:rFonts w:asciiTheme="minorHAnsi" w:hAnsiTheme="minorHAnsi" w:cstheme="minorHAnsi"/>
          <w:sz w:val="22"/>
          <w:szCs w:val="22"/>
        </w:rPr>
      </w:pPr>
      <w:r w:rsidRPr="005C335C">
        <w:rPr>
          <w:rFonts w:asciiTheme="minorHAnsi" w:hAnsiTheme="minorHAnsi"/>
          <w:sz w:val="22"/>
          <w:szCs w:val="22"/>
        </w:rPr>
        <w:t xml:space="preserve">An </w:t>
      </w:r>
      <w:r w:rsidR="00BB20F1">
        <w:rPr>
          <w:rFonts w:asciiTheme="minorHAnsi" w:hAnsiTheme="minorHAnsi"/>
          <w:sz w:val="22"/>
          <w:szCs w:val="22"/>
        </w:rPr>
        <w:t xml:space="preserve">administrative </w:t>
      </w:r>
      <w:r w:rsidRPr="005C335C">
        <w:rPr>
          <w:rFonts w:asciiTheme="minorHAnsi" w:hAnsiTheme="minorHAnsi"/>
          <w:sz w:val="22"/>
          <w:szCs w:val="22"/>
        </w:rPr>
        <w:t>adjustment of has been applied to the MassHealth component of the rate for 2015 to reflect the transfer of administrative costs from MassHealth to the One Care plans. The amount has been added to each county rate for each rating category.</w:t>
      </w:r>
    </w:p>
    <w:p w14:paraId="6D7D4961" w14:textId="77777777" w:rsidR="00536656" w:rsidRPr="004A5E16" w:rsidRDefault="00536656" w:rsidP="00536656">
      <w:pPr>
        <w:rPr>
          <w:rFonts w:asciiTheme="minorHAnsi" w:hAnsiTheme="minorHAnsi" w:cstheme="minorHAnsi"/>
          <w:sz w:val="22"/>
          <w:szCs w:val="22"/>
          <w:highlight w:val="lightGray"/>
        </w:rPr>
      </w:pPr>
    </w:p>
    <w:p w14:paraId="7A74EE25" w14:textId="77777777" w:rsidR="00536656" w:rsidRPr="004A5E16" w:rsidRDefault="00536656" w:rsidP="00536656">
      <w:pPr>
        <w:spacing w:after="200" w:line="276" w:lineRule="auto"/>
        <w:rPr>
          <w:rFonts w:ascii="Calibri" w:hAnsi="Calibri" w:cs="Calibri"/>
          <w:b/>
          <w:sz w:val="22"/>
          <w:szCs w:val="22"/>
          <w:highlight w:val="lightGray"/>
        </w:rPr>
      </w:pPr>
    </w:p>
    <w:p w14:paraId="53BAA9E9" w14:textId="77777777" w:rsidR="00283A75" w:rsidRDefault="00283A75">
      <w:pPr>
        <w:spacing w:after="200" w:line="276" w:lineRule="auto"/>
        <w:rPr>
          <w:rFonts w:ascii="Calibri" w:hAnsi="Calibri" w:cs="Calibri"/>
          <w:b/>
          <w:sz w:val="22"/>
          <w:szCs w:val="22"/>
        </w:rPr>
      </w:pPr>
      <w:r>
        <w:rPr>
          <w:rFonts w:ascii="Calibri" w:hAnsi="Calibri" w:cs="Calibri"/>
          <w:b/>
          <w:sz w:val="22"/>
          <w:szCs w:val="22"/>
        </w:rPr>
        <w:br w:type="page"/>
      </w:r>
    </w:p>
    <w:p w14:paraId="3B154369" w14:textId="77777777" w:rsidR="00283A75" w:rsidRDefault="00283A75" w:rsidP="00C01D88">
      <w:pPr>
        <w:numPr>
          <w:ilvl w:val="0"/>
          <w:numId w:val="1"/>
        </w:numPr>
        <w:tabs>
          <w:tab w:val="left" w:pos="720"/>
        </w:tabs>
        <w:ind w:left="360" w:firstLine="0"/>
        <w:jc w:val="center"/>
        <w:rPr>
          <w:rFonts w:ascii="Calibri" w:hAnsi="Calibri" w:cs="Calibri"/>
          <w:b/>
          <w:sz w:val="22"/>
          <w:szCs w:val="22"/>
        </w:rPr>
      </w:pPr>
      <w:r>
        <w:rPr>
          <w:rFonts w:ascii="Calibri" w:hAnsi="Calibri" w:cs="Calibri"/>
          <w:b/>
          <w:sz w:val="22"/>
          <w:szCs w:val="22"/>
        </w:rPr>
        <w:lastRenderedPageBreak/>
        <w:t xml:space="preserve">Medicare Components of the Rate – CY </w:t>
      </w:r>
      <w:r w:rsidR="00D41DB7">
        <w:rPr>
          <w:rFonts w:ascii="Calibri" w:hAnsi="Calibri" w:cs="Calibri"/>
          <w:b/>
          <w:sz w:val="22"/>
          <w:szCs w:val="22"/>
        </w:rPr>
        <w:t>2015</w:t>
      </w:r>
    </w:p>
    <w:p w14:paraId="39C7ED5C" w14:textId="77777777" w:rsidR="00283A75" w:rsidRDefault="00283A75" w:rsidP="00C01D88">
      <w:pPr>
        <w:tabs>
          <w:tab w:val="left" w:pos="720"/>
        </w:tabs>
        <w:ind w:left="360"/>
        <w:rPr>
          <w:rFonts w:ascii="Calibri" w:hAnsi="Calibri" w:cs="Calibri"/>
          <w:b/>
          <w:sz w:val="22"/>
          <w:szCs w:val="22"/>
        </w:rPr>
      </w:pPr>
    </w:p>
    <w:p w14:paraId="45E9B092" w14:textId="77777777" w:rsidR="004E06A0" w:rsidRPr="005F465A" w:rsidRDefault="004E06A0" w:rsidP="00C01D88">
      <w:pPr>
        <w:tabs>
          <w:tab w:val="left" w:pos="720"/>
        </w:tabs>
        <w:ind w:left="360"/>
        <w:rPr>
          <w:rFonts w:ascii="Calibri" w:hAnsi="Calibri" w:cs="Calibri"/>
          <w:b/>
          <w:sz w:val="22"/>
          <w:szCs w:val="22"/>
        </w:rPr>
      </w:pPr>
    </w:p>
    <w:p w14:paraId="3127BC30" w14:textId="77777777" w:rsidR="00283A75" w:rsidRDefault="00283A75" w:rsidP="00C01D88">
      <w:pPr>
        <w:autoSpaceDE w:val="0"/>
        <w:autoSpaceDN w:val="0"/>
        <w:adjustRightInd w:val="0"/>
        <w:rPr>
          <w:rFonts w:ascii="Calibri" w:hAnsi="Calibri" w:cs="Calibri"/>
          <w:b/>
          <w:i/>
          <w:color w:val="000000"/>
          <w:sz w:val="22"/>
          <w:szCs w:val="22"/>
        </w:rPr>
      </w:pPr>
      <w:r w:rsidRPr="005F465A">
        <w:rPr>
          <w:rFonts w:ascii="Calibri" w:hAnsi="Calibri" w:cs="Calibri"/>
          <w:b/>
          <w:i/>
          <w:color w:val="000000"/>
          <w:sz w:val="22"/>
          <w:szCs w:val="22"/>
        </w:rPr>
        <w:t>Medicare A/B Services</w:t>
      </w:r>
    </w:p>
    <w:p w14:paraId="5C6B4D89" w14:textId="77777777" w:rsidR="00E05137" w:rsidRPr="005F465A" w:rsidRDefault="00E05137" w:rsidP="00C01D88">
      <w:pPr>
        <w:autoSpaceDE w:val="0"/>
        <w:autoSpaceDN w:val="0"/>
        <w:adjustRightInd w:val="0"/>
        <w:rPr>
          <w:rFonts w:ascii="Calibri" w:hAnsi="Calibri" w:cs="Calibri"/>
          <w:b/>
          <w:i/>
          <w:color w:val="000000"/>
          <w:sz w:val="22"/>
          <w:szCs w:val="22"/>
        </w:rPr>
      </w:pPr>
    </w:p>
    <w:p w14:paraId="1B8A6148" w14:textId="77777777" w:rsidR="00283A75" w:rsidRPr="00A77C54" w:rsidRDefault="00283A75" w:rsidP="00C01D88">
      <w:pPr>
        <w:autoSpaceDE w:val="0"/>
        <w:autoSpaceDN w:val="0"/>
        <w:adjustRightInd w:val="0"/>
        <w:rPr>
          <w:rFonts w:ascii="Calibri" w:hAnsi="Calibri" w:cs="Calibri"/>
          <w:b/>
          <w:i/>
          <w:color w:val="000000"/>
          <w:sz w:val="22"/>
          <w:szCs w:val="22"/>
        </w:rPr>
      </w:pPr>
      <w:r w:rsidRPr="00A77C54">
        <w:rPr>
          <w:rFonts w:ascii="Calibri" w:hAnsi="Calibri" w:cs="Calibri"/>
          <w:color w:val="000000"/>
          <w:sz w:val="22"/>
          <w:szCs w:val="22"/>
        </w:rPr>
        <w:t xml:space="preserve">CMS has developed baseline spending (costs absent the Demonstration) for Medicare </w:t>
      </w:r>
      <w:r>
        <w:rPr>
          <w:rFonts w:ascii="Calibri" w:hAnsi="Calibri" w:cs="Calibri"/>
          <w:color w:val="000000"/>
          <w:sz w:val="22"/>
          <w:szCs w:val="22"/>
        </w:rPr>
        <w:t xml:space="preserve">Parts </w:t>
      </w:r>
      <w:r w:rsidRPr="00A77C54">
        <w:rPr>
          <w:rFonts w:ascii="Calibri" w:hAnsi="Calibri" w:cs="Calibri"/>
          <w:color w:val="000000"/>
          <w:sz w:val="22"/>
          <w:szCs w:val="22"/>
        </w:rPr>
        <w:t>A and B services using estimates of what Medicare would have spent on behalf of the enrollees absent the Demonstration. With the exception of specific subsets of enrollees as noted below, the Medicare baseline for A/B services is a blend of the Medicare Fee-for-Service (FFS) Standardized County Rates and the Medicare Advantage projected payment rates for each year, weighted by the proportion of the</w:t>
      </w:r>
      <w:r>
        <w:rPr>
          <w:rFonts w:ascii="Calibri" w:hAnsi="Calibri" w:cs="Calibri"/>
          <w:color w:val="000000"/>
          <w:sz w:val="22"/>
          <w:szCs w:val="22"/>
        </w:rPr>
        <w:t xml:space="preserve"> target</w:t>
      </w:r>
      <w:r w:rsidRPr="00A77C54">
        <w:rPr>
          <w:rFonts w:ascii="Calibri" w:hAnsi="Calibri" w:cs="Calibri"/>
          <w:color w:val="000000"/>
          <w:sz w:val="22"/>
          <w:szCs w:val="22"/>
        </w:rPr>
        <w:t xml:space="preserve"> population that would otherwise be enrolled in each program in the absence of the Demonstration. The Medicare Advantage baseline spending includes costs that would have occurred absent the Demonstration, such as quality bonus payments for applicable Medicare Advantage plans. </w:t>
      </w:r>
    </w:p>
    <w:p w14:paraId="26C2B8D6" w14:textId="77777777" w:rsidR="00283A75" w:rsidRPr="00A77C54" w:rsidRDefault="00283A75" w:rsidP="00C01D88">
      <w:pPr>
        <w:autoSpaceDE w:val="0"/>
        <w:autoSpaceDN w:val="0"/>
        <w:adjustRightInd w:val="0"/>
        <w:rPr>
          <w:rFonts w:ascii="Calibri" w:hAnsi="Calibri" w:cs="Calibri"/>
          <w:color w:val="000000"/>
          <w:sz w:val="22"/>
          <w:szCs w:val="22"/>
        </w:rPr>
      </w:pPr>
    </w:p>
    <w:p w14:paraId="1739ADA1" w14:textId="77777777" w:rsidR="00283A75" w:rsidRDefault="00283A75" w:rsidP="00C01D88">
      <w:pPr>
        <w:rPr>
          <w:rFonts w:ascii="Calibri" w:hAnsi="Calibri" w:cs="Calibri"/>
          <w:color w:val="000000"/>
          <w:sz w:val="22"/>
          <w:szCs w:val="22"/>
        </w:rPr>
      </w:pPr>
      <w:r w:rsidRPr="00A77C54">
        <w:rPr>
          <w:rFonts w:ascii="Calibri" w:hAnsi="Calibri" w:cs="Calibri"/>
          <w:color w:val="000000"/>
          <w:sz w:val="22"/>
          <w:szCs w:val="22"/>
        </w:rPr>
        <w:t xml:space="preserve">Both baseline spending and payment rates under the Demonstration for Medicare A/B services are calculated as PMPM standardized amounts for each Demonstration county. Except as otherwise noted, the Medicare A/B portion of the baseline will be updated annually </w:t>
      </w:r>
      <w:r w:rsidR="001C5D72">
        <w:rPr>
          <w:rFonts w:ascii="Calibri" w:hAnsi="Calibri" w:cs="Calibri"/>
          <w:color w:val="000000"/>
          <w:sz w:val="22"/>
          <w:szCs w:val="22"/>
        </w:rPr>
        <w:t xml:space="preserve">based on </w:t>
      </w:r>
      <w:r w:rsidRPr="00A77C54">
        <w:rPr>
          <w:rFonts w:ascii="Calibri" w:hAnsi="Calibri" w:cs="Calibri"/>
          <w:color w:val="000000"/>
          <w:sz w:val="22"/>
          <w:szCs w:val="22"/>
        </w:rPr>
        <w:t xml:space="preserve">the annual FFS estimates and benchmarks released each year with the annual </w:t>
      </w:r>
      <w:r>
        <w:rPr>
          <w:rFonts w:ascii="Calibri" w:hAnsi="Calibri" w:cs="Calibri"/>
          <w:color w:val="000000"/>
          <w:sz w:val="22"/>
          <w:szCs w:val="22"/>
        </w:rPr>
        <w:t xml:space="preserve">Medicare Advantage and Part D </w:t>
      </w:r>
      <w:r w:rsidRPr="00A77C54">
        <w:rPr>
          <w:rFonts w:ascii="Calibri" w:hAnsi="Calibri" w:cs="Calibri"/>
          <w:color w:val="000000"/>
          <w:sz w:val="22"/>
          <w:szCs w:val="22"/>
        </w:rPr>
        <w:t>rate announcement</w:t>
      </w:r>
      <w:r w:rsidR="005B3A20">
        <w:rPr>
          <w:rFonts w:ascii="Calibri" w:hAnsi="Calibri" w:cs="Calibri"/>
          <w:color w:val="000000"/>
          <w:sz w:val="22"/>
          <w:szCs w:val="22"/>
        </w:rPr>
        <w:t xml:space="preserve">, </w:t>
      </w:r>
      <w:r w:rsidR="001C5D72">
        <w:rPr>
          <w:rFonts w:ascii="Calibri" w:hAnsi="Calibri" w:cs="Calibri"/>
          <w:color w:val="000000"/>
          <w:sz w:val="22"/>
          <w:szCs w:val="22"/>
        </w:rPr>
        <w:t xml:space="preserve">and </w:t>
      </w:r>
      <w:r w:rsidR="005B3A20">
        <w:rPr>
          <w:rFonts w:ascii="Calibri" w:hAnsi="Calibri" w:cs="Calibri"/>
          <w:color w:val="000000"/>
          <w:sz w:val="22"/>
          <w:szCs w:val="22"/>
        </w:rPr>
        <w:t>Medicare Advantage bids for the applicable year for products in which potential Demonstration enrollees would be enrolled absent the Demonstration</w:t>
      </w:r>
      <w:r w:rsidRPr="00A77C54">
        <w:rPr>
          <w:rFonts w:ascii="Calibri" w:hAnsi="Calibri" w:cs="Calibri"/>
          <w:color w:val="000000"/>
          <w:sz w:val="22"/>
          <w:szCs w:val="22"/>
        </w:rPr>
        <w:t xml:space="preserve">. </w:t>
      </w:r>
    </w:p>
    <w:p w14:paraId="1AC6C2B2" w14:textId="77777777" w:rsidR="00C5421E" w:rsidRDefault="00C5421E" w:rsidP="00C01D88">
      <w:pPr>
        <w:rPr>
          <w:rFonts w:ascii="Calibri" w:hAnsi="Calibri" w:cs="Calibri"/>
          <w:color w:val="000000"/>
          <w:sz w:val="22"/>
          <w:szCs w:val="22"/>
        </w:rPr>
      </w:pPr>
    </w:p>
    <w:p w14:paraId="5627EBE6" w14:textId="77777777" w:rsidR="00283A75" w:rsidRDefault="00283A75" w:rsidP="00582B97">
      <w:pPr>
        <w:tabs>
          <w:tab w:val="left" w:pos="90"/>
        </w:tabs>
        <w:rPr>
          <w:rFonts w:ascii="Calibri" w:hAnsi="Calibri" w:cs="Calibri"/>
          <w:sz w:val="22"/>
          <w:szCs w:val="22"/>
        </w:rPr>
      </w:pPr>
      <w:r w:rsidRPr="005F465A">
        <w:rPr>
          <w:rFonts w:ascii="Calibri" w:hAnsi="Calibri" w:cs="Calibri"/>
          <w:i/>
          <w:color w:val="000000"/>
          <w:sz w:val="22"/>
          <w:szCs w:val="22"/>
        </w:rPr>
        <w:t>Medicare A/B Component Payments</w:t>
      </w:r>
      <w:r w:rsidR="00EF5214">
        <w:rPr>
          <w:rFonts w:ascii="Calibri" w:hAnsi="Calibri" w:cs="Calibri"/>
          <w:color w:val="000000"/>
          <w:sz w:val="22"/>
          <w:szCs w:val="22"/>
        </w:rPr>
        <w:t>:</w:t>
      </w:r>
      <w:r w:rsidR="00C5421E">
        <w:rPr>
          <w:rFonts w:ascii="Calibri" w:hAnsi="Calibri" w:cs="Calibri"/>
          <w:color w:val="000000"/>
          <w:sz w:val="22"/>
          <w:szCs w:val="22"/>
        </w:rPr>
        <w:t xml:space="preserve"> </w:t>
      </w:r>
      <w:r w:rsidR="000A4A2A">
        <w:rPr>
          <w:rFonts w:ascii="Calibri" w:hAnsi="Calibri" w:cs="Calibri"/>
          <w:color w:val="000000"/>
          <w:sz w:val="22"/>
          <w:szCs w:val="22"/>
        </w:rPr>
        <w:t>CY 2015</w:t>
      </w:r>
      <w:r w:rsidRPr="005F465A">
        <w:rPr>
          <w:rFonts w:ascii="Calibri" w:hAnsi="Calibri" w:cs="Calibri"/>
          <w:color w:val="000000"/>
          <w:sz w:val="22"/>
          <w:szCs w:val="22"/>
        </w:rPr>
        <w:t xml:space="preserve"> Medicare A/B Baseline County rates are provided below. </w:t>
      </w:r>
      <w:r w:rsidRPr="00A77C54">
        <w:rPr>
          <w:rFonts w:ascii="Calibri" w:hAnsi="Calibri" w:cs="Calibri"/>
          <w:sz w:val="22"/>
          <w:szCs w:val="22"/>
        </w:rPr>
        <w:t xml:space="preserve"> </w:t>
      </w:r>
      <w:r w:rsidRPr="00E95B9B">
        <w:rPr>
          <w:rFonts w:ascii="Calibri" w:hAnsi="Calibri" w:cs="Calibri"/>
          <w:sz w:val="22"/>
          <w:szCs w:val="22"/>
        </w:rPr>
        <w:t xml:space="preserve">The rates represent the weighted average of the </w:t>
      </w:r>
      <w:r w:rsidRPr="00E95B9B">
        <w:rPr>
          <w:rFonts w:ascii="Calibri" w:hAnsi="Calibri" w:cs="Calibri"/>
          <w:color w:val="000000"/>
          <w:sz w:val="22"/>
          <w:szCs w:val="22"/>
        </w:rPr>
        <w:t>CY 201</w:t>
      </w:r>
      <w:r w:rsidR="00C5421E">
        <w:rPr>
          <w:rFonts w:ascii="Calibri" w:hAnsi="Calibri" w:cs="Calibri"/>
          <w:color w:val="000000"/>
          <w:sz w:val="22"/>
          <w:szCs w:val="22"/>
        </w:rPr>
        <w:t>5</w:t>
      </w:r>
      <w:r w:rsidRPr="00E95B9B">
        <w:rPr>
          <w:rFonts w:ascii="Calibri" w:hAnsi="Calibri" w:cs="Calibri"/>
          <w:color w:val="000000"/>
          <w:sz w:val="22"/>
          <w:szCs w:val="22"/>
        </w:rPr>
        <w:t xml:space="preserve"> FFS Standardized County Rates, updated to incorporate the adjustments noted below, and the Medicare Advantage projected payment rates for CY 201</w:t>
      </w:r>
      <w:r w:rsidR="00C5421E">
        <w:rPr>
          <w:rFonts w:ascii="Calibri" w:hAnsi="Calibri" w:cs="Calibri"/>
          <w:color w:val="000000"/>
          <w:sz w:val="22"/>
          <w:szCs w:val="22"/>
        </w:rPr>
        <w:t>5</w:t>
      </w:r>
      <w:r w:rsidRPr="00E95B9B">
        <w:rPr>
          <w:rFonts w:ascii="Calibri" w:hAnsi="Calibri" w:cs="Calibri"/>
          <w:color w:val="000000"/>
          <w:sz w:val="22"/>
          <w:szCs w:val="22"/>
        </w:rPr>
        <w:t xml:space="preserve"> based on the expected enrollment of beneficiaries from Medicare FFS and Medicare Advantage in </w:t>
      </w:r>
      <w:r w:rsidRPr="00E95B9B">
        <w:rPr>
          <w:rFonts w:ascii="Calibri" w:hAnsi="Calibri" w:cs="Calibri"/>
          <w:sz w:val="22"/>
          <w:szCs w:val="22"/>
        </w:rPr>
        <w:t>CY 201</w:t>
      </w:r>
      <w:r w:rsidR="00C5421E">
        <w:rPr>
          <w:rFonts w:ascii="Calibri" w:hAnsi="Calibri" w:cs="Calibri"/>
          <w:sz w:val="22"/>
          <w:szCs w:val="22"/>
        </w:rPr>
        <w:t>5</w:t>
      </w:r>
      <w:r w:rsidRPr="00E95B9B">
        <w:rPr>
          <w:rFonts w:ascii="Calibri" w:hAnsi="Calibri" w:cs="Calibri"/>
          <w:sz w:val="22"/>
          <w:szCs w:val="22"/>
        </w:rPr>
        <w:t xml:space="preserve"> at the county level. The rates weight the FFS and Medicare Advantage components</w:t>
      </w:r>
      <w:r w:rsidR="00EF5214">
        <w:rPr>
          <w:rFonts w:ascii="Calibri" w:hAnsi="Calibri" w:cs="Calibri"/>
          <w:sz w:val="22"/>
          <w:szCs w:val="22"/>
        </w:rPr>
        <w:t xml:space="preserve"> at the same weighting as used to set 2014 rates. However, </w:t>
      </w:r>
      <w:r w:rsidR="000A4A2A">
        <w:rPr>
          <w:rFonts w:ascii="Calibri" w:hAnsi="Calibri" w:cs="Calibri"/>
          <w:sz w:val="22"/>
          <w:szCs w:val="22"/>
        </w:rPr>
        <w:t>CMS has</w:t>
      </w:r>
      <w:r w:rsidR="00EF5214">
        <w:rPr>
          <w:rFonts w:ascii="Calibri" w:hAnsi="Calibri" w:cs="Calibri"/>
          <w:sz w:val="22"/>
          <w:szCs w:val="22"/>
        </w:rPr>
        <w:t xml:space="preserve"> updated the Medicare Advantage component based on 2015 Medicare Advantage bids for products that serve (or would have served) potential Demonstration enrollees. </w:t>
      </w:r>
      <w:r w:rsidRPr="00E95B9B">
        <w:rPr>
          <w:rFonts w:ascii="Calibri" w:hAnsi="Calibri" w:cs="Calibri"/>
          <w:sz w:val="22"/>
          <w:szCs w:val="22"/>
        </w:rPr>
        <w:t xml:space="preserve"> </w:t>
      </w:r>
    </w:p>
    <w:p w14:paraId="5491AA19" w14:textId="77777777" w:rsidR="0028302E" w:rsidRDefault="0028302E" w:rsidP="00582B97">
      <w:pPr>
        <w:tabs>
          <w:tab w:val="left" w:pos="90"/>
        </w:tabs>
        <w:rPr>
          <w:rFonts w:ascii="Calibri" w:hAnsi="Calibri" w:cs="Calibri"/>
          <w:sz w:val="22"/>
          <w:szCs w:val="22"/>
        </w:rPr>
      </w:pPr>
    </w:p>
    <w:p w14:paraId="73376F39" w14:textId="1613E88F" w:rsidR="0028302E" w:rsidRPr="00A77C54" w:rsidRDefault="0028302E" w:rsidP="0028302E">
      <w:pPr>
        <w:tabs>
          <w:tab w:val="left" w:pos="90"/>
        </w:tabs>
        <w:rPr>
          <w:rFonts w:ascii="Calibri" w:hAnsi="Calibri" w:cs="Calibri"/>
          <w:sz w:val="22"/>
          <w:szCs w:val="22"/>
        </w:rPr>
      </w:pPr>
      <w:r w:rsidRPr="00BC6054">
        <w:rPr>
          <w:rFonts w:ascii="Calibri" w:hAnsi="Calibri" w:cs="Calibri"/>
          <w:sz w:val="22"/>
          <w:szCs w:val="22"/>
        </w:rPr>
        <w:t>CMS has increased the FFS component of the CY 2015 Medicare A/B rate by 5%</w:t>
      </w:r>
      <w:r w:rsidR="00887060" w:rsidRPr="00BC6054">
        <w:rPr>
          <w:rFonts w:ascii="Calibri" w:hAnsi="Calibri" w:cs="Calibri"/>
          <w:sz w:val="22"/>
          <w:szCs w:val="22"/>
        </w:rPr>
        <w:t xml:space="preserve"> for </w:t>
      </w:r>
      <w:r w:rsidR="00887060" w:rsidRPr="00BC6054">
        <w:rPr>
          <w:rFonts w:asciiTheme="minorHAnsi" w:hAnsiTheme="minorHAnsi"/>
          <w:sz w:val="22"/>
          <w:szCs w:val="22"/>
        </w:rPr>
        <w:t>One Care plans following execution of contract amendments</w:t>
      </w:r>
      <w:r w:rsidR="001E2366" w:rsidRPr="00BC6054">
        <w:rPr>
          <w:rFonts w:asciiTheme="minorHAnsi" w:hAnsiTheme="minorHAnsi"/>
          <w:sz w:val="22"/>
          <w:szCs w:val="22"/>
        </w:rPr>
        <w:t xml:space="preserve"> in December 2015</w:t>
      </w:r>
      <w:r w:rsidR="008E78FC" w:rsidRPr="00BC6054">
        <w:rPr>
          <w:rFonts w:asciiTheme="minorHAnsi" w:hAnsiTheme="minorHAnsi"/>
          <w:sz w:val="22"/>
          <w:szCs w:val="22"/>
        </w:rPr>
        <w:t>,</w:t>
      </w:r>
      <w:r w:rsidR="00887060" w:rsidRPr="00BC6054">
        <w:rPr>
          <w:rFonts w:asciiTheme="minorHAnsi" w:hAnsiTheme="minorHAnsi"/>
          <w:sz w:val="22"/>
          <w:szCs w:val="22"/>
        </w:rPr>
        <w:t xml:space="preserve"> and conditional upon continued participation in the demonstration through December 31, 2016</w:t>
      </w:r>
      <w:r w:rsidRPr="00BC6054">
        <w:rPr>
          <w:rFonts w:ascii="Calibri" w:hAnsi="Calibri" w:cs="Calibri"/>
          <w:sz w:val="22"/>
          <w:szCs w:val="22"/>
        </w:rPr>
        <w:t>,</w:t>
      </w:r>
      <w:r>
        <w:rPr>
          <w:rFonts w:ascii="Calibri" w:hAnsi="Calibri" w:cs="Calibri"/>
          <w:sz w:val="22"/>
          <w:szCs w:val="22"/>
        </w:rPr>
        <w:t xml:space="preserve"> reflecting the unique circumstances in Massachusetts and the One Care demonstration.  This adjustment will </w:t>
      </w:r>
      <w:r w:rsidR="00C26326">
        <w:rPr>
          <w:rFonts w:ascii="Calibri" w:hAnsi="Calibri" w:cs="Calibri"/>
          <w:sz w:val="22"/>
          <w:szCs w:val="22"/>
        </w:rPr>
        <w:t xml:space="preserve">be applicable for all 12 months of CY 2015 and will largely </w:t>
      </w:r>
      <w:r>
        <w:rPr>
          <w:rFonts w:ascii="Calibri" w:hAnsi="Calibri" w:cs="Calibri"/>
          <w:sz w:val="22"/>
          <w:szCs w:val="22"/>
        </w:rPr>
        <w:t xml:space="preserve">occur </w:t>
      </w:r>
      <w:r w:rsidR="00C1440F">
        <w:rPr>
          <w:rFonts w:ascii="Calibri" w:hAnsi="Calibri" w:cs="Calibri"/>
          <w:sz w:val="22"/>
          <w:szCs w:val="22"/>
        </w:rPr>
        <w:t xml:space="preserve">through </w:t>
      </w:r>
      <w:r>
        <w:rPr>
          <w:rFonts w:ascii="Calibri" w:hAnsi="Calibri" w:cs="Calibri"/>
          <w:sz w:val="22"/>
          <w:szCs w:val="22"/>
        </w:rPr>
        <w:t>retroactive payment adjustment</w:t>
      </w:r>
      <w:r w:rsidR="00C26326">
        <w:rPr>
          <w:rFonts w:ascii="Calibri" w:hAnsi="Calibri" w:cs="Calibri"/>
          <w:sz w:val="22"/>
          <w:szCs w:val="22"/>
        </w:rPr>
        <w:t>s</w:t>
      </w:r>
      <w:r>
        <w:rPr>
          <w:rFonts w:ascii="Calibri" w:hAnsi="Calibri" w:cs="Calibri"/>
          <w:sz w:val="22"/>
          <w:szCs w:val="22"/>
        </w:rPr>
        <w:t xml:space="preserve">. </w:t>
      </w:r>
    </w:p>
    <w:p w14:paraId="5909449D" w14:textId="77777777" w:rsidR="00283A75" w:rsidRPr="00A77C54" w:rsidRDefault="00283A75" w:rsidP="00C01D88">
      <w:pPr>
        <w:tabs>
          <w:tab w:val="left" w:pos="90"/>
        </w:tabs>
        <w:rPr>
          <w:rFonts w:ascii="Calibri" w:hAnsi="Calibri" w:cs="Calibri"/>
          <w:sz w:val="22"/>
          <w:szCs w:val="22"/>
        </w:rPr>
      </w:pPr>
    </w:p>
    <w:p w14:paraId="539A2907" w14:textId="77777777" w:rsidR="00283A75" w:rsidRDefault="00283A75" w:rsidP="00C01D88">
      <w:pPr>
        <w:tabs>
          <w:tab w:val="left" w:pos="90"/>
        </w:tabs>
        <w:rPr>
          <w:rFonts w:ascii="Calibri" w:hAnsi="Calibri" w:cs="Calibri"/>
          <w:sz w:val="22"/>
          <w:szCs w:val="22"/>
        </w:rPr>
      </w:pPr>
      <w:r w:rsidRPr="00A77C54">
        <w:rPr>
          <w:rFonts w:ascii="Calibri" w:hAnsi="Calibri" w:cs="Calibri"/>
          <w:sz w:val="22"/>
          <w:szCs w:val="22"/>
        </w:rPr>
        <w:t>The Medicare A/B component of the rate</w:t>
      </w:r>
      <w:r w:rsidR="00426533">
        <w:rPr>
          <w:rFonts w:ascii="Calibri" w:hAnsi="Calibri" w:cs="Calibri"/>
          <w:sz w:val="22"/>
          <w:szCs w:val="22"/>
        </w:rPr>
        <w:t xml:space="preserve"> </w:t>
      </w:r>
      <w:r w:rsidRPr="00A77C54">
        <w:rPr>
          <w:rFonts w:ascii="Calibri" w:hAnsi="Calibri" w:cs="Calibri"/>
          <w:sz w:val="22"/>
          <w:szCs w:val="22"/>
        </w:rPr>
        <w:t>include</w:t>
      </w:r>
      <w:r w:rsidR="00EF5214">
        <w:rPr>
          <w:rFonts w:ascii="Calibri" w:hAnsi="Calibri" w:cs="Calibri"/>
          <w:sz w:val="22"/>
          <w:szCs w:val="22"/>
        </w:rPr>
        <w:t>s</w:t>
      </w:r>
      <w:r w:rsidRPr="00A77C54">
        <w:rPr>
          <w:rFonts w:ascii="Calibri" w:hAnsi="Calibri" w:cs="Calibri"/>
          <w:sz w:val="22"/>
          <w:szCs w:val="22"/>
        </w:rPr>
        <w:t xml:space="preserve"> the following adjustment:</w:t>
      </w:r>
    </w:p>
    <w:p w14:paraId="5C24E442" w14:textId="77777777" w:rsidR="00A00354" w:rsidRDefault="00A00354" w:rsidP="00C01D88">
      <w:pPr>
        <w:tabs>
          <w:tab w:val="left" w:pos="90"/>
        </w:tabs>
        <w:rPr>
          <w:rFonts w:ascii="Calibri" w:hAnsi="Calibri" w:cs="Calibri"/>
          <w:sz w:val="22"/>
          <w:szCs w:val="22"/>
        </w:rPr>
      </w:pPr>
    </w:p>
    <w:p w14:paraId="0E559557" w14:textId="7A270261" w:rsidR="00A00354" w:rsidRPr="00CC699A" w:rsidRDefault="00972C61" w:rsidP="00A00354">
      <w:pPr>
        <w:numPr>
          <w:ilvl w:val="0"/>
          <w:numId w:val="2"/>
        </w:numPr>
        <w:rPr>
          <w:rFonts w:ascii="Calibri" w:hAnsi="Calibri" w:cs="Calibri"/>
          <w:sz w:val="22"/>
          <w:szCs w:val="22"/>
        </w:rPr>
      </w:pPr>
      <w:r>
        <w:rPr>
          <w:rFonts w:ascii="Calibri" w:hAnsi="Calibri" w:cs="Calibri"/>
          <w:sz w:val="22"/>
          <w:szCs w:val="22"/>
        </w:rPr>
        <w:t>T</w:t>
      </w:r>
      <w:r w:rsidR="00426533" w:rsidRPr="00CC699A">
        <w:rPr>
          <w:rFonts w:ascii="Calibri" w:hAnsi="Calibri" w:cs="Calibri"/>
          <w:sz w:val="22"/>
          <w:szCs w:val="22"/>
        </w:rPr>
        <w:t xml:space="preserve">he FFS component of the CY 2015 Medicare A/B baseline rate </w:t>
      </w:r>
      <w:r w:rsidR="00A00354" w:rsidRPr="00CC699A">
        <w:rPr>
          <w:rFonts w:ascii="Calibri" w:hAnsi="Calibri" w:cs="Calibri"/>
          <w:sz w:val="22"/>
          <w:szCs w:val="22"/>
        </w:rPr>
        <w:t>has been</w:t>
      </w:r>
      <w:r w:rsidR="00426533" w:rsidRPr="00CC699A">
        <w:rPr>
          <w:rFonts w:ascii="Calibri" w:hAnsi="Calibri" w:cs="Calibri"/>
          <w:sz w:val="22"/>
          <w:szCs w:val="22"/>
        </w:rPr>
        <w:t xml:space="preserve"> updated to reflect </w:t>
      </w:r>
      <w:r w:rsidR="00A00354" w:rsidRPr="00CC699A">
        <w:rPr>
          <w:rFonts w:ascii="Calibri" w:hAnsi="Calibri" w:cs="Calibri"/>
          <w:sz w:val="22"/>
          <w:szCs w:val="22"/>
        </w:rPr>
        <w:t xml:space="preserve">a </w:t>
      </w:r>
      <w:r w:rsidR="00313F8C" w:rsidRPr="00CC699A">
        <w:rPr>
          <w:rFonts w:ascii="Calibri" w:hAnsi="Calibri" w:cs="Calibri"/>
          <w:sz w:val="22"/>
          <w:szCs w:val="22"/>
        </w:rPr>
        <w:t>1.71</w:t>
      </w:r>
      <w:r w:rsidR="00A00354" w:rsidRPr="00CC699A">
        <w:rPr>
          <w:rFonts w:ascii="Calibri" w:hAnsi="Calibri" w:cs="Calibri"/>
          <w:sz w:val="22"/>
          <w:szCs w:val="22"/>
        </w:rPr>
        <w:t xml:space="preserve">% </w:t>
      </w:r>
      <w:r w:rsidR="00426533" w:rsidRPr="00CC699A">
        <w:rPr>
          <w:rFonts w:ascii="Calibri" w:hAnsi="Calibri" w:cs="Calibri"/>
          <w:sz w:val="22"/>
          <w:szCs w:val="22"/>
        </w:rPr>
        <w:t xml:space="preserve">upward adjustment to account for the disproportionate share of bad debt attributable to Medicare-Medicaid enrollees in Medicare FFS (in the absence of the Demonstration).  </w:t>
      </w:r>
      <w:r w:rsidR="00A00354" w:rsidRPr="00CC699A">
        <w:rPr>
          <w:rFonts w:ascii="Calibri" w:hAnsi="Calibri" w:cs="Calibri"/>
          <w:sz w:val="22"/>
          <w:szCs w:val="22"/>
        </w:rPr>
        <w:t xml:space="preserve">This </w:t>
      </w:r>
      <w:r w:rsidR="00313F8C" w:rsidRPr="00CC699A">
        <w:rPr>
          <w:rFonts w:ascii="Calibri" w:hAnsi="Calibri" w:cs="Calibri"/>
          <w:sz w:val="22"/>
          <w:szCs w:val="22"/>
        </w:rPr>
        <w:t>1.71</w:t>
      </w:r>
      <w:r w:rsidR="00A00354" w:rsidRPr="00CC699A">
        <w:rPr>
          <w:rFonts w:ascii="Calibri" w:hAnsi="Calibri" w:cs="Calibri"/>
          <w:sz w:val="22"/>
          <w:szCs w:val="22"/>
        </w:rPr>
        <w:t>% adjustment applies for CY 2015 and will be updated for subsequent years of the Demonstration.</w:t>
      </w:r>
      <w:r w:rsidR="00A00354" w:rsidRPr="00CC699A">
        <w:rPr>
          <w:rFonts w:asciiTheme="minorHAnsi" w:hAnsiTheme="minorHAnsi" w:cstheme="minorHAnsi"/>
          <w:sz w:val="20"/>
          <w:szCs w:val="20"/>
        </w:rPr>
        <w:t xml:space="preserve">  </w:t>
      </w:r>
    </w:p>
    <w:p w14:paraId="044EEA86" w14:textId="77777777" w:rsidR="00283A75" w:rsidRPr="00A77C54" w:rsidRDefault="00283A75" w:rsidP="00972C61">
      <w:pPr>
        <w:rPr>
          <w:rFonts w:ascii="Calibri" w:hAnsi="Calibri" w:cs="Calibri"/>
          <w:sz w:val="22"/>
          <w:szCs w:val="22"/>
        </w:rPr>
      </w:pPr>
    </w:p>
    <w:p w14:paraId="6287C7D5" w14:textId="77777777" w:rsidR="00972C61" w:rsidRPr="003F2879" w:rsidRDefault="00972C61" w:rsidP="00972C61">
      <w:pPr>
        <w:tabs>
          <w:tab w:val="left" w:pos="90"/>
        </w:tabs>
        <w:rPr>
          <w:rFonts w:ascii="Calibri" w:hAnsi="Calibri" w:cs="Calibri"/>
          <w:sz w:val="22"/>
          <w:szCs w:val="22"/>
        </w:rPr>
      </w:pPr>
      <w:r w:rsidRPr="003F2879">
        <w:rPr>
          <w:rFonts w:ascii="Calibri" w:hAnsi="Calibri" w:cs="Calibri"/>
          <w:sz w:val="22"/>
          <w:szCs w:val="22"/>
        </w:rPr>
        <w:lastRenderedPageBreak/>
        <w:t>The FFS component of the CY 201</w:t>
      </w:r>
      <w:r>
        <w:rPr>
          <w:rFonts w:ascii="Calibri" w:hAnsi="Calibri" w:cs="Calibri"/>
          <w:sz w:val="22"/>
          <w:szCs w:val="22"/>
        </w:rPr>
        <w:t>5</w:t>
      </w:r>
      <w:r w:rsidRPr="003F2879">
        <w:rPr>
          <w:rFonts w:ascii="Calibri" w:hAnsi="Calibri" w:cs="Calibri"/>
          <w:sz w:val="22"/>
          <w:szCs w:val="22"/>
        </w:rPr>
        <w:t xml:space="preserve"> Medicare A/B baseline rates has been updated to fully incorporate the most current hospital wage index and physician geographic practice cost index. </w:t>
      </w:r>
      <w:r>
        <w:rPr>
          <w:rFonts w:ascii="Calibri" w:hAnsi="Calibri" w:cs="Calibri"/>
          <w:sz w:val="22"/>
          <w:szCs w:val="22"/>
        </w:rPr>
        <w:t>In contrast to One Care rate-setting for 2014, when CMS made an adjustment specific to One Care, these adjustments are fully included in the 2015 standardized FFS county rates. As such, no One Care-specific adjustment is necessary for 2015.</w:t>
      </w:r>
    </w:p>
    <w:p w14:paraId="0E0A1637" w14:textId="77777777" w:rsidR="00972C61" w:rsidRDefault="00972C61" w:rsidP="00894F6B">
      <w:pPr>
        <w:autoSpaceDE w:val="0"/>
        <w:autoSpaceDN w:val="0"/>
        <w:adjustRightInd w:val="0"/>
        <w:rPr>
          <w:rFonts w:ascii="Calibri" w:hAnsi="Calibri" w:cs="Calibri"/>
          <w:i/>
          <w:sz w:val="22"/>
          <w:szCs w:val="22"/>
        </w:rPr>
      </w:pPr>
    </w:p>
    <w:p w14:paraId="3402FBAC" w14:textId="77777777" w:rsidR="00894F6B" w:rsidRPr="00104B3C" w:rsidRDefault="00894F6B" w:rsidP="00894F6B">
      <w:pPr>
        <w:autoSpaceDE w:val="0"/>
        <w:autoSpaceDN w:val="0"/>
        <w:adjustRightInd w:val="0"/>
        <w:rPr>
          <w:rFonts w:ascii="Calibri" w:hAnsi="Calibri" w:cs="Calibri"/>
          <w:color w:val="000000"/>
          <w:sz w:val="22"/>
          <w:szCs w:val="22"/>
          <w:highlight w:val="yellow"/>
        </w:rPr>
      </w:pPr>
      <w:r w:rsidRPr="00104B3C">
        <w:rPr>
          <w:rFonts w:ascii="Calibri" w:hAnsi="Calibri" w:cs="Calibri"/>
          <w:i/>
          <w:sz w:val="22"/>
          <w:szCs w:val="22"/>
        </w:rPr>
        <w:t xml:space="preserve">Coding Intensity Adjustment: </w:t>
      </w:r>
      <w:r w:rsidRPr="00104B3C">
        <w:rPr>
          <w:rFonts w:ascii="Calibri" w:hAnsi="Calibri" w:cs="Calibri"/>
          <w:sz w:val="22"/>
          <w:szCs w:val="22"/>
        </w:rPr>
        <w:t xml:space="preserve">CMS annually applies a coding intensity factor to Medicare Advantage risk scores to account </w:t>
      </w:r>
      <w:r w:rsidRPr="00104B3C">
        <w:rPr>
          <w:rFonts w:ascii="Calibri" w:hAnsi="Calibri" w:cs="Calibri"/>
          <w:color w:val="000000"/>
          <w:sz w:val="22"/>
          <w:szCs w:val="22"/>
        </w:rPr>
        <w:t xml:space="preserve">for differences in diagnosis coding patterns between the Medicare Advantage and the Original Fee-for-Service Medicare programs. The adjustment for CY 2015 </w:t>
      </w:r>
      <w:r w:rsidR="001C5D72">
        <w:rPr>
          <w:rFonts w:ascii="Calibri" w:hAnsi="Calibri" w:cs="Calibri"/>
          <w:color w:val="000000"/>
          <w:sz w:val="22"/>
          <w:szCs w:val="22"/>
        </w:rPr>
        <w:t xml:space="preserve">in Medicare Advantage </w:t>
      </w:r>
      <w:r w:rsidRPr="00104B3C">
        <w:rPr>
          <w:rFonts w:ascii="Calibri" w:hAnsi="Calibri" w:cs="Calibri"/>
          <w:color w:val="000000"/>
          <w:sz w:val="22"/>
          <w:szCs w:val="22"/>
        </w:rPr>
        <w:t xml:space="preserve">is 5.16%. For CY 2014, based on the special enrollment processes for </w:t>
      </w:r>
      <w:r>
        <w:rPr>
          <w:rFonts w:ascii="Calibri" w:hAnsi="Calibri" w:cs="Calibri"/>
          <w:color w:val="000000"/>
          <w:sz w:val="22"/>
          <w:szCs w:val="22"/>
        </w:rPr>
        <w:t>One Care</w:t>
      </w:r>
      <w:r w:rsidRPr="00104B3C">
        <w:rPr>
          <w:rFonts w:ascii="Calibri" w:hAnsi="Calibri" w:cs="Calibri"/>
          <w:color w:val="000000"/>
          <w:sz w:val="22"/>
          <w:szCs w:val="22"/>
        </w:rPr>
        <w:t xml:space="preserve">, CMS established the FFS component of the Medicare A/B baseline in a manner that did not lead to lower amounts due to this coding intensity adjustment.  </w:t>
      </w:r>
    </w:p>
    <w:p w14:paraId="717DB818" w14:textId="77777777" w:rsidR="00894F6B" w:rsidRPr="00104B3C" w:rsidRDefault="00894F6B" w:rsidP="00894F6B">
      <w:pPr>
        <w:autoSpaceDE w:val="0"/>
        <w:autoSpaceDN w:val="0"/>
        <w:adjustRightInd w:val="0"/>
        <w:rPr>
          <w:rFonts w:ascii="Calibri" w:hAnsi="Calibri" w:cs="Calibri"/>
          <w:color w:val="000000"/>
          <w:sz w:val="22"/>
          <w:szCs w:val="22"/>
          <w:highlight w:val="yellow"/>
        </w:rPr>
      </w:pPr>
    </w:p>
    <w:p w14:paraId="7F0C5CE9" w14:textId="77777777" w:rsidR="00894F6B" w:rsidRPr="00737A4F" w:rsidRDefault="00894F6B" w:rsidP="00894F6B">
      <w:pPr>
        <w:autoSpaceDE w:val="0"/>
        <w:autoSpaceDN w:val="0"/>
        <w:adjustRightInd w:val="0"/>
        <w:rPr>
          <w:rFonts w:asciiTheme="minorHAnsi" w:hAnsiTheme="minorHAnsi" w:cstheme="minorHAnsi"/>
          <w:color w:val="000000"/>
          <w:sz w:val="22"/>
          <w:szCs w:val="22"/>
        </w:rPr>
      </w:pPr>
      <w:r w:rsidRPr="00972C61">
        <w:rPr>
          <w:rFonts w:asciiTheme="minorHAnsi" w:hAnsiTheme="minorHAnsi" w:cstheme="minorHAnsi"/>
          <w:sz w:val="22"/>
          <w:szCs w:val="22"/>
        </w:rPr>
        <w:t xml:space="preserve">As described in the three-way contract, in CY 2015 CMS </w:t>
      </w:r>
      <w:r w:rsidR="001C5D72">
        <w:rPr>
          <w:rFonts w:asciiTheme="minorHAnsi" w:hAnsiTheme="minorHAnsi" w:cstheme="minorHAnsi"/>
          <w:sz w:val="22"/>
          <w:szCs w:val="22"/>
        </w:rPr>
        <w:t xml:space="preserve">will apply </w:t>
      </w:r>
      <w:r w:rsidRPr="00972C61">
        <w:rPr>
          <w:rFonts w:asciiTheme="minorHAnsi" w:hAnsiTheme="minorHAnsi" w:cstheme="minorHAnsi"/>
          <w:sz w:val="22"/>
          <w:szCs w:val="22"/>
        </w:rPr>
        <w:t xml:space="preserve">a coding intensity adjustment based on the anticipated proportion of Demonstration enrollees in CY 2015 with prior Medicare Advantage </w:t>
      </w:r>
      <w:r w:rsidRPr="001406EE">
        <w:rPr>
          <w:rFonts w:asciiTheme="minorHAnsi" w:hAnsiTheme="minorHAnsi" w:cstheme="minorHAnsi"/>
          <w:sz w:val="22"/>
          <w:szCs w:val="22"/>
        </w:rPr>
        <w:t xml:space="preserve">experience and/or Demonstration experience based on the Demonstration’s enrollment phase-in as of September 30, 2014. </w:t>
      </w:r>
      <w:r w:rsidR="004E06A0">
        <w:rPr>
          <w:rFonts w:asciiTheme="minorHAnsi" w:hAnsiTheme="minorHAnsi" w:cstheme="minorHAnsi"/>
          <w:sz w:val="22"/>
          <w:szCs w:val="22"/>
        </w:rPr>
        <w:t>CMS’</w:t>
      </w:r>
      <w:r w:rsidR="001C5D72">
        <w:rPr>
          <w:rFonts w:asciiTheme="minorHAnsi" w:hAnsiTheme="minorHAnsi" w:cstheme="minorHAnsi"/>
          <w:sz w:val="22"/>
          <w:szCs w:val="22"/>
        </w:rPr>
        <w:t xml:space="preserve"> calculations take into account planned passive enrollment and rates of opt-out and engagement in the passive enrollment process. F</w:t>
      </w:r>
      <w:r w:rsidRPr="00972C61">
        <w:rPr>
          <w:rFonts w:asciiTheme="minorHAnsi" w:hAnsiTheme="minorHAnsi" w:cstheme="minorHAnsi"/>
          <w:sz w:val="22"/>
          <w:szCs w:val="22"/>
        </w:rPr>
        <w:t xml:space="preserve">or </w:t>
      </w:r>
      <w:r w:rsidRPr="001406EE">
        <w:rPr>
          <w:rFonts w:asciiTheme="minorHAnsi" w:hAnsiTheme="minorHAnsi" w:cstheme="minorHAnsi"/>
          <w:sz w:val="22"/>
          <w:szCs w:val="22"/>
        </w:rPr>
        <w:t xml:space="preserve">One Care, the </w:t>
      </w:r>
      <w:r w:rsidR="00972C61" w:rsidRPr="00972C61">
        <w:rPr>
          <w:rFonts w:asciiTheme="minorHAnsi" w:hAnsiTheme="minorHAnsi" w:cstheme="minorHAnsi"/>
          <w:sz w:val="22"/>
          <w:szCs w:val="22"/>
        </w:rPr>
        <w:t xml:space="preserve">applicable </w:t>
      </w:r>
      <w:r w:rsidRPr="00972C61">
        <w:rPr>
          <w:rFonts w:asciiTheme="minorHAnsi" w:hAnsiTheme="minorHAnsi" w:cstheme="minorHAnsi"/>
          <w:sz w:val="22"/>
          <w:szCs w:val="22"/>
        </w:rPr>
        <w:t>2015 coding intensity adjustment</w:t>
      </w:r>
      <w:r w:rsidR="00972C61" w:rsidRPr="00972C61">
        <w:rPr>
          <w:rFonts w:asciiTheme="minorHAnsi" w:hAnsiTheme="minorHAnsi" w:cstheme="minorHAnsi"/>
          <w:sz w:val="22"/>
          <w:szCs w:val="22"/>
        </w:rPr>
        <w:t xml:space="preserve"> is 2.71</w:t>
      </w:r>
      <w:r w:rsidRPr="00972C61">
        <w:rPr>
          <w:rFonts w:asciiTheme="minorHAnsi" w:hAnsiTheme="minorHAnsi" w:cstheme="minorHAnsi"/>
          <w:sz w:val="22"/>
          <w:szCs w:val="22"/>
        </w:rPr>
        <w:t>%.</w:t>
      </w:r>
    </w:p>
    <w:p w14:paraId="185561F0" w14:textId="77777777" w:rsidR="00894F6B" w:rsidRDefault="00894F6B" w:rsidP="00894F6B">
      <w:pPr>
        <w:autoSpaceDE w:val="0"/>
        <w:autoSpaceDN w:val="0"/>
        <w:adjustRightInd w:val="0"/>
        <w:rPr>
          <w:rFonts w:ascii="Calibri" w:hAnsi="Calibri"/>
          <w:color w:val="000000"/>
          <w:sz w:val="22"/>
        </w:rPr>
      </w:pPr>
    </w:p>
    <w:p w14:paraId="1E9B0171" w14:textId="77777777" w:rsidR="00894F6B" w:rsidRDefault="00894F6B" w:rsidP="00894F6B">
      <w:pPr>
        <w:autoSpaceDE w:val="0"/>
        <w:autoSpaceDN w:val="0"/>
        <w:adjustRightInd w:val="0"/>
        <w:rPr>
          <w:rFonts w:ascii="Calibri" w:hAnsi="Calibri" w:cs="Calibri"/>
          <w:color w:val="000000"/>
          <w:sz w:val="22"/>
          <w:szCs w:val="22"/>
        </w:rPr>
      </w:pPr>
      <w:r w:rsidRPr="00A77C54">
        <w:rPr>
          <w:rFonts w:ascii="Calibri" w:hAnsi="Calibri" w:cs="Calibri"/>
          <w:color w:val="000000"/>
          <w:sz w:val="22"/>
          <w:szCs w:val="22"/>
        </w:rPr>
        <w:t xml:space="preserve">Operationally, due to systems limitations, CMS will still apply the </w:t>
      </w:r>
      <w:r>
        <w:rPr>
          <w:rFonts w:ascii="Calibri" w:hAnsi="Calibri" w:cs="Calibri"/>
          <w:color w:val="000000"/>
          <w:sz w:val="22"/>
          <w:szCs w:val="22"/>
        </w:rPr>
        <w:t xml:space="preserve">full </w:t>
      </w:r>
      <w:r w:rsidRPr="00A77C54">
        <w:rPr>
          <w:rFonts w:ascii="Calibri" w:hAnsi="Calibri" w:cs="Calibri"/>
          <w:color w:val="000000"/>
          <w:sz w:val="22"/>
          <w:szCs w:val="22"/>
        </w:rPr>
        <w:t xml:space="preserve">coding intensity adjustment factor to the risk scores but </w:t>
      </w:r>
      <w:r w:rsidR="009A3FEF">
        <w:rPr>
          <w:rFonts w:ascii="Calibri" w:hAnsi="Calibri" w:cs="Calibri"/>
          <w:color w:val="000000"/>
          <w:sz w:val="22"/>
          <w:szCs w:val="22"/>
        </w:rPr>
        <w:t>has</w:t>
      </w:r>
      <w:r w:rsidRPr="00A77C54">
        <w:rPr>
          <w:rFonts w:ascii="Calibri" w:hAnsi="Calibri" w:cs="Calibri"/>
          <w:color w:val="000000"/>
          <w:sz w:val="22"/>
          <w:szCs w:val="22"/>
        </w:rPr>
        <w:t xml:space="preserve"> increase</w:t>
      </w:r>
      <w:r w:rsidR="009A3FEF">
        <w:rPr>
          <w:rFonts w:ascii="Calibri" w:hAnsi="Calibri" w:cs="Calibri"/>
          <w:color w:val="000000"/>
          <w:sz w:val="22"/>
          <w:szCs w:val="22"/>
        </w:rPr>
        <w:t>d</w:t>
      </w:r>
      <w:r w:rsidRPr="00A77C54">
        <w:rPr>
          <w:rFonts w:ascii="Calibri" w:hAnsi="Calibri" w:cs="Calibri"/>
          <w:color w:val="000000"/>
          <w:sz w:val="22"/>
          <w:szCs w:val="22"/>
        </w:rPr>
        <w:t xml:space="preserve"> the </w:t>
      </w:r>
      <w:r>
        <w:rPr>
          <w:rFonts w:ascii="Calibri" w:hAnsi="Calibri" w:cs="Calibri"/>
          <w:color w:val="000000"/>
          <w:sz w:val="22"/>
          <w:szCs w:val="22"/>
        </w:rPr>
        <w:t xml:space="preserve">FFS component of the </w:t>
      </w:r>
      <w:r w:rsidRPr="00A77C54">
        <w:rPr>
          <w:rFonts w:ascii="Calibri" w:hAnsi="Calibri" w:cs="Calibri"/>
          <w:color w:val="000000"/>
          <w:sz w:val="22"/>
          <w:szCs w:val="22"/>
        </w:rPr>
        <w:t>Medicare A/B baseline for non-ESRD beneficiaries and</w:t>
      </w:r>
      <w:r>
        <w:rPr>
          <w:rFonts w:ascii="Calibri" w:hAnsi="Calibri" w:cs="Calibri"/>
          <w:color w:val="000000"/>
          <w:sz w:val="22"/>
          <w:szCs w:val="22"/>
        </w:rPr>
        <w:t xml:space="preserve"> the Medicare A/B baseline</w:t>
      </w:r>
      <w:r w:rsidRPr="00A77C54">
        <w:rPr>
          <w:rFonts w:ascii="Calibri" w:hAnsi="Calibri" w:cs="Calibri"/>
          <w:color w:val="000000"/>
          <w:sz w:val="22"/>
          <w:szCs w:val="22"/>
        </w:rPr>
        <w:t xml:space="preserve"> for beneficiaries with an ESRD status of functioning graft to</w:t>
      </w:r>
      <w:r>
        <w:rPr>
          <w:rFonts w:ascii="Calibri" w:hAnsi="Calibri" w:cs="Calibri"/>
          <w:color w:val="000000"/>
          <w:sz w:val="22"/>
          <w:szCs w:val="22"/>
        </w:rPr>
        <w:t xml:space="preserve"> offset this (by increasing these amounts </w:t>
      </w:r>
      <w:r w:rsidRPr="00A77C54">
        <w:rPr>
          <w:rFonts w:ascii="Calibri" w:hAnsi="Calibri" w:cs="Calibri"/>
          <w:color w:val="000000"/>
          <w:sz w:val="22"/>
          <w:szCs w:val="22"/>
        </w:rPr>
        <w:t xml:space="preserve">by a corresponding percentage). The coding intensity factor will not be applied to risk scores for enrollees with an ESRD status of dialysis or transplant during the Demonstration, consistent with Medicare Advantage policy. </w:t>
      </w:r>
    </w:p>
    <w:p w14:paraId="3B9309F1" w14:textId="77777777" w:rsidR="00894F6B" w:rsidRPr="00A77C54" w:rsidRDefault="00894F6B" w:rsidP="00894F6B">
      <w:pPr>
        <w:autoSpaceDE w:val="0"/>
        <w:autoSpaceDN w:val="0"/>
        <w:adjustRightInd w:val="0"/>
        <w:rPr>
          <w:rFonts w:ascii="Calibri" w:hAnsi="Calibri"/>
          <w:color w:val="000000"/>
          <w:sz w:val="22"/>
        </w:rPr>
      </w:pPr>
    </w:p>
    <w:p w14:paraId="12F13DBE" w14:textId="77777777" w:rsidR="00894F6B" w:rsidRPr="00774E26" w:rsidRDefault="00894F6B" w:rsidP="00894F6B">
      <w:pPr>
        <w:rPr>
          <w:rFonts w:asciiTheme="minorHAnsi" w:hAnsiTheme="minorHAnsi" w:cstheme="minorHAnsi"/>
          <w:color w:val="000000"/>
          <w:sz w:val="22"/>
          <w:szCs w:val="22"/>
        </w:rPr>
      </w:pPr>
      <w:r w:rsidRPr="00104B3C">
        <w:rPr>
          <w:rFonts w:asciiTheme="minorHAnsi" w:hAnsiTheme="minorHAnsi" w:cstheme="minorHAnsi"/>
          <w:color w:val="000000"/>
          <w:sz w:val="22"/>
          <w:szCs w:val="22"/>
        </w:rPr>
        <w:t>After 2015, CMS plans to apply the full prevailing Medicare Advantage coding intensity adjustment.</w:t>
      </w:r>
      <w:r w:rsidRPr="00774E26">
        <w:rPr>
          <w:rFonts w:asciiTheme="minorHAnsi" w:hAnsiTheme="minorHAnsi" w:cstheme="minorHAnsi"/>
          <w:color w:val="000000"/>
          <w:sz w:val="22"/>
          <w:szCs w:val="22"/>
        </w:rPr>
        <w:t xml:space="preserve">   </w:t>
      </w:r>
    </w:p>
    <w:p w14:paraId="4BDA57AC" w14:textId="77777777" w:rsidR="00283A75" w:rsidRPr="00A77C54" w:rsidRDefault="00283A75" w:rsidP="00C01D88">
      <w:pPr>
        <w:autoSpaceDE w:val="0"/>
        <w:autoSpaceDN w:val="0"/>
        <w:adjustRightInd w:val="0"/>
        <w:rPr>
          <w:rFonts w:ascii="Calibri" w:hAnsi="Calibri" w:cs="Calibri"/>
          <w:color w:val="000000"/>
          <w:sz w:val="22"/>
          <w:szCs w:val="22"/>
        </w:rPr>
      </w:pPr>
    </w:p>
    <w:p w14:paraId="12623D6D" w14:textId="77777777" w:rsidR="00283A75" w:rsidRPr="00A77C54" w:rsidRDefault="00283A75" w:rsidP="00C01D88">
      <w:pPr>
        <w:rPr>
          <w:rFonts w:ascii="Calibri" w:hAnsi="Calibri" w:cs="Calibri"/>
          <w:strike/>
          <w:sz w:val="22"/>
          <w:szCs w:val="22"/>
        </w:rPr>
      </w:pPr>
      <w:r w:rsidRPr="00A77C54">
        <w:rPr>
          <w:rFonts w:ascii="Calibri" w:hAnsi="Calibri" w:cs="Calibri"/>
          <w:bCs/>
          <w:i/>
          <w:sz w:val="22"/>
          <w:szCs w:val="22"/>
        </w:rPr>
        <w:t>Impact of Sequestration</w:t>
      </w:r>
      <w:r w:rsidRPr="00A77C54">
        <w:rPr>
          <w:rFonts w:ascii="Calibri" w:hAnsi="Calibri" w:cs="Calibri"/>
          <w:bCs/>
          <w:sz w:val="22"/>
          <w:szCs w:val="22"/>
        </w:rPr>
        <w:t>:</w:t>
      </w:r>
      <w:r w:rsidRPr="00A77C54">
        <w:rPr>
          <w:rFonts w:ascii="Calibri" w:hAnsi="Calibri" w:cs="Calibri"/>
          <w:b/>
          <w:bCs/>
          <w:sz w:val="22"/>
          <w:szCs w:val="22"/>
        </w:rPr>
        <w:t xml:space="preserve"> </w:t>
      </w:r>
      <w:r w:rsidRPr="00A77C54">
        <w:rPr>
          <w:rFonts w:ascii="Calibri" w:hAnsi="Calibri" w:cs="Calibri"/>
          <w:sz w:val="22"/>
          <w:szCs w:val="22"/>
        </w:rPr>
        <w:t xml:space="preserve">Under sequestration, for services beginning April 1, 2013, Medicare payments to providers for individual services under Medicare Parts A and B, and non-exempt portions of capitated payments to Part C Medicare Advantage Plans and Part D Medicare Prescription Drug Plans are reduced by 2%.  These reductions are also applied to the Medicare components of the </w:t>
      </w:r>
      <w:r>
        <w:rPr>
          <w:rFonts w:ascii="Calibri" w:hAnsi="Calibri" w:cs="Calibri"/>
          <w:sz w:val="22"/>
          <w:szCs w:val="22"/>
        </w:rPr>
        <w:t xml:space="preserve">integrated rate. Therefore, under the Demonstration, </w:t>
      </w:r>
      <w:r w:rsidRPr="00A77C54">
        <w:rPr>
          <w:rFonts w:ascii="Calibri" w:hAnsi="Calibri" w:cs="Calibri"/>
          <w:sz w:val="22"/>
          <w:szCs w:val="22"/>
        </w:rPr>
        <w:t>CMS will reduce non-exempt portions of the Medicare components by 2%, as noted in the sections below.   </w:t>
      </w:r>
      <w:r w:rsidRPr="00A77C54">
        <w:rPr>
          <w:rFonts w:ascii="Calibri" w:hAnsi="Calibri" w:cs="Calibri"/>
          <w:strike/>
          <w:sz w:val="22"/>
          <w:szCs w:val="22"/>
        </w:rPr>
        <w:t xml:space="preserve"> </w:t>
      </w:r>
    </w:p>
    <w:p w14:paraId="5DDB2D34" w14:textId="77777777" w:rsidR="00283A75" w:rsidRDefault="00283A75" w:rsidP="00C01D88">
      <w:pPr>
        <w:rPr>
          <w:rFonts w:ascii="Calibri" w:hAnsi="Calibri" w:cs="Calibri"/>
          <w:strike/>
          <w:sz w:val="22"/>
          <w:szCs w:val="22"/>
        </w:rPr>
      </w:pPr>
    </w:p>
    <w:p w14:paraId="3C61FCFB" w14:textId="77777777" w:rsidR="00BE2B5B" w:rsidRDefault="00283A75" w:rsidP="003013E0">
      <w:pPr>
        <w:rPr>
          <w:rFonts w:ascii="Calibri" w:hAnsi="Calibri" w:cs="Calibri"/>
          <w:color w:val="000000"/>
          <w:sz w:val="22"/>
          <w:szCs w:val="22"/>
        </w:rPr>
        <w:sectPr w:rsidR="00BE2B5B" w:rsidSect="003C322B">
          <w:headerReference w:type="default" r:id="rId9"/>
          <w:footerReference w:type="default" r:id="rId10"/>
          <w:pgSz w:w="12240" w:h="15840"/>
          <w:pgMar w:top="1980" w:right="1440" w:bottom="1260" w:left="1800" w:header="720" w:footer="720" w:gutter="0"/>
          <w:cols w:space="720"/>
          <w:docGrid w:linePitch="360"/>
        </w:sectPr>
      </w:pPr>
      <w:r w:rsidRPr="00F51B5F">
        <w:rPr>
          <w:rFonts w:ascii="Calibri" w:hAnsi="Calibri" w:cs="Calibri"/>
          <w:i/>
          <w:color w:val="000000"/>
          <w:sz w:val="22"/>
          <w:szCs w:val="22"/>
        </w:rPr>
        <w:t xml:space="preserve">Default Rate: </w:t>
      </w:r>
      <w:r w:rsidRPr="00F51B5F">
        <w:rPr>
          <w:rFonts w:ascii="Calibri" w:hAnsi="Calibri" w:cs="Calibri"/>
          <w:color w:val="000000"/>
          <w:sz w:val="22"/>
          <w:szCs w:val="22"/>
        </w:rPr>
        <w:t xml:space="preserve"> The default rate will be paid when a beneficiary’s address on record is outside of the service area. The default rate is</w:t>
      </w:r>
      <w:r w:rsidR="00F51B5F" w:rsidRPr="00F51B5F">
        <w:rPr>
          <w:rFonts w:ascii="Calibri" w:hAnsi="Calibri" w:cs="Calibri"/>
          <w:color w:val="000000"/>
          <w:sz w:val="22"/>
          <w:szCs w:val="22"/>
        </w:rPr>
        <w:t xml:space="preserve"> specific to each One Care Plan</w:t>
      </w:r>
      <w:r w:rsidRPr="00F51B5F">
        <w:rPr>
          <w:rFonts w:ascii="Calibri" w:hAnsi="Calibri" w:cs="Calibri"/>
          <w:color w:val="000000"/>
          <w:sz w:val="22"/>
          <w:szCs w:val="22"/>
        </w:rPr>
        <w:t xml:space="preserve"> and is calculated using an enrollment-weighted average of the rates for each county </w:t>
      </w:r>
      <w:r w:rsidR="00F51B5F" w:rsidRPr="00F51B5F">
        <w:rPr>
          <w:rFonts w:ascii="Calibri" w:hAnsi="Calibri" w:cs="Calibri"/>
          <w:color w:val="000000"/>
          <w:sz w:val="22"/>
          <w:szCs w:val="22"/>
        </w:rPr>
        <w:t>in which the One Care Plan participates</w:t>
      </w:r>
      <w:r w:rsidRPr="00F51B5F">
        <w:rPr>
          <w:rFonts w:ascii="Calibri" w:hAnsi="Calibri" w:cs="Calibri"/>
          <w:color w:val="000000"/>
          <w:sz w:val="22"/>
          <w:szCs w:val="22"/>
        </w:rPr>
        <w:t>.</w:t>
      </w:r>
    </w:p>
    <w:tbl>
      <w:tblPr>
        <w:tblW w:w="12975" w:type="dxa"/>
        <w:tblInd w:w="93" w:type="dxa"/>
        <w:tblLook w:val="04A0" w:firstRow="1" w:lastRow="0" w:firstColumn="1" w:lastColumn="0" w:noHBand="0" w:noVBand="1"/>
      </w:tblPr>
      <w:tblGrid>
        <w:gridCol w:w="1442"/>
        <w:gridCol w:w="1718"/>
        <w:gridCol w:w="1750"/>
        <w:gridCol w:w="1586"/>
        <w:gridCol w:w="1898"/>
        <w:gridCol w:w="2168"/>
        <w:gridCol w:w="2413"/>
      </w:tblGrid>
      <w:tr w:rsidR="002A79D2" w:rsidRPr="002A79D2" w14:paraId="3DDCB0CB" w14:textId="77777777" w:rsidTr="00E95C0C">
        <w:trPr>
          <w:trHeight w:val="278"/>
        </w:trPr>
        <w:tc>
          <w:tcPr>
            <w:tcW w:w="12975" w:type="dxa"/>
            <w:gridSpan w:val="7"/>
            <w:tcBorders>
              <w:top w:val="single" w:sz="4" w:space="0" w:color="auto"/>
              <w:left w:val="single" w:sz="4" w:space="0" w:color="auto"/>
              <w:bottom w:val="single" w:sz="4" w:space="0" w:color="auto"/>
              <w:right w:val="single" w:sz="4" w:space="0" w:color="auto"/>
            </w:tcBorders>
            <w:shd w:val="clear" w:color="auto" w:fill="auto"/>
            <w:noWrap/>
            <w:hideMark/>
          </w:tcPr>
          <w:p w14:paraId="163301E7" w14:textId="77777777" w:rsidR="002A79D2" w:rsidRPr="002A79D2" w:rsidRDefault="002A79D2" w:rsidP="002A79D2">
            <w:pPr>
              <w:rPr>
                <w:rFonts w:ascii="Calibri" w:hAnsi="Calibri" w:cs="Calibri"/>
                <w:b/>
                <w:bCs/>
                <w:color w:val="000000"/>
                <w:sz w:val="22"/>
                <w:szCs w:val="22"/>
              </w:rPr>
            </w:pPr>
            <w:r w:rsidRPr="002A79D2">
              <w:rPr>
                <w:rFonts w:ascii="Calibri" w:hAnsi="Calibri" w:cs="Calibri"/>
                <w:b/>
                <w:bCs/>
                <w:color w:val="000000"/>
                <w:sz w:val="22"/>
                <w:szCs w:val="22"/>
              </w:rPr>
              <w:lastRenderedPageBreak/>
              <w:t>2015 Medicare A/B Baseline PMPM, Non-ESRD Beneficiaries, Standardized 1.0 Risk Score, by Demonstration County</w:t>
            </w:r>
            <w:r w:rsidR="00EE63B2" w:rsidRPr="00EE63B2">
              <w:rPr>
                <w:rFonts w:ascii="Calibri" w:hAnsi="Calibri" w:cs="Calibri"/>
                <w:b/>
                <w:bCs/>
                <w:color w:val="000000"/>
                <w:sz w:val="22"/>
                <w:szCs w:val="22"/>
                <w:vertAlign w:val="superscript"/>
              </w:rPr>
              <w:t>1</w:t>
            </w:r>
            <w:r w:rsidRPr="002A79D2">
              <w:rPr>
                <w:rFonts w:ascii="Calibri" w:hAnsi="Calibri" w:cs="Calibri"/>
                <w:b/>
                <w:bCs/>
                <w:color w:val="000000"/>
                <w:sz w:val="22"/>
                <w:szCs w:val="22"/>
              </w:rPr>
              <w:t xml:space="preserve"> </w:t>
            </w:r>
          </w:p>
        </w:tc>
      </w:tr>
      <w:tr w:rsidR="00E95C0C" w:rsidRPr="002A79D2" w14:paraId="1B454CF8" w14:textId="77777777" w:rsidTr="00E95C0C">
        <w:trPr>
          <w:trHeight w:val="2735"/>
        </w:trPr>
        <w:tc>
          <w:tcPr>
            <w:tcW w:w="1442" w:type="dxa"/>
            <w:tcBorders>
              <w:top w:val="nil"/>
              <w:left w:val="single" w:sz="4" w:space="0" w:color="auto"/>
              <w:bottom w:val="nil"/>
              <w:right w:val="single" w:sz="4" w:space="0" w:color="auto"/>
            </w:tcBorders>
            <w:shd w:val="clear" w:color="auto" w:fill="auto"/>
            <w:hideMark/>
          </w:tcPr>
          <w:p w14:paraId="56772639" w14:textId="77777777" w:rsidR="00E95C0C" w:rsidRPr="002A79D2" w:rsidRDefault="00E95C0C" w:rsidP="00C1440F">
            <w:pPr>
              <w:rPr>
                <w:rFonts w:ascii="Calibri" w:hAnsi="Calibri" w:cs="Calibri"/>
                <w:b/>
                <w:bCs/>
                <w:color w:val="000000"/>
                <w:sz w:val="22"/>
                <w:szCs w:val="22"/>
              </w:rPr>
            </w:pPr>
            <w:r w:rsidRPr="002A79D2">
              <w:rPr>
                <w:rFonts w:ascii="Calibri" w:hAnsi="Calibri" w:cs="Calibri"/>
                <w:b/>
                <w:bCs/>
                <w:color w:val="000000"/>
                <w:sz w:val="22"/>
                <w:szCs w:val="22"/>
              </w:rPr>
              <w:t>County</w:t>
            </w:r>
          </w:p>
        </w:tc>
        <w:tc>
          <w:tcPr>
            <w:tcW w:w="1718" w:type="dxa"/>
            <w:tcBorders>
              <w:top w:val="nil"/>
              <w:left w:val="nil"/>
              <w:bottom w:val="single" w:sz="4" w:space="0" w:color="auto"/>
              <w:right w:val="single" w:sz="4" w:space="0" w:color="auto"/>
            </w:tcBorders>
            <w:shd w:val="clear" w:color="auto" w:fill="auto"/>
            <w:hideMark/>
          </w:tcPr>
          <w:p w14:paraId="340247AD" w14:textId="77777777" w:rsidR="00E95C0C" w:rsidRPr="002A79D2" w:rsidRDefault="00E95C0C" w:rsidP="006D4A84">
            <w:pPr>
              <w:rPr>
                <w:rFonts w:ascii="Calibri" w:hAnsi="Calibri" w:cs="Calibri"/>
                <w:b/>
                <w:bCs/>
                <w:color w:val="000000"/>
                <w:sz w:val="22"/>
                <w:szCs w:val="22"/>
              </w:rPr>
            </w:pPr>
            <w:r w:rsidRPr="002A79D2">
              <w:rPr>
                <w:rFonts w:ascii="Calibri" w:hAnsi="Calibri" w:cs="Calibri"/>
                <w:b/>
                <w:bCs/>
                <w:color w:val="000000"/>
                <w:sz w:val="22"/>
                <w:szCs w:val="22"/>
              </w:rPr>
              <w:t>2015 Published FFS Standardized County Rate</w:t>
            </w:r>
            <w:r w:rsidRPr="00820011">
              <w:rPr>
                <w:rFonts w:ascii="Calibri" w:hAnsi="Calibri" w:cs="Calibri"/>
                <w:b/>
                <w:bCs/>
                <w:color w:val="000000"/>
                <w:sz w:val="22"/>
                <w:szCs w:val="22"/>
                <w:vertAlign w:val="superscript"/>
              </w:rPr>
              <w:t>2</w:t>
            </w:r>
          </w:p>
        </w:tc>
        <w:tc>
          <w:tcPr>
            <w:tcW w:w="1750" w:type="dxa"/>
            <w:tcBorders>
              <w:top w:val="nil"/>
              <w:left w:val="nil"/>
              <w:bottom w:val="nil"/>
              <w:right w:val="nil"/>
            </w:tcBorders>
            <w:shd w:val="clear" w:color="auto" w:fill="auto"/>
            <w:hideMark/>
          </w:tcPr>
          <w:p w14:paraId="5684920F" w14:textId="7EC1A7E4" w:rsidR="00E95C0C" w:rsidRPr="002A79D2" w:rsidRDefault="00E95C0C">
            <w:pPr>
              <w:rPr>
                <w:rFonts w:ascii="Calibri" w:hAnsi="Calibri" w:cs="Calibri"/>
                <w:b/>
                <w:bCs/>
                <w:color w:val="000000"/>
                <w:sz w:val="22"/>
                <w:szCs w:val="22"/>
              </w:rPr>
            </w:pPr>
            <w:r w:rsidRPr="002A79D2">
              <w:rPr>
                <w:rFonts w:ascii="Calibri" w:hAnsi="Calibri" w:cs="Calibri"/>
                <w:b/>
                <w:bCs/>
                <w:color w:val="000000"/>
                <w:sz w:val="22"/>
                <w:szCs w:val="22"/>
              </w:rPr>
              <w:t xml:space="preserve">Update to FFS Standardized County Rate </w:t>
            </w:r>
            <w:r w:rsidRPr="002A79D2">
              <w:rPr>
                <w:rFonts w:ascii="Calibri" w:hAnsi="Calibri" w:cs="Calibri"/>
                <w:color w:val="000000"/>
                <w:sz w:val="22"/>
                <w:szCs w:val="22"/>
              </w:rPr>
              <w:t xml:space="preserve">(5% </w:t>
            </w:r>
            <w:r>
              <w:rPr>
                <w:rFonts w:ascii="Calibri" w:hAnsi="Calibri" w:cs="Calibri"/>
                <w:color w:val="000000"/>
                <w:sz w:val="22"/>
                <w:szCs w:val="22"/>
              </w:rPr>
              <w:t>update</w:t>
            </w:r>
            <w:r w:rsidRPr="002A79D2">
              <w:rPr>
                <w:rFonts w:ascii="Calibri" w:hAnsi="Calibri" w:cs="Calibri"/>
                <w:color w:val="000000"/>
                <w:sz w:val="22"/>
                <w:szCs w:val="22"/>
              </w:rPr>
              <w:t>)</w:t>
            </w:r>
            <w:r w:rsidRPr="002A79D2">
              <w:rPr>
                <w:rFonts w:ascii="Calibri" w:hAnsi="Calibri" w:cs="Calibri"/>
                <w:b/>
                <w:bCs/>
                <w:color w:val="000000"/>
                <w:sz w:val="22"/>
                <w:szCs w:val="22"/>
              </w:rPr>
              <w:t xml:space="preserve"> </w:t>
            </w:r>
          </w:p>
        </w:tc>
        <w:tc>
          <w:tcPr>
            <w:tcW w:w="1586" w:type="dxa"/>
            <w:tcBorders>
              <w:top w:val="nil"/>
              <w:left w:val="single" w:sz="4" w:space="0" w:color="auto"/>
              <w:bottom w:val="single" w:sz="4" w:space="0" w:color="auto"/>
              <w:right w:val="single" w:sz="4" w:space="0" w:color="auto"/>
            </w:tcBorders>
            <w:shd w:val="clear" w:color="auto" w:fill="auto"/>
            <w:hideMark/>
          </w:tcPr>
          <w:p w14:paraId="36E43DF7" w14:textId="77777777" w:rsidR="00E95C0C" w:rsidRPr="002A79D2" w:rsidRDefault="00E95C0C">
            <w:pPr>
              <w:rPr>
                <w:rFonts w:ascii="Calibri" w:hAnsi="Calibri" w:cs="Calibri"/>
                <w:b/>
                <w:bCs/>
                <w:sz w:val="22"/>
                <w:szCs w:val="22"/>
              </w:rPr>
            </w:pPr>
            <w:r w:rsidRPr="002A79D2">
              <w:rPr>
                <w:rFonts w:ascii="Calibri" w:hAnsi="Calibri" w:cs="Calibri"/>
                <w:b/>
                <w:bCs/>
                <w:sz w:val="22"/>
                <w:szCs w:val="22"/>
              </w:rPr>
              <w:t>2015 Updated Medicare A/B FFS Baseline</w:t>
            </w:r>
            <w:r w:rsidRPr="002A79D2">
              <w:rPr>
                <w:rFonts w:ascii="Calibri" w:hAnsi="Calibri" w:cs="Calibri"/>
                <w:b/>
                <w:bCs/>
                <w:sz w:val="22"/>
                <w:szCs w:val="22"/>
              </w:rPr>
              <w:br/>
            </w:r>
            <w:r w:rsidRPr="002A79D2">
              <w:rPr>
                <w:rFonts w:ascii="Calibri" w:hAnsi="Calibri" w:cs="Calibri"/>
                <w:sz w:val="22"/>
                <w:szCs w:val="22"/>
              </w:rPr>
              <w:br/>
              <w:t>(updated by CY 2015 bad debt adjustment)</w:t>
            </w:r>
          </w:p>
        </w:tc>
        <w:tc>
          <w:tcPr>
            <w:tcW w:w="1898" w:type="dxa"/>
            <w:tcBorders>
              <w:top w:val="nil"/>
              <w:left w:val="nil"/>
              <w:bottom w:val="single" w:sz="4" w:space="0" w:color="auto"/>
              <w:right w:val="single" w:sz="4" w:space="0" w:color="auto"/>
            </w:tcBorders>
            <w:shd w:val="clear" w:color="auto" w:fill="auto"/>
            <w:hideMark/>
          </w:tcPr>
          <w:p w14:paraId="6D29F183" w14:textId="77777777" w:rsidR="00E95C0C" w:rsidRPr="002A79D2" w:rsidRDefault="00E95C0C">
            <w:pPr>
              <w:rPr>
                <w:rFonts w:ascii="Calibri" w:hAnsi="Calibri" w:cs="Calibri"/>
                <w:color w:val="000000"/>
                <w:sz w:val="22"/>
                <w:szCs w:val="22"/>
              </w:rPr>
            </w:pPr>
            <w:r w:rsidRPr="002A79D2">
              <w:rPr>
                <w:rFonts w:ascii="Calibri" w:hAnsi="Calibri" w:cs="Calibri"/>
                <w:b/>
                <w:bCs/>
                <w:color w:val="000000"/>
                <w:sz w:val="22"/>
                <w:szCs w:val="22"/>
              </w:rPr>
              <w:t>2015 Medicare A/B Baseline Preliminary</w:t>
            </w:r>
            <w:r w:rsidRPr="002A79D2">
              <w:rPr>
                <w:rFonts w:ascii="Calibri" w:hAnsi="Calibri" w:cs="Calibri"/>
                <w:color w:val="000000"/>
                <w:sz w:val="22"/>
                <w:szCs w:val="22"/>
              </w:rPr>
              <w:br/>
            </w:r>
            <w:r w:rsidRPr="002A79D2">
              <w:rPr>
                <w:rFonts w:ascii="Calibri" w:hAnsi="Calibri" w:cs="Calibri"/>
                <w:color w:val="000000"/>
                <w:sz w:val="22"/>
                <w:szCs w:val="22"/>
              </w:rPr>
              <w:br/>
              <w:t>(increased to offset application of modified coding intensity adjustment factor in 2015)</w:t>
            </w:r>
            <w:r w:rsidRPr="00820011">
              <w:rPr>
                <w:rFonts w:ascii="Calibri" w:hAnsi="Calibri" w:cs="Calibri"/>
                <w:color w:val="000000"/>
                <w:sz w:val="22"/>
                <w:szCs w:val="22"/>
                <w:vertAlign w:val="superscript"/>
              </w:rPr>
              <w:t>3</w:t>
            </w:r>
          </w:p>
        </w:tc>
        <w:tc>
          <w:tcPr>
            <w:tcW w:w="2168" w:type="dxa"/>
            <w:tcBorders>
              <w:top w:val="nil"/>
              <w:left w:val="nil"/>
              <w:bottom w:val="single" w:sz="4" w:space="0" w:color="auto"/>
              <w:right w:val="single" w:sz="4" w:space="0" w:color="auto"/>
            </w:tcBorders>
            <w:shd w:val="clear" w:color="auto" w:fill="auto"/>
            <w:hideMark/>
          </w:tcPr>
          <w:p w14:paraId="7D23250C" w14:textId="77777777" w:rsidR="00E95C0C" w:rsidRPr="002A79D2" w:rsidRDefault="00E95C0C">
            <w:pPr>
              <w:rPr>
                <w:rFonts w:ascii="Calibri" w:hAnsi="Calibri" w:cs="Calibri"/>
                <w:b/>
                <w:bCs/>
                <w:color w:val="000000"/>
                <w:sz w:val="22"/>
                <w:szCs w:val="22"/>
              </w:rPr>
            </w:pPr>
            <w:r w:rsidRPr="002A79D2">
              <w:rPr>
                <w:rFonts w:ascii="Calibri" w:hAnsi="Calibri" w:cs="Calibri"/>
                <w:b/>
                <w:bCs/>
                <w:color w:val="000000"/>
                <w:sz w:val="22"/>
                <w:szCs w:val="22"/>
              </w:rPr>
              <w:t xml:space="preserve">2015 Updated Medicare A/B Baseline </w:t>
            </w:r>
            <w:r w:rsidRPr="002A79D2">
              <w:rPr>
                <w:rFonts w:ascii="Calibri" w:hAnsi="Calibri" w:cs="Calibri"/>
                <w:b/>
                <w:bCs/>
                <w:color w:val="000000"/>
                <w:sz w:val="22"/>
                <w:szCs w:val="22"/>
              </w:rPr>
              <w:br/>
            </w:r>
            <w:r w:rsidRPr="002A79D2">
              <w:rPr>
                <w:rFonts w:ascii="Calibri" w:hAnsi="Calibri" w:cs="Calibri"/>
                <w:color w:val="000000"/>
                <w:sz w:val="22"/>
                <w:szCs w:val="22"/>
              </w:rPr>
              <w:br/>
              <w:t>(incorporating updated Medicare A/B FFS baseline and Medicare Advantage component)</w:t>
            </w:r>
          </w:p>
        </w:tc>
        <w:tc>
          <w:tcPr>
            <w:tcW w:w="2413" w:type="dxa"/>
            <w:tcBorders>
              <w:top w:val="nil"/>
              <w:left w:val="nil"/>
              <w:bottom w:val="single" w:sz="4" w:space="0" w:color="auto"/>
              <w:right w:val="single" w:sz="4" w:space="0" w:color="auto"/>
            </w:tcBorders>
            <w:shd w:val="clear" w:color="auto" w:fill="auto"/>
            <w:hideMark/>
          </w:tcPr>
          <w:p w14:paraId="70B6436B" w14:textId="0B9592A3" w:rsidR="00E95C0C" w:rsidRPr="002A79D2" w:rsidRDefault="00E95C0C">
            <w:pPr>
              <w:rPr>
                <w:rFonts w:ascii="Calibri" w:hAnsi="Calibri" w:cs="Calibri"/>
                <w:b/>
                <w:bCs/>
                <w:color w:val="000000"/>
                <w:sz w:val="22"/>
                <w:szCs w:val="22"/>
              </w:rPr>
            </w:pPr>
            <w:r w:rsidRPr="002A79D2">
              <w:rPr>
                <w:rFonts w:ascii="Calibri" w:hAnsi="Calibri" w:cs="Calibri"/>
                <w:b/>
                <w:bCs/>
                <w:color w:val="000000"/>
                <w:sz w:val="22"/>
                <w:szCs w:val="22"/>
              </w:rPr>
              <w:t>2015 Final Medicare A/B PMPM Payment</w:t>
            </w:r>
            <w:r w:rsidRPr="002A79D2">
              <w:rPr>
                <w:rFonts w:ascii="Calibri" w:hAnsi="Calibri" w:cs="Calibri"/>
                <w:b/>
                <w:bCs/>
                <w:color w:val="000000"/>
                <w:sz w:val="22"/>
                <w:szCs w:val="22"/>
              </w:rPr>
              <w:br/>
            </w:r>
            <w:r w:rsidRPr="002A79D2">
              <w:rPr>
                <w:rFonts w:ascii="Calibri" w:hAnsi="Calibri" w:cs="Calibri"/>
                <w:b/>
                <w:bCs/>
                <w:color w:val="000000"/>
                <w:sz w:val="22"/>
                <w:szCs w:val="22"/>
              </w:rPr>
              <w:br/>
            </w:r>
            <w:r w:rsidRPr="002A79D2">
              <w:rPr>
                <w:rFonts w:ascii="Calibri" w:hAnsi="Calibri" w:cs="Calibri"/>
                <w:color w:val="000000"/>
                <w:sz w:val="22"/>
                <w:szCs w:val="22"/>
              </w:rPr>
              <w:t>(2% sequestration reduction applied)</w:t>
            </w:r>
          </w:p>
        </w:tc>
      </w:tr>
      <w:tr w:rsidR="00E95C0C" w:rsidRPr="00C1440F" w14:paraId="6229D8B9" w14:textId="77777777" w:rsidTr="00E95C0C">
        <w:trPr>
          <w:trHeight w:val="278"/>
        </w:trPr>
        <w:tc>
          <w:tcPr>
            <w:tcW w:w="1442" w:type="dxa"/>
            <w:tcBorders>
              <w:top w:val="single" w:sz="4" w:space="0" w:color="auto"/>
              <w:left w:val="single" w:sz="4" w:space="0" w:color="auto"/>
              <w:bottom w:val="single" w:sz="4" w:space="0" w:color="auto"/>
              <w:right w:val="single" w:sz="4" w:space="0" w:color="auto"/>
            </w:tcBorders>
            <w:shd w:val="clear" w:color="auto" w:fill="auto"/>
            <w:noWrap/>
            <w:hideMark/>
          </w:tcPr>
          <w:p w14:paraId="4CA68B8D" w14:textId="77777777" w:rsidR="00E95C0C" w:rsidRPr="00C1440F" w:rsidRDefault="00E95C0C" w:rsidP="00C1440F">
            <w:pPr>
              <w:rPr>
                <w:rFonts w:ascii="Calibri" w:hAnsi="Calibri" w:cs="Calibri"/>
                <w:color w:val="000000"/>
                <w:sz w:val="22"/>
                <w:szCs w:val="22"/>
              </w:rPr>
            </w:pPr>
            <w:r w:rsidRPr="00C1440F">
              <w:rPr>
                <w:rFonts w:ascii="Calibri" w:hAnsi="Calibri" w:cs="Calibri"/>
                <w:color w:val="000000"/>
                <w:sz w:val="22"/>
                <w:szCs w:val="22"/>
              </w:rPr>
              <w:t>Essex</w:t>
            </w:r>
          </w:p>
        </w:tc>
        <w:tc>
          <w:tcPr>
            <w:tcW w:w="1718" w:type="dxa"/>
            <w:tcBorders>
              <w:top w:val="nil"/>
              <w:left w:val="nil"/>
              <w:bottom w:val="single" w:sz="4" w:space="0" w:color="auto"/>
              <w:right w:val="single" w:sz="4" w:space="0" w:color="auto"/>
            </w:tcBorders>
            <w:shd w:val="clear" w:color="auto" w:fill="auto"/>
            <w:hideMark/>
          </w:tcPr>
          <w:p w14:paraId="2C4488AD" w14:textId="0427370F" w:rsidR="00E95C0C" w:rsidRPr="00C1440F" w:rsidRDefault="00E95C0C" w:rsidP="00C1440F">
            <w:pPr>
              <w:jc w:val="center"/>
              <w:rPr>
                <w:rFonts w:ascii="Calibri" w:hAnsi="Calibri" w:cs="Calibri"/>
                <w:color w:val="000000"/>
                <w:sz w:val="22"/>
                <w:szCs w:val="22"/>
              </w:rPr>
            </w:pPr>
            <w:r w:rsidRPr="00C1440F">
              <w:rPr>
                <w:rFonts w:ascii="Calibri" w:hAnsi="Calibri" w:cs="Calibri"/>
                <w:color w:val="000000"/>
                <w:sz w:val="22"/>
                <w:szCs w:val="22"/>
              </w:rPr>
              <w:t>$818.45</w:t>
            </w:r>
          </w:p>
        </w:tc>
        <w:tc>
          <w:tcPr>
            <w:tcW w:w="1750" w:type="dxa"/>
            <w:tcBorders>
              <w:top w:val="single" w:sz="4" w:space="0" w:color="auto"/>
              <w:left w:val="nil"/>
              <w:bottom w:val="single" w:sz="4" w:space="0" w:color="auto"/>
              <w:right w:val="single" w:sz="4" w:space="0" w:color="auto"/>
            </w:tcBorders>
            <w:shd w:val="clear" w:color="auto" w:fill="auto"/>
            <w:hideMark/>
          </w:tcPr>
          <w:p w14:paraId="5C3C1044" w14:textId="6F77E4A2" w:rsidR="00E95C0C" w:rsidRPr="006D4A84" w:rsidRDefault="00E95C0C" w:rsidP="006D4A84">
            <w:pPr>
              <w:jc w:val="center"/>
              <w:rPr>
                <w:rFonts w:ascii="Calibri" w:hAnsi="Calibri" w:cs="Calibri"/>
                <w:color w:val="000000"/>
                <w:sz w:val="22"/>
                <w:szCs w:val="22"/>
              </w:rPr>
            </w:pPr>
            <w:r w:rsidRPr="006D4A84">
              <w:rPr>
                <w:rFonts w:ascii="Calibri" w:hAnsi="Calibri" w:cs="Calibri"/>
                <w:color w:val="000000"/>
                <w:sz w:val="22"/>
                <w:szCs w:val="22"/>
              </w:rPr>
              <w:t>$859.37</w:t>
            </w:r>
          </w:p>
        </w:tc>
        <w:tc>
          <w:tcPr>
            <w:tcW w:w="1586" w:type="dxa"/>
            <w:tcBorders>
              <w:top w:val="nil"/>
              <w:left w:val="nil"/>
              <w:bottom w:val="single" w:sz="4" w:space="0" w:color="auto"/>
              <w:right w:val="single" w:sz="4" w:space="0" w:color="auto"/>
            </w:tcBorders>
            <w:shd w:val="clear" w:color="auto" w:fill="auto"/>
            <w:hideMark/>
          </w:tcPr>
          <w:p w14:paraId="0748DC1F" w14:textId="658AFECE" w:rsidR="00E95C0C" w:rsidRPr="00C1440F" w:rsidRDefault="00E95C0C">
            <w:pPr>
              <w:jc w:val="center"/>
              <w:rPr>
                <w:rFonts w:ascii="Calibri" w:hAnsi="Calibri" w:cs="Calibri"/>
                <w:sz w:val="22"/>
                <w:szCs w:val="22"/>
              </w:rPr>
            </w:pPr>
            <w:r w:rsidRPr="00C1440F">
              <w:rPr>
                <w:rFonts w:ascii="Calibri" w:hAnsi="Calibri" w:cs="Calibri"/>
                <w:sz w:val="22"/>
                <w:szCs w:val="22"/>
              </w:rPr>
              <w:t>$874.07</w:t>
            </w:r>
          </w:p>
        </w:tc>
        <w:tc>
          <w:tcPr>
            <w:tcW w:w="1898" w:type="dxa"/>
            <w:tcBorders>
              <w:top w:val="nil"/>
              <w:left w:val="nil"/>
              <w:bottom w:val="single" w:sz="4" w:space="0" w:color="auto"/>
              <w:right w:val="single" w:sz="4" w:space="0" w:color="auto"/>
            </w:tcBorders>
            <w:shd w:val="clear" w:color="auto" w:fill="auto"/>
            <w:noWrap/>
            <w:hideMark/>
          </w:tcPr>
          <w:p w14:paraId="11313575" w14:textId="205E0AAA" w:rsidR="00E95C0C" w:rsidRPr="00C1440F" w:rsidRDefault="00E95C0C">
            <w:pPr>
              <w:jc w:val="center"/>
              <w:rPr>
                <w:rFonts w:ascii="Calibri" w:hAnsi="Calibri" w:cs="Calibri"/>
                <w:sz w:val="22"/>
                <w:szCs w:val="22"/>
              </w:rPr>
            </w:pPr>
            <w:r w:rsidRPr="00C1440F">
              <w:rPr>
                <w:rFonts w:ascii="Calibri" w:hAnsi="Calibri" w:cs="Calibri"/>
                <w:sz w:val="22"/>
                <w:szCs w:val="22"/>
              </w:rPr>
              <w:t>$896.02</w:t>
            </w:r>
          </w:p>
        </w:tc>
        <w:tc>
          <w:tcPr>
            <w:tcW w:w="2168" w:type="dxa"/>
            <w:tcBorders>
              <w:top w:val="nil"/>
              <w:left w:val="nil"/>
              <w:bottom w:val="single" w:sz="4" w:space="0" w:color="auto"/>
              <w:right w:val="single" w:sz="4" w:space="0" w:color="auto"/>
            </w:tcBorders>
            <w:shd w:val="clear" w:color="auto" w:fill="auto"/>
            <w:hideMark/>
          </w:tcPr>
          <w:p w14:paraId="27DC72B7" w14:textId="52CBEFD4" w:rsidR="00E95C0C" w:rsidRPr="00C1440F" w:rsidRDefault="00E95C0C">
            <w:pPr>
              <w:jc w:val="center"/>
              <w:rPr>
                <w:rFonts w:ascii="Calibri" w:hAnsi="Calibri" w:cs="Calibri"/>
                <w:color w:val="000000"/>
                <w:sz w:val="22"/>
                <w:szCs w:val="22"/>
              </w:rPr>
            </w:pPr>
            <w:r w:rsidRPr="00C1440F">
              <w:rPr>
                <w:rFonts w:ascii="Calibri" w:hAnsi="Calibri" w:cs="Calibri"/>
                <w:color w:val="000000"/>
                <w:sz w:val="22"/>
                <w:szCs w:val="22"/>
              </w:rPr>
              <w:t>$895.44</w:t>
            </w:r>
          </w:p>
        </w:tc>
        <w:tc>
          <w:tcPr>
            <w:tcW w:w="2413" w:type="dxa"/>
            <w:tcBorders>
              <w:top w:val="nil"/>
              <w:left w:val="nil"/>
              <w:bottom w:val="single" w:sz="4" w:space="0" w:color="auto"/>
              <w:right w:val="single" w:sz="4" w:space="0" w:color="auto"/>
            </w:tcBorders>
            <w:shd w:val="clear" w:color="auto" w:fill="auto"/>
            <w:hideMark/>
          </w:tcPr>
          <w:p w14:paraId="0CCE51EE" w14:textId="74BC6A36" w:rsidR="00E95C0C" w:rsidRPr="00C1440F" w:rsidRDefault="00E95C0C">
            <w:pPr>
              <w:jc w:val="center"/>
              <w:rPr>
                <w:rFonts w:ascii="Calibri" w:hAnsi="Calibri" w:cs="Calibri"/>
                <w:color w:val="000000"/>
                <w:sz w:val="22"/>
                <w:szCs w:val="22"/>
              </w:rPr>
            </w:pPr>
            <w:r w:rsidRPr="00C1440F">
              <w:rPr>
                <w:rFonts w:ascii="Calibri" w:hAnsi="Calibri" w:cs="Calibri"/>
                <w:color w:val="000000"/>
                <w:sz w:val="22"/>
                <w:szCs w:val="22"/>
              </w:rPr>
              <w:t>$877.53</w:t>
            </w:r>
          </w:p>
        </w:tc>
      </w:tr>
      <w:tr w:rsidR="00E95C0C" w:rsidRPr="00C1440F" w14:paraId="0A64A37F" w14:textId="77777777" w:rsidTr="00E95C0C">
        <w:trPr>
          <w:trHeight w:val="278"/>
        </w:trPr>
        <w:tc>
          <w:tcPr>
            <w:tcW w:w="1442" w:type="dxa"/>
            <w:tcBorders>
              <w:top w:val="nil"/>
              <w:left w:val="single" w:sz="4" w:space="0" w:color="auto"/>
              <w:bottom w:val="single" w:sz="4" w:space="0" w:color="auto"/>
              <w:right w:val="single" w:sz="4" w:space="0" w:color="auto"/>
            </w:tcBorders>
            <w:shd w:val="clear" w:color="auto" w:fill="auto"/>
            <w:noWrap/>
            <w:hideMark/>
          </w:tcPr>
          <w:p w14:paraId="7A6C130F" w14:textId="77777777" w:rsidR="00E95C0C" w:rsidRPr="00C1440F" w:rsidRDefault="00E95C0C" w:rsidP="00C1440F">
            <w:pPr>
              <w:rPr>
                <w:rFonts w:ascii="Calibri" w:hAnsi="Calibri" w:cs="Calibri"/>
                <w:color w:val="000000"/>
                <w:sz w:val="22"/>
                <w:szCs w:val="22"/>
              </w:rPr>
            </w:pPr>
            <w:r w:rsidRPr="00C1440F">
              <w:rPr>
                <w:rFonts w:ascii="Calibri" w:hAnsi="Calibri" w:cs="Calibri"/>
                <w:color w:val="000000"/>
                <w:sz w:val="22"/>
                <w:szCs w:val="22"/>
              </w:rPr>
              <w:t>Franklin</w:t>
            </w:r>
          </w:p>
        </w:tc>
        <w:tc>
          <w:tcPr>
            <w:tcW w:w="1718" w:type="dxa"/>
            <w:tcBorders>
              <w:top w:val="nil"/>
              <w:left w:val="nil"/>
              <w:bottom w:val="single" w:sz="4" w:space="0" w:color="auto"/>
              <w:right w:val="single" w:sz="4" w:space="0" w:color="auto"/>
            </w:tcBorders>
            <w:shd w:val="clear" w:color="auto" w:fill="auto"/>
            <w:hideMark/>
          </w:tcPr>
          <w:p w14:paraId="1F242F32" w14:textId="77777777" w:rsidR="00E95C0C" w:rsidRPr="00C1440F" w:rsidRDefault="00E95C0C" w:rsidP="006D4A84">
            <w:pPr>
              <w:jc w:val="center"/>
              <w:rPr>
                <w:rFonts w:ascii="Calibri" w:hAnsi="Calibri" w:cs="Calibri"/>
                <w:color w:val="000000"/>
                <w:sz w:val="22"/>
                <w:szCs w:val="22"/>
              </w:rPr>
            </w:pPr>
            <w:r w:rsidRPr="00C1440F">
              <w:rPr>
                <w:rFonts w:ascii="Calibri" w:hAnsi="Calibri" w:cs="Calibri"/>
                <w:color w:val="000000"/>
                <w:sz w:val="22"/>
                <w:szCs w:val="22"/>
              </w:rPr>
              <w:t>700.39</w:t>
            </w:r>
          </w:p>
        </w:tc>
        <w:tc>
          <w:tcPr>
            <w:tcW w:w="1750" w:type="dxa"/>
            <w:tcBorders>
              <w:top w:val="nil"/>
              <w:left w:val="nil"/>
              <w:bottom w:val="single" w:sz="4" w:space="0" w:color="auto"/>
              <w:right w:val="single" w:sz="4" w:space="0" w:color="auto"/>
            </w:tcBorders>
            <w:shd w:val="clear" w:color="auto" w:fill="auto"/>
            <w:hideMark/>
          </w:tcPr>
          <w:p w14:paraId="4A3357AC" w14:textId="77777777" w:rsidR="00E95C0C" w:rsidRPr="00C1440F" w:rsidRDefault="00E95C0C">
            <w:pPr>
              <w:jc w:val="center"/>
              <w:rPr>
                <w:rFonts w:ascii="Calibri" w:hAnsi="Calibri" w:cs="Calibri"/>
                <w:color w:val="000000"/>
                <w:sz w:val="22"/>
                <w:szCs w:val="22"/>
              </w:rPr>
            </w:pPr>
            <w:r w:rsidRPr="00C1440F">
              <w:rPr>
                <w:rFonts w:ascii="Calibri" w:hAnsi="Calibri" w:cs="Calibri"/>
                <w:color w:val="000000"/>
                <w:sz w:val="22"/>
                <w:szCs w:val="22"/>
              </w:rPr>
              <w:t>735.41</w:t>
            </w:r>
          </w:p>
        </w:tc>
        <w:tc>
          <w:tcPr>
            <w:tcW w:w="1586" w:type="dxa"/>
            <w:tcBorders>
              <w:top w:val="nil"/>
              <w:left w:val="nil"/>
              <w:bottom w:val="single" w:sz="4" w:space="0" w:color="auto"/>
              <w:right w:val="single" w:sz="4" w:space="0" w:color="auto"/>
            </w:tcBorders>
            <w:shd w:val="clear" w:color="auto" w:fill="auto"/>
            <w:hideMark/>
          </w:tcPr>
          <w:p w14:paraId="2EB73867" w14:textId="77777777" w:rsidR="00E95C0C" w:rsidRPr="00C1440F" w:rsidRDefault="00E95C0C">
            <w:pPr>
              <w:jc w:val="center"/>
              <w:rPr>
                <w:rFonts w:ascii="Calibri" w:hAnsi="Calibri" w:cs="Calibri"/>
                <w:sz w:val="22"/>
                <w:szCs w:val="22"/>
              </w:rPr>
            </w:pPr>
            <w:r w:rsidRPr="00C1440F">
              <w:rPr>
                <w:rFonts w:ascii="Calibri" w:hAnsi="Calibri" w:cs="Calibri"/>
                <w:sz w:val="22"/>
                <w:szCs w:val="22"/>
              </w:rPr>
              <w:t>747.99</w:t>
            </w:r>
          </w:p>
        </w:tc>
        <w:tc>
          <w:tcPr>
            <w:tcW w:w="1898" w:type="dxa"/>
            <w:tcBorders>
              <w:top w:val="nil"/>
              <w:left w:val="nil"/>
              <w:bottom w:val="single" w:sz="4" w:space="0" w:color="auto"/>
              <w:right w:val="single" w:sz="4" w:space="0" w:color="auto"/>
            </w:tcBorders>
            <w:shd w:val="clear" w:color="auto" w:fill="auto"/>
            <w:noWrap/>
            <w:hideMark/>
          </w:tcPr>
          <w:p w14:paraId="45FB95DE" w14:textId="77777777" w:rsidR="00E95C0C" w:rsidRPr="00C1440F" w:rsidRDefault="00E95C0C">
            <w:pPr>
              <w:jc w:val="center"/>
              <w:rPr>
                <w:rFonts w:ascii="Calibri" w:hAnsi="Calibri" w:cs="Calibri"/>
                <w:sz w:val="22"/>
                <w:szCs w:val="22"/>
              </w:rPr>
            </w:pPr>
            <w:r w:rsidRPr="00C1440F">
              <w:rPr>
                <w:rFonts w:ascii="Calibri" w:hAnsi="Calibri" w:cs="Calibri"/>
                <w:sz w:val="22"/>
                <w:szCs w:val="22"/>
              </w:rPr>
              <w:t>766.77</w:t>
            </w:r>
          </w:p>
        </w:tc>
        <w:tc>
          <w:tcPr>
            <w:tcW w:w="2168" w:type="dxa"/>
            <w:tcBorders>
              <w:top w:val="nil"/>
              <w:left w:val="nil"/>
              <w:bottom w:val="single" w:sz="4" w:space="0" w:color="auto"/>
              <w:right w:val="single" w:sz="4" w:space="0" w:color="auto"/>
            </w:tcBorders>
            <w:shd w:val="clear" w:color="auto" w:fill="auto"/>
            <w:hideMark/>
          </w:tcPr>
          <w:p w14:paraId="5FB1464E" w14:textId="77777777" w:rsidR="00E95C0C" w:rsidRPr="00C1440F" w:rsidRDefault="00E95C0C">
            <w:pPr>
              <w:jc w:val="center"/>
              <w:rPr>
                <w:rFonts w:ascii="Calibri" w:hAnsi="Calibri" w:cs="Calibri"/>
                <w:color w:val="000000"/>
                <w:sz w:val="22"/>
                <w:szCs w:val="22"/>
              </w:rPr>
            </w:pPr>
            <w:r w:rsidRPr="00C1440F">
              <w:rPr>
                <w:rFonts w:ascii="Calibri" w:hAnsi="Calibri" w:cs="Calibri"/>
                <w:color w:val="000000"/>
                <w:sz w:val="22"/>
                <w:szCs w:val="22"/>
              </w:rPr>
              <w:t>766.89</w:t>
            </w:r>
          </w:p>
        </w:tc>
        <w:tc>
          <w:tcPr>
            <w:tcW w:w="2413" w:type="dxa"/>
            <w:tcBorders>
              <w:top w:val="nil"/>
              <w:left w:val="nil"/>
              <w:bottom w:val="single" w:sz="4" w:space="0" w:color="auto"/>
              <w:right w:val="single" w:sz="4" w:space="0" w:color="auto"/>
            </w:tcBorders>
            <w:shd w:val="clear" w:color="auto" w:fill="auto"/>
            <w:hideMark/>
          </w:tcPr>
          <w:p w14:paraId="56295311" w14:textId="77777777" w:rsidR="00E95C0C" w:rsidRPr="00C1440F" w:rsidRDefault="00E95C0C">
            <w:pPr>
              <w:jc w:val="center"/>
              <w:rPr>
                <w:rFonts w:ascii="Calibri" w:hAnsi="Calibri" w:cs="Calibri"/>
                <w:color w:val="000000"/>
                <w:sz w:val="22"/>
                <w:szCs w:val="22"/>
              </w:rPr>
            </w:pPr>
            <w:r w:rsidRPr="00C1440F">
              <w:rPr>
                <w:rFonts w:ascii="Calibri" w:hAnsi="Calibri" w:cs="Calibri"/>
                <w:color w:val="000000"/>
                <w:sz w:val="22"/>
                <w:szCs w:val="22"/>
              </w:rPr>
              <w:t>751.55</w:t>
            </w:r>
          </w:p>
        </w:tc>
      </w:tr>
      <w:tr w:rsidR="00E95C0C" w:rsidRPr="00C1440F" w14:paraId="30B12E41" w14:textId="77777777" w:rsidTr="00E95C0C">
        <w:trPr>
          <w:trHeight w:val="278"/>
        </w:trPr>
        <w:tc>
          <w:tcPr>
            <w:tcW w:w="1442" w:type="dxa"/>
            <w:tcBorders>
              <w:top w:val="nil"/>
              <w:left w:val="single" w:sz="4" w:space="0" w:color="auto"/>
              <w:bottom w:val="single" w:sz="4" w:space="0" w:color="auto"/>
              <w:right w:val="single" w:sz="4" w:space="0" w:color="auto"/>
            </w:tcBorders>
            <w:shd w:val="clear" w:color="auto" w:fill="auto"/>
            <w:noWrap/>
            <w:hideMark/>
          </w:tcPr>
          <w:p w14:paraId="51E0FD54" w14:textId="77777777" w:rsidR="00E95C0C" w:rsidRPr="00C1440F" w:rsidRDefault="00E95C0C" w:rsidP="00C1440F">
            <w:pPr>
              <w:rPr>
                <w:rFonts w:ascii="Calibri" w:hAnsi="Calibri" w:cs="Calibri"/>
                <w:color w:val="000000"/>
                <w:sz w:val="22"/>
                <w:szCs w:val="22"/>
              </w:rPr>
            </w:pPr>
            <w:r w:rsidRPr="00C1440F">
              <w:rPr>
                <w:rFonts w:ascii="Calibri" w:hAnsi="Calibri" w:cs="Calibri"/>
                <w:color w:val="000000"/>
                <w:sz w:val="22"/>
                <w:szCs w:val="22"/>
              </w:rPr>
              <w:t>Hampden</w:t>
            </w:r>
          </w:p>
        </w:tc>
        <w:tc>
          <w:tcPr>
            <w:tcW w:w="1718" w:type="dxa"/>
            <w:tcBorders>
              <w:top w:val="nil"/>
              <w:left w:val="nil"/>
              <w:bottom w:val="single" w:sz="4" w:space="0" w:color="auto"/>
              <w:right w:val="single" w:sz="4" w:space="0" w:color="auto"/>
            </w:tcBorders>
            <w:shd w:val="clear" w:color="auto" w:fill="auto"/>
            <w:hideMark/>
          </w:tcPr>
          <w:p w14:paraId="3F635037" w14:textId="77777777" w:rsidR="00E95C0C" w:rsidRPr="00C1440F" w:rsidRDefault="00E95C0C" w:rsidP="006D4A84">
            <w:pPr>
              <w:jc w:val="center"/>
              <w:rPr>
                <w:rFonts w:ascii="Calibri" w:hAnsi="Calibri" w:cs="Calibri"/>
                <w:color w:val="000000"/>
                <w:sz w:val="22"/>
                <w:szCs w:val="22"/>
              </w:rPr>
            </w:pPr>
            <w:r w:rsidRPr="00C1440F">
              <w:rPr>
                <w:rFonts w:ascii="Calibri" w:hAnsi="Calibri" w:cs="Calibri"/>
                <w:color w:val="000000"/>
                <w:sz w:val="22"/>
                <w:szCs w:val="22"/>
              </w:rPr>
              <w:t>724.52</w:t>
            </w:r>
          </w:p>
        </w:tc>
        <w:tc>
          <w:tcPr>
            <w:tcW w:w="1750" w:type="dxa"/>
            <w:tcBorders>
              <w:top w:val="nil"/>
              <w:left w:val="nil"/>
              <w:bottom w:val="single" w:sz="4" w:space="0" w:color="auto"/>
              <w:right w:val="single" w:sz="4" w:space="0" w:color="auto"/>
            </w:tcBorders>
            <w:shd w:val="clear" w:color="auto" w:fill="auto"/>
            <w:hideMark/>
          </w:tcPr>
          <w:p w14:paraId="60091982" w14:textId="77777777" w:rsidR="00E95C0C" w:rsidRPr="00C1440F" w:rsidRDefault="00E95C0C">
            <w:pPr>
              <w:jc w:val="center"/>
              <w:rPr>
                <w:rFonts w:ascii="Calibri" w:hAnsi="Calibri" w:cs="Calibri"/>
                <w:color w:val="000000"/>
                <w:sz w:val="22"/>
                <w:szCs w:val="22"/>
              </w:rPr>
            </w:pPr>
            <w:r w:rsidRPr="00C1440F">
              <w:rPr>
                <w:rFonts w:ascii="Calibri" w:hAnsi="Calibri" w:cs="Calibri"/>
                <w:color w:val="000000"/>
                <w:sz w:val="22"/>
                <w:szCs w:val="22"/>
              </w:rPr>
              <w:t>760.75</w:t>
            </w:r>
          </w:p>
        </w:tc>
        <w:tc>
          <w:tcPr>
            <w:tcW w:w="1586" w:type="dxa"/>
            <w:tcBorders>
              <w:top w:val="nil"/>
              <w:left w:val="nil"/>
              <w:bottom w:val="single" w:sz="4" w:space="0" w:color="auto"/>
              <w:right w:val="single" w:sz="4" w:space="0" w:color="auto"/>
            </w:tcBorders>
            <w:shd w:val="clear" w:color="auto" w:fill="auto"/>
            <w:hideMark/>
          </w:tcPr>
          <w:p w14:paraId="58246DA9" w14:textId="77777777" w:rsidR="00E95C0C" w:rsidRPr="00C1440F" w:rsidRDefault="00E95C0C">
            <w:pPr>
              <w:jc w:val="center"/>
              <w:rPr>
                <w:rFonts w:ascii="Calibri" w:hAnsi="Calibri" w:cs="Calibri"/>
                <w:sz w:val="22"/>
                <w:szCs w:val="22"/>
              </w:rPr>
            </w:pPr>
            <w:r w:rsidRPr="00C1440F">
              <w:rPr>
                <w:rFonts w:ascii="Calibri" w:hAnsi="Calibri" w:cs="Calibri"/>
                <w:sz w:val="22"/>
                <w:szCs w:val="22"/>
              </w:rPr>
              <w:t>773.75</w:t>
            </w:r>
          </w:p>
        </w:tc>
        <w:tc>
          <w:tcPr>
            <w:tcW w:w="1898" w:type="dxa"/>
            <w:tcBorders>
              <w:top w:val="nil"/>
              <w:left w:val="nil"/>
              <w:bottom w:val="single" w:sz="4" w:space="0" w:color="auto"/>
              <w:right w:val="single" w:sz="4" w:space="0" w:color="auto"/>
            </w:tcBorders>
            <w:shd w:val="clear" w:color="auto" w:fill="auto"/>
            <w:noWrap/>
            <w:hideMark/>
          </w:tcPr>
          <w:p w14:paraId="088FD9A5" w14:textId="77777777" w:rsidR="00E95C0C" w:rsidRPr="00C1440F" w:rsidRDefault="00E95C0C">
            <w:pPr>
              <w:jc w:val="center"/>
              <w:rPr>
                <w:rFonts w:ascii="Calibri" w:hAnsi="Calibri" w:cs="Calibri"/>
                <w:sz w:val="22"/>
                <w:szCs w:val="22"/>
              </w:rPr>
            </w:pPr>
            <w:r w:rsidRPr="00C1440F">
              <w:rPr>
                <w:rFonts w:ascii="Calibri" w:hAnsi="Calibri" w:cs="Calibri"/>
                <w:sz w:val="22"/>
                <w:szCs w:val="22"/>
              </w:rPr>
              <w:t>793.19</w:t>
            </w:r>
          </w:p>
        </w:tc>
        <w:tc>
          <w:tcPr>
            <w:tcW w:w="2168" w:type="dxa"/>
            <w:tcBorders>
              <w:top w:val="nil"/>
              <w:left w:val="nil"/>
              <w:bottom w:val="single" w:sz="4" w:space="0" w:color="auto"/>
              <w:right w:val="single" w:sz="4" w:space="0" w:color="auto"/>
            </w:tcBorders>
            <w:shd w:val="clear" w:color="auto" w:fill="auto"/>
            <w:hideMark/>
          </w:tcPr>
          <w:p w14:paraId="119D3BFA" w14:textId="77777777" w:rsidR="00E95C0C" w:rsidRPr="00C1440F" w:rsidRDefault="00E95C0C">
            <w:pPr>
              <w:jc w:val="center"/>
              <w:rPr>
                <w:rFonts w:ascii="Calibri" w:hAnsi="Calibri" w:cs="Calibri"/>
                <w:color w:val="000000"/>
                <w:sz w:val="22"/>
                <w:szCs w:val="22"/>
              </w:rPr>
            </w:pPr>
            <w:r w:rsidRPr="00C1440F">
              <w:rPr>
                <w:rFonts w:ascii="Calibri" w:hAnsi="Calibri" w:cs="Calibri"/>
                <w:color w:val="000000"/>
                <w:sz w:val="22"/>
                <w:szCs w:val="22"/>
              </w:rPr>
              <w:t>793.09</w:t>
            </w:r>
          </w:p>
        </w:tc>
        <w:tc>
          <w:tcPr>
            <w:tcW w:w="2413" w:type="dxa"/>
            <w:tcBorders>
              <w:top w:val="nil"/>
              <w:left w:val="nil"/>
              <w:bottom w:val="single" w:sz="4" w:space="0" w:color="auto"/>
              <w:right w:val="single" w:sz="4" w:space="0" w:color="auto"/>
            </w:tcBorders>
            <w:shd w:val="clear" w:color="auto" w:fill="auto"/>
            <w:hideMark/>
          </w:tcPr>
          <w:p w14:paraId="5D841F49" w14:textId="77777777" w:rsidR="00E95C0C" w:rsidRPr="00C1440F" w:rsidRDefault="00E95C0C">
            <w:pPr>
              <w:jc w:val="center"/>
              <w:rPr>
                <w:rFonts w:ascii="Calibri" w:hAnsi="Calibri" w:cs="Calibri"/>
                <w:color w:val="000000"/>
                <w:sz w:val="22"/>
                <w:szCs w:val="22"/>
              </w:rPr>
            </w:pPr>
            <w:r w:rsidRPr="00C1440F">
              <w:rPr>
                <w:rFonts w:ascii="Calibri" w:hAnsi="Calibri" w:cs="Calibri"/>
                <w:color w:val="000000"/>
                <w:sz w:val="22"/>
                <w:szCs w:val="22"/>
              </w:rPr>
              <w:t>777.23</w:t>
            </w:r>
          </w:p>
        </w:tc>
      </w:tr>
      <w:tr w:rsidR="00E95C0C" w:rsidRPr="00C1440F" w14:paraId="29AC6F82" w14:textId="77777777" w:rsidTr="00E95C0C">
        <w:trPr>
          <w:trHeight w:val="278"/>
        </w:trPr>
        <w:tc>
          <w:tcPr>
            <w:tcW w:w="1442" w:type="dxa"/>
            <w:tcBorders>
              <w:top w:val="nil"/>
              <w:left w:val="single" w:sz="4" w:space="0" w:color="auto"/>
              <w:bottom w:val="single" w:sz="4" w:space="0" w:color="auto"/>
              <w:right w:val="single" w:sz="4" w:space="0" w:color="auto"/>
            </w:tcBorders>
            <w:shd w:val="clear" w:color="auto" w:fill="auto"/>
            <w:noWrap/>
            <w:hideMark/>
          </w:tcPr>
          <w:p w14:paraId="18483B53" w14:textId="77777777" w:rsidR="00E95C0C" w:rsidRPr="00C1440F" w:rsidRDefault="00E95C0C" w:rsidP="00C1440F">
            <w:pPr>
              <w:rPr>
                <w:rFonts w:ascii="Calibri" w:hAnsi="Calibri" w:cs="Calibri"/>
                <w:color w:val="000000"/>
                <w:sz w:val="22"/>
                <w:szCs w:val="22"/>
              </w:rPr>
            </w:pPr>
            <w:r w:rsidRPr="00C1440F">
              <w:rPr>
                <w:rFonts w:ascii="Calibri" w:hAnsi="Calibri" w:cs="Calibri"/>
                <w:color w:val="000000"/>
                <w:sz w:val="22"/>
                <w:szCs w:val="22"/>
              </w:rPr>
              <w:t>Hampshire</w:t>
            </w:r>
          </w:p>
        </w:tc>
        <w:tc>
          <w:tcPr>
            <w:tcW w:w="1718" w:type="dxa"/>
            <w:tcBorders>
              <w:top w:val="nil"/>
              <w:left w:val="nil"/>
              <w:bottom w:val="single" w:sz="4" w:space="0" w:color="auto"/>
              <w:right w:val="single" w:sz="4" w:space="0" w:color="auto"/>
            </w:tcBorders>
            <w:shd w:val="clear" w:color="auto" w:fill="auto"/>
            <w:hideMark/>
          </w:tcPr>
          <w:p w14:paraId="26188C1C" w14:textId="77777777" w:rsidR="00E95C0C" w:rsidRPr="00C1440F" w:rsidRDefault="00E95C0C" w:rsidP="006D4A84">
            <w:pPr>
              <w:jc w:val="center"/>
              <w:rPr>
                <w:rFonts w:ascii="Calibri" w:hAnsi="Calibri" w:cs="Calibri"/>
                <w:color w:val="000000"/>
                <w:sz w:val="22"/>
                <w:szCs w:val="22"/>
              </w:rPr>
            </w:pPr>
            <w:r w:rsidRPr="00C1440F">
              <w:rPr>
                <w:rFonts w:ascii="Calibri" w:hAnsi="Calibri" w:cs="Calibri"/>
                <w:color w:val="000000"/>
                <w:sz w:val="22"/>
                <w:szCs w:val="22"/>
              </w:rPr>
              <w:t>718.77</w:t>
            </w:r>
          </w:p>
        </w:tc>
        <w:tc>
          <w:tcPr>
            <w:tcW w:w="1750" w:type="dxa"/>
            <w:tcBorders>
              <w:top w:val="nil"/>
              <w:left w:val="nil"/>
              <w:bottom w:val="single" w:sz="4" w:space="0" w:color="auto"/>
              <w:right w:val="single" w:sz="4" w:space="0" w:color="auto"/>
            </w:tcBorders>
            <w:shd w:val="clear" w:color="auto" w:fill="auto"/>
            <w:hideMark/>
          </w:tcPr>
          <w:p w14:paraId="16C3E76A" w14:textId="77777777" w:rsidR="00E95C0C" w:rsidRPr="00C1440F" w:rsidRDefault="00E95C0C">
            <w:pPr>
              <w:jc w:val="center"/>
              <w:rPr>
                <w:rFonts w:ascii="Calibri" w:hAnsi="Calibri" w:cs="Calibri"/>
                <w:color w:val="000000"/>
                <w:sz w:val="22"/>
                <w:szCs w:val="22"/>
              </w:rPr>
            </w:pPr>
            <w:r w:rsidRPr="00C1440F">
              <w:rPr>
                <w:rFonts w:ascii="Calibri" w:hAnsi="Calibri" w:cs="Calibri"/>
                <w:color w:val="000000"/>
                <w:sz w:val="22"/>
                <w:szCs w:val="22"/>
              </w:rPr>
              <w:t>754.71</w:t>
            </w:r>
          </w:p>
        </w:tc>
        <w:tc>
          <w:tcPr>
            <w:tcW w:w="1586" w:type="dxa"/>
            <w:tcBorders>
              <w:top w:val="nil"/>
              <w:left w:val="nil"/>
              <w:bottom w:val="single" w:sz="4" w:space="0" w:color="auto"/>
              <w:right w:val="single" w:sz="4" w:space="0" w:color="auto"/>
            </w:tcBorders>
            <w:shd w:val="clear" w:color="auto" w:fill="auto"/>
            <w:hideMark/>
          </w:tcPr>
          <w:p w14:paraId="74918DCB" w14:textId="77777777" w:rsidR="00E95C0C" w:rsidRPr="00C1440F" w:rsidRDefault="00E95C0C">
            <w:pPr>
              <w:jc w:val="center"/>
              <w:rPr>
                <w:rFonts w:ascii="Calibri" w:hAnsi="Calibri" w:cs="Calibri"/>
                <w:sz w:val="22"/>
                <w:szCs w:val="22"/>
              </w:rPr>
            </w:pPr>
            <w:r w:rsidRPr="00C1440F">
              <w:rPr>
                <w:rFonts w:ascii="Calibri" w:hAnsi="Calibri" w:cs="Calibri"/>
                <w:sz w:val="22"/>
                <w:szCs w:val="22"/>
              </w:rPr>
              <w:t>767.61</w:t>
            </w:r>
          </w:p>
        </w:tc>
        <w:tc>
          <w:tcPr>
            <w:tcW w:w="1898" w:type="dxa"/>
            <w:tcBorders>
              <w:top w:val="nil"/>
              <w:left w:val="nil"/>
              <w:bottom w:val="single" w:sz="4" w:space="0" w:color="auto"/>
              <w:right w:val="single" w:sz="4" w:space="0" w:color="auto"/>
            </w:tcBorders>
            <w:shd w:val="clear" w:color="auto" w:fill="auto"/>
            <w:noWrap/>
            <w:hideMark/>
          </w:tcPr>
          <w:p w14:paraId="0EF99F1B" w14:textId="77777777" w:rsidR="00E95C0C" w:rsidRPr="00C1440F" w:rsidRDefault="00E95C0C">
            <w:pPr>
              <w:jc w:val="center"/>
              <w:rPr>
                <w:rFonts w:ascii="Calibri" w:hAnsi="Calibri" w:cs="Calibri"/>
                <w:sz w:val="22"/>
                <w:szCs w:val="22"/>
              </w:rPr>
            </w:pPr>
            <w:r w:rsidRPr="00C1440F">
              <w:rPr>
                <w:rFonts w:ascii="Calibri" w:hAnsi="Calibri" w:cs="Calibri"/>
                <w:sz w:val="22"/>
                <w:szCs w:val="22"/>
              </w:rPr>
              <w:t>786.89</w:t>
            </w:r>
          </w:p>
        </w:tc>
        <w:tc>
          <w:tcPr>
            <w:tcW w:w="2168" w:type="dxa"/>
            <w:tcBorders>
              <w:top w:val="nil"/>
              <w:left w:val="nil"/>
              <w:bottom w:val="single" w:sz="4" w:space="0" w:color="auto"/>
              <w:right w:val="single" w:sz="4" w:space="0" w:color="auto"/>
            </w:tcBorders>
            <w:shd w:val="clear" w:color="auto" w:fill="auto"/>
            <w:hideMark/>
          </w:tcPr>
          <w:p w14:paraId="19599A1D" w14:textId="77777777" w:rsidR="00E95C0C" w:rsidRPr="00C1440F" w:rsidRDefault="00E95C0C">
            <w:pPr>
              <w:jc w:val="center"/>
              <w:rPr>
                <w:rFonts w:ascii="Calibri" w:hAnsi="Calibri" w:cs="Calibri"/>
                <w:color w:val="000000"/>
                <w:sz w:val="22"/>
                <w:szCs w:val="22"/>
              </w:rPr>
            </w:pPr>
            <w:r w:rsidRPr="00C1440F">
              <w:rPr>
                <w:rFonts w:ascii="Calibri" w:hAnsi="Calibri" w:cs="Calibri"/>
                <w:color w:val="000000"/>
                <w:sz w:val="22"/>
                <w:szCs w:val="22"/>
              </w:rPr>
              <w:t>786.80</w:t>
            </w:r>
          </w:p>
        </w:tc>
        <w:tc>
          <w:tcPr>
            <w:tcW w:w="2413" w:type="dxa"/>
            <w:tcBorders>
              <w:top w:val="nil"/>
              <w:left w:val="nil"/>
              <w:bottom w:val="single" w:sz="4" w:space="0" w:color="auto"/>
              <w:right w:val="single" w:sz="4" w:space="0" w:color="auto"/>
            </w:tcBorders>
            <w:shd w:val="clear" w:color="auto" w:fill="auto"/>
            <w:hideMark/>
          </w:tcPr>
          <w:p w14:paraId="6F3A466B" w14:textId="77777777" w:rsidR="00E95C0C" w:rsidRPr="00C1440F" w:rsidRDefault="00E95C0C">
            <w:pPr>
              <w:jc w:val="center"/>
              <w:rPr>
                <w:rFonts w:ascii="Calibri" w:hAnsi="Calibri" w:cs="Calibri"/>
                <w:color w:val="000000"/>
                <w:sz w:val="22"/>
                <w:szCs w:val="22"/>
              </w:rPr>
            </w:pPr>
            <w:r w:rsidRPr="00C1440F">
              <w:rPr>
                <w:rFonts w:ascii="Calibri" w:hAnsi="Calibri" w:cs="Calibri"/>
                <w:color w:val="000000"/>
                <w:sz w:val="22"/>
                <w:szCs w:val="22"/>
              </w:rPr>
              <w:t>771.06</w:t>
            </w:r>
          </w:p>
        </w:tc>
      </w:tr>
      <w:tr w:rsidR="00E95C0C" w:rsidRPr="00C1440F" w14:paraId="201AE089" w14:textId="77777777" w:rsidTr="00E95C0C">
        <w:trPr>
          <w:trHeight w:val="278"/>
        </w:trPr>
        <w:tc>
          <w:tcPr>
            <w:tcW w:w="1442" w:type="dxa"/>
            <w:tcBorders>
              <w:top w:val="nil"/>
              <w:left w:val="single" w:sz="4" w:space="0" w:color="auto"/>
              <w:bottom w:val="single" w:sz="4" w:space="0" w:color="auto"/>
              <w:right w:val="single" w:sz="4" w:space="0" w:color="auto"/>
            </w:tcBorders>
            <w:shd w:val="clear" w:color="auto" w:fill="auto"/>
            <w:noWrap/>
            <w:hideMark/>
          </w:tcPr>
          <w:p w14:paraId="573E92C9" w14:textId="77777777" w:rsidR="00E95C0C" w:rsidRPr="00C1440F" w:rsidRDefault="00E95C0C" w:rsidP="00C1440F">
            <w:pPr>
              <w:rPr>
                <w:rFonts w:ascii="Calibri" w:hAnsi="Calibri" w:cs="Calibri"/>
                <w:color w:val="000000"/>
                <w:sz w:val="22"/>
                <w:szCs w:val="22"/>
              </w:rPr>
            </w:pPr>
            <w:r w:rsidRPr="00C1440F">
              <w:rPr>
                <w:rFonts w:ascii="Calibri" w:hAnsi="Calibri" w:cs="Calibri"/>
                <w:color w:val="000000"/>
                <w:sz w:val="22"/>
                <w:szCs w:val="22"/>
              </w:rPr>
              <w:t>Middlesex</w:t>
            </w:r>
          </w:p>
        </w:tc>
        <w:tc>
          <w:tcPr>
            <w:tcW w:w="1718" w:type="dxa"/>
            <w:tcBorders>
              <w:top w:val="nil"/>
              <w:left w:val="nil"/>
              <w:bottom w:val="single" w:sz="4" w:space="0" w:color="auto"/>
              <w:right w:val="single" w:sz="4" w:space="0" w:color="auto"/>
            </w:tcBorders>
            <w:shd w:val="clear" w:color="auto" w:fill="auto"/>
            <w:hideMark/>
          </w:tcPr>
          <w:p w14:paraId="16920A94" w14:textId="77777777" w:rsidR="00E95C0C" w:rsidRPr="00C1440F" w:rsidRDefault="00E95C0C" w:rsidP="006D4A84">
            <w:pPr>
              <w:jc w:val="center"/>
              <w:rPr>
                <w:rFonts w:ascii="Calibri" w:hAnsi="Calibri" w:cs="Calibri"/>
                <w:color w:val="000000"/>
                <w:sz w:val="22"/>
                <w:szCs w:val="22"/>
              </w:rPr>
            </w:pPr>
            <w:r w:rsidRPr="00C1440F">
              <w:rPr>
                <w:rFonts w:ascii="Calibri" w:hAnsi="Calibri" w:cs="Calibri"/>
                <w:color w:val="000000"/>
                <w:sz w:val="22"/>
                <w:szCs w:val="22"/>
              </w:rPr>
              <w:t>817.95</w:t>
            </w:r>
          </w:p>
        </w:tc>
        <w:tc>
          <w:tcPr>
            <w:tcW w:w="1750" w:type="dxa"/>
            <w:tcBorders>
              <w:top w:val="nil"/>
              <w:left w:val="nil"/>
              <w:bottom w:val="single" w:sz="4" w:space="0" w:color="auto"/>
              <w:right w:val="single" w:sz="4" w:space="0" w:color="auto"/>
            </w:tcBorders>
            <w:shd w:val="clear" w:color="auto" w:fill="auto"/>
            <w:hideMark/>
          </w:tcPr>
          <w:p w14:paraId="7BAC9645" w14:textId="77777777" w:rsidR="00E95C0C" w:rsidRPr="00C1440F" w:rsidRDefault="00E95C0C">
            <w:pPr>
              <w:jc w:val="center"/>
              <w:rPr>
                <w:rFonts w:ascii="Calibri" w:hAnsi="Calibri" w:cs="Calibri"/>
                <w:color w:val="000000"/>
                <w:sz w:val="22"/>
                <w:szCs w:val="22"/>
              </w:rPr>
            </w:pPr>
            <w:r w:rsidRPr="00C1440F">
              <w:rPr>
                <w:rFonts w:ascii="Calibri" w:hAnsi="Calibri" w:cs="Calibri"/>
                <w:color w:val="000000"/>
                <w:sz w:val="22"/>
                <w:szCs w:val="22"/>
              </w:rPr>
              <w:t>858.85</w:t>
            </w:r>
          </w:p>
        </w:tc>
        <w:tc>
          <w:tcPr>
            <w:tcW w:w="1586" w:type="dxa"/>
            <w:tcBorders>
              <w:top w:val="nil"/>
              <w:left w:val="nil"/>
              <w:bottom w:val="single" w:sz="4" w:space="0" w:color="auto"/>
              <w:right w:val="single" w:sz="4" w:space="0" w:color="auto"/>
            </w:tcBorders>
            <w:shd w:val="clear" w:color="auto" w:fill="auto"/>
            <w:hideMark/>
          </w:tcPr>
          <w:p w14:paraId="270DD259" w14:textId="77777777" w:rsidR="00E95C0C" w:rsidRPr="00C1440F" w:rsidRDefault="00E95C0C">
            <w:pPr>
              <w:jc w:val="center"/>
              <w:rPr>
                <w:rFonts w:ascii="Calibri" w:hAnsi="Calibri" w:cs="Calibri"/>
                <w:sz w:val="22"/>
                <w:szCs w:val="22"/>
              </w:rPr>
            </w:pPr>
            <w:r w:rsidRPr="00C1440F">
              <w:rPr>
                <w:rFonts w:ascii="Calibri" w:hAnsi="Calibri" w:cs="Calibri"/>
                <w:sz w:val="22"/>
                <w:szCs w:val="22"/>
              </w:rPr>
              <w:t>873.53</w:t>
            </w:r>
          </w:p>
        </w:tc>
        <w:tc>
          <w:tcPr>
            <w:tcW w:w="1898" w:type="dxa"/>
            <w:tcBorders>
              <w:top w:val="nil"/>
              <w:left w:val="nil"/>
              <w:bottom w:val="single" w:sz="4" w:space="0" w:color="auto"/>
              <w:right w:val="single" w:sz="4" w:space="0" w:color="auto"/>
            </w:tcBorders>
            <w:shd w:val="clear" w:color="auto" w:fill="auto"/>
            <w:noWrap/>
            <w:hideMark/>
          </w:tcPr>
          <w:p w14:paraId="584B6EC8" w14:textId="77777777" w:rsidR="00E95C0C" w:rsidRPr="00C1440F" w:rsidRDefault="00E95C0C">
            <w:pPr>
              <w:jc w:val="center"/>
              <w:rPr>
                <w:rFonts w:ascii="Calibri" w:hAnsi="Calibri" w:cs="Calibri"/>
                <w:sz w:val="22"/>
                <w:szCs w:val="22"/>
              </w:rPr>
            </w:pPr>
            <w:r w:rsidRPr="00C1440F">
              <w:rPr>
                <w:rFonts w:ascii="Calibri" w:hAnsi="Calibri" w:cs="Calibri"/>
                <w:sz w:val="22"/>
                <w:szCs w:val="22"/>
              </w:rPr>
              <w:t>895.47</w:t>
            </w:r>
          </w:p>
        </w:tc>
        <w:tc>
          <w:tcPr>
            <w:tcW w:w="2168" w:type="dxa"/>
            <w:tcBorders>
              <w:top w:val="nil"/>
              <w:left w:val="nil"/>
              <w:bottom w:val="single" w:sz="4" w:space="0" w:color="auto"/>
              <w:right w:val="single" w:sz="4" w:space="0" w:color="auto"/>
            </w:tcBorders>
            <w:shd w:val="clear" w:color="auto" w:fill="auto"/>
            <w:hideMark/>
          </w:tcPr>
          <w:p w14:paraId="60E5CF50" w14:textId="77777777" w:rsidR="00E95C0C" w:rsidRPr="00C1440F" w:rsidRDefault="00E95C0C">
            <w:pPr>
              <w:jc w:val="center"/>
              <w:rPr>
                <w:rFonts w:ascii="Calibri" w:hAnsi="Calibri" w:cs="Calibri"/>
                <w:color w:val="000000"/>
                <w:sz w:val="22"/>
                <w:szCs w:val="22"/>
              </w:rPr>
            </w:pPr>
            <w:r w:rsidRPr="00C1440F">
              <w:rPr>
                <w:rFonts w:ascii="Calibri" w:hAnsi="Calibri" w:cs="Calibri"/>
                <w:color w:val="000000"/>
                <w:sz w:val="22"/>
                <w:szCs w:val="22"/>
              </w:rPr>
              <w:t>894.28</w:t>
            </w:r>
          </w:p>
        </w:tc>
        <w:tc>
          <w:tcPr>
            <w:tcW w:w="2413" w:type="dxa"/>
            <w:tcBorders>
              <w:top w:val="nil"/>
              <w:left w:val="nil"/>
              <w:bottom w:val="single" w:sz="4" w:space="0" w:color="auto"/>
              <w:right w:val="single" w:sz="4" w:space="0" w:color="auto"/>
            </w:tcBorders>
            <w:shd w:val="clear" w:color="auto" w:fill="auto"/>
            <w:hideMark/>
          </w:tcPr>
          <w:p w14:paraId="540D5FA3" w14:textId="77777777" w:rsidR="00E95C0C" w:rsidRPr="00C1440F" w:rsidRDefault="00E95C0C">
            <w:pPr>
              <w:jc w:val="center"/>
              <w:rPr>
                <w:rFonts w:ascii="Calibri" w:hAnsi="Calibri" w:cs="Calibri"/>
                <w:color w:val="000000"/>
                <w:sz w:val="22"/>
                <w:szCs w:val="22"/>
              </w:rPr>
            </w:pPr>
            <w:r w:rsidRPr="00C1440F">
              <w:rPr>
                <w:rFonts w:ascii="Calibri" w:hAnsi="Calibri" w:cs="Calibri"/>
                <w:color w:val="000000"/>
                <w:sz w:val="22"/>
                <w:szCs w:val="22"/>
              </w:rPr>
              <w:t>876.39</w:t>
            </w:r>
          </w:p>
        </w:tc>
      </w:tr>
      <w:tr w:rsidR="00E95C0C" w:rsidRPr="00C1440F" w14:paraId="180F5D79" w14:textId="77777777" w:rsidTr="00E95C0C">
        <w:trPr>
          <w:trHeight w:val="278"/>
        </w:trPr>
        <w:tc>
          <w:tcPr>
            <w:tcW w:w="1442" w:type="dxa"/>
            <w:tcBorders>
              <w:top w:val="nil"/>
              <w:left w:val="single" w:sz="4" w:space="0" w:color="auto"/>
              <w:bottom w:val="single" w:sz="4" w:space="0" w:color="auto"/>
              <w:right w:val="single" w:sz="4" w:space="0" w:color="auto"/>
            </w:tcBorders>
            <w:shd w:val="clear" w:color="auto" w:fill="auto"/>
            <w:noWrap/>
            <w:hideMark/>
          </w:tcPr>
          <w:p w14:paraId="4224A5F6" w14:textId="77777777" w:rsidR="00E95C0C" w:rsidRPr="00C1440F" w:rsidRDefault="00E95C0C" w:rsidP="00C1440F">
            <w:pPr>
              <w:rPr>
                <w:rFonts w:ascii="Calibri" w:hAnsi="Calibri" w:cs="Calibri"/>
                <w:color w:val="000000"/>
                <w:sz w:val="22"/>
                <w:szCs w:val="22"/>
              </w:rPr>
            </w:pPr>
            <w:r w:rsidRPr="00C1440F">
              <w:rPr>
                <w:rFonts w:ascii="Calibri" w:hAnsi="Calibri" w:cs="Calibri"/>
                <w:color w:val="000000"/>
                <w:sz w:val="22"/>
                <w:szCs w:val="22"/>
              </w:rPr>
              <w:t>Norfolk</w:t>
            </w:r>
          </w:p>
        </w:tc>
        <w:tc>
          <w:tcPr>
            <w:tcW w:w="1718" w:type="dxa"/>
            <w:tcBorders>
              <w:top w:val="nil"/>
              <w:left w:val="nil"/>
              <w:bottom w:val="single" w:sz="4" w:space="0" w:color="auto"/>
              <w:right w:val="single" w:sz="4" w:space="0" w:color="auto"/>
            </w:tcBorders>
            <w:shd w:val="clear" w:color="auto" w:fill="auto"/>
            <w:hideMark/>
          </w:tcPr>
          <w:p w14:paraId="12FF9F11" w14:textId="77777777" w:rsidR="00E95C0C" w:rsidRPr="00C1440F" w:rsidRDefault="00E95C0C" w:rsidP="006D4A84">
            <w:pPr>
              <w:jc w:val="center"/>
              <w:rPr>
                <w:rFonts w:ascii="Calibri" w:hAnsi="Calibri" w:cs="Calibri"/>
                <w:color w:val="000000"/>
                <w:sz w:val="22"/>
                <w:szCs w:val="22"/>
              </w:rPr>
            </w:pPr>
            <w:r w:rsidRPr="00C1440F">
              <w:rPr>
                <w:rFonts w:ascii="Calibri" w:hAnsi="Calibri" w:cs="Calibri"/>
                <w:color w:val="000000"/>
                <w:sz w:val="22"/>
                <w:szCs w:val="22"/>
              </w:rPr>
              <w:t>836.70</w:t>
            </w:r>
          </w:p>
        </w:tc>
        <w:tc>
          <w:tcPr>
            <w:tcW w:w="1750" w:type="dxa"/>
            <w:tcBorders>
              <w:top w:val="nil"/>
              <w:left w:val="nil"/>
              <w:bottom w:val="single" w:sz="4" w:space="0" w:color="auto"/>
              <w:right w:val="single" w:sz="4" w:space="0" w:color="auto"/>
            </w:tcBorders>
            <w:shd w:val="clear" w:color="auto" w:fill="auto"/>
            <w:hideMark/>
          </w:tcPr>
          <w:p w14:paraId="73861AB3" w14:textId="77777777" w:rsidR="00E95C0C" w:rsidRPr="00C1440F" w:rsidRDefault="00E95C0C">
            <w:pPr>
              <w:jc w:val="center"/>
              <w:rPr>
                <w:rFonts w:ascii="Calibri" w:hAnsi="Calibri" w:cs="Calibri"/>
                <w:color w:val="000000"/>
                <w:sz w:val="22"/>
                <w:szCs w:val="22"/>
              </w:rPr>
            </w:pPr>
            <w:r w:rsidRPr="00C1440F">
              <w:rPr>
                <w:rFonts w:ascii="Calibri" w:hAnsi="Calibri" w:cs="Calibri"/>
                <w:color w:val="000000"/>
                <w:sz w:val="22"/>
                <w:szCs w:val="22"/>
              </w:rPr>
              <w:t>878.54</w:t>
            </w:r>
          </w:p>
        </w:tc>
        <w:tc>
          <w:tcPr>
            <w:tcW w:w="1586" w:type="dxa"/>
            <w:tcBorders>
              <w:top w:val="nil"/>
              <w:left w:val="nil"/>
              <w:bottom w:val="single" w:sz="4" w:space="0" w:color="auto"/>
              <w:right w:val="single" w:sz="4" w:space="0" w:color="auto"/>
            </w:tcBorders>
            <w:shd w:val="clear" w:color="auto" w:fill="auto"/>
            <w:hideMark/>
          </w:tcPr>
          <w:p w14:paraId="7ABB48D3" w14:textId="77777777" w:rsidR="00E95C0C" w:rsidRPr="00C1440F" w:rsidRDefault="00E95C0C">
            <w:pPr>
              <w:jc w:val="center"/>
              <w:rPr>
                <w:rFonts w:ascii="Calibri" w:hAnsi="Calibri" w:cs="Calibri"/>
                <w:sz w:val="22"/>
                <w:szCs w:val="22"/>
              </w:rPr>
            </w:pPr>
            <w:r w:rsidRPr="00C1440F">
              <w:rPr>
                <w:rFonts w:ascii="Calibri" w:hAnsi="Calibri" w:cs="Calibri"/>
                <w:sz w:val="22"/>
                <w:szCs w:val="22"/>
              </w:rPr>
              <w:t>893.56</w:t>
            </w:r>
          </w:p>
        </w:tc>
        <w:tc>
          <w:tcPr>
            <w:tcW w:w="1898" w:type="dxa"/>
            <w:tcBorders>
              <w:top w:val="nil"/>
              <w:left w:val="nil"/>
              <w:bottom w:val="single" w:sz="4" w:space="0" w:color="auto"/>
              <w:right w:val="single" w:sz="4" w:space="0" w:color="auto"/>
            </w:tcBorders>
            <w:shd w:val="clear" w:color="auto" w:fill="auto"/>
            <w:noWrap/>
            <w:hideMark/>
          </w:tcPr>
          <w:p w14:paraId="7DE5B3F8" w14:textId="77777777" w:rsidR="00E95C0C" w:rsidRPr="00C1440F" w:rsidRDefault="00E95C0C">
            <w:pPr>
              <w:jc w:val="center"/>
              <w:rPr>
                <w:rFonts w:ascii="Calibri" w:hAnsi="Calibri" w:cs="Calibri"/>
                <w:sz w:val="22"/>
                <w:szCs w:val="22"/>
              </w:rPr>
            </w:pPr>
            <w:r w:rsidRPr="00C1440F">
              <w:rPr>
                <w:rFonts w:ascii="Calibri" w:hAnsi="Calibri" w:cs="Calibri"/>
                <w:sz w:val="22"/>
                <w:szCs w:val="22"/>
              </w:rPr>
              <w:t>916.00</w:t>
            </w:r>
          </w:p>
        </w:tc>
        <w:tc>
          <w:tcPr>
            <w:tcW w:w="2168" w:type="dxa"/>
            <w:tcBorders>
              <w:top w:val="nil"/>
              <w:left w:val="nil"/>
              <w:bottom w:val="single" w:sz="4" w:space="0" w:color="auto"/>
              <w:right w:val="single" w:sz="4" w:space="0" w:color="auto"/>
            </w:tcBorders>
            <w:shd w:val="clear" w:color="auto" w:fill="auto"/>
            <w:hideMark/>
          </w:tcPr>
          <w:p w14:paraId="703631E5" w14:textId="77777777" w:rsidR="00E95C0C" w:rsidRPr="00C1440F" w:rsidRDefault="00E95C0C">
            <w:pPr>
              <w:jc w:val="center"/>
              <w:rPr>
                <w:rFonts w:ascii="Calibri" w:hAnsi="Calibri" w:cs="Calibri"/>
                <w:color w:val="000000"/>
                <w:sz w:val="22"/>
                <w:szCs w:val="22"/>
              </w:rPr>
            </w:pPr>
            <w:r w:rsidRPr="00C1440F">
              <w:rPr>
                <w:rFonts w:ascii="Calibri" w:hAnsi="Calibri" w:cs="Calibri"/>
                <w:color w:val="000000"/>
                <w:sz w:val="22"/>
                <w:szCs w:val="22"/>
              </w:rPr>
              <w:t>915.23</w:t>
            </w:r>
          </w:p>
        </w:tc>
        <w:tc>
          <w:tcPr>
            <w:tcW w:w="2413" w:type="dxa"/>
            <w:tcBorders>
              <w:top w:val="nil"/>
              <w:left w:val="nil"/>
              <w:bottom w:val="single" w:sz="4" w:space="0" w:color="auto"/>
              <w:right w:val="single" w:sz="4" w:space="0" w:color="auto"/>
            </w:tcBorders>
            <w:shd w:val="clear" w:color="auto" w:fill="auto"/>
            <w:hideMark/>
          </w:tcPr>
          <w:p w14:paraId="28B08C9E" w14:textId="77777777" w:rsidR="00E95C0C" w:rsidRPr="00C1440F" w:rsidRDefault="00E95C0C">
            <w:pPr>
              <w:jc w:val="center"/>
              <w:rPr>
                <w:rFonts w:ascii="Calibri" w:hAnsi="Calibri" w:cs="Calibri"/>
                <w:color w:val="000000"/>
                <w:sz w:val="22"/>
                <w:szCs w:val="22"/>
              </w:rPr>
            </w:pPr>
            <w:r w:rsidRPr="00C1440F">
              <w:rPr>
                <w:rFonts w:ascii="Calibri" w:hAnsi="Calibri" w:cs="Calibri"/>
                <w:color w:val="000000"/>
                <w:sz w:val="22"/>
                <w:szCs w:val="22"/>
              </w:rPr>
              <w:t>896.93</w:t>
            </w:r>
          </w:p>
        </w:tc>
      </w:tr>
      <w:tr w:rsidR="00E95C0C" w:rsidRPr="00C1440F" w14:paraId="1B122F98" w14:textId="77777777" w:rsidTr="00E95C0C">
        <w:trPr>
          <w:trHeight w:val="278"/>
        </w:trPr>
        <w:tc>
          <w:tcPr>
            <w:tcW w:w="1442" w:type="dxa"/>
            <w:tcBorders>
              <w:top w:val="nil"/>
              <w:left w:val="single" w:sz="4" w:space="0" w:color="auto"/>
              <w:bottom w:val="single" w:sz="4" w:space="0" w:color="auto"/>
              <w:right w:val="single" w:sz="4" w:space="0" w:color="auto"/>
            </w:tcBorders>
            <w:shd w:val="clear" w:color="auto" w:fill="auto"/>
            <w:noWrap/>
            <w:hideMark/>
          </w:tcPr>
          <w:p w14:paraId="208196CB" w14:textId="77777777" w:rsidR="00E95C0C" w:rsidRPr="00C1440F" w:rsidRDefault="00E95C0C" w:rsidP="00C1440F">
            <w:pPr>
              <w:rPr>
                <w:rFonts w:ascii="Calibri" w:hAnsi="Calibri" w:cs="Calibri"/>
                <w:color w:val="000000"/>
                <w:sz w:val="22"/>
                <w:szCs w:val="22"/>
              </w:rPr>
            </w:pPr>
            <w:r w:rsidRPr="00C1440F">
              <w:rPr>
                <w:rFonts w:ascii="Calibri" w:hAnsi="Calibri" w:cs="Calibri"/>
                <w:color w:val="000000"/>
                <w:sz w:val="22"/>
                <w:szCs w:val="22"/>
              </w:rPr>
              <w:t>Plymouth</w:t>
            </w:r>
          </w:p>
        </w:tc>
        <w:tc>
          <w:tcPr>
            <w:tcW w:w="1718" w:type="dxa"/>
            <w:tcBorders>
              <w:top w:val="nil"/>
              <w:left w:val="nil"/>
              <w:bottom w:val="single" w:sz="4" w:space="0" w:color="auto"/>
              <w:right w:val="single" w:sz="4" w:space="0" w:color="auto"/>
            </w:tcBorders>
            <w:shd w:val="clear" w:color="auto" w:fill="auto"/>
            <w:hideMark/>
          </w:tcPr>
          <w:p w14:paraId="2682A730" w14:textId="77777777" w:rsidR="00E95C0C" w:rsidRPr="00C1440F" w:rsidRDefault="00E95C0C" w:rsidP="006D4A84">
            <w:pPr>
              <w:jc w:val="center"/>
              <w:rPr>
                <w:rFonts w:ascii="Calibri" w:hAnsi="Calibri" w:cs="Calibri"/>
                <w:color w:val="000000"/>
                <w:sz w:val="22"/>
                <w:szCs w:val="22"/>
              </w:rPr>
            </w:pPr>
            <w:r w:rsidRPr="00C1440F">
              <w:rPr>
                <w:rFonts w:ascii="Calibri" w:hAnsi="Calibri" w:cs="Calibri"/>
                <w:color w:val="000000"/>
                <w:sz w:val="22"/>
                <w:szCs w:val="22"/>
              </w:rPr>
              <w:t>871.84</w:t>
            </w:r>
          </w:p>
        </w:tc>
        <w:tc>
          <w:tcPr>
            <w:tcW w:w="1750" w:type="dxa"/>
            <w:tcBorders>
              <w:top w:val="nil"/>
              <w:left w:val="nil"/>
              <w:bottom w:val="single" w:sz="4" w:space="0" w:color="auto"/>
              <w:right w:val="single" w:sz="4" w:space="0" w:color="auto"/>
            </w:tcBorders>
            <w:shd w:val="clear" w:color="auto" w:fill="auto"/>
            <w:hideMark/>
          </w:tcPr>
          <w:p w14:paraId="7D54B42D" w14:textId="77777777" w:rsidR="00E95C0C" w:rsidRPr="00C1440F" w:rsidRDefault="00E95C0C">
            <w:pPr>
              <w:jc w:val="center"/>
              <w:rPr>
                <w:rFonts w:ascii="Calibri" w:hAnsi="Calibri" w:cs="Calibri"/>
                <w:color w:val="000000"/>
                <w:sz w:val="22"/>
                <w:szCs w:val="22"/>
              </w:rPr>
            </w:pPr>
            <w:r w:rsidRPr="00C1440F">
              <w:rPr>
                <w:rFonts w:ascii="Calibri" w:hAnsi="Calibri" w:cs="Calibri"/>
                <w:color w:val="000000"/>
                <w:sz w:val="22"/>
                <w:szCs w:val="22"/>
              </w:rPr>
              <w:t>915.43</w:t>
            </w:r>
          </w:p>
        </w:tc>
        <w:tc>
          <w:tcPr>
            <w:tcW w:w="1586" w:type="dxa"/>
            <w:tcBorders>
              <w:top w:val="nil"/>
              <w:left w:val="nil"/>
              <w:bottom w:val="single" w:sz="4" w:space="0" w:color="auto"/>
              <w:right w:val="single" w:sz="4" w:space="0" w:color="auto"/>
            </w:tcBorders>
            <w:shd w:val="clear" w:color="auto" w:fill="auto"/>
            <w:hideMark/>
          </w:tcPr>
          <w:p w14:paraId="35911716" w14:textId="77777777" w:rsidR="00E95C0C" w:rsidRPr="00C1440F" w:rsidRDefault="00E95C0C">
            <w:pPr>
              <w:jc w:val="center"/>
              <w:rPr>
                <w:rFonts w:ascii="Calibri" w:hAnsi="Calibri" w:cs="Calibri"/>
                <w:sz w:val="22"/>
                <w:szCs w:val="22"/>
              </w:rPr>
            </w:pPr>
            <w:r w:rsidRPr="00C1440F">
              <w:rPr>
                <w:rFonts w:ascii="Calibri" w:hAnsi="Calibri" w:cs="Calibri"/>
                <w:sz w:val="22"/>
                <w:szCs w:val="22"/>
              </w:rPr>
              <w:t>931.09</w:t>
            </w:r>
          </w:p>
        </w:tc>
        <w:tc>
          <w:tcPr>
            <w:tcW w:w="1898" w:type="dxa"/>
            <w:tcBorders>
              <w:top w:val="nil"/>
              <w:left w:val="nil"/>
              <w:bottom w:val="single" w:sz="4" w:space="0" w:color="auto"/>
              <w:right w:val="single" w:sz="4" w:space="0" w:color="auto"/>
            </w:tcBorders>
            <w:shd w:val="clear" w:color="auto" w:fill="auto"/>
            <w:noWrap/>
            <w:hideMark/>
          </w:tcPr>
          <w:p w14:paraId="1A2F80D5" w14:textId="77777777" w:rsidR="00E95C0C" w:rsidRPr="00C1440F" w:rsidRDefault="00E95C0C">
            <w:pPr>
              <w:jc w:val="center"/>
              <w:rPr>
                <w:rFonts w:ascii="Calibri" w:hAnsi="Calibri" w:cs="Calibri"/>
                <w:sz w:val="22"/>
                <w:szCs w:val="22"/>
              </w:rPr>
            </w:pPr>
            <w:r w:rsidRPr="00C1440F">
              <w:rPr>
                <w:rFonts w:ascii="Calibri" w:hAnsi="Calibri" w:cs="Calibri"/>
                <w:sz w:val="22"/>
                <w:szCs w:val="22"/>
              </w:rPr>
              <w:t>954.47</w:t>
            </w:r>
          </w:p>
        </w:tc>
        <w:tc>
          <w:tcPr>
            <w:tcW w:w="2168" w:type="dxa"/>
            <w:tcBorders>
              <w:top w:val="nil"/>
              <w:left w:val="nil"/>
              <w:bottom w:val="single" w:sz="4" w:space="0" w:color="auto"/>
              <w:right w:val="single" w:sz="4" w:space="0" w:color="auto"/>
            </w:tcBorders>
            <w:shd w:val="clear" w:color="auto" w:fill="auto"/>
            <w:hideMark/>
          </w:tcPr>
          <w:p w14:paraId="2B6E3D0D" w14:textId="77777777" w:rsidR="00E95C0C" w:rsidRPr="00C1440F" w:rsidRDefault="00E95C0C">
            <w:pPr>
              <w:jc w:val="center"/>
              <w:rPr>
                <w:rFonts w:ascii="Calibri" w:hAnsi="Calibri" w:cs="Calibri"/>
                <w:color w:val="000000"/>
                <w:sz w:val="22"/>
                <w:szCs w:val="22"/>
              </w:rPr>
            </w:pPr>
            <w:r w:rsidRPr="00C1440F">
              <w:rPr>
                <w:rFonts w:ascii="Calibri" w:hAnsi="Calibri" w:cs="Calibri"/>
                <w:color w:val="000000"/>
                <w:sz w:val="22"/>
                <w:szCs w:val="22"/>
              </w:rPr>
              <w:t>953.77</w:t>
            </w:r>
          </w:p>
        </w:tc>
        <w:tc>
          <w:tcPr>
            <w:tcW w:w="2413" w:type="dxa"/>
            <w:tcBorders>
              <w:top w:val="nil"/>
              <w:left w:val="nil"/>
              <w:bottom w:val="single" w:sz="4" w:space="0" w:color="auto"/>
              <w:right w:val="single" w:sz="4" w:space="0" w:color="auto"/>
            </w:tcBorders>
            <w:shd w:val="clear" w:color="auto" w:fill="auto"/>
            <w:hideMark/>
          </w:tcPr>
          <w:p w14:paraId="215027C3" w14:textId="6365168E" w:rsidR="00E95C0C" w:rsidRPr="00C1440F" w:rsidRDefault="00E95C0C" w:rsidP="00BC6054">
            <w:pPr>
              <w:jc w:val="center"/>
              <w:rPr>
                <w:rFonts w:ascii="Calibri" w:hAnsi="Calibri" w:cs="Calibri"/>
                <w:color w:val="000000"/>
                <w:sz w:val="22"/>
                <w:szCs w:val="22"/>
              </w:rPr>
            </w:pPr>
            <w:r w:rsidRPr="00C1440F">
              <w:rPr>
                <w:rFonts w:ascii="Calibri" w:hAnsi="Calibri" w:cs="Calibri"/>
                <w:color w:val="000000"/>
                <w:sz w:val="22"/>
                <w:szCs w:val="22"/>
              </w:rPr>
              <w:t>934.</w:t>
            </w:r>
            <w:r w:rsidR="00BC6054" w:rsidRPr="00BC6054">
              <w:rPr>
                <w:rFonts w:ascii="Calibri" w:hAnsi="Calibri" w:cs="Calibri"/>
                <w:color w:val="000000"/>
                <w:sz w:val="22"/>
                <w:szCs w:val="22"/>
              </w:rPr>
              <w:t>70</w:t>
            </w:r>
          </w:p>
        </w:tc>
      </w:tr>
      <w:tr w:rsidR="00E95C0C" w:rsidRPr="00C1440F" w14:paraId="0C359943" w14:textId="77777777" w:rsidTr="00E95C0C">
        <w:trPr>
          <w:trHeight w:val="278"/>
        </w:trPr>
        <w:tc>
          <w:tcPr>
            <w:tcW w:w="1442" w:type="dxa"/>
            <w:tcBorders>
              <w:top w:val="nil"/>
              <w:left w:val="single" w:sz="4" w:space="0" w:color="auto"/>
              <w:bottom w:val="single" w:sz="4" w:space="0" w:color="auto"/>
              <w:right w:val="single" w:sz="4" w:space="0" w:color="auto"/>
            </w:tcBorders>
            <w:shd w:val="clear" w:color="auto" w:fill="auto"/>
            <w:noWrap/>
            <w:hideMark/>
          </w:tcPr>
          <w:p w14:paraId="23B8A633" w14:textId="77777777" w:rsidR="00E95C0C" w:rsidRPr="00C1440F" w:rsidRDefault="00E95C0C" w:rsidP="00C1440F">
            <w:pPr>
              <w:rPr>
                <w:rFonts w:ascii="Calibri" w:hAnsi="Calibri" w:cs="Calibri"/>
                <w:color w:val="000000"/>
                <w:sz w:val="22"/>
                <w:szCs w:val="22"/>
              </w:rPr>
            </w:pPr>
            <w:r w:rsidRPr="00C1440F">
              <w:rPr>
                <w:rFonts w:ascii="Calibri" w:hAnsi="Calibri" w:cs="Calibri"/>
                <w:color w:val="000000"/>
                <w:sz w:val="22"/>
                <w:szCs w:val="22"/>
              </w:rPr>
              <w:t>Suffolk</w:t>
            </w:r>
          </w:p>
        </w:tc>
        <w:tc>
          <w:tcPr>
            <w:tcW w:w="1718" w:type="dxa"/>
            <w:tcBorders>
              <w:top w:val="nil"/>
              <w:left w:val="nil"/>
              <w:bottom w:val="single" w:sz="4" w:space="0" w:color="auto"/>
              <w:right w:val="single" w:sz="4" w:space="0" w:color="auto"/>
            </w:tcBorders>
            <w:shd w:val="clear" w:color="auto" w:fill="auto"/>
            <w:hideMark/>
          </w:tcPr>
          <w:p w14:paraId="7DCCAD0B" w14:textId="77777777" w:rsidR="00E95C0C" w:rsidRPr="00C1440F" w:rsidRDefault="00E95C0C" w:rsidP="006D4A84">
            <w:pPr>
              <w:jc w:val="center"/>
              <w:rPr>
                <w:rFonts w:ascii="Calibri" w:hAnsi="Calibri" w:cs="Calibri"/>
                <w:color w:val="000000"/>
                <w:sz w:val="22"/>
                <w:szCs w:val="22"/>
              </w:rPr>
            </w:pPr>
            <w:r w:rsidRPr="00C1440F">
              <w:rPr>
                <w:rFonts w:ascii="Calibri" w:hAnsi="Calibri" w:cs="Calibri"/>
                <w:color w:val="000000"/>
                <w:sz w:val="22"/>
                <w:szCs w:val="22"/>
              </w:rPr>
              <w:t>866.34</w:t>
            </w:r>
          </w:p>
        </w:tc>
        <w:tc>
          <w:tcPr>
            <w:tcW w:w="1750" w:type="dxa"/>
            <w:tcBorders>
              <w:top w:val="nil"/>
              <w:left w:val="nil"/>
              <w:bottom w:val="single" w:sz="4" w:space="0" w:color="auto"/>
              <w:right w:val="single" w:sz="4" w:space="0" w:color="auto"/>
            </w:tcBorders>
            <w:shd w:val="clear" w:color="auto" w:fill="auto"/>
            <w:hideMark/>
          </w:tcPr>
          <w:p w14:paraId="301779E1" w14:textId="77777777" w:rsidR="00E95C0C" w:rsidRPr="00C1440F" w:rsidRDefault="00E95C0C">
            <w:pPr>
              <w:jc w:val="center"/>
              <w:rPr>
                <w:rFonts w:ascii="Calibri" w:hAnsi="Calibri" w:cs="Calibri"/>
                <w:color w:val="000000"/>
                <w:sz w:val="22"/>
                <w:szCs w:val="22"/>
              </w:rPr>
            </w:pPr>
            <w:r w:rsidRPr="00C1440F">
              <w:rPr>
                <w:rFonts w:ascii="Calibri" w:hAnsi="Calibri" w:cs="Calibri"/>
                <w:color w:val="000000"/>
                <w:sz w:val="22"/>
                <w:szCs w:val="22"/>
              </w:rPr>
              <w:t>909.66</w:t>
            </w:r>
          </w:p>
        </w:tc>
        <w:tc>
          <w:tcPr>
            <w:tcW w:w="1586" w:type="dxa"/>
            <w:tcBorders>
              <w:top w:val="nil"/>
              <w:left w:val="nil"/>
              <w:bottom w:val="single" w:sz="4" w:space="0" w:color="auto"/>
              <w:right w:val="single" w:sz="4" w:space="0" w:color="auto"/>
            </w:tcBorders>
            <w:shd w:val="clear" w:color="auto" w:fill="auto"/>
            <w:hideMark/>
          </w:tcPr>
          <w:p w14:paraId="0FAB8262" w14:textId="77777777" w:rsidR="00E95C0C" w:rsidRPr="00C1440F" w:rsidRDefault="00E95C0C">
            <w:pPr>
              <w:jc w:val="center"/>
              <w:rPr>
                <w:rFonts w:ascii="Calibri" w:hAnsi="Calibri" w:cs="Calibri"/>
                <w:sz w:val="22"/>
                <w:szCs w:val="22"/>
              </w:rPr>
            </w:pPr>
            <w:r w:rsidRPr="00C1440F">
              <w:rPr>
                <w:rFonts w:ascii="Calibri" w:hAnsi="Calibri" w:cs="Calibri"/>
                <w:sz w:val="22"/>
                <w:szCs w:val="22"/>
              </w:rPr>
              <w:t>925.21</w:t>
            </w:r>
          </w:p>
        </w:tc>
        <w:tc>
          <w:tcPr>
            <w:tcW w:w="1898" w:type="dxa"/>
            <w:tcBorders>
              <w:top w:val="nil"/>
              <w:left w:val="nil"/>
              <w:bottom w:val="single" w:sz="4" w:space="0" w:color="auto"/>
              <w:right w:val="single" w:sz="4" w:space="0" w:color="auto"/>
            </w:tcBorders>
            <w:shd w:val="clear" w:color="auto" w:fill="auto"/>
            <w:noWrap/>
            <w:hideMark/>
          </w:tcPr>
          <w:p w14:paraId="41B5B4AE" w14:textId="77777777" w:rsidR="00E95C0C" w:rsidRPr="00C1440F" w:rsidRDefault="00E95C0C">
            <w:pPr>
              <w:jc w:val="center"/>
              <w:rPr>
                <w:rFonts w:ascii="Calibri" w:hAnsi="Calibri" w:cs="Calibri"/>
                <w:sz w:val="22"/>
                <w:szCs w:val="22"/>
              </w:rPr>
            </w:pPr>
            <w:r w:rsidRPr="00C1440F">
              <w:rPr>
                <w:rFonts w:ascii="Calibri" w:hAnsi="Calibri" w:cs="Calibri"/>
                <w:sz w:val="22"/>
                <w:szCs w:val="22"/>
              </w:rPr>
              <w:t>948.45</w:t>
            </w:r>
          </w:p>
        </w:tc>
        <w:tc>
          <w:tcPr>
            <w:tcW w:w="2168" w:type="dxa"/>
            <w:tcBorders>
              <w:top w:val="nil"/>
              <w:left w:val="nil"/>
              <w:bottom w:val="single" w:sz="4" w:space="0" w:color="auto"/>
              <w:right w:val="single" w:sz="4" w:space="0" w:color="auto"/>
            </w:tcBorders>
            <w:shd w:val="clear" w:color="auto" w:fill="auto"/>
            <w:hideMark/>
          </w:tcPr>
          <w:p w14:paraId="72E15132" w14:textId="77777777" w:rsidR="00E95C0C" w:rsidRPr="00C1440F" w:rsidRDefault="00E95C0C">
            <w:pPr>
              <w:jc w:val="center"/>
              <w:rPr>
                <w:rFonts w:ascii="Calibri" w:hAnsi="Calibri" w:cs="Calibri"/>
                <w:color w:val="000000"/>
                <w:sz w:val="22"/>
                <w:szCs w:val="22"/>
              </w:rPr>
            </w:pPr>
            <w:r w:rsidRPr="00C1440F">
              <w:rPr>
                <w:rFonts w:ascii="Calibri" w:hAnsi="Calibri" w:cs="Calibri"/>
                <w:color w:val="000000"/>
                <w:sz w:val="22"/>
                <w:szCs w:val="22"/>
              </w:rPr>
              <w:t>947.82</w:t>
            </w:r>
          </w:p>
        </w:tc>
        <w:tc>
          <w:tcPr>
            <w:tcW w:w="2413" w:type="dxa"/>
            <w:tcBorders>
              <w:top w:val="nil"/>
              <w:left w:val="nil"/>
              <w:bottom w:val="single" w:sz="4" w:space="0" w:color="auto"/>
              <w:right w:val="single" w:sz="4" w:space="0" w:color="auto"/>
            </w:tcBorders>
            <w:shd w:val="clear" w:color="auto" w:fill="auto"/>
            <w:hideMark/>
          </w:tcPr>
          <w:p w14:paraId="77D39CDC" w14:textId="77777777" w:rsidR="00E95C0C" w:rsidRPr="00C1440F" w:rsidRDefault="00E95C0C">
            <w:pPr>
              <w:jc w:val="center"/>
              <w:rPr>
                <w:rFonts w:ascii="Calibri" w:hAnsi="Calibri" w:cs="Calibri"/>
                <w:color w:val="000000"/>
                <w:sz w:val="22"/>
                <w:szCs w:val="22"/>
              </w:rPr>
            </w:pPr>
            <w:r w:rsidRPr="00C1440F">
              <w:rPr>
                <w:rFonts w:ascii="Calibri" w:hAnsi="Calibri" w:cs="Calibri"/>
                <w:color w:val="000000"/>
                <w:sz w:val="22"/>
                <w:szCs w:val="22"/>
              </w:rPr>
              <w:t>928.86</w:t>
            </w:r>
          </w:p>
        </w:tc>
      </w:tr>
      <w:tr w:rsidR="00E95C0C" w:rsidRPr="00C1440F" w14:paraId="1A86F346" w14:textId="77777777" w:rsidTr="00E95C0C">
        <w:trPr>
          <w:trHeight w:val="278"/>
        </w:trPr>
        <w:tc>
          <w:tcPr>
            <w:tcW w:w="1442" w:type="dxa"/>
            <w:tcBorders>
              <w:top w:val="nil"/>
              <w:left w:val="single" w:sz="4" w:space="0" w:color="auto"/>
              <w:bottom w:val="single" w:sz="4" w:space="0" w:color="auto"/>
              <w:right w:val="single" w:sz="4" w:space="0" w:color="auto"/>
            </w:tcBorders>
            <w:shd w:val="clear" w:color="auto" w:fill="auto"/>
            <w:noWrap/>
            <w:hideMark/>
          </w:tcPr>
          <w:p w14:paraId="7F456432" w14:textId="77777777" w:rsidR="00E95C0C" w:rsidRPr="00C1440F" w:rsidRDefault="00E95C0C" w:rsidP="00C1440F">
            <w:pPr>
              <w:rPr>
                <w:rFonts w:ascii="Calibri" w:hAnsi="Calibri" w:cs="Calibri"/>
                <w:color w:val="000000"/>
                <w:sz w:val="22"/>
                <w:szCs w:val="22"/>
              </w:rPr>
            </w:pPr>
            <w:r w:rsidRPr="00C1440F">
              <w:rPr>
                <w:rFonts w:ascii="Calibri" w:hAnsi="Calibri" w:cs="Calibri"/>
                <w:color w:val="000000"/>
                <w:sz w:val="22"/>
                <w:szCs w:val="22"/>
              </w:rPr>
              <w:t>Worcester</w:t>
            </w:r>
          </w:p>
        </w:tc>
        <w:tc>
          <w:tcPr>
            <w:tcW w:w="1718" w:type="dxa"/>
            <w:tcBorders>
              <w:top w:val="nil"/>
              <w:left w:val="nil"/>
              <w:bottom w:val="single" w:sz="4" w:space="0" w:color="auto"/>
              <w:right w:val="single" w:sz="4" w:space="0" w:color="auto"/>
            </w:tcBorders>
            <w:shd w:val="clear" w:color="auto" w:fill="auto"/>
            <w:hideMark/>
          </w:tcPr>
          <w:p w14:paraId="2421CF99" w14:textId="77777777" w:rsidR="00E95C0C" w:rsidRPr="00C1440F" w:rsidRDefault="00E95C0C" w:rsidP="006D4A84">
            <w:pPr>
              <w:jc w:val="center"/>
              <w:rPr>
                <w:rFonts w:ascii="Calibri" w:hAnsi="Calibri" w:cs="Calibri"/>
                <w:color w:val="000000"/>
                <w:sz w:val="22"/>
                <w:szCs w:val="22"/>
              </w:rPr>
            </w:pPr>
            <w:r w:rsidRPr="00C1440F">
              <w:rPr>
                <w:rFonts w:ascii="Calibri" w:hAnsi="Calibri" w:cs="Calibri"/>
                <w:color w:val="000000"/>
                <w:sz w:val="22"/>
                <w:szCs w:val="22"/>
              </w:rPr>
              <w:t>800.62</w:t>
            </w:r>
          </w:p>
        </w:tc>
        <w:tc>
          <w:tcPr>
            <w:tcW w:w="1750" w:type="dxa"/>
            <w:tcBorders>
              <w:top w:val="nil"/>
              <w:left w:val="nil"/>
              <w:bottom w:val="single" w:sz="4" w:space="0" w:color="auto"/>
              <w:right w:val="single" w:sz="4" w:space="0" w:color="auto"/>
            </w:tcBorders>
            <w:shd w:val="clear" w:color="auto" w:fill="auto"/>
            <w:hideMark/>
          </w:tcPr>
          <w:p w14:paraId="4025D6C1" w14:textId="77777777" w:rsidR="00E95C0C" w:rsidRPr="00C1440F" w:rsidRDefault="00E95C0C">
            <w:pPr>
              <w:jc w:val="center"/>
              <w:rPr>
                <w:rFonts w:ascii="Calibri" w:hAnsi="Calibri" w:cs="Calibri"/>
                <w:color w:val="000000"/>
                <w:sz w:val="22"/>
                <w:szCs w:val="22"/>
              </w:rPr>
            </w:pPr>
            <w:r w:rsidRPr="00C1440F">
              <w:rPr>
                <w:rFonts w:ascii="Calibri" w:hAnsi="Calibri" w:cs="Calibri"/>
                <w:color w:val="000000"/>
                <w:sz w:val="22"/>
                <w:szCs w:val="22"/>
              </w:rPr>
              <w:t>840.65</w:t>
            </w:r>
          </w:p>
        </w:tc>
        <w:tc>
          <w:tcPr>
            <w:tcW w:w="1586" w:type="dxa"/>
            <w:tcBorders>
              <w:top w:val="nil"/>
              <w:left w:val="nil"/>
              <w:bottom w:val="single" w:sz="4" w:space="0" w:color="auto"/>
              <w:right w:val="single" w:sz="4" w:space="0" w:color="auto"/>
            </w:tcBorders>
            <w:shd w:val="clear" w:color="auto" w:fill="auto"/>
            <w:hideMark/>
          </w:tcPr>
          <w:p w14:paraId="06AC9078" w14:textId="77777777" w:rsidR="00E95C0C" w:rsidRPr="00C1440F" w:rsidRDefault="00E95C0C">
            <w:pPr>
              <w:jc w:val="center"/>
              <w:rPr>
                <w:rFonts w:ascii="Calibri" w:hAnsi="Calibri" w:cs="Calibri"/>
                <w:sz w:val="22"/>
                <w:szCs w:val="22"/>
              </w:rPr>
            </w:pPr>
            <w:r w:rsidRPr="00C1440F">
              <w:rPr>
                <w:rFonts w:ascii="Calibri" w:hAnsi="Calibri" w:cs="Calibri"/>
                <w:sz w:val="22"/>
                <w:szCs w:val="22"/>
              </w:rPr>
              <w:t>855.03</w:t>
            </w:r>
          </w:p>
        </w:tc>
        <w:tc>
          <w:tcPr>
            <w:tcW w:w="1898" w:type="dxa"/>
            <w:tcBorders>
              <w:top w:val="nil"/>
              <w:left w:val="nil"/>
              <w:bottom w:val="single" w:sz="4" w:space="0" w:color="auto"/>
              <w:right w:val="single" w:sz="4" w:space="0" w:color="auto"/>
            </w:tcBorders>
            <w:shd w:val="clear" w:color="auto" w:fill="auto"/>
            <w:noWrap/>
            <w:hideMark/>
          </w:tcPr>
          <w:p w14:paraId="252F03B8" w14:textId="77777777" w:rsidR="00E95C0C" w:rsidRPr="00C1440F" w:rsidRDefault="00E95C0C">
            <w:pPr>
              <w:jc w:val="center"/>
              <w:rPr>
                <w:rFonts w:ascii="Calibri" w:hAnsi="Calibri" w:cs="Calibri"/>
                <w:sz w:val="22"/>
                <w:szCs w:val="22"/>
              </w:rPr>
            </w:pPr>
            <w:r w:rsidRPr="00C1440F">
              <w:rPr>
                <w:rFonts w:ascii="Calibri" w:hAnsi="Calibri" w:cs="Calibri"/>
                <w:sz w:val="22"/>
                <w:szCs w:val="22"/>
              </w:rPr>
              <w:t>876.50</w:t>
            </w:r>
          </w:p>
        </w:tc>
        <w:tc>
          <w:tcPr>
            <w:tcW w:w="2168" w:type="dxa"/>
            <w:tcBorders>
              <w:top w:val="nil"/>
              <w:left w:val="nil"/>
              <w:bottom w:val="single" w:sz="4" w:space="0" w:color="auto"/>
              <w:right w:val="single" w:sz="4" w:space="0" w:color="auto"/>
            </w:tcBorders>
            <w:shd w:val="clear" w:color="auto" w:fill="auto"/>
            <w:hideMark/>
          </w:tcPr>
          <w:p w14:paraId="17AE5F32" w14:textId="77777777" w:rsidR="00E95C0C" w:rsidRPr="00C1440F" w:rsidRDefault="00E95C0C">
            <w:pPr>
              <w:jc w:val="center"/>
              <w:rPr>
                <w:rFonts w:ascii="Calibri" w:hAnsi="Calibri" w:cs="Calibri"/>
                <w:color w:val="000000"/>
                <w:sz w:val="22"/>
                <w:szCs w:val="22"/>
              </w:rPr>
            </w:pPr>
            <w:r w:rsidRPr="00C1440F">
              <w:rPr>
                <w:rFonts w:ascii="Calibri" w:hAnsi="Calibri" w:cs="Calibri"/>
                <w:color w:val="000000"/>
                <w:sz w:val="22"/>
                <w:szCs w:val="22"/>
              </w:rPr>
              <w:t>875.52</w:t>
            </w:r>
          </w:p>
        </w:tc>
        <w:tc>
          <w:tcPr>
            <w:tcW w:w="2413" w:type="dxa"/>
            <w:tcBorders>
              <w:top w:val="nil"/>
              <w:left w:val="nil"/>
              <w:bottom w:val="single" w:sz="4" w:space="0" w:color="auto"/>
              <w:right w:val="single" w:sz="4" w:space="0" w:color="auto"/>
            </w:tcBorders>
            <w:shd w:val="clear" w:color="auto" w:fill="auto"/>
            <w:hideMark/>
          </w:tcPr>
          <w:p w14:paraId="27AFB386" w14:textId="77777777" w:rsidR="00E95C0C" w:rsidRPr="00C1440F" w:rsidRDefault="00E95C0C">
            <w:pPr>
              <w:jc w:val="center"/>
              <w:rPr>
                <w:rFonts w:ascii="Calibri" w:hAnsi="Calibri" w:cs="Calibri"/>
                <w:color w:val="000000"/>
                <w:sz w:val="22"/>
                <w:szCs w:val="22"/>
              </w:rPr>
            </w:pPr>
            <w:r w:rsidRPr="00C1440F">
              <w:rPr>
                <w:rFonts w:ascii="Calibri" w:hAnsi="Calibri" w:cs="Calibri"/>
                <w:color w:val="000000"/>
                <w:sz w:val="22"/>
                <w:szCs w:val="22"/>
              </w:rPr>
              <w:t>858.01</w:t>
            </w:r>
          </w:p>
        </w:tc>
      </w:tr>
    </w:tbl>
    <w:p w14:paraId="462F84DE" w14:textId="77777777" w:rsidR="003B1351" w:rsidRDefault="00935D92" w:rsidP="00C1440F">
      <w:pPr>
        <w:autoSpaceDE w:val="0"/>
        <w:autoSpaceDN w:val="0"/>
        <w:adjustRightInd w:val="0"/>
        <w:ind w:right="-1350"/>
        <w:rPr>
          <w:rFonts w:ascii="Calibri" w:hAnsi="Calibri" w:cs="Calibri"/>
          <w:color w:val="000000"/>
          <w:sz w:val="20"/>
          <w:szCs w:val="20"/>
        </w:rPr>
      </w:pPr>
      <w:r w:rsidRPr="00C1440F">
        <w:rPr>
          <w:rFonts w:ascii="Calibri" w:hAnsi="Calibri" w:cs="Calibri"/>
          <w:color w:val="000000"/>
          <w:sz w:val="20"/>
          <w:szCs w:val="20"/>
          <w:vertAlign w:val="superscript"/>
        </w:rPr>
        <w:t xml:space="preserve">1 </w:t>
      </w:r>
      <w:r w:rsidR="00283A75" w:rsidRPr="00C1440F">
        <w:rPr>
          <w:rFonts w:ascii="Calibri" w:hAnsi="Calibri" w:cs="Calibri"/>
          <w:color w:val="000000"/>
          <w:sz w:val="20"/>
          <w:szCs w:val="20"/>
        </w:rPr>
        <w:t>Rates do not apply to beneficiaries with End-Stage Renal Disease (ESRD) or those electing the Medicare hospice benefit. S</w:t>
      </w:r>
      <w:r w:rsidR="00283A75" w:rsidRPr="00C1440F">
        <w:rPr>
          <w:rFonts w:ascii="Calibri" w:hAnsi="Calibri" w:cs="Calibri"/>
          <w:sz w:val="20"/>
          <w:szCs w:val="20"/>
        </w:rPr>
        <w:t>ee Section IV for information on savings</w:t>
      </w:r>
      <w:r w:rsidR="00283A75" w:rsidRPr="00C25646">
        <w:rPr>
          <w:rFonts w:ascii="Calibri" w:hAnsi="Calibri" w:cs="Calibri"/>
          <w:sz w:val="20"/>
          <w:szCs w:val="20"/>
        </w:rPr>
        <w:t xml:space="preserve"> percentages.</w:t>
      </w:r>
    </w:p>
    <w:p w14:paraId="28091A95" w14:textId="77777777" w:rsidR="00307A5D" w:rsidRDefault="00935D92" w:rsidP="006D4A84">
      <w:pPr>
        <w:autoSpaceDE w:val="0"/>
        <w:autoSpaceDN w:val="0"/>
        <w:adjustRightInd w:val="0"/>
        <w:ind w:right="-1350"/>
        <w:rPr>
          <w:rFonts w:ascii="Calibri" w:hAnsi="Calibri" w:cs="Calibri"/>
          <w:color w:val="000000"/>
          <w:sz w:val="20"/>
          <w:szCs w:val="20"/>
        </w:rPr>
      </w:pPr>
      <w:r w:rsidRPr="006E189C">
        <w:rPr>
          <w:rFonts w:ascii="Calibri" w:hAnsi="Calibri" w:cs="Calibri"/>
          <w:color w:val="000000"/>
          <w:sz w:val="20"/>
          <w:szCs w:val="20"/>
          <w:vertAlign w:val="superscript"/>
        </w:rPr>
        <w:t>2</w:t>
      </w:r>
      <w:r w:rsidR="00307A5D" w:rsidRPr="00F70C37">
        <w:rPr>
          <w:rFonts w:ascii="Calibri" w:hAnsi="Calibri" w:cs="Calibri"/>
          <w:color w:val="000000"/>
          <w:sz w:val="20"/>
          <w:szCs w:val="20"/>
        </w:rPr>
        <w:t>This is fully “repriced</w:t>
      </w:r>
      <w:r w:rsidR="00307A5D">
        <w:rPr>
          <w:rFonts w:ascii="Calibri" w:hAnsi="Calibri" w:cs="Calibri"/>
          <w:color w:val="000000"/>
          <w:sz w:val="20"/>
          <w:szCs w:val="20"/>
        </w:rPr>
        <w:t>,</w:t>
      </w:r>
      <w:r w:rsidR="00307A5D" w:rsidRPr="00F70C37">
        <w:rPr>
          <w:rFonts w:ascii="Calibri" w:hAnsi="Calibri" w:cs="Calibri"/>
          <w:color w:val="000000"/>
          <w:sz w:val="20"/>
          <w:szCs w:val="20"/>
        </w:rPr>
        <w:t>”</w:t>
      </w:r>
      <w:r w:rsidR="00307A5D">
        <w:rPr>
          <w:rFonts w:ascii="Calibri" w:hAnsi="Calibri" w:cs="Calibri"/>
          <w:color w:val="000000"/>
          <w:sz w:val="20"/>
          <w:szCs w:val="20"/>
        </w:rPr>
        <w:t xml:space="preserve"> and therefore this rate report does not show the repricing adjustments shown in the CY 2014 rate report.</w:t>
      </w:r>
      <w:r w:rsidR="00307A5D" w:rsidRPr="00F70C37">
        <w:rPr>
          <w:rFonts w:ascii="Calibri" w:hAnsi="Calibri" w:cs="Calibri"/>
          <w:color w:val="000000"/>
          <w:sz w:val="20"/>
          <w:szCs w:val="20"/>
        </w:rPr>
        <w:t xml:space="preserve"> </w:t>
      </w:r>
    </w:p>
    <w:p w14:paraId="004D891E" w14:textId="77777777" w:rsidR="00B63174" w:rsidRDefault="00935D92">
      <w:pPr>
        <w:autoSpaceDE w:val="0"/>
        <w:autoSpaceDN w:val="0"/>
        <w:adjustRightInd w:val="0"/>
        <w:rPr>
          <w:rFonts w:ascii="Calibri" w:hAnsi="Calibri" w:cs="Calibri"/>
          <w:color w:val="000000"/>
          <w:sz w:val="20"/>
          <w:szCs w:val="20"/>
        </w:rPr>
      </w:pPr>
      <w:r w:rsidRPr="006E189C">
        <w:rPr>
          <w:rFonts w:ascii="Calibri" w:hAnsi="Calibri" w:cs="Calibri"/>
          <w:color w:val="000000"/>
          <w:sz w:val="20"/>
          <w:szCs w:val="20"/>
          <w:vertAlign w:val="superscript"/>
        </w:rPr>
        <w:t>3</w:t>
      </w:r>
      <w:r>
        <w:rPr>
          <w:rFonts w:ascii="Calibri" w:hAnsi="Calibri" w:cs="Calibri"/>
          <w:color w:val="000000"/>
          <w:sz w:val="20"/>
          <w:szCs w:val="20"/>
          <w:vertAlign w:val="superscript"/>
        </w:rPr>
        <w:t xml:space="preserve"> </w:t>
      </w:r>
      <w:r w:rsidR="00283A75" w:rsidRPr="00212598">
        <w:rPr>
          <w:rFonts w:ascii="Calibri" w:hAnsi="Calibri" w:cs="Calibri"/>
          <w:sz w:val="20"/>
          <w:szCs w:val="20"/>
        </w:rPr>
        <w:t>F</w:t>
      </w:r>
      <w:r w:rsidR="00283A75" w:rsidRPr="00212598">
        <w:rPr>
          <w:rFonts w:ascii="Calibri" w:hAnsi="Calibri" w:cs="Calibri"/>
          <w:color w:val="000000"/>
          <w:sz w:val="20"/>
          <w:szCs w:val="20"/>
        </w:rPr>
        <w:t xml:space="preserve">or CY </w:t>
      </w:r>
      <w:r w:rsidR="00651C5D" w:rsidRPr="00212598">
        <w:rPr>
          <w:rFonts w:ascii="Calibri" w:hAnsi="Calibri" w:cs="Calibri"/>
          <w:color w:val="000000"/>
          <w:sz w:val="20"/>
          <w:szCs w:val="20"/>
        </w:rPr>
        <w:t xml:space="preserve">2015 </w:t>
      </w:r>
      <w:r w:rsidR="00283A75" w:rsidRPr="00212598">
        <w:rPr>
          <w:rFonts w:ascii="Calibri" w:hAnsi="Calibri" w:cs="Calibri"/>
          <w:color w:val="000000"/>
          <w:sz w:val="20"/>
          <w:szCs w:val="20"/>
        </w:rPr>
        <w:t xml:space="preserve">CMS </w:t>
      </w:r>
      <w:r w:rsidR="00BB310D">
        <w:rPr>
          <w:rFonts w:ascii="Calibri" w:hAnsi="Calibri" w:cs="Calibri"/>
          <w:color w:val="000000"/>
          <w:sz w:val="20"/>
          <w:szCs w:val="20"/>
        </w:rPr>
        <w:t xml:space="preserve">has </w:t>
      </w:r>
      <w:r w:rsidR="00212598">
        <w:rPr>
          <w:rFonts w:ascii="Calibri" w:hAnsi="Calibri" w:cs="Calibri"/>
          <w:color w:val="000000"/>
          <w:sz w:val="20"/>
          <w:szCs w:val="20"/>
        </w:rPr>
        <w:t>calculated and appl</w:t>
      </w:r>
      <w:r w:rsidR="00BB310D">
        <w:rPr>
          <w:rFonts w:ascii="Calibri" w:hAnsi="Calibri" w:cs="Calibri"/>
          <w:color w:val="000000"/>
          <w:sz w:val="20"/>
          <w:szCs w:val="20"/>
        </w:rPr>
        <w:t xml:space="preserve">ied </w:t>
      </w:r>
      <w:r w:rsidR="00212598">
        <w:rPr>
          <w:rFonts w:ascii="Calibri" w:hAnsi="Calibri" w:cs="Calibri"/>
          <w:color w:val="000000"/>
          <w:sz w:val="20"/>
          <w:szCs w:val="20"/>
        </w:rPr>
        <w:t xml:space="preserve">a coding intensity adjustment </w:t>
      </w:r>
      <w:r w:rsidR="00BB310D">
        <w:rPr>
          <w:rFonts w:ascii="Calibri" w:hAnsi="Calibri" w:cs="Calibri"/>
          <w:color w:val="000000"/>
          <w:sz w:val="20"/>
          <w:szCs w:val="20"/>
        </w:rPr>
        <w:t>(the modified CY 2015 coding intensity adjustment factor) proportional</w:t>
      </w:r>
      <w:r w:rsidR="00212598">
        <w:rPr>
          <w:rFonts w:ascii="Calibri" w:hAnsi="Calibri" w:cs="Calibri"/>
          <w:color w:val="000000"/>
          <w:sz w:val="20"/>
          <w:szCs w:val="20"/>
        </w:rPr>
        <w:t xml:space="preserve"> to the anticipated prop</w:t>
      </w:r>
      <w:r w:rsidR="00BB310D">
        <w:rPr>
          <w:rFonts w:ascii="Calibri" w:hAnsi="Calibri" w:cs="Calibri"/>
          <w:color w:val="000000"/>
          <w:sz w:val="20"/>
          <w:szCs w:val="20"/>
        </w:rPr>
        <w:t>ortion</w:t>
      </w:r>
      <w:r w:rsidR="00212598">
        <w:rPr>
          <w:rFonts w:ascii="Calibri" w:hAnsi="Calibri" w:cs="Calibri"/>
          <w:color w:val="000000"/>
          <w:sz w:val="20"/>
          <w:szCs w:val="20"/>
        </w:rPr>
        <w:t xml:space="preserve"> of </w:t>
      </w:r>
      <w:r w:rsidR="00BB310D">
        <w:rPr>
          <w:rFonts w:ascii="Calibri" w:hAnsi="Calibri" w:cs="Calibri"/>
          <w:color w:val="000000"/>
          <w:sz w:val="20"/>
          <w:szCs w:val="20"/>
        </w:rPr>
        <w:t>Demonstration</w:t>
      </w:r>
      <w:r w:rsidR="00212598">
        <w:rPr>
          <w:rFonts w:ascii="Calibri" w:hAnsi="Calibri" w:cs="Calibri"/>
          <w:color w:val="000000"/>
          <w:sz w:val="20"/>
          <w:szCs w:val="20"/>
        </w:rPr>
        <w:t xml:space="preserve"> Enrollees in CY 2015 with prior Medicare Advantage experience and/or Demonstration experience based on the Demonstration’s enrollment phase-in as of September 30, 2014.  </w:t>
      </w:r>
      <w:r w:rsidR="00283A75" w:rsidRPr="00212598">
        <w:rPr>
          <w:rFonts w:ascii="Calibri" w:hAnsi="Calibri" w:cs="Calibri"/>
          <w:color w:val="000000"/>
          <w:sz w:val="20"/>
          <w:szCs w:val="20"/>
        </w:rPr>
        <w:t xml:space="preserve"> Operationally, due to systems limitations, CMS will still apply the coding intensity adjustment factor to the risk scores but has increased the FFS component of the Medicare A/B baseline for non-ESRD beneficiaries to offset this.  Specifically, CMS has increased the Medicare A/B baseline by a corresponding percentage;  the CY </w:t>
      </w:r>
      <w:r w:rsidR="00651C5D" w:rsidRPr="00212598">
        <w:rPr>
          <w:rFonts w:ascii="Calibri" w:hAnsi="Calibri" w:cs="Calibri"/>
          <w:color w:val="000000"/>
          <w:sz w:val="20"/>
          <w:szCs w:val="20"/>
        </w:rPr>
        <w:t xml:space="preserve">2015 </w:t>
      </w:r>
      <w:r w:rsidR="00283A75" w:rsidRPr="00212598">
        <w:rPr>
          <w:rFonts w:ascii="Calibri" w:hAnsi="Calibri" w:cs="Calibri"/>
          <w:color w:val="000000"/>
          <w:sz w:val="20"/>
          <w:szCs w:val="20"/>
        </w:rPr>
        <w:t xml:space="preserve">Medicare FFS A/B Baseline is divided by </w:t>
      </w:r>
      <w:r w:rsidR="008D113C">
        <w:rPr>
          <w:rFonts w:ascii="Calibri" w:hAnsi="Calibri" w:cs="Calibri"/>
          <w:color w:val="000000"/>
          <w:sz w:val="20"/>
          <w:szCs w:val="20"/>
        </w:rPr>
        <w:t>[</w:t>
      </w:r>
      <w:r w:rsidR="00283A75" w:rsidRPr="001406EE">
        <w:rPr>
          <w:rFonts w:ascii="Calibri" w:hAnsi="Calibri" w:cs="Calibri"/>
          <w:color w:val="000000"/>
          <w:sz w:val="20"/>
          <w:szCs w:val="20"/>
        </w:rPr>
        <w:t>1</w:t>
      </w:r>
      <w:r w:rsidR="001406EE" w:rsidRPr="001406EE">
        <w:rPr>
          <w:rFonts w:ascii="Calibri" w:hAnsi="Calibri" w:cs="Calibri"/>
          <w:color w:val="000000"/>
          <w:sz w:val="20"/>
          <w:szCs w:val="20"/>
        </w:rPr>
        <w:t xml:space="preserve">(the standard CY 2015 coding intensity adjustment factor of 5.16% minus </w:t>
      </w:r>
      <w:r w:rsidR="00283A75" w:rsidRPr="001406EE">
        <w:rPr>
          <w:rFonts w:ascii="Calibri" w:hAnsi="Calibri" w:cs="Calibri"/>
          <w:color w:val="000000"/>
          <w:sz w:val="20"/>
          <w:szCs w:val="20"/>
        </w:rPr>
        <w:t xml:space="preserve">the </w:t>
      </w:r>
      <w:r w:rsidR="001406EE" w:rsidRPr="001406EE">
        <w:rPr>
          <w:rFonts w:ascii="Calibri" w:hAnsi="Calibri" w:cs="Calibri"/>
          <w:color w:val="000000"/>
          <w:sz w:val="20"/>
          <w:szCs w:val="20"/>
        </w:rPr>
        <w:t xml:space="preserve">Massachusetts-specific </w:t>
      </w:r>
      <w:r w:rsidR="00212598" w:rsidRPr="001406EE">
        <w:rPr>
          <w:rFonts w:ascii="Calibri" w:hAnsi="Calibri" w:cs="Calibri"/>
          <w:color w:val="000000"/>
          <w:sz w:val="20"/>
          <w:szCs w:val="20"/>
        </w:rPr>
        <w:t xml:space="preserve">modified </w:t>
      </w:r>
      <w:r w:rsidR="00283A75" w:rsidRPr="001406EE">
        <w:rPr>
          <w:rFonts w:ascii="Calibri" w:hAnsi="Calibri" w:cs="Calibri"/>
          <w:color w:val="000000"/>
          <w:sz w:val="20"/>
          <w:szCs w:val="20"/>
        </w:rPr>
        <w:t xml:space="preserve">CY </w:t>
      </w:r>
      <w:r w:rsidR="00651C5D" w:rsidRPr="001406EE">
        <w:rPr>
          <w:rFonts w:ascii="Calibri" w:hAnsi="Calibri" w:cs="Calibri"/>
          <w:color w:val="000000"/>
          <w:sz w:val="20"/>
          <w:szCs w:val="20"/>
        </w:rPr>
        <w:t xml:space="preserve">2015 </w:t>
      </w:r>
      <w:r w:rsidR="00283A75" w:rsidRPr="001406EE">
        <w:rPr>
          <w:rFonts w:ascii="Calibri" w:hAnsi="Calibri" w:cs="Calibri"/>
          <w:color w:val="000000"/>
          <w:sz w:val="20"/>
          <w:szCs w:val="20"/>
        </w:rPr>
        <w:t xml:space="preserve">coding intensity adjustment factor of </w:t>
      </w:r>
      <w:r w:rsidR="00313F8C" w:rsidRPr="001406EE">
        <w:rPr>
          <w:rFonts w:ascii="Calibri" w:hAnsi="Calibri" w:cs="Calibri"/>
          <w:color w:val="000000"/>
          <w:sz w:val="20"/>
          <w:szCs w:val="20"/>
        </w:rPr>
        <w:t>2.</w:t>
      </w:r>
      <w:r w:rsidR="001406EE" w:rsidRPr="001406EE">
        <w:rPr>
          <w:rFonts w:ascii="Calibri" w:hAnsi="Calibri" w:cs="Calibri"/>
          <w:color w:val="000000"/>
          <w:sz w:val="20"/>
          <w:szCs w:val="20"/>
        </w:rPr>
        <w:t>71</w:t>
      </w:r>
      <w:r w:rsidR="00283A75" w:rsidRPr="001406EE">
        <w:rPr>
          <w:rFonts w:ascii="Calibri" w:hAnsi="Calibri" w:cs="Calibri"/>
          <w:color w:val="000000"/>
          <w:sz w:val="20"/>
          <w:szCs w:val="20"/>
        </w:rPr>
        <w:t>%)</w:t>
      </w:r>
      <w:r w:rsidR="008D113C">
        <w:rPr>
          <w:rFonts w:ascii="Calibri" w:hAnsi="Calibri" w:cs="Calibri"/>
          <w:color w:val="000000"/>
          <w:sz w:val="22"/>
          <w:szCs w:val="20"/>
        </w:rPr>
        <w:t>]</w:t>
      </w:r>
      <w:r w:rsidR="00283A75" w:rsidRPr="001406EE">
        <w:rPr>
          <w:rFonts w:ascii="Calibri" w:hAnsi="Calibri" w:cs="Calibri"/>
          <w:color w:val="000000"/>
          <w:sz w:val="20"/>
          <w:szCs w:val="20"/>
        </w:rPr>
        <w:t xml:space="preserve"> to determine</w:t>
      </w:r>
      <w:r w:rsidR="00283A75" w:rsidRPr="00212598">
        <w:rPr>
          <w:rFonts w:ascii="Calibri" w:hAnsi="Calibri" w:cs="Calibri"/>
          <w:color w:val="000000"/>
          <w:sz w:val="20"/>
          <w:szCs w:val="20"/>
        </w:rPr>
        <w:t xml:space="preserve"> the CY </w:t>
      </w:r>
      <w:r w:rsidR="00651C5D" w:rsidRPr="00212598">
        <w:rPr>
          <w:rFonts w:ascii="Calibri" w:hAnsi="Calibri" w:cs="Calibri"/>
          <w:color w:val="000000"/>
          <w:sz w:val="20"/>
          <w:szCs w:val="20"/>
        </w:rPr>
        <w:t xml:space="preserve">2015 </w:t>
      </w:r>
      <w:r w:rsidR="00283A75" w:rsidRPr="00212598">
        <w:rPr>
          <w:rFonts w:ascii="Calibri" w:hAnsi="Calibri" w:cs="Calibri"/>
          <w:color w:val="000000"/>
          <w:sz w:val="20"/>
          <w:szCs w:val="20"/>
        </w:rPr>
        <w:t>Final Medicare FFS A/B Baseline.</w:t>
      </w:r>
    </w:p>
    <w:p w14:paraId="39920636" w14:textId="77777777" w:rsidR="00B63174" w:rsidRPr="00A77C54" w:rsidRDefault="00B63174" w:rsidP="003C322B">
      <w:pPr>
        <w:autoSpaceDE w:val="0"/>
        <w:autoSpaceDN w:val="0"/>
        <w:adjustRightInd w:val="0"/>
        <w:rPr>
          <w:rFonts w:ascii="Calibri" w:hAnsi="Calibri" w:cs="Calibri"/>
          <w:color w:val="000000"/>
          <w:sz w:val="20"/>
          <w:szCs w:val="20"/>
        </w:rPr>
        <w:sectPr w:rsidR="00B63174" w:rsidRPr="00A77C54" w:rsidSect="003C322B">
          <w:pgSz w:w="15840" w:h="12240" w:orient="landscape"/>
          <w:pgMar w:top="1800" w:right="1980" w:bottom="1440" w:left="1260" w:header="720" w:footer="720" w:gutter="0"/>
          <w:cols w:space="720"/>
          <w:docGrid w:linePitch="360"/>
        </w:sectPr>
      </w:pPr>
    </w:p>
    <w:p w14:paraId="320515F1" w14:textId="77777777" w:rsidR="00E6337C" w:rsidRDefault="00283A75" w:rsidP="007119CC">
      <w:pPr>
        <w:autoSpaceDE w:val="0"/>
        <w:autoSpaceDN w:val="0"/>
        <w:adjustRightInd w:val="0"/>
        <w:rPr>
          <w:rFonts w:ascii="Calibri" w:hAnsi="Calibri" w:cs="Calibri"/>
          <w:color w:val="000000"/>
          <w:sz w:val="22"/>
          <w:szCs w:val="22"/>
        </w:rPr>
      </w:pPr>
      <w:r w:rsidRPr="00A77C54">
        <w:rPr>
          <w:rFonts w:ascii="Calibri" w:hAnsi="Calibri" w:cs="Calibri"/>
          <w:color w:val="000000"/>
          <w:sz w:val="22"/>
          <w:szCs w:val="22"/>
        </w:rPr>
        <w:lastRenderedPageBreak/>
        <w:t>The Medicare A/B PMPMs above will be risk adjusted at the beneficiary level using the existing CMS-HCC risk adjustment model.</w:t>
      </w:r>
      <w:r w:rsidR="00E6337C" w:rsidRPr="00E6337C">
        <w:rPr>
          <w:rFonts w:ascii="Calibri" w:hAnsi="Calibri" w:cs="Calibri"/>
          <w:color w:val="000000"/>
          <w:sz w:val="22"/>
          <w:szCs w:val="22"/>
        </w:rPr>
        <w:t xml:space="preserve"> </w:t>
      </w:r>
    </w:p>
    <w:p w14:paraId="08279BFD" w14:textId="77777777" w:rsidR="00E6337C" w:rsidRDefault="00E6337C" w:rsidP="007119CC">
      <w:pPr>
        <w:autoSpaceDE w:val="0"/>
        <w:autoSpaceDN w:val="0"/>
        <w:adjustRightInd w:val="0"/>
        <w:rPr>
          <w:rFonts w:ascii="Calibri" w:hAnsi="Calibri" w:cs="Calibri"/>
          <w:color w:val="000000"/>
          <w:sz w:val="22"/>
          <w:szCs w:val="22"/>
        </w:rPr>
      </w:pPr>
    </w:p>
    <w:p w14:paraId="7297FFCA" w14:textId="77777777" w:rsidR="00283A75" w:rsidRPr="00A77C54" w:rsidRDefault="00E6337C" w:rsidP="007119CC">
      <w:pPr>
        <w:autoSpaceDE w:val="0"/>
        <w:autoSpaceDN w:val="0"/>
        <w:adjustRightInd w:val="0"/>
        <w:rPr>
          <w:rFonts w:ascii="Calibri" w:hAnsi="Calibri" w:cs="Calibri"/>
          <w:color w:val="000000"/>
          <w:sz w:val="22"/>
          <w:szCs w:val="22"/>
        </w:rPr>
      </w:pPr>
      <w:r w:rsidRPr="001406EE">
        <w:rPr>
          <w:rFonts w:ascii="Calibri" w:hAnsi="Calibri" w:cs="Calibri"/>
          <w:color w:val="000000"/>
          <w:sz w:val="22"/>
          <w:szCs w:val="22"/>
        </w:rPr>
        <w:t>There is a downward movement in the CY 2015 FFS standardized county rate</w:t>
      </w:r>
      <w:r w:rsidR="001406EE" w:rsidRPr="001406EE">
        <w:rPr>
          <w:rFonts w:ascii="Calibri" w:hAnsi="Calibri" w:cs="Calibri"/>
          <w:color w:val="000000"/>
          <w:sz w:val="22"/>
          <w:szCs w:val="22"/>
        </w:rPr>
        <w:t>s</w:t>
      </w:r>
      <w:r w:rsidRPr="001406EE">
        <w:rPr>
          <w:rFonts w:ascii="Calibri" w:hAnsi="Calibri" w:cs="Calibri"/>
          <w:color w:val="000000"/>
          <w:sz w:val="22"/>
          <w:szCs w:val="22"/>
        </w:rPr>
        <w:t xml:space="preserve"> compared to the CY 2014 FFS standardized county rate</w:t>
      </w:r>
      <w:r w:rsidR="001406EE" w:rsidRPr="001406EE">
        <w:rPr>
          <w:rFonts w:ascii="Calibri" w:hAnsi="Calibri" w:cs="Calibri"/>
          <w:color w:val="000000"/>
          <w:sz w:val="22"/>
          <w:szCs w:val="22"/>
        </w:rPr>
        <w:t>s</w:t>
      </w:r>
      <w:r w:rsidRPr="001406EE">
        <w:rPr>
          <w:rFonts w:ascii="Calibri" w:hAnsi="Calibri" w:cs="Calibri"/>
          <w:color w:val="000000"/>
          <w:sz w:val="22"/>
          <w:szCs w:val="22"/>
        </w:rPr>
        <w:t xml:space="preserve">. However, this downward movement </w:t>
      </w:r>
      <w:r w:rsidR="001406EE">
        <w:rPr>
          <w:rFonts w:ascii="Calibri" w:hAnsi="Calibri" w:cs="Calibri"/>
          <w:color w:val="000000"/>
          <w:sz w:val="22"/>
          <w:szCs w:val="22"/>
        </w:rPr>
        <w:t>i</w:t>
      </w:r>
      <w:r w:rsidRPr="001406EE">
        <w:rPr>
          <w:rFonts w:ascii="Calibri" w:hAnsi="Calibri" w:cs="Calibri"/>
          <w:color w:val="000000"/>
          <w:sz w:val="22"/>
          <w:szCs w:val="22"/>
        </w:rPr>
        <w:t xml:space="preserve">s </w:t>
      </w:r>
      <w:r w:rsidR="001C5D72">
        <w:rPr>
          <w:rFonts w:ascii="Calibri" w:hAnsi="Calibri" w:cs="Calibri"/>
          <w:color w:val="000000"/>
          <w:sz w:val="22"/>
          <w:szCs w:val="22"/>
        </w:rPr>
        <w:t xml:space="preserve">partly </w:t>
      </w:r>
      <w:r w:rsidRPr="001406EE">
        <w:rPr>
          <w:rFonts w:ascii="Calibri" w:hAnsi="Calibri" w:cs="Calibri"/>
          <w:color w:val="000000"/>
          <w:sz w:val="22"/>
          <w:szCs w:val="22"/>
        </w:rPr>
        <w:t>offset by methodological changes CMS made to calculate risk adjustment normalization factors. This update in the methodology has an effect of increasing the risk scores. For</w:t>
      </w:r>
      <w:r w:rsidRPr="00561F97">
        <w:rPr>
          <w:rFonts w:ascii="Calibri" w:hAnsi="Calibri" w:cs="Calibri"/>
          <w:color w:val="000000"/>
          <w:sz w:val="22"/>
          <w:szCs w:val="22"/>
        </w:rPr>
        <w:t xml:space="preserve"> more information on normalization factors, please refer to the Rate Announcement letter from April 07, 2014</w:t>
      </w:r>
      <w:r>
        <w:rPr>
          <w:rFonts w:ascii="Calibri" w:hAnsi="Calibri" w:cs="Calibri"/>
          <w:color w:val="000000"/>
          <w:sz w:val="22"/>
          <w:szCs w:val="22"/>
        </w:rPr>
        <w:t>,</w:t>
      </w:r>
      <w:r w:rsidRPr="00561F97">
        <w:rPr>
          <w:rFonts w:ascii="Calibri" w:hAnsi="Calibri" w:cs="Calibri"/>
          <w:color w:val="000000"/>
          <w:sz w:val="22"/>
          <w:szCs w:val="22"/>
        </w:rPr>
        <w:t xml:space="preserve"> located at: </w:t>
      </w:r>
      <w:hyperlink r:id="rId11" w:history="1">
        <w:r w:rsidRPr="00561F97">
          <w:rPr>
            <w:rStyle w:val="Hyperlink"/>
            <w:rFonts w:ascii="Calibri" w:hAnsi="Calibri" w:cs="Calibri"/>
            <w:sz w:val="22"/>
            <w:szCs w:val="22"/>
          </w:rPr>
          <w:t>http://www.cms.gov/Medicare/Health-Plans/MedicareAdvtgSpecRateStats/Downloads/Announcement2015.pdf</w:t>
        </w:r>
      </w:hyperlink>
    </w:p>
    <w:p w14:paraId="4C3CE224" w14:textId="77777777" w:rsidR="00283A75" w:rsidRPr="005F465A" w:rsidRDefault="00283A75" w:rsidP="007119CC">
      <w:pPr>
        <w:autoSpaceDE w:val="0"/>
        <w:autoSpaceDN w:val="0"/>
        <w:adjustRightInd w:val="0"/>
        <w:rPr>
          <w:rFonts w:ascii="Calibri" w:hAnsi="Calibri" w:cs="Calibri"/>
          <w:color w:val="000000"/>
          <w:sz w:val="22"/>
          <w:szCs w:val="22"/>
        </w:rPr>
      </w:pPr>
    </w:p>
    <w:p w14:paraId="56BC5F5C" w14:textId="77777777" w:rsidR="00283A75" w:rsidRPr="00A77C54" w:rsidRDefault="00283A75" w:rsidP="007119CC">
      <w:pPr>
        <w:autoSpaceDE w:val="0"/>
        <w:autoSpaceDN w:val="0"/>
        <w:adjustRightInd w:val="0"/>
        <w:rPr>
          <w:rFonts w:ascii="Calibri" w:hAnsi="Calibri" w:cs="Calibri"/>
          <w:sz w:val="22"/>
          <w:szCs w:val="22"/>
        </w:rPr>
      </w:pPr>
      <w:r w:rsidRPr="005F465A">
        <w:rPr>
          <w:rFonts w:ascii="Calibri" w:hAnsi="Calibri" w:cs="Calibri"/>
          <w:i/>
          <w:color w:val="000000"/>
          <w:sz w:val="22"/>
          <w:szCs w:val="22"/>
        </w:rPr>
        <w:t>Beneficiaries with End-Stage Renal Disease (ESRD):</w:t>
      </w:r>
      <w:r w:rsidRPr="005F465A">
        <w:rPr>
          <w:rFonts w:ascii="Calibri" w:hAnsi="Calibri" w:cs="Calibri"/>
          <w:b/>
          <w:color w:val="000000"/>
          <w:sz w:val="22"/>
          <w:szCs w:val="22"/>
        </w:rPr>
        <w:t xml:space="preserve"> </w:t>
      </w:r>
      <w:r w:rsidRPr="005F465A">
        <w:rPr>
          <w:rFonts w:ascii="Calibri" w:hAnsi="Calibri" w:cs="Calibri"/>
          <w:color w:val="000000"/>
          <w:sz w:val="22"/>
          <w:szCs w:val="22"/>
        </w:rPr>
        <w:t xml:space="preserve">Separate Medicare A/B baselines and risk adjustment </w:t>
      </w:r>
      <w:r w:rsidRPr="005F465A">
        <w:rPr>
          <w:rFonts w:ascii="Calibri" w:hAnsi="Calibri" w:cs="Calibri"/>
          <w:sz w:val="22"/>
          <w:szCs w:val="22"/>
        </w:rPr>
        <w:t xml:space="preserve">apply to enrollees with ESRD. </w:t>
      </w:r>
      <w:r w:rsidRPr="00F91D26">
        <w:rPr>
          <w:rFonts w:ascii="Calibri" w:hAnsi="Calibri" w:cs="Calibri"/>
          <w:sz w:val="22"/>
          <w:szCs w:val="22"/>
        </w:rPr>
        <w:t>The Medicare A/B baselines for beneficiaries with ESRD vary by the enrollee’s ESRD status: dialysis, transplant, and functioning graft, as follows:</w:t>
      </w:r>
    </w:p>
    <w:p w14:paraId="13A335ED" w14:textId="77777777" w:rsidR="00283A75" w:rsidRPr="00A77C54" w:rsidRDefault="00283A75" w:rsidP="007119CC">
      <w:pPr>
        <w:autoSpaceDE w:val="0"/>
        <w:autoSpaceDN w:val="0"/>
        <w:adjustRightInd w:val="0"/>
        <w:rPr>
          <w:rFonts w:ascii="Calibri" w:hAnsi="Calibri" w:cs="Calibri"/>
          <w:sz w:val="22"/>
          <w:szCs w:val="22"/>
        </w:rPr>
      </w:pPr>
    </w:p>
    <w:p w14:paraId="77586EFB" w14:textId="46C8BE89" w:rsidR="00283A75" w:rsidRDefault="00283A75" w:rsidP="007119CC">
      <w:pPr>
        <w:numPr>
          <w:ilvl w:val="0"/>
          <w:numId w:val="3"/>
        </w:numPr>
        <w:autoSpaceDE w:val="0"/>
        <w:autoSpaceDN w:val="0"/>
        <w:adjustRightInd w:val="0"/>
        <w:rPr>
          <w:rFonts w:ascii="Calibri" w:hAnsi="Calibri" w:cs="Calibri"/>
          <w:sz w:val="22"/>
          <w:szCs w:val="22"/>
        </w:rPr>
      </w:pPr>
      <w:r w:rsidRPr="007119CC">
        <w:rPr>
          <w:rFonts w:ascii="Calibri" w:hAnsi="Calibri" w:cs="Calibri"/>
          <w:b/>
          <w:sz w:val="22"/>
          <w:szCs w:val="22"/>
        </w:rPr>
        <w:t>Dialysis</w:t>
      </w:r>
      <w:r w:rsidRPr="007119CC">
        <w:rPr>
          <w:rFonts w:ascii="Calibri" w:hAnsi="Calibri" w:cs="Calibri"/>
          <w:sz w:val="22"/>
          <w:szCs w:val="22"/>
        </w:rPr>
        <w:t xml:space="preserve">: For enrollees in the dialysis status phase, the Medicare A/B baseline </w:t>
      </w:r>
      <w:r w:rsidR="009A3FEF">
        <w:rPr>
          <w:rFonts w:ascii="Calibri" w:hAnsi="Calibri" w:cs="Calibri"/>
          <w:sz w:val="22"/>
          <w:szCs w:val="22"/>
        </w:rPr>
        <w:t>is</w:t>
      </w:r>
      <w:r w:rsidRPr="007119CC">
        <w:rPr>
          <w:rFonts w:ascii="Calibri" w:hAnsi="Calibri" w:cs="Calibri"/>
          <w:sz w:val="22"/>
          <w:szCs w:val="22"/>
        </w:rPr>
        <w:t xml:space="preserve"> the </w:t>
      </w:r>
      <w:r>
        <w:rPr>
          <w:rFonts w:ascii="Calibri" w:hAnsi="Calibri" w:cs="Calibri"/>
          <w:sz w:val="22"/>
          <w:szCs w:val="22"/>
        </w:rPr>
        <w:t xml:space="preserve">CY </w:t>
      </w:r>
      <w:r w:rsidR="00B54441">
        <w:rPr>
          <w:rFonts w:ascii="Calibri" w:hAnsi="Calibri" w:cs="Calibri"/>
          <w:sz w:val="22"/>
          <w:szCs w:val="22"/>
        </w:rPr>
        <w:t>2015</w:t>
      </w:r>
      <w:r w:rsidR="00B54441" w:rsidRPr="007119CC">
        <w:rPr>
          <w:rFonts w:ascii="Calibri" w:hAnsi="Calibri" w:cs="Calibri"/>
          <w:sz w:val="22"/>
          <w:szCs w:val="22"/>
        </w:rPr>
        <w:t xml:space="preserve"> </w:t>
      </w:r>
      <w:r w:rsidRPr="001406EE">
        <w:rPr>
          <w:rFonts w:ascii="Calibri" w:hAnsi="Calibri" w:cs="Calibri"/>
          <w:sz w:val="22"/>
          <w:szCs w:val="22"/>
        </w:rPr>
        <w:t xml:space="preserve">Massachusetts ESRD dialysis state rate, updated to incorporate the impact of sequestration-related rate reductions. The CY </w:t>
      </w:r>
      <w:r w:rsidR="00B54441" w:rsidRPr="001406EE">
        <w:rPr>
          <w:rFonts w:ascii="Calibri" w:hAnsi="Calibri" w:cs="Calibri"/>
          <w:sz w:val="22"/>
          <w:szCs w:val="22"/>
        </w:rPr>
        <w:t xml:space="preserve">2015 </w:t>
      </w:r>
      <w:r w:rsidRPr="009A3FEF">
        <w:rPr>
          <w:rFonts w:ascii="Calibri" w:hAnsi="Calibri" w:cs="Calibri"/>
          <w:sz w:val="22"/>
          <w:szCs w:val="22"/>
        </w:rPr>
        <w:t>ESRD dialysis state rate for Massachusetts is $</w:t>
      </w:r>
      <w:r w:rsidR="00905788" w:rsidRPr="001406EE">
        <w:rPr>
          <w:rFonts w:ascii="Calibri" w:hAnsi="Calibri" w:cs="Calibri"/>
          <w:sz w:val="22"/>
          <w:szCs w:val="22"/>
        </w:rPr>
        <w:t>7,720.35</w:t>
      </w:r>
      <w:r w:rsidR="001406EE" w:rsidRPr="001406EE">
        <w:rPr>
          <w:rFonts w:ascii="Calibri" w:hAnsi="Calibri" w:cs="Calibri"/>
          <w:sz w:val="22"/>
          <w:szCs w:val="22"/>
        </w:rPr>
        <w:t xml:space="preserve"> </w:t>
      </w:r>
      <w:r w:rsidRPr="001406EE">
        <w:rPr>
          <w:rFonts w:ascii="Calibri" w:hAnsi="Calibri" w:cs="Calibri"/>
          <w:sz w:val="22"/>
          <w:szCs w:val="22"/>
        </w:rPr>
        <w:t xml:space="preserve">PMPM; the updated CY </w:t>
      </w:r>
      <w:r w:rsidR="00B54441" w:rsidRPr="001406EE">
        <w:rPr>
          <w:rFonts w:ascii="Calibri" w:hAnsi="Calibri" w:cs="Calibri"/>
          <w:sz w:val="22"/>
          <w:szCs w:val="22"/>
        </w:rPr>
        <w:t xml:space="preserve">2015 </w:t>
      </w:r>
      <w:r w:rsidRPr="001406EE">
        <w:rPr>
          <w:rFonts w:ascii="Calibri" w:hAnsi="Calibri" w:cs="Calibri"/>
          <w:sz w:val="22"/>
          <w:szCs w:val="22"/>
        </w:rPr>
        <w:t xml:space="preserve">ESRD dialysis state rate incorporating a 2% sequestration reduction is </w:t>
      </w:r>
      <w:r w:rsidR="00905788" w:rsidRPr="001406EE">
        <w:rPr>
          <w:rFonts w:ascii="Calibri" w:hAnsi="Calibri" w:cs="Calibri"/>
          <w:sz w:val="22"/>
          <w:szCs w:val="22"/>
        </w:rPr>
        <w:t>$7,565.94</w:t>
      </w:r>
      <w:r w:rsidR="001406EE" w:rsidRPr="001406EE">
        <w:rPr>
          <w:rFonts w:ascii="Calibri" w:hAnsi="Calibri" w:cs="Calibri"/>
          <w:sz w:val="22"/>
          <w:szCs w:val="22"/>
        </w:rPr>
        <w:t xml:space="preserve"> </w:t>
      </w:r>
      <w:r w:rsidRPr="001406EE">
        <w:rPr>
          <w:rFonts w:ascii="Calibri" w:hAnsi="Calibri" w:cs="Calibri"/>
          <w:sz w:val="22"/>
          <w:szCs w:val="22"/>
        </w:rPr>
        <w:t xml:space="preserve">PMPM. This </w:t>
      </w:r>
      <w:r w:rsidR="009A3FEF">
        <w:rPr>
          <w:rFonts w:ascii="Calibri" w:hAnsi="Calibri" w:cs="Calibri"/>
          <w:sz w:val="22"/>
          <w:szCs w:val="22"/>
        </w:rPr>
        <w:t>applies</w:t>
      </w:r>
      <w:r w:rsidRPr="001406EE">
        <w:rPr>
          <w:rFonts w:ascii="Calibri" w:hAnsi="Calibri" w:cs="Calibri"/>
          <w:sz w:val="22"/>
          <w:szCs w:val="22"/>
        </w:rPr>
        <w:t xml:space="preserve"> to applicable enrollees in all Demonstration counties and will </w:t>
      </w:r>
      <w:r w:rsidRPr="009A3FEF">
        <w:rPr>
          <w:rFonts w:ascii="Calibri" w:hAnsi="Calibri" w:cs="Calibri"/>
          <w:sz w:val="22"/>
          <w:szCs w:val="22"/>
        </w:rPr>
        <w:t>be risk adjusted</w:t>
      </w:r>
      <w:r w:rsidRPr="007119CC">
        <w:rPr>
          <w:rFonts w:ascii="Calibri" w:hAnsi="Calibri" w:cs="Calibri"/>
          <w:sz w:val="22"/>
          <w:szCs w:val="22"/>
        </w:rPr>
        <w:t xml:space="preserve"> using the existing HCC-ESRD risk adjustment model.</w:t>
      </w:r>
    </w:p>
    <w:p w14:paraId="16A681A1" w14:textId="77777777" w:rsidR="000A74E7" w:rsidRPr="007119CC" w:rsidRDefault="000A74E7" w:rsidP="000A74E7">
      <w:pPr>
        <w:autoSpaceDE w:val="0"/>
        <w:autoSpaceDN w:val="0"/>
        <w:adjustRightInd w:val="0"/>
        <w:ind w:left="720"/>
        <w:rPr>
          <w:rFonts w:ascii="Calibri" w:hAnsi="Calibri" w:cs="Calibri"/>
          <w:sz w:val="22"/>
          <w:szCs w:val="22"/>
        </w:rPr>
      </w:pPr>
    </w:p>
    <w:p w14:paraId="0CC7CD71" w14:textId="21E79846" w:rsidR="00283A75" w:rsidRDefault="00283A75" w:rsidP="007119CC">
      <w:pPr>
        <w:numPr>
          <w:ilvl w:val="0"/>
          <w:numId w:val="3"/>
        </w:numPr>
        <w:autoSpaceDE w:val="0"/>
        <w:autoSpaceDN w:val="0"/>
        <w:adjustRightInd w:val="0"/>
        <w:rPr>
          <w:rFonts w:ascii="Calibri" w:hAnsi="Calibri" w:cs="Calibri"/>
          <w:sz w:val="22"/>
          <w:szCs w:val="22"/>
        </w:rPr>
      </w:pPr>
      <w:r w:rsidRPr="00A77C54">
        <w:rPr>
          <w:rFonts w:ascii="Calibri" w:hAnsi="Calibri" w:cs="Calibri"/>
          <w:b/>
          <w:sz w:val="22"/>
          <w:szCs w:val="22"/>
        </w:rPr>
        <w:t>Transplant</w:t>
      </w:r>
      <w:r w:rsidRPr="00A77C54">
        <w:rPr>
          <w:rFonts w:ascii="Calibri" w:hAnsi="Calibri" w:cs="Calibri"/>
          <w:sz w:val="22"/>
          <w:szCs w:val="22"/>
        </w:rPr>
        <w:t xml:space="preserve">: For enrollees in the transplant status phase (inclusive of the 3-months post-transplant), the Medicare A/B baseline </w:t>
      </w:r>
      <w:r w:rsidR="009A3FEF">
        <w:rPr>
          <w:rFonts w:ascii="Calibri" w:hAnsi="Calibri" w:cs="Calibri"/>
          <w:sz w:val="22"/>
          <w:szCs w:val="22"/>
        </w:rPr>
        <w:t>is</w:t>
      </w:r>
      <w:r w:rsidRPr="00A77C54">
        <w:rPr>
          <w:rFonts w:ascii="Calibri" w:hAnsi="Calibri" w:cs="Calibri"/>
          <w:sz w:val="22"/>
          <w:szCs w:val="22"/>
        </w:rPr>
        <w:t xml:space="preserve"> be the</w:t>
      </w:r>
      <w:r>
        <w:rPr>
          <w:rFonts w:ascii="Calibri" w:hAnsi="Calibri" w:cs="Calibri"/>
          <w:sz w:val="22"/>
          <w:szCs w:val="22"/>
        </w:rPr>
        <w:t xml:space="preserve"> CY </w:t>
      </w:r>
      <w:r w:rsidR="00B54441">
        <w:rPr>
          <w:rFonts w:ascii="Calibri" w:hAnsi="Calibri" w:cs="Calibri"/>
          <w:sz w:val="22"/>
          <w:szCs w:val="22"/>
        </w:rPr>
        <w:t xml:space="preserve">2015 </w:t>
      </w:r>
      <w:r>
        <w:rPr>
          <w:rFonts w:ascii="Calibri" w:hAnsi="Calibri" w:cs="Calibri"/>
          <w:sz w:val="22"/>
          <w:szCs w:val="22"/>
        </w:rPr>
        <w:t>Massachusetts</w:t>
      </w:r>
      <w:r w:rsidRPr="00A77C54">
        <w:rPr>
          <w:rFonts w:ascii="Calibri" w:hAnsi="Calibri" w:cs="Calibri"/>
          <w:sz w:val="22"/>
          <w:szCs w:val="22"/>
        </w:rPr>
        <w:t xml:space="preserve"> ESRD dialysis state rate updated to incorporate the </w:t>
      </w:r>
      <w:r w:rsidRPr="001406EE">
        <w:rPr>
          <w:rFonts w:ascii="Calibri" w:hAnsi="Calibri" w:cs="Calibri"/>
          <w:sz w:val="22"/>
          <w:szCs w:val="22"/>
        </w:rPr>
        <w:t xml:space="preserve">impact of sequestration-related rate reductions. The CY </w:t>
      </w:r>
      <w:r w:rsidR="00B54441" w:rsidRPr="001406EE">
        <w:rPr>
          <w:rFonts w:ascii="Calibri" w:hAnsi="Calibri" w:cs="Calibri"/>
          <w:sz w:val="22"/>
          <w:szCs w:val="22"/>
        </w:rPr>
        <w:t xml:space="preserve">2015 </w:t>
      </w:r>
      <w:r w:rsidRPr="001406EE">
        <w:rPr>
          <w:rFonts w:ascii="Calibri" w:hAnsi="Calibri" w:cs="Calibri"/>
          <w:sz w:val="22"/>
          <w:szCs w:val="22"/>
        </w:rPr>
        <w:t>ESRD dialysis state rate for Massachusetts is $</w:t>
      </w:r>
      <w:r w:rsidR="00905788" w:rsidRPr="001406EE">
        <w:rPr>
          <w:rFonts w:ascii="Calibri" w:hAnsi="Calibri" w:cs="Calibri"/>
          <w:sz w:val="22"/>
          <w:szCs w:val="22"/>
        </w:rPr>
        <w:t>7,720.35</w:t>
      </w:r>
      <w:r w:rsidR="001406EE">
        <w:rPr>
          <w:rFonts w:ascii="Calibri" w:hAnsi="Calibri" w:cs="Calibri"/>
          <w:sz w:val="22"/>
          <w:szCs w:val="22"/>
        </w:rPr>
        <w:t xml:space="preserve"> </w:t>
      </w:r>
      <w:r w:rsidRPr="001406EE">
        <w:rPr>
          <w:rFonts w:ascii="Calibri" w:hAnsi="Calibri" w:cs="Calibri"/>
          <w:sz w:val="22"/>
          <w:szCs w:val="22"/>
        </w:rPr>
        <w:t>PMPM; the updated CY 201</w:t>
      </w:r>
      <w:r w:rsidR="00B54441" w:rsidRPr="001406EE">
        <w:rPr>
          <w:rFonts w:ascii="Calibri" w:hAnsi="Calibri" w:cs="Calibri"/>
          <w:sz w:val="22"/>
          <w:szCs w:val="22"/>
        </w:rPr>
        <w:t>5</w:t>
      </w:r>
      <w:r w:rsidRPr="001406EE">
        <w:rPr>
          <w:rFonts w:ascii="Calibri" w:hAnsi="Calibri" w:cs="Calibri"/>
          <w:sz w:val="22"/>
          <w:szCs w:val="22"/>
        </w:rPr>
        <w:t xml:space="preserve"> ESRD dialysis state rate incorporating a 2% sequestration reduction </w:t>
      </w:r>
      <w:r w:rsidRPr="00C015EA">
        <w:rPr>
          <w:rFonts w:ascii="Calibri" w:hAnsi="Calibri" w:cs="Calibri"/>
          <w:sz w:val="22"/>
          <w:szCs w:val="22"/>
        </w:rPr>
        <w:t>is $</w:t>
      </w:r>
      <w:r w:rsidR="00905788">
        <w:rPr>
          <w:rFonts w:ascii="Calibri" w:hAnsi="Calibri" w:cs="Calibri"/>
          <w:sz w:val="22"/>
          <w:szCs w:val="22"/>
        </w:rPr>
        <w:t>7</w:t>
      </w:r>
      <w:r w:rsidR="001406EE">
        <w:rPr>
          <w:rFonts w:ascii="Calibri" w:hAnsi="Calibri" w:cs="Calibri"/>
          <w:sz w:val="22"/>
          <w:szCs w:val="22"/>
        </w:rPr>
        <w:t>,</w:t>
      </w:r>
      <w:r w:rsidR="00905788">
        <w:rPr>
          <w:rFonts w:ascii="Calibri" w:hAnsi="Calibri" w:cs="Calibri"/>
          <w:sz w:val="22"/>
          <w:szCs w:val="22"/>
        </w:rPr>
        <w:t>565.94</w:t>
      </w:r>
      <w:r w:rsidRPr="00C015EA">
        <w:rPr>
          <w:rFonts w:ascii="Calibri" w:hAnsi="Calibri" w:cs="Calibri"/>
          <w:sz w:val="22"/>
          <w:szCs w:val="22"/>
        </w:rPr>
        <w:t xml:space="preserve"> PMPM</w:t>
      </w:r>
      <w:r w:rsidRPr="00A77C54">
        <w:rPr>
          <w:rFonts w:ascii="Calibri" w:hAnsi="Calibri" w:cs="Calibri"/>
          <w:sz w:val="22"/>
          <w:szCs w:val="22"/>
        </w:rPr>
        <w:t xml:space="preserve">. This </w:t>
      </w:r>
      <w:r w:rsidR="009A3FEF">
        <w:rPr>
          <w:rFonts w:ascii="Calibri" w:hAnsi="Calibri" w:cs="Calibri"/>
          <w:sz w:val="22"/>
          <w:szCs w:val="22"/>
        </w:rPr>
        <w:t>applies</w:t>
      </w:r>
      <w:r w:rsidRPr="00A77C54">
        <w:rPr>
          <w:rFonts w:ascii="Calibri" w:hAnsi="Calibri" w:cs="Calibri"/>
          <w:sz w:val="22"/>
          <w:szCs w:val="22"/>
        </w:rPr>
        <w:t xml:space="preserve"> to applicable enrollees in all</w:t>
      </w:r>
      <w:r>
        <w:rPr>
          <w:rFonts w:ascii="Calibri" w:hAnsi="Calibri" w:cs="Calibri"/>
          <w:sz w:val="22"/>
          <w:szCs w:val="22"/>
        </w:rPr>
        <w:t xml:space="preserve"> Demonstration</w:t>
      </w:r>
      <w:r w:rsidRPr="00A77C54">
        <w:rPr>
          <w:rFonts w:ascii="Calibri" w:hAnsi="Calibri" w:cs="Calibri"/>
          <w:sz w:val="22"/>
          <w:szCs w:val="22"/>
        </w:rPr>
        <w:t xml:space="preserve"> counties and will be risk adjusted using the existing HCC-ESRD risk adjustment model.</w:t>
      </w:r>
    </w:p>
    <w:p w14:paraId="68211442" w14:textId="77777777" w:rsidR="000A74E7" w:rsidRPr="00A77C54" w:rsidRDefault="000A74E7" w:rsidP="000A74E7">
      <w:pPr>
        <w:autoSpaceDE w:val="0"/>
        <w:autoSpaceDN w:val="0"/>
        <w:adjustRightInd w:val="0"/>
        <w:ind w:left="720"/>
        <w:rPr>
          <w:rFonts w:ascii="Calibri" w:hAnsi="Calibri" w:cs="Calibri"/>
          <w:sz w:val="22"/>
          <w:szCs w:val="22"/>
        </w:rPr>
      </w:pPr>
    </w:p>
    <w:p w14:paraId="58130842" w14:textId="77777777" w:rsidR="00283A75" w:rsidRDefault="00283A75" w:rsidP="007119CC">
      <w:pPr>
        <w:numPr>
          <w:ilvl w:val="0"/>
          <w:numId w:val="3"/>
        </w:numPr>
        <w:autoSpaceDE w:val="0"/>
        <w:autoSpaceDN w:val="0"/>
        <w:adjustRightInd w:val="0"/>
        <w:rPr>
          <w:rFonts w:ascii="Calibri" w:hAnsi="Calibri" w:cs="Calibri"/>
          <w:color w:val="000000"/>
          <w:sz w:val="22"/>
          <w:szCs w:val="22"/>
        </w:rPr>
      </w:pPr>
      <w:r w:rsidRPr="00A77C54">
        <w:rPr>
          <w:rFonts w:ascii="Calibri" w:hAnsi="Calibri" w:cs="Calibri"/>
          <w:b/>
          <w:color w:val="000000"/>
          <w:sz w:val="22"/>
          <w:szCs w:val="22"/>
        </w:rPr>
        <w:t>Functioning Graft:</w:t>
      </w:r>
      <w:r w:rsidRPr="00A77C54">
        <w:rPr>
          <w:rFonts w:ascii="Calibri" w:hAnsi="Calibri" w:cs="Calibri"/>
          <w:color w:val="000000"/>
          <w:sz w:val="22"/>
          <w:szCs w:val="22"/>
        </w:rPr>
        <w:t xml:space="preserve"> For enrollees in the functioning graft status phase (beginning at 4 months post-transplant) the Medicare A/B baseline </w:t>
      </w:r>
      <w:r w:rsidR="009A3FEF">
        <w:rPr>
          <w:rFonts w:ascii="Calibri" w:hAnsi="Calibri" w:cs="Calibri"/>
          <w:color w:val="000000"/>
          <w:sz w:val="22"/>
          <w:szCs w:val="22"/>
        </w:rPr>
        <w:t>is</w:t>
      </w:r>
      <w:r w:rsidRPr="00A77C54">
        <w:rPr>
          <w:rFonts w:ascii="Calibri" w:hAnsi="Calibri" w:cs="Calibri"/>
          <w:color w:val="000000"/>
          <w:sz w:val="22"/>
          <w:szCs w:val="22"/>
        </w:rPr>
        <w:t xml:space="preserve"> be the Medicare Advantage 3</w:t>
      </w:r>
      <w:r w:rsidR="00CF3C67">
        <w:rPr>
          <w:rFonts w:ascii="Calibri" w:hAnsi="Calibri" w:cs="Calibri"/>
          <w:color w:val="000000"/>
          <w:sz w:val="22"/>
          <w:szCs w:val="22"/>
        </w:rPr>
        <w:t>.5</w:t>
      </w:r>
      <w:r w:rsidRPr="00A77C54">
        <w:rPr>
          <w:rFonts w:ascii="Calibri" w:hAnsi="Calibri" w:cs="Calibri"/>
          <w:color w:val="000000"/>
          <w:sz w:val="22"/>
          <w:szCs w:val="22"/>
        </w:rPr>
        <w:t>-star county rate</w:t>
      </w:r>
      <w:r>
        <w:rPr>
          <w:rFonts w:ascii="Calibri" w:hAnsi="Calibri" w:cs="Calibri"/>
          <w:color w:val="000000"/>
          <w:sz w:val="22"/>
          <w:szCs w:val="22"/>
        </w:rPr>
        <w:t>/benchmark (see table below)</w:t>
      </w:r>
      <w:r w:rsidRPr="00A77C54">
        <w:rPr>
          <w:rFonts w:ascii="Calibri" w:hAnsi="Calibri" w:cs="Calibri"/>
          <w:color w:val="000000"/>
          <w:sz w:val="22"/>
          <w:szCs w:val="22"/>
        </w:rPr>
        <w:t>. This Medicare A/B component will be risk adjusted using the existing HCC-ESRD risk adjustment model.</w:t>
      </w:r>
    </w:p>
    <w:p w14:paraId="6D30B579" w14:textId="648F717F" w:rsidR="00283A75" w:rsidRPr="00A77C54" w:rsidRDefault="00283A75" w:rsidP="005D02C0">
      <w:pPr>
        <w:spacing w:after="200" w:line="276" w:lineRule="auto"/>
        <w:rPr>
          <w:rFonts w:ascii="Calibri" w:hAnsi="Calibri" w:cs="Calibri"/>
          <w:sz w:val="22"/>
          <w:szCs w:val="22"/>
        </w:rPr>
      </w:pPr>
      <w:r>
        <w:rPr>
          <w:rFonts w:ascii="Calibri" w:hAnsi="Calibri" w:cs="Calibri"/>
          <w:color w:val="000000"/>
          <w:sz w:val="22"/>
          <w:szCs w:val="22"/>
        </w:rPr>
        <w:br w:type="page"/>
      </w:r>
      <w:r w:rsidR="00887060" w:rsidRPr="00A77C54" w:rsidDel="00887060">
        <w:rPr>
          <w:rFonts w:ascii="Calibri" w:hAnsi="Calibri" w:cs="Calibri"/>
          <w:sz w:val="22"/>
          <w:szCs w:val="22"/>
        </w:rPr>
        <w:lastRenderedPageBreak/>
        <w:t xml:space="preserve"> </w:t>
      </w:r>
    </w:p>
    <w:tbl>
      <w:tblPr>
        <w:tblStyle w:val="TableGrid"/>
        <w:tblW w:w="8949" w:type="dxa"/>
        <w:tblLook w:val="04A0" w:firstRow="1" w:lastRow="0" w:firstColumn="1" w:lastColumn="0" w:noHBand="0" w:noVBand="1"/>
      </w:tblPr>
      <w:tblGrid>
        <w:gridCol w:w="1956"/>
        <w:gridCol w:w="2112"/>
        <w:gridCol w:w="2220"/>
        <w:gridCol w:w="2661"/>
      </w:tblGrid>
      <w:tr w:rsidR="00AE2EEF" w:rsidRPr="001406EE" w14:paraId="4EDD7E32" w14:textId="77777777" w:rsidTr="00AE2EEF">
        <w:trPr>
          <w:trHeight w:val="269"/>
        </w:trPr>
        <w:tc>
          <w:tcPr>
            <w:tcW w:w="8949" w:type="dxa"/>
            <w:gridSpan w:val="4"/>
            <w:hideMark/>
          </w:tcPr>
          <w:p w14:paraId="00AED993" w14:textId="77777777" w:rsidR="00AE2EEF" w:rsidRPr="001406EE" w:rsidRDefault="00AE2EEF" w:rsidP="00AE2EEF">
            <w:pPr>
              <w:rPr>
                <w:rFonts w:asciiTheme="minorHAnsi" w:hAnsiTheme="minorHAnsi" w:cstheme="minorHAnsi"/>
                <w:b/>
                <w:bCs/>
                <w:color w:val="000000"/>
                <w:sz w:val="20"/>
                <w:szCs w:val="20"/>
              </w:rPr>
            </w:pPr>
            <w:r w:rsidRPr="001406EE">
              <w:rPr>
                <w:rFonts w:asciiTheme="minorHAnsi" w:hAnsiTheme="minorHAnsi" w:cstheme="minorHAnsi"/>
                <w:b/>
                <w:bCs/>
                <w:color w:val="000000"/>
                <w:sz w:val="20"/>
                <w:szCs w:val="20"/>
              </w:rPr>
              <w:t>2015 Medicare A/B Baseline PMPM, Beneficiaries with ESRD Functioning Graft Status, Standardized 1.0 Risk Score</w:t>
            </w:r>
            <w:r w:rsidR="00D70722">
              <w:rPr>
                <w:rFonts w:asciiTheme="minorHAnsi" w:hAnsiTheme="minorHAnsi" w:cstheme="minorHAnsi"/>
                <w:b/>
                <w:bCs/>
                <w:color w:val="000000"/>
                <w:sz w:val="20"/>
                <w:szCs w:val="20"/>
              </w:rPr>
              <w:t>, by Demonstration County</w:t>
            </w:r>
          </w:p>
        </w:tc>
      </w:tr>
      <w:tr w:rsidR="00AE2EEF" w:rsidRPr="001406EE" w14:paraId="3C67A569" w14:textId="77777777" w:rsidTr="001406EE">
        <w:trPr>
          <w:trHeight w:val="1835"/>
        </w:trPr>
        <w:tc>
          <w:tcPr>
            <w:tcW w:w="1956" w:type="dxa"/>
            <w:hideMark/>
          </w:tcPr>
          <w:p w14:paraId="223F1AEF" w14:textId="77777777" w:rsidR="00AE2EEF" w:rsidRPr="001406EE" w:rsidRDefault="00AE2EEF" w:rsidP="00AE2EEF">
            <w:pPr>
              <w:rPr>
                <w:rFonts w:asciiTheme="minorHAnsi" w:hAnsiTheme="minorHAnsi" w:cstheme="minorHAnsi"/>
                <w:b/>
                <w:bCs/>
                <w:color w:val="000000"/>
                <w:sz w:val="20"/>
                <w:szCs w:val="20"/>
              </w:rPr>
            </w:pPr>
            <w:r w:rsidRPr="001406EE">
              <w:rPr>
                <w:rFonts w:asciiTheme="minorHAnsi" w:hAnsiTheme="minorHAnsi" w:cstheme="minorHAnsi"/>
                <w:b/>
                <w:bCs/>
                <w:color w:val="000000"/>
                <w:sz w:val="20"/>
                <w:szCs w:val="20"/>
              </w:rPr>
              <w:t>County</w:t>
            </w:r>
          </w:p>
        </w:tc>
        <w:tc>
          <w:tcPr>
            <w:tcW w:w="2112" w:type="dxa"/>
            <w:hideMark/>
          </w:tcPr>
          <w:p w14:paraId="69F90ECD" w14:textId="77777777" w:rsidR="00AE2EEF" w:rsidRPr="001406EE" w:rsidRDefault="00AE2EEF" w:rsidP="00AE2EEF">
            <w:pPr>
              <w:rPr>
                <w:rFonts w:asciiTheme="minorHAnsi" w:hAnsiTheme="minorHAnsi" w:cstheme="minorHAnsi"/>
                <w:b/>
                <w:bCs/>
                <w:color w:val="000000"/>
                <w:sz w:val="20"/>
                <w:szCs w:val="20"/>
              </w:rPr>
            </w:pPr>
            <w:r w:rsidRPr="001406EE">
              <w:rPr>
                <w:rFonts w:asciiTheme="minorHAnsi" w:hAnsiTheme="minorHAnsi" w:cstheme="minorHAnsi"/>
                <w:b/>
                <w:bCs/>
                <w:color w:val="000000"/>
                <w:sz w:val="20"/>
                <w:szCs w:val="20"/>
              </w:rPr>
              <w:t>2015 3.5-Star County Rate (Benchmark)</w:t>
            </w:r>
          </w:p>
        </w:tc>
        <w:tc>
          <w:tcPr>
            <w:tcW w:w="2220" w:type="dxa"/>
            <w:hideMark/>
          </w:tcPr>
          <w:p w14:paraId="12B9AF5C" w14:textId="77777777" w:rsidR="00AE2EEF" w:rsidRPr="001406EE" w:rsidRDefault="00AE2EEF" w:rsidP="00AE2EEF">
            <w:pPr>
              <w:rPr>
                <w:rFonts w:asciiTheme="minorHAnsi" w:hAnsiTheme="minorHAnsi" w:cstheme="minorHAnsi"/>
                <w:b/>
                <w:bCs/>
                <w:color w:val="000000"/>
                <w:sz w:val="20"/>
                <w:szCs w:val="20"/>
              </w:rPr>
            </w:pPr>
            <w:r w:rsidRPr="001406EE">
              <w:rPr>
                <w:rFonts w:asciiTheme="minorHAnsi" w:hAnsiTheme="minorHAnsi" w:cstheme="minorHAnsi"/>
                <w:b/>
                <w:bCs/>
                <w:color w:val="000000"/>
                <w:sz w:val="20"/>
                <w:szCs w:val="20"/>
              </w:rPr>
              <w:t>2015 Final Medicare A/B PMPM Baseline</w:t>
            </w:r>
            <w:r w:rsidRPr="001406EE">
              <w:rPr>
                <w:rFonts w:asciiTheme="minorHAnsi" w:hAnsiTheme="minorHAnsi" w:cstheme="minorHAnsi"/>
                <w:b/>
                <w:bCs/>
                <w:color w:val="000000"/>
                <w:sz w:val="20"/>
                <w:szCs w:val="20"/>
              </w:rPr>
              <w:br/>
            </w:r>
            <w:r w:rsidRPr="001406EE">
              <w:rPr>
                <w:rFonts w:asciiTheme="minorHAnsi" w:hAnsiTheme="minorHAnsi" w:cstheme="minorHAnsi"/>
                <w:b/>
                <w:bCs/>
                <w:color w:val="000000"/>
                <w:sz w:val="20"/>
                <w:szCs w:val="20"/>
              </w:rPr>
              <w:br/>
            </w:r>
            <w:r w:rsidRPr="001406EE">
              <w:rPr>
                <w:rFonts w:asciiTheme="minorHAnsi" w:hAnsiTheme="minorHAnsi" w:cstheme="minorHAnsi"/>
                <w:color w:val="000000"/>
                <w:sz w:val="20"/>
                <w:szCs w:val="20"/>
              </w:rPr>
              <w:t xml:space="preserve">(increased to offset application of </w:t>
            </w:r>
            <w:r w:rsidR="001406EE">
              <w:rPr>
                <w:rFonts w:asciiTheme="minorHAnsi" w:hAnsiTheme="minorHAnsi" w:cstheme="minorHAnsi"/>
                <w:color w:val="000000"/>
                <w:sz w:val="20"/>
                <w:szCs w:val="20"/>
              </w:rPr>
              <w:t xml:space="preserve">modified </w:t>
            </w:r>
            <w:r w:rsidRPr="001406EE">
              <w:rPr>
                <w:rFonts w:asciiTheme="minorHAnsi" w:hAnsiTheme="minorHAnsi" w:cstheme="minorHAnsi"/>
                <w:color w:val="000000"/>
                <w:sz w:val="20"/>
                <w:szCs w:val="20"/>
              </w:rPr>
              <w:t>coding intensity adjustment factor in 2015)*</w:t>
            </w:r>
          </w:p>
        </w:tc>
        <w:tc>
          <w:tcPr>
            <w:tcW w:w="2661" w:type="dxa"/>
            <w:hideMark/>
          </w:tcPr>
          <w:p w14:paraId="78890A93" w14:textId="77777777" w:rsidR="00AE2EEF" w:rsidRPr="001406EE" w:rsidRDefault="00AE2EEF" w:rsidP="00AE2EEF">
            <w:pPr>
              <w:rPr>
                <w:rFonts w:asciiTheme="minorHAnsi" w:hAnsiTheme="minorHAnsi" w:cstheme="minorHAnsi"/>
                <w:b/>
                <w:bCs/>
                <w:color w:val="000000"/>
                <w:sz w:val="20"/>
                <w:szCs w:val="20"/>
              </w:rPr>
            </w:pPr>
            <w:r w:rsidRPr="001406EE">
              <w:rPr>
                <w:rFonts w:asciiTheme="minorHAnsi" w:hAnsiTheme="minorHAnsi" w:cstheme="minorHAnsi"/>
                <w:b/>
                <w:bCs/>
                <w:color w:val="000000"/>
                <w:sz w:val="20"/>
                <w:szCs w:val="20"/>
              </w:rPr>
              <w:t>2015 Sequestration-Adjusted Medicare A/B Baseline</w:t>
            </w:r>
            <w:r w:rsidRPr="001406EE">
              <w:rPr>
                <w:rFonts w:asciiTheme="minorHAnsi" w:hAnsiTheme="minorHAnsi" w:cstheme="minorHAnsi"/>
                <w:b/>
                <w:bCs/>
                <w:color w:val="000000"/>
                <w:sz w:val="20"/>
                <w:szCs w:val="20"/>
              </w:rPr>
              <w:br/>
            </w:r>
            <w:r w:rsidRPr="001406EE">
              <w:rPr>
                <w:rFonts w:asciiTheme="minorHAnsi" w:hAnsiTheme="minorHAnsi" w:cstheme="minorHAnsi"/>
                <w:b/>
                <w:bCs/>
                <w:color w:val="000000"/>
                <w:sz w:val="20"/>
                <w:szCs w:val="20"/>
              </w:rPr>
              <w:br/>
            </w:r>
            <w:r w:rsidRPr="001406EE">
              <w:rPr>
                <w:rFonts w:asciiTheme="minorHAnsi" w:hAnsiTheme="minorHAnsi" w:cstheme="minorHAnsi"/>
                <w:color w:val="000000"/>
                <w:sz w:val="20"/>
                <w:szCs w:val="20"/>
              </w:rPr>
              <w:t>(after application of 2% Sequestration reduction)</w:t>
            </w:r>
          </w:p>
        </w:tc>
      </w:tr>
      <w:tr w:rsidR="00AE2EEF" w:rsidRPr="001406EE" w14:paraId="190AD5E5" w14:textId="77777777" w:rsidTr="001406EE">
        <w:trPr>
          <w:trHeight w:val="269"/>
        </w:trPr>
        <w:tc>
          <w:tcPr>
            <w:tcW w:w="1956" w:type="dxa"/>
            <w:noWrap/>
            <w:hideMark/>
          </w:tcPr>
          <w:p w14:paraId="6F41784C" w14:textId="77777777" w:rsidR="00AE2EEF" w:rsidRPr="001406EE" w:rsidRDefault="00AE2EEF" w:rsidP="00AE2EEF">
            <w:pPr>
              <w:rPr>
                <w:rFonts w:asciiTheme="minorHAnsi" w:hAnsiTheme="minorHAnsi" w:cstheme="minorHAnsi"/>
                <w:color w:val="000000"/>
                <w:sz w:val="22"/>
                <w:szCs w:val="22"/>
              </w:rPr>
            </w:pPr>
            <w:r w:rsidRPr="001406EE">
              <w:rPr>
                <w:rFonts w:asciiTheme="minorHAnsi" w:hAnsiTheme="minorHAnsi" w:cstheme="minorHAnsi"/>
                <w:color w:val="000000"/>
                <w:sz w:val="22"/>
                <w:szCs w:val="22"/>
              </w:rPr>
              <w:t>Essex</w:t>
            </w:r>
          </w:p>
        </w:tc>
        <w:tc>
          <w:tcPr>
            <w:tcW w:w="2112" w:type="dxa"/>
            <w:noWrap/>
            <w:hideMark/>
          </w:tcPr>
          <w:p w14:paraId="3DB0DC91" w14:textId="77777777" w:rsidR="00AE2EEF" w:rsidRPr="001406EE" w:rsidRDefault="00AE2EEF" w:rsidP="00AE2EEF">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$828.91</w:t>
            </w:r>
          </w:p>
        </w:tc>
        <w:tc>
          <w:tcPr>
            <w:tcW w:w="2220" w:type="dxa"/>
            <w:noWrap/>
            <w:hideMark/>
          </w:tcPr>
          <w:p w14:paraId="450A8250" w14:textId="77777777" w:rsidR="00AE2EEF" w:rsidRPr="001406EE" w:rsidRDefault="00AE2EEF" w:rsidP="00AE2EEF">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$849.73</w:t>
            </w:r>
          </w:p>
        </w:tc>
        <w:tc>
          <w:tcPr>
            <w:tcW w:w="2661" w:type="dxa"/>
            <w:noWrap/>
            <w:hideMark/>
          </w:tcPr>
          <w:p w14:paraId="3F361686" w14:textId="77777777" w:rsidR="00AE2EEF" w:rsidRPr="001406EE" w:rsidRDefault="00AE2EEF" w:rsidP="00AE2EEF">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$832.74</w:t>
            </w:r>
          </w:p>
        </w:tc>
      </w:tr>
      <w:tr w:rsidR="00AE2EEF" w:rsidRPr="001406EE" w14:paraId="30EDAA64" w14:textId="77777777" w:rsidTr="001406EE">
        <w:trPr>
          <w:trHeight w:val="269"/>
        </w:trPr>
        <w:tc>
          <w:tcPr>
            <w:tcW w:w="1956" w:type="dxa"/>
            <w:noWrap/>
            <w:hideMark/>
          </w:tcPr>
          <w:p w14:paraId="4FBC630B" w14:textId="77777777" w:rsidR="00AE2EEF" w:rsidRPr="001406EE" w:rsidRDefault="00AE2EEF" w:rsidP="00AE2EEF">
            <w:pPr>
              <w:rPr>
                <w:rFonts w:asciiTheme="minorHAnsi" w:hAnsiTheme="minorHAnsi" w:cstheme="minorHAnsi"/>
                <w:color w:val="000000"/>
                <w:sz w:val="22"/>
                <w:szCs w:val="22"/>
              </w:rPr>
            </w:pPr>
            <w:r w:rsidRPr="001406EE">
              <w:rPr>
                <w:rFonts w:asciiTheme="minorHAnsi" w:hAnsiTheme="minorHAnsi" w:cstheme="minorHAnsi"/>
                <w:color w:val="000000"/>
                <w:sz w:val="22"/>
                <w:szCs w:val="22"/>
              </w:rPr>
              <w:t>Franklin</w:t>
            </w:r>
          </w:p>
        </w:tc>
        <w:tc>
          <w:tcPr>
            <w:tcW w:w="2112" w:type="dxa"/>
            <w:noWrap/>
            <w:hideMark/>
          </w:tcPr>
          <w:p w14:paraId="09308753" w14:textId="77777777" w:rsidR="00AE2EEF" w:rsidRPr="001406EE" w:rsidRDefault="00AE2EEF" w:rsidP="00AE2EEF">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816.82</w:t>
            </w:r>
          </w:p>
        </w:tc>
        <w:tc>
          <w:tcPr>
            <w:tcW w:w="2220" w:type="dxa"/>
            <w:noWrap/>
            <w:hideMark/>
          </w:tcPr>
          <w:p w14:paraId="25C424F7" w14:textId="77777777" w:rsidR="00AE2EEF" w:rsidRPr="001406EE" w:rsidRDefault="00AE2EEF" w:rsidP="00AE2EEF">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837.33</w:t>
            </w:r>
          </w:p>
        </w:tc>
        <w:tc>
          <w:tcPr>
            <w:tcW w:w="2661" w:type="dxa"/>
            <w:noWrap/>
            <w:hideMark/>
          </w:tcPr>
          <w:p w14:paraId="70CAD8D7" w14:textId="77777777" w:rsidR="00AE2EEF" w:rsidRPr="001406EE" w:rsidRDefault="00AE2EEF" w:rsidP="00AE2EEF">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820.58</w:t>
            </w:r>
          </w:p>
        </w:tc>
      </w:tr>
      <w:tr w:rsidR="00AE2EEF" w:rsidRPr="001406EE" w14:paraId="44058C88" w14:textId="77777777" w:rsidTr="001406EE">
        <w:trPr>
          <w:trHeight w:val="269"/>
        </w:trPr>
        <w:tc>
          <w:tcPr>
            <w:tcW w:w="1956" w:type="dxa"/>
            <w:noWrap/>
            <w:hideMark/>
          </w:tcPr>
          <w:p w14:paraId="28AE8297" w14:textId="77777777" w:rsidR="00AE2EEF" w:rsidRPr="001406EE" w:rsidRDefault="00AE2EEF" w:rsidP="00AE2EEF">
            <w:pPr>
              <w:rPr>
                <w:rFonts w:asciiTheme="minorHAnsi" w:hAnsiTheme="minorHAnsi" w:cstheme="minorHAnsi"/>
                <w:color w:val="000000"/>
                <w:sz w:val="22"/>
                <w:szCs w:val="22"/>
              </w:rPr>
            </w:pPr>
            <w:r w:rsidRPr="001406EE">
              <w:rPr>
                <w:rFonts w:asciiTheme="minorHAnsi" w:hAnsiTheme="minorHAnsi" w:cstheme="minorHAnsi"/>
                <w:color w:val="000000"/>
                <w:sz w:val="22"/>
                <w:szCs w:val="22"/>
              </w:rPr>
              <w:t>Hampden</w:t>
            </w:r>
          </w:p>
        </w:tc>
        <w:tc>
          <w:tcPr>
            <w:tcW w:w="2112" w:type="dxa"/>
            <w:noWrap/>
            <w:hideMark/>
          </w:tcPr>
          <w:p w14:paraId="49D4A08A" w14:textId="77777777" w:rsidR="00AE2EEF" w:rsidRPr="001406EE" w:rsidRDefault="00AE2EEF" w:rsidP="00AE2EEF">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803.28</w:t>
            </w:r>
          </w:p>
        </w:tc>
        <w:tc>
          <w:tcPr>
            <w:tcW w:w="2220" w:type="dxa"/>
            <w:noWrap/>
            <w:hideMark/>
          </w:tcPr>
          <w:p w14:paraId="7D1FA51F" w14:textId="77777777" w:rsidR="00AE2EEF" w:rsidRPr="001406EE" w:rsidRDefault="00AE2EEF" w:rsidP="00AE2EEF">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823.46</w:t>
            </w:r>
          </w:p>
        </w:tc>
        <w:tc>
          <w:tcPr>
            <w:tcW w:w="2661" w:type="dxa"/>
            <w:noWrap/>
            <w:hideMark/>
          </w:tcPr>
          <w:p w14:paraId="420E920B" w14:textId="77777777" w:rsidR="00AE2EEF" w:rsidRPr="001406EE" w:rsidRDefault="00AE2EEF" w:rsidP="00AE2EEF">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806.99</w:t>
            </w:r>
          </w:p>
        </w:tc>
      </w:tr>
      <w:tr w:rsidR="00AE2EEF" w:rsidRPr="001406EE" w14:paraId="1B8B20C2" w14:textId="77777777" w:rsidTr="001406EE">
        <w:trPr>
          <w:trHeight w:val="269"/>
        </w:trPr>
        <w:tc>
          <w:tcPr>
            <w:tcW w:w="1956" w:type="dxa"/>
            <w:noWrap/>
            <w:hideMark/>
          </w:tcPr>
          <w:p w14:paraId="23ED23C3" w14:textId="77777777" w:rsidR="00AE2EEF" w:rsidRPr="001406EE" w:rsidRDefault="00AE2EEF" w:rsidP="00AE2EEF">
            <w:pPr>
              <w:rPr>
                <w:rFonts w:asciiTheme="minorHAnsi" w:hAnsiTheme="minorHAnsi" w:cstheme="minorHAnsi"/>
                <w:color w:val="000000"/>
                <w:sz w:val="22"/>
                <w:szCs w:val="22"/>
              </w:rPr>
            </w:pPr>
            <w:r w:rsidRPr="001406EE">
              <w:rPr>
                <w:rFonts w:asciiTheme="minorHAnsi" w:hAnsiTheme="minorHAnsi" w:cstheme="minorHAnsi"/>
                <w:color w:val="000000"/>
                <w:sz w:val="22"/>
                <w:szCs w:val="22"/>
              </w:rPr>
              <w:t>Hampshire</w:t>
            </w:r>
          </w:p>
        </w:tc>
        <w:tc>
          <w:tcPr>
            <w:tcW w:w="2112" w:type="dxa"/>
            <w:noWrap/>
            <w:hideMark/>
          </w:tcPr>
          <w:p w14:paraId="5B81A7F6" w14:textId="77777777" w:rsidR="00AE2EEF" w:rsidRPr="001406EE" w:rsidRDefault="00AE2EEF" w:rsidP="00AE2EEF">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797.83</w:t>
            </w:r>
          </w:p>
        </w:tc>
        <w:tc>
          <w:tcPr>
            <w:tcW w:w="2220" w:type="dxa"/>
            <w:noWrap/>
            <w:hideMark/>
          </w:tcPr>
          <w:p w14:paraId="18156415" w14:textId="77777777" w:rsidR="00AE2EEF" w:rsidRPr="001406EE" w:rsidRDefault="00AE2EEF" w:rsidP="00AE2EEF">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817.87</w:t>
            </w:r>
          </w:p>
        </w:tc>
        <w:tc>
          <w:tcPr>
            <w:tcW w:w="2661" w:type="dxa"/>
            <w:noWrap/>
            <w:hideMark/>
          </w:tcPr>
          <w:p w14:paraId="07AD39B2" w14:textId="77777777" w:rsidR="00AE2EEF" w:rsidRPr="001406EE" w:rsidRDefault="00AE2EEF" w:rsidP="00AE2EEF">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801.51</w:t>
            </w:r>
          </w:p>
        </w:tc>
      </w:tr>
      <w:tr w:rsidR="00AE2EEF" w:rsidRPr="001406EE" w14:paraId="590779D4" w14:textId="77777777" w:rsidTr="001406EE">
        <w:trPr>
          <w:trHeight w:val="269"/>
        </w:trPr>
        <w:tc>
          <w:tcPr>
            <w:tcW w:w="1956" w:type="dxa"/>
            <w:noWrap/>
            <w:hideMark/>
          </w:tcPr>
          <w:p w14:paraId="437463B4" w14:textId="77777777" w:rsidR="00AE2EEF" w:rsidRPr="001406EE" w:rsidRDefault="00AE2EEF" w:rsidP="00AE2EEF">
            <w:pPr>
              <w:rPr>
                <w:rFonts w:asciiTheme="minorHAnsi" w:hAnsiTheme="minorHAnsi" w:cstheme="minorHAnsi"/>
                <w:color w:val="000000"/>
                <w:sz w:val="22"/>
                <w:szCs w:val="22"/>
              </w:rPr>
            </w:pPr>
            <w:r w:rsidRPr="001406EE">
              <w:rPr>
                <w:rFonts w:asciiTheme="minorHAnsi" w:hAnsiTheme="minorHAnsi" w:cstheme="minorHAnsi"/>
                <w:color w:val="000000"/>
                <w:sz w:val="22"/>
                <w:szCs w:val="22"/>
              </w:rPr>
              <w:t>Middlesex</w:t>
            </w:r>
          </w:p>
        </w:tc>
        <w:tc>
          <w:tcPr>
            <w:tcW w:w="2112" w:type="dxa"/>
            <w:noWrap/>
            <w:hideMark/>
          </w:tcPr>
          <w:p w14:paraId="6321D731" w14:textId="77777777" w:rsidR="00AE2EEF" w:rsidRPr="001406EE" w:rsidRDefault="00AE2EEF" w:rsidP="00AE2EEF">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834.04</w:t>
            </w:r>
          </w:p>
        </w:tc>
        <w:tc>
          <w:tcPr>
            <w:tcW w:w="2220" w:type="dxa"/>
            <w:noWrap/>
            <w:hideMark/>
          </w:tcPr>
          <w:p w14:paraId="244954BC" w14:textId="77777777" w:rsidR="00AE2EEF" w:rsidRPr="001406EE" w:rsidRDefault="00AE2EEF" w:rsidP="00AE2EEF">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854.99</w:t>
            </w:r>
          </w:p>
        </w:tc>
        <w:tc>
          <w:tcPr>
            <w:tcW w:w="2661" w:type="dxa"/>
            <w:noWrap/>
            <w:hideMark/>
          </w:tcPr>
          <w:p w14:paraId="2C447349" w14:textId="77777777" w:rsidR="00AE2EEF" w:rsidRPr="001406EE" w:rsidRDefault="00AE2EEF" w:rsidP="00AE2EEF">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837.89</w:t>
            </w:r>
          </w:p>
        </w:tc>
      </w:tr>
      <w:tr w:rsidR="00AE2EEF" w:rsidRPr="001406EE" w14:paraId="3337068E" w14:textId="77777777" w:rsidTr="001406EE">
        <w:trPr>
          <w:trHeight w:val="269"/>
        </w:trPr>
        <w:tc>
          <w:tcPr>
            <w:tcW w:w="1956" w:type="dxa"/>
            <w:noWrap/>
            <w:hideMark/>
          </w:tcPr>
          <w:p w14:paraId="0ED9B0B5" w14:textId="77777777" w:rsidR="00AE2EEF" w:rsidRPr="001406EE" w:rsidRDefault="00AE2EEF" w:rsidP="00AE2EEF">
            <w:pPr>
              <w:rPr>
                <w:rFonts w:asciiTheme="minorHAnsi" w:hAnsiTheme="minorHAnsi" w:cstheme="minorHAnsi"/>
                <w:color w:val="000000"/>
                <w:sz w:val="22"/>
                <w:szCs w:val="22"/>
              </w:rPr>
            </w:pPr>
            <w:r w:rsidRPr="001406EE">
              <w:rPr>
                <w:rFonts w:asciiTheme="minorHAnsi" w:hAnsiTheme="minorHAnsi" w:cstheme="minorHAnsi"/>
                <w:color w:val="000000"/>
                <w:sz w:val="22"/>
                <w:szCs w:val="22"/>
              </w:rPr>
              <w:t>Norfolk</w:t>
            </w:r>
          </w:p>
        </w:tc>
        <w:tc>
          <w:tcPr>
            <w:tcW w:w="2112" w:type="dxa"/>
            <w:noWrap/>
            <w:hideMark/>
          </w:tcPr>
          <w:p w14:paraId="505CB870" w14:textId="77777777" w:rsidR="00AE2EEF" w:rsidRPr="001406EE" w:rsidRDefault="00AE2EEF" w:rsidP="00AE2EEF">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849.99</w:t>
            </w:r>
          </w:p>
        </w:tc>
        <w:tc>
          <w:tcPr>
            <w:tcW w:w="2220" w:type="dxa"/>
            <w:noWrap/>
            <w:hideMark/>
          </w:tcPr>
          <w:p w14:paraId="101C92BB" w14:textId="77777777" w:rsidR="00AE2EEF" w:rsidRPr="001406EE" w:rsidRDefault="00AE2EEF" w:rsidP="00AE2EEF">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871.34</w:t>
            </w:r>
          </w:p>
        </w:tc>
        <w:tc>
          <w:tcPr>
            <w:tcW w:w="2661" w:type="dxa"/>
            <w:noWrap/>
            <w:hideMark/>
          </w:tcPr>
          <w:p w14:paraId="3335D4F2" w14:textId="77777777" w:rsidR="00AE2EEF" w:rsidRPr="001406EE" w:rsidRDefault="00AE2EEF" w:rsidP="00AE2EEF">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853.91</w:t>
            </w:r>
          </w:p>
        </w:tc>
      </w:tr>
      <w:tr w:rsidR="00AE2EEF" w:rsidRPr="001406EE" w14:paraId="0D5D11A5" w14:textId="77777777" w:rsidTr="001406EE">
        <w:trPr>
          <w:trHeight w:val="269"/>
        </w:trPr>
        <w:tc>
          <w:tcPr>
            <w:tcW w:w="1956" w:type="dxa"/>
            <w:noWrap/>
            <w:hideMark/>
          </w:tcPr>
          <w:p w14:paraId="610349BB" w14:textId="77777777" w:rsidR="00AE2EEF" w:rsidRPr="001406EE" w:rsidRDefault="00AE2EEF" w:rsidP="00AE2EEF">
            <w:pPr>
              <w:rPr>
                <w:rFonts w:asciiTheme="minorHAnsi" w:hAnsiTheme="minorHAnsi" w:cstheme="minorHAnsi"/>
                <w:color w:val="000000"/>
                <w:sz w:val="22"/>
                <w:szCs w:val="22"/>
              </w:rPr>
            </w:pPr>
            <w:r w:rsidRPr="001406EE">
              <w:rPr>
                <w:rFonts w:asciiTheme="minorHAnsi" w:hAnsiTheme="minorHAnsi" w:cstheme="minorHAnsi"/>
                <w:color w:val="000000"/>
                <w:sz w:val="22"/>
                <w:szCs w:val="22"/>
              </w:rPr>
              <w:t>Plymouth</w:t>
            </w:r>
          </w:p>
        </w:tc>
        <w:tc>
          <w:tcPr>
            <w:tcW w:w="2112" w:type="dxa"/>
            <w:noWrap/>
            <w:hideMark/>
          </w:tcPr>
          <w:p w14:paraId="56306419" w14:textId="77777777" w:rsidR="00AE2EEF" w:rsidRPr="001406EE" w:rsidRDefault="00AE2EEF" w:rsidP="00AE2EEF">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870.66</w:t>
            </w:r>
          </w:p>
        </w:tc>
        <w:tc>
          <w:tcPr>
            <w:tcW w:w="2220" w:type="dxa"/>
            <w:noWrap/>
            <w:hideMark/>
          </w:tcPr>
          <w:p w14:paraId="197CF2C5" w14:textId="77777777" w:rsidR="00AE2EEF" w:rsidRPr="001406EE" w:rsidRDefault="00AE2EEF" w:rsidP="00AE2EEF">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892.52</w:t>
            </w:r>
          </w:p>
        </w:tc>
        <w:tc>
          <w:tcPr>
            <w:tcW w:w="2661" w:type="dxa"/>
            <w:noWrap/>
            <w:hideMark/>
          </w:tcPr>
          <w:p w14:paraId="697A2151" w14:textId="77777777" w:rsidR="00AE2EEF" w:rsidRPr="001406EE" w:rsidRDefault="00AE2EEF" w:rsidP="00AE2EEF">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874.67</w:t>
            </w:r>
          </w:p>
        </w:tc>
      </w:tr>
      <w:tr w:rsidR="00AE2EEF" w:rsidRPr="001406EE" w14:paraId="1F1320C5" w14:textId="77777777" w:rsidTr="001406EE">
        <w:trPr>
          <w:trHeight w:val="269"/>
        </w:trPr>
        <w:tc>
          <w:tcPr>
            <w:tcW w:w="1956" w:type="dxa"/>
            <w:noWrap/>
            <w:hideMark/>
          </w:tcPr>
          <w:p w14:paraId="467AAC06" w14:textId="77777777" w:rsidR="00AE2EEF" w:rsidRPr="001406EE" w:rsidRDefault="00AE2EEF" w:rsidP="00AE2EEF">
            <w:pPr>
              <w:rPr>
                <w:rFonts w:asciiTheme="minorHAnsi" w:hAnsiTheme="minorHAnsi" w:cstheme="minorHAnsi"/>
                <w:color w:val="000000"/>
                <w:sz w:val="22"/>
                <w:szCs w:val="22"/>
              </w:rPr>
            </w:pPr>
            <w:r w:rsidRPr="001406EE">
              <w:rPr>
                <w:rFonts w:asciiTheme="minorHAnsi" w:hAnsiTheme="minorHAnsi" w:cstheme="minorHAnsi"/>
                <w:color w:val="000000"/>
                <w:sz w:val="22"/>
                <w:szCs w:val="22"/>
              </w:rPr>
              <w:t>Suffolk</w:t>
            </w:r>
          </w:p>
        </w:tc>
        <w:tc>
          <w:tcPr>
            <w:tcW w:w="2112" w:type="dxa"/>
            <w:noWrap/>
            <w:hideMark/>
          </w:tcPr>
          <w:p w14:paraId="6B264E26" w14:textId="77777777" w:rsidR="00AE2EEF" w:rsidRPr="001406EE" w:rsidRDefault="00AE2EEF" w:rsidP="00AE2EEF">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894.62</w:t>
            </w:r>
          </w:p>
        </w:tc>
        <w:tc>
          <w:tcPr>
            <w:tcW w:w="2220" w:type="dxa"/>
            <w:noWrap/>
            <w:hideMark/>
          </w:tcPr>
          <w:p w14:paraId="3790FE31" w14:textId="77777777" w:rsidR="00AE2EEF" w:rsidRPr="001406EE" w:rsidRDefault="00AE2EEF" w:rsidP="00AE2EEF">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917.08</w:t>
            </w:r>
          </w:p>
        </w:tc>
        <w:tc>
          <w:tcPr>
            <w:tcW w:w="2661" w:type="dxa"/>
            <w:noWrap/>
            <w:hideMark/>
          </w:tcPr>
          <w:p w14:paraId="50747757" w14:textId="77777777" w:rsidR="00AE2EEF" w:rsidRPr="001406EE" w:rsidRDefault="00AE2EEF" w:rsidP="00AE2EEF">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898.74</w:t>
            </w:r>
          </w:p>
        </w:tc>
      </w:tr>
      <w:tr w:rsidR="00AE2EEF" w:rsidRPr="001406EE" w14:paraId="1448F6A5" w14:textId="77777777" w:rsidTr="001406EE">
        <w:trPr>
          <w:trHeight w:val="269"/>
        </w:trPr>
        <w:tc>
          <w:tcPr>
            <w:tcW w:w="1956" w:type="dxa"/>
            <w:noWrap/>
            <w:hideMark/>
          </w:tcPr>
          <w:p w14:paraId="3BDCE914" w14:textId="77777777" w:rsidR="00AE2EEF" w:rsidRPr="001406EE" w:rsidRDefault="00AE2EEF" w:rsidP="00AE2EEF">
            <w:pPr>
              <w:rPr>
                <w:rFonts w:asciiTheme="minorHAnsi" w:hAnsiTheme="minorHAnsi" w:cstheme="minorHAnsi"/>
                <w:color w:val="000000"/>
                <w:sz w:val="22"/>
                <w:szCs w:val="22"/>
              </w:rPr>
            </w:pPr>
            <w:r w:rsidRPr="001406EE">
              <w:rPr>
                <w:rFonts w:asciiTheme="minorHAnsi" w:hAnsiTheme="minorHAnsi" w:cstheme="minorHAnsi"/>
                <w:color w:val="000000"/>
                <w:sz w:val="22"/>
                <w:szCs w:val="22"/>
              </w:rPr>
              <w:t>Worcester</w:t>
            </w:r>
          </w:p>
        </w:tc>
        <w:tc>
          <w:tcPr>
            <w:tcW w:w="2112" w:type="dxa"/>
            <w:noWrap/>
            <w:hideMark/>
          </w:tcPr>
          <w:p w14:paraId="24E670FF" w14:textId="77777777" w:rsidR="00AE2EEF" w:rsidRPr="001406EE" w:rsidRDefault="00AE2EEF" w:rsidP="00AE2EEF">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800.62</w:t>
            </w:r>
          </w:p>
        </w:tc>
        <w:tc>
          <w:tcPr>
            <w:tcW w:w="2220" w:type="dxa"/>
            <w:noWrap/>
            <w:hideMark/>
          </w:tcPr>
          <w:p w14:paraId="37899A1D" w14:textId="77777777" w:rsidR="00AE2EEF" w:rsidRPr="001406EE" w:rsidRDefault="00AE2EEF" w:rsidP="00AE2EEF">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820.73</w:t>
            </w:r>
          </w:p>
        </w:tc>
        <w:tc>
          <w:tcPr>
            <w:tcW w:w="2661" w:type="dxa"/>
            <w:noWrap/>
            <w:hideMark/>
          </w:tcPr>
          <w:p w14:paraId="34EA1C35" w14:textId="77777777" w:rsidR="00AE2EEF" w:rsidRPr="001406EE" w:rsidRDefault="00AE2EEF" w:rsidP="00AE2EEF">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804.32</w:t>
            </w:r>
          </w:p>
        </w:tc>
      </w:tr>
    </w:tbl>
    <w:p w14:paraId="4E2AE62A" w14:textId="77777777" w:rsidR="00AE2EEF" w:rsidRPr="001406EE" w:rsidRDefault="00AE2EEF" w:rsidP="00AE2EEF">
      <w:pPr>
        <w:autoSpaceDE w:val="0"/>
        <w:autoSpaceDN w:val="0"/>
        <w:adjustRightInd w:val="0"/>
        <w:rPr>
          <w:rFonts w:asciiTheme="minorHAnsi" w:hAnsiTheme="minorHAnsi" w:cstheme="minorHAnsi"/>
          <w:sz w:val="20"/>
          <w:szCs w:val="20"/>
        </w:rPr>
      </w:pPr>
    </w:p>
    <w:p w14:paraId="5ECCCB5F" w14:textId="77777777" w:rsidR="00283A75" w:rsidRPr="00BB310D" w:rsidRDefault="00756980" w:rsidP="00AE2EEF">
      <w:pPr>
        <w:autoSpaceDE w:val="0"/>
        <w:autoSpaceDN w:val="0"/>
        <w:adjustRightInd w:val="0"/>
        <w:rPr>
          <w:rFonts w:ascii="Calibri" w:hAnsi="Calibri" w:cs="Calibri"/>
          <w:sz w:val="20"/>
          <w:szCs w:val="20"/>
        </w:rPr>
      </w:pPr>
      <w:r w:rsidRPr="00BB310D">
        <w:rPr>
          <w:rFonts w:ascii="Calibri" w:hAnsi="Calibri" w:cs="Calibri"/>
          <w:sz w:val="20"/>
          <w:szCs w:val="20"/>
        </w:rPr>
        <w:t xml:space="preserve">*For CY 2015 CMS </w:t>
      </w:r>
      <w:r>
        <w:rPr>
          <w:rFonts w:ascii="Calibri" w:hAnsi="Calibri" w:cs="Calibri"/>
          <w:sz w:val="20"/>
          <w:szCs w:val="20"/>
        </w:rPr>
        <w:t>has</w:t>
      </w:r>
      <w:r w:rsidRPr="00BB310D">
        <w:rPr>
          <w:rFonts w:ascii="Calibri" w:hAnsi="Calibri" w:cs="Calibri"/>
          <w:sz w:val="20"/>
          <w:szCs w:val="20"/>
        </w:rPr>
        <w:t xml:space="preserve"> </w:t>
      </w:r>
      <w:r>
        <w:rPr>
          <w:rFonts w:ascii="Calibri" w:hAnsi="Calibri" w:cs="Calibri"/>
          <w:sz w:val="20"/>
          <w:szCs w:val="20"/>
        </w:rPr>
        <w:t xml:space="preserve">calculated and applied a coding intensity adjustment (the modified CY 2015 coding intensity adjustment factor) proportional to the anticipated proportion of Demonstration Enrollees in CY 2015 with prior Medicare Advantage experience and/or Demonstration experience based on the Demonstration’s enrollment phase in as of September 30, 2014. </w:t>
      </w:r>
      <w:r w:rsidR="00283A75" w:rsidRPr="00BB310D">
        <w:rPr>
          <w:rFonts w:ascii="Calibri" w:hAnsi="Calibri" w:cs="Calibri"/>
          <w:sz w:val="20"/>
          <w:szCs w:val="20"/>
        </w:rPr>
        <w:t xml:space="preserve">  Operationally, due to systems limitations, CMS will still apply the coding intensity adjustment factor to the risk scores but has increased the Medicare A/B baseline for beneficiaries with an ESRD status of functioning graft to offset this.  Specifically, CMS has increased the Medicare A/B baseline by a corresponding percentage; as above, the CY </w:t>
      </w:r>
      <w:r w:rsidR="00B54441" w:rsidRPr="00BB310D">
        <w:rPr>
          <w:rFonts w:ascii="Calibri" w:hAnsi="Calibri" w:cs="Calibri"/>
          <w:sz w:val="20"/>
          <w:szCs w:val="20"/>
        </w:rPr>
        <w:t xml:space="preserve">2015 </w:t>
      </w:r>
      <w:r w:rsidR="00283A75" w:rsidRPr="00BB310D">
        <w:rPr>
          <w:rFonts w:ascii="Calibri" w:hAnsi="Calibri" w:cs="Calibri"/>
          <w:sz w:val="20"/>
          <w:szCs w:val="20"/>
        </w:rPr>
        <w:t xml:space="preserve">Updated Medicare A/B Baseline is divided by </w:t>
      </w:r>
      <w:r w:rsidR="008D113C">
        <w:rPr>
          <w:rFonts w:ascii="Calibri" w:hAnsi="Calibri" w:cs="Calibri"/>
          <w:sz w:val="20"/>
          <w:szCs w:val="20"/>
        </w:rPr>
        <w:t>[</w:t>
      </w:r>
      <w:r w:rsidR="00283A75" w:rsidRPr="00BB310D">
        <w:rPr>
          <w:rFonts w:ascii="Calibri" w:hAnsi="Calibri" w:cs="Calibri"/>
          <w:sz w:val="20"/>
          <w:szCs w:val="20"/>
        </w:rPr>
        <w:t>1-</w:t>
      </w:r>
      <w:r w:rsidR="001406EE">
        <w:rPr>
          <w:rFonts w:ascii="Calibri" w:hAnsi="Calibri" w:cs="Calibri"/>
          <w:sz w:val="20"/>
          <w:szCs w:val="20"/>
        </w:rPr>
        <w:t xml:space="preserve">(the standard CY 2015 coding intensity adjustment factor of 5.16% minus </w:t>
      </w:r>
      <w:r w:rsidR="00283A75" w:rsidRPr="00BB310D">
        <w:rPr>
          <w:rFonts w:ascii="Calibri" w:hAnsi="Calibri" w:cs="Calibri"/>
          <w:sz w:val="20"/>
          <w:szCs w:val="20"/>
        </w:rPr>
        <w:t xml:space="preserve">the </w:t>
      </w:r>
      <w:r w:rsidR="001406EE">
        <w:rPr>
          <w:rFonts w:ascii="Calibri" w:hAnsi="Calibri" w:cs="Calibri"/>
          <w:sz w:val="20"/>
          <w:szCs w:val="20"/>
        </w:rPr>
        <w:t xml:space="preserve">Massachusetts-specific </w:t>
      </w:r>
      <w:r w:rsidR="00283A75" w:rsidRPr="00BB310D">
        <w:rPr>
          <w:rFonts w:ascii="Calibri" w:hAnsi="Calibri" w:cs="Calibri"/>
          <w:sz w:val="20"/>
          <w:szCs w:val="20"/>
        </w:rPr>
        <w:t xml:space="preserve">CY </w:t>
      </w:r>
      <w:r w:rsidR="00B54441" w:rsidRPr="00BB310D">
        <w:rPr>
          <w:rFonts w:ascii="Calibri" w:hAnsi="Calibri" w:cs="Calibri"/>
          <w:sz w:val="20"/>
          <w:szCs w:val="20"/>
        </w:rPr>
        <w:t xml:space="preserve">2015 </w:t>
      </w:r>
      <w:r w:rsidR="00BB310D">
        <w:rPr>
          <w:rFonts w:ascii="Calibri" w:hAnsi="Calibri" w:cs="Calibri"/>
          <w:sz w:val="20"/>
          <w:szCs w:val="20"/>
        </w:rPr>
        <w:t xml:space="preserve">modified </w:t>
      </w:r>
      <w:r w:rsidR="00283A75" w:rsidRPr="00BB310D">
        <w:rPr>
          <w:rFonts w:ascii="Calibri" w:hAnsi="Calibri" w:cs="Calibri"/>
          <w:sz w:val="20"/>
          <w:szCs w:val="20"/>
        </w:rPr>
        <w:t xml:space="preserve">coding intensity adjustment factor of </w:t>
      </w:r>
      <w:r w:rsidR="00AE2EEF">
        <w:rPr>
          <w:rFonts w:ascii="Calibri" w:hAnsi="Calibri" w:cs="Calibri"/>
          <w:sz w:val="20"/>
          <w:szCs w:val="20"/>
        </w:rPr>
        <w:t>2.</w:t>
      </w:r>
      <w:r w:rsidR="001406EE">
        <w:rPr>
          <w:rFonts w:ascii="Calibri" w:hAnsi="Calibri" w:cs="Calibri"/>
          <w:sz w:val="20"/>
          <w:szCs w:val="20"/>
        </w:rPr>
        <w:t>71</w:t>
      </w:r>
      <w:r w:rsidR="00283A75" w:rsidRPr="00BB310D">
        <w:rPr>
          <w:rFonts w:ascii="Calibri" w:hAnsi="Calibri" w:cs="Calibri"/>
          <w:sz w:val="20"/>
          <w:szCs w:val="20"/>
        </w:rPr>
        <w:t>%)</w:t>
      </w:r>
      <w:r w:rsidR="001406EE">
        <w:rPr>
          <w:rFonts w:ascii="Calibri" w:hAnsi="Calibri" w:cs="Calibri"/>
          <w:sz w:val="20"/>
          <w:szCs w:val="20"/>
        </w:rPr>
        <w:t>)</w:t>
      </w:r>
      <w:r w:rsidR="00283A75" w:rsidRPr="00BB310D">
        <w:rPr>
          <w:rFonts w:ascii="Calibri" w:hAnsi="Calibri" w:cs="Calibri"/>
          <w:sz w:val="20"/>
          <w:szCs w:val="20"/>
        </w:rPr>
        <w:t xml:space="preserve"> to determine the CY </w:t>
      </w:r>
      <w:r w:rsidR="00B54441" w:rsidRPr="00BB310D">
        <w:rPr>
          <w:rFonts w:ascii="Calibri" w:hAnsi="Calibri" w:cs="Calibri"/>
          <w:sz w:val="20"/>
          <w:szCs w:val="20"/>
        </w:rPr>
        <w:t xml:space="preserve">2015 </w:t>
      </w:r>
      <w:r w:rsidR="00283A75" w:rsidRPr="00BB310D">
        <w:rPr>
          <w:rFonts w:ascii="Calibri" w:hAnsi="Calibri" w:cs="Calibri"/>
          <w:sz w:val="20"/>
          <w:szCs w:val="20"/>
        </w:rPr>
        <w:t>Final Medicare A/B Baseline.</w:t>
      </w:r>
      <w:r w:rsidR="00283A75" w:rsidRPr="00BB310D">
        <w:rPr>
          <w:rFonts w:ascii="Calibri" w:hAnsi="Calibri" w:cs="Calibri"/>
          <w:iCs/>
          <w:sz w:val="20"/>
          <w:szCs w:val="20"/>
        </w:rPr>
        <w:t xml:space="preserve"> For beneficiaries with an ESRD status of functioning graft, the prospective payment will not include the adjustment to offset the application of coding intensity adjustment factor; this payment adjustment will be made on a retrospective basis.</w:t>
      </w:r>
    </w:p>
    <w:p w14:paraId="71A2EDD9" w14:textId="77777777" w:rsidR="00283A75" w:rsidRDefault="00283A75" w:rsidP="00524025">
      <w:pPr>
        <w:autoSpaceDE w:val="0"/>
        <w:autoSpaceDN w:val="0"/>
        <w:adjustRightInd w:val="0"/>
        <w:ind w:left="450"/>
        <w:rPr>
          <w:rFonts w:ascii="Calibri" w:hAnsi="Calibri" w:cs="Calibri"/>
          <w:color w:val="000000"/>
          <w:sz w:val="20"/>
          <w:szCs w:val="20"/>
        </w:rPr>
      </w:pPr>
    </w:p>
    <w:p w14:paraId="128BA515" w14:textId="77777777" w:rsidR="001406EE" w:rsidRPr="00AD1E7C" w:rsidRDefault="001406EE" w:rsidP="00524025">
      <w:pPr>
        <w:autoSpaceDE w:val="0"/>
        <w:autoSpaceDN w:val="0"/>
        <w:adjustRightInd w:val="0"/>
        <w:ind w:left="450"/>
        <w:rPr>
          <w:rFonts w:ascii="Calibri" w:hAnsi="Calibri" w:cs="Calibri"/>
          <w:color w:val="000000"/>
          <w:sz w:val="20"/>
          <w:szCs w:val="20"/>
        </w:rPr>
      </w:pPr>
    </w:p>
    <w:p w14:paraId="1248C4DD" w14:textId="77777777" w:rsidR="00283A75" w:rsidRPr="00A77C54" w:rsidRDefault="00283A75" w:rsidP="00524025">
      <w:pPr>
        <w:tabs>
          <w:tab w:val="left" w:pos="90"/>
        </w:tabs>
        <w:autoSpaceDE w:val="0"/>
        <w:autoSpaceDN w:val="0"/>
        <w:adjustRightInd w:val="0"/>
        <w:rPr>
          <w:rFonts w:ascii="Calibri" w:hAnsi="Calibri" w:cs="Calibri"/>
          <w:color w:val="000000"/>
          <w:sz w:val="22"/>
          <w:szCs w:val="22"/>
        </w:rPr>
      </w:pPr>
      <w:r w:rsidRPr="00A77C54">
        <w:rPr>
          <w:rFonts w:ascii="Calibri" w:hAnsi="Calibri" w:cs="Calibri"/>
          <w:i/>
          <w:color w:val="000000"/>
          <w:sz w:val="22"/>
          <w:szCs w:val="22"/>
        </w:rPr>
        <w:t xml:space="preserve">Beneficiaries Electing the Medicare Hospice Benefit: </w:t>
      </w:r>
      <w:r w:rsidRPr="00A77C54">
        <w:rPr>
          <w:rFonts w:ascii="Calibri" w:hAnsi="Calibri" w:cs="Calibri"/>
          <w:color w:val="000000"/>
          <w:sz w:val="22"/>
          <w:szCs w:val="22"/>
        </w:rPr>
        <w:t xml:space="preserve">If an enrollee elects to receive the Medicare hospice benefit, the enrollee will remain in the Demonstration but will obtain the hospice services through the Medicare FFS benefit. The </w:t>
      </w:r>
      <w:r>
        <w:rPr>
          <w:rFonts w:ascii="Calibri" w:hAnsi="Calibri" w:cs="Calibri"/>
          <w:color w:val="000000"/>
          <w:sz w:val="22"/>
          <w:szCs w:val="22"/>
        </w:rPr>
        <w:t xml:space="preserve">One Care plan </w:t>
      </w:r>
      <w:r w:rsidRPr="00A77C54">
        <w:rPr>
          <w:rFonts w:ascii="Calibri" w:hAnsi="Calibri" w:cs="Calibri"/>
          <w:color w:val="000000"/>
          <w:sz w:val="22"/>
          <w:szCs w:val="22"/>
        </w:rPr>
        <w:t xml:space="preserve">will no longer receive the Medicare A/B payment for that enrollee. Medicare hospice services and all other Original Medicare services will be paid under Medicare FFS. </w:t>
      </w:r>
      <w:r>
        <w:rPr>
          <w:rFonts w:ascii="Calibri" w:hAnsi="Calibri" w:cs="Calibri"/>
          <w:color w:val="000000"/>
          <w:sz w:val="22"/>
          <w:szCs w:val="22"/>
        </w:rPr>
        <w:t xml:space="preserve"> One Care plans </w:t>
      </w:r>
      <w:r w:rsidRPr="00A77C54">
        <w:rPr>
          <w:rFonts w:ascii="Calibri" w:hAnsi="Calibri" w:cs="Calibri"/>
          <w:color w:val="000000"/>
          <w:sz w:val="22"/>
          <w:szCs w:val="22"/>
        </w:rPr>
        <w:t xml:space="preserve">and providers of hospice services will be required to coordinate these services with the rest of the enrollee’s care, including with Medicaid and Part D benefits and any additional benefits </w:t>
      </w:r>
      <w:r w:rsidRPr="00C015EA">
        <w:rPr>
          <w:rFonts w:ascii="Calibri" w:hAnsi="Calibri" w:cs="Calibri"/>
          <w:color w:val="000000"/>
          <w:sz w:val="22"/>
          <w:szCs w:val="22"/>
        </w:rPr>
        <w:t>offered by the One Care plans.  One Care plans will continue to receive the Medicare Part D and</w:t>
      </w:r>
      <w:r w:rsidRPr="00A77C54">
        <w:rPr>
          <w:rFonts w:ascii="Calibri" w:hAnsi="Calibri" w:cs="Calibri"/>
          <w:color w:val="000000"/>
          <w:sz w:val="22"/>
          <w:szCs w:val="22"/>
        </w:rPr>
        <w:t xml:space="preserve"> Medicaid payments, for which no changes w</w:t>
      </w:r>
      <w:r w:rsidR="008D2248">
        <w:rPr>
          <w:rFonts w:ascii="Calibri" w:hAnsi="Calibri" w:cs="Calibri"/>
          <w:color w:val="000000"/>
          <w:sz w:val="22"/>
          <w:szCs w:val="22"/>
        </w:rPr>
        <w:t>ill</w:t>
      </w:r>
      <w:r w:rsidRPr="00A77C54">
        <w:rPr>
          <w:rFonts w:ascii="Calibri" w:hAnsi="Calibri" w:cs="Calibri"/>
          <w:color w:val="000000"/>
          <w:sz w:val="22"/>
          <w:szCs w:val="22"/>
        </w:rPr>
        <w:t xml:space="preserve"> occur. </w:t>
      </w:r>
    </w:p>
    <w:p w14:paraId="0CB50889" w14:textId="77777777" w:rsidR="00283A75" w:rsidRPr="005F465A" w:rsidRDefault="00283A75" w:rsidP="00524025">
      <w:pPr>
        <w:tabs>
          <w:tab w:val="left" w:pos="90"/>
        </w:tabs>
        <w:autoSpaceDE w:val="0"/>
        <w:autoSpaceDN w:val="0"/>
        <w:adjustRightInd w:val="0"/>
        <w:rPr>
          <w:rFonts w:ascii="Calibri" w:hAnsi="Calibri" w:cs="Calibri"/>
          <w:color w:val="000000"/>
          <w:sz w:val="22"/>
          <w:szCs w:val="22"/>
        </w:rPr>
      </w:pPr>
    </w:p>
    <w:p w14:paraId="181536BB" w14:textId="77777777" w:rsidR="00AE2EEF" w:rsidRDefault="00AE2EEF" w:rsidP="00524025">
      <w:pPr>
        <w:tabs>
          <w:tab w:val="left" w:pos="90"/>
        </w:tabs>
        <w:autoSpaceDE w:val="0"/>
        <w:autoSpaceDN w:val="0"/>
        <w:adjustRightInd w:val="0"/>
        <w:rPr>
          <w:rFonts w:ascii="Calibri" w:hAnsi="Calibri" w:cs="Calibri"/>
          <w:b/>
          <w:i/>
          <w:color w:val="000000"/>
          <w:sz w:val="22"/>
          <w:szCs w:val="22"/>
        </w:rPr>
      </w:pPr>
    </w:p>
    <w:p w14:paraId="00E157F0" w14:textId="77777777" w:rsidR="00AE2EEF" w:rsidRDefault="00AE2EEF" w:rsidP="00524025">
      <w:pPr>
        <w:tabs>
          <w:tab w:val="left" w:pos="90"/>
        </w:tabs>
        <w:autoSpaceDE w:val="0"/>
        <w:autoSpaceDN w:val="0"/>
        <w:adjustRightInd w:val="0"/>
        <w:rPr>
          <w:rFonts w:ascii="Calibri" w:hAnsi="Calibri" w:cs="Calibri"/>
          <w:b/>
          <w:i/>
          <w:color w:val="000000"/>
          <w:sz w:val="22"/>
          <w:szCs w:val="22"/>
        </w:rPr>
      </w:pPr>
    </w:p>
    <w:p w14:paraId="5FF747E9" w14:textId="77777777" w:rsidR="00283A75" w:rsidRDefault="00283A75" w:rsidP="00524025">
      <w:pPr>
        <w:tabs>
          <w:tab w:val="left" w:pos="90"/>
        </w:tabs>
        <w:autoSpaceDE w:val="0"/>
        <w:autoSpaceDN w:val="0"/>
        <w:adjustRightInd w:val="0"/>
        <w:rPr>
          <w:rFonts w:ascii="Calibri" w:hAnsi="Calibri" w:cs="Calibri"/>
          <w:b/>
          <w:i/>
          <w:color w:val="000000"/>
          <w:sz w:val="22"/>
          <w:szCs w:val="22"/>
        </w:rPr>
      </w:pPr>
      <w:r w:rsidRPr="005F465A">
        <w:rPr>
          <w:rFonts w:ascii="Calibri" w:hAnsi="Calibri" w:cs="Calibri"/>
          <w:b/>
          <w:i/>
          <w:color w:val="000000"/>
          <w:sz w:val="22"/>
          <w:szCs w:val="22"/>
        </w:rPr>
        <w:lastRenderedPageBreak/>
        <w:t xml:space="preserve">Medicare Part D Services </w:t>
      </w:r>
    </w:p>
    <w:p w14:paraId="2C8E988D" w14:textId="77777777" w:rsidR="000A74E7" w:rsidRPr="005F465A" w:rsidRDefault="000A74E7" w:rsidP="00524025">
      <w:pPr>
        <w:tabs>
          <w:tab w:val="left" w:pos="90"/>
        </w:tabs>
        <w:autoSpaceDE w:val="0"/>
        <w:autoSpaceDN w:val="0"/>
        <w:adjustRightInd w:val="0"/>
        <w:rPr>
          <w:rFonts w:ascii="Calibri" w:hAnsi="Calibri" w:cs="Calibri"/>
          <w:b/>
          <w:i/>
          <w:color w:val="000000"/>
          <w:sz w:val="22"/>
          <w:szCs w:val="22"/>
        </w:rPr>
      </w:pPr>
    </w:p>
    <w:p w14:paraId="757F3588" w14:textId="77777777" w:rsidR="00283A75" w:rsidRPr="001406EE" w:rsidRDefault="00283A75" w:rsidP="00C145F3">
      <w:pPr>
        <w:rPr>
          <w:rFonts w:ascii="Calibri" w:hAnsi="Calibri" w:cs="Calibri"/>
          <w:sz w:val="22"/>
          <w:szCs w:val="22"/>
        </w:rPr>
      </w:pPr>
      <w:r w:rsidRPr="002E475C">
        <w:rPr>
          <w:rFonts w:ascii="Calibri" w:hAnsi="Calibri" w:cs="Calibri"/>
          <w:color w:val="000000"/>
          <w:sz w:val="22"/>
          <w:szCs w:val="22"/>
        </w:rPr>
        <w:t>The Part D plan payment</w:t>
      </w:r>
      <w:r>
        <w:rPr>
          <w:rFonts w:ascii="Calibri" w:hAnsi="Calibri" w:cs="Calibri"/>
          <w:color w:val="000000"/>
          <w:sz w:val="22"/>
          <w:szCs w:val="22"/>
        </w:rPr>
        <w:t xml:space="preserve"> </w:t>
      </w:r>
      <w:r w:rsidR="009A3FEF">
        <w:rPr>
          <w:rFonts w:ascii="Calibri" w:hAnsi="Calibri" w:cs="Calibri"/>
          <w:color w:val="000000"/>
          <w:sz w:val="22"/>
          <w:szCs w:val="22"/>
        </w:rPr>
        <w:t>is</w:t>
      </w:r>
      <w:r w:rsidRPr="002E475C">
        <w:rPr>
          <w:rFonts w:ascii="Calibri" w:hAnsi="Calibri" w:cs="Calibri"/>
          <w:color w:val="000000"/>
          <w:sz w:val="22"/>
          <w:szCs w:val="22"/>
        </w:rPr>
        <w:t xml:space="preserve"> be the </w:t>
      </w:r>
      <w:r>
        <w:rPr>
          <w:rFonts w:ascii="Calibri" w:hAnsi="Calibri" w:cs="Calibri"/>
          <w:color w:val="000000"/>
          <w:sz w:val="22"/>
          <w:szCs w:val="22"/>
        </w:rPr>
        <w:t xml:space="preserve">risk adjusted </w:t>
      </w:r>
      <w:r w:rsidRPr="002E475C">
        <w:rPr>
          <w:rFonts w:ascii="Calibri" w:hAnsi="Calibri" w:cs="Calibri"/>
          <w:color w:val="000000"/>
          <w:sz w:val="22"/>
          <w:szCs w:val="22"/>
        </w:rPr>
        <w:t xml:space="preserve">Part D national average monthly bid amount (NAMBA) for the payment year, adjusted for payment reductions resulting from sequestration applied to the non-premium portion of the NAMBA.  The non-premium portion is determined by subtracting the applicable regional </w:t>
      </w:r>
      <w:r w:rsidRPr="00C015EA">
        <w:rPr>
          <w:rFonts w:ascii="Calibri" w:hAnsi="Calibri" w:cs="Calibri"/>
          <w:color w:val="000000"/>
          <w:sz w:val="22"/>
          <w:szCs w:val="22"/>
        </w:rPr>
        <w:t xml:space="preserve">Low-Income Premium Subsidy Amount from the risk adjusted NAMBA.  To illustrate, the </w:t>
      </w:r>
      <w:r w:rsidRPr="001406EE">
        <w:rPr>
          <w:rFonts w:ascii="Calibri" w:hAnsi="Calibri" w:cs="Calibri"/>
          <w:color w:val="000000"/>
          <w:sz w:val="22"/>
          <w:szCs w:val="22"/>
        </w:rPr>
        <w:t xml:space="preserve">NAMBA for CY </w:t>
      </w:r>
      <w:r w:rsidR="00C51FFF" w:rsidRPr="001406EE">
        <w:rPr>
          <w:rFonts w:ascii="Calibri" w:hAnsi="Calibri" w:cs="Calibri"/>
          <w:color w:val="000000"/>
          <w:sz w:val="22"/>
          <w:szCs w:val="22"/>
        </w:rPr>
        <w:t xml:space="preserve">2015 </w:t>
      </w:r>
      <w:r w:rsidRPr="001406EE">
        <w:rPr>
          <w:rFonts w:ascii="Calibri" w:hAnsi="Calibri" w:cs="Calibri"/>
          <w:color w:val="000000"/>
          <w:sz w:val="22"/>
          <w:szCs w:val="22"/>
        </w:rPr>
        <w:t>is $</w:t>
      </w:r>
      <w:r w:rsidR="006C4911" w:rsidRPr="001406EE">
        <w:rPr>
          <w:rFonts w:ascii="Calibri" w:hAnsi="Calibri" w:cs="Calibri"/>
          <w:color w:val="000000"/>
          <w:sz w:val="22"/>
          <w:szCs w:val="22"/>
        </w:rPr>
        <w:t xml:space="preserve">70.18 </w:t>
      </w:r>
      <w:r w:rsidRPr="009A3FEF">
        <w:rPr>
          <w:rFonts w:ascii="Calibri" w:hAnsi="Calibri" w:cs="Calibri"/>
          <w:color w:val="000000"/>
          <w:sz w:val="22"/>
          <w:szCs w:val="22"/>
        </w:rPr>
        <w:t xml:space="preserve">and the CY </w:t>
      </w:r>
      <w:r w:rsidR="00C51FFF" w:rsidRPr="009A3FEF">
        <w:rPr>
          <w:rFonts w:ascii="Calibri" w:hAnsi="Calibri" w:cs="Calibri"/>
          <w:color w:val="000000"/>
          <w:sz w:val="22"/>
          <w:szCs w:val="22"/>
        </w:rPr>
        <w:t xml:space="preserve">2015 </w:t>
      </w:r>
      <w:r w:rsidRPr="009A3FEF">
        <w:rPr>
          <w:rFonts w:ascii="Calibri" w:hAnsi="Calibri" w:cs="Calibri"/>
          <w:color w:val="000000"/>
          <w:sz w:val="22"/>
          <w:szCs w:val="22"/>
        </w:rPr>
        <w:t>Low-Income Premium Subsidy Amount for Massachusetts is $</w:t>
      </w:r>
      <w:r w:rsidR="006C4911" w:rsidRPr="009A3FEF">
        <w:rPr>
          <w:rFonts w:ascii="Calibri" w:hAnsi="Calibri" w:cs="Calibri"/>
          <w:color w:val="000000"/>
          <w:sz w:val="22"/>
          <w:szCs w:val="22"/>
        </w:rPr>
        <w:t>29.65</w:t>
      </w:r>
      <w:r w:rsidRPr="009A3FEF">
        <w:rPr>
          <w:rFonts w:ascii="Calibri" w:hAnsi="Calibri" w:cs="Calibri"/>
          <w:color w:val="000000"/>
          <w:sz w:val="22"/>
          <w:szCs w:val="22"/>
        </w:rPr>
        <w:t xml:space="preserve">.  Thus, the </w:t>
      </w:r>
      <w:r w:rsidRPr="001406EE">
        <w:rPr>
          <w:rFonts w:ascii="Calibri" w:hAnsi="Calibri" w:cs="Calibri"/>
          <w:color w:val="000000"/>
          <w:sz w:val="22"/>
          <w:szCs w:val="22"/>
        </w:rPr>
        <w:t xml:space="preserve">updated Massachusetts Part D monthly per member per month payment for a beneficiary with a 1.0 RxHCC risk score applicable for CY </w:t>
      </w:r>
      <w:r w:rsidR="00C51FFF" w:rsidRPr="001406EE">
        <w:rPr>
          <w:rFonts w:ascii="Calibri" w:hAnsi="Calibri" w:cs="Calibri"/>
          <w:color w:val="000000"/>
          <w:sz w:val="22"/>
          <w:szCs w:val="22"/>
        </w:rPr>
        <w:t xml:space="preserve">2015 </w:t>
      </w:r>
      <w:r w:rsidRPr="001406EE">
        <w:rPr>
          <w:rFonts w:ascii="Calibri" w:hAnsi="Calibri" w:cs="Calibri"/>
          <w:color w:val="000000"/>
          <w:sz w:val="22"/>
          <w:szCs w:val="22"/>
        </w:rPr>
        <w:t>is $</w:t>
      </w:r>
      <w:r w:rsidR="006C4911" w:rsidRPr="001406EE">
        <w:rPr>
          <w:rFonts w:ascii="Calibri" w:hAnsi="Calibri" w:cs="Calibri"/>
          <w:color w:val="000000"/>
          <w:sz w:val="22"/>
          <w:szCs w:val="22"/>
        </w:rPr>
        <w:t>69.37</w:t>
      </w:r>
      <w:r w:rsidRPr="001406EE">
        <w:rPr>
          <w:rFonts w:ascii="Calibri" w:hAnsi="Calibri" w:cs="Calibri"/>
          <w:color w:val="000000"/>
          <w:sz w:val="22"/>
          <w:szCs w:val="22"/>
        </w:rPr>
        <w:t xml:space="preserve">.   This amount incorporates a 2% sequestration reduction to the non-premium portion of the NAMBA.  </w:t>
      </w:r>
    </w:p>
    <w:p w14:paraId="2C359A38" w14:textId="77777777" w:rsidR="00283A75" w:rsidRPr="001406EE" w:rsidRDefault="00283A75" w:rsidP="00524025">
      <w:pPr>
        <w:tabs>
          <w:tab w:val="left" w:pos="90"/>
        </w:tabs>
        <w:autoSpaceDE w:val="0"/>
        <w:autoSpaceDN w:val="0"/>
        <w:adjustRightInd w:val="0"/>
        <w:rPr>
          <w:rFonts w:ascii="Calibri" w:hAnsi="Calibri" w:cs="Calibri"/>
          <w:color w:val="000000"/>
          <w:sz w:val="22"/>
          <w:szCs w:val="22"/>
        </w:rPr>
      </w:pPr>
    </w:p>
    <w:p w14:paraId="1F6A1AE8" w14:textId="528AD714" w:rsidR="00283A75" w:rsidRPr="001406EE" w:rsidRDefault="00283A75" w:rsidP="00524025">
      <w:pPr>
        <w:tabs>
          <w:tab w:val="left" w:pos="90"/>
        </w:tabs>
        <w:autoSpaceDE w:val="0"/>
        <w:autoSpaceDN w:val="0"/>
        <w:adjustRightInd w:val="0"/>
        <w:rPr>
          <w:rFonts w:ascii="Calibri" w:hAnsi="Calibri" w:cs="Calibri"/>
          <w:color w:val="000000"/>
          <w:sz w:val="22"/>
          <w:szCs w:val="22"/>
        </w:rPr>
      </w:pPr>
      <w:r w:rsidRPr="001406EE">
        <w:rPr>
          <w:rFonts w:ascii="Calibri" w:hAnsi="Calibri" w:cs="Calibri"/>
          <w:color w:val="000000"/>
          <w:sz w:val="22"/>
          <w:szCs w:val="22"/>
        </w:rPr>
        <w:t>CMS will pay an average monthly prospective payment amount for the low income cost-sharing subsidy and Federal reinsurance amounts; these payments will be 100% cost reconciled after the payment year has ended. These prospective payments will be the same for all counties and are shown below</w:t>
      </w:r>
      <w:r w:rsidR="00C26326">
        <w:rPr>
          <w:rFonts w:ascii="Calibri" w:hAnsi="Calibri" w:cs="Calibri"/>
          <w:color w:val="000000"/>
          <w:sz w:val="22"/>
          <w:szCs w:val="22"/>
        </w:rPr>
        <w:t xml:space="preserve"> for January through September 2015</w:t>
      </w:r>
      <w:r w:rsidRPr="001406EE">
        <w:rPr>
          <w:rFonts w:ascii="Calibri" w:hAnsi="Calibri" w:cs="Calibri"/>
          <w:color w:val="000000"/>
          <w:sz w:val="22"/>
          <w:szCs w:val="22"/>
        </w:rPr>
        <w:t>:</w:t>
      </w:r>
    </w:p>
    <w:p w14:paraId="4496F17A" w14:textId="77777777" w:rsidR="00B82E51" w:rsidRPr="001406EE" w:rsidRDefault="00B82E51" w:rsidP="00524025">
      <w:pPr>
        <w:tabs>
          <w:tab w:val="left" w:pos="90"/>
        </w:tabs>
        <w:autoSpaceDE w:val="0"/>
        <w:autoSpaceDN w:val="0"/>
        <w:adjustRightInd w:val="0"/>
        <w:rPr>
          <w:rFonts w:ascii="Calibri" w:hAnsi="Calibri" w:cs="Calibri"/>
          <w:color w:val="000000"/>
          <w:sz w:val="22"/>
          <w:szCs w:val="22"/>
        </w:rPr>
      </w:pPr>
    </w:p>
    <w:p w14:paraId="6DBA9BD3" w14:textId="77777777" w:rsidR="00283A75" w:rsidRPr="001406EE" w:rsidRDefault="00283A75" w:rsidP="00524025">
      <w:pPr>
        <w:numPr>
          <w:ilvl w:val="0"/>
          <w:numId w:val="4"/>
        </w:numPr>
        <w:tabs>
          <w:tab w:val="left" w:pos="90"/>
        </w:tabs>
        <w:autoSpaceDE w:val="0"/>
        <w:autoSpaceDN w:val="0"/>
        <w:adjustRightInd w:val="0"/>
        <w:rPr>
          <w:rFonts w:ascii="Calibri" w:hAnsi="Calibri" w:cs="Calibri"/>
          <w:color w:val="000000"/>
          <w:sz w:val="22"/>
          <w:szCs w:val="22"/>
        </w:rPr>
      </w:pPr>
      <w:r w:rsidRPr="001406EE">
        <w:rPr>
          <w:rFonts w:ascii="Calibri" w:hAnsi="Calibri" w:cs="Calibri"/>
          <w:color w:val="000000"/>
          <w:sz w:val="22"/>
          <w:szCs w:val="22"/>
        </w:rPr>
        <w:t>Massachusetts  low income cost-sharing: $</w:t>
      </w:r>
      <w:r w:rsidR="00AE2EEF" w:rsidRPr="001406EE">
        <w:rPr>
          <w:rFonts w:ascii="Calibri" w:hAnsi="Calibri" w:cs="Calibri"/>
          <w:color w:val="000000"/>
          <w:sz w:val="22"/>
          <w:szCs w:val="22"/>
        </w:rPr>
        <w:t>143.80</w:t>
      </w:r>
      <w:r w:rsidR="00B82E51" w:rsidRPr="001406EE">
        <w:rPr>
          <w:rFonts w:ascii="Calibri" w:hAnsi="Calibri" w:cs="Calibri"/>
          <w:color w:val="000000"/>
          <w:sz w:val="22"/>
          <w:szCs w:val="22"/>
        </w:rPr>
        <w:t xml:space="preserve"> </w:t>
      </w:r>
      <w:r w:rsidRPr="001406EE">
        <w:rPr>
          <w:rFonts w:ascii="Calibri" w:hAnsi="Calibri" w:cs="Calibri"/>
          <w:color w:val="000000"/>
          <w:sz w:val="22"/>
          <w:szCs w:val="22"/>
        </w:rPr>
        <w:t>PMPM</w:t>
      </w:r>
    </w:p>
    <w:p w14:paraId="2AF8EAEF" w14:textId="77777777" w:rsidR="00283A75" w:rsidRPr="001406EE" w:rsidRDefault="00283A75" w:rsidP="00524025">
      <w:pPr>
        <w:numPr>
          <w:ilvl w:val="0"/>
          <w:numId w:val="4"/>
        </w:numPr>
        <w:tabs>
          <w:tab w:val="left" w:pos="90"/>
        </w:tabs>
        <w:autoSpaceDE w:val="0"/>
        <w:autoSpaceDN w:val="0"/>
        <w:adjustRightInd w:val="0"/>
        <w:rPr>
          <w:rFonts w:ascii="Calibri" w:hAnsi="Calibri" w:cs="Calibri"/>
          <w:color w:val="000000"/>
          <w:sz w:val="22"/>
          <w:szCs w:val="22"/>
        </w:rPr>
      </w:pPr>
      <w:r w:rsidRPr="001406EE">
        <w:rPr>
          <w:rFonts w:ascii="Calibri" w:hAnsi="Calibri" w:cs="Calibri"/>
          <w:color w:val="000000"/>
          <w:sz w:val="22"/>
          <w:szCs w:val="22"/>
        </w:rPr>
        <w:t>Massachusetts reinsurance: $</w:t>
      </w:r>
      <w:r w:rsidR="00AE2EEF" w:rsidRPr="001406EE">
        <w:rPr>
          <w:rFonts w:ascii="Calibri" w:hAnsi="Calibri" w:cs="Calibri"/>
          <w:color w:val="000000"/>
          <w:sz w:val="22"/>
          <w:szCs w:val="22"/>
        </w:rPr>
        <w:t>70.93</w:t>
      </w:r>
      <w:r w:rsidR="00B82E51" w:rsidRPr="001406EE">
        <w:rPr>
          <w:rFonts w:ascii="Calibri" w:hAnsi="Calibri" w:cs="Calibri"/>
          <w:color w:val="000000"/>
          <w:sz w:val="22"/>
          <w:szCs w:val="22"/>
        </w:rPr>
        <w:t xml:space="preserve"> </w:t>
      </w:r>
      <w:r w:rsidRPr="001406EE">
        <w:rPr>
          <w:rFonts w:ascii="Calibri" w:hAnsi="Calibri" w:cs="Calibri"/>
          <w:color w:val="000000"/>
          <w:sz w:val="22"/>
          <w:szCs w:val="22"/>
        </w:rPr>
        <w:t xml:space="preserve">PMPM </w:t>
      </w:r>
    </w:p>
    <w:p w14:paraId="2A59A147" w14:textId="77777777" w:rsidR="00B82E51" w:rsidRDefault="00B82E51" w:rsidP="00DE6483">
      <w:pPr>
        <w:tabs>
          <w:tab w:val="left" w:pos="90"/>
        </w:tabs>
        <w:autoSpaceDE w:val="0"/>
        <w:autoSpaceDN w:val="0"/>
        <w:adjustRightInd w:val="0"/>
        <w:ind w:left="360"/>
        <w:rPr>
          <w:rFonts w:ascii="Calibri" w:hAnsi="Calibri" w:cs="Calibri"/>
          <w:color w:val="000000"/>
          <w:sz w:val="22"/>
          <w:szCs w:val="22"/>
        </w:rPr>
      </w:pPr>
    </w:p>
    <w:p w14:paraId="601439F0" w14:textId="77777777" w:rsidR="00283A75" w:rsidRPr="00A77C54" w:rsidRDefault="00283A75" w:rsidP="00524025">
      <w:pPr>
        <w:tabs>
          <w:tab w:val="left" w:pos="90"/>
        </w:tabs>
        <w:autoSpaceDE w:val="0"/>
        <w:autoSpaceDN w:val="0"/>
        <w:adjustRightInd w:val="0"/>
        <w:rPr>
          <w:rFonts w:ascii="Calibri" w:hAnsi="Calibri" w:cs="Calibri"/>
          <w:color w:val="000000"/>
          <w:sz w:val="22"/>
          <w:szCs w:val="22"/>
        </w:rPr>
      </w:pPr>
      <w:r w:rsidRPr="00A77C54">
        <w:rPr>
          <w:rFonts w:ascii="Calibri" w:hAnsi="Calibri" w:cs="Calibri"/>
          <w:color w:val="000000"/>
          <w:sz w:val="22"/>
          <w:szCs w:val="22"/>
        </w:rPr>
        <w:t xml:space="preserve">The low-income cost sharing and reinsurance subsidy amounts are exempt from mandatory payment reductions under sequestration. </w:t>
      </w:r>
    </w:p>
    <w:p w14:paraId="02FF9551" w14:textId="77777777" w:rsidR="00283A75" w:rsidRPr="00A77C54" w:rsidRDefault="00283A75" w:rsidP="00524025">
      <w:pPr>
        <w:tabs>
          <w:tab w:val="left" w:pos="90"/>
        </w:tabs>
        <w:autoSpaceDE w:val="0"/>
        <w:autoSpaceDN w:val="0"/>
        <w:adjustRightInd w:val="0"/>
        <w:rPr>
          <w:rFonts w:ascii="Calibri" w:hAnsi="Calibri" w:cs="Calibri"/>
          <w:color w:val="000000"/>
          <w:sz w:val="22"/>
          <w:szCs w:val="22"/>
        </w:rPr>
      </w:pPr>
    </w:p>
    <w:p w14:paraId="220FF1D6" w14:textId="77777777" w:rsidR="00283A75" w:rsidRPr="00A77C54" w:rsidRDefault="00283A75" w:rsidP="00524025">
      <w:pPr>
        <w:tabs>
          <w:tab w:val="left" w:pos="90"/>
        </w:tabs>
        <w:autoSpaceDE w:val="0"/>
        <w:autoSpaceDN w:val="0"/>
        <w:adjustRightInd w:val="0"/>
        <w:rPr>
          <w:rFonts w:ascii="Calibri" w:hAnsi="Calibri" w:cs="Calibri"/>
          <w:color w:val="000000"/>
          <w:sz w:val="22"/>
          <w:szCs w:val="22"/>
        </w:rPr>
      </w:pPr>
      <w:r w:rsidRPr="00A77C54">
        <w:rPr>
          <w:rFonts w:ascii="Calibri" w:hAnsi="Calibri" w:cs="Calibri"/>
          <w:color w:val="000000"/>
          <w:sz w:val="22"/>
          <w:szCs w:val="22"/>
        </w:rPr>
        <w:t xml:space="preserve">A savings percentage will not be applied to the Part D component of the rate. Part D payments will not be subject to a quality withhold. </w:t>
      </w:r>
    </w:p>
    <w:p w14:paraId="58BD5511" w14:textId="77777777" w:rsidR="00283A75" w:rsidRPr="00A77C54" w:rsidRDefault="00283A75" w:rsidP="00524025">
      <w:pPr>
        <w:tabs>
          <w:tab w:val="left" w:pos="90"/>
        </w:tabs>
        <w:autoSpaceDE w:val="0"/>
        <w:autoSpaceDN w:val="0"/>
        <w:adjustRightInd w:val="0"/>
        <w:rPr>
          <w:rFonts w:ascii="Calibri" w:hAnsi="Calibri" w:cs="Calibri"/>
          <w:color w:val="000000"/>
          <w:sz w:val="22"/>
          <w:szCs w:val="22"/>
        </w:rPr>
      </w:pPr>
    </w:p>
    <w:p w14:paraId="7275521A" w14:textId="77777777" w:rsidR="00283A75" w:rsidRPr="005F465A" w:rsidRDefault="00283A75" w:rsidP="00524025">
      <w:pPr>
        <w:pStyle w:val="textilish"/>
        <w:tabs>
          <w:tab w:val="left" w:pos="90"/>
        </w:tabs>
        <w:spacing w:before="0" w:beforeAutospacing="0" w:after="240" w:afterAutospacing="0"/>
        <w:rPr>
          <w:rFonts w:ascii="Calibri" w:hAnsi="Calibri" w:cs="Calibri"/>
          <w:b/>
          <w:bCs/>
          <w:i/>
          <w:sz w:val="22"/>
          <w:szCs w:val="22"/>
        </w:rPr>
      </w:pPr>
      <w:r w:rsidRPr="00A77C54">
        <w:rPr>
          <w:rFonts w:ascii="Calibri" w:hAnsi="Calibri" w:cs="Calibri"/>
          <w:b/>
          <w:bCs/>
          <w:sz w:val="22"/>
          <w:szCs w:val="22"/>
          <w:u w:val="single"/>
        </w:rPr>
        <w:t>Additional Information</w:t>
      </w:r>
      <w:r w:rsidRPr="00A77C54">
        <w:rPr>
          <w:rFonts w:ascii="Calibri" w:hAnsi="Calibri" w:cs="Calibri"/>
          <w:b/>
          <w:bCs/>
          <w:i/>
          <w:sz w:val="22"/>
          <w:szCs w:val="22"/>
        </w:rPr>
        <w:t xml:space="preserve">: </w:t>
      </w:r>
      <w:r w:rsidRPr="00A77C54">
        <w:rPr>
          <w:rFonts w:ascii="Calibri" w:hAnsi="Calibri" w:cs="Calibri"/>
          <w:bCs/>
          <w:sz w:val="22"/>
          <w:szCs w:val="22"/>
        </w:rPr>
        <w:t>More information on the Medicare components of the rate under the Demonstration may be found online at</w:t>
      </w:r>
      <w:r>
        <w:rPr>
          <w:rFonts w:ascii="Calibri" w:hAnsi="Calibri" w:cs="Calibri"/>
          <w:bCs/>
          <w:sz w:val="22"/>
          <w:szCs w:val="22"/>
        </w:rPr>
        <w:t>:</w:t>
      </w:r>
      <w:r w:rsidRPr="00A77C54">
        <w:rPr>
          <w:rFonts w:ascii="Calibri" w:hAnsi="Calibri" w:cs="Calibri"/>
          <w:bCs/>
          <w:sz w:val="22"/>
          <w:szCs w:val="22"/>
        </w:rPr>
        <w:t xml:space="preserve"> </w:t>
      </w:r>
      <w:hyperlink r:id="rId12" w:tgtFrame="_blank" w:tooltip="http://www.cms.gov/Medicare-Medicaid-Coordination/Medicare-and-Medicaid-Coordination/Medicare-Medicaid-Coordination-Office/Downloads/JointRateSettingProcess.pdfOpens in new window" w:history="1">
        <w:r w:rsidRPr="00A77C54">
          <w:rPr>
            <w:rStyle w:val="Hyperlink"/>
            <w:rFonts w:ascii="Calibri" w:hAnsi="Calibri" w:cs="Calibri"/>
            <w:sz w:val="22"/>
            <w:szCs w:val="22"/>
          </w:rPr>
          <w:t>http://www.cms.gov/Medicare-Medicaid-Coordination/Medicare-and-Medicaid-Coordination/Medicare-Medicaid-Coordination-Office/Downloads/JointRateSettingProcess.pdf</w:t>
        </w:r>
      </w:hyperlink>
    </w:p>
    <w:p w14:paraId="19DBA2FD" w14:textId="77777777" w:rsidR="00283A75" w:rsidRDefault="00283A75">
      <w:pPr>
        <w:spacing w:after="200" w:line="276" w:lineRule="auto"/>
        <w:rPr>
          <w:rFonts w:ascii="Calibri" w:hAnsi="Calibri" w:cs="Calibri"/>
          <w:color w:val="000000"/>
          <w:sz w:val="22"/>
          <w:szCs w:val="22"/>
        </w:rPr>
      </w:pPr>
      <w:r>
        <w:rPr>
          <w:rFonts w:ascii="Calibri" w:hAnsi="Calibri" w:cs="Calibri"/>
          <w:color w:val="000000"/>
          <w:sz w:val="22"/>
          <w:szCs w:val="22"/>
        </w:rPr>
        <w:br w:type="page"/>
      </w:r>
    </w:p>
    <w:p w14:paraId="1A087AFC" w14:textId="77777777" w:rsidR="00283A75" w:rsidRPr="005F465A" w:rsidRDefault="00283A75" w:rsidP="00524025">
      <w:pPr>
        <w:numPr>
          <w:ilvl w:val="0"/>
          <w:numId w:val="1"/>
        </w:numPr>
        <w:tabs>
          <w:tab w:val="left" w:pos="90"/>
          <w:tab w:val="left" w:pos="720"/>
        </w:tabs>
        <w:ind w:left="0" w:firstLine="0"/>
        <w:jc w:val="center"/>
        <w:rPr>
          <w:rFonts w:ascii="Calibri" w:hAnsi="Calibri" w:cs="Calibri"/>
          <w:b/>
          <w:sz w:val="22"/>
          <w:szCs w:val="22"/>
        </w:rPr>
      </w:pPr>
      <w:r w:rsidRPr="005F465A">
        <w:rPr>
          <w:rFonts w:ascii="Calibri" w:hAnsi="Calibri" w:cs="Calibri"/>
          <w:b/>
          <w:sz w:val="22"/>
          <w:szCs w:val="22"/>
        </w:rPr>
        <w:lastRenderedPageBreak/>
        <w:t>Savings Percentages and Quality Withholds</w:t>
      </w:r>
    </w:p>
    <w:p w14:paraId="5262DC6E" w14:textId="77777777" w:rsidR="00283A75" w:rsidRPr="005F465A" w:rsidRDefault="00283A75" w:rsidP="00524025">
      <w:pPr>
        <w:tabs>
          <w:tab w:val="left" w:pos="90"/>
        </w:tabs>
        <w:autoSpaceDE w:val="0"/>
        <w:autoSpaceDN w:val="0"/>
        <w:adjustRightInd w:val="0"/>
        <w:rPr>
          <w:rFonts w:ascii="Calibri" w:hAnsi="Calibri" w:cs="Calibri"/>
          <w:b/>
          <w:i/>
          <w:color w:val="000000"/>
          <w:sz w:val="22"/>
          <w:szCs w:val="22"/>
        </w:rPr>
      </w:pPr>
    </w:p>
    <w:p w14:paraId="35AF3B5B" w14:textId="77777777" w:rsidR="00283A75" w:rsidRDefault="00283A75" w:rsidP="00524025">
      <w:pPr>
        <w:tabs>
          <w:tab w:val="left" w:pos="90"/>
        </w:tabs>
        <w:autoSpaceDE w:val="0"/>
        <w:autoSpaceDN w:val="0"/>
        <w:adjustRightInd w:val="0"/>
        <w:rPr>
          <w:rFonts w:ascii="Calibri" w:hAnsi="Calibri" w:cs="Calibri"/>
          <w:b/>
          <w:i/>
          <w:color w:val="000000"/>
          <w:sz w:val="22"/>
          <w:szCs w:val="22"/>
        </w:rPr>
      </w:pPr>
      <w:r w:rsidRPr="008D3BF4">
        <w:rPr>
          <w:rFonts w:ascii="Calibri" w:hAnsi="Calibri" w:cs="Calibri"/>
          <w:b/>
          <w:i/>
          <w:color w:val="000000"/>
          <w:sz w:val="22"/>
          <w:szCs w:val="22"/>
        </w:rPr>
        <w:t>Savings Percentages</w:t>
      </w:r>
    </w:p>
    <w:p w14:paraId="1E84F245" w14:textId="77777777" w:rsidR="000A74E7" w:rsidRPr="008D3BF4" w:rsidRDefault="000A74E7" w:rsidP="00524025">
      <w:pPr>
        <w:tabs>
          <w:tab w:val="left" w:pos="90"/>
        </w:tabs>
        <w:autoSpaceDE w:val="0"/>
        <w:autoSpaceDN w:val="0"/>
        <w:adjustRightInd w:val="0"/>
        <w:rPr>
          <w:rFonts w:ascii="Calibri" w:hAnsi="Calibri" w:cs="Calibri"/>
          <w:b/>
          <w:i/>
          <w:color w:val="000000"/>
          <w:sz w:val="22"/>
          <w:szCs w:val="22"/>
        </w:rPr>
      </w:pPr>
    </w:p>
    <w:p w14:paraId="6D4EFD3B" w14:textId="77777777" w:rsidR="00283A75" w:rsidRPr="005F465A" w:rsidRDefault="00283A75" w:rsidP="00524025">
      <w:pPr>
        <w:tabs>
          <w:tab w:val="left" w:pos="90"/>
        </w:tabs>
        <w:autoSpaceDE w:val="0"/>
        <w:autoSpaceDN w:val="0"/>
        <w:adjustRightInd w:val="0"/>
        <w:rPr>
          <w:rFonts w:ascii="Calibri" w:hAnsi="Calibri" w:cs="Calibri"/>
          <w:color w:val="000000"/>
          <w:sz w:val="22"/>
          <w:szCs w:val="22"/>
        </w:rPr>
      </w:pPr>
      <w:r w:rsidRPr="008D3BF4">
        <w:rPr>
          <w:rFonts w:ascii="Calibri" w:hAnsi="Calibri" w:cs="Calibri"/>
          <w:color w:val="000000"/>
          <w:sz w:val="22"/>
          <w:szCs w:val="22"/>
        </w:rPr>
        <w:t>One of the components of the capitated financial alignment model is the application of aggregate savings percentages</w:t>
      </w:r>
      <w:r w:rsidRPr="005F465A">
        <w:rPr>
          <w:rFonts w:ascii="Calibri" w:hAnsi="Calibri" w:cs="Calibri"/>
          <w:color w:val="000000"/>
          <w:sz w:val="22"/>
          <w:szCs w:val="22"/>
        </w:rPr>
        <w:t xml:space="preserve"> to reflect savings achievable through the coordination of services across Medicare and Medicaid. This is reflected in the rates through the application of aggregate savings percentages to both the Medicaid and Medicare A/B components of the rates. </w:t>
      </w:r>
    </w:p>
    <w:p w14:paraId="0A55BB2B" w14:textId="77777777" w:rsidR="00283A75" w:rsidRPr="005F465A" w:rsidRDefault="00283A75" w:rsidP="00524025">
      <w:pPr>
        <w:tabs>
          <w:tab w:val="left" w:pos="90"/>
        </w:tabs>
        <w:autoSpaceDE w:val="0"/>
        <w:autoSpaceDN w:val="0"/>
        <w:adjustRightInd w:val="0"/>
        <w:rPr>
          <w:rFonts w:ascii="Calibri" w:hAnsi="Calibri" w:cs="Calibri"/>
          <w:color w:val="000000"/>
          <w:sz w:val="22"/>
          <w:szCs w:val="22"/>
        </w:rPr>
      </w:pPr>
    </w:p>
    <w:p w14:paraId="15FA287B" w14:textId="53FCB853" w:rsidR="00283A75" w:rsidRPr="005F465A" w:rsidRDefault="00283A75" w:rsidP="00524025">
      <w:pPr>
        <w:tabs>
          <w:tab w:val="left" w:pos="90"/>
        </w:tabs>
        <w:autoSpaceDE w:val="0"/>
        <w:autoSpaceDN w:val="0"/>
        <w:adjustRightInd w:val="0"/>
        <w:rPr>
          <w:rFonts w:ascii="Calibri" w:hAnsi="Calibri" w:cs="Calibri"/>
          <w:color w:val="000000"/>
          <w:sz w:val="22"/>
          <w:szCs w:val="22"/>
        </w:rPr>
      </w:pPr>
      <w:r w:rsidRPr="005D02C0">
        <w:rPr>
          <w:rFonts w:ascii="Calibri" w:hAnsi="Calibri" w:cs="Calibri"/>
          <w:color w:val="000000"/>
          <w:sz w:val="22"/>
          <w:szCs w:val="22"/>
        </w:rPr>
        <w:t>CMS and MassHealth established composite savings percentages for each year of the Demonstration, as</w:t>
      </w:r>
      <w:r w:rsidRPr="005F465A">
        <w:rPr>
          <w:rFonts w:ascii="Calibri" w:hAnsi="Calibri" w:cs="Calibri"/>
          <w:color w:val="000000"/>
          <w:sz w:val="22"/>
          <w:szCs w:val="22"/>
        </w:rPr>
        <w:t xml:space="preserve"> shown in the table below. The savings percentage will be applied to the Medicaid and Medicare A/B components of the rates, uniformly to all population groups</w:t>
      </w:r>
      <w:r>
        <w:rPr>
          <w:rFonts w:ascii="Calibri" w:hAnsi="Calibri" w:cs="Calibri"/>
          <w:color w:val="000000"/>
          <w:sz w:val="22"/>
          <w:szCs w:val="22"/>
        </w:rPr>
        <w:t>, unless otherwise noted in this report</w:t>
      </w:r>
      <w:r w:rsidRPr="005F465A">
        <w:rPr>
          <w:rFonts w:ascii="Calibri" w:hAnsi="Calibri" w:cs="Calibri"/>
          <w:color w:val="000000"/>
          <w:sz w:val="22"/>
          <w:szCs w:val="22"/>
        </w:rPr>
        <w:t xml:space="preserve">. The savings percentage will not be applied to the Part D component of the joint rate. </w:t>
      </w:r>
      <w:r w:rsidR="0076056B" w:rsidRPr="0076056B">
        <w:rPr>
          <w:rFonts w:ascii="Calibri" w:hAnsi="Calibri" w:cs="Calibri"/>
          <w:color w:val="000000"/>
          <w:sz w:val="22"/>
          <w:szCs w:val="22"/>
        </w:rPr>
        <w:t xml:space="preserve">These adjustments to the savings percentages were available to One Care plans through execution of contract amendments and are conditional upon continued participation in the demonstration through </w:t>
      </w:r>
      <w:r w:rsidR="00887060">
        <w:rPr>
          <w:rFonts w:ascii="Calibri" w:hAnsi="Calibri" w:cs="Calibri"/>
          <w:color w:val="000000"/>
          <w:sz w:val="22"/>
          <w:szCs w:val="22"/>
        </w:rPr>
        <w:t xml:space="preserve">December 31, </w:t>
      </w:r>
      <w:r w:rsidR="0076056B" w:rsidRPr="0076056B">
        <w:rPr>
          <w:rFonts w:ascii="Calibri" w:hAnsi="Calibri" w:cs="Calibri"/>
          <w:color w:val="000000"/>
          <w:sz w:val="22"/>
          <w:szCs w:val="22"/>
        </w:rPr>
        <w:t>2016.</w:t>
      </w:r>
    </w:p>
    <w:p w14:paraId="38EFB194" w14:textId="77777777" w:rsidR="00283A75" w:rsidRPr="005F465A" w:rsidRDefault="00283A75" w:rsidP="00524025">
      <w:pPr>
        <w:tabs>
          <w:tab w:val="left" w:pos="90"/>
        </w:tabs>
        <w:autoSpaceDE w:val="0"/>
        <w:autoSpaceDN w:val="0"/>
        <w:adjustRightInd w:val="0"/>
        <w:rPr>
          <w:rFonts w:ascii="Calibri" w:hAnsi="Calibri" w:cs="Calibri"/>
          <w:color w:val="000000"/>
          <w:sz w:val="22"/>
          <w:szCs w:val="22"/>
        </w:rPr>
      </w:pPr>
    </w:p>
    <w:p w14:paraId="5E7C4BC3" w14:textId="77777777" w:rsidR="00283A75" w:rsidRPr="005F465A" w:rsidRDefault="00283A75" w:rsidP="00524025">
      <w:pPr>
        <w:tabs>
          <w:tab w:val="left" w:pos="90"/>
        </w:tabs>
        <w:autoSpaceDE w:val="0"/>
        <w:autoSpaceDN w:val="0"/>
        <w:adjustRightInd w:val="0"/>
        <w:rPr>
          <w:rFonts w:ascii="Calibri" w:hAnsi="Calibri" w:cs="Calibri"/>
          <w:color w:val="000000"/>
          <w:sz w:val="22"/>
          <w:szCs w:val="22"/>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0"/>
        <w:gridCol w:w="2520"/>
        <w:gridCol w:w="2340"/>
      </w:tblGrid>
      <w:tr w:rsidR="00283A75" w:rsidRPr="005F465A" w14:paraId="249C78B4" w14:textId="77777777" w:rsidTr="004D6FAF">
        <w:tc>
          <w:tcPr>
            <w:tcW w:w="2430" w:type="dxa"/>
          </w:tcPr>
          <w:p w14:paraId="61735F3D" w14:textId="77777777" w:rsidR="00283A75" w:rsidRPr="005D02C0" w:rsidRDefault="00283A75" w:rsidP="004D6FAF">
            <w:pPr>
              <w:tabs>
                <w:tab w:val="left" w:pos="90"/>
              </w:tabs>
              <w:autoSpaceDE w:val="0"/>
              <w:autoSpaceDN w:val="0"/>
              <w:adjustRightInd w:val="0"/>
              <w:rPr>
                <w:rFonts w:ascii="Calibri" w:hAnsi="Calibri" w:cs="Calibri"/>
                <w:b/>
                <w:color w:val="000000"/>
              </w:rPr>
            </w:pPr>
            <w:r w:rsidRPr="005D02C0">
              <w:rPr>
                <w:rFonts w:ascii="Calibri" w:hAnsi="Calibri" w:cs="Calibri"/>
                <w:b/>
                <w:color w:val="000000"/>
                <w:sz w:val="22"/>
                <w:szCs w:val="22"/>
              </w:rPr>
              <w:t>Year</w:t>
            </w:r>
          </w:p>
        </w:tc>
        <w:tc>
          <w:tcPr>
            <w:tcW w:w="2520" w:type="dxa"/>
          </w:tcPr>
          <w:p w14:paraId="22199A7A" w14:textId="77777777" w:rsidR="00283A75" w:rsidRPr="005D02C0" w:rsidRDefault="00283A75" w:rsidP="004D6FAF">
            <w:pPr>
              <w:tabs>
                <w:tab w:val="left" w:pos="90"/>
              </w:tabs>
              <w:autoSpaceDE w:val="0"/>
              <w:autoSpaceDN w:val="0"/>
              <w:adjustRightInd w:val="0"/>
              <w:rPr>
                <w:rFonts w:ascii="Calibri" w:hAnsi="Calibri" w:cs="Calibri"/>
                <w:b/>
                <w:color w:val="000000"/>
              </w:rPr>
            </w:pPr>
            <w:r w:rsidRPr="005D02C0">
              <w:rPr>
                <w:rFonts w:ascii="Calibri" w:hAnsi="Calibri" w:cs="Calibri"/>
                <w:b/>
                <w:color w:val="000000"/>
                <w:sz w:val="22"/>
                <w:szCs w:val="22"/>
              </w:rPr>
              <w:t>Calendar dates</w:t>
            </w:r>
          </w:p>
        </w:tc>
        <w:tc>
          <w:tcPr>
            <w:tcW w:w="2340" w:type="dxa"/>
          </w:tcPr>
          <w:p w14:paraId="4B4802B3" w14:textId="77777777" w:rsidR="00283A75" w:rsidRPr="005D02C0" w:rsidRDefault="00283A75" w:rsidP="004D6FAF">
            <w:pPr>
              <w:tabs>
                <w:tab w:val="left" w:pos="90"/>
              </w:tabs>
              <w:autoSpaceDE w:val="0"/>
              <w:autoSpaceDN w:val="0"/>
              <w:adjustRightInd w:val="0"/>
              <w:rPr>
                <w:rFonts w:ascii="Calibri" w:hAnsi="Calibri" w:cs="Calibri"/>
                <w:b/>
                <w:color w:val="000000"/>
              </w:rPr>
            </w:pPr>
            <w:r w:rsidRPr="005D02C0">
              <w:rPr>
                <w:rFonts w:ascii="Calibri" w:hAnsi="Calibri" w:cs="Calibri"/>
                <w:b/>
                <w:color w:val="000000"/>
                <w:sz w:val="22"/>
                <w:szCs w:val="22"/>
              </w:rPr>
              <w:t>Savings percentage</w:t>
            </w:r>
          </w:p>
        </w:tc>
      </w:tr>
      <w:tr w:rsidR="00283A75" w:rsidRPr="005F465A" w14:paraId="35AFD5C3" w14:textId="77777777" w:rsidTr="004D6FAF">
        <w:tc>
          <w:tcPr>
            <w:tcW w:w="2430" w:type="dxa"/>
          </w:tcPr>
          <w:p w14:paraId="21CF458B" w14:textId="77777777" w:rsidR="00283A75" w:rsidRPr="005D02C0" w:rsidRDefault="00283A75">
            <w:pPr>
              <w:autoSpaceDE w:val="0"/>
              <w:autoSpaceDN w:val="0"/>
              <w:adjustRightInd w:val="0"/>
              <w:rPr>
                <w:rFonts w:ascii="Calibri" w:hAnsi="Calibri" w:cs="Calibri"/>
                <w:color w:val="000000"/>
              </w:rPr>
            </w:pPr>
            <w:r w:rsidRPr="005D02C0">
              <w:rPr>
                <w:rFonts w:ascii="Calibri" w:hAnsi="Calibri" w:cs="Calibri"/>
                <w:color w:val="000000"/>
                <w:sz w:val="22"/>
                <w:szCs w:val="22"/>
              </w:rPr>
              <w:t>Demonstration Year 1</w:t>
            </w:r>
          </w:p>
        </w:tc>
        <w:tc>
          <w:tcPr>
            <w:tcW w:w="2520" w:type="dxa"/>
          </w:tcPr>
          <w:p w14:paraId="27ABA928" w14:textId="77777777" w:rsidR="00283A75" w:rsidRPr="005D02C0" w:rsidRDefault="00283A75">
            <w:pPr>
              <w:autoSpaceDE w:val="0"/>
              <w:autoSpaceDN w:val="0"/>
              <w:adjustRightInd w:val="0"/>
              <w:rPr>
                <w:rFonts w:ascii="Calibri" w:hAnsi="Calibri" w:cs="Calibri"/>
                <w:color w:val="000000"/>
              </w:rPr>
            </w:pPr>
            <w:r w:rsidRPr="005D02C0">
              <w:rPr>
                <w:rFonts w:ascii="Calibri" w:hAnsi="Calibri" w:cs="Calibri"/>
                <w:color w:val="000000"/>
                <w:sz w:val="22"/>
                <w:szCs w:val="22"/>
              </w:rPr>
              <w:t xml:space="preserve"> October 1, 2013 through March 31, 2014</w:t>
            </w:r>
          </w:p>
        </w:tc>
        <w:tc>
          <w:tcPr>
            <w:tcW w:w="2340" w:type="dxa"/>
          </w:tcPr>
          <w:p w14:paraId="7F853E31" w14:textId="77777777" w:rsidR="00283A75" w:rsidRPr="005D02C0" w:rsidRDefault="00283A75">
            <w:pPr>
              <w:autoSpaceDE w:val="0"/>
              <w:autoSpaceDN w:val="0"/>
              <w:adjustRightInd w:val="0"/>
              <w:rPr>
                <w:rFonts w:ascii="Calibri" w:hAnsi="Calibri" w:cs="Calibri"/>
                <w:color w:val="000000"/>
              </w:rPr>
            </w:pPr>
            <w:r w:rsidRPr="005D02C0">
              <w:rPr>
                <w:rFonts w:ascii="Calibri" w:hAnsi="Calibri" w:cs="Calibri"/>
                <w:color w:val="000000"/>
                <w:sz w:val="22"/>
                <w:szCs w:val="22"/>
              </w:rPr>
              <w:t>0%</w:t>
            </w:r>
          </w:p>
        </w:tc>
      </w:tr>
      <w:tr w:rsidR="00283A75" w:rsidRPr="005F465A" w14:paraId="3A0ABA21" w14:textId="77777777" w:rsidTr="004D6FAF">
        <w:tc>
          <w:tcPr>
            <w:tcW w:w="2430" w:type="dxa"/>
          </w:tcPr>
          <w:p w14:paraId="35A86C56" w14:textId="77777777" w:rsidR="00283A75" w:rsidRPr="005D02C0" w:rsidRDefault="00283A75">
            <w:pPr>
              <w:autoSpaceDE w:val="0"/>
              <w:autoSpaceDN w:val="0"/>
              <w:adjustRightInd w:val="0"/>
              <w:rPr>
                <w:rFonts w:ascii="Calibri" w:hAnsi="Calibri" w:cs="Calibri"/>
                <w:color w:val="000000"/>
              </w:rPr>
            </w:pPr>
          </w:p>
        </w:tc>
        <w:tc>
          <w:tcPr>
            <w:tcW w:w="2520" w:type="dxa"/>
          </w:tcPr>
          <w:p w14:paraId="1950F88F" w14:textId="77777777" w:rsidR="00283A75" w:rsidRPr="005D02C0" w:rsidRDefault="00283A75">
            <w:pPr>
              <w:autoSpaceDE w:val="0"/>
              <w:autoSpaceDN w:val="0"/>
              <w:adjustRightInd w:val="0"/>
              <w:rPr>
                <w:rFonts w:ascii="Calibri" w:hAnsi="Calibri" w:cs="Calibri"/>
                <w:color w:val="000000"/>
              </w:rPr>
            </w:pPr>
            <w:r w:rsidRPr="005D02C0">
              <w:rPr>
                <w:rFonts w:ascii="Calibri" w:hAnsi="Calibri" w:cs="Calibri"/>
                <w:color w:val="000000"/>
                <w:sz w:val="22"/>
                <w:szCs w:val="22"/>
              </w:rPr>
              <w:t>April 1, 2014 through Dec 31, 2014</w:t>
            </w:r>
          </w:p>
        </w:tc>
        <w:tc>
          <w:tcPr>
            <w:tcW w:w="2340" w:type="dxa"/>
          </w:tcPr>
          <w:p w14:paraId="525C4D35" w14:textId="77777777" w:rsidR="00283A75" w:rsidRPr="005D02C0" w:rsidRDefault="00283A75">
            <w:pPr>
              <w:autoSpaceDE w:val="0"/>
              <w:autoSpaceDN w:val="0"/>
              <w:adjustRightInd w:val="0"/>
              <w:rPr>
                <w:rFonts w:ascii="Calibri" w:hAnsi="Calibri" w:cs="Calibri"/>
                <w:color w:val="000000"/>
              </w:rPr>
            </w:pPr>
            <w:r w:rsidRPr="005D02C0">
              <w:rPr>
                <w:rFonts w:ascii="Calibri" w:hAnsi="Calibri" w:cs="Calibri"/>
                <w:color w:val="000000"/>
                <w:sz w:val="22"/>
                <w:szCs w:val="22"/>
              </w:rPr>
              <w:t>1%</w:t>
            </w:r>
          </w:p>
        </w:tc>
      </w:tr>
      <w:tr w:rsidR="00283A75" w:rsidRPr="005F465A" w14:paraId="35742A37" w14:textId="77777777" w:rsidTr="004D6FAF">
        <w:tc>
          <w:tcPr>
            <w:tcW w:w="2430" w:type="dxa"/>
          </w:tcPr>
          <w:p w14:paraId="48934F97" w14:textId="77777777" w:rsidR="00283A75" w:rsidRPr="005D02C0" w:rsidRDefault="00283A75">
            <w:pPr>
              <w:autoSpaceDE w:val="0"/>
              <w:autoSpaceDN w:val="0"/>
              <w:adjustRightInd w:val="0"/>
              <w:rPr>
                <w:rFonts w:ascii="Calibri" w:hAnsi="Calibri" w:cs="Calibri"/>
                <w:color w:val="000000"/>
              </w:rPr>
            </w:pPr>
            <w:r w:rsidRPr="005D02C0">
              <w:rPr>
                <w:rFonts w:ascii="Calibri" w:hAnsi="Calibri" w:cs="Calibri"/>
                <w:color w:val="000000"/>
                <w:sz w:val="22"/>
                <w:szCs w:val="22"/>
              </w:rPr>
              <w:t>Demonstration Year 2</w:t>
            </w:r>
          </w:p>
        </w:tc>
        <w:tc>
          <w:tcPr>
            <w:tcW w:w="2520" w:type="dxa"/>
          </w:tcPr>
          <w:p w14:paraId="56613842" w14:textId="77777777" w:rsidR="00283A75" w:rsidRPr="005D02C0" w:rsidRDefault="00283A75">
            <w:pPr>
              <w:autoSpaceDE w:val="0"/>
              <w:autoSpaceDN w:val="0"/>
              <w:adjustRightInd w:val="0"/>
              <w:rPr>
                <w:rFonts w:ascii="Calibri" w:hAnsi="Calibri" w:cs="Calibri"/>
                <w:color w:val="000000"/>
              </w:rPr>
            </w:pPr>
            <w:r w:rsidRPr="005D02C0">
              <w:rPr>
                <w:rFonts w:ascii="Calibri" w:hAnsi="Calibri" w:cs="Calibri"/>
                <w:color w:val="000000"/>
                <w:sz w:val="22"/>
                <w:szCs w:val="22"/>
              </w:rPr>
              <w:t>Jan 1, 2015 through Dec 31, 2015</w:t>
            </w:r>
          </w:p>
        </w:tc>
        <w:tc>
          <w:tcPr>
            <w:tcW w:w="2340" w:type="dxa"/>
          </w:tcPr>
          <w:p w14:paraId="6AB82519" w14:textId="4E7C70E6" w:rsidR="00283A75" w:rsidRPr="005D02C0" w:rsidRDefault="00EE63B2">
            <w:pPr>
              <w:autoSpaceDE w:val="0"/>
              <w:autoSpaceDN w:val="0"/>
              <w:adjustRightInd w:val="0"/>
              <w:rPr>
                <w:rFonts w:ascii="Calibri" w:hAnsi="Calibri" w:cs="Calibri"/>
                <w:color w:val="000000"/>
              </w:rPr>
            </w:pPr>
            <w:r>
              <w:rPr>
                <w:rFonts w:ascii="Calibri" w:hAnsi="Calibri" w:cs="Calibri"/>
                <w:color w:val="000000"/>
                <w:sz w:val="22"/>
                <w:szCs w:val="22"/>
              </w:rPr>
              <w:t>0%</w:t>
            </w:r>
          </w:p>
        </w:tc>
      </w:tr>
      <w:tr w:rsidR="00283A75" w:rsidRPr="005F465A" w14:paraId="7058F467" w14:textId="77777777" w:rsidTr="004D6FAF">
        <w:tc>
          <w:tcPr>
            <w:tcW w:w="2430" w:type="dxa"/>
          </w:tcPr>
          <w:p w14:paraId="44845CAB" w14:textId="77777777" w:rsidR="00283A75" w:rsidRPr="005D02C0" w:rsidRDefault="00283A75">
            <w:pPr>
              <w:autoSpaceDE w:val="0"/>
              <w:autoSpaceDN w:val="0"/>
              <w:adjustRightInd w:val="0"/>
              <w:rPr>
                <w:rFonts w:ascii="Calibri" w:hAnsi="Calibri" w:cs="Calibri"/>
                <w:color w:val="000000"/>
              </w:rPr>
            </w:pPr>
            <w:r w:rsidRPr="005D02C0">
              <w:rPr>
                <w:rFonts w:ascii="Calibri" w:hAnsi="Calibri" w:cs="Calibri"/>
                <w:color w:val="000000"/>
                <w:sz w:val="22"/>
                <w:szCs w:val="22"/>
              </w:rPr>
              <w:t>Demonstration Year 3</w:t>
            </w:r>
          </w:p>
        </w:tc>
        <w:tc>
          <w:tcPr>
            <w:tcW w:w="2520" w:type="dxa"/>
          </w:tcPr>
          <w:p w14:paraId="24E3DA0C" w14:textId="77777777" w:rsidR="00283A75" w:rsidRPr="005D02C0" w:rsidRDefault="00283A75">
            <w:pPr>
              <w:autoSpaceDE w:val="0"/>
              <w:autoSpaceDN w:val="0"/>
              <w:adjustRightInd w:val="0"/>
              <w:rPr>
                <w:rFonts w:ascii="Calibri" w:hAnsi="Calibri" w:cs="Calibri"/>
                <w:color w:val="000000"/>
              </w:rPr>
            </w:pPr>
            <w:r w:rsidRPr="005D02C0">
              <w:rPr>
                <w:rFonts w:ascii="Calibri" w:hAnsi="Calibri" w:cs="Calibri"/>
                <w:color w:val="000000"/>
                <w:sz w:val="22"/>
                <w:szCs w:val="22"/>
              </w:rPr>
              <w:t>Jan 1, 2016 through Dec 31, 2016</w:t>
            </w:r>
          </w:p>
        </w:tc>
        <w:tc>
          <w:tcPr>
            <w:tcW w:w="2340" w:type="dxa"/>
          </w:tcPr>
          <w:p w14:paraId="5430D49A" w14:textId="0EE47ACF" w:rsidR="00283A75" w:rsidRPr="005D02C0" w:rsidRDefault="00EE63B2" w:rsidP="00B229EB">
            <w:pPr>
              <w:autoSpaceDE w:val="0"/>
              <w:autoSpaceDN w:val="0"/>
              <w:adjustRightInd w:val="0"/>
              <w:rPr>
                <w:rFonts w:ascii="Calibri" w:hAnsi="Calibri" w:cs="Calibri"/>
                <w:color w:val="000000"/>
              </w:rPr>
            </w:pPr>
            <w:r>
              <w:rPr>
                <w:rFonts w:ascii="Calibri" w:hAnsi="Calibri" w:cs="Calibri"/>
                <w:color w:val="000000"/>
                <w:sz w:val="22"/>
                <w:szCs w:val="22"/>
              </w:rPr>
              <w:t>0%</w:t>
            </w:r>
          </w:p>
        </w:tc>
      </w:tr>
    </w:tbl>
    <w:p w14:paraId="1FA5192B" w14:textId="77777777" w:rsidR="001D4718" w:rsidRDefault="001D4718" w:rsidP="00C26326">
      <w:pPr>
        <w:tabs>
          <w:tab w:val="left" w:pos="90"/>
        </w:tabs>
        <w:autoSpaceDE w:val="0"/>
        <w:autoSpaceDN w:val="0"/>
        <w:adjustRightInd w:val="0"/>
        <w:ind w:left="720"/>
        <w:rPr>
          <w:rFonts w:ascii="Calibri" w:hAnsi="Calibri" w:cs="Calibri"/>
          <w:color w:val="000000"/>
          <w:sz w:val="22"/>
          <w:szCs w:val="22"/>
        </w:rPr>
      </w:pPr>
      <w:r>
        <w:rPr>
          <w:rFonts w:ascii="Calibri" w:hAnsi="Calibri" w:cs="Calibri"/>
          <w:color w:val="000000"/>
          <w:sz w:val="22"/>
          <w:szCs w:val="22"/>
        </w:rPr>
        <w:t>The change in the savings percentage for Demonstration Year 2 from 0.5% to 0% will be reflected in a retroactive payment adjustment.</w:t>
      </w:r>
    </w:p>
    <w:p w14:paraId="1BC342F1" w14:textId="77777777" w:rsidR="00283A75" w:rsidRDefault="00283A75" w:rsidP="005D02C0">
      <w:pPr>
        <w:autoSpaceDE w:val="0"/>
        <w:autoSpaceDN w:val="0"/>
        <w:adjustRightInd w:val="0"/>
        <w:ind w:left="540"/>
        <w:rPr>
          <w:rFonts w:ascii="Arial" w:hAnsi="Arial" w:cs="Arial"/>
          <w:color w:val="000000"/>
          <w:sz w:val="20"/>
          <w:szCs w:val="20"/>
        </w:rPr>
      </w:pPr>
    </w:p>
    <w:p w14:paraId="7A28DE03" w14:textId="77777777" w:rsidR="00283A75" w:rsidRPr="005F465A" w:rsidRDefault="00283A75" w:rsidP="00524025">
      <w:pPr>
        <w:tabs>
          <w:tab w:val="left" w:pos="90"/>
        </w:tabs>
        <w:autoSpaceDE w:val="0"/>
        <w:autoSpaceDN w:val="0"/>
        <w:adjustRightInd w:val="0"/>
        <w:rPr>
          <w:rFonts w:ascii="Calibri" w:hAnsi="Calibri" w:cs="Calibri"/>
          <w:b/>
          <w:i/>
          <w:color w:val="000000"/>
          <w:sz w:val="22"/>
          <w:szCs w:val="22"/>
        </w:rPr>
      </w:pPr>
      <w:r w:rsidRPr="005F465A">
        <w:rPr>
          <w:rFonts w:ascii="Calibri" w:hAnsi="Calibri" w:cs="Calibri"/>
          <w:b/>
          <w:i/>
          <w:color w:val="000000"/>
          <w:sz w:val="22"/>
          <w:szCs w:val="22"/>
        </w:rPr>
        <w:t>Quality Withhold</w:t>
      </w:r>
    </w:p>
    <w:p w14:paraId="24E9B0ED" w14:textId="77777777" w:rsidR="00EE63B2" w:rsidRDefault="00EE63B2" w:rsidP="00B229EB">
      <w:pPr>
        <w:autoSpaceDE w:val="0"/>
        <w:autoSpaceDN w:val="0"/>
        <w:adjustRightInd w:val="0"/>
        <w:rPr>
          <w:rFonts w:ascii="Calibri" w:hAnsi="Calibri" w:cs="Calibri"/>
          <w:color w:val="000000"/>
          <w:sz w:val="22"/>
          <w:szCs w:val="22"/>
        </w:rPr>
      </w:pPr>
    </w:p>
    <w:p w14:paraId="34354A91" w14:textId="21383493" w:rsidR="00DE6483" w:rsidRDefault="00283A75" w:rsidP="00DE6483">
      <w:pPr>
        <w:autoSpaceDE w:val="0"/>
        <w:autoSpaceDN w:val="0"/>
        <w:adjustRightInd w:val="0"/>
        <w:rPr>
          <w:rFonts w:ascii="Calibri" w:hAnsi="Calibri" w:cs="Calibri"/>
          <w:color w:val="000000"/>
          <w:sz w:val="22"/>
          <w:szCs w:val="22"/>
        </w:rPr>
      </w:pPr>
      <w:r w:rsidRPr="005F465A">
        <w:rPr>
          <w:rFonts w:ascii="Calibri" w:hAnsi="Calibri" w:cs="Calibri"/>
          <w:color w:val="000000"/>
          <w:sz w:val="22"/>
          <w:szCs w:val="22"/>
        </w:rPr>
        <w:t xml:space="preserve">In Demonstration Year 1, a 1% quality withhold will be applied to the Medicaid and Medicare A/B components of the rate. The quality withhold will </w:t>
      </w:r>
      <w:r w:rsidR="00C26326">
        <w:rPr>
          <w:rFonts w:ascii="Calibri" w:hAnsi="Calibri" w:cs="Calibri"/>
          <w:color w:val="000000"/>
          <w:sz w:val="22"/>
          <w:szCs w:val="22"/>
        </w:rPr>
        <w:t xml:space="preserve">be 0% </w:t>
      </w:r>
      <w:r w:rsidRPr="005F465A">
        <w:rPr>
          <w:rFonts w:ascii="Calibri" w:hAnsi="Calibri" w:cs="Calibri"/>
          <w:color w:val="000000"/>
          <w:sz w:val="22"/>
          <w:szCs w:val="22"/>
        </w:rPr>
        <w:t xml:space="preserve">in Demonstration Year 2 and </w:t>
      </w:r>
      <w:r w:rsidR="00C26326">
        <w:rPr>
          <w:rFonts w:ascii="Calibri" w:hAnsi="Calibri" w:cs="Calibri"/>
          <w:color w:val="000000"/>
          <w:sz w:val="22"/>
          <w:szCs w:val="22"/>
        </w:rPr>
        <w:t>1</w:t>
      </w:r>
      <w:r w:rsidRPr="005F465A">
        <w:rPr>
          <w:rFonts w:ascii="Calibri" w:hAnsi="Calibri" w:cs="Calibri"/>
          <w:color w:val="000000"/>
          <w:sz w:val="22"/>
          <w:szCs w:val="22"/>
        </w:rPr>
        <w:t>% in Demonstration Year 3.</w:t>
      </w:r>
      <w:r w:rsidR="00B229EB">
        <w:rPr>
          <w:rFonts w:ascii="Calibri" w:hAnsi="Calibri" w:cs="Calibri"/>
          <w:color w:val="000000"/>
          <w:sz w:val="22"/>
          <w:szCs w:val="22"/>
        </w:rPr>
        <w:t xml:space="preserve"> </w:t>
      </w:r>
      <w:r w:rsidR="00DE6483">
        <w:rPr>
          <w:rFonts w:ascii="Calibri" w:hAnsi="Calibri" w:cs="Calibri"/>
          <w:color w:val="000000"/>
          <w:sz w:val="22"/>
          <w:szCs w:val="22"/>
        </w:rPr>
        <w:t xml:space="preserve">For Demonstration Year 2, the change in quality withhold from 2% to 0% will be reflected in a retroactive payment adjustment. </w:t>
      </w:r>
      <w:r w:rsidR="0076056B" w:rsidRPr="0076056B">
        <w:rPr>
          <w:rFonts w:ascii="Calibri" w:hAnsi="Calibri" w:cs="Calibri"/>
          <w:color w:val="000000"/>
          <w:sz w:val="22"/>
          <w:szCs w:val="22"/>
        </w:rPr>
        <w:t>These adjustments to the quality withhold were available to One Care plans through execution of contract amendments and are conditional upon continued participation in the demonstration through</w:t>
      </w:r>
      <w:r w:rsidR="00887060">
        <w:rPr>
          <w:rFonts w:ascii="Calibri" w:hAnsi="Calibri" w:cs="Calibri"/>
          <w:color w:val="000000"/>
          <w:sz w:val="22"/>
          <w:szCs w:val="22"/>
        </w:rPr>
        <w:t xml:space="preserve"> December 31,</w:t>
      </w:r>
      <w:r w:rsidR="0076056B" w:rsidRPr="0076056B">
        <w:rPr>
          <w:rFonts w:ascii="Calibri" w:hAnsi="Calibri" w:cs="Calibri"/>
          <w:color w:val="000000"/>
          <w:sz w:val="22"/>
          <w:szCs w:val="22"/>
        </w:rPr>
        <w:t xml:space="preserve"> 2016.</w:t>
      </w:r>
    </w:p>
    <w:p w14:paraId="157C6005" w14:textId="77777777" w:rsidR="00C1440F" w:rsidRDefault="00C1440F" w:rsidP="00DE6483">
      <w:pPr>
        <w:autoSpaceDE w:val="0"/>
        <w:autoSpaceDN w:val="0"/>
        <w:adjustRightInd w:val="0"/>
        <w:rPr>
          <w:rFonts w:ascii="Calibri" w:hAnsi="Calibri" w:cs="Calibri"/>
          <w:color w:val="000000"/>
          <w:sz w:val="22"/>
          <w:szCs w:val="22"/>
        </w:rPr>
      </w:pPr>
    </w:p>
    <w:p w14:paraId="7B7A67AD" w14:textId="77777777" w:rsidR="00B229EB" w:rsidRDefault="00B229EB" w:rsidP="00B229EB">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More information about the quality withhold methodology is available at: </w:t>
      </w:r>
      <w:r w:rsidRPr="000322C9">
        <w:t xml:space="preserve"> </w:t>
      </w:r>
      <w:hyperlink r:id="rId13" w:history="1">
        <w:r w:rsidRPr="0012469E">
          <w:rPr>
            <w:rStyle w:val="Hyperlink"/>
            <w:rFonts w:asciiTheme="minorHAnsi" w:hAnsiTheme="minorHAnsi" w:cstheme="minorHAnsi"/>
            <w:sz w:val="22"/>
            <w:szCs w:val="22"/>
          </w:rPr>
          <w:t>http://www.cms.gov/Medicare-Medicaid-Coordination/Medicare-and-Medicaid-Coordination/Medicare-Medicaid-Coordination-Office/FinancialAlignmentInitiative/Downloads/DY1QualityWithholdGuidance060614.pdf</w:t>
        </w:r>
      </w:hyperlink>
      <w:r>
        <w:rPr>
          <w:rFonts w:asciiTheme="minorHAnsi" w:hAnsiTheme="minorHAnsi" w:cstheme="minorHAnsi"/>
          <w:color w:val="000000"/>
          <w:sz w:val="22"/>
          <w:szCs w:val="22"/>
        </w:rPr>
        <w:t xml:space="preserve"> </w:t>
      </w:r>
    </w:p>
    <w:p w14:paraId="21E8513C" w14:textId="77777777" w:rsidR="00283A75" w:rsidRDefault="00283A75" w:rsidP="00524025">
      <w:pPr>
        <w:autoSpaceDE w:val="0"/>
        <w:autoSpaceDN w:val="0"/>
        <w:adjustRightInd w:val="0"/>
        <w:rPr>
          <w:rFonts w:ascii="Calibri" w:hAnsi="Calibri" w:cs="Calibri"/>
          <w:color w:val="000000"/>
          <w:sz w:val="22"/>
          <w:szCs w:val="22"/>
        </w:rPr>
      </w:pPr>
    </w:p>
    <w:p w14:paraId="68812829" w14:textId="77777777" w:rsidR="00283A75" w:rsidRDefault="00283A75" w:rsidP="00524025">
      <w:pPr>
        <w:autoSpaceDE w:val="0"/>
        <w:autoSpaceDN w:val="0"/>
        <w:adjustRightInd w:val="0"/>
        <w:rPr>
          <w:rFonts w:ascii="Calibri" w:hAnsi="Calibri" w:cs="Calibri"/>
          <w:color w:val="000000"/>
          <w:sz w:val="22"/>
          <w:szCs w:val="22"/>
        </w:rPr>
      </w:pPr>
    </w:p>
    <w:p w14:paraId="3DEEA408" w14:textId="77777777" w:rsidR="00283A75" w:rsidRDefault="00283A75">
      <w:pPr>
        <w:spacing w:after="200" w:line="276" w:lineRule="auto"/>
        <w:rPr>
          <w:rFonts w:ascii="Calibri" w:hAnsi="Calibri" w:cs="Calibri"/>
          <w:color w:val="000000"/>
          <w:sz w:val="22"/>
          <w:szCs w:val="22"/>
        </w:rPr>
      </w:pPr>
      <w:r>
        <w:rPr>
          <w:rFonts w:ascii="Calibri" w:hAnsi="Calibri" w:cs="Calibri"/>
          <w:color w:val="000000"/>
          <w:sz w:val="22"/>
          <w:szCs w:val="22"/>
        </w:rPr>
        <w:br w:type="page"/>
      </w:r>
    </w:p>
    <w:p w14:paraId="07179968" w14:textId="77777777" w:rsidR="00283A75" w:rsidRPr="005D02C0" w:rsidRDefault="00283A75" w:rsidP="00AD1E7C">
      <w:pPr>
        <w:autoSpaceDE w:val="0"/>
        <w:autoSpaceDN w:val="0"/>
        <w:adjustRightInd w:val="0"/>
        <w:jc w:val="center"/>
        <w:rPr>
          <w:rFonts w:ascii="Calibri" w:hAnsi="Calibri" w:cs="Calibri"/>
          <w:b/>
          <w:color w:val="000000"/>
          <w:sz w:val="22"/>
        </w:rPr>
      </w:pPr>
      <w:r w:rsidRPr="005D02C0">
        <w:rPr>
          <w:rFonts w:ascii="Calibri" w:hAnsi="Calibri" w:cs="Calibri"/>
          <w:b/>
          <w:color w:val="000000"/>
          <w:sz w:val="22"/>
        </w:rPr>
        <w:lastRenderedPageBreak/>
        <w:t xml:space="preserve">V. Risk Mitigation </w:t>
      </w:r>
    </w:p>
    <w:p w14:paraId="2F64DDBC" w14:textId="77777777" w:rsidR="00283A75" w:rsidRPr="005D02C0" w:rsidRDefault="00283A75" w:rsidP="00AD1E7C">
      <w:pPr>
        <w:autoSpaceDE w:val="0"/>
        <w:autoSpaceDN w:val="0"/>
        <w:adjustRightInd w:val="0"/>
        <w:jc w:val="center"/>
        <w:rPr>
          <w:rFonts w:ascii="Calibri" w:hAnsi="Calibri" w:cs="Calibri"/>
          <w:b/>
          <w:color w:val="000000"/>
          <w:sz w:val="22"/>
        </w:rPr>
      </w:pPr>
    </w:p>
    <w:p w14:paraId="4B9B3C8E" w14:textId="77777777" w:rsidR="00283A75" w:rsidRPr="005D02C0" w:rsidRDefault="00283A75" w:rsidP="005D02C0">
      <w:pPr>
        <w:rPr>
          <w:rFonts w:ascii="Calibri" w:hAnsi="Calibri" w:cs="Calibri"/>
          <w:sz w:val="22"/>
          <w:szCs w:val="22"/>
        </w:rPr>
      </w:pPr>
      <w:r w:rsidRPr="005D02C0">
        <w:rPr>
          <w:rFonts w:ascii="Calibri" w:hAnsi="Calibri" w:cs="Calibri"/>
          <w:sz w:val="22"/>
          <w:szCs w:val="22"/>
        </w:rPr>
        <w:t xml:space="preserve">The MOU established two additional mechanisms, High Cost Risk Pools (HCRP) and </w:t>
      </w:r>
      <w:r w:rsidR="001C5D72">
        <w:rPr>
          <w:rFonts w:ascii="Calibri" w:hAnsi="Calibri" w:cs="Calibri"/>
          <w:sz w:val="22"/>
          <w:szCs w:val="22"/>
        </w:rPr>
        <w:t>r</w:t>
      </w:r>
      <w:r w:rsidRPr="005D02C0">
        <w:rPr>
          <w:rFonts w:ascii="Calibri" w:hAnsi="Calibri" w:cs="Calibri"/>
          <w:sz w:val="22"/>
          <w:szCs w:val="22"/>
        </w:rPr>
        <w:t xml:space="preserve">isk </w:t>
      </w:r>
      <w:r w:rsidR="001C5D72">
        <w:rPr>
          <w:rFonts w:ascii="Calibri" w:hAnsi="Calibri" w:cs="Calibri"/>
          <w:sz w:val="22"/>
          <w:szCs w:val="22"/>
        </w:rPr>
        <w:t>c</w:t>
      </w:r>
      <w:r w:rsidRPr="005D02C0">
        <w:rPr>
          <w:rFonts w:ascii="Calibri" w:hAnsi="Calibri" w:cs="Calibri"/>
          <w:sz w:val="22"/>
          <w:szCs w:val="22"/>
        </w:rPr>
        <w:t>orridors, to mitigate risk in the event of disproportionate enrollment of high need individuals in some One Care plans or adverse enrollment selection across the Demonstration as a whole.</w:t>
      </w:r>
    </w:p>
    <w:p w14:paraId="1D6EE376" w14:textId="77777777" w:rsidR="00283A75" w:rsidRPr="005D02C0" w:rsidRDefault="00283A75" w:rsidP="005D02C0">
      <w:pPr>
        <w:rPr>
          <w:rFonts w:ascii="Calibri" w:hAnsi="Calibri" w:cs="Calibri"/>
          <w:sz w:val="22"/>
          <w:szCs w:val="22"/>
        </w:rPr>
      </w:pPr>
    </w:p>
    <w:p w14:paraId="4218F178" w14:textId="77777777" w:rsidR="00283A75" w:rsidRPr="00756980" w:rsidRDefault="00283A75" w:rsidP="005D02C0">
      <w:pPr>
        <w:rPr>
          <w:rFonts w:ascii="Calibri" w:hAnsi="Calibri" w:cs="Calibri"/>
          <w:b/>
          <w:i/>
          <w:sz w:val="22"/>
          <w:szCs w:val="22"/>
        </w:rPr>
      </w:pPr>
      <w:r w:rsidRPr="00756980">
        <w:rPr>
          <w:rFonts w:ascii="Calibri" w:hAnsi="Calibri" w:cs="Calibri"/>
          <w:b/>
          <w:i/>
          <w:sz w:val="22"/>
          <w:szCs w:val="22"/>
        </w:rPr>
        <w:t>High Cost Risk Pools (HCRPs)</w:t>
      </w:r>
    </w:p>
    <w:p w14:paraId="612ED130" w14:textId="77777777" w:rsidR="0076056B" w:rsidRDefault="0076056B" w:rsidP="005D02C0">
      <w:pPr>
        <w:rPr>
          <w:rFonts w:ascii="Calibri" w:hAnsi="Calibri" w:cs="Calibri"/>
          <w:sz w:val="22"/>
          <w:szCs w:val="22"/>
        </w:rPr>
      </w:pPr>
      <w:r w:rsidRPr="0076056B">
        <w:rPr>
          <w:rFonts w:ascii="Calibri" w:hAnsi="Calibri" w:cs="Calibri"/>
          <w:sz w:val="22"/>
          <w:szCs w:val="22"/>
        </w:rPr>
        <w:t>HCRPs were eliminated for CY2015. Any amounts withheld from the rates have been refunded to the Plans.</w:t>
      </w:r>
    </w:p>
    <w:p w14:paraId="29065BC3" w14:textId="77777777" w:rsidR="009F29CC" w:rsidRPr="00756980" w:rsidRDefault="009F29CC" w:rsidP="005D02C0">
      <w:pPr>
        <w:rPr>
          <w:rFonts w:ascii="Calibri" w:hAnsi="Calibri" w:cs="Calibri"/>
          <w:sz w:val="22"/>
          <w:szCs w:val="22"/>
        </w:rPr>
      </w:pPr>
    </w:p>
    <w:p w14:paraId="035F0C5D" w14:textId="77777777" w:rsidR="00283A75" w:rsidRPr="005D02C0" w:rsidRDefault="00283A75" w:rsidP="005D02C0">
      <w:pPr>
        <w:rPr>
          <w:rFonts w:ascii="Calibri" w:hAnsi="Calibri" w:cs="Calibri"/>
          <w:b/>
          <w:i/>
          <w:sz w:val="22"/>
          <w:szCs w:val="22"/>
        </w:rPr>
      </w:pPr>
      <w:r w:rsidRPr="005D02C0">
        <w:rPr>
          <w:rFonts w:ascii="Calibri" w:hAnsi="Calibri" w:cs="Calibri"/>
          <w:b/>
          <w:i/>
          <w:sz w:val="22"/>
          <w:szCs w:val="22"/>
        </w:rPr>
        <w:t>Risk Corridors</w:t>
      </w:r>
    </w:p>
    <w:p w14:paraId="7069F36B" w14:textId="708A00DA" w:rsidR="00283A75" w:rsidRPr="005D02C0" w:rsidRDefault="00283A75" w:rsidP="005D02C0">
      <w:pPr>
        <w:rPr>
          <w:rFonts w:ascii="Calibri" w:hAnsi="Calibri" w:cs="Calibri"/>
          <w:sz w:val="22"/>
          <w:szCs w:val="22"/>
        </w:rPr>
      </w:pPr>
      <w:r w:rsidRPr="005D02C0">
        <w:rPr>
          <w:rFonts w:ascii="Calibri" w:hAnsi="Calibri" w:cs="Calibri"/>
          <w:sz w:val="22"/>
          <w:szCs w:val="22"/>
        </w:rPr>
        <w:t xml:space="preserve">Risk corridors </w:t>
      </w:r>
      <w:r>
        <w:rPr>
          <w:rFonts w:ascii="Calibri" w:hAnsi="Calibri" w:cs="Calibri"/>
          <w:sz w:val="22"/>
          <w:szCs w:val="22"/>
        </w:rPr>
        <w:t>have been</w:t>
      </w:r>
      <w:r w:rsidRPr="005D02C0">
        <w:rPr>
          <w:rFonts w:ascii="Calibri" w:hAnsi="Calibri" w:cs="Calibri"/>
          <w:sz w:val="22"/>
          <w:szCs w:val="22"/>
        </w:rPr>
        <w:t xml:space="preserve"> established for Demonstration Year</w:t>
      </w:r>
      <w:r w:rsidR="00BB310D">
        <w:rPr>
          <w:rFonts w:ascii="Calibri" w:hAnsi="Calibri" w:cs="Calibri"/>
          <w:sz w:val="22"/>
          <w:szCs w:val="22"/>
        </w:rPr>
        <w:t>s</w:t>
      </w:r>
      <w:r w:rsidRPr="005D02C0">
        <w:rPr>
          <w:rFonts w:ascii="Calibri" w:hAnsi="Calibri" w:cs="Calibri"/>
          <w:sz w:val="22"/>
          <w:szCs w:val="22"/>
        </w:rPr>
        <w:t xml:space="preserve"> 1</w:t>
      </w:r>
      <w:r w:rsidR="00BB310D">
        <w:rPr>
          <w:rFonts w:ascii="Calibri" w:hAnsi="Calibri" w:cs="Calibri"/>
          <w:sz w:val="22"/>
          <w:szCs w:val="22"/>
        </w:rPr>
        <w:t>, 2, and 3</w:t>
      </w:r>
      <w:r w:rsidRPr="005D02C0">
        <w:rPr>
          <w:rFonts w:ascii="Calibri" w:hAnsi="Calibri" w:cs="Calibri"/>
          <w:sz w:val="22"/>
          <w:szCs w:val="22"/>
        </w:rPr>
        <w:t xml:space="preserve">. The Demonstration will utilize a tiered One Care plan-level symmetrical risk corridor to include all Medicare A/B and Medicaid eligible service and non-service expenditures, rounded to the nearest one tenth of a percent. The risk corridors will be reconciled after application of any HCRP or risk adjustment methodologies (e.g. CMS-HCC), and as if One Care plans had received the full quality withhold payment. </w:t>
      </w:r>
      <w:r w:rsidR="00DD36B0">
        <w:rPr>
          <w:rFonts w:ascii="Calibri" w:hAnsi="Calibri" w:cs="Calibri"/>
          <w:sz w:val="22"/>
          <w:szCs w:val="22"/>
        </w:rPr>
        <w:t xml:space="preserve"> </w:t>
      </w:r>
    </w:p>
    <w:p w14:paraId="2BAC5372" w14:textId="77777777" w:rsidR="00283A75" w:rsidRPr="005D02C0" w:rsidRDefault="00283A75" w:rsidP="005D02C0">
      <w:pPr>
        <w:rPr>
          <w:rFonts w:ascii="Calibri" w:hAnsi="Calibri" w:cs="Calibri"/>
          <w:sz w:val="22"/>
          <w:szCs w:val="22"/>
        </w:rPr>
      </w:pPr>
    </w:p>
    <w:p w14:paraId="075BBBA5" w14:textId="0445BEE0" w:rsidR="00DD36B0" w:rsidRDefault="005102B0" w:rsidP="005D02C0">
      <w:pPr>
        <w:rPr>
          <w:rFonts w:ascii="Calibri" w:hAnsi="Calibri" w:cs="Calibri"/>
          <w:sz w:val="22"/>
          <w:szCs w:val="22"/>
        </w:rPr>
      </w:pPr>
      <w:r w:rsidRPr="00C1440F">
        <w:rPr>
          <w:rFonts w:ascii="Calibri" w:hAnsi="Calibri" w:cs="Calibri"/>
          <w:sz w:val="22"/>
          <w:szCs w:val="22"/>
        </w:rPr>
        <w:t xml:space="preserve">For Demonstration Year 2, for </w:t>
      </w:r>
      <w:r w:rsidR="00415AA8" w:rsidRPr="00C1440F">
        <w:rPr>
          <w:rFonts w:ascii="Calibri" w:hAnsi="Calibri" w:cs="Calibri"/>
          <w:sz w:val="22"/>
          <w:szCs w:val="22"/>
        </w:rPr>
        <w:t xml:space="preserve">the portion of </w:t>
      </w:r>
      <w:r w:rsidRPr="00C1440F">
        <w:rPr>
          <w:rFonts w:ascii="Calibri" w:hAnsi="Calibri" w:cs="Calibri"/>
          <w:sz w:val="22"/>
          <w:szCs w:val="22"/>
        </w:rPr>
        <w:t>losses</w:t>
      </w:r>
      <w:r w:rsidR="00415AA8" w:rsidRPr="00C1440F">
        <w:rPr>
          <w:rFonts w:ascii="Calibri" w:hAnsi="Calibri" w:cs="Calibri"/>
          <w:sz w:val="22"/>
          <w:szCs w:val="22"/>
        </w:rPr>
        <w:t xml:space="preserve"> or gains</w:t>
      </w:r>
      <w:r w:rsidRPr="00C1440F">
        <w:rPr>
          <w:rFonts w:ascii="Calibri" w:hAnsi="Calibri" w:cs="Calibri"/>
          <w:sz w:val="22"/>
          <w:szCs w:val="22"/>
        </w:rPr>
        <w:t xml:space="preserve"> of greater than 10%, the One Care plan bears 100% of the risk. For </w:t>
      </w:r>
      <w:r w:rsidR="00415AA8" w:rsidRPr="00C1440F">
        <w:rPr>
          <w:rFonts w:ascii="Calibri" w:hAnsi="Calibri" w:cs="Calibri"/>
          <w:sz w:val="22"/>
          <w:szCs w:val="22"/>
        </w:rPr>
        <w:t xml:space="preserve">the portion of </w:t>
      </w:r>
      <w:r w:rsidRPr="00C1440F">
        <w:rPr>
          <w:rFonts w:ascii="Calibri" w:hAnsi="Calibri" w:cs="Calibri"/>
          <w:sz w:val="22"/>
          <w:szCs w:val="22"/>
        </w:rPr>
        <w:t xml:space="preserve">losses </w:t>
      </w:r>
      <w:r w:rsidR="00415AA8" w:rsidRPr="00C1440F">
        <w:rPr>
          <w:rFonts w:ascii="Calibri" w:hAnsi="Calibri" w:cs="Calibri"/>
          <w:sz w:val="22"/>
          <w:szCs w:val="22"/>
        </w:rPr>
        <w:t xml:space="preserve"> or gains </w:t>
      </w:r>
      <w:r w:rsidRPr="00C1440F">
        <w:rPr>
          <w:rFonts w:ascii="Calibri" w:hAnsi="Calibri" w:cs="Calibri"/>
          <w:sz w:val="22"/>
          <w:szCs w:val="22"/>
        </w:rPr>
        <w:t xml:space="preserve">of greater than 3% and less than or equal to 10% the One Care plan bears 50% of the risk and MassHealth and CMS share in the other 50%. For </w:t>
      </w:r>
      <w:r w:rsidR="00415AA8" w:rsidRPr="00C1440F">
        <w:rPr>
          <w:rFonts w:ascii="Calibri" w:hAnsi="Calibri" w:cs="Calibri"/>
          <w:sz w:val="22"/>
          <w:szCs w:val="22"/>
        </w:rPr>
        <w:t xml:space="preserve">the portion of </w:t>
      </w:r>
      <w:r w:rsidRPr="00C1440F">
        <w:rPr>
          <w:rFonts w:ascii="Calibri" w:hAnsi="Calibri" w:cs="Calibri"/>
          <w:sz w:val="22"/>
          <w:szCs w:val="22"/>
        </w:rPr>
        <w:t xml:space="preserve">losses or gains of less than or equal to 3%, the One Care </w:t>
      </w:r>
      <w:r w:rsidR="00887060">
        <w:rPr>
          <w:rFonts w:ascii="Calibri" w:hAnsi="Calibri" w:cs="Calibri"/>
          <w:sz w:val="22"/>
          <w:szCs w:val="22"/>
        </w:rPr>
        <w:t xml:space="preserve">plan </w:t>
      </w:r>
      <w:r w:rsidRPr="00C1440F">
        <w:rPr>
          <w:rFonts w:ascii="Calibri" w:hAnsi="Calibri" w:cs="Calibri"/>
          <w:sz w:val="22"/>
          <w:szCs w:val="22"/>
        </w:rPr>
        <w:t>bears 100% of the risk.</w:t>
      </w:r>
      <w:r>
        <w:rPr>
          <w:rFonts w:ascii="Calibri" w:hAnsi="Calibri" w:cs="Calibri"/>
          <w:sz w:val="22"/>
          <w:szCs w:val="22"/>
        </w:rPr>
        <w:t xml:space="preserve"> </w:t>
      </w:r>
      <w:r w:rsidR="00415AA8">
        <w:rPr>
          <w:rFonts w:ascii="Calibri" w:hAnsi="Calibri" w:cs="Calibri"/>
          <w:sz w:val="22"/>
          <w:szCs w:val="22"/>
        </w:rPr>
        <w:t xml:space="preserve"> </w:t>
      </w:r>
      <w:r w:rsidR="00ED39A7">
        <w:rPr>
          <w:rFonts w:ascii="Calibri" w:hAnsi="Calibri" w:cs="Calibri"/>
          <w:sz w:val="22"/>
          <w:szCs w:val="22"/>
        </w:rPr>
        <w:t xml:space="preserve"> </w:t>
      </w:r>
    </w:p>
    <w:p w14:paraId="2E7854DF" w14:textId="77777777" w:rsidR="00DD36B0" w:rsidRPr="004A6546" w:rsidRDefault="00DD36B0" w:rsidP="00DD36B0">
      <w:pPr>
        <w:rPr>
          <w:rFonts w:asciiTheme="minorHAnsi" w:hAnsiTheme="minorHAnsi"/>
          <w:sz w:val="22"/>
          <w:szCs w:val="22"/>
          <w:highlight w:val="yellow"/>
        </w:rPr>
      </w:pPr>
    </w:p>
    <w:p w14:paraId="472CBD18" w14:textId="77777777" w:rsidR="00283A75" w:rsidRPr="005D02C0" w:rsidRDefault="00283A75" w:rsidP="005D02C0">
      <w:pPr>
        <w:rPr>
          <w:rFonts w:ascii="Calibri" w:hAnsi="Calibri" w:cs="Calibri"/>
          <w:sz w:val="22"/>
          <w:szCs w:val="22"/>
        </w:rPr>
      </w:pPr>
      <w:r w:rsidRPr="00756980">
        <w:rPr>
          <w:rFonts w:ascii="Calibri" w:hAnsi="Calibri" w:cs="Calibri"/>
          <w:sz w:val="22"/>
          <w:szCs w:val="22"/>
        </w:rPr>
        <w:t xml:space="preserve">The Medicare and Medicaid contributions to risk corridor payments or recoupments will be in proportion to their contributions to the Medicare A/B and MassHealth components of the capitation rate. </w:t>
      </w:r>
    </w:p>
    <w:p w14:paraId="1A5F2ED1" w14:textId="77777777" w:rsidR="00283A75" w:rsidRPr="00AD1E7C" w:rsidRDefault="00A7060E" w:rsidP="00A7060E">
      <w:pPr>
        <w:tabs>
          <w:tab w:val="left" w:pos="8026"/>
        </w:tabs>
        <w:autoSpaceDE w:val="0"/>
        <w:autoSpaceDN w:val="0"/>
        <w:adjustRightInd w:val="0"/>
        <w:rPr>
          <w:rFonts w:ascii="Calibri" w:hAnsi="Calibri" w:cs="Calibri"/>
          <w:b/>
          <w:color w:val="000000"/>
          <w:sz w:val="22"/>
        </w:rPr>
      </w:pPr>
      <w:r>
        <w:rPr>
          <w:rFonts w:ascii="Calibri" w:hAnsi="Calibri" w:cs="Calibri"/>
          <w:b/>
          <w:color w:val="000000"/>
          <w:sz w:val="22"/>
        </w:rPr>
        <w:tab/>
      </w:r>
    </w:p>
    <w:sectPr w:rsidR="00283A75" w:rsidRPr="00AD1E7C" w:rsidSect="00400B87">
      <w:headerReference w:type="default" r:id="rId1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5C775D" w15:done="0"/>
  <w15:commentEx w15:paraId="24E388F6" w15:done="0"/>
  <w15:commentEx w15:paraId="4DF025B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2B5A2A" w14:textId="77777777" w:rsidR="00D933CC" w:rsidRDefault="00D933CC" w:rsidP="00C01D88">
      <w:r>
        <w:separator/>
      </w:r>
    </w:p>
  </w:endnote>
  <w:endnote w:type="continuationSeparator" w:id="0">
    <w:p w14:paraId="409809F6" w14:textId="77777777" w:rsidR="00D933CC" w:rsidRDefault="00D933CC" w:rsidP="00C01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03E37" w14:textId="77777777" w:rsidR="00956F7C" w:rsidRPr="008B7879" w:rsidRDefault="00956F7C" w:rsidP="004D6FAF">
    <w:pPr>
      <w:pStyle w:val="Footer"/>
      <w:jc w:val="right"/>
      <w:rPr>
        <w:rFonts w:asciiTheme="minorHAnsi" w:hAnsiTheme="minorHAnsi" w:cstheme="minorHAnsi"/>
        <w:sz w:val="22"/>
        <w:szCs w:val="22"/>
      </w:rPr>
    </w:pPr>
    <w:r w:rsidRPr="008B7879">
      <w:rPr>
        <w:rStyle w:val="PageNumber"/>
        <w:rFonts w:asciiTheme="minorHAnsi" w:hAnsiTheme="minorHAnsi" w:cstheme="minorHAnsi"/>
        <w:sz w:val="22"/>
        <w:szCs w:val="22"/>
      </w:rPr>
      <w:fldChar w:fldCharType="begin"/>
    </w:r>
    <w:r w:rsidRPr="008B7879">
      <w:rPr>
        <w:rStyle w:val="PageNumber"/>
        <w:rFonts w:asciiTheme="minorHAnsi" w:hAnsiTheme="minorHAnsi" w:cstheme="minorHAnsi"/>
        <w:sz w:val="22"/>
        <w:szCs w:val="22"/>
      </w:rPr>
      <w:instrText xml:space="preserve"> PAGE </w:instrText>
    </w:r>
    <w:r w:rsidRPr="008B7879">
      <w:rPr>
        <w:rStyle w:val="PageNumber"/>
        <w:rFonts w:asciiTheme="minorHAnsi" w:hAnsiTheme="minorHAnsi" w:cstheme="minorHAnsi"/>
        <w:sz w:val="22"/>
        <w:szCs w:val="22"/>
      </w:rPr>
      <w:fldChar w:fldCharType="separate"/>
    </w:r>
    <w:r w:rsidR="00120316">
      <w:rPr>
        <w:rStyle w:val="PageNumber"/>
        <w:rFonts w:asciiTheme="minorHAnsi" w:hAnsiTheme="minorHAnsi" w:cstheme="minorHAnsi"/>
        <w:noProof/>
        <w:sz w:val="22"/>
        <w:szCs w:val="22"/>
      </w:rPr>
      <w:t>1</w:t>
    </w:r>
    <w:r w:rsidRPr="008B7879">
      <w:rPr>
        <w:rStyle w:val="PageNumber"/>
        <w:rFonts w:asciiTheme="minorHAnsi" w:hAnsiTheme="minorHAnsi" w:cstheme="minorHAnsi"/>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98EDD6" w14:textId="77777777" w:rsidR="00D933CC" w:rsidRDefault="00D933CC" w:rsidP="00C01D88">
      <w:r>
        <w:separator/>
      </w:r>
    </w:p>
  </w:footnote>
  <w:footnote w:type="continuationSeparator" w:id="0">
    <w:p w14:paraId="4D051B69" w14:textId="77777777" w:rsidR="00D933CC" w:rsidRDefault="00D933CC" w:rsidP="00C01D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2745E" w14:textId="5FC88211" w:rsidR="00956F7C" w:rsidRDefault="00956F7C" w:rsidP="00140363">
    <w:pPr>
      <w:jc w:val="center"/>
      <w:rPr>
        <w:rFonts w:ascii="Arial" w:hAnsi="Arial" w:cs="Arial"/>
        <w:b/>
        <w:sz w:val="28"/>
        <w:szCs w:val="28"/>
      </w:rPr>
    </w:pPr>
    <w:r w:rsidRPr="00727C6A">
      <w:rPr>
        <w:rFonts w:ascii="Arial" w:hAnsi="Arial" w:cs="Arial"/>
        <w:b/>
        <w:sz w:val="28"/>
        <w:szCs w:val="28"/>
      </w:rPr>
      <w:t>Demonstration to Integrate Care for Dual Eligible Individuals</w:t>
    </w:r>
    <w:r>
      <w:rPr>
        <w:rFonts w:ascii="Arial" w:hAnsi="Arial" w:cs="Arial"/>
        <w:b/>
        <w:sz w:val="28"/>
        <w:szCs w:val="28"/>
      </w:rPr>
      <w:t xml:space="preserve"> </w:t>
    </w:r>
  </w:p>
  <w:p w14:paraId="1C37333C" w14:textId="6D7732FD" w:rsidR="00956F7C" w:rsidRPr="00727C6A" w:rsidRDefault="00956F7C" w:rsidP="00140363">
    <w:pPr>
      <w:jc w:val="center"/>
      <w:rPr>
        <w:rFonts w:ascii="Arial" w:hAnsi="Arial" w:cs="Arial"/>
        <w:b/>
        <w:sz w:val="28"/>
        <w:szCs w:val="28"/>
      </w:rPr>
    </w:pPr>
    <w:r>
      <w:rPr>
        <w:rFonts w:ascii="Arial" w:hAnsi="Arial" w:cs="Arial"/>
        <w:b/>
        <w:sz w:val="28"/>
        <w:szCs w:val="28"/>
      </w:rPr>
      <w:t>(One Care</w:t>
    </w:r>
    <w:r w:rsidR="00D548D3">
      <w:rPr>
        <w:rFonts w:ascii="Arial" w:hAnsi="Arial" w:cs="Arial"/>
        <w:b/>
        <w:sz w:val="28"/>
        <w:szCs w:val="28"/>
      </w:rPr>
      <w:t xml:space="preserve">) </w:t>
    </w:r>
    <w:r w:rsidR="00BE7CD4">
      <w:rPr>
        <w:rFonts w:ascii="Arial" w:hAnsi="Arial" w:cs="Arial"/>
        <w:b/>
        <w:sz w:val="28"/>
        <w:szCs w:val="28"/>
      </w:rPr>
      <w:t xml:space="preserve">– </w:t>
    </w:r>
    <w:r w:rsidR="00343A9B">
      <w:rPr>
        <w:rFonts w:ascii="Arial" w:hAnsi="Arial" w:cs="Arial"/>
        <w:b/>
        <w:sz w:val="28"/>
        <w:szCs w:val="28"/>
      </w:rPr>
      <w:t>Tufts</w:t>
    </w:r>
    <w:r w:rsidR="00BE7CD4">
      <w:rPr>
        <w:rFonts w:ascii="Arial" w:hAnsi="Arial" w:cs="Arial"/>
        <w:b/>
        <w:sz w:val="28"/>
        <w:szCs w:val="28"/>
      </w:rPr>
      <w:t xml:space="preserve"> Health Plan</w:t>
    </w:r>
  </w:p>
  <w:p w14:paraId="6D788A31" w14:textId="4CB51118" w:rsidR="003E68A0" w:rsidRPr="00634CAF" w:rsidRDefault="00956F7C" w:rsidP="003E68A0">
    <w:pPr>
      <w:pStyle w:val="Header"/>
      <w:jc w:val="center"/>
      <w:rPr>
        <w:rFonts w:ascii="Arial" w:hAnsi="Arial" w:cs="Arial"/>
        <w:b/>
        <w:sz w:val="28"/>
        <w:szCs w:val="28"/>
      </w:rPr>
    </w:pPr>
    <w:r>
      <w:rPr>
        <w:rFonts w:ascii="Arial" w:hAnsi="Arial" w:cs="Arial"/>
        <w:b/>
        <w:sz w:val="28"/>
        <w:szCs w:val="28"/>
      </w:rPr>
      <w:t xml:space="preserve"> </w:t>
    </w:r>
    <w:r w:rsidR="003E68A0" w:rsidRPr="00634CAF">
      <w:rPr>
        <w:rFonts w:ascii="Arial" w:hAnsi="Arial" w:cs="Arial"/>
        <w:b/>
        <w:sz w:val="28"/>
        <w:szCs w:val="28"/>
      </w:rPr>
      <w:t>CY 201</w:t>
    </w:r>
    <w:r w:rsidR="003E68A0">
      <w:rPr>
        <w:rFonts w:ascii="Arial" w:hAnsi="Arial" w:cs="Arial"/>
        <w:b/>
        <w:sz w:val="28"/>
        <w:szCs w:val="28"/>
      </w:rPr>
      <w:t>5</w:t>
    </w:r>
    <w:r w:rsidR="003E68A0" w:rsidRPr="00634CAF">
      <w:rPr>
        <w:rFonts w:ascii="Arial" w:hAnsi="Arial" w:cs="Arial"/>
        <w:b/>
        <w:sz w:val="28"/>
        <w:szCs w:val="28"/>
      </w:rPr>
      <w:t xml:space="preserve"> </w:t>
    </w:r>
    <w:r w:rsidR="003E68A0">
      <w:rPr>
        <w:rFonts w:ascii="Arial" w:hAnsi="Arial" w:cs="Arial"/>
        <w:b/>
        <w:sz w:val="28"/>
        <w:szCs w:val="28"/>
      </w:rPr>
      <w:t>Updated</w:t>
    </w:r>
    <w:r w:rsidR="006C351E">
      <w:rPr>
        <w:rFonts w:ascii="Arial" w:hAnsi="Arial" w:cs="Arial"/>
        <w:b/>
        <w:sz w:val="28"/>
        <w:szCs w:val="28"/>
      </w:rPr>
      <w:t xml:space="preserve"> Final</w:t>
    </w:r>
    <w:r w:rsidR="003E68A0">
      <w:rPr>
        <w:rFonts w:ascii="Arial" w:hAnsi="Arial" w:cs="Arial"/>
        <w:b/>
        <w:sz w:val="28"/>
        <w:szCs w:val="28"/>
      </w:rPr>
      <w:t xml:space="preserve"> </w:t>
    </w:r>
    <w:r w:rsidR="003E68A0" w:rsidRPr="00634CAF">
      <w:rPr>
        <w:rFonts w:ascii="Arial" w:hAnsi="Arial" w:cs="Arial"/>
        <w:b/>
        <w:sz w:val="28"/>
        <w:szCs w:val="28"/>
      </w:rPr>
      <w:t>Rate Report</w:t>
    </w:r>
  </w:p>
  <w:p w14:paraId="224A83ED" w14:textId="445A6E50" w:rsidR="00956F7C" w:rsidRDefault="003E68A0" w:rsidP="003E68A0">
    <w:pPr>
      <w:pStyle w:val="Header"/>
      <w:jc w:val="center"/>
    </w:pPr>
    <w:r>
      <w:rPr>
        <w:rFonts w:ascii="Arial" w:hAnsi="Arial" w:cs="Arial"/>
        <w:b/>
        <w:sz w:val="28"/>
        <w:szCs w:val="28"/>
      </w:rPr>
      <w:t>January 14, 2016</w:t>
    </w:r>
  </w:p>
  <w:p w14:paraId="1FB3EC19" w14:textId="77777777" w:rsidR="00956F7C" w:rsidRDefault="00956F7C" w:rsidP="00C26326">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89117" w14:textId="0EE0AD16" w:rsidR="00956F7C" w:rsidRPr="00727C6A" w:rsidRDefault="00956F7C" w:rsidP="005D02C0">
    <w:pPr>
      <w:jc w:val="center"/>
      <w:rPr>
        <w:rFonts w:ascii="Arial" w:hAnsi="Arial" w:cs="Arial"/>
        <w:b/>
        <w:sz w:val="28"/>
        <w:szCs w:val="28"/>
      </w:rPr>
    </w:pPr>
    <w:r w:rsidRPr="00727C6A">
      <w:rPr>
        <w:rFonts w:ascii="Arial" w:hAnsi="Arial" w:cs="Arial"/>
        <w:b/>
        <w:sz w:val="28"/>
        <w:szCs w:val="28"/>
      </w:rPr>
      <w:t>Demonstration to Integrate Care for Dual Eligible Individuals</w:t>
    </w:r>
  </w:p>
  <w:p w14:paraId="77C9E85B" w14:textId="3189333D" w:rsidR="00BA284F" w:rsidRDefault="00956F7C" w:rsidP="00BA284F">
    <w:pPr>
      <w:pStyle w:val="Header"/>
      <w:jc w:val="center"/>
      <w:rPr>
        <w:rFonts w:ascii="Arial" w:hAnsi="Arial" w:cs="Arial"/>
        <w:b/>
        <w:sz w:val="28"/>
        <w:szCs w:val="28"/>
      </w:rPr>
    </w:pPr>
    <w:r>
      <w:rPr>
        <w:rFonts w:ascii="Arial" w:hAnsi="Arial" w:cs="Arial"/>
        <w:b/>
        <w:sz w:val="28"/>
        <w:szCs w:val="28"/>
      </w:rPr>
      <w:t xml:space="preserve"> </w:t>
    </w:r>
    <w:r w:rsidR="00BE7CD4">
      <w:rPr>
        <w:rFonts w:ascii="Arial" w:hAnsi="Arial" w:cs="Arial"/>
        <w:b/>
        <w:sz w:val="28"/>
        <w:szCs w:val="28"/>
      </w:rPr>
      <w:t>(</w:t>
    </w:r>
    <w:r w:rsidR="00BA284F">
      <w:rPr>
        <w:rFonts w:ascii="Arial" w:hAnsi="Arial" w:cs="Arial"/>
        <w:b/>
        <w:sz w:val="28"/>
        <w:szCs w:val="28"/>
      </w:rPr>
      <w:t>One Care</w:t>
    </w:r>
    <w:r w:rsidR="00BE7CD4">
      <w:rPr>
        <w:rFonts w:ascii="Arial" w:hAnsi="Arial" w:cs="Arial"/>
        <w:b/>
        <w:sz w:val="28"/>
        <w:szCs w:val="28"/>
      </w:rPr>
      <w:t>)</w:t>
    </w:r>
    <w:r w:rsidR="00BA284F">
      <w:rPr>
        <w:rFonts w:ascii="Arial" w:hAnsi="Arial" w:cs="Arial"/>
        <w:b/>
        <w:sz w:val="28"/>
        <w:szCs w:val="28"/>
      </w:rPr>
      <w:t xml:space="preserve"> </w:t>
    </w:r>
    <w:r w:rsidR="00BE7CD4">
      <w:rPr>
        <w:rFonts w:ascii="Arial" w:hAnsi="Arial" w:cs="Arial"/>
        <w:b/>
        <w:sz w:val="28"/>
        <w:szCs w:val="28"/>
      </w:rPr>
      <w:t xml:space="preserve">– </w:t>
    </w:r>
    <w:r w:rsidR="00343A9B">
      <w:rPr>
        <w:rFonts w:ascii="Arial" w:hAnsi="Arial" w:cs="Arial"/>
        <w:b/>
        <w:sz w:val="28"/>
        <w:szCs w:val="28"/>
      </w:rPr>
      <w:t>Tufts</w:t>
    </w:r>
    <w:r w:rsidR="00BE7CD4">
      <w:rPr>
        <w:rFonts w:ascii="Arial" w:hAnsi="Arial" w:cs="Arial"/>
        <w:b/>
        <w:sz w:val="28"/>
        <w:szCs w:val="28"/>
      </w:rPr>
      <w:t xml:space="preserve"> Health Plan</w:t>
    </w:r>
  </w:p>
  <w:p w14:paraId="61DAEFE1" w14:textId="2404283C" w:rsidR="003E68A0" w:rsidRPr="00634CAF" w:rsidRDefault="003E68A0" w:rsidP="003E68A0">
    <w:pPr>
      <w:pStyle w:val="Header"/>
      <w:jc w:val="center"/>
      <w:rPr>
        <w:rFonts w:ascii="Arial" w:hAnsi="Arial" w:cs="Arial"/>
        <w:b/>
        <w:sz w:val="28"/>
        <w:szCs w:val="28"/>
      </w:rPr>
    </w:pPr>
    <w:r w:rsidRPr="00634CAF">
      <w:rPr>
        <w:rFonts w:ascii="Arial" w:hAnsi="Arial" w:cs="Arial"/>
        <w:b/>
        <w:sz w:val="28"/>
        <w:szCs w:val="28"/>
      </w:rPr>
      <w:t>CY 201</w:t>
    </w:r>
    <w:r>
      <w:rPr>
        <w:rFonts w:ascii="Arial" w:hAnsi="Arial" w:cs="Arial"/>
        <w:b/>
        <w:sz w:val="28"/>
        <w:szCs w:val="28"/>
      </w:rPr>
      <w:t>5</w:t>
    </w:r>
    <w:r w:rsidRPr="00634CAF">
      <w:rPr>
        <w:rFonts w:ascii="Arial" w:hAnsi="Arial" w:cs="Arial"/>
        <w:b/>
        <w:sz w:val="28"/>
        <w:szCs w:val="28"/>
      </w:rPr>
      <w:t xml:space="preserve"> </w:t>
    </w:r>
    <w:r w:rsidR="006C351E">
      <w:rPr>
        <w:rFonts w:ascii="Arial" w:hAnsi="Arial" w:cs="Arial"/>
        <w:b/>
        <w:sz w:val="28"/>
        <w:szCs w:val="28"/>
      </w:rPr>
      <w:t xml:space="preserve">Updated </w:t>
    </w:r>
    <w:r>
      <w:rPr>
        <w:rFonts w:ascii="Arial" w:hAnsi="Arial" w:cs="Arial"/>
        <w:b/>
        <w:sz w:val="28"/>
        <w:szCs w:val="28"/>
      </w:rPr>
      <w:t xml:space="preserve">Final </w:t>
    </w:r>
    <w:r w:rsidRPr="00634CAF">
      <w:rPr>
        <w:rFonts w:ascii="Arial" w:hAnsi="Arial" w:cs="Arial"/>
        <w:b/>
        <w:sz w:val="28"/>
        <w:szCs w:val="28"/>
      </w:rPr>
      <w:t>Rate Report</w:t>
    </w:r>
  </w:p>
  <w:p w14:paraId="4B0FA03E" w14:textId="27316328" w:rsidR="00956F7C" w:rsidRDefault="003E68A0" w:rsidP="003E68A0">
    <w:pPr>
      <w:pStyle w:val="Header"/>
      <w:jc w:val="center"/>
      <w:rPr>
        <w:rFonts w:ascii="Arial" w:hAnsi="Arial" w:cs="Arial"/>
        <w:b/>
        <w:sz w:val="28"/>
        <w:szCs w:val="28"/>
      </w:rPr>
    </w:pPr>
    <w:r>
      <w:rPr>
        <w:rFonts w:ascii="Arial" w:hAnsi="Arial" w:cs="Arial"/>
        <w:b/>
        <w:sz w:val="28"/>
        <w:szCs w:val="28"/>
      </w:rPr>
      <w:t>January 14, 2016</w:t>
    </w:r>
  </w:p>
  <w:p w14:paraId="31834317" w14:textId="77777777" w:rsidR="00956F7C" w:rsidRDefault="00956F7C" w:rsidP="0053665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B8620A16"/>
    <w:lvl w:ilvl="0">
      <w:start w:val="1"/>
      <w:numFmt w:val="decimal"/>
      <w:lvlText w:val="%1."/>
      <w:lvlJc w:val="left"/>
      <w:pPr>
        <w:tabs>
          <w:tab w:val="num" w:pos="720"/>
        </w:tabs>
        <w:ind w:left="720" w:hanging="360"/>
      </w:pPr>
    </w:lvl>
  </w:abstractNum>
  <w:abstractNum w:abstractNumId="1">
    <w:nsid w:val="153F4E61"/>
    <w:multiLevelType w:val="multilevel"/>
    <w:tmpl w:val="C6D426BA"/>
    <w:name w:val="BulletLis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2">
    <w:nsid w:val="21945B64"/>
    <w:multiLevelType w:val="hybridMultilevel"/>
    <w:tmpl w:val="C7407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5FA16F4"/>
    <w:multiLevelType w:val="hybridMultilevel"/>
    <w:tmpl w:val="6DE2E0F6"/>
    <w:lvl w:ilvl="0" w:tplc="3C46AD5C">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D3047ED"/>
    <w:multiLevelType w:val="hybridMultilevel"/>
    <w:tmpl w:val="4B34619C"/>
    <w:lvl w:ilvl="0" w:tplc="E02C7830">
      <w:start w:val="1"/>
      <w:numFmt w:val="upp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3D3091"/>
    <w:multiLevelType w:val="hybridMultilevel"/>
    <w:tmpl w:val="CBD069AA"/>
    <w:lvl w:ilvl="0" w:tplc="3C46AD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61913DC"/>
    <w:multiLevelType w:val="hybridMultilevel"/>
    <w:tmpl w:val="0A7A3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605E78"/>
    <w:multiLevelType w:val="hybridMultilevel"/>
    <w:tmpl w:val="38EE7B8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3C46AD5C">
      <w:start w:val="1"/>
      <w:numFmt w:val="bullet"/>
      <w:lvlText w:val=""/>
      <w:lvlJc w:val="left"/>
      <w:pPr>
        <w:tabs>
          <w:tab w:val="num" w:pos="720"/>
        </w:tabs>
        <w:ind w:left="720" w:hanging="360"/>
      </w:pPr>
      <w:rPr>
        <w:rFonts w:ascii="Symbol" w:hAnsi="Symbol"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22A0216"/>
    <w:multiLevelType w:val="multilevel"/>
    <w:tmpl w:val="FF06163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
      <w:lvlJc w:val="left"/>
      <w:pPr>
        <w:tabs>
          <w:tab w:val="num" w:pos="360"/>
        </w:tabs>
        <w:ind w:left="360" w:hanging="360"/>
      </w:pPr>
      <w:rPr>
        <w:rFonts w:ascii="Arial" w:hAnsi="Arial" w:cs="Arial"/>
      </w:rPr>
    </w:lvl>
    <w:lvl w:ilvl="5">
      <w:start w:val="1"/>
      <w:numFmt w:val="lowerRoman"/>
      <w:lvlText w:val="─"/>
      <w:lvlJc w:val="left"/>
      <w:pPr>
        <w:tabs>
          <w:tab w:val="num" w:pos="720"/>
        </w:tabs>
        <w:ind w:left="720" w:hanging="360"/>
      </w:pPr>
      <w:rPr>
        <w:rFonts w:ascii="Arial" w:hAnsi="Arial" w:cs="Arial"/>
      </w:rPr>
    </w:lvl>
    <w:lvl w:ilvl="6">
      <w:start w:val="1"/>
      <w:numFmt w:val="decimal"/>
      <w:lvlText w:val="−"/>
      <w:lvlJc w:val="left"/>
      <w:pPr>
        <w:tabs>
          <w:tab w:val="num" w:pos="1080"/>
        </w:tabs>
        <w:ind w:left="1080" w:hanging="360"/>
      </w:pPr>
      <w:rPr>
        <w:rFonts w:ascii="Arial" w:hAnsi="Arial" w:cs="Arial"/>
      </w:rPr>
    </w:lvl>
    <w:lvl w:ilvl="7">
      <w:start w:val="1"/>
      <w:numFmt w:val="lowerLetter"/>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9">
    <w:nsid w:val="427A7364"/>
    <w:multiLevelType w:val="hybridMultilevel"/>
    <w:tmpl w:val="43023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150DCD"/>
    <w:multiLevelType w:val="hybridMultilevel"/>
    <w:tmpl w:val="64C2BAF2"/>
    <w:lvl w:ilvl="0" w:tplc="E02C7830">
      <w:start w:val="1"/>
      <w:numFmt w:val="upperRoman"/>
      <w:lvlText w:val="%1."/>
      <w:lvlJc w:val="left"/>
      <w:pPr>
        <w:tabs>
          <w:tab w:val="num" w:pos="7830"/>
        </w:tabs>
        <w:ind w:left="7830" w:hanging="720"/>
      </w:pPr>
      <w:rPr>
        <w:rFonts w:cs="Times New Roman" w:hint="default"/>
      </w:rPr>
    </w:lvl>
    <w:lvl w:ilvl="1" w:tplc="04090019" w:tentative="1">
      <w:start w:val="1"/>
      <w:numFmt w:val="lowerLetter"/>
      <w:lvlText w:val="%2."/>
      <w:lvlJc w:val="left"/>
      <w:pPr>
        <w:tabs>
          <w:tab w:val="num" w:pos="5490"/>
        </w:tabs>
        <w:ind w:left="5490" w:hanging="360"/>
      </w:pPr>
      <w:rPr>
        <w:rFonts w:cs="Times New Roman"/>
      </w:rPr>
    </w:lvl>
    <w:lvl w:ilvl="2" w:tplc="0409001B" w:tentative="1">
      <w:start w:val="1"/>
      <w:numFmt w:val="lowerRoman"/>
      <w:lvlText w:val="%3."/>
      <w:lvlJc w:val="right"/>
      <w:pPr>
        <w:tabs>
          <w:tab w:val="num" w:pos="6210"/>
        </w:tabs>
        <w:ind w:left="6210" w:hanging="180"/>
      </w:pPr>
      <w:rPr>
        <w:rFonts w:cs="Times New Roman"/>
      </w:rPr>
    </w:lvl>
    <w:lvl w:ilvl="3" w:tplc="0409000F" w:tentative="1">
      <w:start w:val="1"/>
      <w:numFmt w:val="decimal"/>
      <w:lvlText w:val="%4."/>
      <w:lvlJc w:val="left"/>
      <w:pPr>
        <w:tabs>
          <w:tab w:val="num" w:pos="6930"/>
        </w:tabs>
        <w:ind w:left="6930" w:hanging="360"/>
      </w:pPr>
      <w:rPr>
        <w:rFonts w:cs="Times New Roman"/>
      </w:rPr>
    </w:lvl>
    <w:lvl w:ilvl="4" w:tplc="04090019" w:tentative="1">
      <w:start w:val="1"/>
      <w:numFmt w:val="lowerLetter"/>
      <w:lvlText w:val="%5."/>
      <w:lvlJc w:val="left"/>
      <w:pPr>
        <w:tabs>
          <w:tab w:val="num" w:pos="7650"/>
        </w:tabs>
        <w:ind w:left="7650" w:hanging="360"/>
      </w:pPr>
      <w:rPr>
        <w:rFonts w:cs="Times New Roman"/>
      </w:rPr>
    </w:lvl>
    <w:lvl w:ilvl="5" w:tplc="0409001B" w:tentative="1">
      <w:start w:val="1"/>
      <w:numFmt w:val="lowerRoman"/>
      <w:lvlText w:val="%6."/>
      <w:lvlJc w:val="right"/>
      <w:pPr>
        <w:tabs>
          <w:tab w:val="num" w:pos="8370"/>
        </w:tabs>
        <w:ind w:left="8370" w:hanging="180"/>
      </w:pPr>
      <w:rPr>
        <w:rFonts w:cs="Times New Roman"/>
      </w:rPr>
    </w:lvl>
    <w:lvl w:ilvl="6" w:tplc="0409000F" w:tentative="1">
      <w:start w:val="1"/>
      <w:numFmt w:val="decimal"/>
      <w:lvlText w:val="%7."/>
      <w:lvlJc w:val="left"/>
      <w:pPr>
        <w:tabs>
          <w:tab w:val="num" w:pos="9090"/>
        </w:tabs>
        <w:ind w:left="9090" w:hanging="360"/>
      </w:pPr>
      <w:rPr>
        <w:rFonts w:cs="Times New Roman"/>
      </w:rPr>
    </w:lvl>
    <w:lvl w:ilvl="7" w:tplc="04090019" w:tentative="1">
      <w:start w:val="1"/>
      <w:numFmt w:val="lowerLetter"/>
      <w:lvlText w:val="%8."/>
      <w:lvlJc w:val="left"/>
      <w:pPr>
        <w:tabs>
          <w:tab w:val="num" w:pos="9810"/>
        </w:tabs>
        <w:ind w:left="9810" w:hanging="360"/>
      </w:pPr>
      <w:rPr>
        <w:rFonts w:cs="Times New Roman"/>
      </w:rPr>
    </w:lvl>
    <w:lvl w:ilvl="8" w:tplc="0409001B" w:tentative="1">
      <w:start w:val="1"/>
      <w:numFmt w:val="lowerRoman"/>
      <w:lvlText w:val="%9."/>
      <w:lvlJc w:val="right"/>
      <w:pPr>
        <w:tabs>
          <w:tab w:val="num" w:pos="10530"/>
        </w:tabs>
        <w:ind w:left="10530" w:hanging="180"/>
      </w:pPr>
      <w:rPr>
        <w:rFonts w:cs="Times New Roman"/>
      </w:rPr>
    </w:lvl>
  </w:abstractNum>
  <w:abstractNum w:abstractNumId="11">
    <w:nsid w:val="48A06AAF"/>
    <w:multiLevelType w:val="hybridMultilevel"/>
    <w:tmpl w:val="121E4876"/>
    <w:lvl w:ilvl="0" w:tplc="D83E5B50">
      <w:start w:val="6"/>
      <w:numFmt w:val="upperRoman"/>
      <w:lvlText w:val="%1."/>
      <w:lvlJc w:val="right"/>
      <w:pPr>
        <w:ind w:left="74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8F56B3"/>
    <w:multiLevelType w:val="multilevel"/>
    <w:tmpl w:val="E44490DC"/>
    <w:name w:val="TableBullet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ind w:left="3240" w:hanging="360"/>
      </w:pPr>
    </w:lvl>
  </w:abstractNum>
  <w:abstractNum w:abstractNumId="13">
    <w:nsid w:val="50DF3488"/>
    <w:multiLevelType w:val="multilevel"/>
    <w:tmpl w:val="758E389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
      <w:lvlJc w:val="left"/>
      <w:pPr>
        <w:tabs>
          <w:tab w:val="num" w:pos="360"/>
        </w:tabs>
        <w:ind w:left="360" w:hanging="360"/>
      </w:pPr>
      <w:rPr>
        <w:rFonts w:ascii="Arial" w:hAnsi="Arial" w:cs="Arial"/>
      </w:rPr>
    </w:lvl>
    <w:lvl w:ilvl="5">
      <w:start w:val="1"/>
      <w:numFmt w:val="lowerRoman"/>
      <w:lvlText w:val="─"/>
      <w:lvlJc w:val="left"/>
      <w:pPr>
        <w:tabs>
          <w:tab w:val="num" w:pos="720"/>
        </w:tabs>
        <w:ind w:left="720" w:hanging="360"/>
      </w:pPr>
      <w:rPr>
        <w:rFonts w:ascii="Arial" w:hAnsi="Arial" w:cs="Arial"/>
      </w:rPr>
    </w:lvl>
    <w:lvl w:ilvl="6">
      <w:start w:val="1"/>
      <w:numFmt w:val="decimal"/>
      <w:lvlText w:val="−"/>
      <w:lvlJc w:val="left"/>
      <w:pPr>
        <w:tabs>
          <w:tab w:val="num" w:pos="1080"/>
        </w:tabs>
        <w:ind w:left="1080" w:hanging="360"/>
      </w:pPr>
      <w:rPr>
        <w:rFonts w:ascii="Arial" w:hAnsi="Arial" w:cs="Arial"/>
      </w:rPr>
    </w:lvl>
    <w:lvl w:ilvl="7">
      <w:start w:val="1"/>
      <w:numFmt w:val="lowerLetter"/>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14">
    <w:nsid w:val="51365E3D"/>
    <w:multiLevelType w:val="hybridMultilevel"/>
    <w:tmpl w:val="9A80B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7F1B7E"/>
    <w:multiLevelType w:val="hybridMultilevel"/>
    <w:tmpl w:val="64C2BAF2"/>
    <w:lvl w:ilvl="0" w:tplc="E02C7830">
      <w:start w:val="1"/>
      <w:numFmt w:val="upperRoman"/>
      <w:lvlText w:val="%1."/>
      <w:lvlJc w:val="left"/>
      <w:pPr>
        <w:tabs>
          <w:tab w:val="num" w:pos="7830"/>
        </w:tabs>
        <w:ind w:left="7830" w:hanging="720"/>
      </w:pPr>
      <w:rPr>
        <w:rFonts w:cs="Times New Roman" w:hint="default"/>
      </w:rPr>
    </w:lvl>
    <w:lvl w:ilvl="1" w:tplc="04090019" w:tentative="1">
      <w:start w:val="1"/>
      <w:numFmt w:val="lowerLetter"/>
      <w:lvlText w:val="%2."/>
      <w:lvlJc w:val="left"/>
      <w:pPr>
        <w:tabs>
          <w:tab w:val="num" w:pos="5490"/>
        </w:tabs>
        <w:ind w:left="5490" w:hanging="360"/>
      </w:pPr>
      <w:rPr>
        <w:rFonts w:cs="Times New Roman"/>
      </w:rPr>
    </w:lvl>
    <w:lvl w:ilvl="2" w:tplc="0409001B" w:tentative="1">
      <w:start w:val="1"/>
      <w:numFmt w:val="lowerRoman"/>
      <w:lvlText w:val="%3."/>
      <w:lvlJc w:val="right"/>
      <w:pPr>
        <w:tabs>
          <w:tab w:val="num" w:pos="6210"/>
        </w:tabs>
        <w:ind w:left="6210" w:hanging="180"/>
      </w:pPr>
      <w:rPr>
        <w:rFonts w:cs="Times New Roman"/>
      </w:rPr>
    </w:lvl>
    <w:lvl w:ilvl="3" w:tplc="0409000F" w:tentative="1">
      <w:start w:val="1"/>
      <w:numFmt w:val="decimal"/>
      <w:lvlText w:val="%4."/>
      <w:lvlJc w:val="left"/>
      <w:pPr>
        <w:tabs>
          <w:tab w:val="num" w:pos="6930"/>
        </w:tabs>
        <w:ind w:left="6930" w:hanging="360"/>
      </w:pPr>
      <w:rPr>
        <w:rFonts w:cs="Times New Roman"/>
      </w:rPr>
    </w:lvl>
    <w:lvl w:ilvl="4" w:tplc="04090019" w:tentative="1">
      <w:start w:val="1"/>
      <w:numFmt w:val="lowerLetter"/>
      <w:lvlText w:val="%5."/>
      <w:lvlJc w:val="left"/>
      <w:pPr>
        <w:tabs>
          <w:tab w:val="num" w:pos="7650"/>
        </w:tabs>
        <w:ind w:left="7650" w:hanging="360"/>
      </w:pPr>
      <w:rPr>
        <w:rFonts w:cs="Times New Roman"/>
      </w:rPr>
    </w:lvl>
    <w:lvl w:ilvl="5" w:tplc="0409001B" w:tentative="1">
      <w:start w:val="1"/>
      <w:numFmt w:val="lowerRoman"/>
      <w:lvlText w:val="%6."/>
      <w:lvlJc w:val="right"/>
      <w:pPr>
        <w:tabs>
          <w:tab w:val="num" w:pos="8370"/>
        </w:tabs>
        <w:ind w:left="8370" w:hanging="180"/>
      </w:pPr>
      <w:rPr>
        <w:rFonts w:cs="Times New Roman"/>
      </w:rPr>
    </w:lvl>
    <w:lvl w:ilvl="6" w:tplc="0409000F" w:tentative="1">
      <w:start w:val="1"/>
      <w:numFmt w:val="decimal"/>
      <w:lvlText w:val="%7."/>
      <w:lvlJc w:val="left"/>
      <w:pPr>
        <w:tabs>
          <w:tab w:val="num" w:pos="9090"/>
        </w:tabs>
        <w:ind w:left="9090" w:hanging="360"/>
      </w:pPr>
      <w:rPr>
        <w:rFonts w:cs="Times New Roman"/>
      </w:rPr>
    </w:lvl>
    <w:lvl w:ilvl="7" w:tplc="04090019" w:tentative="1">
      <w:start w:val="1"/>
      <w:numFmt w:val="lowerLetter"/>
      <w:lvlText w:val="%8."/>
      <w:lvlJc w:val="left"/>
      <w:pPr>
        <w:tabs>
          <w:tab w:val="num" w:pos="9810"/>
        </w:tabs>
        <w:ind w:left="9810" w:hanging="360"/>
      </w:pPr>
      <w:rPr>
        <w:rFonts w:cs="Times New Roman"/>
      </w:rPr>
    </w:lvl>
    <w:lvl w:ilvl="8" w:tplc="0409001B" w:tentative="1">
      <w:start w:val="1"/>
      <w:numFmt w:val="lowerRoman"/>
      <w:lvlText w:val="%9."/>
      <w:lvlJc w:val="right"/>
      <w:pPr>
        <w:tabs>
          <w:tab w:val="num" w:pos="10530"/>
        </w:tabs>
        <w:ind w:left="10530" w:hanging="180"/>
      </w:pPr>
      <w:rPr>
        <w:rFonts w:cs="Times New Roman"/>
      </w:rPr>
    </w:lvl>
  </w:abstractNum>
  <w:abstractNum w:abstractNumId="16">
    <w:nsid w:val="53301849"/>
    <w:multiLevelType w:val="hybridMultilevel"/>
    <w:tmpl w:val="AA4467D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EB1AD8"/>
    <w:multiLevelType w:val="hybridMultilevel"/>
    <w:tmpl w:val="EEC0F7D4"/>
    <w:lvl w:ilvl="0" w:tplc="3C46AD5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70BF1F74"/>
    <w:multiLevelType w:val="hybridMultilevel"/>
    <w:tmpl w:val="811CAC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81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2B7C52"/>
    <w:multiLevelType w:val="hybridMultilevel"/>
    <w:tmpl w:val="6F9660B2"/>
    <w:lvl w:ilvl="0" w:tplc="3C46AD5C">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78B207CF"/>
    <w:multiLevelType w:val="hybridMultilevel"/>
    <w:tmpl w:val="A5A63E64"/>
    <w:lvl w:ilvl="0" w:tplc="EF02C220">
      <w:start w:val="1"/>
      <w:numFmt w:val="bullet"/>
      <w:lvlText w:val=""/>
      <w:lvlJc w:val="left"/>
      <w:pPr>
        <w:tabs>
          <w:tab w:val="num" w:pos="1080"/>
        </w:tabs>
        <w:ind w:left="1080" w:hanging="360"/>
      </w:pPr>
      <w:rPr>
        <w:rFonts w:ascii="Symbol" w:hAnsi="Symbol" w:hint="default"/>
      </w:rPr>
    </w:lvl>
    <w:lvl w:ilvl="1" w:tplc="BCDE20AE">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78F75B91"/>
    <w:multiLevelType w:val="multilevel"/>
    <w:tmpl w:val="820A3090"/>
    <w:name w:val="HeadingList"/>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5"/>
  </w:num>
  <w:num w:numId="2">
    <w:abstractNumId w:val="14"/>
  </w:num>
  <w:num w:numId="3">
    <w:abstractNumId w:val="9"/>
  </w:num>
  <w:num w:numId="4">
    <w:abstractNumId w:val="18"/>
  </w:num>
  <w:num w:numId="5">
    <w:abstractNumId w:val="2"/>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num>
  <w:num w:numId="10">
    <w:abstractNumId w:val="19"/>
  </w:num>
  <w:num w:numId="11">
    <w:abstractNumId w:val="20"/>
  </w:num>
  <w:num w:numId="12">
    <w:abstractNumId w:val="17"/>
  </w:num>
  <w:num w:numId="13">
    <w:abstractNumId w:val="10"/>
  </w:num>
  <w:num w:numId="14">
    <w:abstractNumId w:val="4"/>
  </w:num>
  <w:num w:numId="15">
    <w:abstractNumId w:val="16"/>
  </w:num>
  <w:num w:numId="16">
    <w:abstractNumId w:val="11"/>
  </w:num>
  <w:num w:numId="17">
    <w:abstractNumId w:val="21"/>
  </w:num>
  <w:num w:numId="18">
    <w:abstractNumId w:val="7"/>
  </w:num>
  <w:num w:numId="19">
    <w:abstractNumId w:val="8"/>
  </w:num>
  <w:num w:numId="20">
    <w:abstractNumId w:val="12"/>
  </w:num>
  <w:num w:numId="21">
    <w:abstractNumId w:val="13"/>
  </w:num>
  <w:num w:numId="2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nnifer Baron">
    <w15:presenceInfo w15:providerId="None" w15:userId="Jennifer Baron"/>
  </w15:person>
  <w15:person w15:author="Jessica May">
    <w15:presenceInfo w15:providerId="AD" w15:userId="S-1-5-21-4095628063-3556742122-3606576086-751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D88"/>
    <w:rsid w:val="000066B0"/>
    <w:rsid w:val="00012F82"/>
    <w:rsid w:val="000612A0"/>
    <w:rsid w:val="00075B0F"/>
    <w:rsid w:val="00076488"/>
    <w:rsid w:val="000A4A2A"/>
    <w:rsid w:val="000A74E7"/>
    <w:rsid w:val="000B31CF"/>
    <w:rsid w:val="000F0E5F"/>
    <w:rsid w:val="000F2B17"/>
    <w:rsid w:val="00102EB7"/>
    <w:rsid w:val="00105A2C"/>
    <w:rsid w:val="0011224B"/>
    <w:rsid w:val="00120316"/>
    <w:rsid w:val="00140363"/>
    <w:rsid w:val="001406EE"/>
    <w:rsid w:val="00141C51"/>
    <w:rsid w:val="001946C0"/>
    <w:rsid w:val="001A2DF9"/>
    <w:rsid w:val="001A619E"/>
    <w:rsid w:val="001B1CDE"/>
    <w:rsid w:val="001C24A0"/>
    <w:rsid w:val="001C5D72"/>
    <w:rsid w:val="001D4718"/>
    <w:rsid w:val="001E2366"/>
    <w:rsid w:val="002075A7"/>
    <w:rsid w:val="0021035D"/>
    <w:rsid w:val="00212598"/>
    <w:rsid w:val="00212F2A"/>
    <w:rsid w:val="0023174F"/>
    <w:rsid w:val="0023251D"/>
    <w:rsid w:val="00237FE9"/>
    <w:rsid w:val="00247629"/>
    <w:rsid w:val="00253331"/>
    <w:rsid w:val="0028302E"/>
    <w:rsid w:val="00283A75"/>
    <w:rsid w:val="002A79D2"/>
    <w:rsid w:val="002B5B35"/>
    <w:rsid w:val="002D4365"/>
    <w:rsid w:val="002E2FD6"/>
    <w:rsid w:val="002E475C"/>
    <w:rsid w:val="002E4F81"/>
    <w:rsid w:val="003013E0"/>
    <w:rsid w:val="00307A5D"/>
    <w:rsid w:val="00313F8C"/>
    <w:rsid w:val="00316F96"/>
    <w:rsid w:val="0034313B"/>
    <w:rsid w:val="00343A9B"/>
    <w:rsid w:val="00363E08"/>
    <w:rsid w:val="0036794A"/>
    <w:rsid w:val="00373FF4"/>
    <w:rsid w:val="003774BE"/>
    <w:rsid w:val="00387FDC"/>
    <w:rsid w:val="00397617"/>
    <w:rsid w:val="003A70D0"/>
    <w:rsid w:val="003B0329"/>
    <w:rsid w:val="003B1351"/>
    <w:rsid w:val="003B487B"/>
    <w:rsid w:val="003C322B"/>
    <w:rsid w:val="003E68A0"/>
    <w:rsid w:val="003E6E67"/>
    <w:rsid w:val="003F2879"/>
    <w:rsid w:val="003F28CE"/>
    <w:rsid w:val="00400B87"/>
    <w:rsid w:val="00415AA8"/>
    <w:rsid w:val="00426533"/>
    <w:rsid w:val="00463157"/>
    <w:rsid w:val="004833C3"/>
    <w:rsid w:val="004B785A"/>
    <w:rsid w:val="004D6FAF"/>
    <w:rsid w:val="004E06A0"/>
    <w:rsid w:val="004E1E18"/>
    <w:rsid w:val="004F2033"/>
    <w:rsid w:val="005102B0"/>
    <w:rsid w:val="00524025"/>
    <w:rsid w:val="00530496"/>
    <w:rsid w:val="00536656"/>
    <w:rsid w:val="005437D0"/>
    <w:rsid w:val="00552616"/>
    <w:rsid w:val="00557273"/>
    <w:rsid w:val="00582B97"/>
    <w:rsid w:val="00585B0A"/>
    <w:rsid w:val="005A318B"/>
    <w:rsid w:val="005B3A20"/>
    <w:rsid w:val="005B5452"/>
    <w:rsid w:val="005C335C"/>
    <w:rsid w:val="005C7513"/>
    <w:rsid w:val="005D02C0"/>
    <w:rsid w:val="005E4048"/>
    <w:rsid w:val="005F1363"/>
    <w:rsid w:val="005F465A"/>
    <w:rsid w:val="006215D6"/>
    <w:rsid w:val="00627164"/>
    <w:rsid w:val="0063226D"/>
    <w:rsid w:val="00634B5B"/>
    <w:rsid w:val="00634CAF"/>
    <w:rsid w:val="00643FCE"/>
    <w:rsid w:val="00651C5D"/>
    <w:rsid w:val="006952CA"/>
    <w:rsid w:val="006A4483"/>
    <w:rsid w:val="006C1798"/>
    <w:rsid w:val="006C20ED"/>
    <w:rsid w:val="006C351E"/>
    <w:rsid w:val="006C4911"/>
    <w:rsid w:val="006D0FD5"/>
    <w:rsid w:val="006D4A84"/>
    <w:rsid w:val="006E189C"/>
    <w:rsid w:val="007119CC"/>
    <w:rsid w:val="00727C6A"/>
    <w:rsid w:val="007346F6"/>
    <w:rsid w:val="00751DB7"/>
    <w:rsid w:val="00755603"/>
    <w:rsid w:val="00756980"/>
    <w:rsid w:val="007572A2"/>
    <w:rsid w:val="0076056B"/>
    <w:rsid w:val="0076582E"/>
    <w:rsid w:val="007B30A9"/>
    <w:rsid w:val="007C356C"/>
    <w:rsid w:val="007D5306"/>
    <w:rsid w:val="007D5A6C"/>
    <w:rsid w:val="007E0576"/>
    <w:rsid w:val="007F094B"/>
    <w:rsid w:val="007F5F51"/>
    <w:rsid w:val="0081240B"/>
    <w:rsid w:val="00812E46"/>
    <w:rsid w:val="00820011"/>
    <w:rsid w:val="008277C1"/>
    <w:rsid w:val="008314FB"/>
    <w:rsid w:val="00847899"/>
    <w:rsid w:val="00856B6D"/>
    <w:rsid w:val="00861D50"/>
    <w:rsid w:val="0086316F"/>
    <w:rsid w:val="00867BAD"/>
    <w:rsid w:val="00887060"/>
    <w:rsid w:val="008900E2"/>
    <w:rsid w:val="00890FA3"/>
    <w:rsid w:val="008912E7"/>
    <w:rsid w:val="00894F6B"/>
    <w:rsid w:val="008A5A6C"/>
    <w:rsid w:val="008B2A0F"/>
    <w:rsid w:val="008B7879"/>
    <w:rsid w:val="008C0134"/>
    <w:rsid w:val="008D113C"/>
    <w:rsid w:val="008D2248"/>
    <w:rsid w:val="008D3BF4"/>
    <w:rsid w:val="008E5006"/>
    <w:rsid w:val="008E78FC"/>
    <w:rsid w:val="008F2C09"/>
    <w:rsid w:val="00905788"/>
    <w:rsid w:val="00923787"/>
    <w:rsid w:val="00935D92"/>
    <w:rsid w:val="00937D8B"/>
    <w:rsid w:val="0095102C"/>
    <w:rsid w:val="00956F7C"/>
    <w:rsid w:val="00960531"/>
    <w:rsid w:val="0096246D"/>
    <w:rsid w:val="00972C61"/>
    <w:rsid w:val="009824A8"/>
    <w:rsid w:val="009959A9"/>
    <w:rsid w:val="009A3FEF"/>
    <w:rsid w:val="009A6C5F"/>
    <w:rsid w:val="009E03EE"/>
    <w:rsid w:val="009E7E36"/>
    <w:rsid w:val="009F29CC"/>
    <w:rsid w:val="00A00354"/>
    <w:rsid w:val="00A10C08"/>
    <w:rsid w:val="00A2118E"/>
    <w:rsid w:val="00A43000"/>
    <w:rsid w:val="00A50B13"/>
    <w:rsid w:val="00A546EB"/>
    <w:rsid w:val="00A554EE"/>
    <w:rsid w:val="00A5554F"/>
    <w:rsid w:val="00A63C95"/>
    <w:rsid w:val="00A7060E"/>
    <w:rsid w:val="00A77C54"/>
    <w:rsid w:val="00A81C5B"/>
    <w:rsid w:val="00A845C9"/>
    <w:rsid w:val="00A863FC"/>
    <w:rsid w:val="00A87AC0"/>
    <w:rsid w:val="00AD1E7C"/>
    <w:rsid w:val="00AE2EEF"/>
    <w:rsid w:val="00AE626B"/>
    <w:rsid w:val="00B07336"/>
    <w:rsid w:val="00B22092"/>
    <w:rsid w:val="00B229EB"/>
    <w:rsid w:val="00B3163D"/>
    <w:rsid w:val="00B319FF"/>
    <w:rsid w:val="00B5305C"/>
    <w:rsid w:val="00B54441"/>
    <w:rsid w:val="00B56F7E"/>
    <w:rsid w:val="00B63174"/>
    <w:rsid w:val="00B82E51"/>
    <w:rsid w:val="00B92B81"/>
    <w:rsid w:val="00BA284F"/>
    <w:rsid w:val="00BA788E"/>
    <w:rsid w:val="00BB20F1"/>
    <w:rsid w:val="00BB310D"/>
    <w:rsid w:val="00BB61C9"/>
    <w:rsid w:val="00BC010B"/>
    <w:rsid w:val="00BC6054"/>
    <w:rsid w:val="00BD3DFB"/>
    <w:rsid w:val="00BE2B5B"/>
    <w:rsid w:val="00BE7CD4"/>
    <w:rsid w:val="00BF25F8"/>
    <w:rsid w:val="00C015EA"/>
    <w:rsid w:val="00C01D88"/>
    <w:rsid w:val="00C1440F"/>
    <w:rsid w:val="00C145F3"/>
    <w:rsid w:val="00C25646"/>
    <w:rsid w:val="00C2602D"/>
    <w:rsid w:val="00C26326"/>
    <w:rsid w:val="00C41F25"/>
    <w:rsid w:val="00C479F4"/>
    <w:rsid w:val="00C51FFF"/>
    <w:rsid w:val="00C5421E"/>
    <w:rsid w:val="00C76377"/>
    <w:rsid w:val="00C80594"/>
    <w:rsid w:val="00CA5C7F"/>
    <w:rsid w:val="00CC699A"/>
    <w:rsid w:val="00CD304B"/>
    <w:rsid w:val="00CF3C67"/>
    <w:rsid w:val="00D020C1"/>
    <w:rsid w:val="00D12DAF"/>
    <w:rsid w:val="00D21019"/>
    <w:rsid w:val="00D22B05"/>
    <w:rsid w:val="00D36A39"/>
    <w:rsid w:val="00D41DB7"/>
    <w:rsid w:val="00D548D3"/>
    <w:rsid w:val="00D54D69"/>
    <w:rsid w:val="00D651E4"/>
    <w:rsid w:val="00D70722"/>
    <w:rsid w:val="00D801F5"/>
    <w:rsid w:val="00D819AE"/>
    <w:rsid w:val="00D933CC"/>
    <w:rsid w:val="00DC1B66"/>
    <w:rsid w:val="00DD36B0"/>
    <w:rsid w:val="00DD37DE"/>
    <w:rsid w:val="00DE6483"/>
    <w:rsid w:val="00E001F3"/>
    <w:rsid w:val="00E05137"/>
    <w:rsid w:val="00E6337C"/>
    <w:rsid w:val="00E95B9B"/>
    <w:rsid w:val="00E95C0C"/>
    <w:rsid w:val="00EA3947"/>
    <w:rsid w:val="00EA5476"/>
    <w:rsid w:val="00EB2D4B"/>
    <w:rsid w:val="00EB4298"/>
    <w:rsid w:val="00EB7513"/>
    <w:rsid w:val="00EC3E5B"/>
    <w:rsid w:val="00EC7DA4"/>
    <w:rsid w:val="00ED39A7"/>
    <w:rsid w:val="00EE63B2"/>
    <w:rsid w:val="00EF2A3D"/>
    <w:rsid w:val="00EF5214"/>
    <w:rsid w:val="00EF57AB"/>
    <w:rsid w:val="00F07402"/>
    <w:rsid w:val="00F34D1C"/>
    <w:rsid w:val="00F45426"/>
    <w:rsid w:val="00F5099C"/>
    <w:rsid w:val="00F51B5F"/>
    <w:rsid w:val="00F62137"/>
    <w:rsid w:val="00F71F0C"/>
    <w:rsid w:val="00F758A4"/>
    <w:rsid w:val="00F76B52"/>
    <w:rsid w:val="00F91D26"/>
    <w:rsid w:val="00F92A40"/>
    <w:rsid w:val="00F93994"/>
    <w:rsid w:val="00F96006"/>
    <w:rsid w:val="00F96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D2DC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0" w:qFormat="1"/>
    <w:lsdException w:name="annotation reference" w:uiPriority="0"/>
    <w:lsdException w:name="page number"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D88"/>
    <w:rPr>
      <w:rFonts w:ascii="Times New Roman" w:eastAsia="Times New Roman" w:hAnsi="Times New Roman"/>
      <w:sz w:val="24"/>
      <w:szCs w:val="24"/>
    </w:rPr>
  </w:style>
  <w:style w:type="paragraph" w:styleId="Heading1">
    <w:name w:val="heading 1"/>
    <w:basedOn w:val="Normal"/>
    <w:next w:val="Normal"/>
    <w:link w:val="Heading1Char"/>
    <w:qFormat/>
    <w:locked/>
    <w:rsid w:val="00536656"/>
    <w:pPr>
      <w:keepNext/>
      <w:numPr>
        <w:numId w:val="17"/>
      </w:numPr>
      <w:outlineLvl w:val="0"/>
    </w:pPr>
    <w:rPr>
      <w:rFonts w:ascii="Arial" w:hAnsi="Arial" w:cs="Arial"/>
      <w:b/>
      <w:sz w:val="28"/>
      <w:szCs w:val="20"/>
    </w:rPr>
  </w:style>
  <w:style w:type="paragraph" w:styleId="Heading2">
    <w:name w:val="heading 2"/>
    <w:basedOn w:val="Normal"/>
    <w:next w:val="Normal"/>
    <w:link w:val="Heading2Char"/>
    <w:qFormat/>
    <w:locked/>
    <w:rsid w:val="00536656"/>
    <w:pPr>
      <w:keepNext/>
      <w:numPr>
        <w:ilvl w:val="1"/>
        <w:numId w:val="17"/>
      </w:numPr>
      <w:outlineLvl w:val="1"/>
    </w:pPr>
    <w:rPr>
      <w:rFonts w:ascii="Arial" w:hAnsi="Arial" w:cs="Arial"/>
      <w:b/>
      <w:szCs w:val="20"/>
    </w:rPr>
  </w:style>
  <w:style w:type="paragraph" w:styleId="Heading3">
    <w:name w:val="heading 3"/>
    <w:basedOn w:val="Normal"/>
    <w:next w:val="Normal"/>
    <w:link w:val="Heading3Char"/>
    <w:qFormat/>
    <w:locked/>
    <w:rsid w:val="00536656"/>
    <w:pPr>
      <w:keepNext/>
      <w:numPr>
        <w:ilvl w:val="2"/>
        <w:numId w:val="17"/>
      </w:numPr>
      <w:outlineLvl w:val="2"/>
    </w:pPr>
    <w:rPr>
      <w:rFonts w:ascii="Arial" w:hAnsi="Arial" w:cs="Arial"/>
      <w:b/>
      <w:i/>
      <w:szCs w:val="20"/>
    </w:rPr>
  </w:style>
  <w:style w:type="paragraph" w:styleId="Heading4">
    <w:name w:val="heading 4"/>
    <w:basedOn w:val="Normal"/>
    <w:next w:val="Normal"/>
    <w:link w:val="Heading4Char"/>
    <w:qFormat/>
    <w:locked/>
    <w:rsid w:val="00536656"/>
    <w:pPr>
      <w:keepNext/>
      <w:numPr>
        <w:ilvl w:val="3"/>
        <w:numId w:val="17"/>
      </w:numPr>
      <w:outlineLvl w:val="3"/>
    </w:pPr>
    <w:rPr>
      <w:rFonts w:ascii="Arial" w:hAnsi="Arial" w:cs="Arial"/>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01D88"/>
    <w:pPr>
      <w:tabs>
        <w:tab w:val="center" w:pos="4320"/>
        <w:tab w:val="right" w:pos="8640"/>
      </w:tabs>
    </w:pPr>
  </w:style>
  <w:style w:type="character" w:customStyle="1" w:styleId="HeaderChar">
    <w:name w:val="Header Char"/>
    <w:basedOn w:val="DefaultParagraphFont"/>
    <w:link w:val="Header"/>
    <w:uiPriority w:val="99"/>
    <w:locked/>
    <w:rsid w:val="00C01D88"/>
    <w:rPr>
      <w:rFonts w:ascii="Times New Roman" w:hAnsi="Times New Roman" w:cs="Times New Roman"/>
      <w:sz w:val="24"/>
      <w:szCs w:val="24"/>
    </w:rPr>
  </w:style>
  <w:style w:type="paragraph" w:styleId="Footer">
    <w:name w:val="footer"/>
    <w:basedOn w:val="Normal"/>
    <w:link w:val="FooterChar"/>
    <w:uiPriority w:val="99"/>
    <w:rsid w:val="00C01D88"/>
    <w:pPr>
      <w:tabs>
        <w:tab w:val="center" w:pos="4680"/>
        <w:tab w:val="right" w:pos="9360"/>
      </w:tabs>
    </w:pPr>
  </w:style>
  <w:style w:type="character" w:customStyle="1" w:styleId="FooterChar">
    <w:name w:val="Footer Char"/>
    <w:basedOn w:val="DefaultParagraphFont"/>
    <w:link w:val="Footer"/>
    <w:uiPriority w:val="99"/>
    <w:locked/>
    <w:rsid w:val="00C01D88"/>
    <w:rPr>
      <w:rFonts w:ascii="Times New Roman" w:hAnsi="Times New Roman" w:cs="Times New Roman"/>
      <w:sz w:val="24"/>
      <w:szCs w:val="24"/>
    </w:rPr>
  </w:style>
  <w:style w:type="paragraph" w:styleId="BalloonText">
    <w:name w:val="Balloon Text"/>
    <w:basedOn w:val="Normal"/>
    <w:link w:val="BalloonTextChar"/>
    <w:uiPriority w:val="99"/>
    <w:semiHidden/>
    <w:rsid w:val="00C01D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01D88"/>
    <w:rPr>
      <w:rFonts w:ascii="Tahoma" w:hAnsi="Tahoma" w:cs="Tahoma"/>
      <w:sz w:val="16"/>
      <w:szCs w:val="16"/>
    </w:rPr>
  </w:style>
  <w:style w:type="character" w:styleId="CommentReference">
    <w:name w:val="annotation reference"/>
    <w:basedOn w:val="DefaultParagraphFont"/>
    <w:rsid w:val="00C01D88"/>
    <w:rPr>
      <w:rFonts w:cs="Times New Roman"/>
      <w:sz w:val="16"/>
      <w:szCs w:val="16"/>
    </w:rPr>
  </w:style>
  <w:style w:type="paragraph" w:styleId="CommentText">
    <w:name w:val="annotation text"/>
    <w:aliases w:val="Times New Roman"/>
    <w:basedOn w:val="Normal"/>
    <w:link w:val="CommentTextChar"/>
    <w:uiPriority w:val="99"/>
    <w:rsid w:val="00C01D88"/>
    <w:rPr>
      <w:sz w:val="20"/>
      <w:szCs w:val="20"/>
    </w:rPr>
  </w:style>
  <w:style w:type="character" w:customStyle="1" w:styleId="CommentTextChar">
    <w:name w:val="Comment Text Char"/>
    <w:aliases w:val="Times New Roman Char"/>
    <w:basedOn w:val="DefaultParagraphFont"/>
    <w:link w:val="CommentText"/>
    <w:uiPriority w:val="99"/>
    <w:locked/>
    <w:rsid w:val="00C01D8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C01D88"/>
    <w:rPr>
      <w:b/>
      <w:bCs/>
    </w:rPr>
  </w:style>
  <w:style w:type="character" w:customStyle="1" w:styleId="CommentSubjectChar">
    <w:name w:val="Comment Subject Char"/>
    <w:basedOn w:val="CommentTextChar"/>
    <w:link w:val="CommentSubject"/>
    <w:uiPriority w:val="99"/>
    <w:semiHidden/>
    <w:locked/>
    <w:rsid w:val="00C01D88"/>
    <w:rPr>
      <w:rFonts w:ascii="Times New Roman" w:hAnsi="Times New Roman" w:cs="Times New Roman"/>
      <w:b/>
      <w:bCs/>
      <w:sz w:val="20"/>
      <w:szCs w:val="20"/>
    </w:rPr>
  </w:style>
  <w:style w:type="paragraph" w:customStyle="1" w:styleId="RFR-Level3-A-Text">
    <w:name w:val="RFR-Level3 - A - Text"/>
    <w:basedOn w:val="Normal"/>
    <w:next w:val="Normal"/>
    <w:uiPriority w:val="99"/>
    <w:rsid w:val="00C01D88"/>
    <w:pPr>
      <w:ind w:left="1080"/>
      <w:outlineLvl w:val="2"/>
    </w:pPr>
    <w:rPr>
      <w:rFonts w:ascii="Book Antiqua" w:hAnsi="Book Antiqua"/>
      <w:szCs w:val="20"/>
    </w:rPr>
  </w:style>
  <w:style w:type="character" w:styleId="PageNumber">
    <w:name w:val="page number"/>
    <w:basedOn w:val="DefaultParagraphFont"/>
    <w:uiPriority w:val="99"/>
    <w:rsid w:val="003C322B"/>
    <w:rPr>
      <w:rFonts w:cs="Times New Roman"/>
    </w:rPr>
  </w:style>
  <w:style w:type="paragraph" w:styleId="ListParagraph">
    <w:name w:val="List Paragraph"/>
    <w:aliases w:val="L1"/>
    <w:basedOn w:val="Normal"/>
    <w:link w:val="ListParagraphChar"/>
    <w:uiPriority w:val="99"/>
    <w:qFormat/>
    <w:rsid w:val="007119CC"/>
    <w:rPr>
      <w:lang w:eastAsia="ja-JP"/>
    </w:rPr>
  </w:style>
  <w:style w:type="character" w:customStyle="1" w:styleId="ListParagraphChar">
    <w:name w:val="List Paragraph Char"/>
    <w:aliases w:val="L1 Char"/>
    <w:link w:val="ListParagraph"/>
    <w:uiPriority w:val="99"/>
    <w:locked/>
    <w:rsid w:val="007119CC"/>
    <w:rPr>
      <w:rFonts w:ascii="Times New Roman" w:hAnsi="Times New Roman"/>
      <w:sz w:val="24"/>
    </w:rPr>
  </w:style>
  <w:style w:type="character" w:styleId="Hyperlink">
    <w:name w:val="Hyperlink"/>
    <w:basedOn w:val="DefaultParagraphFont"/>
    <w:uiPriority w:val="99"/>
    <w:rsid w:val="00524025"/>
    <w:rPr>
      <w:rFonts w:cs="Times New Roman"/>
      <w:color w:val="0000FF"/>
      <w:u w:val="single"/>
    </w:rPr>
  </w:style>
  <w:style w:type="paragraph" w:customStyle="1" w:styleId="textilish">
    <w:name w:val="textilish"/>
    <w:basedOn w:val="Normal"/>
    <w:uiPriority w:val="99"/>
    <w:rsid w:val="00524025"/>
    <w:pPr>
      <w:spacing w:before="100" w:beforeAutospacing="1" w:after="100" w:afterAutospacing="1"/>
    </w:pPr>
  </w:style>
  <w:style w:type="paragraph" w:styleId="Revision">
    <w:name w:val="Revision"/>
    <w:hidden/>
    <w:uiPriority w:val="99"/>
    <w:semiHidden/>
    <w:rsid w:val="00B22092"/>
    <w:rPr>
      <w:rFonts w:ascii="Times New Roman" w:eastAsia="Times New Roman" w:hAnsi="Times New Roman"/>
      <w:sz w:val="24"/>
      <w:szCs w:val="24"/>
    </w:rPr>
  </w:style>
  <w:style w:type="table" w:styleId="TableGrid">
    <w:name w:val="Table Grid"/>
    <w:basedOn w:val="TableNormal"/>
    <w:locked/>
    <w:rsid w:val="00313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36656"/>
    <w:rPr>
      <w:rFonts w:ascii="Arial" w:eastAsia="Times New Roman" w:hAnsi="Arial" w:cs="Arial"/>
      <w:b/>
      <w:sz w:val="28"/>
      <w:szCs w:val="20"/>
    </w:rPr>
  </w:style>
  <w:style w:type="character" w:customStyle="1" w:styleId="Heading2Char">
    <w:name w:val="Heading 2 Char"/>
    <w:basedOn w:val="DefaultParagraphFont"/>
    <w:link w:val="Heading2"/>
    <w:rsid w:val="00536656"/>
    <w:rPr>
      <w:rFonts w:ascii="Arial" w:eastAsia="Times New Roman" w:hAnsi="Arial" w:cs="Arial"/>
      <w:b/>
      <w:sz w:val="24"/>
      <w:szCs w:val="20"/>
    </w:rPr>
  </w:style>
  <w:style w:type="character" w:customStyle="1" w:styleId="Heading3Char">
    <w:name w:val="Heading 3 Char"/>
    <w:basedOn w:val="DefaultParagraphFont"/>
    <w:link w:val="Heading3"/>
    <w:rsid w:val="00536656"/>
    <w:rPr>
      <w:rFonts w:ascii="Arial" w:eastAsia="Times New Roman" w:hAnsi="Arial" w:cs="Arial"/>
      <w:b/>
      <w:i/>
      <w:sz w:val="24"/>
      <w:szCs w:val="20"/>
    </w:rPr>
  </w:style>
  <w:style w:type="character" w:customStyle="1" w:styleId="Heading4Char">
    <w:name w:val="Heading 4 Char"/>
    <w:basedOn w:val="DefaultParagraphFont"/>
    <w:link w:val="Heading4"/>
    <w:rsid w:val="00536656"/>
    <w:rPr>
      <w:rFonts w:ascii="Arial" w:eastAsia="Times New Roman" w:hAnsi="Arial" w:cs="Arial"/>
      <w:bCs/>
      <w:i/>
      <w:sz w:val="24"/>
      <w:szCs w:val="28"/>
    </w:rPr>
  </w:style>
  <w:style w:type="paragraph" w:styleId="ListBullet">
    <w:name w:val="List Bullet"/>
    <w:basedOn w:val="Normal"/>
    <w:uiPriority w:val="99"/>
    <w:unhideWhenUsed/>
    <w:rsid w:val="00536656"/>
    <w:pPr>
      <w:numPr>
        <w:ilvl w:val="4"/>
        <w:numId w:val="7"/>
      </w:numPr>
      <w:tabs>
        <w:tab w:val="clear" w:pos="360"/>
        <w:tab w:val="num" w:pos="3600"/>
      </w:tabs>
      <w:spacing w:line="260" w:lineRule="atLeast"/>
      <w:ind w:left="3600"/>
    </w:pPr>
    <w:rPr>
      <w:rFonts w:ascii="Arial" w:eastAsia="Calibri" w:hAnsi="Arial" w:cs="Arial"/>
      <w:sz w:val="22"/>
      <w:szCs w:val="22"/>
    </w:rPr>
  </w:style>
  <w:style w:type="paragraph" w:styleId="ListBullet2">
    <w:name w:val="List Bullet 2"/>
    <w:basedOn w:val="Normal"/>
    <w:uiPriority w:val="99"/>
    <w:unhideWhenUsed/>
    <w:rsid w:val="00536656"/>
    <w:pPr>
      <w:numPr>
        <w:ilvl w:val="5"/>
        <w:numId w:val="7"/>
      </w:numPr>
      <w:tabs>
        <w:tab w:val="clear" w:pos="720"/>
        <w:tab w:val="num" w:pos="4320"/>
      </w:tabs>
      <w:spacing w:line="260" w:lineRule="atLeast"/>
      <w:ind w:left="4320" w:hanging="180"/>
    </w:pPr>
    <w:rPr>
      <w:rFonts w:ascii="Arial" w:eastAsia="Calibri" w:hAnsi="Arial" w:cs="Arial"/>
      <w:sz w:val="22"/>
      <w:szCs w:val="22"/>
    </w:rPr>
  </w:style>
  <w:style w:type="paragraph" w:styleId="ListBullet3">
    <w:name w:val="List Bullet 3"/>
    <w:basedOn w:val="Normal"/>
    <w:uiPriority w:val="99"/>
    <w:unhideWhenUsed/>
    <w:rsid w:val="00536656"/>
    <w:pPr>
      <w:numPr>
        <w:ilvl w:val="6"/>
        <w:numId w:val="7"/>
      </w:numPr>
      <w:tabs>
        <w:tab w:val="clear" w:pos="1080"/>
        <w:tab w:val="num" w:pos="5040"/>
      </w:tabs>
      <w:spacing w:line="260" w:lineRule="atLeast"/>
      <w:ind w:left="5040"/>
    </w:pPr>
    <w:rPr>
      <w:rFonts w:ascii="Arial" w:eastAsia="Calibri" w:hAnsi="Arial" w:cs="Arial"/>
      <w:sz w:val="22"/>
      <w:szCs w:val="22"/>
    </w:rPr>
  </w:style>
  <w:style w:type="paragraph" w:styleId="ListBullet4">
    <w:name w:val="List Bullet 4"/>
    <w:basedOn w:val="Normal"/>
    <w:uiPriority w:val="99"/>
    <w:unhideWhenUsed/>
    <w:rsid w:val="00536656"/>
    <w:pPr>
      <w:numPr>
        <w:ilvl w:val="7"/>
        <w:numId w:val="7"/>
      </w:numPr>
      <w:tabs>
        <w:tab w:val="clear" w:pos="1440"/>
        <w:tab w:val="num" w:pos="5760"/>
      </w:tabs>
      <w:spacing w:line="260" w:lineRule="atLeast"/>
      <w:ind w:left="5760"/>
    </w:pPr>
    <w:rPr>
      <w:rFonts w:ascii="Arial" w:eastAsia="Calibri" w:hAnsi="Arial" w:cs="Arial"/>
      <w:sz w:val="22"/>
      <w:szCs w:val="22"/>
    </w:rPr>
  </w:style>
  <w:style w:type="character" w:styleId="Strong">
    <w:name w:val="Strong"/>
    <w:qFormat/>
    <w:locked/>
    <w:rsid w:val="00536656"/>
    <w:rPr>
      <w:b/>
      <w:bCs/>
    </w:rPr>
  </w:style>
  <w:style w:type="paragraph" w:styleId="PlainText">
    <w:name w:val="Plain Text"/>
    <w:basedOn w:val="Normal"/>
    <w:link w:val="PlainTextChar"/>
    <w:rsid w:val="00536656"/>
    <w:rPr>
      <w:rFonts w:ascii="Consolas" w:eastAsia="PMingLiU" w:hAnsi="Consolas"/>
      <w:sz w:val="21"/>
      <w:szCs w:val="21"/>
    </w:rPr>
  </w:style>
  <w:style w:type="character" w:customStyle="1" w:styleId="PlainTextChar">
    <w:name w:val="Plain Text Char"/>
    <w:basedOn w:val="DefaultParagraphFont"/>
    <w:link w:val="PlainText"/>
    <w:rsid w:val="00536656"/>
    <w:rPr>
      <w:rFonts w:ascii="Consolas" w:eastAsia="PMingLiU" w:hAnsi="Consolas"/>
      <w:sz w:val="21"/>
      <w:szCs w:val="21"/>
    </w:rPr>
  </w:style>
  <w:style w:type="paragraph" w:customStyle="1" w:styleId="TableHeadingText">
    <w:name w:val="Table Heading Text"/>
    <w:basedOn w:val="Normal"/>
    <w:link w:val="TableHeadingTextChar"/>
    <w:rsid w:val="00536656"/>
    <w:pPr>
      <w:keepNext/>
      <w:spacing w:before="40" w:after="40"/>
    </w:pPr>
    <w:rPr>
      <w:rFonts w:ascii="Arial" w:hAnsi="Arial" w:cs="Arial"/>
      <w:b/>
      <w:noProof/>
      <w:sz w:val="18"/>
      <w:szCs w:val="20"/>
    </w:rPr>
  </w:style>
  <w:style w:type="character" w:customStyle="1" w:styleId="TableHeadingTextChar">
    <w:name w:val="Table Heading Text Char"/>
    <w:basedOn w:val="DefaultParagraphFont"/>
    <w:link w:val="TableHeadingText"/>
    <w:rsid w:val="00536656"/>
    <w:rPr>
      <w:rFonts w:ascii="Arial" w:eastAsia="Times New Roman" w:hAnsi="Arial" w:cs="Arial"/>
      <w:b/>
      <w:noProof/>
      <w:sz w:val="18"/>
      <w:szCs w:val="20"/>
    </w:rPr>
  </w:style>
  <w:style w:type="paragraph" w:customStyle="1" w:styleId="TableText">
    <w:name w:val="Table Text"/>
    <w:basedOn w:val="Normal"/>
    <w:link w:val="TableTextChar"/>
    <w:rsid w:val="00536656"/>
    <w:pPr>
      <w:spacing w:before="40" w:after="40"/>
    </w:pPr>
    <w:rPr>
      <w:rFonts w:ascii="Arial" w:hAnsi="Arial" w:cs="Arial"/>
      <w:noProof/>
      <w:sz w:val="2"/>
      <w:szCs w:val="20"/>
    </w:rPr>
  </w:style>
  <w:style w:type="character" w:customStyle="1" w:styleId="TableTextChar">
    <w:name w:val="Table Text Char"/>
    <w:basedOn w:val="DefaultParagraphFont"/>
    <w:link w:val="TableText"/>
    <w:rsid w:val="00536656"/>
    <w:rPr>
      <w:rFonts w:ascii="Arial" w:eastAsia="Times New Roman" w:hAnsi="Arial" w:cs="Arial"/>
      <w:noProof/>
      <w:sz w:val="2"/>
      <w:szCs w:val="20"/>
    </w:rPr>
  </w:style>
  <w:style w:type="paragraph" w:customStyle="1" w:styleId="TableBullet1">
    <w:name w:val="Table Bullet 1"/>
    <w:basedOn w:val="Normal"/>
    <w:link w:val="TableBullet1Char"/>
    <w:rsid w:val="00536656"/>
    <w:pPr>
      <w:numPr>
        <w:ilvl w:val="4"/>
        <w:numId w:val="20"/>
      </w:numPr>
      <w:spacing w:before="40" w:after="40"/>
      <w:outlineLvl w:val="4"/>
    </w:pPr>
    <w:rPr>
      <w:rFonts w:ascii="Arial" w:hAnsi="Arial" w:cs="Arial"/>
      <w:noProof/>
      <w:sz w:val="2"/>
      <w:szCs w:val="20"/>
    </w:rPr>
  </w:style>
  <w:style w:type="character" w:customStyle="1" w:styleId="TableBullet1Char">
    <w:name w:val="Table Bullet 1 Char"/>
    <w:basedOn w:val="DefaultParagraphFont"/>
    <w:link w:val="TableBullet1"/>
    <w:rsid w:val="00536656"/>
    <w:rPr>
      <w:rFonts w:ascii="Arial" w:eastAsia="Times New Roman" w:hAnsi="Arial" w:cs="Arial"/>
      <w:noProof/>
      <w:sz w:val="2"/>
      <w:szCs w:val="20"/>
    </w:rPr>
  </w:style>
  <w:style w:type="paragraph" w:customStyle="1" w:styleId="TableBullet2">
    <w:name w:val="Table Bullet 2"/>
    <w:basedOn w:val="Normal"/>
    <w:rsid w:val="00536656"/>
    <w:pPr>
      <w:numPr>
        <w:ilvl w:val="5"/>
        <w:numId w:val="20"/>
      </w:numPr>
      <w:spacing w:before="40" w:after="40"/>
      <w:outlineLvl w:val="5"/>
    </w:pPr>
    <w:rPr>
      <w:rFonts w:ascii="Arial" w:hAnsi="Arial" w:cs="Arial"/>
      <w:noProof/>
      <w:sz w:val="2"/>
      <w:szCs w:val="20"/>
    </w:rPr>
  </w:style>
  <w:style w:type="paragraph" w:customStyle="1" w:styleId="TableBullet3">
    <w:name w:val="Table Bullet 3"/>
    <w:basedOn w:val="Normal"/>
    <w:rsid w:val="00536656"/>
    <w:pPr>
      <w:numPr>
        <w:ilvl w:val="6"/>
        <w:numId w:val="20"/>
      </w:numPr>
      <w:spacing w:before="40" w:after="40"/>
      <w:outlineLvl w:val="6"/>
    </w:pPr>
    <w:rPr>
      <w:rFonts w:ascii="Arial" w:hAnsi="Arial" w:cs="Arial"/>
      <w:noProof/>
      <w:sz w:val="2"/>
      <w:szCs w:val="20"/>
    </w:rPr>
  </w:style>
  <w:style w:type="paragraph" w:customStyle="1" w:styleId="TableBullet4">
    <w:name w:val="Table Bullet 4"/>
    <w:basedOn w:val="Normal"/>
    <w:rsid w:val="00536656"/>
    <w:pPr>
      <w:numPr>
        <w:ilvl w:val="7"/>
        <w:numId w:val="20"/>
      </w:numPr>
      <w:spacing w:before="40" w:after="40"/>
      <w:outlineLvl w:val="7"/>
    </w:pPr>
    <w:rPr>
      <w:rFonts w:ascii="Arial" w:hAnsi="Arial" w:cs="Arial"/>
      <w:noProof/>
      <w:sz w:val="2"/>
      <w:szCs w:val="20"/>
    </w:rPr>
  </w:style>
  <w:style w:type="paragraph" w:customStyle="1" w:styleId="Default">
    <w:name w:val="Default"/>
    <w:rsid w:val="0076056B"/>
    <w:pPr>
      <w:autoSpaceDE w:val="0"/>
      <w:autoSpaceDN w:val="0"/>
      <w:adjustRightInd w:val="0"/>
    </w:pPr>
    <w:rPr>
      <w:rFonts w:eastAsiaTheme="minorHAnsi" w:cs="Calibri"/>
      <w:color w:val="000000"/>
      <w:sz w:val="24"/>
      <w:szCs w:val="24"/>
    </w:rPr>
  </w:style>
  <w:style w:type="paragraph" w:styleId="NormalWeb">
    <w:name w:val="Normal (Web)"/>
    <w:basedOn w:val="Normal"/>
    <w:uiPriority w:val="99"/>
    <w:semiHidden/>
    <w:unhideWhenUsed/>
    <w:rsid w:val="0076056B"/>
    <w:pPr>
      <w:spacing w:before="100" w:beforeAutospacing="1" w:after="100" w:afterAutospacing="1"/>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0" w:qFormat="1"/>
    <w:lsdException w:name="annotation reference" w:uiPriority="0"/>
    <w:lsdException w:name="page number"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D88"/>
    <w:rPr>
      <w:rFonts w:ascii="Times New Roman" w:eastAsia="Times New Roman" w:hAnsi="Times New Roman"/>
      <w:sz w:val="24"/>
      <w:szCs w:val="24"/>
    </w:rPr>
  </w:style>
  <w:style w:type="paragraph" w:styleId="Heading1">
    <w:name w:val="heading 1"/>
    <w:basedOn w:val="Normal"/>
    <w:next w:val="Normal"/>
    <w:link w:val="Heading1Char"/>
    <w:qFormat/>
    <w:locked/>
    <w:rsid w:val="00536656"/>
    <w:pPr>
      <w:keepNext/>
      <w:numPr>
        <w:numId w:val="17"/>
      </w:numPr>
      <w:outlineLvl w:val="0"/>
    </w:pPr>
    <w:rPr>
      <w:rFonts w:ascii="Arial" w:hAnsi="Arial" w:cs="Arial"/>
      <w:b/>
      <w:sz w:val="28"/>
      <w:szCs w:val="20"/>
    </w:rPr>
  </w:style>
  <w:style w:type="paragraph" w:styleId="Heading2">
    <w:name w:val="heading 2"/>
    <w:basedOn w:val="Normal"/>
    <w:next w:val="Normal"/>
    <w:link w:val="Heading2Char"/>
    <w:qFormat/>
    <w:locked/>
    <w:rsid w:val="00536656"/>
    <w:pPr>
      <w:keepNext/>
      <w:numPr>
        <w:ilvl w:val="1"/>
        <w:numId w:val="17"/>
      </w:numPr>
      <w:outlineLvl w:val="1"/>
    </w:pPr>
    <w:rPr>
      <w:rFonts w:ascii="Arial" w:hAnsi="Arial" w:cs="Arial"/>
      <w:b/>
      <w:szCs w:val="20"/>
    </w:rPr>
  </w:style>
  <w:style w:type="paragraph" w:styleId="Heading3">
    <w:name w:val="heading 3"/>
    <w:basedOn w:val="Normal"/>
    <w:next w:val="Normal"/>
    <w:link w:val="Heading3Char"/>
    <w:qFormat/>
    <w:locked/>
    <w:rsid w:val="00536656"/>
    <w:pPr>
      <w:keepNext/>
      <w:numPr>
        <w:ilvl w:val="2"/>
        <w:numId w:val="17"/>
      </w:numPr>
      <w:outlineLvl w:val="2"/>
    </w:pPr>
    <w:rPr>
      <w:rFonts w:ascii="Arial" w:hAnsi="Arial" w:cs="Arial"/>
      <w:b/>
      <w:i/>
      <w:szCs w:val="20"/>
    </w:rPr>
  </w:style>
  <w:style w:type="paragraph" w:styleId="Heading4">
    <w:name w:val="heading 4"/>
    <w:basedOn w:val="Normal"/>
    <w:next w:val="Normal"/>
    <w:link w:val="Heading4Char"/>
    <w:qFormat/>
    <w:locked/>
    <w:rsid w:val="00536656"/>
    <w:pPr>
      <w:keepNext/>
      <w:numPr>
        <w:ilvl w:val="3"/>
        <w:numId w:val="17"/>
      </w:numPr>
      <w:outlineLvl w:val="3"/>
    </w:pPr>
    <w:rPr>
      <w:rFonts w:ascii="Arial" w:hAnsi="Arial" w:cs="Arial"/>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01D88"/>
    <w:pPr>
      <w:tabs>
        <w:tab w:val="center" w:pos="4320"/>
        <w:tab w:val="right" w:pos="8640"/>
      </w:tabs>
    </w:pPr>
  </w:style>
  <w:style w:type="character" w:customStyle="1" w:styleId="HeaderChar">
    <w:name w:val="Header Char"/>
    <w:basedOn w:val="DefaultParagraphFont"/>
    <w:link w:val="Header"/>
    <w:uiPriority w:val="99"/>
    <w:locked/>
    <w:rsid w:val="00C01D88"/>
    <w:rPr>
      <w:rFonts w:ascii="Times New Roman" w:hAnsi="Times New Roman" w:cs="Times New Roman"/>
      <w:sz w:val="24"/>
      <w:szCs w:val="24"/>
    </w:rPr>
  </w:style>
  <w:style w:type="paragraph" w:styleId="Footer">
    <w:name w:val="footer"/>
    <w:basedOn w:val="Normal"/>
    <w:link w:val="FooterChar"/>
    <w:uiPriority w:val="99"/>
    <w:rsid w:val="00C01D88"/>
    <w:pPr>
      <w:tabs>
        <w:tab w:val="center" w:pos="4680"/>
        <w:tab w:val="right" w:pos="9360"/>
      </w:tabs>
    </w:pPr>
  </w:style>
  <w:style w:type="character" w:customStyle="1" w:styleId="FooterChar">
    <w:name w:val="Footer Char"/>
    <w:basedOn w:val="DefaultParagraphFont"/>
    <w:link w:val="Footer"/>
    <w:uiPriority w:val="99"/>
    <w:locked/>
    <w:rsid w:val="00C01D88"/>
    <w:rPr>
      <w:rFonts w:ascii="Times New Roman" w:hAnsi="Times New Roman" w:cs="Times New Roman"/>
      <w:sz w:val="24"/>
      <w:szCs w:val="24"/>
    </w:rPr>
  </w:style>
  <w:style w:type="paragraph" w:styleId="BalloonText">
    <w:name w:val="Balloon Text"/>
    <w:basedOn w:val="Normal"/>
    <w:link w:val="BalloonTextChar"/>
    <w:uiPriority w:val="99"/>
    <w:semiHidden/>
    <w:rsid w:val="00C01D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01D88"/>
    <w:rPr>
      <w:rFonts w:ascii="Tahoma" w:hAnsi="Tahoma" w:cs="Tahoma"/>
      <w:sz w:val="16"/>
      <w:szCs w:val="16"/>
    </w:rPr>
  </w:style>
  <w:style w:type="character" w:styleId="CommentReference">
    <w:name w:val="annotation reference"/>
    <w:basedOn w:val="DefaultParagraphFont"/>
    <w:rsid w:val="00C01D88"/>
    <w:rPr>
      <w:rFonts w:cs="Times New Roman"/>
      <w:sz w:val="16"/>
      <w:szCs w:val="16"/>
    </w:rPr>
  </w:style>
  <w:style w:type="paragraph" w:styleId="CommentText">
    <w:name w:val="annotation text"/>
    <w:aliases w:val="Times New Roman"/>
    <w:basedOn w:val="Normal"/>
    <w:link w:val="CommentTextChar"/>
    <w:uiPriority w:val="99"/>
    <w:rsid w:val="00C01D88"/>
    <w:rPr>
      <w:sz w:val="20"/>
      <w:szCs w:val="20"/>
    </w:rPr>
  </w:style>
  <w:style w:type="character" w:customStyle="1" w:styleId="CommentTextChar">
    <w:name w:val="Comment Text Char"/>
    <w:aliases w:val="Times New Roman Char"/>
    <w:basedOn w:val="DefaultParagraphFont"/>
    <w:link w:val="CommentText"/>
    <w:uiPriority w:val="99"/>
    <w:locked/>
    <w:rsid w:val="00C01D8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C01D88"/>
    <w:rPr>
      <w:b/>
      <w:bCs/>
    </w:rPr>
  </w:style>
  <w:style w:type="character" w:customStyle="1" w:styleId="CommentSubjectChar">
    <w:name w:val="Comment Subject Char"/>
    <w:basedOn w:val="CommentTextChar"/>
    <w:link w:val="CommentSubject"/>
    <w:uiPriority w:val="99"/>
    <w:semiHidden/>
    <w:locked/>
    <w:rsid w:val="00C01D88"/>
    <w:rPr>
      <w:rFonts w:ascii="Times New Roman" w:hAnsi="Times New Roman" w:cs="Times New Roman"/>
      <w:b/>
      <w:bCs/>
      <w:sz w:val="20"/>
      <w:szCs w:val="20"/>
    </w:rPr>
  </w:style>
  <w:style w:type="paragraph" w:customStyle="1" w:styleId="RFR-Level3-A-Text">
    <w:name w:val="RFR-Level3 - A - Text"/>
    <w:basedOn w:val="Normal"/>
    <w:next w:val="Normal"/>
    <w:uiPriority w:val="99"/>
    <w:rsid w:val="00C01D88"/>
    <w:pPr>
      <w:ind w:left="1080"/>
      <w:outlineLvl w:val="2"/>
    </w:pPr>
    <w:rPr>
      <w:rFonts w:ascii="Book Antiqua" w:hAnsi="Book Antiqua"/>
      <w:szCs w:val="20"/>
    </w:rPr>
  </w:style>
  <w:style w:type="character" w:styleId="PageNumber">
    <w:name w:val="page number"/>
    <w:basedOn w:val="DefaultParagraphFont"/>
    <w:uiPriority w:val="99"/>
    <w:rsid w:val="003C322B"/>
    <w:rPr>
      <w:rFonts w:cs="Times New Roman"/>
    </w:rPr>
  </w:style>
  <w:style w:type="paragraph" w:styleId="ListParagraph">
    <w:name w:val="List Paragraph"/>
    <w:aliases w:val="L1"/>
    <w:basedOn w:val="Normal"/>
    <w:link w:val="ListParagraphChar"/>
    <w:uiPriority w:val="99"/>
    <w:qFormat/>
    <w:rsid w:val="007119CC"/>
    <w:rPr>
      <w:lang w:eastAsia="ja-JP"/>
    </w:rPr>
  </w:style>
  <w:style w:type="character" w:customStyle="1" w:styleId="ListParagraphChar">
    <w:name w:val="List Paragraph Char"/>
    <w:aliases w:val="L1 Char"/>
    <w:link w:val="ListParagraph"/>
    <w:uiPriority w:val="99"/>
    <w:locked/>
    <w:rsid w:val="007119CC"/>
    <w:rPr>
      <w:rFonts w:ascii="Times New Roman" w:hAnsi="Times New Roman"/>
      <w:sz w:val="24"/>
    </w:rPr>
  </w:style>
  <w:style w:type="character" w:styleId="Hyperlink">
    <w:name w:val="Hyperlink"/>
    <w:basedOn w:val="DefaultParagraphFont"/>
    <w:uiPriority w:val="99"/>
    <w:rsid w:val="00524025"/>
    <w:rPr>
      <w:rFonts w:cs="Times New Roman"/>
      <w:color w:val="0000FF"/>
      <w:u w:val="single"/>
    </w:rPr>
  </w:style>
  <w:style w:type="paragraph" w:customStyle="1" w:styleId="textilish">
    <w:name w:val="textilish"/>
    <w:basedOn w:val="Normal"/>
    <w:uiPriority w:val="99"/>
    <w:rsid w:val="00524025"/>
    <w:pPr>
      <w:spacing w:before="100" w:beforeAutospacing="1" w:after="100" w:afterAutospacing="1"/>
    </w:pPr>
  </w:style>
  <w:style w:type="paragraph" w:styleId="Revision">
    <w:name w:val="Revision"/>
    <w:hidden/>
    <w:uiPriority w:val="99"/>
    <w:semiHidden/>
    <w:rsid w:val="00B22092"/>
    <w:rPr>
      <w:rFonts w:ascii="Times New Roman" w:eastAsia="Times New Roman" w:hAnsi="Times New Roman"/>
      <w:sz w:val="24"/>
      <w:szCs w:val="24"/>
    </w:rPr>
  </w:style>
  <w:style w:type="table" w:styleId="TableGrid">
    <w:name w:val="Table Grid"/>
    <w:basedOn w:val="TableNormal"/>
    <w:locked/>
    <w:rsid w:val="00313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36656"/>
    <w:rPr>
      <w:rFonts w:ascii="Arial" w:eastAsia="Times New Roman" w:hAnsi="Arial" w:cs="Arial"/>
      <w:b/>
      <w:sz w:val="28"/>
      <w:szCs w:val="20"/>
    </w:rPr>
  </w:style>
  <w:style w:type="character" w:customStyle="1" w:styleId="Heading2Char">
    <w:name w:val="Heading 2 Char"/>
    <w:basedOn w:val="DefaultParagraphFont"/>
    <w:link w:val="Heading2"/>
    <w:rsid w:val="00536656"/>
    <w:rPr>
      <w:rFonts w:ascii="Arial" w:eastAsia="Times New Roman" w:hAnsi="Arial" w:cs="Arial"/>
      <w:b/>
      <w:sz w:val="24"/>
      <w:szCs w:val="20"/>
    </w:rPr>
  </w:style>
  <w:style w:type="character" w:customStyle="1" w:styleId="Heading3Char">
    <w:name w:val="Heading 3 Char"/>
    <w:basedOn w:val="DefaultParagraphFont"/>
    <w:link w:val="Heading3"/>
    <w:rsid w:val="00536656"/>
    <w:rPr>
      <w:rFonts w:ascii="Arial" w:eastAsia="Times New Roman" w:hAnsi="Arial" w:cs="Arial"/>
      <w:b/>
      <w:i/>
      <w:sz w:val="24"/>
      <w:szCs w:val="20"/>
    </w:rPr>
  </w:style>
  <w:style w:type="character" w:customStyle="1" w:styleId="Heading4Char">
    <w:name w:val="Heading 4 Char"/>
    <w:basedOn w:val="DefaultParagraphFont"/>
    <w:link w:val="Heading4"/>
    <w:rsid w:val="00536656"/>
    <w:rPr>
      <w:rFonts w:ascii="Arial" w:eastAsia="Times New Roman" w:hAnsi="Arial" w:cs="Arial"/>
      <w:bCs/>
      <w:i/>
      <w:sz w:val="24"/>
      <w:szCs w:val="28"/>
    </w:rPr>
  </w:style>
  <w:style w:type="paragraph" w:styleId="ListBullet">
    <w:name w:val="List Bullet"/>
    <w:basedOn w:val="Normal"/>
    <w:uiPriority w:val="99"/>
    <w:unhideWhenUsed/>
    <w:rsid w:val="00536656"/>
    <w:pPr>
      <w:numPr>
        <w:ilvl w:val="4"/>
        <w:numId w:val="7"/>
      </w:numPr>
      <w:tabs>
        <w:tab w:val="clear" w:pos="360"/>
        <w:tab w:val="num" w:pos="3600"/>
      </w:tabs>
      <w:spacing w:line="260" w:lineRule="atLeast"/>
      <w:ind w:left="3600"/>
    </w:pPr>
    <w:rPr>
      <w:rFonts w:ascii="Arial" w:eastAsia="Calibri" w:hAnsi="Arial" w:cs="Arial"/>
      <w:sz w:val="22"/>
      <w:szCs w:val="22"/>
    </w:rPr>
  </w:style>
  <w:style w:type="paragraph" w:styleId="ListBullet2">
    <w:name w:val="List Bullet 2"/>
    <w:basedOn w:val="Normal"/>
    <w:uiPriority w:val="99"/>
    <w:unhideWhenUsed/>
    <w:rsid w:val="00536656"/>
    <w:pPr>
      <w:numPr>
        <w:ilvl w:val="5"/>
        <w:numId w:val="7"/>
      </w:numPr>
      <w:tabs>
        <w:tab w:val="clear" w:pos="720"/>
        <w:tab w:val="num" w:pos="4320"/>
      </w:tabs>
      <w:spacing w:line="260" w:lineRule="atLeast"/>
      <w:ind w:left="4320" w:hanging="180"/>
    </w:pPr>
    <w:rPr>
      <w:rFonts w:ascii="Arial" w:eastAsia="Calibri" w:hAnsi="Arial" w:cs="Arial"/>
      <w:sz w:val="22"/>
      <w:szCs w:val="22"/>
    </w:rPr>
  </w:style>
  <w:style w:type="paragraph" w:styleId="ListBullet3">
    <w:name w:val="List Bullet 3"/>
    <w:basedOn w:val="Normal"/>
    <w:uiPriority w:val="99"/>
    <w:unhideWhenUsed/>
    <w:rsid w:val="00536656"/>
    <w:pPr>
      <w:numPr>
        <w:ilvl w:val="6"/>
        <w:numId w:val="7"/>
      </w:numPr>
      <w:tabs>
        <w:tab w:val="clear" w:pos="1080"/>
        <w:tab w:val="num" w:pos="5040"/>
      </w:tabs>
      <w:spacing w:line="260" w:lineRule="atLeast"/>
      <w:ind w:left="5040"/>
    </w:pPr>
    <w:rPr>
      <w:rFonts w:ascii="Arial" w:eastAsia="Calibri" w:hAnsi="Arial" w:cs="Arial"/>
      <w:sz w:val="22"/>
      <w:szCs w:val="22"/>
    </w:rPr>
  </w:style>
  <w:style w:type="paragraph" w:styleId="ListBullet4">
    <w:name w:val="List Bullet 4"/>
    <w:basedOn w:val="Normal"/>
    <w:uiPriority w:val="99"/>
    <w:unhideWhenUsed/>
    <w:rsid w:val="00536656"/>
    <w:pPr>
      <w:numPr>
        <w:ilvl w:val="7"/>
        <w:numId w:val="7"/>
      </w:numPr>
      <w:tabs>
        <w:tab w:val="clear" w:pos="1440"/>
        <w:tab w:val="num" w:pos="5760"/>
      </w:tabs>
      <w:spacing w:line="260" w:lineRule="atLeast"/>
      <w:ind w:left="5760"/>
    </w:pPr>
    <w:rPr>
      <w:rFonts w:ascii="Arial" w:eastAsia="Calibri" w:hAnsi="Arial" w:cs="Arial"/>
      <w:sz w:val="22"/>
      <w:szCs w:val="22"/>
    </w:rPr>
  </w:style>
  <w:style w:type="character" w:styleId="Strong">
    <w:name w:val="Strong"/>
    <w:qFormat/>
    <w:locked/>
    <w:rsid w:val="00536656"/>
    <w:rPr>
      <w:b/>
      <w:bCs/>
    </w:rPr>
  </w:style>
  <w:style w:type="paragraph" w:styleId="PlainText">
    <w:name w:val="Plain Text"/>
    <w:basedOn w:val="Normal"/>
    <w:link w:val="PlainTextChar"/>
    <w:rsid w:val="00536656"/>
    <w:rPr>
      <w:rFonts w:ascii="Consolas" w:eastAsia="PMingLiU" w:hAnsi="Consolas"/>
      <w:sz w:val="21"/>
      <w:szCs w:val="21"/>
    </w:rPr>
  </w:style>
  <w:style w:type="character" w:customStyle="1" w:styleId="PlainTextChar">
    <w:name w:val="Plain Text Char"/>
    <w:basedOn w:val="DefaultParagraphFont"/>
    <w:link w:val="PlainText"/>
    <w:rsid w:val="00536656"/>
    <w:rPr>
      <w:rFonts w:ascii="Consolas" w:eastAsia="PMingLiU" w:hAnsi="Consolas"/>
      <w:sz w:val="21"/>
      <w:szCs w:val="21"/>
    </w:rPr>
  </w:style>
  <w:style w:type="paragraph" w:customStyle="1" w:styleId="TableHeadingText">
    <w:name w:val="Table Heading Text"/>
    <w:basedOn w:val="Normal"/>
    <w:link w:val="TableHeadingTextChar"/>
    <w:rsid w:val="00536656"/>
    <w:pPr>
      <w:keepNext/>
      <w:spacing w:before="40" w:after="40"/>
    </w:pPr>
    <w:rPr>
      <w:rFonts w:ascii="Arial" w:hAnsi="Arial" w:cs="Arial"/>
      <w:b/>
      <w:noProof/>
      <w:sz w:val="18"/>
      <w:szCs w:val="20"/>
    </w:rPr>
  </w:style>
  <w:style w:type="character" w:customStyle="1" w:styleId="TableHeadingTextChar">
    <w:name w:val="Table Heading Text Char"/>
    <w:basedOn w:val="DefaultParagraphFont"/>
    <w:link w:val="TableHeadingText"/>
    <w:rsid w:val="00536656"/>
    <w:rPr>
      <w:rFonts w:ascii="Arial" w:eastAsia="Times New Roman" w:hAnsi="Arial" w:cs="Arial"/>
      <w:b/>
      <w:noProof/>
      <w:sz w:val="18"/>
      <w:szCs w:val="20"/>
    </w:rPr>
  </w:style>
  <w:style w:type="paragraph" w:customStyle="1" w:styleId="TableText">
    <w:name w:val="Table Text"/>
    <w:basedOn w:val="Normal"/>
    <w:link w:val="TableTextChar"/>
    <w:rsid w:val="00536656"/>
    <w:pPr>
      <w:spacing w:before="40" w:after="40"/>
    </w:pPr>
    <w:rPr>
      <w:rFonts w:ascii="Arial" w:hAnsi="Arial" w:cs="Arial"/>
      <w:noProof/>
      <w:sz w:val="2"/>
      <w:szCs w:val="20"/>
    </w:rPr>
  </w:style>
  <w:style w:type="character" w:customStyle="1" w:styleId="TableTextChar">
    <w:name w:val="Table Text Char"/>
    <w:basedOn w:val="DefaultParagraphFont"/>
    <w:link w:val="TableText"/>
    <w:rsid w:val="00536656"/>
    <w:rPr>
      <w:rFonts w:ascii="Arial" w:eastAsia="Times New Roman" w:hAnsi="Arial" w:cs="Arial"/>
      <w:noProof/>
      <w:sz w:val="2"/>
      <w:szCs w:val="20"/>
    </w:rPr>
  </w:style>
  <w:style w:type="paragraph" w:customStyle="1" w:styleId="TableBullet1">
    <w:name w:val="Table Bullet 1"/>
    <w:basedOn w:val="Normal"/>
    <w:link w:val="TableBullet1Char"/>
    <w:rsid w:val="00536656"/>
    <w:pPr>
      <w:numPr>
        <w:ilvl w:val="4"/>
        <w:numId w:val="20"/>
      </w:numPr>
      <w:spacing w:before="40" w:after="40"/>
      <w:outlineLvl w:val="4"/>
    </w:pPr>
    <w:rPr>
      <w:rFonts w:ascii="Arial" w:hAnsi="Arial" w:cs="Arial"/>
      <w:noProof/>
      <w:sz w:val="2"/>
      <w:szCs w:val="20"/>
    </w:rPr>
  </w:style>
  <w:style w:type="character" w:customStyle="1" w:styleId="TableBullet1Char">
    <w:name w:val="Table Bullet 1 Char"/>
    <w:basedOn w:val="DefaultParagraphFont"/>
    <w:link w:val="TableBullet1"/>
    <w:rsid w:val="00536656"/>
    <w:rPr>
      <w:rFonts w:ascii="Arial" w:eastAsia="Times New Roman" w:hAnsi="Arial" w:cs="Arial"/>
      <w:noProof/>
      <w:sz w:val="2"/>
      <w:szCs w:val="20"/>
    </w:rPr>
  </w:style>
  <w:style w:type="paragraph" w:customStyle="1" w:styleId="TableBullet2">
    <w:name w:val="Table Bullet 2"/>
    <w:basedOn w:val="Normal"/>
    <w:rsid w:val="00536656"/>
    <w:pPr>
      <w:numPr>
        <w:ilvl w:val="5"/>
        <w:numId w:val="20"/>
      </w:numPr>
      <w:spacing w:before="40" w:after="40"/>
      <w:outlineLvl w:val="5"/>
    </w:pPr>
    <w:rPr>
      <w:rFonts w:ascii="Arial" w:hAnsi="Arial" w:cs="Arial"/>
      <w:noProof/>
      <w:sz w:val="2"/>
      <w:szCs w:val="20"/>
    </w:rPr>
  </w:style>
  <w:style w:type="paragraph" w:customStyle="1" w:styleId="TableBullet3">
    <w:name w:val="Table Bullet 3"/>
    <w:basedOn w:val="Normal"/>
    <w:rsid w:val="00536656"/>
    <w:pPr>
      <w:numPr>
        <w:ilvl w:val="6"/>
        <w:numId w:val="20"/>
      </w:numPr>
      <w:spacing w:before="40" w:after="40"/>
      <w:outlineLvl w:val="6"/>
    </w:pPr>
    <w:rPr>
      <w:rFonts w:ascii="Arial" w:hAnsi="Arial" w:cs="Arial"/>
      <w:noProof/>
      <w:sz w:val="2"/>
      <w:szCs w:val="20"/>
    </w:rPr>
  </w:style>
  <w:style w:type="paragraph" w:customStyle="1" w:styleId="TableBullet4">
    <w:name w:val="Table Bullet 4"/>
    <w:basedOn w:val="Normal"/>
    <w:rsid w:val="00536656"/>
    <w:pPr>
      <w:numPr>
        <w:ilvl w:val="7"/>
        <w:numId w:val="20"/>
      </w:numPr>
      <w:spacing w:before="40" w:after="40"/>
      <w:outlineLvl w:val="7"/>
    </w:pPr>
    <w:rPr>
      <w:rFonts w:ascii="Arial" w:hAnsi="Arial" w:cs="Arial"/>
      <w:noProof/>
      <w:sz w:val="2"/>
      <w:szCs w:val="20"/>
    </w:rPr>
  </w:style>
  <w:style w:type="paragraph" w:customStyle="1" w:styleId="Default">
    <w:name w:val="Default"/>
    <w:rsid w:val="0076056B"/>
    <w:pPr>
      <w:autoSpaceDE w:val="0"/>
      <w:autoSpaceDN w:val="0"/>
      <w:adjustRightInd w:val="0"/>
    </w:pPr>
    <w:rPr>
      <w:rFonts w:eastAsiaTheme="minorHAnsi" w:cs="Calibri"/>
      <w:color w:val="000000"/>
      <w:sz w:val="24"/>
      <w:szCs w:val="24"/>
    </w:rPr>
  </w:style>
  <w:style w:type="paragraph" w:styleId="NormalWeb">
    <w:name w:val="Normal (Web)"/>
    <w:basedOn w:val="Normal"/>
    <w:uiPriority w:val="99"/>
    <w:semiHidden/>
    <w:unhideWhenUsed/>
    <w:rsid w:val="0076056B"/>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540883">
      <w:marLeft w:val="0"/>
      <w:marRight w:val="0"/>
      <w:marTop w:val="0"/>
      <w:marBottom w:val="0"/>
      <w:divBdr>
        <w:top w:val="none" w:sz="0" w:space="0" w:color="auto"/>
        <w:left w:val="none" w:sz="0" w:space="0" w:color="auto"/>
        <w:bottom w:val="none" w:sz="0" w:space="0" w:color="auto"/>
        <w:right w:val="none" w:sz="0" w:space="0" w:color="auto"/>
      </w:divBdr>
    </w:div>
    <w:div w:id="1055540884">
      <w:marLeft w:val="0"/>
      <w:marRight w:val="0"/>
      <w:marTop w:val="0"/>
      <w:marBottom w:val="0"/>
      <w:divBdr>
        <w:top w:val="none" w:sz="0" w:space="0" w:color="auto"/>
        <w:left w:val="none" w:sz="0" w:space="0" w:color="auto"/>
        <w:bottom w:val="none" w:sz="0" w:space="0" w:color="auto"/>
        <w:right w:val="none" w:sz="0" w:space="0" w:color="auto"/>
      </w:divBdr>
    </w:div>
    <w:div w:id="1055540885">
      <w:marLeft w:val="0"/>
      <w:marRight w:val="0"/>
      <w:marTop w:val="0"/>
      <w:marBottom w:val="0"/>
      <w:divBdr>
        <w:top w:val="none" w:sz="0" w:space="0" w:color="auto"/>
        <w:left w:val="none" w:sz="0" w:space="0" w:color="auto"/>
        <w:bottom w:val="none" w:sz="0" w:space="0" w:color="auto"/>
        <w:right w:val="none" w:sz="0" w:space="0" w:color="auto"/>
      </w:divBdr>
    </w:div>
    <w:div w:id="1055540886">
      <w:marLeft w:val="0"/>
      <w:marRight w:val="0"/>
      <w:marTop w:val="0"/>
      <w:marBottom w:val="0"/>
      <w:divBdr>
        <w:top w:val="none" w:sz="0" w:space="0" w:color="auto"/>
        <w:left w:val="none" w:sz="0" w:space="0" w:color="auto"/>
        <w:bottom w:val="none" w:sz="0" w:space="0" w:color="auto"/>
        <w:right w:val="none" w:sz="0" w:space="0" w:color="auto"/>
      </w:divBdr>
    </w:div>
    <w:div w:id="1055540887">
      <w:marLeft w:val="0"/>
      <w:marRight w:val="0"/>
      <w:marTop w:val="0"/>
      <w:marBottom w:val="0"/>
      <w:divBdr>
        <w:top w:val="none" w:sz="0" w:space="0" w:color="auto"/>
        <w:left w:val="none" w:sz="0" w:space="0" w:color="auto"/>
        <w:bottom w:val="none" w:sz="0" w:space="0" w:color="auto"/>
        <w:right w:val="none" w:sz="0" w:space="0" w:color="auto"/>
      </w:divBdr>
    </w:div>
    <w:div w:id="1227716526">
      <w:bodyDiv w:val="1"/>
      <w:marLeft w:val="0"/>
      <w:marRight w:val="0"/>
      <w:marTop w:val="0"/>
      <w:marBottom w:val="0"/>
      <w:divBdr>
        <w:top w:val="none" w:sz="0" w:space="0" w:color="auto"/>
        <w:left w:val="none" w:sz="0" w:space="0" w:color="auto"/>
        <w:bottom w:val="none" w:sz="0" w:space="0" w:color="auto"/>
        <w:right w:val="none" w:sz="0" w:space="0" w:color="auto"/>
      </w:divBdr>
    </w:div>
    <w:div w:id="1294096551">
      <w:bodyDiv w:val="1"/>
      <w:marLeft w:val="0"/>
      <w:marRight w:val="0"/>
      <w:marTop w:val="0"/>
      <w:marBottom w:val="0"/>
      <w:divBdr>
        <w:top w:val="none" w:sz="0" w:space="0" w:color="auto"/>
        <w:left w:val="none" w:sz="0" w:space="0" w:color="auto"/>
        <w:bottom w:val="none" w:sz="0" w:space="0" w:color="auto"/>
        <w:right w:val="none" w:sz="0" w:space="0" w:color="auto"/>
      </w:divBdr>
    </w:div>
    <w:div w:id="1465268840">
      <w:bodyDiv w:val="1"/>
      <w:marLeft w:val="0"/>
      <w:marRight w:val="0"/>
      <w:marTop w:val="0"/>
      <w:marBottom w:val="0"/>
      <w:divBdr>
        <w:top w:val="none" w:sz="0" w:space="0" w:color="auto"/>
        <w:left w:val="none" w:sz="0" w:space="0" w:color="auto"/>
        <w:bottom w:val="none" w:sz="0" w:space="0" w:color="auto"/>
        <w:right w:val="none" w:sz="0" w:space="0" w:color="auto"/>
      </w:divBdr>
    </w:div>
    <w:div w:id="1529829086">
      <w:bodyDiv w:val="1"/>
      <w:marLeft w:val="0"/>
      <w:marRight w:val="0"/>
      <w:marTop w:val="0"/>
      <w:marBottom w:val="0"/>
      <w:divBdr>
        <w:top w:val="none" w:sz="0" w:space="0" w:color="auto"/>
        <w:left w:val="none" w:sz="0" w:space="0" w:color="auto"/>
        <w:bottom w:val="none" w:sz="0" w:space="0" w:color="auto"/>
        <w:right w:val="none" w:sz="0" w:space="0" w:color="auto"/>
      </w:divBdr>
    </w:div>
    <w:div w:id="1842427542">
      <w:bodyDiv w:val="1"/>
      <w:marLeft w:val="0"/>
      <w:marRight w:val="0"/>
      <w:marTop w:val="0"/>
      <w:marBottom w:val="0"/>
      <w:divBdr>
        <w:top w:val="none" w:sz="0" w:space="0" w:color="auto"/>
        <w:left w:val="none" w:sz="0" w:space="0" w:color="auto"/>
        <w:bottom w:val="none" w:sz="0" w:space="0" w:color="auto"/>
        <w:right w:val="none" w:sz="0" w:space="0" w:color="auto"/>
      </w:divBdr>
    </w:div>
    <w:div w:id="1846899711">
      <w:bodyDiv w:val="1"/>
      <w:marLeft w:val="0"/>
      <w:marRight w:val="0"/>
      <w:marTop w:val="0"/>
      <w:marBottom w:val="0"/>
      <w:divBdr>
        <w:top w:val="none" w:sz="0" w:space="0" w:color="auto"/>
        <w:left w:val="none" w:sz="0" w:space="0" w:color="auto"/>
        <w:bottom w:val="none" w:sz="0" w:space="0" w:color="auto"/>
        <w:right w:val="none" w:sz="0" w:space="0" w:color="auto"/>
      </w:divBdr>
    </w:div>
    <w:div w:id="205176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ms.gov/Medicare-Medicaid-Coordination/Medicare-and-Medicaid-Coordination/Medicare-Medicaid-Coordination-Office/FinancialAlignmentInitiative/Downloads/DY1QualityWithholdGuidance060614.pdf"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ms.gov/Medicare-Medicaid-Coordination/Medicare-and-Medicaid-Coordination/Medicare-Medicaid-Coordination-Office/Downloads/JointRateSettingProces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ms.gov/Medicare/Health-Plans/MedicareAdvtgSpecRateStats/Downloads/Announcement2015.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A094C-451B-4DE2-A9E8-A07FA0E22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6597</Words>
  <Characters>37606</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MassHealth, in conjunction with the Centers for Medicare and Medicaid Services (CMS), is releasing draft CY 2014 rates for the Massachusetts Demonstration to Integrate Care for Dual Eligible Individuals (One Care)</vt:lpstr>
    </vt:vector>
  </TitlesOfParts>
  <Company>CMS</Company>
  <LinksUpToDate>false</LinksUpToDate>
  <CharactersWithSpaces>44115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MassHealth, in conjunction with the Centers for Medicare and Medicaid Services (CMS), is releasing draft CY 2014 rates for the Massachusetts Demonstration to Integrate Care for Dual Eligible Individuals (One Care)</dc:title>
  <dc:creator>dcspooler</dc:creator>
  <cp:lastModifiedBy>Jenna</cp:lastModifiedBy>
  <cp:revision>2</cp:revision>
  <cp:lastPrinted>2016-01-14T22:57:00Z</cp:lastPrinted>
  <dcterms:created xsi:type="dcterms:W3CDTF">2017-12-21T16:55:00Z</dcterms:created>
  <dcterms:modified xsi:type="dcterms:W3CDTF">2017-12-21T16:55:00Z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