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8805"/>
        <w:gridCol w:w="4155"/>
      </w:tblGrid>
      <w:tr w:rsidR="00A65737" w:rsidRPr="007A4D88" w14:paraId="2A81F6E2" w14:textId="77777777" w:rsidTr="00CE260E">
        <w:tc>
          <w:tcPr>
            <w:tcW w:w="10188" w:type="dxa"/>
          </w:tcPr>
          <w:p w14:paraId="085C9895" w14:textId="77777777" w:rsidR="00A65737" w:rsidRPr="007A4D88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</w:rPr>
            </w:pPr>
            <w:r w:rsidRPr="007A4D88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00C3460" wp14:editId="7F4216BF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7A4D88">
              <w:rPr>
                <w:rFonts w:cs="Arial"/>
                <w:b w:val="0"/>
                <w:sz w:val="24"/>
              </w:rPr>
              <w:t>Minutes</w:t>
            </w:r>
          </w:p>
          <w:p w14:paraId="63563BA2" w14:textId="77777777" w:rsidR="00A65737" w:rsidRPr="007A4D88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sz w:val="24"/>
              </w:rPr>
            </w:pPr>
            <w:r w:rsidRPr="007A4D88">
              <w:rPr>
                <w:rFonts w:cs="Arial"/>
                <w:sz w:val="24"/>
              </w:rPr>
              <w:t>Drug Utilization Review Board Meeting</w:t>
            </w:r>
          </w:p>
          <w:p w14:paraId="7E3A95D5" w14:textId="77777777" w:rsidR="008A420F" w:rsidRPr="007A4D88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</w:rPr>
            </w:pPr>
            <w:r w:rsidRPr="007A4D88">
              <w:rPr>
                <w:rFonts w:cs="Arial"/>
                <w:b w:val="0"/>
                <w:sz w:val="24"/>
              </w:rPr>
              <w:t xml:space="preserve">DATE: </w:t>
            </w:r>
            <w:r w:rsidR="000F74BF" w:rsidRPr="007A4D88">
              <w:rPr>
                <w:rFonts w:cs="Arial"/>
                <w:b w:val="0"/>
                <w:sz w:val="24"/>
              </w:rPr>
              <w:t>6</w:t>
            </w:r>
            <w:r w:rsidR="00E11EEF" w:rsidRPr="007A4D88">
              <w:rPr>
                <w:rFonts w:cs="Arial"/>
                <w:b w:val="0"/>
                <w:sz w:val="24"/>
              </w:rPr>
              <w:t>/</w:t>
            </w:r>
            <w:r w:rsidR="000F74BF" w:rsidRPr="007A4D88">
              <w:rPr>
                <w:rFonts w:cs="Arial"/>
                <w:b w:val="0"/>
                <w:sz w:val="24"/>
              </w:rPr>
              <w:t>12</w:t>
            </w:r>
            <w:r w:rsidR="00E11EEF" w:rsidRPr="007A4D88">
              <w:rPr>
                <w:rFonts w:cs="Arial"/>
                <w:b w:val="0"/>
                <w:sz w:val="24"/>
              </w:rPr>
              <w:t>/19</w:t>
            </w:r>
          </w:p>
        </w:tc>
        <w:tc>
          <w:tcPr>
            <w:tcW w:w="4212" w:type="dxa"/>
          </w:tcPr>
          <w:p w14:paraId="2893005F" w14:textId="77777777" w:rsidR="00A65737" w:rsidRPr="007A4D88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4"/>
              </w:rPr>
            </w:pPr>
            <w:r w:rsidRPr="007A4D88">
              <w:rPr>
                <w:rFonts w:cs="Arial"/>
                <w:noProof/>
              </w:rPr>
              <w:drawing>
                <wp:inline distT="0" distB="0" distL="0" distR="0" wp14:anchorId="256F8F5B" wp14:editId="43DB542D">
                  <wp:extent cx="2280285" cy="653415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902AF" w14:textId="77777777" w:rsidR="00A65737" w:rsidRPr="007A4D88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4418D176" w14:textId="77777777" w:rsidR="00A65737" w:rsidRPr="007A4D88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07286633" w14:textId="77777777" w:rsidR="00401D9D" w:rsidRPr="007A4D88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7A4D88">
        <w:rPr>
          <w:rFonts w:cs="Arial"/>
          <w:bCs/>
          <w:color w:val="000000"/>
          <w:sz w:val="22"/>
          <w:szCs w:val="22"/>
        </w:rPr>
        <w:t xml:space="preserve">Quarterly Open Board Meeting </w:t>
      </w:r>
    </w:p>
    <w:p w14:paraId="33E56D32" w14:textId="7142ECA4" w:rsidR="00401D9D" w:rsidRPr="007A4D88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6D39BB">
        <w:rPr>
          <w:rFonts w:cs="Arial"/>
          <w:bCs/>
          <w:color w:val="000000"/>
          <w:sz w:val="22"/>
          <w:szCs w:val="22"/>
        </w:rPr>
        <w:t>pm</w:t>
      </w:r>
      <w:r w:rsidRPr="007A4D88">
        <w:rPr>
          <w:rFonts w:cs="Arial"/>
          <w:bCs/>
          <w:color w:val="000000"/>
          <w:sz w:val="22"/>
          <w:szCs w:val="22"/>
        </w:rPr>
        <w:t xml:space="preserve"> by, </w:t>
      </w:r>
      <w:r w:rsidR="00E11EEF" w:rsidRPr="007A4D88">
        <w:rPr>
          <w:rFonts w:cs="Arial"/>
          <w:bCs/>
          <w:color w:val="000000"/>
          <w:sz w:val="22"/>
          <w:szCs w:val="22"/>
        </w:rPr>
        <w:t>Timothy Fensky</w:t>
      </w:r>
    </w:p>
    <w:p w14:paraId="039AF9A0" w14:textId="77777777" w:rsidR="00A067DE" w:rsidRPr="007A4D88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6B671629" w14:textId="5AF60E08" w:rsidR="007B4FF3" w:rsidRPr="007A4D88" w:rsidRDefault="00A067DE" w:rsidP="007B4FF3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/>
          <w:bCs/>
          <w:color w:val="000000"/>
          <w:sz w:val="22"/>
          <w:szCs w:val="22"/>
        </w:rPr>
        <w:t xml:space="preserve">Attendance: </w:t>
      </w:r>
      <w:r w:rsidR="0039686D" w:rsidRPr="007A4D88">
        <w:rPr>
          <w:rFonts w:cs="Arial"/>
          <w:bCs/>
          <w:color w:val="000000"/>
          <w:sz w:val="22"/>
          <w:szCs w:val="22"/>
        </w:rPr>
        <w:t xml:space="preserve">Timothy Fensky, </w:t>
      </w:r>
      <w:r w:rsidR="008655F6" w:rsidRPr="007A4D88">
        <w:rPr>
          <w:rFonts w:cs="Arial"/>
          <w:bCs/>
          <w:color w:val="000000"/>
          <w:sz w:val="22"/>
          <w:szCs w:val="22"/>
        </w:rPr>
        <w:t>R</w:t>
      </w:r>
      <w:r w:rsidR="00DB560F">
        <w:rPr>
          <w:rFonts w:cs="Arial"/>
          <w:bCs/>
          <w:color w:val="000000"/>
          <w:sz w:val="22"/>
          <w:szCs w:val="22"/>
        </w:rPr>
        <w:t xml:space="preserve"> </w:t>
      </w:r>
      <w:r w:rsidR="008655F6" w:rsidRPr="007A4D88">
        <w:rPr>
          <w:rFonts w:cs="Arial"/>
          <w:bCs/>
          <w:color w:val="000000"/>
          <w:sz w:val="22"/>
          <w:szCs w:val="22"/>
        </w:rPr>
        <w:t>Ph</w:t>
      </w:r>
      <w:r w:rsidR="0039686D" w:rsidRPr="007A4D88">
        <w:rPr>
          <w:rFonts w:cs="Arial"/>
          <w:bCs/>
          <w:color w:val="000000"/>
          <w:sz w:val="22"/>
          <w:szCs w:val="22"/>
        </w:rPr>
        <w:t xml:space="preserve">; Joel Goldstein, MD; Colleen Labelle, MSN, RN-BC, CARN; Greg Low, </w:t>
      </w:r>
      <w:r w:rsidR="003D15DB" w:rsidRPr="007A4D88">
        <w:rPr>
          <w:rFonts w:cs="Arial"/>
          <w:bCs/>
          <w:color w:val="000000"/>
          <w:sz w:val="22"/>
          <w:szCs w:val="22"/>
        </w:rPr>
        <w:t>R</w:t>
      </w:r>
      <w:r w:rsidR="003D15DB">
        <w:rPr>
          <w:rFonts w:cs="Arial"/>
          <w:bCs/>
          <w:color w:val="000000"/>
          <w:sz w:val="22"/>
          <w:szCs w:val="22"/>
        </w:rPr>
        <w:t>h,</w:t>
      </w:r>
      <w:r w:rsidR="003D15DB" w:rsidRPr="007A4D88">
        <w:rPr>
          <w:rFonts w:cs="Arial"/>
          <w:bCs/>
          <w:color w:val="000000"/>
          <w:sz w:val="22"/>
          <w:szCs w:val="22"/>
        </w:rPr>
        <w:t xml:space="preserve"> PhD</w:t>
      </w:r>
      <w:r w:rsidR="0039686D" w:rsidRPr="007A4D88">
        <w:rPr>
          <w:rFonts w:cs="Arial"/>
          <w:bCs/>
          <w:color w:val="000000"/>
          <w:sz w:val="22"/>
          <w:szCs w:val="22"/>
        </w:rPr>
        <w:t xml:space="preserve">; Karen Ryle, MS, </w:t>
      </w:r>
      <w:r w:rsidR="008655F6" w:rsidRPr="007A4D88">
        <w:rPr>
          <w:rFonts w:cs="Arial"/>
          <w:bCs/>
          <w:color w:val="000000"/>
          <w:sz w:val="22"/>
          <w:szCs w:val="22"/>
        </w:rPr>
        <w:t>R</w:t>
      </w:r>
      <w:r w:rsidR="00DB560F">
        <w:rPr>
          <w:rFonts w:cs="Arial"/>
          <w:bCs/>
          <w:color w:val="000000"/>
          <w:sz w:val="22"/>
          <w:szCs w:val="22"/>
        </w:rPr>
        <w:t xml:space="preserve"> </w:t>
      </w:r>
      <w:r w:rsidR="008655F6" w:rsidRPr="007A4D88">
        <w:rPr>
          <w:rFonts w:cs="Arial"/>
          <w:bCs/>
          <w:color w:val="000000"/>
          <w:sz w:val="22"/>
          <w:szCs w:val="22"/>
        </w:rPr>
        <w:t>Ph</w:t>
      </w:r>
      <w:r w:rsidR="0039686D" w:rsidRPr="007A4D88">
        <w:rPr>
          <w:rFonts w:cs="Arial"/>
          <w:bCs/>
          <w:color w:val="000000"/>
          <w:sz w:val="22"/>
          <w:szCs w:val="22"/>
        </w:rPr>
        <w:t>; Christy Stine, MD; Michael Thompson, MD;</w:t>
      </w:r>
      <w:r w:rsidR="00E11EEF" w:rsidRPr="007A4D88">
        <w:rPr>
          <w:rFonts w:cs="Arial"/>
          <w:bCs/>
          <w:color w:val="000000"/>
          <w:sz w:val="22"/>
          <w:szCs w:val="22"/>
        </w:rPr>
        <w:t xml:space="preserve"> </w:t>
      </w:r>
    </w:p>
    <w:p w14:paraId="6CCA1515" w14:textId="77777777" w:rsidR="00A067DE" w:rsidRPr="007A4D88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F97BFF1" w14:textId="0DC8F3F0" w:rsidR="00A067DE" w:rsidRPr="007A4D88" w:rsidRDefault="00A067DE" w:rsidP="000F74BF">
      <w:pPr>
        <w:overflowPunct/>
        <w:autoSpaceDE/>
        <w:autoSpaceDN/>
        <w:adjustRightInd/>
        <w:rPr>
          <w:rFonts w:cs="Arial"/>
        </w:rPr>
      </w:pPr>
      <w:r w:rsidRPr="007A4D88">
        <w:rPr>
          <w:rFonts w:cs="Arial"/>
          <w:b/>
          <w:bCs/>
          <w:color w:val="000000"/>
          <w:sz w:val="22"/>
          <w:szCs w:val="22"/>
        </w:rPr>
        <w:t xml:space="preserve">Absent: </w:t>
      </w:r>
      <w:r w:rsidR="000F74BF" w:rsidRPr="007A4D88">
        <w:rPr>
          <w:rFonts w:cs="Arial"/>
          <w:bCs/>
          <w:color w:val="000000"/>
          <w:sz w:val="22"/>
          <w:szCs w:val="22"/>
        </w:rPr>
        <w:t>Lori Lewicki, R</w:t>
      </w:r>
      <w:r w:rsidR="00DB560F">
        <w:rPr>
          <w:rFonts w:cs="Arial"/>
          <w:bCs/>
          <w:color w:val="000000"/>
          <w:sz w:val="22"/>
          <w:szCs w:val="22"/>
        </w:rPr>
        <w:t xml:space="preserve"> </w:t>
      </w:r>
      <w:r w:rsidR="000F74BF" w:rsidRPr="007A4D88">
        <w:rPr>
          <w:rFonts w:cs="Arial"/>
          <w:bCs/>
          <w:color w:val="000000"/>
          <w:sz w:val="22"/>
          <w:szCs w:val="22"/>
        </w:rPr>
        <w:t>Ph;</w:t>
      </w:r>
      <w:r w:rsidR="000F74BF" w:rsidRPr="007A4D88">
        <w:rPr>
          <w:rFonts w:cs="Arial"/>
        </w:rPr>
        <w:t xml:space="preserve"> </w:t>
      </w:r>
      <w:r w:rsidR="000F74BF" w:rsidRPr="003D15DB">
        <w:rPr>
          <w:rFonts w:cs="Arial"/>
          <w:sz w:val="22"/>
          <w:szCs w:val="22"/>
        </w:rPr>
        <w:t>Sarah M. McGee, MD</w:t>
      </w:r>
      <w:r w:rsidR="000F74BF" w:rsidRPr="007A4D88">
        <w:rPr>
          <w:rFonts w:cs="Arial"/>
        </w:rPr>
        <w:t>;</w:t>
      </w:r>
      <w:r w:rsidR="000F74BF" w:rsidRPr="007A4D88">
        <w:rPr>
          <w:rFonts w:cs="Arial"/>
          <w:bCs/>
          <w:color w:val="000000"/>
          <w:sz w:val="22"/>
          <w:szCs w:val="22"/>
        </w:rPr>
        <w:t xml:space="preserve"> </w:t>
      </w:r>
      <w:r w:rsidR="00E11EEF" w:rsidRPr="007A4D88">
        <w:rPr>
          <w:rFonts w:cs="Arial"/>
          <w:bCs/>
          <w:color w:val="000000"/>
          <w:sz w:val="22"/>
          <w:szCs w:val="22"/>
        </w:rPr>
        <w:t>Therese Mulvey, MD</w:t>
      </w:r>
      <w:r w:rsidR="000F74BF" w:rsidRPr="007A4D88">
        <w:rPr>
          <w:rFonts w:cs="Arial"/>
          <w:bCs/>
          <w:color w:val="000000"/>
          <w:sz w:val="22"/>
          <w:szCs w:val="22"/>
        </w:rPr>
        <w:t>;</w:t>
      </w:r>
    </w:p>
    <w:p w14:paraId="1BAB3707" w14:textId="77777777" w:rsidR="00401D9D" w:rsidRPr="007A4D88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26ABD0B" w14:textId="77777777" w:rsidR="00401D9D" w:rsidRPr="007A4D88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7A4D88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23E31D00" w14:textId="77777777" w:rsidR="008C6724" w:rsidRPr="007A4D88" w:rsidRDefault="00401D9D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Welcome and Introductory Remarks</w:t>
      </w:r>
    </w:p>
    <w:p w14:paraId="5ADC3FD9" w14:textId="77777777" w:rsidR="00FF5962" w:rsidRPr="007A4D88" w:rsidRDefault="00FF5962" w:rsidP="003D2462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Minutes</w:t>
      </w:r>
    </w:p>
    <w:p w14:paraId="4E8A402C" w14:textId="77777777" w:rsidR="004650F4" w:rsidRPr="007A4D88" w:rsidRDefault="004650F4" w:rsidP="00F957E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Pipeline</w:t>
      </w:r>
      <w:r w:rsidR="000F74BF" w:rsidRPr="007A4D88">
        <w:rPr>
          <w:rFonts w:cs="Arial"/>
          <w:bCs/>
          <w:color w:val="000000"/>
          <w:sz w:val="22"/>
          <w:szCs w:val="22"/>
        </w:rPr>
        <w:t xml:space="preserve"> Update</w:t>
      </w:r>
      <w:r w:rsidR="006B585B" w:rsidRPr="007A4D88">
        <w:rPr>
          <w:rFonts w:cs="Arial"/>
          <w:bCs/>
          <w:color w:val="000000"/>
          <w:sz w:val="22"/>
          <w:szCs w:val="22"/>
        </w:rPr>
        <w:t xml:space="preserve"> </w:t>
      </w:r>
      <w:r w:rsidR="000F74BF" w:rsidRPr="007A4D88">
        <w:rPr>
          <w:rFonts w:cs="Arial"/>
          <w:bCs/>
          <w:color w:val="000000"/>
          <w:sz w:val="22"/>
          <w:szCs w:val="22"/>
        </w:rPr>
        <w:t>Summary</w:t>
      </w:r>
    </w:p>
    <w:p w14:paraId="28CCB7BF" w14:textId="77777777" w:rsidR="006B585B" w:rsidRPr="007A4D88" w:rsidRDefault="000F74BF" w:rsidP="00CB6AC7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hanging="72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Resident Research Project: Changes in Medical and Pharmacy Utilization Following Initiation of Clozapine in Adults</w:t>
      </w:r>
      <w:r w:rsidR="00CB6AC7" w:rsidRPr="007A4D88">
        <w:rPr>
          <w:rFonts w:cs="Arial"/>
          <w:bCs/>
          <w:color w:val="000000"/>
          <w:sz w:val="22"/>
          <w:szCs w:val="22"/>
        </w:rPr>
        <w:t xml:space="preserve"> with Treatment-Resistant Schizophrenia in a Medicaid Population</w:t>
      </w:r>
    </w:p>
    <w:p w14:paraId="50B1D31B" w14:textId="77777777" w:rsidR="00CB6AC7" w:rsidRPr="007A4D88" w:rsidRDefault="00CB6AC7" w:rsidP="00CB6AC7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right="-90" w:hanging="72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Resident Research Project: An Observational Case-Control Study of Risk Factors for Overdose in Members of State Medicaid Program Prescribed Concurrent Benzodiazepines and Opioids</w:t>
      </w:r>
    </w:p>
    <w:p w14:paraId="50FC9FE7" w14:textId="77777777" w:rsidR="00CB6AC7" w:rsidRPr="007A4D88" w:rsidRDefault="00CB6AC7" w:rsidP="00304A4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Spravato (esketamine) New Drug Review</w:t>
      </w:r>
    </w:p>
    <w:p w14:paraId="068F4CBE" w14:textId="77777777" w:rsidR="00304A40" w:rsidRPr="007A4D88" w:rsidRDefault="00304A40" w:rsidP="00304A4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MHDL Update</w:t>
      </w:r>
    </w:p>
    <w:p w14:paraId="427FD71C" w14:textId="77777777" w:rsidR="00304A40" w:rsidRPr="007A4D88" w:rsidRDefault="00304A40" w:rsidP="00304A4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DUR Operational Update</w:t>
      </w:r>
    </w:p>
    <w:p w14:paraId="3D6C2EF4" w14:textId="77777777" w:rsidR="00304A40" w:rsidRPr="007A4D88" w:rsidRDefault="00304A40" w:rsidP="006B585B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 xml:space="preserve">MassHealth Update </w:t>
      </w:r>
    </w:p>
    <w:p w14:paraId="7A52220D" w14:textId="77777777" w:rsidR="00504713" w:rsidRPr="007A4D88" w:rsidRDefault="00CB6AC7" w:rsidP="006B585B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7A4D88">
        <w:rPr>
          <w:rFonts w:cs="Arial"/>
          <w:bCs/>
          <w:color w:val="000000"/>
          <w:sz w:val="22"/>
          <w:szCs w:val="22"/>
        </w:rPr>
        <w:t>Immunoglobulin Quality Assurance Analysis</w:t>
      </w:r>
    </w:p>
    <w:p w14:paraId="3BF13DA4" w14:textId="77777777" w:rsidR="004650F4" w:rsidRPr="007A4D88" w:rsidRDefault="004650F4" w:rsidP="00E8289F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2147"/>
        <w:gridCol w:w="8276"/>
        <w:gridCol w:w="2527"/>
      </w:tblGrid>
      <w:tr w:rsidR="00FC6186" w:rsidRPr="00190DAB" w14:paraId="518F93B0" w14:textId="77777777" w:rsidTr="007A4D88">
        <w:tc>
          <w:tcPr>
            <w:tcW w:w="2147" w:type="dxa"/>
            <w:shd w:val="clear" w:color="auto" w:fill="000000" w:themeFill="text1"/>
          </w:tcPr>
          <w:p w14:paraId="30D68C3A" w14:textId="77777777" w:rsidR="00FC6186" w:rsidRPr="001430C6" w:rsidRDefault="00FC6186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1CE6A22" w14:textId="77777777" w:rsidR="00FC6186" w:rsidRPr="001430C6" w:rsidRDefault="00FC6186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76" w:type="dxa"/>
            <w:shd w:val="clear" w:color="auto" w:fill="000000" w:themeFill="text1"/>
          </w:tcPr>
          <w:p w14:paraId="56CA64C1" w14:textId="77777777" w:rsidR="00FC6186" w:rsidRPr="001430C6" w:rsidRDefault="00FC6186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D88281D" w14:textId="77777777" w:rsidR="00FC6186" w:rsidRPr="001430C6" w:rsidRDefault="00FC6186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7" w:type="dxa"/>
            <w:shd w:val="clear" w:color="auto" w:fill="000000" w:themeFill="text1"/>
          </w:tcPr>
          <w:p w14:paraId="5B77BEDE" w14:textId="77777777" w:rsidR="00FC6186" w:rsidRPr="001430C6" w:rsidRDefault="00FC6186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E23ECA" w14:textId="77777777" w:rsidR="00FC6186" w:rsidRPr="001430C6" w:rsidRDefault="00FC6186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B56BDC" w:rsidRPr="00190DAB" w14:paraId="743AA691" w14:textId="77777777" w:rsidTr="007A4D88">
        <w:tc>
          <w:tcPr>
            <w:tcW w:w="2147" w:type="dxa"/>
          </w:tcPr>
          <w:p w14:paraId="0C21ABA5" w14:textId="77777777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</w:p>
          <w:p w14:paraId="02C29137" w14:textId="77777777" w:rsidR="00B56BDC" w:rsidRPr="001430C6" w:rsidRDefault="00B56BDC" w:rsidP="00B56BD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30C6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7D49AE43" w14:textId="77777777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76" w:type="dxa"/>
            <w:vAlign w:val="center"/>
          </w:tcPr>
          <w:p w14:paraId="0EAF44E5" w14:textId="3E3561E4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Motion made by</w:t>
            </w:r>
            <w:r w:rsidR="00110CBD" w:rsidRPr="00190DAB">
              <w:rPr>
                <w:rFonts w:cs="Arial"/>
                <w:bCs/>
                <w:color w:val="000000"/>
                <w:sz w:val="22"/>
                <w:szCs w:val="22"/>
              </w:rPr>
              <w:t xml:space="preserve"> Christy Stine, MD </w:t>
            </w:r>
            <w:r w:rsidRPr="001430C6">
              <w:rPr>
                <w:rFonts w:cs="Arial"/>
                <w:sz w:val="22"/>
                <w:szCs w:val="22"/>
              </w:rPr>
              <w:t>to accept the March 13, 2019</w:t>
            </w:r>
            <w:r w:rsidR="009123F2">
              <w:rPr>
                <w:rFonts w:cs="Arial"/>
                <w:sz w:val="22"/>
                <w:szCs w:val="22"/>
              </w:rPr>
              <w:t>,</w:t>
            </w:r>
            <w:r w:rsidRPr="001430C6">
              <w:rPr>
                <w:rFonts w:cs="Arial"/>
                <w:sz w:val="22"/>
                <w:szCs w:val="22"/>
              </w:rPr>
              <w:t xml:space="preserve"> minutes as written</w:t>
            </w:r>
            <w:r w:rsidR="00E47C0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527" w:type="dxa"/>
          </w:tcPr>
          <w:p w14:paraId="74F2B5AB" w14:textId="77777777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</w:p>
          <w:p w14:paraId="1E304EF8" w14:textId="77777777" w:rsidR="00B56BDC" w:rsidRPr="001430C6" w:rsidRDefault="00B56BDC" w:rsidP="00B56BD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E523EA9" w14:textId="77777777" w:rsidR="00B56BDC" w:rsidRPr="001430C6" w:rsidRDefault="00B56BDC" w:rsidP="00B56BD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</w:rPr>
              <w:t>N/A</w:t>
            </w:r>
          </w:p>
        </w:tc>
      </w:tr>
      <w:tr w:rsidR="00B56BDC" w:rsidRPr="00190DAB" w14:paraId="751D803A" w14:textId="77777777" w:rsidTr="007A4D88">
        <w:tc>
          <w:tcPr>
            <w:tcW w:w="2147" w:type="dxa"/>
          </w:tcPr>
          <w:p w14:paraId="09150C54" w14:textId="77777777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</w:p>
          <w:p w14:paraId="0786AB8A" w14:textId="77777777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</w:p>
          <w:p w14:paraId="546F8960" w14:textId="77777777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76" w:type="dxa"/>
          </w:tcPr>
          <w:p w14:paraId="55F60336" w14:textId="12FD69F4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Minutes for March 13, 2019</w:t>
            </w:r>
            <w:r w:rsidR="009F71D5">
              <w:rPr>
                <w:rFonts w:cs="Arial"/>
                <w:sz w:val="22"/>
                <w:szCs w:val="22"/>
              </w:rPr>
              <w:t>,</w:t>
            </w:r>
            <w:r w:rsidRPr="001430C6">
              <w:rPr>
                <w:rFonts w:cs="Arial"/>
                <w:sz w:val="22"/>
                <w:szCs w:val="22"/>
              </w:rPr>
              <w:t xml:space="preserve"> were seconded by</w:t>
            </w:r>
            <w:r w:rsidRPr="00190DAB">
              <w:rPr>
                <w:rFonts w:cs="Arial"/>
                <w:bCs/>
                <w:color w:val="000000"/>
                <w:sz w:val="22"/>
                <w:szCs w:val="22"/>
              </w:rPr>
              <w:t xml:space="preserve"> Joel Goldstein, MD</w:t>
            </w:r>
          </w:p>
          <w:p w14:paraId="59E61891" w14:textId="77777777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All approved.</w:t>
            </w:r>
          </w:p>
        </w:tc>
        <w:tc>
          <w:tcPr>
            <w:tcW w:w="2527" w:type="dxa"/>
          </w:tcPr>
          <w:p w14:paraId="6B49465E" w14:textId="77777777" w:rsidR="00B56BDC" w:rsidRPr="001430C6" w:rsidRDefault="00B56BDC" w:rsidP="00B56BDC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7CD297C" w14:textId="77777777" w:rsidR="00CF5255" w:rsidRPr="001430C6" w:rsidRDefault="00CF5255" w:rsidP="00E8289F">
      <w:pPr>
        <w:rPr>
          <w:rFonts w:cs="Arial"/>
          <w:sz w:val="22"/>
          <w:szCs w:val="22"/>
        </w:rPr>
      </w:pPr>
    </w:p>
    <w:p w14:paraId="64BD29A0" w14:textId="77777777" w:rsidR="00A12838" w:rsidRPr="001430C6" w:rsidRDefault="00A12838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8C3C28" w:rsidRPr="00190DAB" w14:paraId="78522365" w14:textId="77777777" w:rsidTr="00DB560F">
        <w:tc>
          <w:tcPr>
            <w:tcW w:w="2157" w:type="dxa"/>
            <w:shd w:val="clear" w:color="auto" w:fill="000000" w:themeFill="text1"/>
          </w:tcPr>
          <w:p w14:paraId="47F2C614" w14:textId="77777777" w:rsidR="008C3C28" w:rsidRPr="001430C6" w:rsidRDefault="008C3C28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bookmarkStart w:id="0" w:name="_Hlk11503369"/>
          </w:p>
          <w:p w14:paraId="47A5B6C5" w14:textId="77777777" w:rsidR="008C3C28" w:rsidRPr="001430C6" w:rsidRDefault="008C3C28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3B6184AD" w14:textId="77777777" w:rsidR="008C3C28" w:rsidRPr="001430C6" w:rsidRDefault="008C3C28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72BA3E9" w14:textId="77777777" w:rsidR="008C3C28" w:rsidRPr="001430C6" w:rsidRDefault="008C3C28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03BEAEC" w14:textId="77777777" w:rsidR="008C3C28" w:rsidRPr="001430C6" w:rsidRDefault="008C3C28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5B0524D" w14:textId="77777777" w:rsidR="008C3C28" w:rsidRPr="001430C6" w:rsidRDefault="008C3C28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C3C28" w:rsidRPr="00190DAB" w14:paraId="04B28684" w14:textId="77777777" w:rsidTr="00DB560F">
        <w:tc>
          <w:tcPr>
            <w:tcW w:w="2157" w:type="dxa"/>
          </w:tcPr>
          <w:p w14:paraId="0224C837" w14:textId="77777777" w:rsidR="008C3C28" w:rsidRPr="004F018D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58219675" w14:textId="77777777" w:rsidR="008C3C28" w:rsidRPr="00E5631F" w:rsidRDefault="002A63D9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5631F">
              <w:rPr>
                <w:rFonts w:cs="Arial"/>
                <w:b/>
                <w:bCs/>
                <w:color w:val="000000"/>
                <w:sz w:val="22"/>
                <w:szCs w:val="22"/>
              </w:rPr>
              <w:t>Pipeline Update</w:t>
            </w:r>
          </w:p>
          <w:p w14:paraId="1B95F45B" w14:textId="77777777" w:rsidR="008C3C28" w:rsidRPr="004F018D" w:rsidRDefault="008C3C28" w:rsidP="007A4D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62CBF61D" w14:textId="77777777" w:rsidR="008C3C28" w:rsidRPr="001430C6" w:rsidRDefault="008C3C28" w:rsidP="007A4D8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45AD9312" w14:textId="1ED67E19" w:rsidR="008C3C28" w:rsidRPr="00190DAB" w:rsidRDefault="002A63D9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  <w:u w:val="single"/>
              </w:rPr>
              <w:t>Pipeline Update Summary by</w:t>
            </w:r>
            <w:r w:rsidR="00190DAB">
              <w:rPr>
                <w:rFonts w:cs="Arial"/>
                <w:sz w:val="22"/>
                <w:szCs w:val="22"/>
                <w:u w:val="single"/>
              </w:rPr>
              <w:t xml:space="preserve"> Dr</w:t>
            </w:r>
            <w:r w:rsidR="008C3C28" w:rsidRPr="001430C6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1430C6">
              <w:rPr>
                <w:rFonts w:cs="Arial"/>
                <w:sz w:val="22"/>
                <w:szCs w:val="22"/>
                <w:u w:val="single"/>
              </w:rPr>
              <w:t>Pavel Lavitas</w:t>
            </w:r>
          </w:p>
          <w:p w14:paraId="2EEFFFE4" w14:textId="3BD29F4A" w:rsidR="008C3C28" w:rsidRPr="001430C6" w:rsidRDefault="002A63D9" w:rsidP="00DB560F">
            <w:pPr>
              <w:pStyle w:val="ListParagraph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bCs/>
                <w:sz w:val="22"/>
                <w:szCs w:val="22"/>
              </w:rPr>
              <w:t>The Pipeline Update provide</w:t>
            </w:r>
            <w:r w:rsidR="00190DAB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1430C6">
              <w:rPr>
                <w:rFonts w:ascii="Arial" w:hAnsi="Arial" w:cs="Arial"/>
                <w:bCs/>
                <w:sz w:val="22"/>
                <w:szCs w:val="22"/>
              </w:rPr>
              <w:t xml:space="preserve"> a brief overview of clinical and/or regulatory updates regarding select pharmaceutical pipeline agents in late-stage development. </w:t>
            </w:r>
          </w:p>
        </w:tc>
        <w:tc>
          <w:tcPr>
            <w:tcW w:w="2526" w:type="dxa"/>
          </w:tcPr>
          <w:p w14:paraId="4838AC50" w14:textId="77777777" w:rsidR="008C3C28" w:rsidRPr="001430C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413754C6" w14:textId="77777777" w:rsidR="008C3C28" w:rsidRPr="001430C6" w:rsidRDefault="008C3C28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2BC165C" w14:textId="77777777" w:rsidR="008C3C28" w:rsidRPr="001430C6" w:rsidRDefault="008C3C28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8C3C28" w:rsidRPr="00190DAB" w14:paraId="3F021CB1" w14:textId="77777777" w:rsidTr="00DB560F">
        <w:tc>
          <w:tcPr>
            <w:tcW w:w="2157" w:type="dxa"/>
          </w:tcPr>
          <w:p w14:paraId="4FDF272F" w14:textId="77777777" w:rsidR="008C3C28" w:rsidRPr="004F018D" w:rsidRDefault="008C3C28" w:rsidP="007A4D88">
            <w:pPr>
              <w:rPr>
                <w:rFonts w:cs="Arial"/>
                <w:sz w:val="22"/>
                <w:szCs w:val="22"/>
              </w:rPr>
            </w:pPr>
            <w:r w:rsidRPr="004F018D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3EEF0D82" w14:textId="77777777" w:rsidR="008C3C28" w:rsidRPr="001430C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73E5FDCE" w14:textId="77777777" w:rsidR="008C3C28" w:rsidRPr="001430C6" w:rsidRDefault="008C3C28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5946AFE9" w14:textId="77777777" w:rsidR="008C3C28" w:rsidRPr="001430C6" w:rsidRDefault="00B81D22" w:rsidP="002B59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 xml:space="preserve">Reviewed </w:t>
            </w:r>
            <w:r w:rsidR="002A63D9" w:rsidRPr="001430C6">
              <w:rPr>
                <w:rFonts w:ascii="Arial" w:hAnsi="Arial" w:cs="Arial"/>
                <w:sz w:val="22"/>
                <w:szCs w:val="22"/>
              </w:rPr>
              <w:t>Givosiran</w:t>
            </w:r>
            <w:r w:rsidR="00B97628" w:rsidRPr="001430C6">
              <w:rPr>
                <w:rFonts w:ascii="Arial" w:hAnsi="Arial" w:cs="Arial"/>
                <w:sz w:val="22"/>
                <w:szCs w:val="22"/>
              </w:rPr>
              <w:t xml:space="preserve"> – RNAi Therapeutic Agent treating ALA1S</w:t>
            </w:r>
          </w:p>
          <w:p w14:paraId="07D76307" w14:textId="77777777" w:rsidR="00B97628" w:rsidRPr="001430C6" w:rsidRDefault="00B97628" w:rsidP="002B591A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Treatment of AHP</w:t>
            </w:r>
          </w:p>
          <w:p w14:paraId="6CFEADCD" w14:textId="77777777" w:rsidR="008C3C28" w:rsidRPr="001430C6" w:rsidRDefault="008C3C28" w:rsidP="002B591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Review</w:t>
            </w:r>
            <w:r w:rsidR="00B81D22" w:rsidRPr="001430C6">
              <w:rPr>
                <w:rFonts w:ascii="Arial" w:hAnsi="Arial" w:cs="Arial"/>
                <w:sz w:val="22"/>
                <w:szCs w:val="22"/>
              </w:rPr>
              <w:t>ed</w:t>
            </w:r>
            <w:r w:rsidR="002A63D9" w:rsidRPr="001430C6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B97628" w:rsidRPr="001430C6">
              <w:rPr>
                <w:rFonts w:ascii="Arial" w:hAnsi="Arial" w:cs="Arial"/>
                <w:sz w:val="22"/>
                <w:szCs w:val="22"/>
              </w:rPr>
              <w:t>uspatercept – Erytheroid Maturation Agent</w:t>
            </w:r>
          </w:p>
          <w:p w14:paraId="015E7C66" w14:textId="77777777" w:rsidR="001A0865" w:rsidRPr="001430C6" w:rsidRDefault="007A4D88" w:rsidP="002B591A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Treatment of very low to intermediate-risk MDS-associated anemia requiring RBC transfusions</w:t>
            </w:r>
          </w:p>
          <w:p w14:paraId="20D71053" w14:textId="77777777" w:rsidR="00B97628" w:rsidRPr="001430C6" w:rsidRDefault="007A4D88" w:rsidP="002B591A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 xml:space="preserve">Treatment of </w:t>
            </w:r>
            <w:r w:rsidRPr="001430C6">
              <w:rPr>
                <w:rFonts w:ascii="Arial" w:hAnsi="Arial" w:cs="Arial"/>
                <w:sz w:val="22"/>
                <w:szCs w:val="22"/>
                <w:lang w:val="el-GR"/>
              </w:rPr>
              <w:t>β</w:t>
            </w:r>
            <w:r w:rsidRPr="001430C6">
              <w:rPr>
                <w:rFonts w:ascii="Arial" w:hAnsi="Arial" w:cs="Arial"/>
                <w:sz w:val="22"/>
                <w:szCs w:val="22"/>
              </w:rPr>
              <w:t>-thalassemia-associated anemia requiring RBC transfusions</w:t>
            </w:r>
            <w:r w:rsidR="00B97628" w:rsidRP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9A0DA0" w14:textId="77777777" w:rsidR="008C3C28" w:rsidRPr="001430C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3209B7C9" w14:textId="442D365B" w:rsidR="008C3C28" w:rsidRPr="001430C6" w:rsidRDefault="009D76AC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Findings</w:t>
            </w:r>
          </w:p>
          <w:p w14:paraId="39DC779B" w14:textId="77777777" w:rsidR="00B97628" w:rsidRPr="001430C6" w:rsidRDefault="00B97628" w:rsidP="002B591A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Givosiran</w:t>
            </w:r>
          </w:p>
          <w:p w14:paraId="59E54A20" w14:textId="77777777" w:rsidR="001A0865" w:rsidRPr="001430C6" w:rsidRDefault="007A4D88" w:rsidP="002B591A">
            <w:pPr>
              <w:numPr>
                <w:ilvl w:val="1"/>
                <w:numId w:val="10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Completion of the rolling NDA submission to the FDA</w:t>
            </w:r>
          </w:p>
          <w:p w14:paraId="4C599F24" w14:textId="77777777" w:rsidR="001A0865" w:rsidRPr="001430C6" w:rsidRDefault="007A4D88" w:rsidP="002B591A">
            <w:pPr>
              <w:numPr>
                <w:ilvl w:val="1"/>
                <w:numId w:val="10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R, DB, PC phase III study (N=94)</w:t>
            </w:r>
          </w:p>
          <w:p w14:paraId="253B090A" w14:textId="5F5F21BE" w:rsidR="001A0865" w:rsidRPr="001430C6" w:rsidRDefault="007A4D88" w:rsidP="002B591A">
            <w:pPr>
              <w:numPr>
                <w:ilvl w:val="1"/>
                <w:numId w:val="10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b/>
                <w:bCs/>
                <w:sz w:val="22"/>
                <w:szCs w:val="22"/>
              </w:rPr>
              <w:t>Population:</w:t>
            </w:r>
            <w:r w:rsidRPr="001430C6">
              <w:rPr>
                <w:rFonts w:cs="Arial"/>
                <w:sz w:val="22"/>
                <w:szCs w:val="22"/>
              </w:rPr>
              <w:t xml:space="preserve"> Patients ≥</w:t>
            </w:r>
            <w:r w:rsidR="00890FAB">
              <w:rPr>
                <w:rFonts w:cs="Arial"/>
                <w:sz w:val="22"/>
                <w:szCs w:val="22"/>
              </w:rPr>
              <w:t xml:space="preserve"> </w:t>
            </w:r>
            <w:r w:rsidRPr="001430C6">
              <w:rPr>
                <w:rFonts w:cs="Arial"/>
                <w:sz w:val="22"/>
                <w:szCs w:val="22"/>
              </w:rPr>
              <w:t>12 years of age with AHP and ≥</w:t>
            </w:r>
            <w:r w:rsidR="00890FAB">
              <w:rPr>
                <w:rFonts w:cs="Arial"/>
                <w:sz w:val="22"/>
                <w:szCs w:val="22"/>
              </w:rPr>
              <w:t xml:space="preserve"> </w:t>
            </w:r>
            <w:r w:rsidRPr="001430C6">
              <w:rPr>
                <w:rFonts w:cs="Arial"/>
                <w:sz w:val="22"/>
                <w:szCs w:val="22"/>
              </w:rPr>
              <w:t>2 attacks within prior six months</w:t>
            </w:r>
          </w:p>
          <w:p w14:paraId="64D679C1" w14:textId="77777777" w:rsidR="00B97628" w:rsidRPr="001430C6" w:rsidRDefault="007A4D88" w:rsidP="002B591A">
            <w:pPr>
              <w:numPr>
                <w:ilvl w:val="1"/>
                <w:numId w:val="10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b/>
                <w:bCs/>
                <w:sz w:val="22"/>
                <w:szCs w:val="22"/>
              </w:rPr>
              <w:t xml:space="preserve">Administration: </w:t>
            </w:r>
          </w:p>
          <w:p w14:paraId="1309D900" w14:textId="77777777" w:rsidR="001A0865" w:rsidRPr="001430C6" w:rsidRDefault="007A4D88" w:rsidP="00F5660B">
            <w:pPr>
              <w:numPr>
                <w:ilvl w:val="2"/>
                <w:numId w:val="31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Givosiran 2.5 mg/kg SC monthly</w:t>
            </w:r>
          </w:p>
          <w:p w14:paraId="7BD6A073" w14:textId="77777777" w:rsidR="001A0865" w:rsidRPr="001430C6" w:rsidRDefault="007A4D88" w:rsidP="00F5660B">
            <w:pPr>
              <w:numPr>
                <w:ilvl w:val="2"/>
                <w:numId w:val="31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Placebo</w:t>
            </w:r>
          </w:p>
          <w:p w14:paraId="73D6589B" w14:textId="77777777" w:rsidR="00B97628" w:rsidRPr="003707AB" w:rsidRDefault="00B97628" w:rsidP="002B591A">
            <w:pPr>
              <w:pStyle w:val="ListParagraph"/>
              <w:numPr>
                <w:ilvl w:val="0"/>
                <w:numId w:val="11"/>
              </w:numPr>
              <w:ind w:left="1509"/>
              <w:rPr>
                <w:rFonts w:cs="Arial"/>
                <w:sz w:val="22"/>
                <w:szCs w:val="22"/>
              </w:rPr>
            </w:pPr>
            <w:r w:rsidRPr="003707AB">
              <w:rPr>
                <w:rFonts w:cs="Arial"/>
                <w:sz w:val="22"/>
                <w:szCs w:val="22"/>
              </w:rPr>
              <w:t>Projected Market Entry: Late 2019/early 2020</w:t>
            </w:r>
          </w:p>
          <w:p w14:paraId="011223D4" w14:textId="77777777" w:rsidR="00B97628" w:rsidRPr="001430C6" w:rsidRDefault="00B97628" w:rsidP="002B591A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Luspatercept</w:t>
            </w:r>
          </w:p>
          <w:p w14:paraId="2FF536B0" w14:textId="77777777" w:rsidR="001A0865" w:rsidRPr="001430C6" w:rsidRDefault="007A4D88" w:rsidP="002B591A">
            <w:pPr>
              <w:numPr>
                <w:ilvl w:val="1"/>
                <w:numId w:val="12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FDA accepted BLA for review</w:t>
            </w:r>
          </w:p>
          <w:p w14:paraId="6D3FBA07" w14:textId="77777777" w:rsidR="001A0865" w:rsidRPr="001430C6" w:rsidRDefault="007A4D88" w:rsidP="002B591A">
            <w:pPr>
              <w:numPr>
                <w:ilvl w:val="1"/>
                <w:numId w:val="12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R, DB, PC phase III MEDALIST study (N=229)</w:t>
            </w:r>
          </w:p>
          <w:p w14:paraId="40D09DCF" w14:textId="77777777" w:rsidR="001A0865" w:rsidRPr="001430C6" w:rsidRDefault="007A4D88" w:rsidP="002B591A">
            <w:pPr>
              <w:numPr>
                <w:ilvl w:val="1"/>
                <w:numId w:val="12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b/>
                <w:bCs/>
                <w:sz w:val="22"/>
                <w:szCs w:val="22"/>
              </w:rPr>
              <w:t>Population:</w:t>
            </w:r>
            <w:r w:rsidRPr="001430C6">
              <w:rPr>
                <w:rFonts w:cs="Arial"/>
                <w:sz w:val="22"/>
                <w:szCs w:val="22"/>
              </w:rPr>
              <w:t xml:space="preserve"> Adults with very low to intermediate-risk MDS-associated anemia who require RBC transfusions</w:t>
            </w:r>
          </w:p>
          <w:p w14:paraId="1E42E8CA" w14:textId="77777777" w:rsidR="001A0865" w:rsidRPr="001430C6" w:rsidRDefault="007A4D88" w:rsidP="002B591A">
            <w:pPr>
              <w:numPr>
                <w:ilvl w:val="1"/>
                <w:numId w:val="12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b/>
                <w:bCs/>
                <w:sz w:val="22"/>
                <w:szCs w:val="22"/>
              </w:rPr>
              <w:t xml:space="preserve">Administration: </w:t>
            </w:r>
          </w:p>
          <w:p w14:paraId="07E95804" w14:textId="77777777" w:rsidR="001A0865" w:rsidRPr="001430C6" w:rsidRDefault="007A4D88" w:rsidP="00F5660B">
            <w:pPr>
              <w:numPr>
                <w:ilvl w:val="2"/>
                <w:numId w:val="32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Luspatercept 1 mg/kg SC every 21 days</w:t>
            </w:r>
          </w:p>
          <w:p w14:paraId="1DE241A2" w14:textId="77777777" w:rsidR="001A0865" w:rsidRPr="001430C6" w:rsidRDefault="007A4D88" w:rsidP="00F5660B">
            <w:pPr>
              <w:numPr>
                <w:ilvl w:val="2"/>
                <w:numId w:val="32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Placebo</w:t>
            </w:r>
          </w:p>
          <w:p w14:paraId="0BFCB5D4" w14:textId="77777777" w:rsidR="001A0865" w:rsidRPr="001430C6" w:rsidRDefault="007A4D88" w:rsidP="002B591A">
            <w:pPr>
              <w:numPr>
                <w:ilvl w:val="1"/>
                <w:numId w:val="12"/>
              </w:num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FDA decision is expected by 12/4/19 (</w:t>
            </w:r>
            <w:r w:rsidRPr="001430C6">
              <w:rPr>
                <w:rFonts w:cs="Arial"/>
                <w:sz w:val="22"/>
                <w:szCs w:val="22"/>
                <w:lang w:val="el-GR"/>
              </w:rPr>
              <w:t>β</w:t>
            </w:r>
            <w:r w:rsidRPr="001430C6">
              <w:rPr>
                <w:rFonts w:cs="Arial"/>
                <w:sz w:val="22"/>
                <w:szCs w:val="22"/>
              </w:rPr>
              <w:t>-thalassemia) and by 4/4/20 (MDS)</w:t>
            </w:r>
          </w:p>
          <w:p w14:paraId="78D82E8C" w14:textId="77777777" w:rsidR="008C3C28" w:rsidRPr="001430C6" w:rsidRDefault="00B97628" w:rsidP="00B97628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26" w:type="dxa"/>
          </w:tcPr>
          <w:p w14:paraId="187EBB54" w14:textId="77777777" w:rsidR="008C3C28" w:rsidRPr="001430C6" w:rsidRDefault="008C3C28" w:rsidP="007A4D88">
            <w:pPr>
              <w:rPr>
                <w:rFonts w:cs="Arial"/>
                <w:sz w:val="22"/>
                <w:szCs w:val="22"/>
              </w:rPr>
            </w:pPr>
          </w:p>
          <w:p w14:paraId="50E552C4" w14:textId="77777777" w:rsidR="008C3C28" w:rsidRPr="001430C6" w:rsidRDefault="008C3C28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08A50D76" w14:textId="77777777" w:rsidR="008C3C28" w:rsidRPr="001430C6" w:rsidRDefault="008C3C28" w:rsidP="007A4D88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bookmarkEnd w:id="0"/>
    </w:tbl>
    <w:p w14:paraId="4F138E50" w14:textId="77777777" w:rsidR="00A12838" w:rsidRPr="001430C6" w:rsidRDefault="00A12838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266360" w:rsidRPr="00190DAB" w14:paraId="35905F21" w14:textId="77777777" w:rsidTr="007A4D88">
        <w:tc>
          <w:tcPr>
            <w:tcW w:w="2157" w:type="dxa"/>
            <w:shd w:val="clear" w:color="auto" w:fill="000000" w:themeFill="text1"/>
          </w:tcPr>
          <w:p w14:paraId="3C476F00" w14:textId="77777777" w:rsidR="00266360" w:rsidRPr="001430C6" w:rsidRDefault="00266360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7A27F9" w14:textId="77777777" w:rsidR="00266360" w:rsidRPr="001430C6" w:rsidRDefault="00266360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385C2E2F" w14:textId="77777777" w:rsidR="00266360" w:rsidRPr="001430C6" w:rsidRDefault="00266360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36499CA" w14:textId="77777777" w:rsidR="00266360" w:rsidRPr="001430C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056CB6A0" w14:textId="77777777" w:rsidR="00266360" w:rsidRPr="001430C6" w:rsidRDefault="00266360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6A6BC3E" w14:textId="77777777" w:rsidR="00266360" w:rsidRPr="001430C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66360" w:rsidRPr="00190DAB" w14:paraId="7D4F2B69" w14:textId="77777777" w:rsidTr="007A4D88">
        <w:tc>
          <w:tcPr>
            <w:tcW w:w="2157" w:type="dxa"/>
          </w:tcPr>
          <w:p w14:paraId="7E9E4F33" w14:textId="77777777" w:rsidR="00266360" w:rsidRPr="001430C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</w:p>
          <w:p w14:paraId="1A514C0B" w14:textId="1A35A8A3" w:rsidR="00266360" w:rsidRPr="001430C6" w:rsidRDefault="00266360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30C6">
              <w:rPr>
                <w:rFonts w:cs="Arial"/>
                <w:b/>
                <w:bCs/>
                <w:color w:val="000000"/>
                <w:sz w:val="22"/>
                <w:szCs w:val="22"/>
              </w:rPr>
              <w:t>Resident</w:t>
            </w:r>
            <w:r w:rsidR="001430C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430C6">
              <w:rPr>
                <w:rFonts w:cs="Arial"/>
                <w:b/>
                <w:bCs/>
                <w:color w:val="000000"/>
                <w:sz w:val="22"/>
                <w:szCs w:val="22"/>
              </w:rPr>
              <w:t>Research Project</w:t>
            </w:r>
          </w:p>
          <w:p w14:paraId="3BDF06DB" w14:textId="77777777" w:rsidR="00266360" w:rsidRPr="001430C6" w:rsidRDefault="00266360" w:rsidP="007A4D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7616D69F" w14:textId="77777777" w:rsidR="00266360" w:rsidRPr="001430C6" w:rsidRDefault="00266360" w:rsidP="007A4D8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65349482" w14:textId="19AE71F7" w:rsidR="00266360" w:rsidRPr="001430C6" w:rsidRDefault="00266360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  <w:u w:val="single"/>
              </w:rPr>
              <w:t xml:space="preserve">Resident Research Project: </w:t>
            </w:r>
            <w:r w:rsidRPr="001430C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Changes in Medical and Pharmacy Utilization Following Initiation of Clozapine in Adults with Treatment-Resistant Schizophrenia in a Medicaid Population by </w:t>
            </w:r>
            <w:r w:rsidR="00190DAB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Dr </w:t>
            </w:r>
            <w:r w:rsidRPr="001430C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>Mckenzie Taylor</w:t>
            </w:r>
          </w:p>
          <w:p w14:paraId="2D323E15" w14:textId="77777777" w:rsidR="00266360" w:rsidRPr="001430C6" w:rsidRDefault="00266360" w:rsidP="007A4D88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1430C6">
              <w:rPr>
                <w:rFonts w:ascii="Arial" w:hAnsi="Arial" w:cs="Arial"/>
                <w:bCs/>
                <w:sz w:val="22"/>
                <w:szCs w:val="22"/>
              </w:rPr>
              <w:t>This is an overview of a research project by a current pharmacy practice resident.</w:t>
            </w:r>
          </w:p>
          <w:p w14:paraId="7B8472F5" w14:textId="77777777" w:rsidR="00266360" w:rsidRPr="001430C6" w:rsidRDefault="00266360" w:rsidP="007A4D8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6" w:type="dxa"/>
          </w:tcPr>
          <w:p w14:paraId="233B1E36" w14:textId="77777777" w:rsidR="00266360" w:rsidRPr="001430C6" w:rsidRDefault="00266360" w:rsidP="007A4D88">
            <w:pPr>
              <w:rPr>
                <w:rFonts w:cs="Arial"/>
                <w:sz w:val="22"/>
                <w:szCs w:val="22"/>
              </w:rPr>
            </w:pPr>
          </w:p>
          <w:p w14:paraId="2E02C52D" w14:textId="77777777" w:rsidR="00266360" w:rsidRPr="001430C6" w:rsidRDefault="00266360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B5314BB" w14:textId="77777777" w:rsidR="00266360" w:rsidRPr="001430C6" w:rsidRDefault="00266360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266360" w:rsidRPr="00190DAB" w14:paraId="3500FF53" w14:textId="77777777" w:rsidTr="007A4D88">
        <w:tc>
          <w:tcPr>
            <w:tcW w:w="2157" w:type="dxa"/>
          </w:tcPr>
          <w:p w14:paraId="61416769" w14:textId="77777777" w:rsidR="00266360" w:rsidRPr="004F018D" w:rsidRDefault="00266360" w:rsidP="007A4D88">
            <w:pPr>
              <w:rPr>
                <w:rFonts w:cs="Arial"/>
                <w:sz w:val="22"/>
                <w:szCs w:val="22"/>
              </w:rPr>
            </w:pPr>
            <w:r w:rsidRPr="004F018D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2529022F" w14:textId="77777777" w:rsidR="00266360" w:rsidRPr="001430C6" w:rsidRDefault="00266360" w:rsidP="007A4D88">
            <w:pPr>
              <w:rPr>
                <w:rFonts w:cs="Arial"/>
                <w:sz w:val="22"/>
                <w:szCs w:val="22"/>
              </w:rPr>
            </w:pPr>
          </w:p>
          <w:p w14:paraId="31459327" w14:textId="77777777" w:rsidR="00266360" w:rsidRPr="001430C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552AFCFC" w14:textId="48EDE8B0" w:rsidR="001A0865" w:rsidRPr="001430C6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APA defines treatment-resistant schizophrenia as little or no symptomatic response to at least two antipsychotics</w:t>
            </w:r>
            <w:r w:rsidR="00DB7EFB">
              <w:rPr>
                <w:rFonts w:ascii="Arial" w:hAnsi="Arial" w:cs="Arial"/>
                <w:sz w:val="22"/>
                <w:szCs w:val="22"/>
              </w:rPr>
              <w:t>.</w:t>
            </w:r>
            <w:r w:rsidRPr="001430C6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D3823C4" w14:textId="6A0489B7" w:rsidR="001A0865" w:rsidRPr="001430C6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It is estimated that 16 to 20% of patients with schizophrenia are categorized as treatment-resistant</w:t>
            </w:r>
            <w:r w:rsidR="00DB7E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C0F657" w14:textId="5456C182" w:rsidR="001A0865" w:rsidRPr="001430C6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 xml:space="preserve">The rate of clozapine utilization in these patients is </w:t>
            </w:r>
            <w:r w:rsidR="00DB7EFB">
              <w:rPr>
                <w:rFonts w:ascii="Arial" w:hAnsi="Arial" w:cs="Arial"/>
                <w:sz w:val="22"/>
                <w:szCs w:val="22"/>
              </w:rPr>
              <w:t>two</w:t>
            </w:r>
            <w:r w:rsidRPr="001430C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DB7EFB">
              <w:rPr>
                <w:rFonts w:ascii="Arial" w:hAnsi="Arial" w:cs="Arial"/>
                <w:sz w:val="22"/>
                <w:szCs w:val="22"/>
              </w:rPr>
              <w:t>three</w:t>
            </w:r>
            <w:r w:rsidRPr="001430C6">
              <w:rPr>
                <w:rFonts w:ascii="Arial" w:hAnsi="Arial" w:cs="Arial"/>
                <w:sz w:val="22"/>
                <w:szCs w:val="22"/>
              </w:rPr>
              <w:t>%</w:t>
            </w:r>
          </w:p>
          <w:p w14:paraId="0EB71CE2" w14:textId="27561DE2" w:rsidR="001A0865" w:rsidRPr="001430C6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Clozaril (clozapine) is the only medication FDA-approved for treatment-resistant schizophrenia</w:t>
            </w:r>
            <w:r w:rsidR="00DB7EFB">
              <w:rPr>
                <w:rFonts w:ascii="Arial" w:hAnsi="Arial" w:cs="Arial"/>
                <w:sz w:val="22"/>
                <w:szCs w:val="22"/>
              </w:rPr>
              <w:t>.</w:t>
            </w:r>
            <w:r w:rsidRP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DBC333" w14:textId="21103B43" w:rsidR="00702B09" w:rsidRPr="001430C6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The primary objective of this retrospective analysis was to assess the changes in medical and pharmacy utilization pre-and post-clozapine initiation (index date) in members with TRS</w:t>
            </w:r>
            <w:r w:rsidR="00DB7EFB">
              <w:rPr>
                <w:rFonts w:ascii="Arial" w:hAnsi="Arial" w:cs="Arial"/>
                <w:sz w:val="22"/>
                <w:szCs w:val="22"/>
              </w:rPr>
              <w:t>.</w:t>
            </w:r>
            <w:r w:rsidRP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DC3EBE" w14:textId="77777777" w:rsidR="00266360" w:rsidRPr="001430C6" w:rsidRDefault="00702B09" w:rsidP="00702B09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 xml:space="preserve"> </w:t>
            </w:r>
          </w:p>
          <w:p w14:paraId="4A5FAFE0" w14:textId="3591297C" w:rsidR="00266360" w:rsidRPr="001430C6" w:rsidRDefault="009D76AC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Findings</w:t>
            </w:r>
          </w:p>
          <w:p w14:paraId="53EB0EB3" w14:textId="1F4A7B95" w:rsidR="001A0865" w:rsidRPr="00E5631F" w:rsidRDefault="007A4D88" w:rsidP="002B591A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E5631F">
              <w:rPr>
                <w:rFonts w:cs="Arial"/>
                <w:sz w:val="22"/>
                <w:szCs w:val="22"/>
              </w:rPr>
              <w:t>The results of this analysis suggest that the evaluated healthcare utilization and associated costs decreased among select members with schizophrenia following the initiation of clozapine</w:t>
            </w:r>
          </w:p>
          <w:p w14:paraId="7B9FB933" w14:textId="06BE37D5" w:rsidR="001A0865" w:rsidRPr="00E5631F" w:rsidRDefault="007A4D88" w:rsidP="002B591A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E5631F">
              <w:rPr>
                <w:rFonts w:cs="Arial"/>
                <w:sz w:val="22"/>
                <w:szCs w:val="22"/>
              </w:rPr>
              <w:t xml:space="preserve">The mean number of schizophrenia-and mental health-related ED visits and associated costs decreased in the six months following clozapine initiation </w:t>
            </w:r>
          </w:p>
          <w:p w14:paraId="3990C101" w14:textId="29D568A8" w:rsidR="009D76AC" w:rsidRPr="001430C6" w:rsidRDefault="009D76AC" w:rsidP="001430C6">
            <w:pPr>
              <w:tabs>
                <w:tab w:val="num" w:pos="144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149175D" w14:textId="77777777" w:rsidR="00266360" w:rsidRPr="001430C6" w:rsidRDefault="00266360" w:rsidP="007A4D88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14:paraId="6C11EFA6" w14:textId="77777777" w:rsidR="00266360" w:rsidRPr="001430C6" w:rsidRDefault="00266360" w:rsidP="007A4D88">
            <w:pPr>
              <w:rPr>
                <w:rFonts w:cs="Arial"/>
                <w:sz w:val="22"/>
                <w:szCs w:val="22"/>
              </w:rPr>
            </w:pPr>
          </w:p>
          <w:p w14:paraId="07239B3C" w14:textId="77777777" w:rsidR="00266360" w:rsidRPr="001430C6" w:rsidRDefault="00266360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7C070969" w14:textId="77777777" w:rsidR="00266360" w:rsidRPr="001430C6" w:rsidRDefault="00266360" w:rsidP="007A4D88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26FDD866" w14:textId="77777777" w:rsidR="00702B09" w:rsidRPr="001430C6" w:rsidRDefault="00702B09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702B09" w:rsidRPr="00190DAB" w14:paraId="5DA21FA2" w14:textId="77777777" w:rsidTr="007A4D88">
        <w:tc>
          <w:tcPr>
            <w:tcW w:w="2157" w:type="dxa"/>
            <w:shd w:val="clear" w:color="auto" w:fill="000000" w:themeFill="text1"/>
          </w:tcPr>
          <w:p w14:paraId="73638370" w14:textId="77777777" w:rsidR="00702B09" w:rsidRPr="001430C6" w:rsidRDefault="00702B09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BB65D58" w14:textId="77777777" w:rsidR="00702B09" w:rsidRPr="001430C6" w:rsidRDefault="00702B09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2E27C3F9" w14:textId="77777777" w:rsidR="00702B09" w:rsidRPr="001430C6" w:rsidRDefault="00702B09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695FA7A" w14:textId="77777777" w:rsidR="00702B09" w:rsidRPr="001430C6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02B6FE0E" w14:textId="77777777" w:rsidR="00702B09" w:rsidRPr="001430C6" w:rsidRDefault="00702B09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13D097F" w14:textId="77777777" w:rsidR="00702B09" w:rsidRPr="001430C6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702B09" w:rsidRPr="00190DAB" w14:paraId="0882B8BA" w14:textId="77777777" w:rsidTr="007A4D88">
        <w:tc>
          <w:tcPr>
            <w:tcW w:w="2157" w:type="dxa"/>
          </w:tcPr>
          <w:p w14:paraId="2FA47A2C" w14:textId="77777777" w:rsidR="00702B09" w:rsidRPr="001430C6" w:rsidRDefault="00702B09" w:rsidP="007A4D88">
            <w:pPr>
              <w:rPr>
                <w:rFonts w:cs="Arial"/>
                <w:sz w:val="22"/>
                <w:szCs w:val="22"/>
              </w:rPr>
            </w:pPr>
          </w:p>
          <w:p w14:paraId="53EFA82D" w14:textId="7B1CB2FE" w:rsidR="00702B09" w:rsidRPr="001430C6" w:rsidRDefault="009D76AC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430C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Resident </w:t>
            </w:r>
            <w:r w:rsidR="00702B09" w:rsidRPr="001430C6">
              <w:rPr>
                <w:rFonts w:cs="Arial"/>
                <w:b/>
                <w:bCs/>
                <w:color w:val="000000"/>
                <w:sz w:val="22"/>
                <w:szCs w:val="22"/>
              </w:rPr>
              <w:t>Research Project</w:t>
            </w:r>
          </w:p>
          <w:p w14:paraId="2C13970C" w14:textId="77777777" w:rsidR="00702B09" w:rsidRPr="001430C6" w:rsidRDefault="00702B09" w:rsidP="007A4D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069672E4" w14:textId="021C3157" w:rsidR="00702B09" w:rsidRPr="001430C6" w:rsidRDefault="00702B09" w:rsidP="00702B09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1430C6">
              <w:rPr>
                <w:rFonts w:ascii="Arial" w:hAnsi="Arial" w:cs="Arial"/>
                <w:sz w:val="22"/>
                <w:szCs w:val="22"/>
                <w:u w:val="single"/>
              </w:rPr>
              <w:t xml:space="preserve">Resident Research Project: </w:t>
            </w:r>
            <w:r w:rsidRPr="001430C6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An Observational Case-Control Study of Risk Factors for Overdose in Members of State Medicaid Program Prescribed Concurrent Benzodiazepines and Opioids by </w:t>
            </w:r>
            <w:r w:rsidR="00190D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Dr </w:t>
            </w:r>
            <w:r w:rsidRPr="001430C6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Kaelyn Boss</w:t>
            </w:r>
          </w:p>
          <w:p w14:paraId="54C24BE6" w14:textId="2DC53780" w:rsidR="00702B09" w:rsidRPr="001430C6" w:rsidRDefault="00702B09" w:rsidP="00702B09">
            <w:pPr>
              <w:pStyle w:val="ListParagraph"/>
              <w:ind w:left="704"/>
              <w:rPr>
                <w:rFonts w:ascii="Arial" w:hAnsi="Arial" w:cs="Arial"/>
                <w:bCs/>
                <w:sz w:val="22"/>
                <w:szCs w:val="22"/>
              </w:rPr>
            </w:pPr>
            <w:r w:rsidRPr="001430C6">
              <w:rPr>
                <w:rFonts w:ascii="Arial" w:hAnsi="Arial" w:cs="Arial"/>
                <w:bCs/>
                <w:sz w:val="22"/>
                <w:szCs w:val="22"/>
              </w:rPr>
              <w:t>This is an overview of a research project by a current pharmacy practice resident.</w:t>
            </w:r>
          </w:p>
          <w:p w14:paraId="3CE6A3CD" w14:textId="77777777" w:rsidR="00702B09" w:rsidRPr="001430C6" w:rsidRDefault="00702B09" w:rsidP="00702B09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26" w:type="dxa"/>
          </w:tcPr>
          <w:p w14:paraId="7726C2DD" w14:textId="77777777" w:rsidR="00702B09" w:rsidRPr="001430C6" w:rsidRDefault="00702B09" w:rsidP="007A4D88">
            <w:pPr>
              <w:rPr>
                <w:rFonts w:cs="Arial"/>
                <w:sz w:val="22"/>
                <w:szCs w:val="22"/>
              </w:rPr>
            </w:pPr>
          </w:p>
          <w:p w14:paraId="250E9EDC" w14:textId="77777777" w:rsidR="00702B09" w:rsidRPr="001430C6" w:rsidRDefault="00702B09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CF11A17" w14:textId="77777777" w:rsidR="00702B09" w:rsidRPr="001430C6" w:rsidRDefault="00702B09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702B09" w:rsidRPr="00190DAB" w14:paraId="095BB3C2" w14:textId="77777777" w:rsidTr="007A4D88">
        <w:tc>
          <w:tcPr>
            <w:tcW w:w="2157" w:type="dxa"/>
          </w:tcPr>
          <w:p w14:paraId="19F57F48" w14:textId="77777777" w:rsidR="00702B09" w:rsidRPr="004F018D" w:rsidRDefault="00702B09" w:rsidP="007A4D88">
            <w:pPr>
              <w:rPr>
                <w:rFonts w:cs="Arial"/>
                <w:sz w:val="22"/>
                <w:szCs w:val="22"/>
              </w:rPr>
            </w:pPr>
            <w:r w:rsidRPr="004F018D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7A209A1C" w14:textId="77777777" w:rsidR="00702B09" w:rsidRPr="00190DAB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190DAB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4FC523C6" w14:textId="571D408C" w:rsidR="001A0865" w:rsidRPr="00190DAB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Concurrent use of benzodiazepines and opioids is associated with 31 to 61% of fatal overdoses</w:t>
            </w:r>
            <w:r w:rsidR="005A0A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FA49A8" w14:textId="77777777" w:rsidR="001A0865" w:rsidRPr="00190DAB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In Massachusetts, benzodiazepines were present in approximately 42% of opioid overdose deaths in the first six months of 2018.</w:t>
            </w:r>
          </w:p>
          <w:p w14:paraId="14E88CFF" w14:textId="18420F3B" w:rsidR="001A0865" w:rsidRPr="00190DAB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MassHealth evaluates high risk members on opioid therapy through the HD Opioid TCM Workgroup</w:t>
            </w:r>
            <w:r w:rsidR="005A0A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75D9BF" w14:textId="77777777" w:rsidR="001A0865" w:rsidRPr="00190DAB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 xml:space="preserve">HD opioid regimens </w:t>
            </w:r>
          </w:p>
          <w:p w14:paraId="1C2F3653" w14:textId="77777777" w:rsidR="001A0865" w:rsidRPr="00190DAB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 xml:space="preserve">SA opioid monotherapy </w:t>
            </w:r>
          </w:p>
          <w:p w14:paraId="5A43E1FF" w14:textId="77777777" w:rsidR="001A0865" w:rsidRPr="00190DAB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Frequent denials or provisional approvals</w:t>
            </w:r>
          </w:p>
          <w:p w14:paraId="7941D74A" w14:textId="394F1224" w:rsidR="001A0865" w:rsidRPr="00190DAB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MassHealth will be initiating a new program regarding chronic concomitant use of benzodiazepines and opioids</w:t>
            </w:r>
            <w:r w:rsidR="005A0A57">
              <w:rPr>
                <w:rFonts w:ascii="Arial" w:hAnsi="Arial" w:cs="Arial"/>
                <w:sz w:val="22"/>
                <w:szCs w:val="22"/>
              </w:rPr>
              <w:t>.</w:t>
            </w:r>
            <w:r w:rsidRPr="00190D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ED220C" w14:textId="77777777" w:rsidR="001A0865" w:rsidRPr="00190DAB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 xml:space="preserve">PA requirement </w:t>
            </w:r>
          </w:p>
          <w:p w14:paraId="3D40236A" w14:textId="77777777" w:rsidR="001A0865" w:rsidRPr="00190DAB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 xml:space="preserve">Case discussion through HD Opioid TCM workgroup </w:t>
            </w:r>
          </w:p>
          <w:p w14:paraId="609B797D" w14:textId="77777777" w:rsidR="002F5471" w:rsidRPr="00190DAB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 xml:space="preserve">Outreach to prescribers </w:t>
            </w:r>
          </w:p>
          <w:p w14:paraId="4790A466" w14:textId="77777777" w:rsidR="002F5471" w:rsidRPr="00190DAB" w:rsidRDefault="002F5471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The objective of this analysis was to compare characteristics of adults within the MassHealth population who were prescribed concurrent benzodiazepine and opioid therapy and experienced an overdose to a random sampling of members who did not experience overdose.</w:t>
            </w:r>
          </w:p>
          <w:p w14:paraId="12FFBDCA" w14:textId="77777777" w:rsidR="001A0865" w:rsidRPr="00190DAB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Study outcome: </w:t>
            </w:r>
            <w:r w:rsidRPr="00190DAB">
              <w:rPr>
                <w:rFonts w:ascii="Arial" w:hAnsi="Arial" w:cs="Arial"/>
                <w:sz w:val="22"/>
                <w:szCs w:val="22"/>
              </w:rPr>
              <w:t>Proportion of patients in each population with prespecified risk factors</w:t>
            </w:r>
          </w:p>
          <w:p w14:paraId="7820B4F6" w14:textId="77777777" w:rsidR="001A0865" w:rsidRPr="00190DAB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Risk factors identified through primary literature review</w:t>
            </w:r>
          </w:p>
          <w:p w14:paraId="19CB459E" w14:textId="77777777" w:rsidR="001A0865" w:rsidRPr="00190DAB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Demographics → POPS data</w:t>
            </w:r>
          </w:p>
          <w:p w14:paraId="263A88CE" w14:textId="77777777" w:rsidR="001A0865" w:rsidRPr="00190DAB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Pharmacy related risk factors → MassHealth pharmacy claims data</w:t>
            </w:r>
          </w:p>
          <w:p w14:paraId="2E9F0879" w14:textId="77777777" w:rsidR="00702B09" w:rsidRPr="00190DAB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Comorbid disease states → MassHealth medical claims data</w:t>
            </w:r>
          </w:p>
          <w:p w14:paraId="2614E84B" w14:textId="77777777" w:rsidR="00702B09" w:rsidRPr="00DE1144" w:rsidRDefault="00702B09" w:rsidP="007A4D88">
            <w:p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 xml:space="preserve"> </w:t>
            </w:r>
          </w:p>
          <w:p w14:paraId="0B205306" w14:textId="77777777" w:rsidR="00702B09" w:rsidRPr="00DE1144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DE1144">
              <w:rPr>
                <w:rFonts w:cs="Arial"/>
                <w:b/>
                <w:sz w:val="22"/>
                <w:szCs w:val="22"/>
              </w:rPr>
              <w:t>Recommendations</w:t>
            </w:r>
          </w:p>
          <w:p w14:paraId="721DD57C" w14:textId="77777777" w:rsidR="001A0865" w:rsidRPr="00DE1144" w:rsidRDefault="007A4D88" w:rsidP="002B591A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 xml:space="preserve">This analysis identified several key risk factors as being associated with a higher incidence of overdose. These include: </w:t>
            </w:r>
          </w:p>
          <w:p w14:paraId="7D93DABF" w14:textId="77777777" w:rsidR="001A0865" w:rsidRPr="00DE1144" w:rsidRDefault="007A4D88" w:rsidP="002B591A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>oxycodone immediate-release use</w:t>
            </w:r>
          </w:p>
          <w:p w14:paraId="2C3BD663" w14:textId="77777777" w:rsidR="001A0865" w:rsidRPr="00DE1144" w:rsidRDefault="007A4D88" w:rsidP="002B591A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>concomitant gabapentin or pregabalin use</w:t>
            </w:r>
          </w:p>
          <w:p w14:paraId="0E9C5754" w14:textId="77777777" w:rsidR="001A0865" w:rsidRPr="00DE1144" w:rsidRDefault="007A4D88" w:rsidP="002B591A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>alcoholism and SUD</w:t>
            </w:r>
          </w:p>
          <w:p w14:paraId="1ECEF04F" w14:textId="77777777" w:rsidR="001A0865" w:rsidRPr="00DE1144" w:rsidRDefault="007A4D88" w:rsidP="002B591A">
            <w:pPr>
              <w:numPr>
                <w:ilvl w:val="1"/>
                <w:numId w:val="14"/>
              </w:num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>history of overdose</w:t>
            </w:r>
          </w:p>
          <w:p w14:paraId="03E5C26C" w14:textId="77777777" w:rsidR="001A0865" w:rsidRPr="00DE1144" w:rsidRDefault="007A4D88" w:rsidP="002B591A">
            <w:pPr>
              <w:numPr>
                <w:ilvl w:val="1"/>
                <w:numId w:val="15"/>
              </w:num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>PTSD</w:t>
            </w:r>
          </w:p>
          <w:p w14:paraId="206053CC" w14:textId="77777777" w:rsidR="001A0865" w:rsidRPr="00DE1144" w:rsidRDefault="007A4D88" w:rsidP="002B591A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 xml:space="preserve">Next step: </w:t>
            </w:r>
          </w:p>
          <w:p w14:paraId="2A7B732E" w14:textId="77777777" w:rsidR="001A0865" w:rsidRPr="00DE1144" w:rsidRDefault="007A4D88" w:rsidP="002B591A">
            <w:pPr>
              <w:numPr>
                <w:ilvl w:val="1"/>
                <w:numId w:val="15"/>
              </w:numPr>
              <w:rPr>
                <w:rFonts w:cs="Arial"/>
                <w:sz w:val="22"/>
                <w:szCs w:val="22"/>
              </w:rPr>
            </w:pPr>
            <w:r w:rsidRPr="00DE1144">
              <w:rPr>
                <w:rFonts w:cs="Arial"/>
                <w:sz w:val="22"/>
                <w:szCs w:val="22"/>
              </w:rPr>
              <w:t xml:space="preserve">Apply the findings in the development of criteria for referral to HD Opioid TCM workgroup </w:t>
            </w:r>
          </w:p>
          <w:p w14:paraId="5CFE7CC8" w14:textId="77777777" w:rsidR="00515524" w:rsidRPr="00DE1144" w:rsidRDefault="00515524" w:rsidP="00515524">
            <w:pPr>
              <w:rPr>
                <w:rFonts w:cs="Arial"/>
                <w:b/>
                <w:sz w:val="22"/>
                <w:szCs w:val="22"/>
              </w:rPr>
            </w:pPr>
            <w:r w:rsidRPr="00DE1144">
              <w:rPr>
                <w:rFonts w:cs="Arial"/>
                <w:b/>
                <w:sz w:val="22"/>
                <w:szCs w:val="22"/>
              </w:rPr>
              <w:t>Questions</w:t>
            </w:r>
          </w:p>
          <w:p w14:paraId="2A05F307" w14:textId="2977C266" w:rsidR="00515524" w:rsidRPr="00DE1144" w:rsidRDefault="005A0A57" w:rsidP="002B591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515524" w:rsidRPr="00DE1144">
              <w:rPr>
                <w:rFonts w:ascii="Arial" w:hAnsi="Arial" w:cs="Arial"/>
                <w:sz w:val="22"/>
                <w:szCs w:val="22"/>
              </w:rPr>
              <w:t xml:space="preserve">Board member asked about </w:t>
            </w:r>
            <w:r w:rsidR="00ED3B11" w:rsidRPr="00DE1144">
              <w:rPr>
                <w:rFonts w:ascii="Arial" w:hAnsi="Arial" w:cs="Arial"/>
                <w:sz w:val="22"/>
                <w:szCs w:val="22"/>
              </w:rPr>
              <w:t>the increase of stimulants.</w:t>
            </w:r>
          </w:p>
          <w:p w14:paraId="41491C60" w14:textId="270146E0" w:rsidR="00ED3B11" w:rsidRPr="00190DAB" w:rsidRDefault="00190DAB" w:rsidP="002B591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Boss</w:t>
            </w:r>
            <w:r w:rsidR="00ED3B11" w:rsidRPr="00190DAB">
              <w:rPr>
                <w:rFonts w:ascii="Arial" w:hAnsi="Arial" w:cs="Arial"/>
                <w:sz w:val="22"/>
                <w:szCs w:val="22"/>
              </w:rPr>
              <w:t xml:space="preserve"> responded that if </w:t>
            </w:r>
            <w:r>
              <w:rPr>
                <w:rFonts w:ascii="Arial" w:hAnsi="Arial" w:cs="Arial"/>
                <w:sz w:val="22"/>
                <w:szCs w:val="22"/>
              </w:rPr>
              <w:t xml:space="preserve">a member obtains </w:t>
            </w:r>
            <w:r w:rsidR="00ED3B11" w:rsidRPr="00190DAB">
              <w:rPr>
                <w:rFonts w:ascii="Arial" w:hAnsi="Arial" w:cs="Arial"/>
                <w:sz w:val="22"/>
                <w:szCs w:val="22"/>
              </w:rPr>
              <w:t xml:space="preserve">a stimulant from another source </w:t>
            </w:r>
            <w:r>
              <w:rPr>
                <w:rFonts w:ascii="Arial" w:hAnsi="Arial" w:cs="Arial"/>
                <w:sz w:val="22"/>
                <w:szCs w:val="22"/>
              </w:rPr>
              <w:t xml:space="preserve">or by </w:t>
            </w:r>
            <w:r w:rsidR="00ED3B11" w:rsidRPr="00190DAB">
              <w:rPr>
                <w:rFonts w:ascii="Arial" w:hAnsi="Arial" w:cs="Arial"/>
                <w:sz w:val="22"/>
                <w:szCs w:val="22"/>
              </w:rPr>
              <w:t>another means, the numbers are not going to</w:t>
            </w:r>
            <w:r w:rsidR="00DE1144"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="00ED3B11" w:rsidRPr="00190DAB">
              <w:rPr>
                <w:rFonts w:ascii="Arial" w:hAnsi="Arial" w:cs="Arial"/>
                <w:sz w:val="22"/>
                <w:szCs w:val="22"/>
              </w:rPr>
              <w:t xml:space="preserve"> reflect</w:t>
            </w:r>
            <w:r w:rsidR="00DE1144">
              <w:rPr>
                <w:rFonts w:ascii="Arial" w:hAnsi="Arial" w:cs="Arial"/>
                <w:sz w:val="22"/>
                <w:szCs w:val="22"/>
              </w:rPr>
              <w:t>ed</w:t>
            </w:r>
            <w:r w:rsidR="00ED3B11" w:rsidRPr="00190DAB">
              <w:rPr>
                <w:rFonts w:ascii="Arial" w:hAnsi="Arial" w:cs="Arial"/>
                <w:sz w:val="22"/>
                <w:szCs w:val="22"/>
              </w:rPr>
              <w:t xml:space="preserve"> through MassHealth</w:t>
            </w:r>
            <w:r w:rsidR="00DE1144">
              <w:rPr>
                <w:rFonts w:ascii="Arial" w:hAnsi="Arial" w:cs="Arial"/>
                <w:sz w:val="22"/>
                <w:szCs w:val="22"/>
              </w:rPr>
              <w:t xml:space="preserve"> claims data.</w:t>
            </w:r>
            <w:r w:rsidR="00ED3B11" w:rsidRPr="00190D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1144">
              <w:rPr>
                <w:rFonts w:ascii="Arial" w:hAnsi="Arial" w:cs="Arial"/>
                <w:sz w:val="22"/>
                <w:szCs w:val="22"/>
              </w:rPr>
              <w:t xml:space="preserve">One example is the member paying out of pocket. </w:t>
            </w:r>
          </w:p>
          <w:p w14:paraId="2CD257A2" w14:textId="7708C3EE" w:rsidR="00ED3B11" w:rsidRPr="00190DAB" w:rsidRDefault="00ED3B11" w:rsidP="002B591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 xml:space="preserve">Board member asked if </w:t>
            </w:r>
            <w:r w:rsidR="00190DAB">
              <w:rPr>
                <w:rFonts w:ascii="Arial" w:hAnsi="Arial" w:cs="Arial"/>
                <w:sz w:val="22"/>
                <w:szCs w:val="22"/>
              </w:rPr>
              <w:t>Dr Boss</w:t>
            </w:r>
            <w:r w:rsidRPr="00190DAB">
              <w:rPr>
                <w:rFonts w:ascii="Arial" w:hAnsi="Arial" w:cs="Arial"/>
                <w:sz w:val="22"/>
                <w:szCs w:val="22"/>
              </w:rPr>
              <w:t xml:space="preserve"> has access to the prescription monitoring program.</w:t>
            </w:r>
          </w:p>
          <w:p w14:paraId="1C78A3A4" w14:textId="26518962" w:rsidR="00702B09" w:rsidRPr="00190DAB" w:rsidRDefault="00190DAB" w:rsidP="002B591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Boss</w:t>
            </w:r>
            <w:r w:rsidR="00ED3B11" w:rsidRPr="00190DAB">
              <w:rPr>
                <w:rFonts w:ascii="Arial" w:hAnsi="Arial" w:cs="Arial"/>
                <w:sz w:val="22"/>
                <w:szCs w:val="22"/>
              </w:rPr>
              <w:t xml:space="preserve"> responded that she does not have access</w:t>
            </w:r>
            <w:r w:rsidR="005A0A57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ED3B11" w:rsidRPr="00190DAB">
              <w:rPr>
                <w:rFonts w:ascii="Arial" w:hAnsi="Arial" w:cs="Arial"/>
                <w:sz w:val="22"/>
                <w:szCs w:val="22"/>
              </w:rPr>
              <w:t xml:space="preserve"> the program. </w:t>
            </w:r>
          </w:p>
        </w:tc>
        <w:tc>
          <w:tcPr>
            <w:tcW w:w="2526" w:type="dxa"/>
          </w:tcPr>
          <w:p w14:paraId="5B2A907C" w14:textId="77777777" w:rsidR="00702B09" w:rsidRPr="001430C6" w:rsidRDefault="00702B09" w:rsidP="007A4D88">
            <w:pPr>
              <w:rPr>
                <w:rFonts w:cs="Arial"/>
                <w:sz w:val="22"/>
                <w:szCs w:val="22"/>
              </w:rPr>
            </w:pPr>
          </w:p>
          <w:p w14:paraId="0AF5D0F2" w14:textId="77777777" w:rsidR="00702B09" w:rsidRPr="001430C6" w:rsidRDefault="00702B09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35D9CF9" w14:textId="77777777" w:rsidR="00702B09" w:rsidRPr="001430C6" w:rsidRDefault="00702B09" w:rsidP="007A4D88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1E0BCEE7" w14:textId="77777777" w:rsidR="002F5471" w:rsidRPr="001430C6" w:rsidRDefault="002F547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66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2F5471" w:rsidRPr="00190DAB" w14:paraId="22BED980" w14:textId="77777777" w:rsidTr="007A4D88">
        <w:tc>
          <w:tcPr>
            <w:tcW w:w="2157" w:type="dxa"/>
            <w:shd w:val="clear" w:color="auto" w:fill="000000" w:themeFill="text1"/>
          </w:tcPr>
          <w:p w14:paraId="460D3AF3" w14:textId="77777777" w:rsidR="002F5471" w:rsidRPr="001430C6" w:rsidRDefault="002F5471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9B5D9D" w14:textId="77777777" w:rsidR="002F5471" w:rsidRPr="001430C6" w:rsidRDefault="002F5471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576301A3" w14:textId="77777777" w:rsidR="002F5471" w:rsidRPr="001430C6" w:rsidRDefault="002F5471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42AD80" w14:textId="77777777" w:rsidR="002F5471" w:rsidRPr="001430C6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7506AE76" w14:textId="77777777" w:rsidR="002F5471" w:rsidRPr="001430C6" w:rsidRDefault="002F5471" w:rsidP="007A4D8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C5FD018" w14:textId="77777777" w:rsidR="002F5471" w:rsidRPr="001430C6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F5471" w:rsidRPr="00190DAB" w14:paraId="08CCD009" w14:textId="77777777" w:rsidTr="007A4D88">
        <w:tc>
          <w:tcPr>
            <w:tcW w:w="2157" w:type="dxa"/>
          </w:tcPr>
          <w:p w14:paraId="0EAAC07F" w14:textId="77777777" w:rsidR="002F5471" w:rsidRPr="001430C6" w:rsidRDefault="002F5471" w:rsidP="007A4D88">
            <w:pPr>
              <w:rPr>
                <w:rFonts w:cs="Arial"/>
                <w:sz w:val="22"/>
                <w:szCs w:val="22"/>
              </w:rPr>
            </w:pPr>
          </w:p>
          <w:p w14:paraId="47A77611" w14:textId="77777777" w:rsidR="002F5471" w:rsidRPr="001430C6" w:rsidRDefault="002F5471" w:rsidP="007A4D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30C6">
              <w:rPr>
                <w:rFonts w:cs="Arial"/>
                <w:b/>
                <w:bCs/>
                <w:color w:val="000000"/>
                <w:sz w:val="22"/>
                <w:szCs w:val="22"/>
              </w:rPr>
              <w:t>Spravato (esketamine) New Drug Review</w:t>
            </w:r>
          </w:p>
          <w:p w14:paraId="7E695146" w14:textId="77777777" w:rsidR="002F5471" w:rsidRPr="001430C6" w:rsidRDefault="002F5471" w:rsidP="007A4D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7" w:type="dxa"/>
          </w:tcPr>
          <w:p w14:paraId="295FE83C" w14:textId="77777777" w:rsidR="002F5471" w:rsidRPr="001430C6" w:rsidRDefault="002F5471" w:rsidP="002F5471">
            <w:pPr>
              <w:rPr>
                <w:rFonts w:cs="Arial"/>
                <w:sz w:val="22"/>
                <w:szCs w:val="22"/>
              </w:rPr>
            </w:pPr>
          </w:p>
          <w:p w14:paraId="5F5D1EBC" w14:textId="6955E6C1" w:rsidR="002F5471" w:rsidRPr="001430C6" w:rsidRDefault="002F5471" w:rsidP="002F547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  <w:u w:val="single"/>
              </w:rPr>
            </w:pPr>
            <w:r w:rsidRPr="001430C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>Spravato (esketamine) New Drug Review by</w:t>
            </w:r>
            <w:r w:rsidR="00ED3B11" w:rsidRPr="001430C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834749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Dr. </w:t>
            </w:r>
            <w:r w:rsidRPr="001430C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>Ashley Chiara</w:t>
            </w:r>
          </w:p>
          <w:p w14:paraId="12710371" w14:textId="01EEFF86" w:rsidR="002F5471" w:rsidRPr="001430C6" w:rsidRDefault="002F5471" w:rsidP="00ED3B11">
            <w:pPr>
              <w:pStyle w:val="ListParagraph"/>
              <w:ind w:left="704"/>
              <w:rPr>
                <w:rFonts w:ascii="Arial" w:hAnsi="Arial" w:cs="Arial"/>
                <w:bCs/>
                <w:sz w:val="22"/>
                <w:szCs w:val="22"/>
              </w:rPr>
            </w:pPr>
            <w:r w:rsidRPr="001430C6"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 w:rsidR="00ED3B11" w:rsidRPr="001430C6">
              <w:rPr>
                <w:rFonts w:ascii="Arial" w:hAnsi="Arial" w:cs="Arial"/>
                <w:bCs/>
                <w:sz w:val="22"/>
                <w:szCs w:val="22"/>
              </w:rPr>
              <w:t>overview is an evaluation of current medical literature and will provide</w:t>
            </w:r>
            <w:r w:rsidR="001359B4" w:rsidRPr="001430C6">
              <w:rPr>
                <w:rFonts w:ascii="Arial" w:hAnsi="Arial" w:cs="Arial"/>
                <w:bCs/>
                <w:sz w:val="22"/>
                <w:szCs w:val="22"/>
              </w:rPr>
              <w:t xml:space="preserve"> a brief overview of the place in therapy of this agent. </w:t>
            </w:r>
          </w:p>
        </w:tc>
        <w:tc>
          <w:tcPr>
            <w:tcW w:w="2526" w:type="dxa"/>
          </w:tcPr>
          <w:p w14:paraId="149DC42B" w14:textId="77777777" w:rsidR="002F5471" w:rsidRPr="001430C6" w:rsidRDefault="002F5471" w:rsidP="007A4D88">
            <w:pPr>
              <w:rPr>
                <w:rFonts w:cs="Arial"/>
                <w:sz w:val="22"/>
                <w:szCs w:val="22"/>
              </w:rPr>
            </w:pPr>
          </w:p>
          <w:p w14:paraId="037B6F5B" w14:textId="77777777" w:rsidR="002F5471" w:rsidRPr="001430C6" w:rsidRDefault="002F5471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16B9F58" w14:textId="77777777" w:rsidR="002F5471" w:rsidRPr="001430C6" w:rsidRDefault="002F5471" w:rsidP="007A4D8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2F5471" w:rsidRPr="00190DAB" w14:paraId="7343EE45" w14:textId="77777777" w:rsidTr="007A4D88">
        <w:tc>
          <w:tcPr>
            <w:tcW w:w="2157" w:type="dxa"/>
          </w:tcPr>
          <w:p w14:paraId="34558D50" w14:textId="77777777" w:rsidR="002F5471" w:rsidRPr="004F018D" w:rsidRDefault="002F5471" w:rsidP="007A4D88">
            <w:pPr>
              <w:rPr>
                <w:rFonts w:cs="Arial"/>
                <w:sz w:val="22"/>
                <w:szCs w:val="22"/>
              </w:rPr>
            </w:pPr>
            <w:r w:rsidRPr="004F018D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511AF7B3" w14:textId="77777777" w:rsidR="002F5471" w:rsidRPr="00190DAB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190DAB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129D6C5D" w14:textId="1865D603" w:rsidR="007A4D88" w:rsidRPr="00834749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90DAB">
              <w:rPr>
                <w:rFonts w:ascii="Arial" w:hAnsi="Arial" w:cs="Arial"/>
                <w:sz w:val="22"/>
                <w:szCs w:val="22"/>
              </w:rPr>
              <w:t>Review</w:t>
            </w:r>
            <w:r w:rsidR="002C58C6">
              <w:rPr>
                <w:rFonts w:ascii="Arial" w:hAnsi="Arial" w:cs="Arial"/>
                <w:sz w:val="22"/>
                <w:szCs w:val="22"/>
              </w:rPr>
              <w:t>ed</w:t>
            </w:r>
            <w:r w:rsidRPr="00190DAB">
              <w:rPr>
                <w:rFonts w:ascii="Arial" w:hAnsi="Arial" w:cs="Arial"/>
                <w:sz w:val="22"/>
                <w:szCs w:val="22"/>
              </w:rPr>
              <w:t xml:space="preserve"> Spravato (esketamine) and its Food and Drug Administration-approved indication</w:t>
            </w:r>
          </w:p>
          <w:p w14:paraId="3C52F990" w14:textId="028D7A11" w:rsidR="007A4D88" w:rsidRPr="00834749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34749">
              <w:rPr>
                <w:rFonts w:ascii="Arial" w:hAnsi="Arial" w:cs="Arial"/>
                <w:sz w:val="22"/>
                <w:szCs w:val="22"/>
              </w:rPr>
              <w:t>Describe</w:t>
            </w:r>
            <w:r w:rsidR="002C58C6">
              <w:rPr>
                <w:rFonts w:ascii="Arial" w:hAnsi="Arial" w:cs="Arial"/>
                <w:sz w:val="22"/>
                <w:szCs w:val="22"/>
              </w:rPr>
              <w:t>d</w:t>
            </w:r>
            <w:r w:rsidRPr="00834749">
              <w:rPr>
                <w:rFonts w:ascii="Arial" w:hAnsi="Arial" w:cs="Arial"/>
                <w:sz w:val="22"/>
                <w:szCs w:val="22"/>
              </w:rPr>
              <w:t xml:space="preserve"> current clinical trial data for Spravato® (esketamine)</w:t>
            </w:r>
            <w:r w:rsidR="002C58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3CD19E" w14:textId="08D74EC4" w:rsidR="007A4D88" w:rsidRPr="005D6DDC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Summarize the pertinent warnings, precautions, and administration-related concerns for Spravato (esketamine)</w:t>
            </w:r>
          </w:p>
          <w:p w14:paraId="76427F19" w14:textId="6668DEDA" w:rsidR="007A4D88" w:rsidRPr="005D6DDC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Discuss</w:t>
            </w:r>
            <w:r w:rsidR="002C58C6">
              <w:rPr>
                <w:rFonts w:ascii="Arial" w:hAnsi="Arial" w:cs="Arial"/>
                <w:sz w:val="22"/>
                <w:szCs w:val="22"/>
              </w:rPr>
              <w:t>ed</w:t>
            </w:r>
            <w:r w:rsidRPr="005D6DDC">
              <w:rPr>
                <w:rFonts w:ascii="Arial" w:hAnsi="Arial" w:cs="Arial"/>
                <w:sz w:val="22"/>
                <w:szCs w:val="22"/>
              </w:rPr>
              <w:t xml:space="preserve"> the recommended management strategy for Spravato (esketamine)</w:t>
            </w:r>
          </w:p>
          <w:p w14:paraId="7012E714" w14:textId="77777777" w:rsidR="007A4D88" w:rsidRPr="005D6DDC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 xml:space="preserve">FDA-Approved: March 5, 2019 </w:t>
            </w:r>
          </w:p>
          <w:p w14:paraId="2037D3FE" w14:textId="77777777" w:rsidR="007A4D88" w:rsidRPr="005D6DDC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Approved Indications:</w:t>
            </w:r>
          </w:p>
          <w:p w14:paraId="18CC7624" w14:textId="77777777" w:rsidR="007A4D88" w:rsidRPr="005D6DDC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Treatment of adults with treatment-resistant depression (TRD) in conjunction with an oral antidepressant</w:t>
            </w:r>
          </w:p>
          <w:p w14:paraId="76DD05C3" w14:textId="77777777" w:rsidR="007A4D88" w:rsidRPr="005D6DDC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b/>
                <w:bCs/>
                <w:sz w:val="22"/>
                <w:szCs w:val="22"/>
              </w:rPr>
              <w:t>Not</w:t>
            </w:r>
            <w:r w:rsidRPr="005D6DDC">
              <w:rPr>
                <w:rFonts w:ascii="Arial" w:hAnsi="Arial" w:cs="Arial"/>
                <w:sz w:val="22"/>
                <w:szCs w:val="22"/>
              </w:rPr>
              <w:t xml:space="preserve"> approved as an anesthetic agent </w:t>
            </w:r>
          </w:p>
          <w:p w14:paraId="1832FD02" w14:textId="77777777" w:rsidR="007A4D88" w:rsidRPr="005D6DDC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S-enantiomer of racemic ketamine, a non-selective, noncompetitive antagonist of the N-methyl-D-aspartate (NMDA) receptor</w:t>
            </w:r>
          </w:p>
          <w:p w14:paraId="7720F03E" w14:textId="33E2BBE8" w:rsidR="007A4D88" w:rsidRPr="005D6DDC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Esketamine must be administered under the direct supervision of a healthcare provider at a REMS certified treatment center</w:t>
            </w:r>
            <w:r w:rsidR="002C58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AD7568" w14:textId="1C4F751C" w:rsidR="007A4D88" w:rsidRPr="005D6DDC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A treatment session consists of nasal administration of esketamine and post-administration observation (minimum two hours)</w:t>
            </w:r>
            <w:r w:rsidR="002C58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7DEC6D" w14:textId="77777777" w:rsidR="007A4D88" w:rsidRPr="005D6DDC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Observed for dissociation and sedation</w:t>
            </w:r>
          </w:p>
          <w:p w14:paraId="3BE3DCAD" w14:textId="77777777" w:rsidR="007A4D88" w:rsidRPr="005D6DDC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Blood pressure monitoring</w:t>
            </w:r>
          </w:p>
          <w:p w14:paraId="2F95B2D6" w14:textId="33861EF3" w:rsidR="001359B4" w:rsidRPr="005D6DDC" w:rsidRDefault="001359B4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Patients should not drive home or until a full night of sleep</w:t>
            </w:r>
            <w:r w:rsidR="003707A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FA9B5A" w14:textId="77777777" w:rsidR="002F5471" w:rsidRPr="005D6DDC" w:rsidRDefault="002F5471" w:rsidP="007A4D88">
            <w:pPr>
              <w:rPr>
                <w:rFonts w:cs="Arial"/>
                <w:sz w:val="22"/>
                <w:szCs w:val="22"/>
              </w:rPr>
            </w:pPr>
          </w:p>
          <w:p w14:paraId="55269CD7" w14:textId="77777777" w:rsidR="002F5471" w:rsidRPr="005D6DDC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5D6DDC">
              <w:rPr>
                <w:rFonts w:cs="Arial"/>
                <w:b/>
                <w:sz w:val="22"/>
                <w:szCs w:val="22"/>
              </w:rPr>
              <w:t>Recommendations</w:t>
            </w:r>
          </w:p>
          <w:p w14:paraId="455BD971" w14:textId="77777777" w:rsidR="007A4D88" w:rsidRPr="005D6DDC" w:rsidRDefault="007A4D88" w:rsidP="002B591A">
            <w:pPr>
              <w:numPr>
                <w:ilvl w:val="0"/>
                <w:numId w:val="17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Advantages</w:t>
            </w:r>
          </w:p>
          <w:p w14:paraId="6FB1AF1F" w14:textId="77777777" w:rsidR="007A4D88" w:rsidRPr="005D6DDC" w:rsidRDefault="007A4D88" w:rsidP="002B591A">
            <w:pPr>
              <w:numPr>
                <w:ilvl w:val="1"/>
                <w:numId w:val="18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New mechanism of action</w:t>
            </w:r>
          </w:p>
          <w:p w14:paraId="0E9827C2" w14:textId="77777777" w:rsidR="007A4D88" w:rsidRPr="005D6DDC" w:rsidRDefault="007A4D88" w:rsidP="002B591A">
            <w:pPr>
              <w:numPr>
                <w:ilvl w:val="0"/>
                <w:numId w:val="17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Disadvantages/Unanswered Questions</w:t>
            </w:r>
          </w:p>
          <w:p w14:paraId="7E39FBBD" w14:textId="77777777" w:rsidR="007A4D88" w:rsidRPr="005D6DDC" w:rsidRDefault="007A4D88" w:rsidP="002B591A">
            <w:pPr>
              <w:numPr>
                <w:ilvl w:val="1"/>
                <w:numId w:val="19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Black Box Warnings and REMS program</w:t>
            </w:r>
          </w:p>
          <w:p w14:paraId="117B7FB1" w14:textId="77777777" w:rsidR="007A4D88" w:rsidRPr="005D6DDC" w:rsidRDefault="007A4D88" w:rsidP="002B591A">
            <w:pPr>
              <w:numPr>
                <w:ilvl w:val="1"/>
                <w:numId w:val="19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 xml:space="preserve">High cost compared to antidepressant class </w:t>
            </w:r>
          </w:p>
          <w:p w14:paraId="49DE70DB" w14:textId="77777777" w:rsidR="007A4D88" w:rsidRPr="005D6DDC" w:rsidRDefault="007A4D88" w:rsidP="002B591A">
            <w:pPr>
              <w:numPr>
                <w:ilvl w:val="1"/>
                <w:numId w:val="19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Started with new oral antidepressant in clinical trials</w:t>
            </w:r>
          </w:p>
          <w:p w14:paraId="759C6D4D" w14:textId="77777777" w:rsidR="007A4D88" w:rsidRPr="005D6DDC" w:rsidRDefault="007A4D88" w:rsidP="002B591A">
            <w:pPr>
              <w:numPr>
                <w:ilvl w:val="0"/>
                <w:numId w:val="17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Key Facts</w:t>
            </w:r>
          </w:p>
          <w:p w14:paraId="0D1A2AD2" w14:textId="77777777" w:rsidR="007A4D88" w:rsidRPr="005D6DDC" w:rsidRDefault="007A4D88" w:rsidP="002B591A">
            <w:pPr>
              <w:numPr>
                <w:ilvl w:val="1"/>
                <w:numId w:val="20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Requires administration in a certified REMS center</w:t>
            </w:r>
          </w:p>
          <w:p w14:paraId="3FE979E7" w14:textId="77777777" w:rsidR="007A4D88" w:rsidRPr="005D6DDC" w:rsidRDefault="007A4D88" w:rsidP="002B591A">
            <w:pPr>
              <w:numPr>
                <w:ilvl w:val="1"/>
                <w:numId w:val="20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Being studied for rapid reduction of symptoms in patients at imminent risk for suicide (adults and children 12 to 18 years of age)</w:t>
            </w:r>
          </w:p>
          <w:p w14:paraId="7AF674EC" w14:textId="77777777" w:rsidR="007A4D88" w:rsidRPr="005D6DDC" w:rsidRDefault="007A4D88" w:rsidP="002B591A">
            <w:pPr>
              <w:numPr>
                <w:ilvl w:val="0"/>
                <w:numId w:val="17"/>
              </w:numPr>
              <w:tabs>
                <w:tab w:val="num" w:pos="1440"/>
              </w:tabs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ICER Evaluation</w:t>
            </w:r>
          </w:p>
          <w:p w14:paraId="5BF0720D" w14:textId="2173AB42" w:rsidR="007A4D88" w:rsidRPr="005D6DDC" w:rsidRDefault="007A4D88" w:rsidP="002B591A">
            <w:pPr>
              <w:numPr>
                <w:ilvl w:val="1"/>
                <w:numId w:val="21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>Evidence is insufficient to assess the net health benefit of esketamine versus ketamine, ECT, TMS, oral antidepressants, or augmentation with antipsychotics (e.g., olanzapine)</w:t>
            </w:r>
            <w:r w:rsidR="002C58C6">
              <w:rPr>
                <w:rFonts w:cs="Arial"/>
                <w:sz w:val="22"/>
                <w:szCs w:val="22"/>
              </w:rPr>
              <w:t>.</w:t>
            </w:r>
          </w:p>
          <w:p w14:paraId="3254415A" w14:textId="77777777" w:rsidR="007A4D88" w:rsidRPr="005D6DDC" w:rsidRDefault="007A4D88" w:rsidP="002B591A">
            <w:pPr>
              <w:numPr>
                <w:ilvl w:val="1"/>
                <w:numId w:val="21"/>
              </w:numPr>
              <w:rPr>
                <w:rFonts w:cs="Arial"/>
                <w:sz w:val="22"/>
                <w:szCs w:val="22"/>
              </w:rPr>
            </w:pPr>
            <w:r w:rsidRPr="005D6DDC">
              <w:rPr>
                <w:rFonts w:cs="Arial"/>
                <w:sz w:val="22"/>
                <w:szCs w:val="22"/>
              </w:rPr>
              <w:t xml:space="preserve">Price of $295 per 28 mg intranasal device </w:t>
            </w:r>
          </w:p>
          <w:p w14:paraId="655BF15C" w14:textId="77777777" w:rsidR="007A4D88" w:rsidRPr="00DB560F" w:rsidRDefault="007A4D88" w:rsidP="002B591A">
            <w:pPr>
              <w:numPr>
                <w:ilvl w:val="2"/>
                <w:numId w:val="24"/>
              </w:numPr>
              <w:rPr>
                <w:rFonts w:cs="Arial"/>
                <w:sz w:val="22"/>
                <w:szCs w:val="22"/>
              </w:rPr>
            </w:pPr>
            <w:r w:rsidRPr="00DB560F">
              <w:rPr>
                <w:rFonts w:cs="Arial"/>
                <w:sz w:val="22"/>
                <w:szCs w:val="22"/>
              </w:rPr>
              <w:t>Incremental cost-effectiveness ratio of approximately $198,000 per QALY compared to no additional treatment</w:t>
            </w:r>
          </w:p>
          <w:p w14:paraId="13474432" w14:textId="77777777" w:rsidR="007A4D88" w:rsidRPr="00DB560F" w:rsidRDefault="007A4D88" w:rsidP="002B591A">
            <w:pPr>
              <w:numPr>
                <w:ilvl w:val="2"/>
                <w:numId w:val="24"/>
              </w:numPr>
              <w:rPr>
                <w:rFonts w:cs="Arial"/>
                <w:sz w:val="22"/>
                <w:szCs w:val="22"/>
              </w:rPr>
            </w:pPr>
            <w:r w:rsidRPr="00DB560F">
              <w:rPr>
                <w:rFonts w:cs="Arial"/>
                <w:sz w:val="22"/>
                <w:szCs w:val="22"/>
              </w:rPr>
              <w:t>Falls above the cost-effectiveness threshold of $150,000 per QALY</w:t>
            </w:r>
          </w:p>
          <w:p w14:paraId="300FE99D" w14:textId="4E959A34" w:rsidR="001359B4" w:rsidRPr="003707AB" w:rsidRDefault="001359B4" w:rsidP="002B591A">
            <w:pPr>
              <w:pStyle w:val="ListParagraph"/>
              <w:numPr>
                <w:ilvl w:val="0"/>
                <w:numId w:val="22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3707AB">
              <w:rPr>
                <w:rFonts w:ascii="Arial" w:hAnsi="Arial" w:cs="Arial"/>
                <w:sz w:val="22"/>
                <w:szCs w:val="22"/>
              </w:rPr>
              <w:t>It was recommended to add Spravato (esketamine) the MHDL requiring PA</w:t>
            </w:r>
          </w:p>
          <w:p w14:paraId="6D81EF65" w14:textId="77777777" w:rsidR="001359B4" w:rsidRPr="005D6DDC" w:rsidRDefault="001359B4" w:rsidP="001359B4">
            <w:pPr>
              <w:rPr>
                <w:rFonts w:cs="Arial"/>
                <w:sz w:val="22"/>
                <w:szCs w:val="22"/>
              </w:rPr>
            </w:pPr>
          </w:p>
          <w:p w14:paraId="2CC9DAD9" w14:textId="77777777" w:rsidR="001359B4" w:rsidRPr="005D6DDC" w:rsidRDefault="001359B4" w:rsidP="001359B4">
            <w:pPr>
              <w:rPr>
                <w:rFonts w:cs="Arial"/>
                <w:b/>
                <w:sz w:val="22"/>
                <w:szCs w:val="22"/>
              </w:rPr>
            </w:pPr>
            <w:r w:rsidRPr="005D6DDC">
              <w:rPr>
                <w:rFonts w:cs="Arial"/>
                <w:b/>
                <w:sz w:val="22"/>
                <w:szCs w:val="22"/>
              </w:rPr>
              <w:t>Questions</w:t>
            </w:r>
          </w:p>
          <w:p w14:paraId="56DD72B3" w14:textId="4F401F26" w:rsidR="002F5471" w:rsidRPr="005D6DDC" w:rsidRDefault="001359B4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 xml:space="preserve">Board Member </w:t>
            </w:r>
            <w:r w:rsidR="0029090E" w:rsidRPr="005D6DDC">
              <w:rPr>
                <w:rFonts w:ascii="Arial" w:hAnsi="Arial" w:cs="Arial"/>
                <w:sz w:val="22"/>
                <w:szCs w:val="22"/>
              </w:rPr>
              <w:t xml:space="preserve">asked if the patient </w:t>
            </w:r>
            <w:r w:rsidR="00183BBC" w:rsidRPr="005D6DDC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AC55DE" w:rsidRPr="005D6DDC">
              <w:rPr>
                <w:rFonts w:ascii="Arial" w:hAnsi="Arial" w:cs="Arial"/>
                <w:sz w:val="22"/>
                <w:szCs w:val="22"/>
              </w:rPr>
              <w:t>to go to the prescriber’s office</w:t>
            </w:r>
            <w:r w:rsidR="005D6DDC">
              <w:rPr>
                <w:rFonts w:ascii="Arial" w:hAnsi="Arial" w:cs="Arial"/>
                <w:sz w:val="22"/>
                <w:szCs w:val="22"/>
              </w:rPr>
              <w:t xml:space="preserve"> and remain for two hours</w:t>
            </w:r>
            <w:r w:rsidR="00AC55DE" w:rsidRPr="005D6D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BBC" w:rsidRPr="005D6DDC">
              <w:rPr>
                <w:rFonts w:ascii="Arial" w:hAnsi="Arial" w:cs="Arial"/>
                <w:sz w:val="22"/>
                <w:szCs w:val="22"/>
              </w:rPr>
              <w:t>for the prescribed inhalation</w:t>
            </w:r>
            <w:r w:rsidR="00AF7FD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861BE4" w14:textId="03000650" w:rsidR="00AC55DE" w:rsidRPr="005D6DDC" w:rsidRDefault="005D6DDC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Dr. Chiara confirmed noting the necessity to </w:t>
            </w:r>
            <w:r w:rsidR="00AC55DE" w:rsidRPr="005D6DDC">
              <w:rPr>
                <w:rFonts w:ascii="Arial" w:hAnsi="Arial" w:cs="Arial"/>
                <w:sz w:val="22"/>
                <w:szCs w:val="22"/>
              </w:rPr>
              <w:t>monitor symptoms or side effects.</w:t>
            </w:r>
          </w:p>
          <w:p w14:paraId="1BE8ABA8" w14:textId="5C4998C0" w:rsidR="00AC55DE" w:rsidRPr="005D6DDC" w:rsidRDefault="00B15163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C55DE" w:rsidRPr="005D6DDC">
              <w:rPr>
                <w:rFonts w:ascii="Arial" w:hAnsi="Arial" w:cs="Arial"/>
                <w:sz w:val="22"/>
                <w:szCs w:val="22"/>
              </w:rPr>
              <w:t xml:space="preserve">Board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C55DE" w:rsidRPr="005D6DDC">
              <w:rPr>
                <w:rFonts w:ascii="Arial" w:hAnsi="Arial" w:cs="Arial"/>
                <w:sz w:val="22"/>
                <w:szCs w:val="22"/>
              </w:rPr>
              <w:t xml:space="preserve">ember inquired about medication being dispensed prescriber or pharmacy. </w:t>
            </w:r>
          </w:p>
          <w:p w14:paraId="480E1DDA" w14:textId="1137A75E" w:rsidR="00AC55DE" w:rsidRPr="005D6DDC" w:rsidRDefault="005D6DDC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707AB">
              <w:rPr>
                <w:rFonts w:ascii="Arial" w:hAnsi="Arial" w:cs="Arial"/>
                <w:sz w:val="22"/>
                <w:szCs w:val="22"/>
              </w:rPr>
              <w:t xml:space="preserve">Dr. Chiara </w:t>
            </w:r>
            <w:r w:rsidR="00026AA1" w:rsidRPr="003707AB">
              <w:rPr>
                <w:rFonts w:ascii="Arial" w:hAnsi="Arial" w:cs="Arial"/>
                <w:sz w:val="22"/>
                <w:szCs w:val="22"/>
              </w:rPr>
              <w:t>will be exclusively administered in the prescriber’s office</w:t>
            </w:r>
          </w:p>
        </w:tc>
        <w:tc>
          <w:tcPr>
            <w:tcW w:w="2526" w:type="dxa"/>
          </w:tcPr>
          <w:p w14:paraId="609C1B85" w14:textId="77777777" w:rsidR="002F5471" w:rsidRPr="001430C6" w:rsidRDefault="002F5471" w:rsidP="007A4D88">
            <w:pPr>
              <w:rPr>
                <w:rFonts w:cs="Arial"/>
                <w:sz w:val="22"/>
                <w:szCs w:val="22"/>
              </w:rPr>
            </w:pPr>
          </w:p>
          <w:p w14:paraId="5FD8A9A9" w14:textId="77777777" w:rsidR="002F5471" w:rsidRPr="001430C6" w:rsidRDefault="002F5471" w:rsidP="007A4D8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</w:t>
            </w:r>
          </w:p>
          <w:p w14:paraId="15F1AB43" w14:textId="77777777" w:rsidR="002F5471" w:rsidRPr="001430C6" w:rsidRDefault="002F5471" w:rsidP="007A4D88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</w:tbl>
    <w:p w14:paraId="1018D178" w14:textId="77777777" w:rsidR="00702B09" w:rsidRPr="001430C6" w:rsidRDefault="00702B09" w:rsidP="00E8289F">
      <w:pPr>
        <w:rPr>
          <w:rFonts w:cs="Arial"/>
          <w:sz w:val="22"/>
          <w:szCs w:val="22"/>
        </w:rPr>
      </w:pPr>
    </w:p>
    <w:p w14:paraId="23289A93" w14:textId="77777777" w:rsidR="00AC55DE" w:rsidRPr="001430C6" w:rsidRDefault="00AC55DE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247"/>
        <w:tblW w:w="0" w:type="auto"/>
        <w:tblLook w:val="04A0" w:firstRow="1" w:lastRow="0" w:firstColumn="1" w:lastColumn="0" w:noHBand="0" w:noVBand="1"/>
      </w:tblPr>
      <w:tblGrid>
        <w:gridCol w:w="1672"/>
        <w:gridCol w:w="8763"/>
        <w:gridCol w:w="2515"/>
      </w:tblGrid>
      <w:tr w:rsidR="008C3C28" w:rsidRPr="00190DAB" w14:paraId="6956C2C8" w14:textId="77777777" w:rsidTr="008C3C28">
        <w:tc>
          <w:tcPr>
            <w:tcW w:w="1672" w:type="dxa"/>
            <w:shd w:val="clear" w:color="auto" w:fill="000000" w:themeFill="text1"/>
          </w:tcPr>
          <w:p w14:paraId="67BEB2CC" w14:textId="77777777" w:rsidR="008C3C28" w:rsidRPr="001430C6" w:rsidRDefault="008C3C28" w:rsidP="008C3C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9DE1B32" w14:textId="77777777" w:rsidR="008C3C28" w:rsidRPr="001430C6" w:rsidRDefault="008C3C28" w:rsidP="008C3C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763" w:type="dxa"/>
            <w:shd w:val="clear" w:color="auto" w:fill="000000" w:themeFill="text1"/>
          </w:tcPr>
          <w:p w14:paraId="78C613E5" w14:textId="77777777" w:rsidR="008C3C28" w:rsidRPr="001430C6" w:rsidRDefault="008C3C28" w:rsidP="008C3C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1F62403" w14:textId="77777777" w:rsidR="008C3C28" w:rsidRPr="001430C6" w:rsidRDefault="008C3C28" w:rsidP="008C3C2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15" w:type="dxa"/>
            <w:shd w:val="clear" w:color="auto" w:fill="000000" w:themeFill="text1"/>
          </w:tcPr>
          <w:p w14:paraId="3AD06F9E" w14:textId="77777777" w:rsidR="008C3C28" w:rsidRPr="001430C6" w:rsidRDefault="008C3C28" w:rsidP="008C3C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8C3C28" w:rsidRPr="00190DAB" w14:paraId="5B40083A" w14:textId="77777777" w:rsidTr="008C3C28">
        <w:tc>
          <w:tcPr>
            <w:tcW w:w="1672" w:type="dxa"/>
          </w:tcPr>
          <w:p w14:paraId="407B7050" w14:textId="77777777" w:rsidR="008C3C28" w:rsidRPr="001430C6" w:rsidRDefault="008C3C28" w:rsidP="008C3C28">
            <w:pPr>
              <w:rPr>
                <w:rFonts w:cs="Arial"/>
                <w:b/>
                <w:sz w:val="22"/>
                <w:szCs w:val="22"/>
              </w:rPr>
            </w:pPr>
          </w:p>
          <w:p w14:paraId="5A9077FD" w14:textId="77777777" w:rsidR="008C3C28" w:rsidRPr="001430C6" w:rsidRDefault="008C3C28" w:rsidP="008C3C2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MHDL Update</w:t>
            </w:r>
          </w:p>
          <w:p w14:paraId="73581753" w14:textId="77777777" w:rsidR="008C3C28" w:rsidRPr="001430C6" w:rsidRDefault="008C3C28" w:rsidP="008C3C2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763" w:type="dxa"/>
          </w:tcPr>
          <w:p w14:paraId="1583B302" w14:textId="77777777" w:rsidR="008C3C28" w:rsidRPr="001430C6" w:rsidRDefault="008C3C28" w:rsidP="008C3C2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876FDE8" w14:textId="1F1C83C3" w:rsidR="008C3C28" w:rsidRPr="001430C6" w:rsidRDefault="008C3C28" w:rsidP="008C3C28">
            <w:pPr>
              <w:contextualSpacing/>
              <w:rPr>
                <w:rFonts w:cs="Arial"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  <w:u w:val="single"/>
              </w:rPr>
              <w:t xml:space="preserve">MassHealth Drug List (MHDL) Update given by </w:t>
            </w:r>
            <w:r w:rsidR="00026AA1">
              <w:rPr>
                <w:rFonts w:cs="Arial"/>
                <w:sz w:val="22"/>
                <w:szCs w:val="22"/>
                <w:u w:val="single"/>
              </w:rPr>
              <w:t xml:space="preserve">Dr </w:t>
            </w:r>
            <w:r w:rsidR="00AC55DE" w:rsidRPr="001430C6">
              <w:rPr>
                <w:rFonts w:cs="Arial"/>
                <w:sz w:val="22"/>
                <w:szCs w:val="22"/>
                <w:u w:val="single"/>
              </w:rPr>
              <w:t>Amy Jasinski</w:t>
            </w:r>
          </w:p>
          <w:p w14:paraId="07F7B79A" w14:textId="77777777" w:rsidR="008C3C28" w:rsidRPr="001430C6" w:rsidRDefault="008C3C28" w:rsidP="008C3C28">
            <w:pPr>
              <w:pStyle w:val="Title"/>
              <w:ind w:left="72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30C6">
              <w:rPr>
                <w:rFonts w:cs="Arial"/>
                <w:b w:val="0"/>
                <w:sz w:val="22"/>
                <w:szCs w:val="22"/>
              </w:rPr>
              <w:t xml:space="preserve">MHDL Overview including new additions, changes in Prior Authorization (PA) status, and related attachment updates implemented with </w:t>
            </w:r>
            <w:r w:rsidR="006C2B44" w:rsidRPr="001430C6">
              <w:rPr>
                <w:rFonts w:cs="Arial"/>
                <w:b w:val="0"/>
                <w:sz w:val="22"/>
                <w:szCs w:val="22"/>
              </w:rPr>
              <w:t>the December</w:t>
            </w:r>
            <w:r w:rsidRPr="001430C6">
              <w:rPr>
                <w:rFonts w:cs="Arial"/>
                <w:b w:val="0"/>
                <w:sz w:val="22"/>
                <w:szCs w:val="22"/>
              </w:rPr>
              <w:t xml:space="preserve"> publication rollout.  </w:t>
            </w:r>
          </w:p>
        </w:tc>
        <w:tc>
          <w:tcPr>
            <w:tcW w:w="2515" w:type="dxa"/>
          </w:tcPr>
          <w:p w14:paraId="454B4E69" w14:textId="77777777" w:rsidR="008C3C28" w:rsidRPr="001430C6" w:rsidRDefault="008C3C28" w:rsidP="008C3C28">
            <w:pPr>
              <w:rPr>
                <w:rFonts w:cs="Arial"/>
                <w:sz w:val="22"/>
                <w:szCs w:val="22"/>
              </w:rPr>
            </w:pPr>
          </w:p>
          <w:p w14:paraId="750BE636" w14:textId="77777777" w:rsidR="008C3C28" w:rsidRPr="001430C6" w:rsidRDefault="008C3C28" w:rsidP="008C3C2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48B9E2D" w14:textId="77777777" w:rsidR="008C3C28" w:rsidRPr="001430C6" w:rsidRDefault="008C3C28" w:rsidP="008C3C28">
            <w:pPr>
              <w:contextualSpacing/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  <w:r w:rsidRPr="001430C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C3C28" w:rsidRPr="00190DAB" w14:paraId="76F531B6" w14:textId="77777777" w:rsidTr="008C3C28">
        <w:tc>
          <w:tcPr>
            <w:tcW w:w="1672" w:type="dxa"/>
          </w:tcPr>
          <w:p w14:paraId="428877C8" w14:textId="77777777" w:rsidR="008C3C28" w:rsidRPr="001430C6" w:rsidRDefault="008C3C28" w:rsidP="008C3C28">
            <w:pPr>
              <w:rPr>
                <w:rFonts w:cs="Arial"/>
                <w:sz w:val="22"/>
                <w:szCs w:val="22"/>
              </w:rPr>
            </w:pPr>
          </w:p>
          <w:p w14:paraId="0867FDEA" w14:textId="77777777" w:rsidR="008C3C28" w:rsidRPr="003D15DB" w:rsidRDefault="008C3C28" w:rsidP="008C3C28">
            <w:pPr>
              <w:rPr>
                <w:rFonts w:cs="Arial"/>
                <w:sz w:val="22"/>
                <w:szCs w:val="22"/>
              </w:rPr>
            </w:pPr>
            <w:r w:rsidRPr="003D15D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763" w:type="dxa"/>
          </w:tcPr>
          <w:p w14:paraId="1884ADB6" w14:textId="77777777" w:rsidR="008C3C28" w:rsidRPr="001430C6" w:rsidRDefault="008C3C28" w:rsidP="008C3C28">
            <w:pPr>
              <w:rPr>
                <w:rFonts w:cs="Arial"/>
                <w:sz w:val="22"/>
                <w:szCs w:val="22"/>
              </w:rPr>
            </w:pPr>
          </w:p>
          <w:p w14:paraId="3508DF55" w14:textId="48EDA9DE" w:rsidR="008C3C28" w:rsidRPr="001430C6" w:rsidRDefault="008C3C28" w:rsidP="008C3C28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 xml:space="preserve">Discussed new drug additions and changes that will go into effect on </w:t>
            </w:r>
            <w:r w:rsidR="00953B5C" w:rsidRPr="001430C6">
              <w:rPr>
                <w:rFonts w:cs="Arial"/>
                <w:sz w:val="22"/>
                <w:szCs w:val="22"/>
              </w:rPr>
              <w:t>July 15, 2019</w:t>
            </w:r>
            <w:r w:rsidR="002A5345">
              <w:rPr>
                <w:rFonts w:cs="Arial"/>
                <w:sz w:val="22"/>
                <w:szCs w:val="22"/>
              </w:rPr>
              <w:t>.</w:t>
            </w:r>
          </w:p>
          <w:p w14:paraId="306C8CE8" w14:textId="609A82D0" w:rsidR="008C3C28" w:rsidRPr="001430C6" w:rsidRDefault="00AC55DE" w:rsidP="002B591A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Nine</w:t>
            </w:r>
            <w:r w:rsidR="008C3C28" w:rsidRPr="001430C6">
              <w:rPr>
                <w:rFonts w:ascii="Arial" w:hAnsi="Arial" w:cs="Arial"/>
                <w:sz w:val="22"/>
                <w:szCs w:val="22"/>
              </w:rPr>
              <w:t xml:space="preserve"> new drugs</w:t>
            </w:r>
            <w:r w:rsidR="006C2B44" w:rsidRP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B5C" w:rsidRPr="001430C6">
              <w:rPr>
                <w:rFonts w:ascii="Arial" w:hAnsi="Arial" w:cs="Arial"/>
                <w:sz w:val="22"/>
                <w:szCs w:val="22"/>
              </w:rPr>
              <w:t>will be</w:t>
            </w:r>
            <w:r w:rsidR="006C2B44" w:rsidRPr="001430C6">
              <w:rPr>
                <w:rFonts w:ascii="Arial" w:hAnsi="Arial" w:cs="Arial"/>
                <w:sz w:val="22"/>
                <w:szCs w:val="22"/>
              </w:rPr>
              <w:t xml:space="preserve"> added</w:t>
            </w:r>
            <w:r w:rsidR="008C3C28" w:rsidRPr="001430C6">
              <w:rPr>
                <w:rFonts w:ascii="Arial" w:hAnsi="Arial" w:cs="Arial"/>
                <w:sz w:val="22"/>
                <w:szCs w:val="22"/>
              </w:rPr>
              <w:t xml:space="preserve"> to the drug list and </w:t>
            </w:r>
            <w:r w:rsidR="00953B5C" w:rsidRPr="001430C6">
              <w:rPr>
                <w:rFonts w:ascii="Arial" w:hAnsi="Arial" w:cs="Arial"/>
                <w:sz w:val="22"/>
                <w:szCs w:val="22"/>
              </w:rPr>
              <w:t>eight</w:t>
            </w:r>
            <w:r w:rsidR="008C3C28" w:rsidRPr="001430C6">
              <w:rPr>
                <w:rFonts w:ascii="Arial" w:hAnsi="Arial" w:cs="Arial"/>
                <w:sz w:val="22"/>
                <w:szCs w:val="22"/>
              </w:rPr>
              <w:t xml:space="preserve"> will require PA</w:t>
            </w:r>
            <w:r w:rsidR="002A53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666FA1" w14:textId="22994540" w:rsidR="00953B5C" w:rsidRPr="001430C6" w:rsidRDefault="00953B5C" w:rsidP="002B591A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One new drug will not require PA</w:t>
            </w:r>
            <w:r w:rsidR="002A53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D55B0A" w14:textId="77777777" w:rsidR="008C3C28" w:rsidRPr="001430C6" w:rsidRDefault="00953B5C" w:rsidP="002B59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One</w:t>
            </w:r>
            <w:r w:rsidR="008C3C28" w:rsidRPr="001430C6">
              <w:rPr>
                <w:rFonts w:ascii="Arial" w:hAnsi="Arial" w:cs="Arial"/>
                <w:sz w:val="22"/>
                <w:szCs w:val="22"/>
              </w:rPr>
              <w:t xml:space="preserve"> drug </w:t>
            </w:r>
            <w:r w:rsidRPr="001430C6">
              <w:rPr>
                <w:rFonts w:ascii="Arial" w:hAnsi="Arial" w:cs="Arial"/>
                <w:sz w:val="22"/>
                <w:szCs w:val="22"/>
              </w:rPr>
              <w:t>will be</w:t>
            </w:r>
            <w:r w:rsidR="008C3C28" w:rsidRPr="001430C6">
              <w:rPr>
                <w:rFonts w:ascii="Arial" w:hAnsi="Arial" w:cs="Arial"/>
                <w:sz w:val="22"/>
                <w:szCs w:val="22"/>
              </w:rPr>
              <w:t xml:space="preserve"> added to the Brand Name to the Preferred Over Generic Drug List </w:t>
            </w:r>
          </w:p>
          <w:p w14:paraId="3F126985" w14:textId="6C35CC69" w:rsidR="008C3C28" w:rsidRPr="001430C6" w:rsidRDefault="00953B5C" w:rsidP="002B59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Four drugs will be</w:t>
            </w:r>
            <w:r w:rsidR="008C3C28" w:rsidRPr="001430C6">
              <w:rPr>
                <w:rFonts w:ascii="Arial" w:hAnsi="Arial" w:cs="Arial"/>
                <w:sz w:val="22"/>
                <w:szCs w:val="22"/>
              </w:rPr>
              <w:t xml:space="preserve"> removed from Brand Name</w:t>
            </w:r>
            <w:r w:rsidR="002A5345">
              <w:rPr>
                <w:rFonts w:ascii="Arial" w:hAnsi="Arial" w:cs="Arial"/>
                <w:sz w:val="22"/>
                <w:szCs w:val="22"/>
              </w:rPr>
              <w:t xml:space="preserve"> Preferred</w:t>
            </w:r>
            <w:r w:rsidR="008C3C28" w:rsidRP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07AB" w:rsidRPr="001430C6">
              <w:rPr>
                <w:rFonts w:ascii="Arial" w:hAnsi="Arial" w:cs="Arial"/>
                <w:sz w:val="22"/>
                <w:szCs w:val="22"/>
              </w:rPr>
              <w:t>Over</w:t>
            </w:r>
            <w:r w:rsidR="008C3C28" w:rsidRPr="001430C6">
              <w:rPr>
                <w:rFonts w:ascii="Arial" w:hAnsi="Arial" w:cs="Arial"/>
                <w:sz w:val="22"/>
                <w:szCs w:val="22"/>
              </w:rPr>
              <w:t xml:space="preserve"> Generic Drug List</w:t>
            </w:r>
            <w:r w:rsidR="002A534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15" w:type="dxa"/>
          </w:tcPr>
          <w:p w14:paraId="4066F9D2" w14:textId="77777777" w:rsidR="008C3C28" w:rsidRPr="001430C6" w:rsidRDefault="008C3C28" w:rsidP="008C3C28">
            <w:pPr>
              <w:rPr>
                <w:rFonts w:cs="Arial"/>
                <w:sz w:val="22"/>
                <w:szCs w:val="22"/>
              </w:rPr>
            </w:pPr>
          </w:p>
          <w:p w14:paraId="498AB359" w14:textId="77777777" w:rsidR="008C3C28" w:rsidRPr="001430C6" w:rsidRDefault="008C3C28" w:rsidP="008C3C2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90F30CD" w14:textId="77777777" w:rsidR="008C3C28" w:rsidRPr="001430C6" w:rsidRDefault="008C3C28" w:rsidP="008C3C28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  <w:p w14:paraId="06D00FA7" w14:textId="77777777" w:rsidR="008C3C28" w:rsidRPr="001430C6" w:rsidRDefault="008C3C28" w:rsidP="008C3C2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7810E3A" w14:textId="77777777" w:rsidR="008655F6" w:rsidRPr="001430C6" w:rsidRDefault="008655F6" w:rsidP="00E8289F">
      <w:pPr>
        <w:rPr>
          <w:rFonts w:cs="Arial"/>
          <w:sz w:val="22"/>
          <w:szCs w:val="22"/>
        </w:rPr>
      </w:pPr>
    </w:p>
    <w:p w14:paraId="6D0B8B54" w14:textId="77777777" w:rsidR="00953B5C" w:rsidRPr="001430C6" w:rsidRDefault="00953B5C" w:rsidP="00E8289F">
      <w:pPr>
        <w:rPr>
          <w:rFonts w:cs="Arial"/>
          <w:sz w:val="22"/>
          <w:szCs w:val="22"/>
        </w:rPr>
      </w:pPr>
    </w:p>
    <w:p w14:paraId="6EED018F" w14:textId="77777777" w:rsidR="00953B5C" w:rsidRPr="001430C6" w:rsidRDefault="00953B5C" w:rsidP="00E8289F">
      <w:pPr>
        <w:rPr>
          <w:rFonts w:cs="Arial"/>
          <w:sz w:val="22"/>
          <w:szCs w:val="22"/>
        </w:rPr>
      </w:pPr>
    </w:p>
    <w:p w14:paraId="1561C875" w14:textId="77777777" w:rsidR="00953B5C" w:rsidRPr="001430C6" w:rsidRDefault="00953B5C" w:rsidP="00E8289F">
      <w:pPr>
        <w:rPr>
          <w:rFonts w:cs="Arial"/>
          <w:sz w:val="22"/>
          <w:szCs w:val="22"/>
        </w:rPr>
      </w:pPr>
    </w:p>
    <w:p w14:paraId="6353ED92" w14:textId="77777777" w:rsidR="00953B5C" w:rsidRPr="001430C6" w:rsidRDefault="00953B5C" w:rsidP="00E8289F">
      <w:pPr>
        <w:rPr>
          <w:rFonts w:cs="Arial"/>
          <w:sz w:val="22"/>
          <w:szCs w:val="22"/>
        </w:rPr>
      </w:pPr>
    </w:p>
    <w:p w14:paraId="25CDD54E" w14:textId="77777777" w:rsidR="00953B5C" w:rsidRPr="001430C6" w:rsidRDefault="00953B5C" w:rsidP="00E8289F">
      <w:pPr>
        <w:rPr>
          <w:rFonts w:cs="Arial"/>
          <w:sz w:val="22"/>
          <w:szCs w:val="22"/>
        </w:rPr>
      </w:pPr>
    </w:p>
    <w:p w14:paraId="647CCDF3" w14:textId="77777777" w:rsidR="00953B5C" w:rsidRPr="001430C6" w:rsidRDefault="00953B5C" w:rsidP="00E8289F">
      <w:pPr>
        <w:rPr>
          <w:rFonts w:cs="Arial"/>
          <w:sz w:val="22"/>
          <w:szCs w:val="22"/>
        </w:rPr>
      </w:pPr>
    </w:p>
    <w:p w14:paraId="22F5E175" w14:textId="77777777" w:rsidR="00953B5C" w:rsidRPr="001430C6" w:rsidRDefault="00953B5C" w:rsidP="00E8289F">
      <w:pPr>
        <w:rPr>
          <w:rFonts w:cs="Arial"/>
          <w:sz w:val="22"/>
          <w:szCs w:val="22"/>
        </w:rPr>
      </w:pPr>
    </w:p>
    <w:p w14:paraId="1B82CC28" w14:textId="77777777" w:rsidR="007A4D88" w:rsidRPr="001430C6" w:rsidRDefault="007A4D88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1705"/>
        <w:gridCol w:w="8729"/>
        <w:gridCol w:w="2516"/>
      </w:tblGrid>
      <w:tr w:rsidR="00637828" w:rsidRPr="00190DAB" w14:paraId="50D6D190" w14:textId="77777777" w:rsidTr="00637828">
        <w:tc>
          <w:tcPr>
            <w:tcW w:w="1705" w:type="dxa"/>
            <w:shd w:val="clear" w:color="auto" w:fill="000000" w:themeFill="text1"/>
          </w:tcPr>
          <w:p w14:paraId="03DED368" w14:textId="77777777" w:rsidR="00637828" w:rsidRPr="001430C6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660EB17" w14:textId="77777777" w:rsidR="00637828" w:rsidRPr="001430C6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729" w:type="dxa"/>
            <w:shd w:val="clear" w:color="auto" w:fill="000000" w:themeFill="text1"/>
          </w:tcPr>
          <w:p w14:paraId="1F278E93" w14:textId="77777777" w:rsidR="00637828" w:rsidRPr="001430C6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B95603D" w14:textId="77777777" w:rsidR="00637828" w:rsidRPr="001430C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16" w:type="dxa"/>
            <w:shd w:val="clear" w:color="auto" w:fill="000000" w:themeFill="text1"/>
          </w:tcPr>
          <w:p w14:paraId="3C99DEE6" w14:textId="77777777" w:rsidR="00637828" w:rsidRPr="001430C6" w:rsidRDefault="00637828" w:rsidP="0063782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608F61E" w14:textId="77777777" w:rsidR="00637828" w:rsidRPr="001430C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637828" w:rsidRPr="00190DAB" w14:paraId="535253EC" w14:textId="77777777" w:rsidTr="00637828">
        <w:tc>
          <w:tcPr>
            <w:tcW w:w="1705" w:type="dxa"/>
          </w:tcPr>
          <w:p w14:paraId="5C32541B" w14:textId="77777777" w:rsidR="00637828" w:rsidRPr="001430C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</w:p>
          <w:p w14:paraId="11D18500" w14:textId="77777777" w:rsidR="00637828" w:rsidRPr="001430C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DUR Operational Update</w:t>
            </w:r>
          </w:p>
          <w:p w14:paraId="2DE807C6" w14:textId="77777777" w:rsidR="00637828" w:rsidRPr="001430C6" w:rsidRDefault="00637828" w:rsidP="0063782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729" w:type="dxa"/>
          </w:tcPr>
          <w:p w14:paraId="397F084D" w14:textId="77777777" w:rsidR="00637828" w:rsidRPr="001430C6" w:rsidRDefault="00637828" w:rsidP="0063782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596E55DA" w14:textId="66EFCBAF" w:rsidR="00637828" w:rsidRPr="001430C6" w:rsidRDefault="00637828" w:rsidP="00637828">
            <w:pPr>
              <w:tabs>
                <w:tab w:val="left" w:pos="961"/>
              </w:tabs>
              <w:rPr>
                <w:rFonts w:cs="Arial"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  <w:u w:val="single"/>
              </w:rPr>
              <w:t xml:space="preserve">Quarterly Operational Statistics presentation given by </w:t>
            </w:r>
            <w:r w:rsidR="00026AA1">
              <w:rPr>
                <w:rFonts w:cs="Arial"/>
                <w:sz w:val="22"/>
                <w:szCs w:val="22"/>
                <w:u w:val="single"/>
              </w:rPr>
              <w:t xml:space="preserve">Dr </w:t>
            </w:r>
            <w:r w:rsidRPr="001430C6">
              <w:rPr>
                <w:rFonts w:cs="Arial"/>
                <w:sz w:val="22"/>
                <w:szCs w:val="22"/>
                <w:u w:val="single"/>
              </w:rPr>
              <w:t>Patricia Leto</w:t>
            </w:r>
          </w:p>
          <w:p w14:paraId="78E06AE7" w14:textId="77777777" w:rsidR="00637828" w:rsidRPr="001430C6" w:rsidRDefault="00637828" w:rsidP="00637828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30C6">
              <w:rPr>
                <w:rFonts w:cs="Arial"/>
                <w:b w:val="0"/>
                <w:sz w:val="22"/>
                <w:szCs w:val="22"/>
              </w:rPr>
              <w:t>DUR Operational Overview statistics associated with Prior Authorization (PA) review</w:t>
            </w:r>
            <w:r w:rsidR="00A5433B" w:rsidRPr="001430C6">
              <w:rPr>
                <w:rFonts w:cs="Arial"/>
                <w:b w:val="0"/>
                <w:sz w:val="22"/>
                <w:szCs w:val="22"/>
              </w:rPr>
              <w:t xml:space="preserve">, </w:t>
            </w:r>
            <w:r w:rsidRPr="001430C6">
              <w:rPr>
                <w:rFonts w:cs="Arial"/>
                <w:b w:val="0"/>
                <w:sz w:val="22"/>
                <w:szCs w:val="22"/>
              </w:rPr>
              <w:t>PA response, and Call Center metrics.</w:t>
            </w:r>
          </w:p>
        </w:tc>
        <w:tc>
          <w:tcPr>
            <w:tcW w:w="2516" w:type="dxa"/>
          </w:tcPr>
          <w:p w14:paraId="54721089" w14:textId="77777777" w:rsidR="00637828" w:rsidRPr="001430C6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36F131E9" w14:textId="77777777" w:rsidR="00637828" w:rsidRPr="001430C6" w:rsidRDefault="00637828" w:rsidP="0063782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E147ED3" w14:textId="77777777" w:rsidR="00637828" w:rsidRPr="001430C6" w:rsidRDefault="00637828" w:rsidP="00637828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  <w:r w:rsidRPr="001430C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637828" w:rsidRPr="00190DAB" w14:paraId="41551807" w14:textId="77777777" w:rsidTr="00637828">
        <w:tc>
          <w:tcPr>
            <w:tcW w:w="1705" w:type="dxa"/>
          </w:tcPr>
          <w:p w14:paraId="186A5476" w14:textId="77777777" w:rsidR="00637828" w:rsidRPr="001430C6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4236F089" w14:textId="77777777" w:rsidR="00637828" w:rsidRPr="003D15DB" w:rsidRDefault="00637828" w:rsidP="00637828">
            <w:pPr>
              <w:rPr>
                <w:rFonts w:cs="Arial"/>
                <w:sz w:val="22"/>
                <w:szCs w:val="22"/>
              </w:rPr>
            </w:pPr>
            <w:r w:rsidRPr="003D15D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729" w:type="dxa"/>
          </w:tcPr>
          <w:p w14:paraId="50B67E0D" w14:textId="77777777" w:rsidR="00637828" w:rsidRPr="001430C6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040EA11A" w14:textId="77777777" w:rsidR="00637828" w:rsidRPr="00DB560F" w:rsidRDefault="00637828" w:rsidP="002B591A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 xml:space="preserve">Prior Authorization (PA) Requests averaged 7,000 per month 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FY17, 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 xml:space="preserve">with a </w:t>
            </w:r>
            <w:r w:rsidRPr="00DB560F">
              <w:rPr>
                <w:rFonts w:ascii="Arial" w:hAnsi="Arial" w:cs="Arial"/>
                <w:sz w:val="22"/>
                <w:szCs w:val="22"/>
              </w:rPr>
              <w:t>peak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March FY18 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of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13,552 PA request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s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04716E5" w14:textId="77777777" w:rsidR="00637828" w:rsidRPr="00DB560F" w:rsidRDefault="00637828" w:rsidP="002B591A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>Call Volume averaged 7,000 calls per month FY17, with a peak in March FY18 of 11,101 calls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462EBB" w14:textId="77777777" w:rsidR="00637828" w:rsidRPr="00DB560F" w:rsidRDefault="00637828" w:rsidP="002B591A">
            <w:pPr>
              <w:pStyle w:val="ListParagraph"/>
              <w:numPr>
                <w:ilvl w:val="0"/>
                <w:numId w:val="2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 xml:space="preserve">Call Abandonment Rate was approximately 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>0.8</w:t>
            </w:r>
            <w:r w:rsidRPr="00DB560F">
              <w:rPr>
                <w:rFonts w:ascii="Arial" w:hAnsi="Arial" w:cs="Arial"/>
                <w:sz w:val="22"/>
                <w:szCs w:val="22"/>
              </w:rPr>
              <w:t>%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.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7B5FC0" w14:textId="77777777" w:rsidR="00637828" w:rsidRPr="00DB560F" w:rsidRDefault="00637828" w:rsidP="002B591A">
            <w:pPr>
              <w:pStyle w:val="ListParagraph"/>
              <w:numPr>
                <w:ilvl w:val="0"/>
                <w:numId w:val="2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 xml:space="preserve">The Average Answered Call Wait Time was 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Pr="00DB560F">
              <w:rPr>
                <w:rFonts w:ascii="Arial" w:hAnsi="Arial" w:cs="Arial"/>
                <w:sz w:val="22"/>
                <w:szCs w:val="22"/>
              </w:rPr>
              <w:t>seconds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51BD8" w14:textId="3D30947B" w:rsidR="00637828" w:rsidRPr="00DB560F" w:rsidRDefault="00637828" w:rsidP="002B591A">
            <w:pPr>
              <w:pStyle w:val="ListParagraph"/>
              <w:numPr>
                <w:ilvl w:val="0"/>
                <w:numId w:val="2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 xml:space="preserve">The overall call 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T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ime for 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A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nswered 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C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alls was </w:t>
            </w:r>
            <w:r w:rsidR="003707AB" w:rsidRPr="00DB560F">
              <w:rPr>
                <w:rFonts w:ascii="Arial" w:hAnsi="Arial" w:cs="Arial"/>
                <w:sz w:val="22"/>
                <w:szCs w:val="22"/>
              </w:rPr>
              <w:t>3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minutes</w:t>
            </w:r>
            <w:r w:rsidR="003707AB" w:rsidRPr="00DB560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>52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seconds, noting the standard is under 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>four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minutes.</w:t>
            </w:r>
          </w:p>
          <w:p w14:paraId="5DDA2F2B" w14:textId="6668C664" w:rsidR="00637828" w:rsidRPr="00DB560F" w:rsidRDefault="00637828" w:rsidP="002B591A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 xml:space="preserve">Appeals averaged 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>14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per month, noting a current decrease in appeals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506EA6" w14:textId="0BBD0A0E" w:rsidR="00637828" w:rsidRPr="00DB560F" w:rsidRDefault="00637828" w:rsidP="002B591A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>Provider outreach averaged 8</w:t>
            </w:r>
            <w:r w:rsidR="003707AB" w:rsidRPr="00DB560F">
              <w:rPr>
                <w:rFonts w:ascii="Arial" w:hAnsi="Arial" w:cs="Arial"/>
                <w:sz w:val="22"/>
                <w:szCs w:val="22"/>
              </w:rPr>
              <w:t>%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to 10% of call volume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 xml:space="preserve"> which is about 675 calls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B18A9B" w14:textId="77777777" w:rsidR="00637828" w:rsidRPr="00DB560F" w:rsidRDefault="00637828" w:rsidP="002B591A">
            <w:pPr>
              <w:pStyle w:val="ListParagraph"/>
              <w:numPr>
                <w:ilvl w:val="0"/>
                <w:numId w:val="25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>The Top 10 PA medications noted: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251"/>
            </w:tblGrid>
            <w:tr w:rsidR="00637828" w:rsidRPr="00190DAB" w14:paraId="17E90DD8" w14:textId="77777777" w:rsidTr="007A4D88">
              <w:trPr>
                <w:trHeight w:val="80"/>
              </w:trPr>
              <w:tc>
                <w:tcPr>
                  <w:tcW w:w="2353" w:type="dxa"/>
                </w:tcPr>
                <w:p w14:paraId="041F2DE9" w14:textId="77777777" w:rsidR="00637828" w:rsidRPr="001430C6" w:rsidRDefault="00637828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2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Methylphenidate</w:t>
                  </w:r>
                </w:p>
                <w:p w14:paraId="3B30EFB4" w14:textId="77777777" w:rsidR="00637828" w:rsidRPr="001430C6" w:rsidRDefault="00637828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2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Lyrica</w:t>
                  </w:r>
                </w:p>
                <w:p w14:paraId="5F689EBC" w14:textId="77777777" w:rsidR="00637828" w:rsidRPr="001430C6" w:rsidRDefault="00637828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2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Clindamycin</w:t>
                  </w:r>
                </w:p>
                <w:p w14:paraId="4B9E840A" w14:textId="77777777" w:rsidR="00637828" w:rsidRPr="001430C6" w:rsidRDefault="00637828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Eliquis</w:t>
                  </w:r>
                </w:p>
                <w:p w14:paraId="1B3C4322" w14:textId="77777777" w:rsidR="00A75229" w:rsidRPr="001430C6" w:rsidRDefault="00A75229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Trulicity</w:t>
                  </w:r>
                </w:p>
              </w:tc>
              <w:tc>
                <w:tcPr>
                  <w:tcW w:w="2251" w:type="dxa"/>
                </w:tcPr>
                <w:p w14:paraId="71E83E79" w14:textId="77777777" w:rsidR="00A75229" w:rsidRPr="001430C6" w:rsidRDefault="00A75229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Clonidine</w:t>
                  </w:r>
                </w:p>
                <w:p w14:paraId="75B1A0F7" w14:textId="77777777" w:rsidR="001138DC" w:rsidRPr="001430C6" w:rsidRDefault="001138DC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Xarelto</w:t>
                  </w:r>
                </w:p>
                <w:p w14:paraId="3A790B0F" w14:textId="77777777" w:rsidR="001138DC" w:rsidRPr="001430C6" w:rsidRDefault="001138DC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Testosterone</w:t>
                  </w:r>
                </w:p>
                <w:p w14:paraId="50AA0482" w14:textId="77777777" w:rsidR="001138DC" w:rsidRPr="001430C6" w:rsidRDefault="00A75229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Tretinoin</w:t>
                  </w:r>
                </w:p>
                <w:p w14:paraId="257BC2B3" w14:textId="77777777" w:rsidR="00A75229" w:rsidRPr="001430C6" w:rsidRDefault="00A75229" w:rsidP="002B591A">
                  <w:pPr>
                    <w:pStyle w:val="ListParagraph"/>
                    <w:framePr w:hSpace="180" w:wrap="around" w:vAnchor="text" w:hAnchor="margin" w:y="168"/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30C6">
                    <w:rPr>
                      <w:rFonts w:ascii="Arial" w:hAnsi="Arial" w:cs="Arial"/>
                      <w:sz w:val="22"/>
                      <w:szCs w:val="22"/>
                    </w:rPr>
                    <w:t>Oxycodone</w:t>
                  </w:r>
                </w:p>
              </w:tc>
            </w:tr>
          </w:tbl>
          <w:p w14:paraId="62C4CF83" w14:textId="47D7B46B" w:rsidR="00A75229" w:rsidRPr="00DB560F" w:rsidRDefault="00637828" w:rsidP="002B591A">
            <w:pPr>
              <w:pStyle w:val="ListParagraph"/>
              <w:numPr>
                <w:ilvl w:val="0"/>
                <w:numId w:val="26"/>
              </w:numPr>
              <w:ind w:left="78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>Discussed the PA turn-around time during business hours. It was noted that the statutory mandate is 24 hours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, and 5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>9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 xml:space="preserve">% of PAs are completed in 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>six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 xml:space="preserve"> hours, with 99.9% completed within 24 hours. 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>represents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 xml:space="preserve"> 123,037 requests.</w:t>
            </w:r>
          </w:p>
          <w:p w14:paraId="764AAC60" w14:textId="77777777" w:rsidR="00637828" w:rsidRPr="00DB560F" w:rsidRDefault="00A5433B" w:rsidP="002B591A">
            <w:pPr>
              <w:pStyle w:val="ListParagraph"/>
              <w:numPr>
                <w:ilvl w:val="0"/>
                <w:numId w:val="26"/>
              </w:numPr>
              <w:ind w:left="789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>Also noted that the PA turn-around time including non-business hours was 7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>6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% in 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>six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hours with 96% in less than 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>nine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hours.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 xml:space="preserve"> This 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>represents</w:t>
            </w:r>
            <w:r w:rsidR="00183BBC" w:rsidRPr="00DB56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5229" w:rsidRPr="00DB560F">
              <w:rPr>
                <w:rFonts w:ascii="Arial" w:hAnsi="Arial" w:cs="Arial"/>
                <w:sz w:val="22"/>
                <w:szCs w:val="22"/>
              </w:rPr>
              <w:t>123,037 requests.</w:t>
            </w:r>
          </w:p>
          <w:p w14:paraId="69375EB1" w14:textId="7FB8F98E" w:rsidR="003707AB" w:rsidRPr="003707AB" w:rsidRDefault="003707AB" w:rsidP="003707AB">
            <w:pPr>
              <w:pStyle w:val="ListParagraph"/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</w:tcPr>
          <w:p w14:paraId="0C38ADC8" w14:textId="77777777" w:rsidR="00637828" w:rsidRPr="001430C6" w:rsidRDefault="00637828" w:rsidP="00637828">
            <w:pPr>
              <w:rPr>
                <w:rFonts w:cs="Arial"/>
                <w:sz w:val="22"/>
                <w:szCs w:val="22"/>
              </w:rPr>
            </w:pPr>
          </w:p>
          <w:p w14:paraId="756F8055" w14:textId="77777777" w:rsidR="00637828" w:rsidRPr="001430C6" w:rsidRDefault="00637828" w:rsidP="0063782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519B434D" w14:textId="77777777" w:rsidR="00637828" w:rsidRPr="001430C6" w:rsidRDefault="00637828" w:rsidP="00637828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  <w:p w14:paraId="4C71B5B7" w14:textId="77777777" w:rsidR="00637828" w:rsidRPr="001430C6" w:rsidRDefault="00637828" w:rsidP="00637828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7887A99E" w14:textId="77777777" w:rsidR="008655F6" w:rsidRPr="001430C6" w:rsidRDefault="008655F6" w:rsidP="00E8289F">
      <w:pPr>
        <w:rPr>
          <w:rFonts w:cs="Arial"/>
          <w:sz w:val="22"/>
          <w:szCs w:val="22"/>
        </w:rPr>
      </w:pPr>
    </w:p>
    <w:p w14:paraId="078313E1" w14:textId="34663434" w:rsidR="00ED20A1" w:rsidRDefault="00ED20A1" w:rsidP="00E8289F">
      <w:pPr>
        <w:rPr>
          <w:rFonts w:cs="Arial"/>
          <w:sz w:val="22"/>
          <w:szCs w:val="22"/>
        </w:rPr>
      </w:pPr>
    </w:p>
    <w:p w14:paraId="4FED8342" w14:textId="65D1690B" w:rsidR="00071384" w:rsidRDefault="00071384" w:rsidP="00E8289F">
      <w:pPr>
        <w:rPr>
          <w:rFonts w:cs="Arial"/>
          <w:sz w:val="22"/>
          <w:szCs w:val="22"/>
        </w:rPr>
      </w:pPr>
    </w:p>
    <w:p w14:paraId="2DB7C4AE" w14:textId="7E012072" w:rsidR="00071384" w:rsidRDefault="00071384" w:rsidP="00E8289F">
      <w:pPr>
        <w:rPr>
          <w:rFonts w:cs="Arial"/>
          <w:sz w:val="22"/>
          <w:szCs w:val="22"/>
        </w:rPr>
      </w:pPr>
    </w:p>
    <w:p w14:paraId="0C46C26F" w14:textId="119DCA1C" w:rsidR="00071384" w:rsidRDefault="00071384" w:rsidP="00E8289F">
      <w:pPr>
        <w:rPr>
          <w:rFonts w:cs="Arial"/>
          <w:sz w:val="22"/>
          <w:szCs w:val="22"/>
        </w:rPr>
      </w:pPr>
    </w:p>
    <w:p w14:paraId="6D5F46F9" w14:textId="7B329E23" w:rsidR="00071384" w:rsidRDefault="00071384" w:rsidP="00E8289F">
      <w:pPr>
        <w:rPr>
          <w:rFonts w:cs="Arial"/>
          <w:sz w:val="22"/>
          <w:szCs w:val="22"/>
        </w:rPr>
      </w:pPr>
    </w:p>
    <w:p w14:paraId="5FE9A344" w14:textId="21295FF7" w:rsidR="00071384" w:rsidRDefault="00071384" w:rsidP="00E8289F">
      <w:pPr>
        <w:rPr>
          <w:rFonts w:cs="Arial"/>
          <w:sz w:val="22"/>
          <w:szCs w:val="22"/>
        </w:rPr>
      </w:pPr>
    </w:p>
    <w:p w14:paraId="4B534EA9" w14:textId="55FD919E" w:rsidR="00071384" w:rsidRDefault="00071384" w:rsidP="00E8289F">
      <w:pPr>
        <w:rPr>
          <w:rFonts w:cs="Arial"/>
          <w:sz w:val="22"/>
          <w:szCs w:val="22"/>
        </w:rPr>
      </w:pPr>
    </w:p>
    <w:p w14:paraId="7BC84DA3" w14:textId="4E574DFD" w:rsidR="00071384" w:rsidRDefault="00071384" w:rsidP="00E8289F">
      <w:pPr>
        <w:rPr>
          <w:rFonts w:cs="Arial"/>
          <w:sz w:val="22"/>
          <w:szCs w:val="22"/>
        </w:rPr>
      </w:pPr>
    </w:p>
    <w:p w14:paraId="0657D2C8" w14:textId="723DFD66" w:rsidR="00071384" w:rsidRDefault="00071384" w:rsidP="00E8289F">
      <w:pPr>
        <w:rPr>
          <w:rFonts w:cs="Arial"/>
          <w:sz w:val="22"/>
          <w:szCs w:val="22"/>
        </w:rPr>
      </w:pPr>
    </w:p>
    <w:p w14:paraId="4F2F1B7A" w14:textId="5D3E0709" w:rsidR="00071384" w:rsidRDefault="00071384" w:rsidP="00E8289F">
      <w:pPr>
        <w:rPr>
          <w:rFonts w:cs="Arial"/>
          <w:sz w:val="22"/>
          <w:szCs w:val="22"/>
        </w:rPr>
      </w:pPr>
    </w:p>
    <w:p w14:paraId="2FA0DDCE" w14:textId="77777777" w:rsidR="00071384" w:rsidRPr="001430C6" w:rsidRDefault="00071384" w:rsidP="00E8289F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8291"/>
        <w:gridCol w:w="2523"/>
      </w:tblGrid>
      <w:tr w:rsidR="003B2CE0" w:rsidRPr="00190DAB" w14:paraId="5D7B959A" w14:textId="77777777" w:rsidTr="00721267">
        <w:tc>
          <w:tcPr>
            <w:tcW w:w="2136" w:type="dxa"/>
            <w:shd w:val="clear" w:color="auto" w:fill="000000" w:themeFill="text1"/>
          </w:tcPr>
          <w:p w14:paraId="4A9E4D6B" w14:textId="77777777" w:rsidR="003B2CE0" w:rsidRPr="001430C6" w:rsidRDefault="003B2CE0" w:rsidP="004B3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60CE1EE" w14:textId="77777777" w:rsidR="003B2CE0" w:rsidRPr="001430C6" w:rsidRDefault="003B2CE0" w:rsidP="004B3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91" w:type="dxa"/>
            <w:shd w:val="clear" w:color="auto" w:fill="000000" w:themeFill="text1"/>
          </w:tcPr>
          <w:p w14:paraId="27443C0F" w14:textId="77777777" w:rsidR="003B2CE0" w:rsidRPr="001430C6" w:rsidRDefault="003B2CE0" w:rsidP="004B3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FC0C1B2" w14:textId="77777777" w:rsidR="003B2CE0" w:rsidRPr="001430C6" w:rsidRDefault="003B2CE0" w:rsidP="004B3619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0D3B6FD" w14:textId="77777777" w:rsidR="003B2CE0" w:rsidRPr="001430C6" w:rsidRDefault="003B2CE0" w:rsidP="004B3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51FBBFB" w14:textId="77777777" w:rsidR="003B2CE0" w:rsidRPr="001430C6" w:rsidRDefault="003B2CE0" w:rsidP="004B3619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B2CE0" w:rsidRPr="00190DAB" w14:paraId="70ACCAD8" w14:textId="77777777" w:rsidTr="00721267">
        <w:tc>
          <w:tcPr>
            <w:tcW w:w="2136" w:type="dxa"/>
          </w:tcPr>
          <w:p w14:paraId="692713E1" w14:textId="77777777" w:rsidR="003B2CE0" w:rsidRPr="001430C6" w:rsidRDefault="003B2CE0" w:rsidP="004B3619">
            <w:pPr>
              <w:rPr>
                <w:rFonts w:cs="Arial"/>
                <w:sz w:val="22"/>
                <w:szCs w:val="22"/>
              </w:rPr>
            </w:pPr>
          </w:p>
          <w:p w14:paraId="1B327DE6" w14:textId="77777777" w:rsidR="00B455CC" w:rsidRPr="00834749" w:rsidRDefault="00822B71" w:rsidP="00B455C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90DAB">
              <w:rPr>
                <w:rFonts w:cs="Arial"/>
                <w:b/>
                <w:bCs/>
                <w:color w:val="000000"/>
                <w:sz w:val="22"/>
                <w:szCs w:val="22"/>
              </w:rPr>
              <w:t>MassHealth</w:t>
            </w:r>
            <w:r w:rsidR="00B455CC" w:rsidRPr="00190DAB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Update</w:t>
            </w:r>
          </w:p>
          <w:p w14:paraId="7B14AE41" w14:textId="77777777" w:rsidR="003B2CE0" w:rsidRPr="001430C6" w:rsidRDefault="003B2CE0" w:rsidP="004B361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91" w:type="dxa"/>
          </w:tcPr>
          <w:p w14:paraId="636DDB50" w14:textId="77777777" w:rsidR="001138DC" w:rsidRPr="001430C6" w:rsidRDefault="001138DC" w:rsidP="007F17CB">
            <w:pPr>
              <w:tabs>
                <w:tab w:val="left" w:pos="1336"/>
              </w:tabs>
              <w:rPr>
                <w:rFonts w:cs="Arial"/>
                <w:sz w:val="22"/>
                <w:szCs w:val="22"/>
                <w:u w:val="single"/>
              </w:rPr>
            </w:pPr>
          </w:p>
          <w:p w14:paraId="088374E4" w14:textId="6A28A59C" w:rsidR="0084759A" w:rsidRPr="001430C6" w:rsidRDefault="000F52DE" w:rsidP="007F17CB">
            <w:pPr>
              <w:tabs>
                <w:tab w:val="left" w:pos="1336"/>
              </w:tabs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  <w:u w:val="single"/>
              </w:rPr>
              <w:t>MassHealth Updat</w:t>
            </w:r>
            <w:r w:rsidR="001138DC" w:rsidRPr="001430C6">
              <w:rPr>
                <w:rFonts w:cs="Arial"/>
                <w:sz w:val="22"/>
                <w:szCs w:val="22"/>
                <w:u w:val="single"/>
              </w:rPr>
              <w:t xml:space="preserve">e was presented by </w:t>
            </w:r>
            <w:r w:rsidR="00026AA1">
              <w:rPr>
                <w:rFonts w:cs="Arial"/>
                <w:sz w:val="22"/>
                <w:szCs w:val="22"/>
                <w:u w:val="single"/>
              </w:rPr>
              <w:t xml:space="preserve">Dr </w:t>
            </w:r>
            <w:r w:rsidR="002910AB" w:rsidRPr="001430C6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362806BA" w14:textId="77777777" w:rsidR="00A448A9" w:rsidRPr="001430C6" w:rsidRDefault="00A448A9" w:rsidP="007F17CB">
            <w:pPr>
              <w:tabs>
                <w:tab w:val="left" w:pos="1336"/>
              </w:tabs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The MassHealth Update is a brief summary of recent developments in MassHealth in the context of pharmacy, managed care, or public health.</w:t>
            </w:r>
          </w:p>
          <w:p w14:paraId="3896D461" w14:textId="77777777" w:rsidR="00214088" w:rsidRPr="001430C6" w:rsidRDefault="00214088" w:rsidP="0084759A">
            <w:pPr>
              <w:tabs>
                <w:tab w:val="left" w:pos="1336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23" w:type="dxa"/>
          </w:tcPr>
          <w:p w14:paraId="0D5E59AB" w14:textId="77777777" w:rsidR="003B2CE0" w:rsidRPr="001430C6" w:rsidRDefault="003B2CE0" w:rsidP="004B3619">
            <w:pPr>
              <w:rPr>
                <w:rFonts w:cs="Arial"/>
                <w:sz w:val="22"/>
                <w:szCs w:val="22"/>
              </w:rPr>
            </w:pPr>
          </w:p>
          <w:p w14:paraId="77A2B315" w14:textId="77777777" w:rsidR="002F0F74" w:rsidRPr="001430C6" w:rsidRDefault="002F0F74" w:rsidP="002F0F7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37BD3526" w14:textId="77777777" w:rsidR="003B2CE0" w:rsidRPr="001430C6" w:rsidRDefault="002F0F74" w:rsidP="002F0F7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</w:rPr>
              <w:t>Informational</w:t>
            </w:r>
            <w:r w:rsidR="00142976" w:rsidRPr="001430C6">
              <w:rPr>
                <w:rFonts w:cs="Arial"/>
                <w:sz w:val="22"/>
                <w:szCs w:val="22"/>
              </w:rPr>
              <w:t>/Advisory</w:t>
            </w:r>
          </w:p>
        </w:tc>
      </w:tr>
      <w:tr w:rsidR="00822B71" w:rsidRPr="00190DAB" w14:paraId="66A39605" w14:textId="77777777" w:rsidTr="00721267">
        <w:tc>
          <w:tcPr>
            <w:tcW w:w="2136" w:type="dxa"/>
          </w:tcPr>
          <w:p w14:paraId="2FEEAAB8" w14:textId="77777777" w:rsidR="00822B71" w:rsidRPr="001430C6" w:rsidRDefault="00822B71" w:rsidP="00822B71">
            <w:pPr>
              <w:rPr>
                <w:rFonts w:cs="Arial"/>
                <w:b/>
                <w:sz w:val="22"/>
                <w:szCs w:val="22"/>
              </w:rPr>
            </w:pPr>
          </w:p>
          <w:p w14:paraId="72181E32" w14:textId="77777777" w:rsidR="00822B71" w:rsidRPr="003D15DB" w:rsidRDefault="00822B71" w:rsidP="00822B71">
            <w:pPr>
              <w:rPr>
                <w:rFonts w:cs="Arial"/>
                <w:sz w:val="22"/>
                <w:szCs w:val="22"/>
              </w:rPr>
            </w:pPr>
            <w:r w:rsidRPr="003D15D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91" w:type="dxa"/>
          </w:tcPr>
          <w:p w14:paraId="224B5DB3" w14:textId="77777777" w:rsidR="00822B71" w:rsidRPr="001430C6" w:rsidRDefault="00822B71" w:rsidP="00822B71">
            <w:pPr>
              <w:rPr>
                <w:rFonts w:cs="Arial"/>
                <w:sz w:val="22"/>
                <w:szCs w:val="22"/>
              </w:rPr>
            </w:pPr>
          </w:p>
          <w:p w14:paraId="4056677B" w14:textId="77777777" w:rsidR="005B08A2" w:rsidRPr="001430C6" w:rsidRDefault="005B08A2" w:rsidP="005B08A2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4DCCB026" w14:textId="1389DADE" w:rsidR="0022451D" w:rsidRPr="00DB560F" w:rsidRDefault="00D34F6E" w:rsidP="002B591A">
            <w:pPr>
              <w:pStyle w:val="ListParagraph"/>
              <w:numPr>
                <w:ilvl w:val="0"/>
                <w:numId w:val="27"/>
              </w:numPr>
              <w:ind w:left="725"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>T</w:t>
            </w:r>
            <w:r w:rsidR="009178D4" w:rsidRPr="00DB560F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Massachusetts </w:t>
            </w:r>
            <w:r w:rsidR="00FE085B" w:rsidRPr="00DB560F">
              <w:rPr>
                <w:rFonts w:ascii="Arial" w:hAnsi="Arial" w:cs="Arial"/>
                <w:sz w:val="22"/>
                <w:szCs w:val="22"/>
              </w:rPr>
              <w:t>FY20 budget</w:t>
            </w:r>
            <w:r w:rsidR="009178D4" w:rsidRPr="00DB56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33B" w:rsidRPr="00DB560F">
              <w:rPr>
                <w:rFonts w:ascii="Arial" w:hAnsi="Arial" w:cs="Arial"/>
                <w:sz w:val="22"/>
                <w:szCs w:val="22"/>
              </w:rPr>
              <w:t>was</w:t>
            </w:r>
            <w:r w:rsidR="009178D4" w:rsidRPr="00DB56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submitted </w:t>
            </w:r>
            <w:r w:rsidR="009178D4" w:rsidRPr="00DB560F">
              <w:rPr>
                <w:rFonts w:ascii="Arial" w:hAnsi="Arial" w:cs="Arial"/>
                <w:sz w:val="22"/>
                <w:szCs w:val="22"/>
              </w:rPr>
              <w:t xml:space="preserve">by the 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Governor to the General Court </w:t>
            </w:r>
            <w:r w:rsidR="008B2623" w:rsidRPr="00DB560F">
              <w:rPr>
                <w:rFonts w:ascii="Arial" w:hAnsi="Arial" w:cs="Arial"/>
                <w:sz w:val="22"/>
                <w:szCs w:val="22"/>
              </w:rPr>
              <w:t>and</w:t>
            </w:r>
            <w:r w:rsidR="007008A2" w:rsidRPr="00DB560F">
              <w:rPr>
                <w:rFonts w:ascii="Arial" w:hAnsi="Arial" w:cs="Arial"/>
                <w:sz w:val="22"/>
                <w:szCs w:val="22"/>
              </w:rPr>
              <w:t xml:space="preserve"> all are</w:t>
            </w:r>
            <w:r w:rsidR="008B2623" w:rsidRPr="00DB560F">
              <w:rPr>
                <w:rFonts w:ascii="Arial" w:hAnsi="Arial" w:cs="Arial"/>
                <w:sz w:val="22"/>
                <w:szCs w:val="22"/>
              </w:rPr>
              <w:t xml:space="preserve"> still waiting patiently on a signed budget</w:t>
            </w:r>
            <w:r w:rsidR="009178D4" w:rsidRPr="00DB56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8E932C" w14:textId="651FFD5D" w:rsidR="008B2623" w:rsidRPr="00DB560F" w:rsidRDefault="008B2623" w:rsidP="002B591A">
            <w:pPr>
              <w:pStyle w:val="ListParagraph"/>
              <w:numPr>
                <w:ilvl w:val="1"/>
                <w:numId w:val="27"/>
              </w:numPr>
              <w:ind w:left="1445"/>
              <w:rPr>
                <w:rFonts w:ascii="Arial" w:hAnsi="Arial" w:cs="Arial"/>
                <w:sz w:val="22"/>
                <w:szCs w:val="22"/>
              </w:rPr>
            </w:pPr>
            <w:r w:rsidRPr="00DB560F">
              <w:rPr>
                <w:rFonts w:ascii="Arial" w:hAnsi="Arial" w:cs="Arial"/>
                <w:sz w:val="22"/>
                <w:szCs w:val="22"/>
              </w:rPr>
              <w:t>Asked for direct negotiation</w:t>
            </w:r>
            <w:r w:rsidR="00E73A62" w:rsidRPr="00DB560F">
              <w:rPr>
                <w:rFonts w:ascii="Arial" w:hAnsi="Arial" w:cs="Arial"/>
                <w:sz w:val="22"/>
                <w:szCs w:val="22"/>
              </w:rPr>
              <w:t xml:space="preserve"> authority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 in the State legislation and </w:t>
            </w:r>
            <w:r w:rsidR="00E73A62" w:rsidRPr="00DB560F">
              <w:rPr>
                <w:rFonts w:ascii="Arial" w:hAnsi="Arial" w:cs="Arial"/>
                <w:sz w:val="22"/>
                <w:szCs w:val="22"/>
              </w:rPr>
              <w:t xml:space="preserve">cautiously optimistic 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E73A62" w:rsidRPr="00DB560F">
              <w:rPr>
                <w:rFonts w:ascii="Arial" w:hAnsi="Arial" w:cs="Arial"/>
                <w:sz w:val="22"/>
                <w:szCs w:val="22"/>
              </w:rPr>
              <w:t xml:space="preserve">positive </w:t>
            </w:r>
            <w:r w:rsidRPr="00DB560F">
              <w:rPr>
                <w:rFonts w:ascii="Arial" w:hAnsi="Arial" w:cs="Arial"/>
                <w:sz w:val="22"/>
                <w:szCs w:val="22"/>
              </w:rPr>
              <w:t xml:space="preserve">response </w:t>
            </w:r>
          </w:p>
          <w:p w14:paraId="38B0D201" w14:textId="77777777" w:rsidR="008B2623" w:rsidRPr="001430C6" w:rsidRDefault="008B2623" w:rsidP="002B591A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Member Experience Program has been created</w:t>
            </w:r>
          </w:p>
          <w:p w14:paraId="72755417" w14:textId="77777777" w:rsidR="008B2623" w:rsidRPr="001430C6" w:rsidRDefault="008B2623" w:rsidP="002B591A">
            <w:pPr>
              <w:pStyle w:val="ListParagraph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Coordination between physical health and behavioral health work on the same level for person</w:t>
            </w:r>
          </w:p>
          <w:p w14:paraId="1A27ED7E" w14:textId="77777777" w:rsidR="008B2623" w:rsidRPr="001430C6" w:rsidRDefault="008B2623" w:rsidP="002B591A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Big Focus on Data Analytics - Coordinate all systems</w:t>
            </w:r>
          </w:p>
          <w:p w14:paraId="08CECD6C" w14:textId="1747CDD3" w:rsidR="008B2623" w:rsidRPr="001430C6" w:rsidRDefault="008B2623" w:rsidP="002B591A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 xml:space="preserve">CMS Value Based Templates </w:t>
            </w:r>
            <w:r w:rsidR="00A52F91" w:rsidRPr="001430C6">
              <w:rPr>
                <w:rFonts w:ascii="Arial" w:hAnsi="Arial" w:cs="Arial"/>
                <w:sz w:val="22"/>
                <w:szCs w:val="22"/>
              </w:rPr>
              <w:t>– State plan amendment</w:t>
            </w:r>
            <w:r w:rsidR="00E73A62" w:rsidRPr="001430C6">
              <w:rPr>
                <w:rFonts w:ascii="Arial" w:hAnsi="Arial" w:cs="Arial"/>
                <w:sz w:val="22"/>
                <w:szCs w:val="22"/>
              </w:rPr>
              <w:t xml:space="preserve"> (SPA) for MA submitted to CMS</w:t>
            </w:r>
          </w:p>
          <w:p w14:paraId="00AB6920" w14:textId="38AFE6DA" w:rsidR="00A52F91" w:rsidRPr="001430C6" w:rsidRDefault="00A52F91" w:rsidP="002B591A">
            <w:pPr>
              <w:pStyle w:val="ListParagraph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430C6">
              <w:rPr>
                <w:rFonts w:ascii="Arial" w:hAnsi="Arial" w:cs="Arial"/>
                <w:sz w:val="22"/>
                <w:szCs w:val="22"/>
              </w:rPr>
              <w:t>Implemented – approved</w:t>
            </w:r>
            <w:r w:rsidR="00E73A62" w:rsidRPr="001430C6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P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3A62" w:rsidRPr="001430C6">
              <w:rPr>
                <w:rFonts w:ascii="Arial" w:hAnsi="Arial" w:cs="Arial"/>
                <w:sz w:val="22"/>
                <w:szCs w:val="22"/>
              </w:rPr>
              <w:t>several states to-date</w:t>
            </w:r>
          </w:p>
        </w:tc>
        <w:tc>
          <w:tcPr>
            <w:tcW w:w="2523" w:type="dxa"/>
          </w:tcPr>
          <w:p w14:paraId="4AECAFA4" w14:textId="77777777" w:rsidR="00822B71" w:rsidRPr="001430C6" w:rsidRDefault="00822B71" w:rsidP="00CD411B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751AF733" w14:textId="77777777" w:rsidR="00CD411B" w:rsidRPr="001430C6" w:rsidRDefault="00CD411B" w:rsidP="00CD411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68A55EA" w14:textId="77777777" w:rsidR="00CD411B" w:rsidRPr="001430C6" w:rsidRDefault="00CD411B" w:rsidP="00CD411B">
            <w:pPr>
              <w:rPr>
                <w:rFonts w:cs="Arial"/>
                <w:sz w:val="22"/>
                <w:szCs w:val="22"/>
              </w:rPr>
            </w:pPr>
            <w:r w:rsidRPr="001430C6">
              <w:rPr>
                <w:rFonts w:cs="Arial"/>
                <w:sz w:val="22"/>
                <w:szCs w:val="22"/>
              </w:rPr>
              <w:t>Informational</w:t>
            </w:r>
            <w:r w:rsidR="00142976" w:rsidRPr="001430C6">
              <w:rPr>
                <w:rFonts w:cs="Arial"/>
                <w:sz w:val="22"/>
                <w:szCs w:val="22"/>
              </w:rPr>
              <w:t>/Advisory</w:t>
            </w:r>
          </w:p>
          <w:p w14:paraId="240ECB8D" w14:textId="77777777" w:rsidR="00CD411B" w:rsidRPr="001430C6" w:rsidRDefault="00CD411B" w:rsidP="00CD411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CBF27B1" w14:textId="77777777" w:rsidR="00D40D05" w:rsidRPr="001430C6" w:rsidRDefault="00D40D05" w:rsidP="00E8289F">
      <w:pPr>
        <w:rPr>
          <w:rFonts w:cs="Arial"/>
          <w:sz w:val="22"/>
          <w:szCs w:val="22"/>
        </w:rPr>
      </w:pPr>
    </w:p>
    <w:p w14:paraId="3C627E07" w14:textId="77777777" w:rsidR="00077764" w:rsidRPr="001430C6" w:rsidRDefault="00077764" w:rsidP="00E8289F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8268"/>
        <w:gridCol w:w="2526"/>
      </w:tblGrid>
      <w:tr w:rsidR="00B455CC" w:rsidRPr="00190DAB" w14:paraId="3D3E7DD1" w14:textId="77777777" w:rsidTr="00457130">
        <w:tc>
          <w:tcPr>
            <w:tcW w:w="2156" w:type="dxa"/>
            <w:shd w:val="clear" w:color="auto" w:fill="000000" w:themeFill="text1"/>
          </w:tcPr>
          <w:p w14:paraId="2989AC62" w14:textId="77777777" w:rsidR="00B455CC" w:rsidRPr="001430C6" w:rsidRDefault="00B455CC" w:rsidP="00916A5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A6FD47" w14:textId="77777777" w:rsidR="00B455CC" w:rsidRPr="001430C6" w:rsidRDefault="00B455CC" w:rsidP="00916A5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430C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14:paraId="1E4F3FD2" w14:textId="77777777" w:rsidR="00B455CC" w:rsidRPr="001430C6" w:rsidRDefault="00B455CC" w:rsidP="00916A5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1502983" w14:textId="77777777" w:rsidR="00B455CC" w:rsidRPr="001430C6" w:rsidRDefault="00B455CC" w:rsidP="00916A57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B5578B4" w14:textId="77777777" w:rsidR="00B455CC" w:rsidRPr="001430C6" w:rsidRDefault="00B455CC" w:rsidP="00916A5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90483BA" w14:textId="77777777" w:rsidR="00B455CC" w:rsidRPr="001430C6" w:rsidRDefault="00B455CC" w:rsidP="00916A57">
            <w:pPr>
              <w:rPr>
                <w:rFonts w:cs="Arial"/>
                <w:b/>
                <w:sz w:val="22"/>
                <w:szCs w:val="22"/>
              </w:rPr>
            </w:pPr>
            <w:r w:rsidRPr="001430C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627DF4" w:rsidRPr="00190DAB" w14:paraId="4E1FADF1" w14:textId="77777777" w:rsidTr="0091157C">
        <w:tc>
          <w:tcPr>
            <w:tcW w:w="2156" w:type="dxa"/>
            <w:vAlign w:val="center"/>
          </w:tcPr>
          <w:p w14:paraId="216D8F86" w14:textId="77777777" w:rsidR="00627DF4" w:rsidRPr="00190DAB" w:rsidRDefault="00627DF4" w:rsidP="0091157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327BDEF" w14:textId="77777777" w:rsidR="008C3C28" w:rsidRPr="005D6DDC" w:rsidRDefault="00A52F91" w:rsidP="008C3C2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34749">
              <w:rPr>
                <w:rFonts w:cs="Arial"/>
                <w:b/>
                <w:bCs/>
                <w:color w:val="000000"/>
                <w:sz w:val="22"/>
                <w:szCs w:val="22"/>
              </w:rPr>
              <w:t>Immunoglobulin Quality Assurance Analysis</w:t>
            </w:r>
          </w:p>
          <w:p w14:paraId="26AE1A6B" w14:textId="77777777" w:rsidR="00627DF4" w:rsidRPr="001430C6" w:rsidRDefault="00627DF4" w:rsidP="0091157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68" w:type="dxa"/>
            <w:vAlign w:val="center"/>
          </w:tcPr>
          <w:p w14:paraId="0038553E" w14:textId="4D0357EB" w:rsidR="00A52F91" w:rsidRPr="001430C6" w:rsidRDefault="00A52F91" w:rsidP="00A52F9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sz w:val="22"/>
                <w:szCs w:val="22"/>
                <w:u w:val="single"/>
              </w:rPr>
            </w:pPr>
            <w:r w:rsidRPr="001430C6">
              <w:rPr>
                <w:rFonts w:cs="Arial"/>
                <w:bCs/>
                <w:color w:val="000000"/>
                <w:sz w:val="22"/>
                <w:szCs w:val="22"/>
                <w:u w:val="single"/>
              </w:rPr>
              <w:t xml:space="preserve">Immunoglobulin Quality Assurance Analysis </w:t>
            </w:r>
            <w:r w:rsidRPr="001430C6">
              <w:rPr>
                <w:rFonts w:cs="Arial"/>
                <w:sz w:val="22"/>
                <w:szCs w:val="22"/>
                <w:u w:val="single"/>
              </w:rPr>
              <w:t xml:space="preserve">presentation given by </w:t>
            </w:r>
            <w:r w:rsidR="00026AA1">
              <w:rPr>
                <w:rFonts w:cs="Arial"/>
                <w:sz w:val="22"/>
                <w:szCs w:val="22"/>
                <w:u w:val="single"/>
              </w:rPr>
              <w:t>Dr</w:t>
            </w:r>
            <w:r w:rsidR="001430C6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1430C6">
              <w:rPr>
                <w:rFonts w:cs="Arial"/>
                <w:sz w:val="22"/>
                <w:szCs w:val="22"/>
                <w:u w:val="single"/>
              </w:rPr>
              <w:t>Karen Stevens</w:t>
            </w:r>
          </w:p>
          <w:p w14:paraId="0C2AD1E4" w14:textId="77777777" w:rsidR="00627DF4" w:rsidRPr="001430C6" w:rsidRDefault="00A52F91" w:rsidP="00A52F91">
            <w:pPr>
              <w:pStyle w:val="Title"/>
              <w:ind w:left="351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430C6">
              <w:rPr>
                <w:rFonts w:cs="Arial"/>
                <w:b w:val="0"/>
                <w:sz w:val="22"/>
                <w:szCs w:val="22"/>
              </w:rPr>
              <w:t xml:space="preserve">This overview is an evaluation of current medical literature and will provide a brief overview of new guideline recommendations in this disease state.  </w:t>
            </w:r>
          </w:p>
        </w:tc>
        <w:tc>
          <w:tcPr>
            <w:tcW w:w="2526" w:type="dxa"/>
          </w:tcPr>
          <w:p w14:paraId="61C2CB4E" w14:textId="77777777" w:rsidR="00627DF4" w:rsidRPr="001430C6" w:rsidRDefault="00627DF4" w:rsidP="00B11C70">
            <w:pPr>
              <w:rPr>
                <w:rFonts w:cs="Arial"/>
                <w:sz w:val="22"/>
                <w:szCs w:val="22"/>
              </w:rPr>
            </w:pPr>
          </w:p>
          <w:p w14:paraId="08FE4F63" w14:textId="77777777" w:rsidR="00627DF4" w:rsidRPr="001430C6" w:rsidRDefault="00627DF4" w:rsidP="00B11C7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F384E47" w14:textId="77777777" w:rsidR="00627DF4" w:rsidRPr="001430C6" w:rsidRDefault="00627DF4" w:rsidP="00B11C7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1430C6">
              <w:rPr>
                <w:rFonts w:cs="Arial"/>
                <w:sz w:val="22"/>
                <w:szCs w:val="22"/>
              </w:rPr>
              <w:t>Informational/Advisory</w:t>
            </w:r>
          </w:p>
        </w:tc>
      </w:tr>
      <w:tr w:rsidR="00A52F91" w:rsidRPr="00190DAB" w14:paraId="6663A12F" w14:textId="77777777" w:rsidTr="007A4D88">
        <w:tc>
          <w:tcPr>
            <w:tcW w:w="2156" w:type="dxa"/>
            <w:vAlign w:val="center"/>
          </w:tcPr>
          <w:p w14:paraId="3060E093" w14:textId="77777777" w:rsidR="00A52F91" w:rsidRPr="003D15DB" w:rsidRDefault="00A52F91" w:rsidP="00A52F9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D15D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8" w:type="dxa"/>
          </w:tcPr>
          <w:p w14:paraId="0F944212" w14:textId="77777777" w:rsidR="00A52F91" w:rsidRPr="00834749" w:rsidRDefault="00A52F91" w:rsidP="00A52F91">
            <w:pPr>
              <w:rPr>
                <w:rFonts w:cs="Arial"/>
                <w:b/>
                <w:sz w:val="22"/>
                <w:szCs w:val="22"/>
              </w:rPr>
            </w:pPr>
            <w:r w:rsidRPr="00834749">
              <w:rPr>
                <w:rFonts w:cs="Arial"/>
                <w:b/>
                <w:sz w:val="22"/>
                <w:szCs w:val="22"/>
              </w:rPr>
              <w:t xml:space="preserve">Discussion </w:t>
            </w:r>
          </w:p>
          <w:p w14:paraId="45B757C6" w14:textId="12F5FBFD" w:rsidR="007A4D88" w:rsidRPr="00026AA1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D6DDC">
              <w:rPr>
                <w:rFonts w:ascii="Arial" w:hAnsi="Arial" w:cs="Arial"/>
                <w:sz w:val="22"/>
                <w:szCs w:val="22"/>
              </w:rPr>
              <w:t>Discuss</w:t>
            </w:r>
            <w:r w:rsidR="00285EE1">
              <w:rPr>
                <w:rFonts w:ascii="Arial" w:hAnsi="Arial" w:cs="Arial"/>
                <w:sz w:val="22"/>
                <w:szCs w:val="22"/>
              </w:rPr>
              <w:t>ed</w:t>
            </w:r>
            <w:r w:rsidRPr="005D6DDC">
              <w:rPr>
                <w:rFonts w:ascii="Arial" w:hAnsi="Arial" w:cs="Arial"/>
                <w:sz w:val="22"/>
                <w:szCs w:val="22"/>
              </w:rPr>
              <w:t xml:space="preserve"> background information on immune globulins and their various uses in clinical practice</w:t>
            </w:r>
          </w:p>
          <w:p w14:paraId="25AF195A" w14:textId="01D0D72E" w:rsidR="007A4D88" w:rsidRPr="00026AA1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>Evaluate</w:t>
            </w:r>
            <w:r w:rsidR="00285EE1">
              <w:rPr>
                <w:rFonts w:ascii="Arial" w:hAnsi="Arial" w:cs="Arial"/>
                <w:sz w:val="22"/>
                <w:szCs w:val="22"/>
              </w:rPr>
              <w:t>d</w:t>
            </w:r>
            <w:r w:rsidRPr="00026AA1">
              <w:rPr>
                <w:rFonts w:ascii="Arial" w:hAnsi="Arial" w:cs="Arial"/>
                <w:sz w:val="22"/>
                <w:szCs w:val="22"/>
              </w:rPr>
              <w:t xml:space="preserve"> recent utilization and cost data for MassHealth members</w:t>
            </w:r>
          </w:p>
          <w:p w14:paraId="496C640B" w14:textId="43DBB104" w:rsidR="007A4D88" w:rsidRPr="00026AA1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>Present</w:t>
            </w:r>
            <w:r w:rsidR="00285EE1">
              <w:rPr>
                <w:rFonts w:ascii="Arial" w:hAnsi="Arial" w:cs="Arial"/>
                <w:sz w:val="22"/>
                <w:szCs w:val="22"/>
              </w:rPr>
              <w:t>ed</w:t>
            </w:r>
            <w:r w:rsidRPr="00026AA1">
              <w:rPr>
                <w:rFonts w:ascii="Arial" w:hAnsi="Arial" w:cs="Arial"/>
                <w:sz w:val="22"/>
                <w:szCs w:val="22"/>
              </w:rPr>
              <w:t xml:space="preserve"> a summary of current prior authorization (PA) requests for these agents</w:t>
            </w:r>
          </w:p>
          <w:p w14:paraId="5E46C55F" w14:textId="5E22ADDC" w:rsidR="007A4D88" w:rsidRPr="00026AA1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>Review</w:t>
            </w:r>
            <w:r w:rsidR="00071384">
              <w:rPr>
                <w:rFonts w:ascii="Arial" w:hAnsi="Arial" w:cs="Arial"/>
                <w:sz w:val="22"/>
                <w:szCs w:val="22"/>
              </w:rPr>
              <w:t>ed</w:t>
            </w:r>
            <w:r w:rsidRPr="00026AA1">
              <w:rPr>
                <w:rFonts w:ascii="Arial" w:hAnsi="Arial" w:cs="Arial"/>
                <w:sz w:val="22"/>
                <w:szCs w:val="22"/>
              </w:rPr>
              <w:t xml:space="preserve"> historical comparison of utilization from last evaluation</w:t>
            </w:r>
          </w:p>
          <w:p w14:paraId="5C0EC35F" w14:textId="6289A687" w:rsidR="007A4D88" w:rsidRPr="00026AA1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>Introduce</w:t>
            </w:r>
            <w:r w:rsidR="00071384">
              <w:rPr>
                <w:rFonts w:ascii="Arial" w:hAnsi="Arial" w:cs="Arial"/>
                <w:sz w:val="22"/>
                <w:szCs w:val="22"/>
              </w:rPr>
              <w:t>d</w:t>
            </w:r>
            <w:r w:rsidRPr="00026AA1">
              <w:rPr>
                <w:rFonts w:ascii="Arial" w:hAnsi="Arial" w:cs="Arial"/>
                <w:sz w:val="22"/>
                <w:szCs w:val="22"/>
              </w:rPr>
              <w:t xml:space="preserve"> several newly approved immune globulins</w:t>
            </w:r>
          </w:p>
          <w:p w14:paraId="3D6A0900" w14:textId="446FA167" w:rsidR="007A4D88" w:rsidRPr="00026AA1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 xml:space="preserve">Panzyga (immune globulin IV [human-IFAS]) </w:t>
            </w:r>
          </w:p>
          <w:p w14:paraId="27E817A6" w14:textId="77777777" w:rsidR="007A4D88" w:rsidRPr="00026AA1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 xml:space="preserve">FDA-approved 8/2/18 </w:t>
            </w:r>
          </w:p>
          <w:p w14:paraId="0DDFFC32" w14:textId="38647769" w:rsidR="007A4D88" w:rsidRPr="00026AA1" w:rsidRDefault="007A4D88" w:rsidP="002B591A">
            <w:pPr>
              <w:pStyle w:val="ListParagraph"/>
              <w:numPr>
                <w:ilvl w:val="3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>PID in adult and pediatric patients ≥ 2 yo</w:t>
            </w:r>
          </w:p>
          <w:p w14:paraId="64DAC92D" w14:textId="77777777" w:rsidR="007A4D88" w:rsidRPr="00026AA1" w:rsidRDefault="007A4D88" w:rsidP="002B591A">
            <w:pPr>
              <w:pStyle w:val="ListParagraph"/>
              <w:numPr>
                <w:ilvl w:val="3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>Chronic ITP in adults</w:t>
            </w:r>
          </w:p>
          <w:p w14:paraId="3864BA56" w14:textId="6CBE17BF" w:rsidR="007A4D88" w:rsidRPr="00E73619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73619">
              <w:rPr>
                <w:rFonts w:ascii="Arial" w:hAnsi="Arial" w:cs="Arial"/>
                <w:sz w:val="22"/>
                <w:szCs w:val="22"/>
              </w:rPr>
              <w:t xml:space="preserve">Dosing for PID: 300 to 600 mg/kg q </w:t>
            </w:r>
            <w:r w:rsidR="00285EE1">
              <w:rPr>
                <w:rFonts w:ascii="Arial" w:hAnsi="Arial" w:cs="Arial"/>
                <w:sz w:val="22"/>
                <w:szCs w:val="22"/>
              </w:rPr>
              <w:t>three</w:t>
            </w:r>
            <w:r w:rsidRPr="00E73619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285EE1">
              <w:rPr>
                <w:rFonts w:ascii="Arial" w:hAnsi="Arial" w:cs="Arial"/>
                <w:sz w:val="22"/>
                <w:szCs w:val="22"/>
              </w:rPr>
              <w:t>four</w:t>
            </w:r>
            <w:r w:rsidRPr="00E73619">
              <w:rPr>
                <w:rFonts w:ascii="Arial" w:hAnsi="Arial" w:cs="Arial"/>
                <w:sz w:val="22"/>
                <w:szCs w:val="22"/>
              </w:rPr>
              <w:t xml:space="preserve"> weeks</w:t>
            </w:r>
          </w:p>
          <w:p w14:paraId="0B4D39CE" w14:textId="53A1FEA2" w:rsidR="007A4D88" w:rsidRPr="00E73619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73619">
              <w:rPr>
                <w:rFonts w:ascii="Arial" w:hAnsi="Arial" w:cs="Arial"/>
                <w:sz w:val="22"/>
                <w:szCs w:val="22"/>
              </w:rPr>
              <w:t xml:space="preserve">Dosing for ITP: 1 g/kg (on </w:t>
            </w:r>
            <w:r w:rsidR="00285EE1">
              <w:rPr>
                <w:rFonts w:ascii="Arial" w:hAnsi="Arial" w:cs="Arial"/>
                <w:sz w:val="22"/>
                <w:szCs w:val="22"/>
              </w:rPr>
              <w:t>two</w:t>
            </w:r>
            <w:r w:rsidRPr="00E73619">
              <w:rPr>
                <w:rFonts w:ascii="Arial" w:hAnsi="Arial" w:cs="Arial"/>
                <w:sz w:val="22"/>
                <w:szCs w:val="22"/>
              </w:rPr>
              <w:t xml:space="preserve"> consecutive days)</w:t>
            </w:r>
          </w:p>
          <w:p w14:paraId="2CAF4F08" w14:textId="08B27D9F" w:rsidR="007A4D88" w:rsidRPr="00E73619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73619">
              <w:rPr>
                <w:rFonts w:ascii="Arial" w:hAnsi="Arial" w:cs="Arial"/>
                <w:sz w:val="22"/>
                <w:szCs w:val="22"/>
              </w:rPr>
              <w:t xml:space="preserve">Cutaquig (immune globulin SC [human-HIPP]) </w:t>
            </w:r>
          </w:p>
          <w:p w14:paraId="5C77AC6A" w14:textId="77777777" w:rsidR="007A4D88" w:rsidRPr="00F87DBD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758E8">
              <w:rPr>
                <w:rFonts w:ascii="Arial" w:hAnsi="Arial" w:cs="Arial"/>
                <w:sz w:val="22"/>
                <w:szCs w:val="22"/>
              </w:rPr>
              <w:t>FDA-approved 12/12/18</w:t>
            </w:r>
          </w:p>
          <w:p w14:paraId="761E356C" w14:textId="77777777" w:rsidR="007A4D88" w:rsidRPr="00464F0A" w:rsidRDefault="007A4D88" w:rsidP="002B591A">
            <w:pPr>
              <w:pStyle w:val="ListParagraph"/>
              <w:numPr>
                <w:ilvl w:val="3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PID in adults</w:t>
            </w:r>
          </w:p>
          <w:p w14:paraId="7FF4650B" w14:textId="77777777" w:rsidR="007A4D88" w:rsidRPr="00464F0A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Weekly dosing</w:t>
            </w:r>
          </w:p>
          <w:p w14:paraId="5DD55E17" w14:textId="77777777" w:rsidR="007A4D88" w:rsidRPr="00464F0A" w:rsidRDefault="007A4D88" w:rsidP="002B591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Both products from OctaPharma USA, Inc</w:t>
            </w:r>
          </w:p>
          <w:p w14:paraId="5D878560" w14:textId="77777777" w:rsidR="007A4D88" w:rsidRPr="00464F0A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Continued increase in utilization for wide variety of indications.</w:t>
            </w:r>
          </w:p>
          <w:p w14:paraId="331498BB" w14:textId="77777777" w:rsidR="007A4D88" w:rsidRPr="00464F0A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Preparations have undergone significant changes that have increased their tolerability, safety and efficacy.</w:t>
            </w:r>
          </w:p>
          <w:p w14:paraId="38340424" w14:textId="7374C5BB" w:rsidR="007A4D88" w:rsidRPr="00464F0A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Availability of SC agents for PID</w:t>
            </w:r>
          </w:p>
          <w:p w14:paraId="3E8FBA7C" w14:textId="77777777" w:rsidR="007A4D88" w:rsidRPr="00464F0A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Alternative route of administration for those with venous access issues or intolerability of infusion-related adverse events</w:t>
            </w:r>
          </w:p>
          <w:p w14:paraId="2AF205FC" w14:textId="77777777" w:rsidR="007A4D88" w:rsidRPr="00464F0A" w:rsidRDefault="007A4D88" w:rsidP="002B59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Flexibility to administer at home</w:t>
            </w:r>
          </w:p>
          <w:p w14:paraId="21DC4D58" w14:textId="5F37FF92" w:rsidR="007A4D88" w:rsidRPr="00464F0A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>Slower absorption may lead to less fluctuations in IgG levels</w:t>
            </w:r>
            <w:r w:rsidR="00285E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8FF6AC" w14:textId="77777777" w:rsidR="00121FBE" w:rsidRPr="00464F0A" w:rsidRDefault="007A4D88" w:rsidP="002B59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64F0A">
              <w:rPr>
                <w:rFonts w:ascii="Arial" w:hAnsi="Arial" w:cs="Arial"/>
                <w:sz w:val="22"/>
                <w:szCs w:val="22"/>
              </w:rPr>
              <w:t xml:space="preserve">Immune globulin agents considered equally effective in clinical setting, though some differences among products might limit interchangeability for patients. </w:t>
            </w:r>
          </w:p>
          <w:p w14:paraId="26DB921E" w14:textId="77777777" w:rsidR="007A4D88" w:rsidRPr="00071384" w:rsidRDefault="007A4D88" w:rsidP="00071384">
            <w:pPr>
              <w:rPr>
                <w:rFonts w:cs="Arial"/>
                <w:sz w:val="22"/>
                <w:szCs w:val="22"/>
              </w:rPr>
            </w:pPr>
          </w:p>
          <w:p w14:paraId="508140DF" w14:textId="77777777" w:rsidR="00A52F91" w:rsidRPr="00464F0A" w:rsidRDefault="00A52F91" w:rsidP="00A52F91">
            <w:pPr>
              <w:rPr>
                <w:rFonts w:cs="Arial"/>
                <w:b/>
                <w:sz w:val="22"/>
                <w:szCs w:val="22"/>
              </w:rPr>
            </w:pPr>
            <w:r w:rsidRPr="00464F0A">
              <w:rPr>
                <w:rFonts w:cs="Arial"/>
                <w:b/>
                <w:sz w:val="22"/>
                <w:szCs w:val="22"/>
              </w:rPr>
              <w:t>Recommendations</w:t>
            </w:r>
          </w:p>
          <w:p w14:paraId="09A278CA" w14:textId="42F16D64" w:rsidR="007A4D88" w:rsidRPr="00464F0A" w:rsidRDefault="007A4D88" w:rsidP="002B591A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64F0A">
              <w:rPr>
                <w:rFonts w:cs="Arial"/>
                <w:sz w:val="22"/>
                <w:szCs w:val="22"/>
              </w:rPr>
              <w:t xml:space="preserve">Add Panzyga and Cutaquig to MHDL requiring PA </w:t>
            </w:r>
            <w:proofErr w:type="gramStart"/>
            <w:r w:rsidRPr="00464F0A">
              <w:rPr>
                <w:rFonts w:cs="Arial"/>
                <w:sz w:val="22"/>
                <w:szCs w:val="22"/>
              </w:rPr>
              <w:t>similar to</w:t>
            </w:r>
            <w:proofErr w:type="gramEnd"/>
            <w:r w:rsidRPr="00464F0A">
              <w:rPr>
                <w:rFonts w:cs="Arial"/>
                <w:sz w:val="22"/>
                <w:szCs w:val="22"/>
              </w:rPr>
              <w:t xml:space="preserve"> other agents for PID and ITP.</w:t>
            </w:r>
          </w:p>
          <w:p w14:paraId="3900A5B0" w14:textId="342CCB1E" w:rsidR="007A4D88" w:rsidRPr="00464F0A" w:rsidRDefault="007A4D88" w:rsidP="002B591A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64F0A">
              <w:rPr>
                <w:rFonts w:cs="Arial"/>
                <w:sz w:val="22"/>
                <w:szCs w:val="22"/>
              </w:rPr>
              <w:t>Updated guideline for expanded FDA-approved indication of CIDP for Privigen and Hizentra.</w:t>
            </w:r>
          </w:p>
          <w:p w14:paraId="68E135A4" w14:textId="77777777" w:rsidR="007A4D88" w:rsidRPr="00464F0A" w:rsidRDefault="007A4D88" w:rsidP="002B591A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464F0A">
              <w:rPr>
                <w:rFonts w:cs="Arial"/>
                <w:sz w:val="22"/>
                <w:szCs w:val="22"/>
              </w:rPr>
              <w:t>Appendix section for non-FDA approved indications updated to reflect current treatment recommendations where appropriate.</w:t>
            </w:r>
          </w:p>
          <w:p w14:paraId="22D3B337" w14:textId="77777777" w:rsidR="00A52F91" w:rsidRPr="00464F0A" w:rsidRDefault="00A52F91" w:rsidP="00A52F91">
            <w:pPr>
              <w:rPr>
                <w:rFonts w:cs="Arial"/>
                <w:sz w:val="22"/>
                <w:szCs w:val="22"/>
              </w:rPr>
            </w:pPr>
          </w:p>
          <w:p w14:paraId="2E8F0844" w14:textId="77777777" w:rsidR="00A52F91" w:rsidRPr="00464F0A" w:rsidRDefault="00A52F91" w:rsidP="00A52F91">
            <w:pPr>
              <w:rPr>
                <w:rFonts w:cs="Arial"/>
                <w:b/>
                <w:sz w:val="22"/>
                <w:szCs w:val="22"/>
              </w:rPr>
            </w:pPr>
            <w:r w:rsidRPr="00464F0A">
              <w:rPr>
                <w:rFonts w:cs="Arial"/>
                <w:b/>
                <w:sz w:val="22"/>
                <w:szCs w:val="22"/>
              </w:rPr>
              <w:t>Questions</w:t>
            </w:r>
          </w:p>
          <w:p w14:paraId="403CF6E3" w14:textId="668BDBA6" w:rsidR="00A52F91" w:rsidRPr="00071384" w:rsidRDefault="00A52F91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71384">
              <w:rPr>
                <w:rFonts w:ascii="Arial" w:hAnsi="Arial" w:cs="Arial"/>
                <w:sz w:val="22"/>
                <w:szCs w:val="22"/>
              </w:rPr>
              <w:t xml:space="preserve">Board Member asked if </w:t>
            </w:r>
            <w:r w:rsidR="00026AA1" w:rsidRPr="00071384">
              <w:rPr>
                <w:rFonts w:ascii="Arial" w:hAnsi="Arial" w:cs="Arial"/>
                <w:sz w:val="22"/>
                <w:szCs w:val="22"/>
              </w:rPr>
              <w:t>Dr.</w:t>
            </w:r>
            <w:r w:rsidR="001430C6" w:rsidRPr="000713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6AA1" w:rsidRPr="00071384">
              <w:rPr>
                <w:rFonts w:ascii="Arial" w:hAnsi="Arial" w:cs="Arial"/>
                <w:sz w:val="22"/>
                <w:szCs w:val="22"/>
              </w:rPr>
              <w:t>Stevens</w:t>
            </w:r>
            <w:r w:rsidRPr="00071384">
              <w:rPr>
                <w:rFonts w:ascii="Arial" w:hAnsi="Arial" w:cs="Arial"/>
                <w:sz w:val="22"/>
                <w:szCs w:val="22"/>
              </w:rPr>
              <w:t xml:space="preserve"> knew of any</w:t>
            </w:r>
            <w:r w:rsidR="007A6FFF" w:rsidRPr="00071384">
              <w:rPr>
                <w:rFonts w:ascii="Arial" w:hAnsi="Arial" w:cs="Arial"/>
                <w:sz w:val="22"/>
                <w:szCs w:val="22"/>
              </w:rPr>
              <w:t xml:space="preserve"> related</w:t>
            </w:r>
            <w:r w:rsidRPr="00071384">
              <w:rPr>
                <w:rFonts w:ascii="Arial" w:hAnsi="Arial" w:cs="Arial"/>
                <w:sz w:val="22"/>
                <w:szCs w:val="22"/>
              </w:rPr>
              <w:t xml:space="preserve"> literature or any other agents she has seen.</w:t>
            </w:r>
          </w:p>
          <w:p w14:paraId="7DD848AA" w14:textId="570DD4DB" w:rsidR="00A52F91" w:rsidRPr="00071384" w:rsidRDefault="00026AA1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71384">
              <w:rPr>
                <w:rFonts w:ascii="Arial" w:hAnsi="Arial" w:cs="Arial"/>
                <w:sz w:val="22"/>
                <w:szCs w:val="22"/>
              </w:rPr>
              <w:t>Dr</w:t>
            </w:r>
            <w:r w:rsidR="001430C6" w:rsidRPr="000713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1384">
              <w:rPr>
                <w:rFonts w:ascii="Arial" w:hAnsi="Arial" w:cs="Arial"/>
                <w:sz w:val="22"/>
                <w:szCs w:val="22"/>
              </w:rPr>
              <w:t>Stevens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 xml:space="preserve"> replied that she has personally ha</w:t>
            </w:r>
            <w:r w:rsidR="007A6FFF" w:rsidRPr="00071384">
              <w:rPr>
                <w:rFonts w:ascii="Arial" w:hAnsi="Arial" w:cs="Arial"/>
                <w:sz w:val="22"/>
                <w:szCs w:val="22"/>
              </w:rPr>
              <w:t>d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 xml:space="preserve"> not</w:t>
            </w:r>
            <w:r w:rsidR="009B57FD">
              <w:rPr>
                <w:rFonts w:ascii="Arial" w:hAnsi="Arial" w:cs="Arial"/>
                <w:sz w:val="22"/>
                <w:szCs w:val="22"/>
              </w:rPr>
              <w:t xml:space="preserve"> known of any related literature.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 xml:space="preserve"> There are </w:t>
            </w:r>
            <w:r w:rsidR="00F87DBD" w:rsidRPr="00071384">
              <w:rPr>
                <w:rFonts w:ascii="Arial" w:hAnsi="Arial" w:cs="Arial"/>
                <w:sz w:val="22"/>
                <w:szCs w:val="22"/>
              </w:rPr>
              <w:t>many autoimmune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 xml:space="preserve"> disorder requests that </w:t>
            </w:r>
            <w:r w:rsidR="00E73619" w:rsidRPr="00071384">
              <w:rPr>
                <w:rFonts w:ascii="Arial" w:hAnsi="Arial" w:cs="Arial"/>
                <w:sz w:val="22"/>
                <w:szCs w:val="22"/>
              </w:rPr>
              <w:t>DUR</w:t>
            </w:r>
            <w:r w:rsidR="00090377" w:rsidRPr="000713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>review</w:t>
            </w:r>
            <w:r w:rsidR="00464F0A" w:rsidRPr="00071384">
              <w:rPr>
                <w:rFonts w:ascii="Arial" w:hAnsi="Arial" w:cs="Arial"/>
                <w:sz w:val="22"/>
                <w:szCs w:val="22"/>
              </w:rPr>
              <w:t>s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7A6FFF" w:rsidRPr="00071384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>make</w:t>
            </w:r>
            <w:r w:rsidR="00464F0A" w:rsidRPr="00071384">
              <w:rPr>
                <w:rFonts w:ascii="Arial" w:hAnsi="Arial" w:cs="Arial"/>
                <w:sz w:val="22"/>
                <w:szCs w:val="22"/>
              </w:rPr>
              <w:t>s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 xml:space="preserve"> decisions based on the trials</w:t>
            </w:r>
            <w:r w:rsidR="00090377" w:rsidRPr="00071384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="00A52F91" w:rsidRPr="00071384">
              <w:rPr>
                <w:rFonts w:ascii="Arial" w:hAnsi="Arial" w:cs="Arial"/>
                <w:sz w:val="22"/>
                <w:szCs w:val="22"/>
              </w:rPr>
              <w:t xml:space="preserve"> the patients have had. </w:t>
            </w:r>
          </w:p>
          <w:p w14:paraId="6D6898AB" w14:textId="27534B02" w:rsidR="00A52F91" w:rsidRPr="00E73619" w:rsidRDefault="007A6FFF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52F91" w:rsidRPr="00E73619">
              <w:rPr>
                <w:rFonts w:ascii="Arial" w:hAnsi="Arial" w:cs="Arial"/>
                <w:sz w:val="22"/>
                <w:szCs w:val="22"/>
              </w:rPr>
              <w:t xml:space="preserve"> Board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52F91" w:rsidRPr="00E73619">
              <w:rPr>
                <w:rFonts w:ascii="Arial" w:hAnsi="Arial" w:cs="Arial"/>
                <w:sz w:val="22"/>
                <w:szCs w:val="22"/>
              </w:rPr>
              <w:t xml:space="preserve">ember has </w:t>
            </w:r>
            <w:r w:rsidR="00182FC3" w:rsidRPr="00E73619">
              <w:rPr>
                <w:rFonts w:ascii="Arial" w:hAnsi="Arial" w:cs="Arial"/>
                <w:sz w:val="22"/>
                <w:szCs w:val="22"/>
              </w:rPr>
              <w:t xml:space="preserve">stated that they were not sure all the requests that were surveyed </w:t>
            </w:r>
            <w:r>
              <w:rPr>
                <w:rFonts w:ascii="Arial" w:hAnsi="Arial" w:cs="Arial"/>
                <w:sz w:val="22"/>
                <w:szCs w:val="22"/>
              </w:rPr>
              <w:t>were</w:t>
            </w:r>
            <w:r w:rsidR="00182FC3" w:rsidRPr="00E736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57FD" w:rsidRPr="00E73619">
              <w:rPr>
                <w:rFonts w:ascii="Arial" w:hAnsi="Arial" w:cs="Arial"/>
                <w:sz w:val="22"/>
                <w:szCs w:val="22"/>
              </w:rPr>
              <w:t>approvals and</w:t>
            </w:r>
            <w:r w:rsidR="00D90D76">
              <w:rPr>
                <w:rFonts w:ascii="Arial" w:hAnsi="Arial" w:cs="Arial"/>
                <w:sz w:val="22"/>
                <w:szCs w:val="22"/>
              </w:rPr>
              <w:t xml:space="preserve"> inquired if there</w:t>
            </w:r>
            <w:r w:rsidR="00464F0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were</w:t>
            </w:r>
            <w:r w:rsidR="00182FC3" w:rsidRPr="00E73619">
              <w:rPr>
                <w:rFonts w:ascii="Arial" w:hAnsi="Arial" w:cs="Arial"/>
                <w:sz w:val="22"/>
                <w:szCs w:val="22"/>
              </w:rPr>
              <w:t xml:space="preserve"> any denials</w:t>
            </w:r>
            <w:r w:rsidR="009B57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B5BC26" w14:textId="638C6304" w:rsidR="00182FC3" w:rsidRPr="00026AA1" w:rsidRDefault="00026AA1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</w:t>
            </w:r>
            <w:r w:rsid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Stevens</w:t>
            </w:r>
            <w:r w:rsidR="00182FC3" w:rsidRPr="00026AA1">
              <w:rPr>
                <w:rFonts w:ascii="Arial" w:hAnsi="Arial" w:cs="Arial"/>
                <w:sz w:val="22"/>
                <w:szCs w:val="22"/>
              </w:rPr>
              <w:t xml:space="preserve"> responded that there </w:t>
            </w:r>
            <w:r w:rsidR="00B23511">
              <w:rPr>
                <w:rFonts w:ascii="Arial" w:hAnsi="Arial" w:cs="Arial"/>
                <w:sz w:val="22"/>
                <w:szCs w:val="22"/>
              </w:rPr>
              <w:t>were</w:t>
            </w:r>
            <w:r w:rsidR="00182FC3" w:rsidRPr="00026AA1">
              <w:rPr>
                <w:rFonts w:ascii="Arial" w:hAnsi="Arial" w:cs="Arial"/>
                <w:sz w:val="22"/>
                <w:szCs w:val="22"/>
              </w:rPr>
              <w:t xml:space="preserve"> some denials. </w:t>
            </w:r>
            <w:r w:rsidR="00464F0A">
              <w:rPr>
                <w:rFonts w:ascii="Arial" w:hAnsi="Arial" w:cs="Arial"/>
                <w:sz w:val="22"/>
                <w:szCs w:val="22"/>
              </w:rPr>
              <w:t xml:space="preserve">These are </w:t>
            </w:r>
            <w:r w:rsidR="00182FC3" w:rsidRPr="00026AA1">
              <w:rPr>
                <w:rFonts w:ascii="Arial" w:hAnsi="Arial" w:cs="Arial"/>
                <w:sz w:val="22"/>
                <w:szCs w:val="22"/>
              </w:rPr>
              <w:t>case</w:t>
            </w:r>
            <w:r w:rsidR="00464F0A">
              <w:rPr>
                <w:rFonts w:ascii="Arial" w:hAnsi="Arial" w:cs="Arial"/>
                <w:sz w:val="22"/>
                <w:szCs w:val="22"/>
              </w:rPr>
              <w:t>s</w:t>
            </w:r>
            <w:r w:rsidR="00182FC3" w:rsidRPr="00026AA1">
              <w:rPr>
                <w:rFonts w:ascii="Arial" w:hAnsi="Arial" w:cs="Arial"/>
                <w:sz w:val="22"/>
                <w:szCs w:val="22"/>
              </w:rPr>
              <w:t xml:space="preserve"> where the denial is not re-submitted</w:t>
            </w:r>
            <w:r w:rsidR="00464F0A">
              <w:rPr>
                <w:rFonts w:ascii="Arial" w:hAnsi="Arial" w:cs="Arial"/>
                <w:sz w:val="22"/>
                <w:szCs w:val="22"/>
              </w:rPr>
              <w:t>,</w:t>
            </w:r>
            <w:r w:rsidR="00182FC3" w:rsidRPr="00026A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F0A">
              <w:rPr>
                <w:rFonts w:ascii="Arial" w:hAnsi="Arial" w:cs="Arial"/>
                <w:sz w:val="22"/>
                <w:szCs w:val="22"/>
              </w:rPr>
              <w:t xml:space="preserve">the member has </w:t>
            </w:r>
            <w:r w:rsidR="00182FC3" w:rsidRPr="00026AA1">
              <w:rPr>
                <w:rFonts w:ascii="Arial" w:hAnsi="Arial" w:cs="Arial"/>
                <w:sz w:val="22"/>
                <w:szCs w:val="22"/>
              </w:rPr>
              <w:t>another insurance</w:t>
            </w:r>
            <w:r w:rsidR="00464F0A">
              <w:rPr>
                <w:rFonts w:ascii="Arial" w:hAnsi="Arial" w:cs="Arial"/>
                <w:sz w:val="22"/>
                <w:szCs w:val="22"/>
              </w:rPr>
              <w:t xml:space="preserve"> that covers the medication,</w:t>
            </w:r>
            <w:r w:rsidR="00182FC3" w:rsidRPr="00026AA1">
              <w:rPr>
                <w:rFonts w:ascii="Arial" w:hAnsi="Arial" w:cs="Arial"/>
                <w:sz w:val="22"/>
                <w:szCs w:val="22"/>
              </w:rPr>
              <w:t xml:space="preserve"> or a medication</w:t>
            </w:r>
            <w:r w:rsidR="00464F0A">
              <w:rPr>
                <w:rFonts w:ascii="Arial" w:hAnsi="Arial" w:cs="Arial"/>
                <w:sz w:val="22"/>
                <w:szCs w:val="22"/>
              </w:rPr>
              <w:t xml:space="preserve"> previously suggested ha</w:t>
            </w:r>
            <w:r w:rsidR="00B23511">
              <w:rPr>
                <w:rFonts w:ascii="Arial" w:hAnsi="Arial" w:cs="Arial"/>
                <w:sz w:val="22"/>
                <w:szCs w:val="22"/>
              </w:rPr>
              <w:t>d</w:t>
            </w:r>
            <w:r w:rsidR="00464F0A">
              <w:rPr>
                <w:rFonts w:ascii="Arial" w:hAnsi="Arial" w:cs="Arial"/>
                <w:sz w:val="22"/>
                <w:szCs w:val="22"/>
              </w:rPr>
              <w:t xml:space="preserve"> been successfully used.</w:t>
            </w:r>
          </w:p>
          <w:p w14:paraId="36FFEA87" w14:textId="0B78107F" w:rsidR="00182FC3" w:rsidRPr="00E73619" w:rsidRDefault="009B57FD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same </w:t>
            </w:r>
            <w:r w:rsidR="00121FBE" w:rsidRPr="00E73619">
              <w:rPr>
                <w:rFonts w:ascii="Arial" w:hAnsi="Arial" w:cs="Arial"/>
                <w:sz w:val="22"/>
                <w:szCs w:val="22"/>
              </w:rPr>
              <w:t>Board Member inquired if this was a class that we discussed in another meeting and if it was worthwhile to continue</w:t>
            </w:r>
          </w:p>
          <w:p w14:paraId="12D50607" w14:textId="46AB6556" w:rsidR="00121FBE" w:rsidRPr="00026AA1" w:rsidRDefault="00026AA1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71384">
              <w:rPr>
                <w:rFonts w:ascii="Arial" w:hAnsi="Arial" w:cs="Arial"/>
                <w:sz w:val="22"/>
                <w:szCs w:val="22"/>
              </w:rPr>
              <w:t>r</w:t>
            </w:r>
            <w:r w:rsid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Stevens</w:t>
            </w:r>
            <w:r w:rsidR="00121FBE" w:rsidRPr="00026AA1">
              <w:rPr>
                <w:rFonts w:ascii="Arial" w:hAnsi="Arial" w:cs="Arial"/>
                <w:sz w:val="22"/>
                <w:szCs w:val="22"/>
              </w:rPr>
              <w:t xml:space="preserve"> responded yes,</w:t>
            </w:r>
            <w:r w:rsidR="00464F0A">
              <w:rPr>
                <w:rFonts w:ascii="Arial" w:hAnsi="Arial" w:cs="Arial"/>
                <w:sz w:val="22"/>
                <w:szCs w:val="22"/>
              </w:rPr>
              <w:t xml:space="preserve"> and noted that cost considerations are a factor in requiring PA.</w:t>
            </w:r>
            <w:r w:rsidR="00121FBE" w:rsidRPr="00026A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54EAE0" w14:textId="02A7BEA0" w:rsidR="00121FBE" w:rsidRPr="00190DAB" w:rsidRDefault="00121FBE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26AA1">
              <w:rPr>
                <w:rFonts w:ascii="Arial" w:hAnsi="Arial" w:cs="Arial"/>
                <w:sz w:val="22"/>
                <w:szCs w:val="22"/>
              </w:rPr>
              <w:t>Board Member inquired about increase</w:t>
            </w:r>
            <w:r w:rsidR="00B23511">
              <w:rPr>
                <w:rFonts w:ascii="Arial" w:hAnsi="Arial" w:cs="Arial"/>
                <w:sz w:val="22"/>
                <w:szCs w:val="22"/>
              </w:rPr>
              <w:t>s</w:t>
            </w:r>
            <w:r w:rsidRPr="00026AA1">
              <w:rPr>
                <w:rFonts w:ascii="Arial" w:hAnsi="Arial" w:cs="Arial"/>
                <w:sz w:val="22"/>
                <w:szCs w:val="22"/>
              </w:rPr>
              <w:t xml:space="preserve">, such as volume by patient, </w:t>
            </w:r>
            <w:r w:rsidR="00464F0A">
              <w:rPr>
                <w:rFonts w:ascii="Arial" w:hAnsi="Arial" w:cs="Arial"/>
                <w:sz w:val="22"/>
                <w:szCs w:val="22"/>
              </w:rPr>
              <w:t>and if DUR has an analysis by dose vs. agent.</w:t>
            </w:r>
          </w:p>
          <w:p w14:paraId="01C34CED" w14:textId="385B68C3" w:rsidR="00121FBE" w:rsidRPr="00834749" w:rsidRDefault="00026AA1" w:rsidP="002B591A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</w:t>
            </w:r>
            <w:r w:rsidR="001430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Stevens</w:t>
            </w:r>
            <w:r w:rsidR="00121FBE" w:rsidRPr="00190DAB">
              <w:rPr>
                <w:rFonts w:ascii="Arial" w:hAnsi="Arial" w:cs="Arial"/>
                <w:sz w:val="22"/>
                <w:szCs w:val="22"/>
              </w:rPr>
              <w:t xml:space="preserve"> responded </w:t>
            </w:r>
            <w:r w:rsidR="007A4D88" w:rsidRPr="00834749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464F0A">
              <w:rPr>
                <w:rFonts w:ascii="Arial" w:hAnsi="Arial" w:cs="Arial"/>
                <w:sz w:val="22"/>
                <w:szCs w:val="22"/>
              </w:rPr>
              <w:t>such an analysis does not currently exist.  She noted t</w:t>
            </w:r>
            <w:r w:rsidR="007A4D88" w:rsidRPr="00190DAB">
              <w:rPr>
                <w:rFonts w:ascii="Arial" w:hAnsi="Arial" w:cs="Arial"/>
                <w:sz w:val="22"/>
                <w:szCs w:val="22"/>
              </w:rPr>
              <w:t>he cost for the various agents</w:t>
            </w:r>
            <w:r w:rsidR="00464F0A">
              <w:rPr>
                <w:rFonts w:ascii="Arial" w:hAnsi="Arial" w:cs="Arial"/>
                <w:sz w:val="22"/>
                <w:szCs w:val="22"/>
              </w:rPr>
              <w:t xml:space="preserve"> has remained consistent</w:t>
            </w:r>
            <w:r w:rsidR="007A4D88" w:rsidRPr="00190DAB">
              <w:rPr>
                <w:rFonts w:ascii="Arial" w:hAnsi="Arial" w:cs="Arial"/>
                <w:sz w:val="22"/>
                <w:szCs w:val="22"/>
              </w:rPr>
              <w:t>.</w:t>
            </w:r>
            <w:r w:rsidR="00121FBE" w:rsidRPr="008347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6" w:type="dxa"/>
          </w:tcPr>
          <w:p w14:paraId="3C6AC064" w14:textId="77777777" w:rsidR="00A52F91" w:rsidRPr="001430C6" w:rsidRDefault="00A52F91" w:rsidP="00A52F9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72B654A" w14:textId="77777777" w:rsidR="00B455CC" w:rsidRPr="001430C6" w:rsidRDefault="00B455CC" w:rsidP="00E8289F">
      <w:pPr>
        <w:rPr>
          <w:rFonts w:cs="Arial"/>
          <w:sz w:val="22"/>
          <w:szCs w:val="22"/>
        </w:rPr>
      </w:pPr>
    </w:p>
    <w:p w14:paraId="76D979DB" w14:textId="77777777" w:rsidR="00B455CC" w:rsidRPr="001430C6" w:rsidRDefault="00B455CC" w:rsidP="00E8289F">
      <w:pPr>
        <w:rPr>
          <w:rFonts w:cs="Arial"/>
          <w:sz w:val="22"/>
          <w:szCs w:val="22"/>
        </w:rPr>
      </w:pPr>
    </w:p>
    <w:p w14:paraId="1024CCAF" w14:textId="2B1B8B9E" w:rsidR="00A65737" w:rsidRPr="001430C6" w:rsidRDefault="00714631" w:rsidP="00E8289F">
      <w:pPr>
        <w:rPr>
          <w:rFonts w:cs="Arial"/>
          <w:sz w:val="22"/>
          <w:szCs w:val="22"/>
        </w:rPr>
      </w:pPr>
      <w:r w:rsidRPr="001430C6">
        <w:rPr>
          <w:rFonts w:cs="Arial"/>
          <w:sz w:val="22"/>
          <w:szCs w:val="22"/>
        </w:rPr>
        <w:t xml:space="preserve">Meeting adjourned at </w:t>
      </w:r>
      <w:r w:rsidR="007E6C79" w:rsidRPr="001430C6">
        <w:rPr>
          <w:rFonts w:cs="Arial"/>
          <w:sz w:val="22"/>
          <w:szCs w:val="22"/>
        </w:rPr>
        <w:t>7</w:t>
      </w:r>
      <w:r w:rsidR="00816605" w:rsidRPr="001430C6">
        <w:rPr>
          <w:rFonts w:cs="Arial"/>
          <w:sz w:val="22"/>
          <w:szCs w:val="22"/>
        </w:rPr>
        <w:t>:0</w:t>
      </w:r>
      <w:r w:rsidR="00AF36C5" w:rsidRPr="001430C6">
        <w:rPr>
          <w:rFonts w:cs="Arial"/>
          <w:sz w:val="22"/>
          <w:szCs w:val="22"/>
        </w:rPr>
        <w:t>0</w:t>
      </w:r>
      <w:r w:rsidR="00350B85" w:rsidRPr="001430C6">
        <w:rPr>
          <w:rFonts w:cs="Arial"/>
          <w:sz w:val="22"/>
          <w:szCs w:val="22"/>
        </w:rPr>
        <w:t xml:space="preserve"> </w:t>
      </w:r>
      <w:r w:rsidR="00B23511">
        <w:rPr>
          <w:rFonts w:cs="Arial"/>
          <w:sz w:val="22"/>
          <w:szCs w:val="22"/>
        </w:rPr>
        <w:t>pm</w:t>
      </w:r>
    </w:p>
    <w:p w14:paraId="6ECD0E71" w14:textId="77777777" w:rsidR="00A65737" w:rsidRPr="001430C6" w:rsidRDefault="00A65737" w:rsidP="00E8289F">
      <w:pPr>
        <w:rPr>
          <w:rFonts w:cs="Arial"/>
          <w:sz w:val="22"/>
          <w:szCs w:val="22"/>
        </w:rPr>
      </w:pPr>
    </w:p>
    <w:p w14:paraId="4BB00015" w14:textId="77777777" w:rsidR="00A65737" w:rsidRPr="001430C6" w:rsidRDefault="00A65737" w:rsidP="005D7D65">
      <w:pPr>
        <w:rPr>
          <w:rFonts w:cs="Arial"/>
          <w:sz w:val="22"/>
          <w:szCs w:val="22"/>
        </w:rPr>
      </w:pPr>
    </w:p>
    <w:p w14:paraId="3A00095C" w14:textId="77777777" w:rsidR="00A65737" w:rsidRPr="001430C6" w:rsidRDefault="00A65737" w:rsidP="005D7D65">
      <w:pPr>
        <w:rPr>
          <w:rFonts w:cs="Arial"/>
          <w:sz w:val="22"/>
          <w:szCs w:val="22"/>
        </w:rPr>
      </w:pPr>
      <w:r w:rsidRPr="001430C6">
        <w:rPr>
          <w:rFonts w:cs="Arial"/>
          <w:sz w:val="22"/>
          <w:szCs w:val="22"/>
        </w:rPr>
        <w:t xml:space="preserve">Respectfully submitted </w:t>
      </w:r>
      <w:r w:rsidR="002E4FF3" w:rsidRPr="001430C6">
        <w:rPr>
          <w:rFonts w:cs="Arial"/>
          <w:sz w:val="22"/>
          <w:szCs w:val="22"/>
        </w:rPr>
        <w:t>by</w:t>
      </w:r>
      <w:r w:rsidRPr="001430C6">
        <w:rPr>
          <w:rFonts w:cs="Arial"/>
          <w:sz w:val="22"/>
          <w:szCs w:val="22"/>
        </w:rPr>
        <w:t xml:space="preserve"> </w:t>
      </w:r>
      <w:r w:rsidR="00714631" w:rsidRPr="001430C6">
        <w:rPr>
          <w:rFonts w:cs="Arial"/>
          <w:sz w:val="22"/>
          <w:szCs w:val="22"/>
        </w:rPr>
        <w:t>Vincent Palumbo, Director of DUR</w:t>
      </w:r>
    </w:p>
    <w:p w14:paraId="2E73DF32" w14:textId="77777777" w:rsidR="00A65737" w:rsidRPr="001430C6" w:rsidRDefault="00A65737" w:rsidP="005D7D65">
      <w:pPr>
        <w:rPr>
          <w:rFonts w:cs="Arial"/>
          <w:sz w:val="22"/>
          <w:szCs w:val="22"/>
        </w:rPr>
      </w:pPr>
    </w:p>
    <w:p w14:paraId="2E4653A9" w14:textId="77777777" w:rsidR="00A65737" w:rsidRPr="001430C6" w:rsidRDefault="00A65737" w:rsidP="005D7D65">
      <w:pPr>
        <w:rPr>
          <w:rFonts w:cs="Arial"/>
          <w:sz w:val="22"/>
          <w:szCs w:val="22"/>
        </w:rPr>
      </w:pPr>
      <w:r w:rsidRPr="001430C6">
        <w:rPr>
          <w:rFonts w:cs="Arial"/>
          <w:sz w:val="22"/>
          <w:szCs w:val="22"/>
        </w:rPr>
        <w:t>Date</w:t>
      </w:r>
      <w:r w:rsidR="00714631" w:rsidRPr="001430C6">
        <w:rPr>
          <w:rFonts w:cs="Arial"/>
          <w:sz w:val="22"/>
          <w:szCs w:val="22"/>
        </w:rPr>
        <w:t xml:space="preserve">: </w:t>
      </w:r>
      <w:r w:rsidR="00350B85" w:rsidRPr="001430C6">
        <w:rPr>
          <w:rFonts w:cs="Arial"/>
          <w:sz w:val="22"/>
          <w:szCs w:val="22"/>
        </w:rPr>
        <w:t>_________________</w:t>
      </w:r>
    </w:p>
    <w:p w14:paraId="5B0453B5" w14:textId="77777777" w:rsidR="00A65737" w:rsidRPr="001430C6" w:rsidRDefault="00A65737">
      <w:pPr>
        <w:rPr>
          <w:rFonts w:cs="Arial"/>
          <w:sz w:val="22"/>
          <w:szCs w:val="22"/>
        </w:rPr>
      </w:pPr>
    </w:p>
    <w:sectPr w:rsidR="00A65737" w:rsidRPr="001430C6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AF5B8" w14:textId="77777777" w:rsidR="000A1362" w:rsidRDefault="000A1362" w:rsidP="003A51FC">
      <w:r>
        <w:separator/>
      </w:r>
    </w:p>
  </w:endnote>
  <w:endnote w:type="continuationSeparator" w:id="0">
    <w:p w14:paraId="798FD5F6" w14:textId="77777777" w:rsidR="000A1362" w:rsidRDefault="000A1362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5DC92" w14:textId="77777777" w:rsidR="000A1362" w:rsidRDefault="000A1362" w:rsidP="003A51FC">
      <w:r>
        <w:separator/>
      </w:r>
    </w:p>
  </w:footnote>
  <w:footnote w:type="continuationSeparator" w:id="0">
    <w:p w14:paraId="2D0EA068" w14:textId="77777777" w:rsidR="000A1362" w:rsidRDefault="000A1362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1D9"/>
    <w:multiLevelType w:val="hybridMultilevel"/>
    <w:tmpl w:val="5B5C461A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F184A"/>
    <w:multiLevelType w:val="hybridMultilevel"/>
    <w:tmpl w:val="F0941922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406714"/>
    <w:multiLevelType w:val="hybridMultilevel"/>
    <w:tmpl w:val="3964F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1633"/>
    <w:multiLevelType w:val="hybridMultilevel"/>
    <w:tmpl w:val="7294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0D2F"/>
    <w:multiLevelType w:val="hybridMultilevel"/>
    <w:tmpl w:val="EFD2E364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12DE0276"/>
    <w:multiLevelType w:val="hybridMultilevel"/>
    <w:tmpl w:val="1B0E5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0C70A3"/>
    <w:multiLevelType w:val="hybridMultilevel"/>
    <w:tmpl w:val="F59C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34B7"/>
    <w:multiLevelType w:val="hybridMultilevel"/>
    <w:tmpl w:val="3DBE0384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EA1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437419"/>
    <w:multiLevelType w:val="hybridMultilevel"/>
    <w:tmpl w:val="57FCC3F2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765DE7"/>
    <w:multiLevelType w:val="hybridMultilevel"/>
    <w:tmpl w:val="66E25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BB86DB3"/>
    <w:multiLevelType w:val="hybridMultilevel"/>
    <w:tmpl w:val="8E666730"/>
    <w:lvl w:ilvl="0" w:tplc="5824BC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57C0"/>
    <w:multiLevelType w:val="hybridMultilevel"/>
    <w:tmpl w:val="4FD86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6E2B82"/>
    <w:multiLevelType w:val="hybridMultilevel"/>
    <w:tmpl w:val="AE5C77C0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EA1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6F4A67"/>
    <w:multiLevelType w:val="hybridMultilevel"/>
    <w:tmpl w:val="4D7269F6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967A48"/>
    <w:multiLevelType w:val="hybridMultilevel"/>
    <w:tmpl w:val="DC8E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91280"/>
    <w:multiLevelType w:val="hybridMultilevel"/>
    <w:tmpl w:val="E5C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34BB5"/>
    <w:multiLevelType w:val="hybridMultilevel"/>
    <w:tmpl w:val="341C94B8"/>
    <w:lvl w:ilvl="0" w:tplc="9E9E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456DF"/>
    <w:multiLevelType w:val="hybridMultilevel"/>
    <w:tmpl w:val="05F03F44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D6008"/>
    <w:multiLevelType w:val="hybridMultilevel"/>
    <w:tmpl w:val="ADE0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B0206"/>
    <w:multiLevelType w:val="hybridMultilevel"/>
    <w:tmpl w:val="88325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9619C2"/>
    <w:multiLevelType w:val="hybridMultilevel"/>
    <w:tmpl w:val="C98EDDDE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5C939A2"/>
    <w:multiLevelType w:val="hybridMultilevel"/>
    <w:tmpl w:val="6A50D6DC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872659D"/>
    <w:multiLevelType w:val="hybridMultilevel"/>
    <w:tmpl w:val="0B16A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B33BB6"/>
    <w:multiLevelType w:val="hybridMultilevel"/>
    <w:tmpl w:val="FC8084B4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552D40"/>
    <w:multiLevelType w:val="hybridMultilevel"/>
    <w:tmpl w:val="52BC7D2A"/>
    <w:lvl w:ilvl="0" w:tplc="9E9EA18A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5" w15:restartNumberingAfterBreak="0">
    <w:nsid w:val="5E8438E1"/>
    <w:multiLevelType w:val="hybridMultilevel"/>
    <w:tmpl w:val="B0A67114"/>
    <w:lvl w:ilvl="0" w:tplc="0FFA58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5D7849"/>
    <w:multiLevelType w:val="hybridMultilevel"/>
    <w:tmpl w:val="D99CBC2A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58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381EDC"/>
    <w:multiLevelType w:val="hybridMultilevel"/>
    <w:tmpl w:val="1AA0D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82A5562"/>
    <w:multiLevelType w:val="hybridMultilevel"/>
    <w:tmpl w:val="C49AD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C256BC"/>
    <w:multiLevelType w:val="hybridMultilevel"/>
    <w:tmpl w:val="8324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E57BC"/>
    <w:multiLevelType w:val="hybridMultilevel"/>
    <w:tmpl w:val="1BB8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3607B"/>
    <w:multiLevelType w:val="hybridMultilevel"/>
    <w:tmpl w:val="1EAE3B02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EA1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3"/>
  </w:num>
  <w:num w:numId="5">
    <w:abstractNumId w:val="6"/>
  </w:num>
  <w:num w:numId="6">
    <w:abstractNumId w:val="30"/>
  </w:num>
  <w:num w:numId="7">
    <w:abstractNumId w:val="3"/>
  </w:num>
  <w:num w:numId="8">
    <w:abstractNumId w:val="15"/>
  </w:num>
  <w:num w:numId="9">
    <w:abstractNumId w:val="18"/>
  </w:num>
  <w:num w:numId="10">
    <w:abstractNumId w:val="8"/>
  </w:num>
  <w:num w:numId="11">
    <w:abstractNumId w:val="25"/>
  </w:num>
  <w:num w:numId="12">
    <w:abstractNumId w:val="23"/>
  </w:num>
  <w:num w:numId="13">
    <w:abstractNumId w:val="11"/>
  </w:num>
  <w:num w:numId="14">
    <w:abstractNumId w:val="17"/>
  </w:num>
  <w:num w:numId="15">
    <w:abstractNumId w:val="21"/>
  </w:num>
  <w:num w:numId="16">
    <w:abstractNumId w:val="9"/>
  </w:num>
  <w:num w:numId="17">
    <w:abstractNumId w:val="5"/>
  </w:num>
  <w:num w:numId="18">
    <w:abstractNumId w:val="1"/>
  </w:num>
  <w:num w:numId="19">
    <w:abstractNumId w:val="20"/>
  </w:num>
  <w:num w:numId="20">
    <w:abstractNumId w:val="26"/>
  </w:num>
  <w:num w:numId="21">
    <w:abstractNumId w:val="0"/>
  </w:num>
  <w:num w:numId="22">
    <w:abstractNumId w:val="28"/>
  </w:num>
  <w:num w:numId="23">
    <w:abstractNumId w:val="22"/>
  </w:num>
  <w:num w:numId="24">
    <w:abstractNumId w:val="12"/>
  </w:num>
  <w:num w:numId="25">
    <w:abstractNumId w:val="16"/>
  </w:num>
  <w:num w:numId="26">
    <w:abstractNumId w:val="24"/>
  </w:num>
  <w:num w:numId="27">
    <w:abstractNumId w:val="14"/>
  </w:num>
  <w:num w:numId="28">
    <w:abstractNumId w:val="19"/>
  </w:num>
  <w:num w:numId="29">
    <w:abstractNumId w:val="29"/>
  </w:num>
  <w:num w:numId="30">
    <w:abstractNumId w:val="27"/>
  </w:num>
  <w:num w:numId="31">
    <w:abstractNumId w:val="7"/>
  </w:num>
  <w:num w:numId="32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13990"/>
    <w:rsid w:val="00015156"/>
    <w:rsid w:val="00017337"/>
    <w:rsid w:val="00021087"/>
    <w:rsid w:val="00026AA1"/>
    <w:rsid w:val="000277C5"/>
    <w:rsid w:val="00027E53"/>
    <w:rsid w:val="000552C1"/>
    <w:rsid w:val="00055394"/>
    <w:rsid w:val="00071384"/>
    <w:rsid w:val="00077764"/>
    <w:rsid w:val="00085011"/>
    <w:rsid w:val="00090377"/>
    <w:rsid w:val="000A1362"/>
    <w:rsid w:val="000A7420"/>
    <w:rsid w:val="000B3D30"/>
    <w:rsid w:val="000C37DD"/>
    <w:rsid w:val="000D228F"/>
    <w:rsid w:val="000D27C9"/>
    <w:rsid w:val="000E2E79"/>
    <w:rsid w:val="000E58FF"/>
    <w:rsid w:val="000F4FD3"/>
    <w:rsid w:val="000F52DE"/>
    <w:rsid w:val="000F5FC0"/>
    <w:rsid w:val="000F74BF"/>
    <w:rsid w:val="00110CBD"/>
    <w:rsid w:val="001115E4"/>
    <w:rsid w:val="001138DC"/>
    <w:rsid w:val="001215BC"/>
    <w:rsid w:val="00121FBE"/>
    <w:rsid w:val="00132478"/>
    <w:rsid w:val="001359B4"/>
    <w:rsid w:val="00135BDA"/>
    <w:rsid w:val="00140B02"/>
    <w:rsid w:val="0014185A"/>
    <w:rsid w:val="00142976"/>
    <w:rsid w:val="001430C6"/>
    <w:rsid w:val="00143BA6"/>
    <w:rsid w:val="001635DC"/>
    <w:rsid w:val="00171F6D"/>
    <w:rsid w:val="00173809"/>
    <w:rsid w:val="00174B8E"/>
    <w:rsid w:val="00174DD8"/>
    <w:rsid w:val="00181645"/>
    <w:rsid w:val="00182FC3"/>
    <w:rsid w:val="0018379F"/>
    <w:rsid w:val="00183BBC"/>
    <w:rsid w:val="001874A5"/>
    <w:rsid w:val="00190DAB"/>
    <w:rsid w:val="0019177D"/>
    <w:rsid w:val="00195AA5"/>
    <w:rsid w:val="001A0865"/>
    <w:rsid w:val="001A3886"/>
    <w:rsid w:val="001B29B4"/>
    <w:rsid w:val="001C3D60"/>
    <w:rsid w:val="001C5AF2"/>
    <w:rsid w:val="001D56D4"/>
    <w:rsid w:val="001D69CB"/>
    <w:rsid w:val="001E7BF5"/>
    <w:rsid w:val="001F08C1"/>
    <w:rsid w:val="00204838"/>
    <w:rsid w:val="0021168F"/>
    <w:rsid w:val="00214088"/>
    <w:rsid w:val="0022451D"/>
    <w:rsid w:val="00226D36"/>
    <w:rsid w:val="0024224B"/>
    <w:rsid w:val="002618A2"/>
    <w:rsid w:val="00261A11"/>
    <w:rsid w:val="00266360"/>
    <w:rsid w:val="00272740"/>
    <w:rsid w:val="0028517F"/>
    <w:rsid w:val="00285EE1"/>
    <w:rsid w:val="00286180"/>
    <w:rsid w:val="00287666"/>
    <w:rsid w:val="00287D73"/>
    <w:rsid w:val="0029090E"/>
    <w:rsid w:val="002910AB"/>
    <w:rsid w:val="002931B3"/>
    <w:rsid w:val="002A38CC"/>
    <w:rsid w:val="002A4976"/>
    <w:rsid w:val="002A5345"/>
    <w:rsid w:val="002A63D9"/>
    <w:rsid w:val="002B0500"/>
    <w:rsid w:val="002B06A3"/>
    <w:rsid w:val="002B163E"/>
    <w:rsid w:val="002B527C"/>
    <w:rsid w:val="002B591A"/>
    <w:rsid w:val="002C55C3"/>
    <w:rsid w:val="002C58C6"/>
    <w:rsid w:val="002D1492"/>
    <w:rsid w:val="002D2372"/>
    <w:rsid w:val="002D432A"/>
    <w:rsid w:val="002D52BD"/>
    <w:rsid w:val="002D7BB0"/>
    <w:rsid w:val="002E1E0D"/>
    <w:rsid w:val="002E4FF3"/>
    <w:rsid w:val="002E7420"/>
    <w:rsid w:val="002F005E"/>
    <w:rsid w:val="002F0732"/>
    <w:rsid w:val="002F0F74"/>
    <w:rsid w:val="002F5471"/>
    <w:rsid w:val="00303E28"/>
    <w:rsid w:val="00304327"/>
    <w:rsid w:val="00304A40"/>
    <w:rsid w:val="00306239"/>
    <w:rsid w:val="0031201F"/>
    <w:rsid w:val="003148ED"/>
    <w:rsid w:val="0031523C"/>
    <w:rsid w:val="003177AE"/>
    <w:rsid w:val="003309D7"/>
    <w:rsid w:val="00337459"/>
    <w:rsid w:val="00343A0F"/>
    <w:rsid w:val="003461B1"/>
    <w:rsid w:val="00350B85"/>
    <w:rsid w:val="0035353B"/>
    <w:rsid w:val="003707AB"/>
    <w:rsid w:val="00376088"/>
    <w:rsid w:val="003769C9"/>
    <w:rsid w:val="00381F94"/>
    <w:rsid w:val="0039686D"/>
    <w:rsid w:val="00396EA1"/>
    <w:rsid w:val="003A0287"/>
    <w:rsid w:val="003A51FC"/>
    <w:rsid w:val="003B2CE0"/>
    <w:rsid w:val="003C7115"/>
    <w:rsid w:val="003D15DB"/>
    <w:rsid w:val="003D2462"/>
    <w:rsid w:val="003E19EE"/>
    <w:rsid w:val="003F206A"/>
    <w:rsid w:val="003F3D5D"/>
    <w:rsid w:val="00400552"/>
    <w:rsid w:val="00401D9D"/>
    <w:rsid w:val="00405B86"/>
    <w:rsid w:val="00413242"/>
    <w:rsid w:val="00413743"/>
    <w:rsid w:val="004153FC"/>
    <w:rsid w:val="00416D51"/>
    <w:rsid w:val="00421B1F"/>
    <w:rsid w:val="00423C96"/>
    <w:rsid w:val="00427421"/>
    <w:rsid w:val="00431A94"/>
    <w:rsid w:val="004364E1"/>
    <w:rsid w:val="00457130"/>
    <w:rsid w:val="00464F0A"/>
    <w:rsid w:val="004650F4"/>
    <w:rsid w:val="00482143"/>
    <w:rsid w:val="00482D34"/>
    <w:rsid w:val="00487E72"/>
    <w:rsid w:val="00490958"/>
    <w:rsid w:val="004946A4"/>
    <w:rsid w:val="00496D32"/>
    <w:rsid w:val="004A6136"/>
    <w:rsid w:val="004B3619"/>
    <w:rsid w:val="004B4010"/>
    <w:rsid w:val="004B5E97"/>
    <w:rsid w:val="004C3430"/>
    <w:rsid w:val="004D3FEF"/>
    <w:rsid w:val="004D6A48"/>
    <w:rsid w:val="004E1AAB"/>
    <w:rsid w:val="004F018D"/>
    <w:rsid w:val="004F1224"/>
    <w:rsid w:val="004F3975"/>
    <w:rsid w:val="004F7297"/>
    <w:rsid w:val="004F7BAC"/>
    <w:rsid w:val="00504713"/>
    <w:rsid w:val="00507A06"/>
    <w:rsid w:val="00511A84"/>
    <w:rsid w:val="00515524"/>
    <w:rsid w:val="00521CAD"/>
    <w:rsid w:val="00534CF7"/>
    <w:rsid w:val="00544ED4"/>
    <w:rsid w:val="00555CD2"/>
    <w:rsid w:val="00557E22"/>
    <w:rsid w:val="005628A4"/>
    <w:rsid w:val="00562937"/>
    <w:rsid w:val="00566904"/>
    <w:rsid w:val="005822F7"/>
    <w:rsid w:val="00590828"/>
    <w:rsid w:val="0059468F"/>
    <w:rsid w:val="005A0A57"/>
    <w:rsid w:val="005A6632"/>
    <w:rsid w:val="005B08A2"/>
    <w:rsid w:val="005D6DDC"/>
    <w:rsid w:val="005D7D65"/>
    <w:rsid w:val="005E2E29"/>
    <w:rsid w:val="005F028F"/>
    <w:rsid w:val="005F1777"/>
    <w:rsid w:val="005F78C1"/>
    <w:rsid w:val="00612392"/>
    <w:rsid w:val="00623E03"/>
    <w:rsid w:val="006252F2"/>
    <w:rsid w:val="00626874"/>
    <w:rsid w:val="00627DF4"/>
    <w:rsid w:val="00633166"/>
    <w:rsid w:val="00633747"/>
    <w:rsid w:val="00637828"/>
    <w:rsid w:val="00643646"/>
    <w:rsid w:val="006525AD"/>
    <w:rsid w:val="006547B8"/>
    <w:rsid w:val="00655DA4"/>
    <w:rsid w:val="006646F3"/>
    <w:rsid w:val="00665F41"/>
    <w:rsid w:val="00673993"/>
    <w:rsid w:val="00677DD9"/>
    <w:rsid w:val="00693B4B"/>
    <w:rsid w:val="00695D09"/>
    <w:rsid w:val="0069740D"/>
    <w:rsid w:val="006B328A"/>
    <w:rsid w:val="006B585B"/>
    <w:rsid w:val="006B6183"/>
    <w:rsid w:val="006C2B44"/>
    <w:rsid w:val="006D39BB"/>
    <w:rsid w:val="006F18F4"/>
    <w:rsid w:val="006F32DE"/>
    <w:rsid w:val="006F37B9"/>
    <w:rsid w:val="007008A2"/>
    <w:rsid w:val="00700A81"/>
    <w:rsid w:val="00701F4F"/>
    <w:rsid w:val="00702B09"/>
    <w:rsid w:val="00714631"/>
    <w:rsid w:val="00721267"/>
    <w:rsid w:val="007312E3"/>
    <w:rsid w:val="00731EBB"/>
    <w:rsid w:val="00741B0C"/>
    <w:rsid w:val="007569EE"/>
    <w:rsid w:val="00756D8A"/>
    <w:rsid w:val="00760FE3"/>
    <w:rsid w:val="007625C8"/>
    <w:rsid w:val="007644BD"/>
    <w:rsid w:val="00770396"/>
    <w:rsid w:val="0077371C"/>
    <w:rsid w:val="007841D2"/>
    <w:rsid w:val="007875CF"/>
    <w:rsid w:val="00792814"/>
    <w:rsid w:val="007973D0"/>
    <w:rsid w:val="007979A0"/>
    <w:rsid w:val="007A2D55"/>
    <w:rsid w:val="007A4D88"/>
    <w:rsid w:val="007A6FFF"/>
    <w:rsid w:val="007A7118"/>
    <w:rsid w:val="007B2CDC"/>
    <w:rsid w:val="007B3F9F"/>
    <w:rsid w:val="007B422F"/>
    <w:rsid w:val="007B4FF3"/>
    <w:rsid w:val="007B5157"/>
    <w:rsid w:val="007C6B43"/>
    <w:rsid w:val="007D1042"/>
    <w:rsid w:val="007D7FD7"/>
    <w:rsid w:val="007E6C79"/>
    <w:rsid w:val="007F17CB"/>
    <w:rsid w:val="007F1A1B"/>
    <w:rsid w:val="007F26BE"/>
    <w:rsid w:val="007F2BE2"/>
    <w:rsid w:val="007F3940"/>
    <w:rsid w:val="00802E03"/>
    <w:rsid w:val="008118C9"/>
    <w:rsid w:val="00813F5A"/>
    <w:rsid w:val="0081630F"/>
    <w:rsid w:val="00816489"/>
    <w:rsid w:val="00816605"/>
    <w:rsid w:val="00817298"/>
    <w:rsid w:val="00822B71"/>
    <w:rsid w:val="008230FC"/>
    <w:rsid w:val="00826EB8"/>
    <w:rsid w:val="00834749"/>
    <w:rsid w:val="00840BF6"/>
    <w:rsid w:val="008411C4"/>
    <w:rsid w:val="00844903"/>
    <w:rsid w:val="0084759A"/>
    <w:rsid w:val="00861231"/>
    <w:rsid w:val="008655F6"/>
    <w:rsid w:val="00890FAB"/>
    <w:rsid w:val="008A420F"/>
    <w:rsid w:val="008B2623"/>
    <w:rsid w:val="008B26E6"/>
    <w:rsid w:val="008C15B2"/>
    <w:rsid w:val="008C3C28"/>
    <w:rsid w:val="008C6724"/>
    <w:rsid w:val="008F12D0"/>
    <w:rsid w:val="008F1606"/>
    <w:rsid w:val="008F42ED"/>
    <w:rsid w:val="00900DBD"/>
    <w:rsid w:val="009014FA"/>
    <w:rsid w:val="00901E83"/>
    <w:rsid w:val="00906E95"/>
    <w:rsid w:val="00907477"/>
    <w:rsid w:val="0091157C"/>
    <w:rsid w:val="009119B8"/>
    <w:rsid w:val="009123F2"/>
    <w:rsid w:val="0091301C"/>
    <w:rsid w:val="00916A57"/>
    <w:rsid w:val="009178D4"/>
    <w:rsid w:val="00921CD9"/>
    <w:rsid w:val="00923E03"/>
    <w:rsid w:val="00940BEE"/>
    <w:rsid w:val="00941584"/>
    <w:rsid w:val="00953B5C"/>
    <w:rsid w:val="009552D3"/>
    <w:rsid w:val="009628FD"/>
    <w:rsid w:val="0097194D"/>
    <w:rsid w:val="00974686"/>
    <w:rsid w:val="009746A4"/>
    <w:rsid w:val="009758E8"/>
    <w:rsid w:val="00976EEE"/>
    <w:rsid w:val="0098276C"/>
    <w:rsid w:val="009868E8"/>
    <w:rsid w:val="009A05A3"/>
    <w:rsid w:val="009A1058"/>
    <w:rsid w:val="009A1AE8"/>
    <w:rsid w:val="009A240F"/>
    <w:rsid w:val="009A7D84"/>
    <w:rsid w:val="009B21EA"/>
    <w:rsid w:val="009B25CA"/>
    <w:rsid w:val="009B57FD"/>
    <w:rsid w:val="009B601A"/>
    <w:rsid w:val="009C53F7"/>
    <w:rsid w:val="009D2405"/>
    <w:rsid w:val="009D76AC"/>
    <w:rsid w:val="009E405A"/>
    <w:rsid w:val="009F22D5"/>
    <w:rsid w:val="009F3068"/>
    <w:rsid w:val="009F49FD"/>
    <w:rsid w:val="009F71D5"/>
    <w:rsid w:val="00A04922"/>
    <w:rsid w:val="00A067DE"/>
    <w:rsid w:val="00A076F0"/>
    <w:rsid w:val="00A12838"/>
    <w:rsid w:val="00A13430"/>
    <w:rsid w:val="00A15E14"/>
    <w:rsid w:val="00A20E8B"/>
    <w:rsid w:val="00A232DE"/>
    <w:rsid w:val="00A31517"/>
    <w:rsid w:val="00A3683A"/>
    <w:rsid w:val="00A448A9"/>
    <w:rsid w:val="00A5225C"/>
    <w:rsid w:val="00A52F91"/>
    <w:rsid w:val="00A53694"/>
    <w:rsid w:val="00A53E69"/>
    <w:rsid w:val="00A5433B"/>
    <w:rsid w:val="00A563B6"/>
    <w:rsid w:val="00A655C7"/>
    <w:rsid w:val="00A65737"/>
    <w:rsid w:val="00A75229"/>
    <w:rsid w:val="00A759A5"/>
    <w:rsid w:val="00A83F41"/>
    <w:rsid w:val="00A900A9"/>
    <w:rsid w:val="00A941A3"/>
    <w:rsid w:val="00AA2AF2"/>
    <w:rsid w:val="00AA4A0F"/>
    <w:rsid w:val="00AC5384"/>
    <w:rsid w:val="00AC55DE"/>
    <w:rsid w:val="00AC6712"/>
    <w:rsid w:val="00AD7B21"/>
    <w:rsid w:val="00AE43EE"/>
    <w:rsid w:val="00AF14F1"/>
    <w:rsid w:val="00AF25E2"/>
    <w:rsid w:val="00AF36C5"/>
    <w:rsid w:val="00AF7FDE"/>
    <w:rsid w:val="00B11C70"/>
    <w:rsid w:val="00B14A73"/>
    <w:rsid w:val="00B15163"/>
    <w:rsid w:val="00B1661F"/>
    <w:rsid w:val="00B20B1A"/>
    <w:rsid w:val="00B23511"/>
    <w:rsid w:val="00B43DFE"/>
    <w:rsid w:val="00B455CC"/>
    <w:rsid w:val="00B47621"/>
    <w:rsid w:val="00B5618F"/>
    <w:rsid w:val="00B56BDC"/>
    <w:rsid w:val="00B61786"/>
    <w:rsid w:val="00B63202"/>
    <w:rsid w:val="00B76427"/>
    <w:rsid w:val="00B81D22"/>
    <w:rsid w:val="00B84450"/>
    <w:rsid w:val="00B86DE8"/>
    <w:rsid w:val="00B94C0C"/>
    <w:rsid w:val="00B97628"/>
    <w:rsid w:val="00BB25CF"/>
    <w:rsid w:val="00BB263C"/>
    <w:rsid w:val="00BB667F"/>
    <w:rsid w:val="00BC22FA"/>
    <w:rsid w:val="00BC28A8"/>
    <w:rsid w:val="00BC3568"/>
    <w:rsid w:val="00BD211D"/>
    <w:rsid w:val="00BD2CD7"/>
    <w:rsid w:val="00BD78D5"/>
    <w:rsid w:val="00BE1F08"/>
    <w:rsid w:val="00BF58DA"/>
    <w:rsid w:val="00C03311"/>
    <w:rsid w:val="00C03E4C"/>
    <w:rsid w:val="00C1143A"/>
    <w:rsid w:val="00C1392C"/>
    <w:rsid w:val="00C270ED"/>
    <w:rsid w:val="00C3322C"/>
    <w:rsid w:val="00C4455A"/>
    <w:rsid w:val="00C46B73"/>
    <w:rsid w:val="00C50EBE"/>
    <w:rsid w:val="00C52A78"/>
    <w:rsid w:val="00C53C6C"/>
    <w:rsid w:val="00C5565A"/>
    <w:rsid w:val="00C5611C"/>
    <w:rsid w:val="00C744AF"/>
    <w:rsid w:val="00C74C56"/>
    <w:rsid w:val="00C77EAC"/>
    <w:rsid w:val="00C812A2"/>
    <w:rsid w:val="00C8387F"/>
    <w:rsid w:val="00C84277"/>
    <w:rsid w:val="00C9353B"/>
    <w:rsid w:val="00C96707"/>
    <w:rsid w:val="00C968DA"/>
    <w:rsid w:val="00CA18BC"/>
    <w:rsid w:val="00CB015C"/>
    <w:rsid w:val="00CB3C69"/>
    <w:rsid w:val="00CB6AC7"/>
    <w:rsid w:val="00CD1937"/>
    <w:rsid w:val="00CD411B"/>
    <w:rsid w:val="00CD7CDB"/>
    <w:rsid w:val="00CE260E"/>
    <w:rsid w:val="00CF3C51"/>
    <w:rsid w:val="00CF3DE6"/>
    <w:rsid w:val="00CF5255"/>
    <w:rsid w:val="00CF752C"/>
    <w:rsid w:val="00D02B5C"/>
    <w:rsid w:val="00D06BEC"/>
    <w:rsid w:val="00D07E77"/>
    <w:rsid w:val="00D14834"/>
    <w:rsid w:val="00D27F0F"/>
    <w:rsid w:val="00D30C5E"/>
    <w:rsid w:val="00D329FF"/>
    <w:rsid w:val="00D34F6E"/>
    <w:rsid w:val="00D40D05"/>
    <w:rsid w:val="00D57DBC"/>
    <w:rsid w:val="00D702CC"/>
    <w:rsid w:val="00D85ED6"/>
    <w:rsid w:val="00D90D76"/>
    <w:rsid w:val="00D9125C"/>
    <w:rsid w:val="00D92F0E"/>
    <w:rsid w:val="00D94FAD"/>
    <w:rsid w:val="00D95329"/>
    <w:rsid w:val="00DA5CCE"/>
    <w:rsid w:val="00DA7C67"/>
    <w:rsid w:val="00DB1905"/>
    <w:rsid w:val="00DB560F"/>
    <w:rsid w:val="00DB7EFB"/>
    <w:rsid w:val="00DC133A"/>
    <w:rsid w:val="00DC1628"/>
    <w:rsid w:val="00DC5BEC"/>
    <w:rsid w:val="00DD315E"/>
    <w:rsid w:val="00DD65F6"/>
    <w:rsid w:val="00DE1144"/>
    <w:rsid w:val="00DE7414"/>
    <w:rsid w:val="00DF2280"/>
    <w:rsid w:val="00DF5256"/>
    <w:rsid w:val="00E044AD"/>
    <w:rsid w:val="00E04FB1"/>
    <w:rsid w:val="00E11EEF"/>
    <w:rsid w:val="00E24F24"/>
    <w:rsid w:val="00E27122"/>
    <w:rsid w:val="00E36F98"/>
    <w:rsid w:val="00E432F6"/>
    <w:rsid w:val="00E47C01"/>
    <w:rsid w:val="00E522B1"/>
    <w:rsid w:val="00E534EA"/>
    <w:rsid w:val="00E5631F"/>
    <w:rsid w:val="00E57421"/>
    <w:rsid w:val="00E60C29"/>
    <w:rsid w:val="00E67F65"/>
    <w:rsid w:val="00E73073"/>
    <w:rsid w:val="00E73619"/>
    <w:rsid w:val="00E73A62"/>
    <w:rsid w:val="00E8209E"/>
    <w:rsid w:val="00E8289F"/>
    <w:rsid w:val="00E86B76"/>
    <w:rsid w:val="00EA5A45"/>
    <w:rsid w:val="00EB0B0F"/>
    <w:rsid w:val="00EB1B09"/>
    <w:rsid w:val="00EB6EB7"/>
    <w:rsid w:val="00EC2F23"/>
    <w:rsid w:val="00ED20A1"/>
    <w:rsid w:val="00ED2E0B"/>
    <w:rsid w:val="00ED3B11"/>
    <w:rsid w:val="00EF434C"/>
    <w:rsid w:val="00EF7E4C"/>
    <w:rsid w:val="00F17CA1"/>
    <w:rsid w:val="00F338FF"/>
    <w:rsid w:val="00F35ADC"/>
    <w:rsid w:val="00F35E4E"/>
    <w:rsid w:val="00F37B72"/>
    <w:rsid w:val="00F53B89"/>
    <w:rsid w:val="00F5400A"/>
    <w:rsid w:val="00F56440"/>
    <w:rsid w:val="00F5660B"/>
    <w:rsid w:val="00F63B06"/>
    <w:rsid w:val="00F87DBD"/>
    <w:rsid w:val="00F957E3"/>
    <w:rsid w:val="00FB01B7"/>
    <w:rsid w:val="00FB1DE9"/>
    <w:rsid w:val="00FB2019"/>
    <w:rsid w:val="00FB30CC"/>
    <w:rsid w:val="00FB43A6"/>
    <w:rsid w:val="00FB6022"/>
    <w:rsid w:val="00FC6186"/>
    <w:rsid w:val="00FC687D"/>
    <w:rsid w:val="00FD2E9B"/>
    <w:rsid w:val="00FD6697"/>
    <w:rsid w:val="00FE085B"/>
    <w:rsid w:val="00FE0C78"/>
    <w:rsid w:val="00FE6451"/>
    <w:rsid w:val="00FF0A1B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2B329"/>
  <w15:docId w15:val="{B4C1854C-E7A1-4137-AE40-8DAFC29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Allen, Jennifer M</cp:lastModifiedBy>
  <cp:revision>3</cp:revision>
  <cp:lastPrinted>2018-09-12T19:25:00Z</cp:lastPrinted>
  <dcterms:created xsi:type="dcterms:W3CDTF">2020-01-27T15:07:00Z</dcterms:created>
  <dcterms:modified xsi:type="dcterms:W3CDTF">2020-01-27T15:07:00Z</dcterms:modified>
</cp:coreProperties>
</file>