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19" w:rsidRDefault="00441B19" w:rsidP="00A00A40">
      <w:pPr>
        <w:pStyle w:val="Title"/>
        <w:tabs>
          <w:tab w:val="left" w:pos="1980"/>
        </w:tabs>
        <w:jc w:val="left"/>
        <w:rPr>
          <w:rFonts w:ascii="Arial Black" w:hAnsi="Arial Black"/>
          <w:b w:val="0"/>
          <w:sz w:val="24"/>
        </w:rPr>
      </w:pPr>
      <w:r>
        <w:rPr>
          <w:rFonts w:ascii="Arial Black" w:hAnsi="Arial Black"/>
          <w:noProof/>
        </w:rPr>
        <w:drawing>
          <wp:inline distT="0" distB="0" distL="0" distR="0" wp14:anchorId="4B268101" wp14:editId="1F2FD2DD">
            <wp:extent cx="1508125" cy="612140"/>
            <wp:effectExtent l="19050" t="19050" r="15875" b="16510"/>
            <wp:docPr id="2" name="Picture 2" descr="MassHealt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125" cy="612140"/>
                    </a:xfrm>
                    <a:prstGeom prst="rect">
                      <a:avLst/>
                    </a:prstGeom>
                    <a:noFill/>
                    <a:ln w="9525">
                      <a:solidFill>
                        <a:srgbClr val="000000"/>
                      </a:solidFill>
                      <a:miter lim="800000"/>
                      <a:headEnd/>
                      <a:tailEnd/>
                    </a:ln>
                  </pic:spPr>
                </pic:pic>
              </a:graphicData>
            </a:graphic>
          </wp:inline>
        </w:drawing>
      </w:r>
      <w:r>
        <w:rPr>
          <w:rFonts w:ascii="Arial Black" w:hAnsi="Arial Black"/>
          <w:b w:val="0"/>
          <w:sz w:val="24"/>
        </w:rPr>
        <w:t xml:space="preserve"> </w:t>
      </w:r>
      <w:r>
        <w:rPr>
          <w:rFonts w:ascii="Arial Black" w:hAnsi="Arial Black"/>
          <w:noProof/>
        </w:rPr>
        <w:drawing>
          <wp:inline distT="0" distB="0" distL="0" distR="0" wp14:anchorId="352EB5BE" wp14:editId="5BFF1536">
            <wp:extent cx="2280285" cy="653415"/>
            <wp:effectExtent l="0" t="0" r="5715" b="0"/>
            <wp:docPr id="1" name="Picture 1" descr="Commonwealth Medecin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80285" cy="653415"/>
                    </a:xfrm>
                    <a:prstGeom prst="rect">
                      <a:avLst/>
                    </a:prstGeom>
                    <a:noFill/>
                    <a:ln w="9525">
                      <a:noFill/>
                      <a:miter lim="800000"/>
                      <a:headEnd/>
                      <a:tailEnd/>
                    </a:ln>
                  </pic:spPr>
                </pic:pic>
              </a:graphicData>
            </a:graphic>
          </wp:inline>
        </w:drawing>
      </w:r>
    </w:p>
    <w:p w:rsidR="00441B19" w:rsidRPr="00E04FB1" w:rsidRDefault="00441B19" w:rsidP="00A00A40">
      <w:pPr>
        <w:pStyle w:val="Title"/>
        <w:tabs>
          <w:tab w:val="left" w:pos="1980"/>
        </w:tabs>
        <w:jc w:val="left"/>
        <w:rPr>
          <w:rFonts w:ascii="Arial Black" w:hAnsi="Arial Black"/>
          <w:b w:val="0"/>
          <w:sz w:val="24"/>
        </w:rPr>
      </w:pPr>
      <w:r w:rsidRPr="00E04FB1">
        <w:rPr>
          <w:rFonts w:ascii="Arial Black" w:hAnsi="Arial Black"/>
          <w:b w:val="0"/>
          <w:sz w:val="24"/>
        </w:rPr>
        <w:t>Minutes</w:t>
      </w:r>
    </w:p>
    <w:p w:rsidR="00441B19" w:rsidRPr="00E04FB1" w:rsidRDefault="00441B19" w:rsidP="00A00A40">
      <w:pPr>
        <w:pStyle w:val="Title"/>
        <w:tabs>
          <w:tab w:val="left" w:pos="1980"/>
        </w:tabs>
        <w:jc w:val="left"/>
        <w:rPr>
          <w:rFonts w:ascii="Arial Black" w:hAnsi="Arial Black"/>
          <w:sz w:val="24"/>
        </w:rPr>
      </w:pPr>
      <w:r w:rsidRPr="00E04FB1">
        <w:rPr>
          <w:rFonts w:ascii="Arial Black" w:hAnsi="Arial Black"/>
          <w:sz w:val="24"/>
        </w:rPr>
        <w:t>Drug Utilization Review Board Meeting</w:t>
      </w:r>
    </w:p>
    <w:p w:rsidR="00441B19" w:rsidRPr="008A420F" w:rsidRDefault="00441B19" w:rsidP="00A00A40">
      <w:pPr>
        <w:pStyle w:val="Title"/>
        <w:tabs>
          <w:tab w:val="left" w:pos="1980"/>
        </w:tabs>
        <w:jc w:val="left"/>
        <w:rPr>
          <w:rFonts w:ascii="Calibri" w:hAnsi="Calibri" w:cs="Arial"/>
          <w:b w:val="0"/>
          <w:sz w:val="24"/>
        </w:rPr>
      </w:pPr>
      <w:r w:rsidRPr="00E04FB1">
        <w:rPr>
          <w:rFonts w:ascii="Arial Black" w:hAnsi="Arial Black"/>
          <w:b w:val="0"/>
          <w:sz w:val="24"/>
        </w:rPr>
        <w:t>DATE:</w:t>
      </w:r>
      <w:r w:rsidRPr="00E04FB1">
        <w:rPr>
          <w:rFonts w:ascii="Calibri" w:hAnsi="Calibri" w:cs="Arial"/>
          <w:b w:val="0"/>
          <w:sz w:val="24"/>
        </w:rPr>
        <w:t xml:space="preserve"> </w:t>
      </w:r>
      <w:r>
        <w:rPr>
          <w:rFonts w:ascii="Calibri" w:hAnsi="Calibri" w:cs="Arial"/>
          <w:b w:val="0"/>
          <w:sz w:val="24"/>
        </w:rPr>
        <w:t>9/12/2018</w:t>
      </w:r>
    </w:p>
    <w:p w:rsidR="00441B19" w:rsidRPr="00CE260E" w:rsidRDefault="00441B19" w:rsidP="00441B19">
      <w:pPr>
        <w:pStyle w:val="Title"/>
        <w:tabs>
          <w:tab w:val="left" w:pos="1980"/>
        </w:tabs>
        <w:jc w:val="left"/>
        <w:rPr>
          <w:sz w:val="24"/>
        </w:rPr>
      </w:pPr>
    </w:p>
    <w:p w:rsidR="00B375EB" w:rsidRPr="006F37B9" w:rsidRDefault="00B375EB" w:rsidP="00B375EB">
      <w:pPr>
        <w:pStyle w:val="Header"/>
        <w:tabs>
          <w:tab w:val="left" w:pos="2610"/>
        </w:tabs>
        <w:overflowPunct/>
        <w:rPr>
          <w:rFonts w:cs="Arial"/>
          <w:bCs/>
          <w:color w:val="000000"/>
          <w:sz w:val="22"/>
          <w:szCs w:val="22"/>
        </w:rPr>
      </w:pPr>
      <w:r w:rsidRPr="006F37B9">
        <w:rPr>
          <w:rFonts w:cs="Arial"/>
          <w:b/>
          <w:bCs/>
          <w:color w:val="000000"/>
          <w:sz w:val="22"/>
          <w:szCs w:val="22"/>
        </w:rPr>
        <w:t xml:space="preserve">Meeting Purpose: </w:t>
      </w:r>
      <w:r w:rsidRPr="006F37B9">
        <w:rPr>
          <w:rFonts w:cs="Arial"/>
          <w:bCs/>
          <w:color w:val="000000"/>
          <w:sz w:val="22"/>
          <w:szCs w:val="22"/>
        </w:rPr>
        <w:t xml:space="preserve">Quarterly Open Board Meeting </w:t>
      </w:r>
    </w:p>
    <w:p w:rsidR="00B375EB" w:rsidRPr="006F37B9" w:rsidRDefault="00B375EB" w:rsidP="00B375EB">
      <w:pPr>
        <w:pStyle w:val="Header"/>
        <w:tabs>
          <w:tab w:val="left" w:pos="2610"/>
        </w:tabs>
        <w:overflowPunct/>
        <w:rPr>
          <w:rFonts w:cs="Arial"/>
          <w:bCs/>
          <w:color w:val="000000"/>
          <w:sz w:val="22"/>
          <w:szCs w:val="22"/>
        </w:rPr>
      </w:pPr>
      <w:r w:rsidRPr="006F37B9">
        <w:rPr>
          <w:rFonts w:cs="Arial"/>
          <w:bCs/>
          <w:color w:val="000000"/>
          <w:sz w:val="22"/>
          <w:szCs w:val="22"/>
        </w:rPr>
        <w:t xml:space="preserve">Meeting opened at 6:00 </w:t>
      </w:r>
      <w:r w:rsidR="00BB6701">
        <w:rPr>
          <w:rFonts w:cs="Arial"/>
          <w:bCs/>
          <w:color w:val="000000"/>
          <w:sz w:val="22"/>
          <w:szCs w:val="22"/>
        </w:rPr>
        <w:t>p.m.</w:t>
      </w:r>
      <w:r w:rsidRPr="006F37B9">
        <w:rPr>
          <w:rFonts w:cs="Arial"/>
          <w:bCs/>
          <w:color w:val="000000"/>
          <w:sz w:val="22"/>
          <w:szCs w:val="22"/>
        </w:rPr>
        <w:t xml:space="preserve"> by </w:t>
      </w:r>
      <w:r>
        <w:rPr>
          <w:rFonts w:cs="Arial"/>
          <w:bCs/>
          <w:color w:val="000000"/>
          <w:sz w:val="22"/>
          <w:szCs w:val="22"/>
        </w:rPr>
        <w:t xml:space="preserve">Standing in for </w:t>
      </w:r>
      <w:r w:rsidRPr="006F37B9">
        <w:rPr>
          <w:rFonts w:cs="Arial"/>
          <w:bCs/>
          <w:color w:val="000000"/>
          <w:sz w:val="22"/>
          <w:szCs w:val="22"/>
        </w:rPr>
        <w:t xml:space="preserve">Chair, </w:t>
      </w:r>
      <w:r>
        <w:rPr>
          <w:rFonts w:cs="Arial"/>
          <w:bCs/>
          <w:color w:val="000000"/>
          <w:sz w:val="22"/>
          <w:szCs w:val="22"/>
        </w:rPr>
        <w:t>Sara McGee.</w:t>
      </w:r>
    </w:p>
    <w:p w:rsidR="00B375EB" w:rsidRPr="006F37B9" w:rsidRDefault="00B375EB" w:rsidP="00B375EB">
      <w:pPr>
        <w:pStyle w:val="Header"/>
        <w:tabs>
          <w:tab w:val="left" w:pos="2610"/>
        </w:tabs>
        <w:overflowPunct/>
        <w:rPr>
          <w:rFonts w:cs="Arial"/>
          <w:bCs/>
          <w:color w:val="000000"/>
          <w:sz w:val="22"/>
          <w:szCs w:val="22"/>
        </w:rPr>
      </w:pPr>
    </w:p>
    <w:p w:rsidR="00B375EB" w:rsidRPr="006F37B9" w:rsidRDefault="00B375EB" w:rsidP="00B375EB">
      <w:pPr>
        <w:pStyle w:val="Header"/>
        <w:tabs>
          <w:tab w:val="left" w:pos="2610"/>
        </w:tabs>
        <w:overflowPunct/>
        <w:rPr>
          <w:rFonts w:cs="Arial"/>
          <w:bCs/>
          <w:color w:val="000000"/>
          <w:sz w:val="22"/>
          <w:szCs w:val="22"/>
        </w:rPr>
      </w:pPr>
      <w:r w:rsidRPr="006F37B9">
        <w:rPr>
          <w:rFonts w:cs="Arial"/>
          <w:b/>
          <w:bCs/>
          <w:color w:val="000000"/>
          <w:sz w:val="22"/>
          <w:szCs w:val="22"/>
        </w:rPr>
        <w:t xml:space="preserve">Attendance: </w:t>
      </w:r>
      <w:r>
        <w:rPr>
          <w:rFonts w:cs="Arial"/>
          <w:bCs/>
          <w:color w:val="000000"/>
          <w:sz w:val="22"/>
          <w:szCs w:val="22"/>
        </w:rPr>
        <w:t xml:space="preserve">Joel Goldstein, M.D.; Colleen Labelle, MSN, RN-BC, CARN; Lori Lewicki, R.Ph.; Greg Low, </w:t>
      </w:r>
      <w:r w:rsidRPr="00633747">
        <w:rPr>
          <w:rFonts w:cs="Arial"/>
          <w:bCs/>
          <w:color w:val="000000"/>
          <w:sz w:val="22"/>
          <w:szCs w:val="22"/>
        </w:rPr>
        <w:t>R.Ph., PhD</w:t>
      </w:r>
      <w:r>
        <w:rPr>
          <w:rFonts w:cs="Arial"/>
          <w:bCs/>
          <w:color w:val="000000"/>
          <w:sz w:val="22"/>
          <w:szCs w:val="22"/>
        </w:rPr>
        <w:t>; M.D.;</w:t>
      </w:r>
      <w:r w:rsidRPr="006F37B9">
        <w:rPr>
          <w:rFonts w:cs="Arial"/>
          <w:bCs/>
          <w:color w:val="000000"/>
          <w:sz w:val="22"/>
          <w:szCs w:val="22"/>
        </w:rPr>
        <w:t xml:space="preserve"> Sarah M. McGee, M.D.;</w:t>
      </w:r>
      <w:r w:rsidRPr="008A420F">
        <w:rPr>
          <w:rFonts w:cs="Arial"/>
          <w:bCs/>
          <w:color w:val="000000"/>
          <w:sz w:val="22"/>
          <w:szCs w:val="22"/>
        </w:rPr>
        <w:t xml:space="preserve"> </w:t>
      </w:r>
      <w:r w:rsidRPr="006F37B9">
        <w:rPr>
          <w:rFonts w:cs="Arial"/>
          <w:bCs/>
          <w:color w:val="000000"/>
          <w:sz w:val="22"/>
          <w:szCs w:val="22"/>
        </w:rPr>
        <w:t>Christy Stine, M.D.</w:t>
      </w:r>
      <w:r>
        <w:rPr>
          <w:rFonts w:cs="Arial"/>
          <w:bCs/>
          <w:color w:val="000000"/>
          <w:sz w:val="22"/>
          <w:szCs w:val="22"/>
        </w:rPr>
        <w:t>;</w:t>
      </w:r>
      <w:r w:rsidRPr="0091157C">
        <w:rPr>
          <w:rFonts w:cs="Arial"/>
          <w:bCs/>
          <w:color w:val="000000"/>
          <w:sz w:val="22"/>
          <w:szCs w:val="22"/>
        </w:rPr>
        <w:t xml:space="preserve"> </w:t>
      </w:r>
      <w:r w:rsidR="00BB6701">
        <w:rPr>
          <w:rFonts w:cs="Arial"/>
          <w:bCs/>
          <w:color w:val="000000"/>
          <w:sz w:val="22"/>
          <w:szCs w:val="22"/>
        </w:rPr>
        <w:t xml:space="preserve">and </w:t>
      </w:r>
      <w:r>
        <w:rPr>
          <w:rFonts w:cs="Arial"/>
          <w:bCs/>
          <w:color w:val="000000"/>
          <w:sz w:val="22"/>
          <w:szCs w:val="22"/>
        </w:rPr>
        <w:t>Michael Thompson, M.D.</w:t>
      </w:r>
    </w:p>
    <w:p w:rsidR="00B375EB" w:rsidRPr="006F37B9" w:rsidRDefault="00B375EB" w:rsidP="00B375EB">
      <w:pPr>
        <w:pStyle w:val="Header"/>
        <w:tabs>
          <w:tab w:val="left" w:pos="2610"/>
        </w:tabs>
        <w:overflowPunct/>
        <w:rPr>
          <w:rFonts w:cs="Arial"/>
          <w:bCs/>
          <w:color w:val="000000"/>
          <w:sz w:val="22"/>
          <w:szCs w:val="22"/>
        </w:rPr>
      </w:pPr>
    </w:p>
    <w:p w:rsidR="00B375EB" w:rsidRPr="006F37B9" w:rsidRDefault="00B375EB" w:rsidP="00B375EB">
      <w:pPr>
        <w:pStyle w:val="Header"/>
        <w:tabs>
          <w:tab w:val="left" w:pos="2610"/>
        </w:tabs>
        <w:overflowPunct/>
        <w:rPr>
          <w:rFonts w:cs="Arial"/>
          <w:bCs/>
          <w:color w:val="000000"/>
          <w:sz w:val="22"/>
          <w:szCs w:val="22"/>
        </w:rPr>
      </w:pPr>
      <w:r w:rsidRPr="006F37B9">
        <w:rPr>
          <w:rFonts w:cs="Arial"/>
          <w:b/>
          <w:bCs/>
          <w:color w:val="000000"/>
          <w:sz w:val="22"/>
          <w:szCs w:val="22"/>
        </w:rPr>
        <w:t xml:space="preserve">Absent:  </w:t>
      </w:r>
      <w:r>
        <w:rPr>
          <w:rFonts w:cs="Arial"/>
          <w:bCs/>
          <w:color w:val="000000"/>
          <w:sz w:val="22"/>
          <w:szCs w:val="22"/>
        </w:rPr>
        <w:t xml:space="preserve">Timothy Fensky, R.Ph; Audra R. Meadows, </w:t>
      </w:r>
      <w:r w:rsidRPr="006F37B9">
        <w:rPr>
          <w:rFonts w:cs="Arial"/>
          <w:bCs/>
          <w:color w:val="000000"/>
          <w:sz w:val="22"/>
          <w:szCs w:val="22"/>
        </w:rPr>
        <w:t>Sophie McIntyre</w:t>
      </w:r>
      <w:r>
        <w:rPr>
          <w:rFonts w:cs="Arial"/>
          <w:bCs/>
          <w:color w:val="000000"/>
          <w:sz w:val="22"/>
          <w:szCs w:val="22"/>
        </w:rPr>
        <w:t>, Pharm.D; Therese Mulvey, M.D.; Karen Ryle, M.S., R.Ph;</w:t>
      </w:r>
      <w:r w:rsidR="00BB6701">
        <w:rPr>
          <w:rFonts w:cs="Arial"/>
          <w:bCs/>
          <w:color w:val="000000"/>
          <w:sz w:val="22"/>
          <w:szCs w:val="22"/>
        </w:rPr>
        <w:t xml:space="preserve"> and</w:t>
      </w:r>
      <w:r>
        <w:rPr>
          <w:rFonts w:cs="Arial"/>
          <w:bCs/>
          <w:color w:val="000000"/>
          <w:sz w:val="22"/>
          <w:szCs w:val="22"/>
        </w:rPr>
        <w:t xml:space="preserve"> </w:t>
      </w:r>
      <w:r w:rsidRPr="006F37B9">
        <w:rPr>
          <w:rFonts w:cs="Arial"/>
          <w:bCs/>
          <w:color w:val="000000"/>
          <w:sz w:val="22"/>
          <w:szCs w:val="22"/>
        </w:rPr>
        <w:t>Arthur Yu-shin Kim, M.D.</w:t>
      </w:r>
    </w:p>
    <w:p w:rsidR="00B375EB" w:rsidRPr="006F37B9" w:rsidRDefault="00B375EB" w:rsidP="00B375EB">
      <w:pPr>
        <w:pStyle w:val="Header"/>
        <w:tabs>
          <w:tab w:val="left" w:pos="2610"/>
        </w:tabs>
        <w:overflowPunct/>
        <w:rPr>
          <w:rFonts w:cs="Arial"/>
          <w:bCs/>
          <w:color w:val="000000"/>
          <w:sz w:val="22"/>
          <w:szCs w:val="22"/>
        </w:rPr>
      </w:pPr>
    </w:p>
    <w:p w:rsidR="00B375EB" w:rsidRPr="006F37B9" w:rsidRDefault="00B375EB" w:rsidP="00B375EB">
      <w:pPr>
        <w:pStyle w:val="Header"/>
        <w:tabs>
          <w:tab w:val="left" w:pos="2610"/>
        </w:tabs>
        <w:overflowPunct/>
        <w:rPr>
          <w:rFonts w:cs="Arial"/>
          <w:b/>
          <w:bCs/>
          <w:color w:val="000000"/>
          <w:sz w:val="22"/>
          <w:szCs w:val="22"/>
        </w:rPr>
      </w:pPr>
      <w:r w:rsidRPr="006F37B9">
        <w:rPr>
          <w:rFonts w:cs="Arial"/>
          <w:b/>
          <w:bCs/>
          <w:color w:val="000000"/>
          <w:sz w:val="22"/>
          <w:szCs w:val="22"/>
        </w:rPr>
        <w:t>Agenda Items:</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sidRPr="006F37B9">
        <w:rPr>
          <w:rFonts w:cs="Arial"/>
          <w:bCs/>
          <w:color w:val="000000"/>
          <w:sz w:val="22"/>
          <w:szCs w:val="22"/>
        </w:rPr>
        <w:t>Welcome and Introductory Remarks</w:t>
      </w:r>
    </w:p>
    <w:p w:rsidR="00B375EB" w:rsidRPr="003D2462"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Guest Forum</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Pipeline</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Hepatitis C Clinical Update</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Minutes</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Preferred Products Agents Overview</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Librax (chlordiazepoxide/clidinium) Quality Assurance Analysis</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MassHealth Update</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DUR Operational Update</w:t>
      </w:r>
    </w:p>
    <w:p w:rsidR="00B375EB" w:rsidRDefault="00B375EB" w:rsidP="00B375E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Hereditary Angioedema Agents Quality Assurance</w:t>
      </w:r>
    </w:p>
    <w:tbl>
      <w:tblPr>
        <w:tblStyle w:val="TableGrid"/>
        <w:tblpPr w:leftFromText="180" w:rightFromText="180" w:vertAnchor="text" w:horzAnchor="margin" w:tblpY="8"/>
        <w:tblW w:w="0" w:type="auto"/>
        <w:tblLook w:val="04A0" w:firstRow="1" w:lastRow="0" w:firstColumn="1" w:lastColumn="0" w:noHBand="0" w:noVBand="1"/>
        <w:tblCaption w:val="Testimony"/>
        <w:tblDescription w:val="Testimony by Pharmaceutical Representative"/>
      </w:tblPr>
      <w:tblGrid>
        <w:gridCol w:w="2115"/>
        <w:gridCol w:w="8319"/>
        <w:gridCol w:w="2516"/>
      </w:tblGrid>
      <w:tr w:rsidR="00B375EB" w:rsidRPr="00421B1F" w:rsidTr="009E2298">
        <w:trPr>
          <w:tblHeader/>
        </w:trPr>
        <w:tc>
          <w:tcPr>
            <w:tcW w:w="2115"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319" w:type="dxa"/>
            <w:shd w:val="clear" w:color="auto" w:fill="000000" w:themeFill="text1"/>
          </w:tcPr>
          <w:p w:rsidR="00B375EB" w:rsidRPr="00421B1F" w:rsidRDefault="00B375EB" w:rsidP="00A00A40">
            <w:pPr>
              <w:rPr>
                <w:b/>
              </w:rPr>
            </w:pPr>
            <w:r w:rsidRPr="00421B1F">
              <w:rPr>
                <w:b/>
              </w:rPr>
              <w:t>Discussion</w:t>
            </w:r>
          </w:p>
        </w:tc>
        <w:tc>
          <w:tcPr>
            <w:tcW w:w="2516"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15" w:type="dxa"/>
          </w:tcPr>
          <w:p w:rsidR="00B375EB" w:rsidRDefault="00B375EB" w:rsidP="00A00A40">
            <w:pPr>
              <w:rPr>
                <w:b/>
                <w:sz w:val="18"/>
              </w:rPr>
            </w:pPr>
          </w:p>
          <w:p w:rsidR="00B375EB" w:rsidRPr="0065087B" w:rsidRDefault="00B375EB" w:rsidP="00A00A40">
            <w:pPr>
              <w:rPr>
                <w:b/>
              </w:rPr>
            </w:pPr>
            <w:r w:rsidRPr="0065087B">
              <w:rPr>
                <w:b/>
              </w:rPr>
              <w:t>Guest Forum</w:t>
            </w:r>
          </w:p>
          <w:p w:rsidR="00B375EB" w:rsidRPr="009552D3" w:rsidRDefault="00B375EB" w:rsidP="00A00A40">
            <w:pPr>
              <w:rPr>
                <w:b/>
              </w:rPr>
            </w:pPr>
          </w:p>
        </w:tc>
        <w:tc>
          <w:tcPr>
            <w:tcW w:w="8319" w:type="dxa"/>
          </w:tcPr>
          <w:p w:rsidR="00B375EB" w:rsidRDefault="00B375EB" w:rsidP="00A00A40"/>
          <w:p w:rsidR="00B375EB" w:rsidRDefault="00B375EB" w:rsidP="00A00A40">
            <w:pPr>
              <w:pStyle w:val="Title"/>
              <w:jc w:val="left"/>
              <w:rPr>
                <w:b w:val="0"/>
                <w:u w:val="single"/>
              </w:rPr>
            </w:pPr>
            <w:r>
              <w:rPr>
                <w:b w:val="0"/>
                <w:u w:val="single"/>
              </w:rPr>
              <w:t xml:space="preserve">Pharmaceutical Representative Testimony </w:t>
            </w:r>
          </w:p>
          <w:p w:rsidR="00B375EB" w:rsidRPr="00C744AF" w:rsidRDefault="00B375EB" w:rsidP="00441B19">
            <w:pPr>
              <w:pStyle w:val="Title"/>
              <w:ind w:left="201"/>
              <w:jc w:val="left"/>
              <w:rPr>
                <w:b w:val="0"/>
              </w:rPr>
            </w:pPr>
            <w:r>
              <w:rPr>
                <w:b w:val="0"/>
              </w:rPr>
              <w:t xml:space="preserve">Dr. William Baker – </w:t>
            </w:r>
            <w:r w:rsidR="0042459D">
              <w:rPr>
                <w:b w:val="0"/>
              </w:rPr>
              <w:t>Senior Medical</w:t>
            </w:r>
            <w:r>
              <w:rPr>
                <w:b w:val="0"/>
              </w:rPr>
              <w:t xml:space="preserve"> Science Liaison II, Genetic Diseases, Shire Pharmaceuticals, LLC.</w:t>
            </w:r>
          </w:p>
        </w:tc>
        <w:tc>
          <w:tcPr>
            <w:tcW w:w="2516" w:type="dxa"/>
          </w:tcPr>
          <w:p w:rsidR="00B375EB" w:rsidRDefault="00B375EB" w:rsidP="00A00A40"/>
          <w:p w:rsidR="00B375EB" w:rsidRPr="00425D75" w:rsidRDefault="00B375EB" w:rsidP="00A00A40">
            <w:pPr>
              <w:rPr>
                <w:b/>
                <w:u w:val="single"/>
              </w:rPr>
            </w:pPr>
            <w:r w:rsidRPr="00760FE3">
              <w:rPr>
                <w:b/>
                <w:u w:val="single"/>
              </w:rPr>
              <w:t>Follow Up</w:t>
            </w:r>
          </w:p>
          <w:p w:rsidR="00B375EB" w:rsidRDefault="00B375EB" w:rsidP="00A00A40">
            <w:r>
              <w:t>Informational/Advisory</w:t>
            </w:r>
            <w:r w:rsidRPr="00760FE3">
              <w:rPr>
                <w:b/>
                <w:u w:val="single"/>
              </w:rPr>
              <w:t xml:space="preserve"> </w:t>
            </w:r>
          </w:p>
        </w:tc>
      </w:tr>
      <w:tr w:rsidR="00B375EB" w:rsidTr="00A00A40">
        <w:tc>
          <w:tcPr>
            <w:tcW w:w="2115" w:type="dxa"/>
          </w:tcPr>
          <w:p w:rsidR="00B375EB" w:rsidRPr="009552D3" w:rsidRDefault="00B375EB" w:rsidP="00A00A40">
            <w:pPr>
              <w:rPr>
                <w:b/>
              </w:rPr>
            </w:pPr>
            <w:r w:rsidRPr="009552D3">
              <w:rPr>
                <w:b/>
              </w:rPr>
              <w:t>Action</w:t>
            </w:r>
          </w:p>
        </w:tc>
        <w:tc>
          <w:tcPr>
            <w:tcW w:w="8319" w:type="dxa"/>
          </w:tcPr>
          <w:p w:rsidR="00B375EB" w:rsidRDefault="00B375EB" w:rsidP="00A00A40">
            <w:r>
              <w:t>Discussion:</w:t>
            </w:r>
          </w:p>
          <w:p w:rsidR="00B375EB" w:rsidRPr="00E534EA" w:rsidRDefault="00B375EB" w:rsidP="00441B19">
            <w:pPr>
              <w:pStyle w:val="Title"/>
              <w:jc w:val="left"/>
              <w:rPr>
                <w:b w:val="0"/>
              </w:rPr>
            </w:pPr>
            <w:proofErr w:type="gramStart"/>
            <w:r>
              <w:rPr>
                <w:b w:val="0"/>
              </w:rPr>
              <w:t xml:space="preserve">Information regarding </w:t>
            </w:r>
            <w:proofErr w:type="spellStart"/>
            <w:r>
              <w:rPr>
                <w:b w:val="0"/>
              </w:rPr>
              <w:t>Takhzyro</w:t>
            </w:r>
            <w:proofErr w:type="spellEnd"/>
            <w:r>
              <w:rPr>
                <w:b w:val="0"/>
              </w:rPr>
              <w:t xml:space="preserve"> (</w:t>
            </w:r>
            <w:proofErr w:type="spellStart"/>
            <w:r>
              <w:rPr>
                <w:b w:val="0"/>
              </w:rPr>
              <w:t>lanadelumab-flyo</w:t>
            </w:r>
            <w:proofErr w:type="spellEnd"/>
            <w:r>
              <w:rPr>
                <w:b w:val="0"/>
              </w:rPr>
              <w:t>) injection for Hereditary Angioedema, which is curre</w:t>
            </w:r>
            <w:r w:rsidR="00441B19">
              <w:rPr>
                <w:b w:val="0"/>
              </w:rPr>
              <w:t>ntly being reviewed by the FDA.</w:t>
            </w:r>
            <w:proofErr w:type="gramEnd"/>
          </w:p>
        </w:tc>
        <w:tc>
          <w:tcPr>
            <w:tcW w:w="2516" w:type="dxa"/>
          </w:tcPr>
          <w:p w:rsidR="00B375EB" w:rsidRPr="009A59E5" w:rsidRDefault="00B375EB" w:rsidP="00A00A40">
            <w:pPr>
              <w:rPr>
                <w:b/>
                <w:u w:val="single"/>
              </w:rPr>
            </w:pPr>
            <w:r w:rsidRPr="009A59E5">
              <w:rPr>
                <w:b/>
                <w:u w:val="single"/>
              </w:rPr>
              <w:t>Conclusion</w:t>
            </w:r>
          </w:p>
          <w:p w:rsidR="00B375EB" w:rsidRPr="00760FE3" w:rsidRDefault="00B375EB" w:rsidP="00441B19">
            <w:pPr>
              <w:rPr>
                <w:b/>
                <w:u w:val="single"/>
              </w:rPr>
            </w:pPr>
            <w:r w:rsidRPr="009A59E5">
              <w:t>Informational</w:t>
            </w:r>
            <w:r>
              <w:t>/Advisory</w:t>
            </w:r>
          </w:p>
        </w:tc>
      </w:tr>
    </w:tbl>
    <w:tbl>
      <w:tblPr>
        <w:tblStyle w:val="TableGrid"/>
        <w:tblW w:w="0" w:type="auto"/>
        <w:tblLook w:val="04A0" w:firstRow="1" w:lastRow="0" w:firstColumn="1" w:lastColumn="0" w:noHBand="0" w:noVBand="1"/>
        <w:tblCaption w:val="Pipeline Update"/>
        <w:tblDescription w:val="Update about pharmaceutical pipeline agents."/>
      </w:tblPr>
      <w:tblGrid>
        <w:gridCol w:w="2115"/>
        <w:gridCol w:w="8319"/>
        <w:gridCol w:w="2516"/>
      </w:tblGrid>
      <w:tr w:rsidR="00B375EB" w:rsidRPr="00421B1F" w:rsidTr="009E2298">
        <w:trPr>
          <w:tblHeader/>
        </w:trPr>
        <w:tc>
          <w:tcPr>
            <w:tcW w:w="2115" w:type="dxa"/>
            <w:shd w:val="clear" w:color="auto" w:fill="000000" w:themeFill="text1"/>
          </w:tcPr>
          <w:p w:rsidR="00B375EB" w:rsidRPr="00421B1F" w:rsidRDefault="00B375EB" w:rsidP="00A00A40">
            <w:pPr>
              <w:rPr>
                <w:b/>
                <w:color w:val="FFFFFF" w:themeColor="background1"/>
              </w:rPr>
            </w:pPr>
            <w:bookmarkStart w:id="0" w:name="_GoBack"/>
            <w:bookmarkEnd w:id="0"/>
            <w:r w:rsidRPr="00421B1F">
              <w:rPr>
                <w:b/>
                <w:color w:val="FFFFFF" w:themeColor="background1"/>
              </w:rPr>
              <w:lastRenderedPageBreak/>
              <w:t>Agenda Item</w:t>
            </w:r>
          </w:p>
        </w:tc>
        <w:tc>
          <w:tcPr>
            <w:tcW w:w="8319" w:type="dxa"/>
            <w:shd w:val="clear" w:color="auto" w:fill="000000" w:themeFill="text1"/>
          </w:tcPr>
          <w:p w:rsidR="00B375EB" w:rsidRPr="00421B1F" w:rsidRDefault="00B375EB" w:rsidP="00A00A40">
            <w:pPr>
              <w:rPr>
                <w:b/>
              </w:rPr>
            </w:pPr>
            <w:r w:rsidRPr="00421B1F">
              <w:rPr>
                <w:b/>
              </w:rPr>
              <w:t>Discussion</w:t>
            </w:r>
          </w:p>
        </w:tc>
        <w:tc>
          <w:tcPr>
            <w:tcW w:w="2516"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15" w:type="dxa"/>
          </w:tcPr>
          <w:p w:rsidR="00B375EB" w:rsidRPr="009552D3" w:rsidRDefault="00B375EB" w:rsidP="00A00A40">
            <w:pPr>
              <w:rPr>
                <w:b/>
              </w:rPr>
            </w:pPr>
            <w:r>
              <w:rPr>
                <w:b/>
              </w:rPr>
              <w:t>Pipeline Update Summary</w:t>
            </w:r>
          </w:p>
          <w:p w:rsidR="00B375EB" w:rsidRPr="009552D3" w:rsidRDefault="00B375EB" w:rsidP="00A00A40">
            <w:pPr>
              <w:rPr>
                <w:b/>
              </w:rPr>
            </w:pPr>
          </w:p>
        </w:tc>
        <w:tc>
          <w:tcPr>
            <w:tcW w:w="8319" w:type="dxa"/>
          </w:tcPr>
          <w:p w:rsidR="00B375EB" w:rsidRPr="00504713" w:rsidRDefault="00B375EB" w:rsidP="00A00A40">
            <w:pPr>
              <w:rPr>
                <w:u w:val="single"/>
              </w:rPr>
            </w:pPr>
            <w:r w:rsidRPr="00504713">
              <w:rPr>
                <w:u w:val="single"/>
              </w:rPr>
              <w:t xml:space="preserve">Presentation given by </w:t>
            </w:r>
            <w:r>
              <w:rPr>
                <w:u w:val="single"/>
              </w:rPr>
              <w:t>Kaelyn Boss</w:t>
            </w:r>
          </w:p>
          <w:p w:rsidR="00B375EB" w:rsidRDefault="00B375EB" w:rsidP="00A00A40">
            <w:pPr>
              <w:pStyle w:val="Title"/>
              <w:jc w:val="left"/>
            </w:pPr>
          </w:p>
        </w:tc>
        <w:tc>
          <w:tcPr>
            <w:tcW w:w="2516" w:type="dxa"/>
          </w:tcPr>
          <w:p w:rsidR="00B375EB" w:rsidRPr="00425D75" w:rsidRDefault="00B375EB" w:rsidP="00A00A40">
            <w:pPr>
              <w:rPr>
                <w:b/>
                <w:u w:val="single"/>
              </w:rPr>
            </w:pPr>
            <w:r w:rsidRPr="00760FE3">
              <w:rPr>
                <w:b/>
                <w:u w:val="single"/>
              </w:rPr>
              <w:t>Follow Up</w:t>
            </w:r>
          </w:p>
          <w:p w:rsidR="00B375EB" w:rsidRDefault="00B375EB" w:rsidP="00A00A40">
            <w:r>
              <w:t>Informational/Advisory</w:t>
            </w:r>
            <w:r w:rsidRPr="00760FE3">
              <w:rPr>
                <w:b/>
                <w:u w:val="single"/>
              </w:rPr>
              <w:t xml:space="preserve"> </w:t>
            </w:r>
          </w:p>
        </w:tc>
      </w:tr>
      <w:tr w:rsidR="00B375EB" w:rsidRPr="00E22216" w:rsidTr="00A00A40">
        <w:tc>
          <w:tcPr>
            <w:tcW w:w="2115" w:type="dxa"/>
          </w:tcPr>
          <w:p w:rsidR="00B375EB" w:rsidRPr="009552D3" w:rsidRDefault="00B375EB" w:rsidP="00A00A40">
            <w:pPr>
              <w:rPr>
                <w:b/>
              </w:rPr>
            </w:pPr>
            <w:r w:rsidRPr="009552D3">
              <w:rPr>
                <w:b/>
              </w:rPr>
              <w:t>Action</w:t>
            </w:r>
          </w:p>
        </w:tc>
        <w:tc>
          <w:tcPr>
            <w:tcW w:w="8319" w:type="dxa"/>
          </w:tcPr>
          <w:p w:rsidR="00B375EB" w:rsidRPr="00E22216" w:rsidRDefault="00B375EB" w:rsidP="00A00A40">
            <w:r w:rsidRPr="00E22216">
              <w:t>Discussion:</w:t>
            </w:r>
          </w:p>
          <w:p w:rsidR="00B375EB" w:rsidRPr="00E22216" w:rsidRDefault="00B375EB" w:rsidP="00A00A40">
            <w:pPr>
              <w:pStyle w:val="Title"/>
              <w:ind w:left="386"/>
              <w:jc w:val="left"/>
              <w:rPr>
                <w:b w:val="0"/>
              </w:rPr>
            </w:pPr>
            <w:r w:rsidRPr="00E22216">
              <w:rPr>
                <w:b w:val="0"/>
              </w:rPr>
              <w:t xml:space="preserve">The </w:t>
            </w:r>
            <w:r w:rsidRPr="00E22216">
              <w:rPr>
                <w:b w:val="0"/>
                <w:iCs/>
              </w:rPr>
              <w:t>Pipeline Update</w:t>
            </w:r>
            <w:r w:rsidRPr="00E22216">
              <w:rPr>
                <w:b w:val="0"/>
              </w:rPr>
              <w:t xml:space="preserve"> provided a brief overview of clinical and/or regulatory updates regarding select pharmaceutical pipeline agents in late-stage development.</w:t>
            </w:r>
          </w:p>
          <w:p w:rsidR="00B375EB" w:rsidRPr="00E22216" w:rsidRDefault="00B375EB" w:rsidP="00A00A40">
            <w:pPr>
              <w:pStyle w:val="Title"/>
              <w:ind w:left="386"/>
              <w:jc w:val="left"/>
              <w:rPr>
                <w:b w:val="0"/>
              </w:rPr>
            </w:pPr>
          </w:p>
          <w:p w:rsidR="00B375EB" w:rsidRPr="00E22216" w:rsidRDefault="00B375EB" w:rsidP="00A00A40">
            <w:pPr>
              <w:pStyle w:val="Title"/>
              <w:ind w:left="386"/>
              <w:jc w:val="left"/>
              <w:rPr>
                <w:b w:val="0"/>
              </w:rPr>
            </w:pPr>
            <w:r w:rsidRPr="00E22216">
              <w:rPr>
                <w:b w:val="0"/>
              </w:rPr>
              <w:t xml:space="preserve">*Eligible for </w:t>
            </w:r>
            <w:r w:rsidR="00F27979">
              <w:rPr>
                <w:b w:val="0"/>
              </w:rPr>
              <w:t>one</w:t>
            </w:r>
            <w:r w:rsidRPr="00E22216">
              <w:rPr>
                <w:b w:val="0"/>
              </w:rPr>
              <w:t xml:space="preserve"> hour of Pharmacist CE credit.</w:t>
            </w:r>
          </w:p>
          <w:p w:rsidR="00B375EB" w:rsidRPr="00E22216" w:rsidRDefault="00441B19" w:rsidP="00A00A40">
            <w:pPr>
              <w:tabs>
                <w:tab w:val="left" w:pos="1066"/>
              </w:tabs>
              <w:ind w:left="-16"/>
              <w:contextualSpacing/>
              <w:rPr>
                <w:rFonts w:cs="Arial"/>
              </w:rPr>
            </w:pPr>
            <w:r>
              <w:rPr>
                <w:rFonts w:cs="Arial"/>
              </w:rPr>
              <w:t>Questions:</w:t>
            </w:r>
          </w:p>
          <w:p w:rsidR="00B375EB" w:rsidRPr="00E22216" w:rsidRDefault="00B375EB" w:rsidP="00B375EB">
            <w:pPr>
              <w:pStyle w:val="ListParagraph"/>
              <w:numPr>
                <w:ilvl w:val="0"/>
                <w:numId w:val="17"/>
              </w:numPr>
              <w:ind w:left="469"/>
            </w:pPr>
            <w:r>
              <w:rPr>
                <w:rFonts w:ascii="Arial" w:hAnsi="Arial" w:cs="Arial"/>
                <w:sz w:val="20"/>
              </w:rPr>
              <w:t>A Board member asked the route of administration for</w:t>
            </w:r>
            <w:r w:rsidR="00F27979">
              <w:rPr>
                <w:rFonts w:ascii="Arial" w:hAnsi="Arial" w:cs="Arial"/>
                <w:sz w:val="20"/>
              </w:rPr>
              <w:t xml:space="preserve"> an</w:t>
            </w:r>
            <w:r w:rsidRPr="00E22216">
              <w:rPr>
                <w:rFonts w:ascii="Arial" w:hAnsi="Arial" w:cs="Arial"/>
                <w:sz w:val="20"/>
              </w:rPr>
              <w:t xml:space="preserve"> Alzheimer’s drug</w:t>
            </w:r>
            <w:r>
              <w:rPr>
                <w:rFonts w:ascii="Arial" w:hAnsi="Arial" w:cs="Arial"/>
                <w:sz w:val="20"/>
              </w:rPr>
              <w:t xml:space="preserve">. (An injection) </w:t>
            </w:r>
          </w:p>
          <w:p w:rsidR="00B375EB" w:rsidRPr="00E22216" w:rsidRDefault="00B375EB" w:rsidP="00B375EB">
            <w:pPr>
              <w:pStyle w:val="ListParagraph"/>
              <w:numPr>
                <w:ilvl w:val="0"/>
                <w:numId w:val="17"/>
              </w:numPr>
              <w:ind w:left="469"/>
              <w:rPr>
                <w:rFonts w:ascii="Arial" w:hAnsi="Arial" w:cs="Arial"/>
                <w:sz w:val="20"/>
              </w:rPr>
            </w:pPr>
            <w:r>
              <w:rPr>
                <w:rFonts w:ascii="Arial" w:hAnsi="Arial" w:cs="Arial"/>
                <w:sz w:val="20"/>
              </w:rPr>
              <w:t>A Board member asked h</w:t>
            </w:r>
            <w:r w:rsidRPr="00E22216">
              <w:rPr>
                <w:rFonts w:ascii="Arial" w:hAnsi="Arial" w:cs="Arial"/>
                <w:sz w:val="20"/>
              </w:rPr>
              <w:t>ow Xolair</w:t>
            </w:r>
            <w:r>
              <w:rPr>
                <w:rFonts w:ascii="Arial" w:hAnsi="Arial" w:cs="Arial"/>
                <w:sz w:val="20"/>
              </w:rPr>
              <w:t xml:space="preserve"> is</w:t>
            </w:r>
            <w:r w:rsidRPr="00E22216">
              <w:rPr>
                <w:rFonts w:ascii="Arial" w:hAnsi="Arial" w:cs="Arial"/>
                <w:sz w:val="20"/>
              </w:rPr>
              <w:t xml:space="preserve"> being used </w:t>
            </w:r>
            <w:r>
              <w:rPr>
                <w:rFonts w:ascii="Arial" w:hAnsi="Arial" w:cs="Arial"/>
                <w:sz w:val="20"/>
              </w:rPr>
              <w:t>in</w:t>
            </w:r>
            <w:r w:rsidRPr="00E22216">
              <w:rPr>
                <w:rFonts w:ascii="Arial" w:hAnsi="Arial" w:cs="Arial"/>
                <w:sz w:val="20"/>
              </w:rPr>
              <w:t xml:space="preserve"> those patients who have allergies</w:t>
            </w:r>
            <w:r w:rsidR="00F27979">
              <w:rPr>
                <w:rFonts w:ascii="Arial" w:hAnsi="Arial" w:cs="Arial"/>
                <w:sz w:val="20"/>
              </w:rPr>
              <w:t>.</w:t>
            </w:r>
            <w:r>
              <w:rPr>
                <w:rFonts w:ascii="Arial" w:hAnsi="Arial" w:cs="Arial"/>
                <w:sz w:val="20"/>
              </w:rPr>
              <w:t xml:space="preserve"> (</w:t>
            </w:r>
            <w:r w:rsidR="00F27979">
              <w:rPr>
                <w:rFonts w:ascii="Arial" w:hAnsi="Arial" w:cs="Arial"/>
                <w:sz w:val="20"/>
              </w:rPr>
              <w:t xml:space="preserve">An </w:t>
            </w:r>
            <w:r>
              <w:rPr>
                <w:rFonts w:ascii="Arial" w:hAnsi="Arial" w:cs="Arial"/>
                <w:sz w:val="20"/>
              </w:rPr>
              <w:t>EpiPen would still be required</w:t>
            </w:r>
            <w:r w:rsidR="00F27979">
              <w:rPr>
                <w:rFonts w:ascii="Arial" w:hAnsi="Arial" w:cs="Arial"/>
                <w:sz w:val="20"/>
              </w:rPr>
              <w:t>,</w:t>
            </w:r>
            <w:r>
              <w:rPr>
                <w:rFonts w:ascii="Arial" w:hAnsi="Arial" w:cs="Arial"/>
                <w:sz w:val="20"/>
              </w:rPr>
              <w:t xml:space="preserve"> as Xolair does not cure food allergies</w:t>
            </w:r>
            <w:r w:rsidR="00F27979">
              <w:rPr>
                <w:rFonts w:ascii="Arial" w:hAnsi="Arial" w:cs="Arial"/>
                <w:sz w:val="20"/>
              </w:rPr>
              <w:t>.</w:t>
            </w:r>
            <w:r>
              <w:rPr>
                <w:rFonts w:ascii="Arial" w:hAnsi="Arial" w:cs="Arial"/>
                <w:sz w:val="20"/>
              </w:rPr>
              <w:t>)</w:t>
            </w:r>
          </w:p>
          <w:p w:rsidR="00B375EB" w:rsidRPr="00E22216" w:rsidRDefault="00B375EB" w:rsidP="00A00A40">
            <w:pPr>
              <w:pStyle w:val="ListParagraph"/>
              <w:ind w:left="469"/>
              <w:rPr>
                <w:rFonts w:ascii="Arial" w:hAnsi="Arial" w:cs="Arial"/>
                <w:sz w:val="20"/>
              </w:rPr>
            </w:pPr>
          </w:p>
        </w:tc>
        <w:tc>
          <w:tcPr>
            <w:tcW w:w="2516" w:type="dxa"/>
          </w:tcPr>
          <w:p w:rsidR="00B375EB" w:rsidRPr="00E22216" w:rsidRDefault="00B375EB" w:rsidP="00A00A40">
            <w:pPr>
              <w:rPr>
                <w:u w:val="single"/>
              </w:rPr>
            </w:pPr>
            <w:r w:rsidRPr="00E22216">
              <w:rPr>
                <w:u w:val="single"/>
              </w:rPr>
              <w:t>Conclusion</w:t>
            </w:r>
          </w:p>
          <w:p w:rsidR="00B375EB" w:rsidRPr="00E22216" w:rsidRDefault="00B375EB" w:rsidP="00A00A40">
            <w:r w:rsidRPr="00E22216">
              <w:t>Informational/Advisory</w:t>
            </w:r>
          </w:p>
          <w:p w:rsidR="00B375EB" w:rsidRPr="00E22216" w:rsidRDefault="00B375EB" w:rsidP="00A00A40">
            <w:pPr>
              <w:rPr>
                <w:u w:val="single"/>
              </w:rPr>
            </w:pPr>
          </w:p>
        </w:tc>
      </w:tr>
    </w:tbl>
    <w:p w:rsidR="00B375EB" w:rsidRDefault="00B375EB" w:rsidP="00B375EB"/>
    <w:tbl>
      <w:tblPr>
        <w:tblStyle w:val="TableGrid"/>
        <w:tblW w:w="0" w:type="auto"/>
        <w:tblLook w:val="04A0" w:firstRow="1" w:lastRow="0" w:firstColumn="1" w:lastColumn="0" w:noHBand="0" w:noVBand="1"/>
        <w:tblCaption w:val="Presentation"/>
        <w:tblDescription w:val="Mark Tesell gave an overview of the utilization of hepatitis C agents."/>
      </w:tblPr>
      <w:tblGrid>
        <w:gridCol w:w="2145"/>
        <w:gridCol w:w="8282"/>
        <w:gridCol w:w="2523"/>
      </w:tblGrid>
      <w:tr w:rsidR="00B375EB" w:rsidRPr="00421B1F" w:rsidTr="009E2298">
        <w:trPr>
          <w:tblHeader/>
        </w:trPr>
        <w:tc>
          <w:tcPr>
            <w:tcW w:w="2145"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282" w:type="dxa"/>
            <w:shd w:val="clear" w:color="auto" w:fill="000000" w:themeFill="text1"/>
          </w:tcPr>
          <w:p w:rsidR="00B375EB" w:rsidRPr="00421B1F" w:rsidRDefault="00B375EB" w:rsidP="00A00A40">
            <w:pPr>
              <w:rPr>
                <w:b/>
              </w:rPr>
            </w:pPr>
            <w:r w:rsidRPr="00421B1F">
              <w:rPr>
                <w:b/>
              </w:rPr>
              <w:t>Discussion</w:t>
            </w:r>
          </w:p>
        </w:tc>
        <w:tc>
          <w:tcPr>
            <w:tcW w:w="2523"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45" w:type="dxa"/>
          </w:tcPr>
          <w:p w:rsidR="00B375EB" w:rsidRPr="0065087B" w:rsidRDefault="00B375EB" w:rsidP="00A00A40">
            <w:pPr>
              <w:pStyle w:val="Header"/>
              <w:tabs>
                <w:tab w:val="left" w:pos="720"/>
                <w:tab w:val="left" w:pos="1170"/>
                <w:tab w:val="left" w:pos="2610"/>
              </w:tabs>
              <w:overflowPunct/>
              <w:rPr>
                <w:rFonts w:cs="Arial"/>
                <w:b/>
                <w:bCs/>
                <w:color w:val="000000"/>
              </w:rPr>
            </w:pPr>
            <w:r w:rsidRPr="0065087B">
              <w:rPr>
                <w:rFonts w:cs="Arial"/>
                <w:b/>
                <w:bCs/>
                <w:color w:val="000000"/>
              </w:rPr>
              <w:t>Hepatitis C Clinical Update</w:t>
            </w:r>
          </w:p>
          <w:p w:rsidR="00B375EB" w:rsidRPr="00421B1F" w:rsidRDefault="00B375EB" w:rsidP="00A00A40"/>
        </w:tc>
        <w:tc>
          <w:tcPr>
            <w:tcW w:w="8282" w:type="dxa"/>
          </w:tcPr>
          <w:p w:rsidR="00B375EB" w:rsidRDefault="00B375EB" w:rsidP="00A00A40">
            <w:pPr>
              <w:rPr>
                <w:u w:val="single"/>
              </w:rPr>
            </w:pPr>
            <w:r>
              <w:rPr>
                <w:u w:val="single"/>
              </w:rPr>
              <w:t xml:space="preserve">Presentation given by Mark Tesell </w:t>
            </w:r>
          </w:p>
          <w:p w:rsidR="00B375EB" w:rsidRDefault="00B375EB" w:rsidP="00A00A40">
            <w:pPr>
              <w:pStyle w:val="Title"/>
              <w:ind w:left="351"/>
              <w:jc w:val="left"/>
            </w:pPr>
            <w:r>
              <w:rPr>
                <w:b w:val="0"/>
              </w:rPr>
              <w:t xml:space="preserve">This overview is an evaluation of </w:t>
            </w:r>
            <w:r w:rsidR="00F27979">
              <w:rPr>
                <w:b w:val="0"/>
              </w:rPr>
              <w:t xml:space="preserve">the </w:t>
            </w:r>
            <w:r>
              <w:rPr>
                <w:b w:val="0"/>
              </w:rPr>
              <w:t>utilization of hepatitis C agents by the MassHealth pharmacy program</w:t>
            </w:r>
            <w:r w:rsidR="00F27979">
              <w:rPr>
                <w:b w:val="0"/>
              </w:rPr>
              <w:t>,</w:t>
            </w:r>
            <w:r>
              <w:rPr>
                <w:b w:val="0"/>
              </w:rPr>
              <w:t xml:space="preserve"> and provide</w:t>
            </w:r>
            <w:r w:rsidR="00F27979">
              <w:rPr>
                <w:b w:val="0"/>
              </w:rPr>
              <w:t>s</w:t>
            </w:r>
            <w:r>
              <w:rPr>
                <w:b w:val="0"/>
              </w:rPr>
              <w:t xml:space="preserve"> a brief overview of current medical literature. </w:t>
            </w:r>
          </w:p>
          <w:p w:rsidR="00B375EB" w:rsidRPr="00822B71" w:rsidRDefault="00B375EB" w:rsidP="00A00A40">
            <w:pPr>
              <w:rPr>
                <w:b/>
              </w:rPr>
            </w:pPr>
            <w:r w:rsidRPr="00822B71">
              <w:rPr>
                <w:b/>
              </w:rPr>
              <w:t>Discussion:</w:t>
            </w:r>
          </w:p>
          <w:p w:rsidR="00B375EB" w:rsidRPr="000E58FF" w:rsidRDefault="00B375EB" w:rsidP="00530460">
            <w:pPr>
              <w:numPr>
                <w:ilvl w:val="0"/>
                <w:numId w:val="10"/>
              </w:numPr>
              <w:tabs>
                <w:tab w:val="num" w:pos="720"/>
              </w:tabs>
              <w:ind w:left="988" w:hanging="613"/>
            </w:pPr>
            <w:r w:rsidRPr="000E58FF">
              <w:t>Review</w:t>
            </w:r>
            <w:r>
              <w:t>ed</w:t>
            </w:r>
            <w:r w:rsidRPr="000E58FF">
              <w:t xml:space="preserve"> changes to the preferred products effective January 8, 2018</w:t>
            </w:r>
            <w:r w:rsidR="00F27979">
              <w:t>.</w:t>
            </w:r>
          </w:p>
          <w:p w:rsidR="00B375EB" w:rsidRPr="000E58FF" w:rsidRDefault="00B375EB" w:rsidP="00530460">
            <w:pPr>
              <w:numPr>
                <w:ilvl w:val="0"/>
                <w:numId w:val="10"/>
              </w:numPr>
              <w:tabs>
                <w:tab w:val="num" w:pos="720"/>
              </w:tabs>
              <w:ind w:left="735"/>
            </w:pPr>
            <w:r w:rsidRPr="000E58FF">
              <w:t>Summarize</w:t>
            </w:r>
            <w:r>
              <w:t>d</w:t>
            </w:r>
            <w:r w:rsidRPr="000E58FF">
              <w:t xml:space="preserve"> prior authorization criteria principles for preferred agents and</w:t>
            </w:r>
            <w:r>
              <w:t xml:space="preserve"> reviewed the Hepatitis C </w:t>
            </w:r>
            <w:r w:rsidRPr="000E58FF">
              <w:t xml:space="preserve">Monitoring </w:t>
            </w:r>
            <w:r>
              <w:t>P</w:t>
            </w:r>
            <w:r w:rsidRPr="000E58FF">
              <w:t>rogram</w:t>
            </w:r>
            <w:r w:rsidR="00F27979">
              <w:t>.</w:t>
            </w:r>
          </w:p>
          <w:p w:rsidR="00B375EB" w:rsidRPr="000E58FF" w:rsidRDefault="00B375EB" w:rsidP="00530460">
            <w:pPr>
              <w:numPr>
                <w:ilvl w:val="0"/>
                <w:numId w:val="10"/>
              </w:numPr>
              <w:tabs>
                <w:tab w:val="num" w:pos="720"/>
              </w:tabs>
              <w:ind w:left="988" w:hanging="613"/>
            </w:pPr>
            <w:r w:rsidRPr="000E58FF">
              <w:t>Review</w:t>
            </w:r>
            <w:r>
              <w:t>ed</w:t>
            </w:r>
            <w:r w:rsidRPr="000E58FF">
              <w:t xml:space="preserve"> pharmacy utilization and PA requests for </w:t>
            </w:r>
            <w:r>
              <w:t>Hepatitis C Agents</w:t>
            </w:r>
            <w:r w:rsidR="00F27979">
              <w:t>.</w:t>
            </w:r>
          </w:p>
          <w:p w:rsidR="00B375EB" w:rsidRPr="000E58FF" w:rsidRDefault="00B375EB" w:rsidP="00530460">
            <w:pPr>
              <w:numPr>
                <w:ilvl w:val="0"/>
                <w:numId w:val="10"/>
              </w:numPr>
              <w:tabs>
                <w:tab w:val="num" w:pos="720"/>
              </w:tabs>
              <w:ind w:left="735"/>
            </w:pPr>
            <w:r w:rsidRPr="000E58FF">
              <w:t>Present</w:t>
            </w:r>
            <w:r>
              <w:t>ed</w:t>
            </w:r>
            <w:r w:rsidRPr="000E58FF">
              <w:t xml:space="preserve"> analysis of percentage of members with HCV diagnosis and a PA request</w:t>
            </w:r>
            <w:r w:rsidR="00F27979">
              <w:t>.</w:t>
            </w:r>
          </w:p>
          <w:p w:rsidR="00B375EB" w:rsidRPr="007979A0" w:rsidRDefault="00B375EB" w:rsidP="00441B19">
            <w:pPr>
              <w:numPr>
                <w:ilvl w:val="0"/>
                <w:numId w:val="10"/>
              </w:numPr>
              <w:tabs>
                <w:tab w:val="num" w:pos="720"/>
              </w:tabs>
              <w:ind w:left="988" w:hanging="613"/>
            </w:pPr>
            <w:r w:rsidRPr="000E58FF">
              <w:t>Provide</w:t>
            </w:r>
            <w:r>
              <w:t>d</w:t>
            </w:r>
            <w:r w:rsidRPr="000E58FF">
              <w:t xml:space="preserve"> recommendations for</w:t>
            </w:r>
            <w:r w:rsidR="00F27979">
              <w:t xml:space="preserve"> the</w:t>
            </w:r>
            <w:r w:rsidRPr="000E58FF">
              <w:t xml:space="preserve"> Hepatitis C Medication Monitoring program</w:t>
            </w:r>
            <w:r w:rsidR="00F27979">
              <w:t>.</w:t>
            </w:r>
          </w:p>
        </w:tc>
        <w:tc>
          <w:tcPr>
            <w:tcW w:w="2523" w:type="dxa"/>
          </w:tcPr>
          <w:p w:rsidR="00B375EB" w:rsidRPr="00425D75" w:rsidRDefault="00B375EB" w:rsidP="00A00A40">
            <w:pPr>
              <w:rPr>
                <w:b/>
                <w:u w:val="single"/>
              </w:rPr>
            </w:pPr>
            <w:r w:rsidRPr="00760FE3">
              <w:rPr>
                <w:b/>
                <w:u w:val="single"/>
              </w:rPr>
              <w:t>Follow Up</w:t>
            </w:r>
          </w:p>
          <w:p w:rsidR="00B375EB" w:rsidRPr="00760FE3" w:rsidRDefault="00B375EB" w:rsidP="00A00A40">
            <w:pPr>
              <w:rPr>
                <w:b/>
                <w:u w:val="single"/>
              </w:rPr>
            </w:pPr>
            <w:r>
              <w:t>Informational/Advisory</w:t>
            </w:r>
          </w:p>
        </w:tc>
      </w:tr>
      <w:tr w:rsidR="00B375EB" w:rsidTr="00A00A40">
        <w:tc>
          <w:tcPr>
            <w:tcW w:w="2145" w:type="dxa"/>
          </w:tcPr>
          <w:p w:rsidR="00B375EB" w:rsidRDefault="00B375EB" w:rsidP="00441B19">
            <w:r w:rsidRPr="00760FE3">
              <w:rPr>
                <w:b/>
              </w:rPr>
              <w:t>Action</w:t>
            </w:r>
          </w:p>
        </w:tc>
        <w:tc>
          <w:tcPr>
            <w:tcW w:w="8282" w:type="dxa"/>
          </w:tcPr>
          <w:p w:rsidR="00B375EB" w:rsidRDefault="00B375EB" w:rsidP="00A00A40">
            <w:r>
              <w:rPr>
                <w:b/>
              </w:rPr>
              <w:t xml:space="preserve">Conclusions: </w:t>
            </w:r>
          </w:p>
          <w:p w:rsidR="00B375EB" w:rsidRPr="000E58FF" w:rsidRDefault="00F27979" w:rsidP="00A00A40">
            <w:pPr>
              <w:numPr>
                <w:ilvl w:val="0"/>
                <w:numId w:val="2"/>
              </w:numPr>
            </w:pPr>
            <w:r>
              <w:t>The p</w:t>
            </w:r>
            <w:r w:rsidR="00B375EB" w:rsidRPr="000E58FF">
              <w:t>referred product adoption has remained high prior to and post new product designation on January 8, 2018</w:t>
            </w:r>
            <w:r>
              <w:t>.</w:t>
            </w:r>
          </w:p>
          <w:p w:rsidR="00B375EB" w:rsidRPr="000E58FF" w:rsidRDefault="00B375EB" w:rsidP="00A00A40">
            <w:pPr>
              <w:numPr>
                <w:ilvl w:val="0"/>
                <w:numId w:val="2"/>
              </w:numPr>
              <w:tabs>
                <w:tab w:val="num" w:pos="1440"/>
              </w:tabs>
            </w:pPr>
            <w:r w:rsidRPr="000E58FF">
              <w:t>Demographics continu</w:t>
            </w:r>
            <w:r>
              <w:t>ed</w:t>
            </w:r>
            <w:r w:rsidRPr="000E58FF">
              <w:t xml:space="preserve"> </w:t>
            </w:r>
            <w:r>
              <w:t>moving</w:t>
            </w:r>
            <w:r w:rsidRPr="000E58FF">
              <w:t xml:space="preserve"> towards treatment naïve</w:t>
            </w:r>
            <w:r>
              <w:t xml:space="preserve"> members </w:t>
            </w:r>
            <w:r w:rsidRPr="000E58FF">
              <w:t>and</w:t>
            </w:r>
            <w:r>
              <w:t xml:space="preserve"> members</w:t>
            </w:r>
            <w:r w:rsidRPr="000E58FF">
              <w:t xml:space="preserve"> with early stage liver disease </w:t>
            </w:r>
            <w:r>
              <w:t xml:space="preserve">as </w:t>
            </w:r>
            <w:r w:rsidRPr="000E58FF">
              <w:t xml:space="preserve">compared </w:t>
            </w:r>
            <w:r w:rsidR="00F27979">
              <w:t xml:space="preserve">from </w:t>
            </w:r>
            <w:r w:rsidRPr="000E58FF">
              <w:t>2013 to 2015</w:t>
            </w:r>
            <w:r>
              <w:t>.</w:t>
            </w:r>
          </w:p>
          <w:p w:rsidR="00B375EB" w:rsidRPr="000E58FF" w:rsidRDefault="00B375EB" w:rsidP="00A00A40">
            <w:pPr>
              <w:numPr>
                <w:ilvl w:val="0"/>
                <w:numId w:val="2"/>
              </w:numPr>
              <w:tabs>
                <w:tab w:val="num" w:pos="1440"/>
              </w:tabs>
            </w:pPr>
            <w:r w:rsidRPr="000E58FF">
              <w:t>Significant increase</w:t>
            </w:r>
            <w:r>
              <w:t>s in utilization</w:t>
            </w:r>
            <w:r w:rsidRPr="000E58FF">
              <w:t xml:space="preserve"> associated with</w:t>
            </w:r>
            <w:r w:rsidR="0042459D">
              <w:t xml:space="preserve"> the</w:t>
            </w:r>
            <w:r w:rsidRPr="000E58FF">
              <w:t xml:space="preserve"> ACO transition in March 2018</w:t>
            </w:r>
            <w:r w:rsidR="00967892">
              <w:t>,</w:t>
            </w:r>
            <w:r w:rsidR="00F27979">
              <w:t xml:space="preserve"> were noted.</w:t>
            </w:r>
          </w:p>
          <w:p w:rsidR="00B375EB" w:rsidRPr="000E58FF" w:rsidRDefault="0042459D" w:rsidP="00A00A40">
            <w:pPr>
              <w:numPr>
                <w:ilvl w:val="0"/>
                <w:numId w:val="2"/>
              </w:numPr>
              <w:tabs>
                <w:tab w:val="num" w:pos="1440"/>
              </w:tabs>
            </w:pPr>
            <w:r>
              <w:t>A r</w:t>
            </w:r>
            <w:r w:rsidR="00B375EB" w:rsidRPr="000E58FF">
              <w:t>eview of sample PA’s indicated appropriate review using MassHealth guidelines</w:t>
            </w:r>
            <w:r w:rsidR="00F27979">
              <w:t>.</w:t>
            </w:r>
          </w:p>
          <w:p w:rsidR="00B375EB" w:rsidRPr="000E58FF" w:rsidRDefault="00B375EB" w:rsidP="00A00A40">
            <w:pPr>
              <w:numPr>
                <w:ilvl w:val="0"/>
                <w:numId w:val="2"/>
              </w:numPr>
            </w:pPr>
            <w:r>
              <w:t xml:space="preserve">The Hepatitis C </w:t>
            </w:r>
            <w:r w:rsidRPr="000E58FF">
              <w:t xml:space="preserve">Monitoring </w:t>
            </w:r>
            <w:r>
              <w:t>P</w:t>
            </w:r>
            <w:r w:rsidRPr="000E58FF">
              <w:t>rogram continues to ensure appropriate regimen use, adherence</w:t>
            </w:r>
            <w:r w:rsidR="00F27979">
              <w:t>,</w:t>
            </w:r>
            <w:r w:rsidRPr="000E58FF">
              <w:t xml:space="preserve"> and documentation of clinical cure</w:t>
            </w:r>
            <w:r w:rsidR="00F27979">
              <w:t>.</w:t>
            </w:r>
          </w:p>
          <w:p w:rsidR="00B375EB" w:rsidRPr="000E58FF" w:rsidRDefault="00B375EB" w:rsidP="00A00A40">
            <w:pPr>
              <w:numPr>
                <w:ilvl w:val="0"/>
                <w:numId w:val="2"/>
              </w:numPr>
              <w:tabs>
                <w:tab w:val="num" w:pos="1440"/>
              </w:tabs>
            </w:pPr>
            <w:r w:rsidRPr="000E58FF">
              <w:t>Some members continue to be lost to follow-up</w:t>
            </w:r>
            <w:r>
              <w:t xml:space="preserve"> and require </w:t>
            </w:r>
            <w:r w:rsidRPr="000E58FF">
              <w:t>outreach to prescribers’ offices within two weeks of a denial if a resubmission is not received (but warranted)</w:t>
            </w:r>
            <w:r w:rsidR="00F27979">
              <w:t>.</w:t>
            </w:r>
            <w:r w:rsidRPr="000E58FF">
              <w:t xml:space="preserve"> </w:t>
            </w:r>
          </w:p>
          <w:p w:rsidR="00903ECD" w:rsidRPr="00903ECD" w:rsidRDefault="00B375EB" w:rsidP="00903ECD">
            <w:pPr>
              <w:numPr>
                <w:ilvl w:val="0"/>
                <w:numId w:val="2"/>
              </w:numPr>
              <w:rPr>
                <w:rFonts w:cs="Arial"/>
                <w:b/>
              </w:rPr>
            </w:pPr>
            <w:r w:rsidRPr="000E58FF">
              <w:t>While many eligible MassHealth members have been treated, a significant number remain (~80% of those with an appropriate diagnosis)</w:t>
            </w:r>
            <w:r w:rsidR="00FF5209">
              <w:t>.</w:t>
            </w:r>
          </w:p>
          <w:p w:rsidR="00B375EB" w:rsidRPr="00AA4A0F" w:rsidRDefault="00903ECD" w:rsidP="00903ECD">
            <w:pPr>
              <w:ind w:left="720"/>
              <w:rPr>
                <w:rFonts w:cs="Arial"/>
                <w:b/>
              </w:rPr>
            </w:pPr>
            <w:r w:rsidRPr="006547B8">
              <w:rPr>
                <w:rFonts w:cs="Arial"/>
                <w:b/>
              </w:rPr>
              <w:t xml:space="preserve"> </w:t>
            </w:r>
            <w:r w:rsidR="00B375EB" w:rsidRPr="006547B8">
              <w:rPr>
                <w:rFonts w:cs="Arial"/>
                <w:b/>
              </w:rPr>
              <w:t>Q</w:t>
            </w:r>
            <w:r w:rsidR="00B375EB">
              <w:rPr>
                <w:rFonts w:cs="Arial"/>
                <w:b/>
              </w:rPr>
              <w:t>uestions:</w:t>
            </w:r>
          </w:p>
          <w:p w:rsidR="00B375EB" w:rsidRPr="007A55C5" w:rsidRDefault="00B375EB" w:rsidP="00441B19">
            <w:pPr>
              <w:pStyle w:val="ListParagraph"/>
              <w:numPr>
                <w:ilvl w:val="0"/>
                <w:numId w:val="13"/>
              </w:numPr>
              <w:tabs>
                <w:tab w:val="left" w:pos="1066"/>
              </w:tabs>
              <w:contextualSpacing/>
              <w:rPr>
                <w:rFonts w:cs="Arial"/>
                <w:b/>
              </w:rPr>
            </w:pPr>
            <w:r>
              <w:rPr>
                <w:rFonts w:ascii="Arial" w:hAnsi="Arial" w:cs="Arial"/>
                <w:sz w:val="20"/>
              </w:rPr>
              <w:t xml:space="preserve">A Board member inquired about the futility rule. It was noted that futility rules are a general guidance. A detectable viral load after </w:t>
            </w:r>
            <w:r w:rsidR="00FF5209">
              <w:rPr>
                <w:rFonts w:ascii="Arial" w:hAnsi="Arial" w:cs="Arial"/>
                <w:sz w:val="20"/>
              </w:rPr>
              <w:t>four</w:t>
            </w:r>
            <w:r>
              <w:rPr>
                <w:rFonts w:ascii="Arial" w:hAnsi="Arial" w:cs="Arial"/>
                <w:sz w:val="20"/>
              </w:rPr>
              <w:t xml:space="preserve"> weeks of treatment indicates that the treatment is unlikely to </w:t>
            </w:r>
            <w:r w:rsidR="0042459D">
              <w:rPr>
                <w:rFonts w:ascii="Arial" w:hAnsi="Arial" w:cs="Arial"/>
                <w:sz w:val="20"/>
              </w:rPr>
              <w:t>work.</w:t>
            </w:r>
          </w:p>
        </w:tc>
        <w:tc>
          <w:tcPr>
            <w:tcW w:w="2523" w:type="dxa"/>
          </w:tcPr>
          <w:p w:rsidR="00B375EB" w:rsidRPr="00CD411B" w:rsidRDefault="00B375EB" w:rsidP="00A00A40">
            <w:pPr>
              <w:rPr>
                <w:b/>
                <w:u w:val="single"/>
              </w:rPr>
            </w:pPr>
            <w:r w:rsidRPr="00CD411B">
              <w:rPr>
                <w:b/>
                <w:u w:val="single"/>
              </w:rPr>
              <w:t>Conclusion</w:t>
            </w:r>
          </w:p>
          <w:p w:rsidR="00B375EB" w:rsidRPr="00C77EAC" w:rsidRDefault="00B375EB" w:rsidP="00A00A40">
            <w:r>
              <w:t>Proceed with recommendations as stated.</w:t>
            </w:r>
          </w:p>
        </w:tc>
      </w:tr>
    </w:tbl>
    <w:p w:rsidR="00B375EB" w:rsidRDefault="00B375EB" w:rsidP="00B375EB"/>
    <w:p w:rsidR="00B375EB" w:rsidRDefault="00B375EB" w:rsidP="00B375EB"/>
    <w:tbl>
      <w:tblPr>
        <w:tblStyle w:val="TableGrid"/>
        <w:tblpPr w:leftFromText="180" w:rightFromText="180" w:vertAnchor="text" w:horzAnchor="margin" w:tblpY="-43"/>
        <w:tblW w:w="0" w:type="auto"/>
        <w:tblLook w:val="04A0" w:firstRow="1" w:lastRow="0" w:firstColumn="1" w:lastColumn="0" w:noHBand="0" w:noVBand="1"/>
        <w:tblCaption w:val="Motion Made"/>
        <w:tblDescription w:val="Motion made to accept (all approved)."/>
      </w:tblPr>
      <w:tblGrid>
        <w:gridCol w:w="2147"/>
        <w:gridCol w:w="8276"/>
        <w:gridCol w:w="2527"/>
      </w:tblGrid>
      <w:tr w:rsidR="00B375EB" w:rsidRPr="00421B1F" w:rsidTr="009E2298">
        <w:trPr>
          <w:tblHeader/>
        </w:trPr>
        <w:tc>
          <w:tcPr>
            <w:tcW w:w="2147"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276" w:type="dxa"/>
            <w:shd w:val="clear" w:color="auto" w:fill="000000" w:themeFill="text1"/>
          </w:tcPr>
          <w:p w:rsidR="00B375EB" w:rsidRPr="00421B1F" w:rsidRDefault="00B375EB" w:rsidP="00A00A40">
            <w:pPr>
              <w:rPr>
                <w:b/>
              </w:rPr>
            </w:pPr>
            <w:r w:rsidRPr="00421B1F">
              <w:rPr>
                <w:b/>
              </w:rPr>
              <w:t>Discussion</w:t>
            </w:r>
          </w:p>
        </w:tc>
        <w:tc>
          <w:tcPr>
            <w:tcW w:w="2527" w:type="dxa"/>
            <w:shd w:val="clear" w:color="auto" w:fill="000000" w:themeFill="text1"/>
          </w:tcPr>
          <w:p w:rsidR="00B375EB" w:rsidRPr="00421B1F" w:rsidRDefault="00B375EB" w:rsidP="00A00A40">
            <w:pPr>
              <w:rPr>
                <w:b/>
              </w:rPr>
            </w:pPr>
            <w:r w:rsidRPr="00421B1F">
              <w:rPr>
                <w:b/>
              </w:rPr>
              <w:t>Conclusions/Follow Up</w:t>
            </w:r>
          </w:p>
        </w:tc>
      </w:tr>
      <w:tr w:rsidR="00B375EB" w:rsidTr="009E2298">
        <w:tc>
          <w:tcPr>
            <w:tcW w:w="2147" w:type="dxa"/>
          </w:tcPr>
          <w:p w:rsidR="00B375EB" w:rsidRPr="000E2E79" w:rsidRDefault="00B375EB" w:rsidP="00441B19">
            <w:pPr>
              <w:pStyle w:val="Header"/>
              <w:tabs>
                <w:tab w:val="left" w:pos="720"/>
                <w:tab w:val="left" w:pos="1170"/>
                <w:tab w:val="left" w:pos="2610"/>
              </w:tabs>
              <w:overflowPunct/>
            </w:pPr>
            <w:r w:rsidRPr="0065087B">
              <w:rPr>
                <w:rFonts w:cs="Arial"/>
                <w:b/>
                <w:bCs/>
                <w:color w:val="000000"/>
                <w:szCs w:val="22"/>
              </w:rPr>
              <w:t>Minutes</w:t>
            </w:r>
          </w:p>
        </w:tc>
        <w:tc>
          <w:tcPr>
            <w:tcW w:w="8276" w:type="dxa"/>
            <w:vAlign w:val="center"/>
          </w:tcPr>
          <w:p w:rsidR="00B375EB" w:rsidRPr="00181645" w:rsidRDefault="00B375EB" w:rsidP="00A00A40">
            <w:r w:rsidRPr="00181645">
              <w:t xml:space="preserve">Motion made by </w:t>
            </w:r>
            <w:r>
              <w:t>Greg Low, R.Ph., PhD.,</w:t>
            </w:r>
            <w:r w:rsidR="00967892">
              <w:t xml:space="preserve"> </w:t>
            </w:r>
            <w:r w:rsidRPr="00181645">
              <w:t xml:space="preserve">to accept the </w:t>
            </w:r>
            <w:r>
              <w:t>June 13</w:t>
            </w:r>
            <w:r w:rsidRPr="00181645">
              <w:t>, 2018</w:t>
            </w:r>
            <w:r w:rsidR="00FF5209">
              <w:t>,</w:t>
            </w:r>
            <w:r w:rsidRPr="00181645">
              <w:t xml:space="preserve"> minutes as written</w:t>
            </w:r>
            <w:r w:rsidR="00FF5209">
              <w:t>.</w:t>
            </w:r>
          </w:p>
        </w:tc>
        <w:tc>
          <w:tcPr>
            <w:tcW w:w="2527" w:type="dxa"/>
          </w:tcPr>
          <w:p w:rsidR="00B375EB" w:rsidRPr="00425D75" w:rsidRDefault="00B375EB" w:rsidP="00A00A40">
            <w:pPr>
              <w:rPr>
                <w:b/>
                <w:u w:val="single"/>
              </w:rPr>
            </w:pPr>
            <w:r w:rsidRPr="00760FE3">
              <w:rPr>
                <w:b/>
                <w:u w:val="single"/>
              </w:rPr>
              <w:t>Follow Up</w:t>
            </w:r>
          </w:p>
          <w:p w:rsidR="00B375EB" w:rsidRPr="00760FE3" w:rsidRDefault="00B375EB" w:rsidP="00A00A40">
            <w:pPr>
              <w:rPr>
                <w:b/>
                <w:u w:val="single"/>
              </w:rPr>
            </w:pPr>
            <w:r>
              <w:t>N/A</w:t>
            </w:r>
          </w:p>
        </w:tc>
      </w:tr>
      <w:tr w:rsidR="00B375EB" w:rsidTr="009E2298">
        <w:tc>
          <w:tcPr>
            <w:tcW w:w="2147" w:type="dxa"/>
          </w:tcPr>
          <w:p w:rsidR="00B375EB" w:rsidRPr="000E2E79" w:rsidRDefault="00B375EB" w:rsidP="00441B19">
            <w:r w:rsidRPr="0065087B">
              <w:rPr>
                <w:b/>
              </w:rPr>
              <w:t>Action</w:t>
            </w:r>
          </w:p>
        </w:tc>
        <w:tc>
          <w:tcPr>
            <w:tcW w:w="8276" w:type="dxa"/>
          </w:tcPr>
          <w:p w:rsidR="00B375EB" w:rsidRPr="00181645" w:rsidRDefault="00B375EB" w:rsidP="00A00A40">
            <w:r w:rsidRPr="00181645">
              <w:t>Minutes were seconded by</w:t>
            </w:r>
            <w:r>
              <w:t xml:space="preserve"> Colleen Labelle, MSN RN-BC CARN</w:t>
            </w:r>
            <w:r w:rsidR="00FF5209">
              <w:t>.</w:t>
            </w:r>
            <w:r w:rsidRPr="00181645">
              <w:t xml:space="preserve"> </w:t>
            </w:r>
          </w:p>
          <w:p w:rsidR="00B375EB" w:rsidRPr="00181645" w:rsidRDefault="00B375EB" w:rsidP="00A00A40">
            <w:r w:rsidRPr="00181645">
              <w:t>All approved.</w:t>
            </w:r>
          </w:p>
        </w:tc>
        <w:tc>
          <w:tcPr>
            <w:tcW w:w="2527" w:type="dxa"/>
          </w:tcPr>
          <w:p w:rsidR="00B375EB" w:rsidRPr="00C77EAC" w:rsidRDefault="00B375EB" w:rsidP="00A00A40"/>
        </w:tc>
      </w:tr>
    </w:tbl>
    <w:tbl>
      <w:tblPr>
        <w:tblStyle w:val="TableGrid"/>
        <w:tblpPr w:leftFromText="180" w:rightFromText="180" w:vertAnchor="text" w:horzAnchor="margin" w:tblpY="228"/>
        <w:tblW w:w="0" w:type="auto"/>
        <w:tblLook w:val="04A0" w:firstRow="1" w:lastRow="0" w:firstColumn="1" w:lastColumn="0" w:noHBand="0" w:noVBand="1"/>
        <w:tblCaption w:val="Motion Made"/>
        <w:tblDescription w:val="Motion made to accept (all approved)."/>
      </w:tblPr>
      <w:tblGrid>
        <w:gridCol w:w="2157"/>
        <w:gridCol w:w="8267"/>
        <w:gridCol w:w="2526"/>
      </w:tblGrid>
      <w:tr w:rsidR="00B375EB" w:rsidRPr="00421B1F" w:rsidTr="009E2298">
        <w:trPr>
          <w:tblHeader/>
        </w:trPr>
        <w:tc>
          <w:tcPr>
            <w:tcW w:w="2157"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267" w:type="dxa"/>
            <w:shd w:val="clear" w:color="auto" w:fill="000000" w:themeFill="text1"/>
          </w:tcPr>
          <w:p w:rsidR="00B375EB" w:rsidRPr="00421B1F" w:rsidRDefault="00B375EB" w:rsidP="00A00A40">
            <w:pPr>
              <w:rPr>
                <w:b/>
              </w:rPr>
            </w:pPr>
            <w:r w:rsidRPr="00421B1F">
              <w:rPr>
                <w:b/>
              </w:rPr>
              <w:t>Discussion</w:t>
            </w:r>
          </w:p>
        </w:tc>
        <w:tc>
          <w:tcPr>
            <w:tcW w:w="2526" w:type="dxa"/>
            <w:shd w:val="clear" w:color="auto" w:fill="000000" w:themeFill="text1"/>
          </w:tcPr>
          <w:p w:rsidR="00B375EB" w:rsidRPr="00421B1F" w:rsidRDefault="00B375EB" w:rsidP="00A00A40">
            <w:pPr>
              <w:rPr>
                <w:b/>
              </w:rPr>
            </w:pPr>
            <w:r w:rsidRPr="00421B1F">
              <w:rPr>
                <w:b/>
              </w:rPr>
              <w:t>Conclusions/Follow Up</w:t>
            </w:r>
          </w:p>
        </w:tc>
      </w:tr>
      <w:tr w:rsidR="00B375EB" w:rsidRPr="00760FE3" w:rsidTr="00A00A40">
        <w:tc>
          <w:tcPr>
            <w:tcW w:w="2157" w:type="dxa"/>
          </w:tcPr>
          <w:p w:rsidR="00B375EB" w:rsidRPr="0065087B" w:rsidRDefault="00B375EB" w:rsidP="0065087B">
            <w:pPr>
              <w:pStyle w:val="Header"/>
              <w:tabs>
                <w:tab w:val="left" w:pos="720"/>
                <w:tab w:val="left" w:pos="1170"/>
                <w:tab w:val="left" w:pos="2610"/>
              </w:tabs>
              <w:overflowPunct/>
              <w:rPr>
                <w:rFonts w:cs="Arial"/>
                <w:b/>
                <w:bCs/>
                <w:color w:val="000000"/>
              </w:rPr>
            </w:pPr>
            <w:r w:rsidRPr="0065087B">
              <w:rPr>
                <w:rFonts w:cs="Arial"/>
                <w:b/>
                <w:bCs/>
                <w:color w:val="000000"/>
              </w:rPr>
              <w:t>Preferred Products</w:t>
            </w:r>
          </w:p>
          <w:p w:rsidR="00B375EB" w:rsidRPr="00421B1F" w:rsidRDefault="00B375EB" w:rsidP="00A00A40"/>
        </w:tc>
        <w:tc>
          <w:tcPr>
            <w:tcW w:w="8267" w:type="dxa"/>
          </w:tcPr>
          <w:p w:rsidR="00B375EB" w:rsidRPr="000F52DE" w:rsidRDefault="00B375EB" w:rsidP="00A00A40">
            <w:pPr>
              <w:contextualSpacing/>
              <w:rPr>
                <w:u w:val="single"/>
              </w:rPr>
            </w:pPr>
            <w:r>
              <w:rPr>
                <w:u w:val="single"/>
              </w:rPr>
              <w:t>Presentation was given by Mark Tesell</w:t>
            </w:r>
          </w:p>
          <w:p w:rsidR="00B375EB" w:rsidRDefault="00B375EB" w:rsidP="0065087B">
            <w:pPr>
              <w:pStyle w:val="Title"/>
              <w:ind w:left="363"/>
              <w:jc w:val="left"/>
            </w:pPr>
            <w:r>
              <w:rPr>
                <w:b w:val="0"/>
              </w:rPr>
              <w:t>This overview is an evaluation of the utilization of preferred products, which is designed to show adoption of preferred products post implementation.</w:t>
            </w:r>
          </w:p>
          <w:p w:rsidR="00B375EB" w:rsidRPr="00EB6EB7" w:rsidRDefault="00B375EB" w:rsidP="00A00A40">
            <w:pPr>
              <w:pStyle w:val="ListParagraph"/>
              <w:ind w:left="610"/>
              <w:rPr>
                <w:rFonts w:ascii="Arial" w:hAnsi="Arial" w:cs="Arial"/>
                <w:sz w:val="20"/>
              </w:rPr>
            </w:pPr>
          </w:p>
        </w:tc>
        <w:tc>
          <w:tcPr>
            <w:tcW w:w="2526" w:type="dxa"/>
          </w:tcPr>
          <w:p w:rsidR="00B375EB" w:rsidRPr="00425D75" w:rsidRDefault="00B375EB" w:rsidP="00A00A40">
            <w:pPr>
              <w:rPr>
                <w:b/>
                <w:u w:val="single"/>
              </w:rPr>
            </w:pPr>
            <w:r w:rsidRPr="00760FE3">
              <w:rPr>
                <w:b/>
                <w:u w:val="single"/>
              </w:rPr>
              <w:t>Follow Up</w:t>
            </w:r>
          </w:p>
          <w:p w:rsidR="00B375EB" w:rsidRPr="00760FE3" w:rsidRDefault="00B375EB" w:rsidP="00A00A40">
            <w:pPr>
              <w:rPr>
                <w:b/>
                <w:u w:val="single"/>
              </w:rPr>
            </w:pPr>
            <w:r>
              <w:t>Informational/Advisory</w:t>
            </w:r>
          </w:p>
        </w:tc>
      </w:tr>
      <w:tr w:rsidR="00B375EB" w:rsidTr="00A00A40">
        <w:tc>
          <w:tcPr>
            <w:tcW w:w="2157" w:type="dxa"/>
          </w:tcPr>
          <w:p w:rsidR="00B375EB" w:rsidRPr="0065087B" w:rsidRDefault="00B375EB" w:rsidP="00A00A40">
            <w:pPr>
              <w:rPr>
                <w:b/>
              </w:rPr>
            </w:pPr>
            <w:r w:rsidRPr="0065087B">
              <w:rPr>
                <w:rFonts w:cs="Arial"/>
                <w:b/>
              </w:rPr>
              <w:t>Action</w:t>
            </w:r>
          </w:p>
        </w:tc>
        <w:tc>
          <w:tcPr>
            <w:tcW w:w="8267" w:type="dxa"/>
          </w:tcPr>
          <w:p w:rsidR="00B375EB" w:rsidRPr="00A759A5" w:rsidRDefault="00B375EB" w:rsidP="00A00A40">
            <w:pPr>
              <w:rPr>
                <w:b/>
              </w:rPr>
            </w:pPr>
            <w:r>
              <w:rPr>
                <w:b/>
              </w:rPr>
              <w:t>Discussion</w:t>
            </w:r>
            <w:r w:rsidRPr="00A759A5">
              <w:rPr>
                <w:b/>
              </w:rPr>
              <w:t xml:space="preserve"> </w:t>
            </w:r>
          </w:p>
          <w:p w:rsidR="00B375EB" w:rsidRPr="00FB2019" w:rsidRDefault="00B375EB" w:rsidP="00A00A40">
            <w:pPr>
              <w:pStyle w:val="ListParagraph"/>
              <w:numPr>
                <w:ilvl w:val="0"/>
                <w:numId w:val="3"/>
              </w:numPr>
              <w:rPr>
                <w:rFonts w:ascii="Arial" w:hAnsi="Arial" w:cs="Arial"/>
                <w:sz w:val="20"/>
              </w:rPr>
            </w:pPr>
            <w:r w:rsidRPr="00FB2019">
              <w:rPr>
                <w:rFonts w:ascii="Arial" w:hAnsi="Arial" w:cs="Arial"/>
                <w:sz w:val="20"/>
              </w:rPr>
              <w:t>Define</w:t>
            </w:r>
            <w:r>
              <w:rPr>
                <w:rFonts w:ascii="Arial" w:hAnsi="Arial" w:cs="Arial"/>
                <w:sz w:val="20"/>
              </w:rPr>
              <w:t>d</w:t>
            </w:r>
            <w:r w:rsidRPr="00FB2019">
              <w:rPr>
                <w:rFonts w:ascii="Arial" w:hAnsi="Arial" w:cs="Arial"/>
                <w:sz w:val="20"/>
              </w:rPr>
              <w:t xml:space="preserve"> supplemental rebate and its application to the MassHealth pharmacy program</w:t>
            </w:r>
            <w:r w:rsidR="00742A2A">
              <w:rPr>
                <w:rFonts w:ascii="Arial" w:hAnsi="Arial" w:cs="Arial"/>
                <w:sz w:val="20"/>
              </w:rPr>
              <w:t>.</w:t>
            </w:r>
          </w:p>
          <w:p w:rsidR="00B375EB" w:rsidRPr="00FB2019" w:rsidRDefault="00B375EB" w:rsidP="00A00A40">
            <w:pPr>
              <w:pStyle w:val="ListParagraph"/>
              <w:numPr>
                <w:ilvl w:val="0"/>
                <w:numId w:val="3"/>
              </w:numPr>
              <w:rPr>
                <w:rFonts w:ascii="Arial" w:hAnsi="Arial" w:cs="Arial"/>
                <w:sz w:val="20"/>
              </w:rPr>
            </w:pPr>
            <w:r w:rsidRPr="00FB2019">
              <w:rPr>
                <w:rFonts w:ascii="Arial" w:hAnsi="Arial" w:cs="Arial"/>
                <w:sz w:val="20"/>
              </w:rPr>
              <w:t>List</w:t>
            </w:r>
            <w:r>
              <w:rPr>
                <w:rFonts w:ascii="Arial" w:hAnsi="Arial" w:cs="Arial"/>
                <w:sz w:val="20"/>
              </w:rPr>
              <w:t>ed</w:t>
            </w:r>
            <w:r w:rsidRPr="00FB2019">
              <w:rPr>
                <w:rFonts w:ascii="Arial" w:hAnsi="Arial" w:cs="Arial"/>
                <w:sz w:val="20"/>
              </w:rPr>
              <w:t xml:space="preserve"> agents impacted by the MassHealth Supplemental Rebate/Preferred drug list initiative</w:t>
            </w:r>
            <w:r w:rsidR="00742A2A">
              <w:rPr>
                <w:rFonts w:ascii="Arial" w:hAnsi="Arial" w:cs="Arial"/>
                <w:sz w:val="20"/>
              </w:rPr>
              <w:t>.</w:t>
            </w:r>
          </w:p>
          <w:p w:rsidR="00B375EB" w:rsidRPr="00FB2019" w:rsidRDefault="00B375EB" w:rsidP="00A00A40">
            <w:pPr>
              <w:pStyle w:val="ListParagraph"/>
              <w:numPr>
                <w:ilvl w:val="0"/>
                <w:numId w:val="3"/>
              </w:numPr>
              <w:rPr>
                <w:rFonts w:ascii="Arial" w:hAnsi="Arial" w:cs="Arial"/>
                <w:sz w:val="20"/>
              </w:rPr>
            </w:pPr>
            <w:r w:rsidRPr="00FB2019">
              <w:rPr>
                <w:rFonts w:ascii="Arial" w:hAnsi="Arial" w:cs="Arial"/>
                <w:sz w:val="20"/>
              </w:rPr>
              <w:t>Describe</w:t>
            </w:r>
            <w:r>
              <w:rPr>
                <w:rFonts w:ascii="Arial" w:hAnsi="Arial" w:cs="Arial"/>
                <w:sz w:val="20"/>
              </w:rPr>
              <w:t>d</w:t>
            </w:r>
            <w:r w:rsidRPr="00FB2019">
              <w:rPr>
                <w:rFonts w:ascii="Arial" w:hAnsi="Arial" w:cs="Arial"/>
                <w:sz w:val="20"/>
              </w:rPr>
              <w:t xml:space="preserve"> trends in the utilization of these products before and after the implementation date</w:t>
            </w:r>
            <w:r w:rsidR="00742A2A">
              <w:rPr>
                <w:rFonts w:ascii="Arial" w:hAnsi="Arial" w:cs="Arial"/>
                <w:sz w:val="20"/>
              </w:rPr>
              <w:t>.</w:t>
            </w:r>
          </w:p>
          <w:p w:rsidR="00B375EB" w:rsidRPr="00441B19" w:rsidRDefault="00B375EB" w:rsidP="00A00A40">
            <w:pPr>
              <w:pStyle w:val="ListParagraph"/>
              <w:numPr>
                <w:ilvl w:val="0"/>
                <w:numId w:val="3"/>
              </w:numPr>
              <w:rPr>
                <w:rFonts w:cs="Arial"/>
                <w:sz w:val="16"/>
              </w:rPr>
            </w:pPr>
            <w:r w:rsidRPr="00441B19">
              <w:rPr>
                <w:rFonts w:ascii="Arial" w:hAnsi="Arial" w:cs="Arial"/>
                <w:sz w:val="20"/>
              </w:rPr>
              <w:t>Proposed a brief “lessons learned” for designation of preferred products and recommend strategy moving forward</w:t>
            </w:r>
            <w:r w:rsidR="00742A2A" w:rsidRPr="00441B19">
              <w:rPr>
                <w:rFonts w:ascii="Arial" w:hAnsi="Arial" w:cs="Arial"/>
                <w:sz w:val="20"/>
              </w:rPr>
              <w:t>.</w:t>
            </w:r>
            <w:r w:rsidRPr="00441B19">
              <w:rPr>
                <w:rFonts w:cs="Arial"/>
                <w:sz w:val="16"/>
              </w:rPr>
              <w:t xml:space="preserve"> </w:t>
            </w:r>
          </w:p>
          <w:p w:rsidR="00B375EB" w:rsidRDefault="00B375EB" w:rsidP="00A00A40">
            <w:pPr>
              <w:rPr>
                <w:rFonts w:cs="Arial"/>
                <w:b/>
              </w:rPr>
            </w:pPr>
            <w:r>
              <w:rPr>
                <w:rFonts w:cs="Arial"/>
                <w:b/>
              </w:rPr>
              <w:t>Findings</w:t>
            </w:r>
          </w:p>
          <w:p w:rsidR="00B375EB" w:rsidRPr="00FB2019" w:rsidRDefault="00B375EB" w:rsidP="00B375EB">
            <w:pPr>
              <w:numPr>
                <w:ilvl w:val="0"/>
                <w:numId w:val="14"/>
              </w:numPr>
              <w:rPr>
                <w:rFonts w:cs="Arial"/>
              </w:rPr>
            </w:pPr>
            <w:r w:rsidRPr="00FB2019">
              <w:rPr>
                <w:rFonts w:cs="Arial"/>
              </w:rPr>
              <w:t>Following designation of preferred products, a transition in market share occurred across multiple therapeutic classes</w:t>
            </w:r>
            <w:r w:rsidR="003E6502">
              <w:rPr>
                <w:rFonts w:cs="Arial"/>
              </w:rPr>
              <w:t>.</w:t>
            </w:r>
            <w:r w:rsidRPr="00FB2019">
              <w:rPr>
                <w:rFonts w:cs="Arial"/>
              </w:rPr>
              <w:t xml:space="preserve"> </w:t>
            </w:r>
          </w:p>
          <w:p w:rsidR="00B375EB" w:rsidRPr="00FB2019" w:rsidRDefault="00B375EB" w:rsidP="00B375EB">
            <w:pPr>
              <w:numPr>
                <w:ilvl w:val="0"/>
                <w:numId w:val="14"/>
              </w:numPr>
              <w:rPr>
                <w:rFonts w:cs="Arial"/>
              </w:rPr>
            </w:pPr>
            <w:r w:rsidRPr="00FB2019">
              <w:rPr>
                <w:rFonts w:cs="Arial"/>
              </w:rPr>
              <w:t>PA criteria was developed to facilitate review of non-preferred products</w:t>
            </w:r>
            <w:r w:rsidR="003E6502">
              <w:rPr>
                <w:rFonts w:cs="Arial"/>
              </w:rPr>
              <w:t>.</w:t>
            </w:r>
          </w:p>
          <w:p w:rsidR="00B375EB" w:rsidRPr="00FB2019" w:rsidRDefault="00B375EB" w:rsidP="00B375EB">
            <w:pPr>
              <w:numPr>
                <w:ilvl w:val="0"/>
                <w:numId w:val="18"/>
              </w:numPr>
              <w:tabs>
                <w:tab w:val="clear" w:pos="720"/>
                <w:tab w:val="num" w:pos="1263"/>
                <w:tab w:val="num" w:pos="1440"/>
              </w:tabs>
              <w:ind w:left="1173"/>
              <w:rPr>
                <w:rFonts w:cs="Arial"/>
              </w:rPr>
            </w:pPr>
            <w:r w:rsidRPr="00FB2019">
              <w:rPr>
                <w:rFonts w:cs="Arial"/>
              </w:rPr>
              <w:t xml:space="preserve">Consideration given </w:t>
            </w:r>
            <w:r w:rsidR="003E6502">
              <w:rPr>
                <w:rFonts w:cs="Arial"/>
              </w:rPr>
              <w:t xml:space="preserve">to </w:t>
            </w:r>
            <w:r w:rsidRPr="00FB2019">
              <w:rPr>
                <w:rFonts w:cs="Arial"/>
              </w:rPr>
              <w:t>specific scenarios where a non-preferred product may be medically necessary</w:t>
            </w:r>
            <w:r w:rsidR="003E6502">
              <w:rPr>
                <w:rFonts w:cs="Arial"/>
              </w:rPr>
              <w:t>.</w:t>
            </w:r>
          </w:p>
          <w:p w:rsidR="00B375EB" w:rsidRPr="00FB2019" w:rsidRDefault="003E6502" w:rsidP="00B375EB">
            <w:pPr>
              <w:numPr>
                <w:ilvl w:val="0"/>
                <w:numId w:val="18"/>
              </w:numPr>
              <w:tabs>
                <w:tab w:val="clear" w:pos="720"/>
                <w:tab w:val="num" w:pos="1263"/>
                <w:tab w:val="num" w:pos="1440"/>
              </w:tabs>
              <w:ind w:left="1173"/>
              <w:rPr>
                <w:rFonts w:cs="Arial"/>
              </w:rPr>
            </w:pPr>
            <w:r>
              <w:rPr>
                <w:rFonts w:cs="Arial"/>
              </w:rPr>
              <w:t>A determination was made for each class of non-preferred products, to a</w:t>
            </w:r>
            <w:r w:rsidR="00B375EB" w:rsidRPr="00FB2019">
              <w:rPr>
                <w:rFonts w:cs="Arial"/>
              </w:rPr>
              <w:t xml:space="preserve">llow members </w:t>
            </w:r>
            <w:r>
              <w:rPr>
                <w:rFonts w:cs="Arial"/>
              </w:rPr>
              <w:t xml:space="preserve">that are </w:t>
            </w:r>
            <w:r w:rsidR="00B375EB" w:rsidRPr="00FB2019">
              <w:rPr>
                <w:rFonts w:cs="Arial"/>
              </w:rPr>
              <w:t xml:space="preserve">stable on </w:t>
            </w:r>
            <w:r>
              <w:rPr>
                <w:rFonts w:cs="Arial"/>
              </w:rPr>
              <w:t xml:space="preserve">a </w:t>
            </w:r>
            <w:r w:rsidR="00B375EB" w:rsidRPr="00FB2019">
              <w:rPr>
                <w:rFonts w:cs="Arial"/>
              </w:rPr>
              <w:t>non-preferred product</w:t>
            </w:r>
            <w:r>
              <w:rPr>
                <w:rFonts w:cs="Arial"/>
              </w:rPr>
              <w:t>(s)</w:t>
            </w:r>
            <w:r w:rsidR="00B375EB" w:rsidRPr="00FB2019">
              <w:rPr>
                <w:rFonts w:cs="Arial"/>
              </w:rPr>
              <w:t xml:space="preserve"> to continue</w:t>
            </w:r>
            <w:r>
              <w:rPr>
                <w:rFonts w:cs="Arial"/>
              </w:rPr>
              <w:t xml:space="preserve"> use of the product(s).</w:t>
            </w:r>
          </w:p>
          <w:p w:rsidR="00B375EB" w:rsidRPr="00FB2019" w:rsidRDefault="00B375EB" w:rsidP="00B375EB">
            <w:pPr>
              <w:numPr>
                <w:ilvl w:val="0"/>
                <w:numId w:val="18"/>
              </w:numPr>
              <w:tabs>
                <w:tab w:val="clear" w:pos="720"/>
                <w:tab w:val="num" w:pos="1263"/>
                <w:tab w:val="num" w:pos="1440"/>
              </w:tabs>
              <w:ind w:left="1173"/>
              <w:rPr>
                <w:rFonts w:cs="Arial"/>
              </w:rPr>
            </w:pPr>
            <w:r>
              <w:rPr>
                <w:rFonts w:cs="Arial"/>
              </w:rPr>
              <w:t xml:space="preserve">Feedback from </w:t>
            </w:r>
            <w:r w:rsidRPr="00FB2019">
              <w:rPr>
                <w:rFonts w:cs="Arial"/>
              </w:rPr>
              <w:t>stakeholders (e.g., DMH) was considered</w:t>
            </w:r>
            <w:r w:rsidR="003E6502">
              <w:rPr>
                <w:rFonts w:cs="Arial"/>
              </w:rPr>
              <w:t>.</w:t>
            </w:r>
            <w:r w:rsidRPr="00FB2019">
              <w:rPr>
                <w:rFonts w:cs="Arial"/>
              </w:rPr>
              <w:t xml:space="preserve"> </w:t>
            </w:r>
          </w:p>
          <w:p w:rsidR="00B375EB" w:rsidRPr="00695D09" w:rsidRDefault="003E6502" w:rsidP="00B375EB">
            <w:pPr>
              <w:numPr>
                <w:ilvl w:val="0"/>
                <w:numId w:val="14"/>
              </w:numPr>
              <w:rPr>
                <w:rFonts w:cs="Arial"/>
              </w:rPr>
            </w:pPr>
            <w:r>
              <w:rPr>
                <w:rFonts w:cs="Arial"/>
              </w:rPr>
              <w:t>C</w:t>
            </w:r>
            <w:r w:rsidR="00B375EB" w:rsidRPr="00FB2019">
              <w:rPr>
                <w:rFonts w:cs="Arial"/>
              </w:rPr>
              <w:t>ontinue</w:t>
            </w:r>
            <w:r w:rsidR="00B375EB">
              <w:rPr>
                <w:rFonts w:cs="Arial"/>
              </w:rPr>
              <w:t>d efforts</w:t>
            </w:r>
            <w:r w:rsidR="00B375EB" w:rsidRPr="00FB2019">
              <w:rPr>
                <w:rFonts w:cs="Arial"/>
              </w:rPr>
              <w:t xml:space="preserve"> to pursue supplemental rebate</w:t>
            </w:r>
            <w:r w:rsidR="001B0512">
              <w:rPr>
                <w:rFonts w:cs="Arial"/>
              </w:rPr>
              <w:t>s</w:t>
            </w:r>
            <w:r w:rsidR="00B375EB" w:rsidRPr="00FB2019">
              <w:rPr>
                <w:rFonts w:cs="Arial"/>
              </w:rPr>
              <w:t xml:space="preserve"> in select classes where multiple therapeutics alternatives exist </w:t>
            </w:r>
            <w:r w:rsidR="00B375EB">
              <w:rPr>
                <w:rFonts w:cs="Arial"/>
              </w:rPr>
              <w:t>that</w:t>
            </w:r>
            <w:r w:rsidR="00B375EB" w:rsidRPr="00FB2019">
              <w:rPr>
                <w:rFonts w:cs="Arial"/>
              </w:rPr>
              <w:t xml:space="preserve"> are generally deemed to be similarly safe and effective</w:t>
            </w:r>
            <w:r>
              <w:rPr>
                <w:rFonts w:cs="Arial"/>
              </w:rPr>
              <w:t>, was recommended.</w:t>
            </w:r>
          </w:p>
        </w:tc>
        <w:tc>
          <w:tcPr>
            <w:tcW w:w="2526" w:type="dxa"/>
          </w:tcPr>
          <w:p w:rsidR="00B375EB" w:rsidRPr="009552D3" w:rsidRDefault="00B375EB" w:rsidP="00A00A40">
            <w:pPr>
              <w:rPr>
                <w:b/>
              </w:rPr>
            </w:pPr>
            <w:r w:rsidRPr="009552D3">
              <w:rPr>
                <w:b/>
              </w:rPr>
              <w:t>Conclusion</w:t>
            </w:r>
          </w:p>
          <w:p w:rsidR="00B375EB" w:rsidRDefault="00B375EB" w:rsidP="00A00A40">
            <w:r>
              <w:t>Informational/Advisory</w:t>
            </w:r>
          </w:p>
        </w:tc>
      </w:tr>
    </w:tbl>
    <w:p w:rsidR="00B375EB" w:rsidRDefault="00B375EB" w:rsidP="00B375EB"/>
    <w:tbl>
      <w:tblPr>
        <w:tblStyle w:val="TableGrid"/>
        <w:tblW w:w="0" w:type="auto"/>
        <w:tblLook w:val="04A0" w:firstRow="1" w:lastRow="0" w:firstColumn="1" w:lastColumn="0" w:noHBand="0" w:noVBand="1"/>
        <w:tblCaption w:val="Quality Assurance Analysis"/>
        <w:tblDescription w:val="Librax overview provided."/>
      </w:tblPr>
      <w:tblGrid>
        <w:gridCol w:w="2115"/>
        <w:gridCol w:w="8319"/>
        <w:gridCol w:w="2516"/>
      </w:tblGrid>
      <w:tr w:rsidR="00B375EB" w:rsidRPr="00421B1F" w:rsidTr="009E2298">
        <w:trPr>
          <w:tblHeader/>
        </w:trPr>
        <w:tc>
          <w:tcPr>
            <w:tcW w:w="2115"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319" w:type="dxa"/>
            <w:shd w:val="clear" w:color="auto" w:fill="000000" w:themeFill="text1"/>
          </w:tcPr>
          <w:p w:rsidR="00B375EB" w:rsidRPr="00421B1F" w:rsidRDefault="00B375EB" w:rsidP="00A00A40">
            <w:pPr>
              <w:rPr>
                <w:b/>
              </w:rPr>
            </w:pPr>
            <w:r w:rsidRPr="00421B1F">
              <w:rPr>
                <w:b/>
              </w:rPr>
              <w:t>Discussion</w:t>
            </w:r>
          </w:p>
        </w:tc>
        <w:tc>
          <w:tcPr>
            <w:tcW w:w="2516" w:type="dxa"/>
            <w:shd w:val="clear" w:color="auto" w:fill="000000" w:themeFill="text1"/>
          </w:tcPr>
          <w:p w:rsidR="00B375EB" w:rsidRPr="00421B1F" w:rsidRDefault="00B375EB" w:rsidP="00A00A40">
            <w:pPr>
              <w:rPr>
                <w:b/>
              </w:rPr>
            </w:pPr>
            <w:r w:rsidRPr="00421B1F">
              <w:rPr>
                <w:b/>
              </w:rPr>
              <w:t>Conclusions/Follow Up</w:t>
            </w:r>
          </w:p>
        </w:tc>
      </w:tr>
      <w:tr w:rsidR="00B375EB" w:rsidTr="009E2298">
        <w:tc>
          <w:tcPr>
            <w:tcW w:w="2115" w:type="dxa"/>
          </w:tcPr>
          <w:p w:rsidR="00B375EB" w:rsidRPr="009552D3" w:rsidRDefault="00B375EB" w:rsidP="00441B19">
            <w:pPr>
              <w:pStyle w:val="Header"/>
              <w:tabs>
                <w:tab w:val="left" w:pos="720"/>
                <w:tab w:val="left" w:pos="1170"/>
                <w:tab w:val="left" w:pos="2610"/>
              </w:tabs>
              <w:overflowPunct/>
              <w:rPr>
                <w:b/>
              </w:rPr>
            </w:pPr>
            <w:proofErr w:type="spellStart"/>
            <w:r w:rsidRPr="0065087B">
              <w:rPr>
                <w:rFonts w:cs="Arial"/>
                <w:b/>
                <w:bCs/>
                <w:color w:val="000000"/>
              </w:rPr>
              <w:t>Librax</w:t>
            </w:r>
            <w:proofErr w:type="spellEnd"/>
            <w:r w:rsidRPr="0065087B">
              <w:rPr>
                <w:rFonts w:cs="Arial"/>
                <w:b/>
                <w:bCs/>
                <w:color w:val="000000"/>
              </w:rPr>
              <w:t xml:space="preserve"> Quality Assurance Analysis</w:t>
            </w:r>
          </w:p>
        </w:tc>
        <w:tc>
          <w:tcPr>
            <w:tcW w:w="8319" w:type="dxa"/>
          </w:tcPr>
          <w:p w:rsidR="00B375EB" w:rsidRPr="000F52DE" w:rsidRDefault="00B375EB" w:rsidP="00A00A40">
            <w:pPr>
              <w:contextualSpacing/>
              <w:rPr>
                <w:u w:val="single"/>
              </w:rPr>
            </w:pPr>
            <w:proofErr w:type="spellStart"/>
            <w:r>
              <w:rPr>
                <w:u w:val="single"/>
              </w:rPr>
              <w:t>Librax</w:t>
            </w:r>
            <w:proofErr w:type="spellEnd"/>
            <w:r>
              <w:rPr>
                <w:u w:val="single"/>
              </w:rPr>
              <w:t xml:space="preserve"> (</w:t>
            </w:r>
            <w:proofErr w:type="spellStart"/>
            <w:r>
              <w:rPr>
                <w:u w:val="single"/>
              </w:rPr>
              <w:t>chlordiazepoxide</w:t>
            </w:r>
            <w:proofErr w:type="spellEnd"/>
            <w:r>
              <w:rPr>
                <w:u w:val="single"/>
              </w:rPr>
              <w:t>/</w:t>
            </w:r>
            <w:proofErr w:type="spellStart"/>
            <w:r>
              <w:rPr>
                <w:u w:val="single"/>
              </w:rPr>
              <w:t>clidinium</w:t>
            </w:r>
            <w:proofErr w:type="spellEnd"/>
            <w:r>
              <w:rPr>
                <w:u w:val="single"/>
              </w:rPr>
              <w:t xml:space="preserve">) Quality Assurance Analysis </w:t>
            </w:r>
            <w:r w:rsidRPr="000F52DE">
              <w:rPr>
                <w:u w:val="single"/>
              </w:rPr>
              <w:t xml:space="preserve">given by </w:t>
            </w:r>
            <w:r>
              <w:rPr>
                <w:u w:val="single"/>
              </w:rPr>
              <w:t>Andrew Coelho</w:t>
            </w:r>
          </w:p>
          <w:p w:rsidR="00B375EB" w:rsidRPr="00055394" w:rsidRDefault="00B375EB" w:rsidP="0065087B">
            <w:pPr>
              <w:pStyle w:val="Title"/>
              <w:ind w:left="405"/>
              <w:jc w:val="left"/>
              <w:rPr>
                <w:b w:val="0"/>
              </w:rPr>
            </w:pPr>
            <w:r>
              <w:rPr>
                <w:rFonts w:cs="Arial"/>
                <w:b w:val="0"/>
              </w:rPr>
              <w:t>The</w:t>
            </w:r>
            <w:r w:rsidRPr="00055394">
              <w:rPr>
                <w:rFonts w:cs="Arial"/>
                <w:b w:val="0"/>
              </w:rPr>
              <w:t xml:space="preserve"> Overview </w:t>
            </w:r>
            <w:r>
              <w:rPr>
                <w:rFonts w:cs="Arial"/>
                <w:b w:val="0"/>
              </w:rPr>
              <w:t>was an evaluation of current medical literature and will provide a brief overview of a new guideline recommendations in this disease state.</w:t>
            </w:r>
          </w:p>
        </w:tc>
        <w:tc>
          <w:tcPr>
            <w:tcW w:w="2516" w:type="dxa"/>
          </w:tcPr>
          <w:p w:rsidR="00B375EB" w:rsidRPr="00425D75" w:rsidRDefault="00B375EB" w:rsidP="00A00A40">
            <w:pPr>
              <w:rPr>
                <w:b/>
                <w:u w:val="single"/>
              </w:rPr>
            </w:pPr>
            <w:r w:rsidRPr="00760FE3">
              <w:rPr>
                <w:b/>
                <w:u w:val="single"/>
              </w:rPr>
              <w:t>Follow Up</w:t>
            </w:r>
          </w:p>
          <w:p w:rsidR="00B375EB" w:rsidRDefault="00B375EB" w:rsidP="00A00A40">
            <w:r>
              <w:t>Informational/Advisory</w:t>
            </w:r>
            <w:r w:rsidRPr="00760FE3">
              <w:rPr>
                <w:b/>
                <w:u w:val="single"/>
              </w:rPr>
              <w:t xml:space="preserve"> </w:t>
            </w:r>
          </w:p>
        </w:tc>
      </w:tr>
      <w:tr w:rsidR="00B375EB" w:rsidTr="009E2298">
        <w:tc>
          <w:tcPr>
            <w:tcW w:w="2115" w:type="dxa"/>
          </w:tcPr>
          <w:p w:rsidR="00B375EB" w:rsidRPr="009552D3" w:rsidRDefault="00B375EB" w:rsidP="00A00A40">
            <w:pPr>
              <w:rPr>
                <w:b/>
              </w:rPr>
            </w:pPr>
            <w:r w:rsidRPr="009552D3">
              <w:rPr>
                <w:b/>
              </w:rPr>
              <w:t>Action</w:t>
            </w:r>
          </w:p>
        </w:tc>
        <w:tc>
          <w:tcPr>
            <w:tcW w:w="8319" w:type="dxa"/>
          </w:tcPr>
          <w:p w:rsidR="00B375EB" w:rsidRPr="009176F5" w:rsidRDefault="00B375EB" w:rsidP="00A00A40">
            <w:r w:rsidRPr="009176F5">
              <w:t>Discussion:</w:t>
            </w:r>
          </w:p>
          <w:p w:rsidR="00B375EB" w:rsidRPr="009176F5" w:rsidRDefault="00B375EB" w:rsidP="00B375EB">
            <w:pPr>
              <w:pStyle w:val="Title"/>
              <w:numPr>
                <w:ilvl w:val="0"/>
                <w:numId w:val="15"/>
              </w:numPr>
              <w:ind w:left="379"/>
              <w:jc w:val="left"/>
              <w:rPr>
                <w:b w:val="0"/>
              </w:rPr>
            </w:pPr>
            <w:r w:rsidRPr="009176F5">
              <w:rPr>
                <w:b w:val="0"/>
              </w:rPr>
              <w:t xml:space="preserve">Presented the Federal law regarding </w:t>
            </w:r>
            <w:r w:rsidR="001B0512">
              <w:rPr>
                <w:b w:val="0"/>
              </w:rPr>
              <w:t>d</w:t>
            </w:r>
            <w:r w:rsidRPr="009176F5">
              <w:rPr>
                <w:b w:val="0"/>
              </w:rPr>
              <w:t xml:space="preserve">rug </w:t>
            </w:r>
            <w:r w:rsidR="001B0512">
              <w:rPr>
                <w:b w:val="0"/>
              </w:rPr>
              <w:t>m</w:t>
            </w:r>
            <w:r w:rsidRPr="009176F5">
              <w:rPr>
                <w:b w:val="0"/>
              </w:rPr>
              <w:t>arketing and the Drug Efficacy Study Implementation (DESI) program</w:t>
            </w:r>
          </w:p>
          <w:p w:rsidR="00B375EB" w:rsidRPr="009176F5" w:rsidRDefault="00B375EB" w:rsidP="00B375EB">
            <w:pPr>
              <w:pStyle w:val="Title"/>
              <w:numPr>
                <w:ilvl w:val="0"/>
                <w:numId w:val="15"/>
              </w:numPr>
              <w:ind w:left="379"/>
              <w:jc w:val="left"/>
              <w:rPr>
                <w:b w:val="0"/>
              </w:rPr>
            </w:pPr>
            <w:proofErr w:type="gramStart"/>
            <w:r w:rsidRPr="009176F5">
              <w:rPr>
                <w:b w:val="0"/>
              </w:rPr>
              <w:t>Reviewed Librax (chlordiazepoxide/clidinium) and clinical literature supporting its use.</w:t>
            </w:r>
            <w:proofErr w:type="gramEnd"/>
          </w:p>
          <w:p w:rsidR="00B375EB" w:rsidRPr="009176F5" w:rsidRDefault="00B375EB" w:rsidP="00B375EB">
            <w:pPr>
              <w:pStyle w:val="Title"/>
              <w:numPr>
                <w:ilvl w:val="0"/>
                <w:numId w:val="15"/>
              </w:numPr>
              <w:ind w:left="379"/>
              <w:jc w:val="left"/>
              <w:rPr>
                <w:b w:val="0"/>
              </w:rPr>
            </w:pPr>
            <w:proofErr w:type="gramStart"/>
            <w:r w:rsidRPr="009176F5">
              <w:rPr>
                <w:b w:val="0"/>
              </w:rPr>
              <w:t>Discussed recommended updates to the management strategy for Librax (chlordiazepoxide/clidinium)</w:t>
            </w:r>
            <w:r w:rsidR="00447E10">
              <w:rPr>
                <w:b w:val="0"/>
              </w:rPr>
              <w:t>.</w:t>
            </w:r>
            <w:proofErr w:type="gramEnd"/>
          </w:p>
          <w:p w:rsidR="00B375EB" w:rsidRPr="009176F5" w:rsidRDefault="00B375EB" w:rsidP="00A00A40">
            <w:pPr>
              <w:pStyle w:val="Title"/>
              <w:ind w:left="379"/>
              <w:jc w:val="left"/>
              <w:rPr>
                <w:b w:val="0"/>
              </w:rPr>
            </w:pPr>
            <w:r w:rsidRPr="009176F5">
              <w:rPr>
                <w:b w:val="0"/>
              </w:rPr>
              <w:t xml:space="preserve"> </w:t>
            </w:r>
          </w:p>
          <w:p w:rsidR="00B375EB" w:rsidRPr="009176F5" w:rsidRDefault="00B375EB" w:rsidP="00A00A40">
            <w:pPr>
              <w:pStyle w:val="Title"/>
              <w:jc w:val="left"/>
              <w:rPr>
                <w:b w:val="0"/>
              </w:rPr>
            </w:pPr>
            <w:r w:rsidRPr="009176F5">
              <w:rPr>
                <w:b w:val="0"/>
              </w:rPr>
              <w:t>Recommendations:</w:t>
            </w:r>
          </w:p>
          <w:p w:rsidR="00B375EB" w:rsidRPr="009176F5" w:rsidRDefault="00B375EB" w:rsidP="00B375EB">
            <w:pPr>
              <w:pStyle w:val="Title"/>
              <w:numPr>
                <w:ilvl w:val="0"/>
                <w:numId w:val="19"/>
              </w:numPr>
              <w:jc w:val="left"/>
              <w:rPr>
                <w:b w:val="0"/>
              </w:rPr>
            </w:pPr>
            <w:r w:rsidRPr="009176F5">
              <w:rPr>
                <w:b w:val="0"/>
              </w:rPr>
              <w:t>Members would have to meet all the criteria as well as the diagnosis</w:t>
            </w:r>
            <w:r w:rsidR="00447E10">
              <w:rPr>
                <w:b w:val="0"/>
              </w:rPr>
              <w:t>.</w:t>
            </w:r>
          </w:p>
          <w:p w:rsidR="00B375EB" w:rsidRPr="009176F5" w:rsidRDefault="00B375EB" w:rsidP="00A00A40">
            <w:r w:rsidRPr="009176F5">
              <w:t>Questions:</w:t>
            </w:r>
          </w:p>
          <w:p w:rsidR="00B375EB" w:rsidRPr="009176F5" w:rsidRDefault="00DF369C" w:rsidP="00441B19">
            <w:pPr>
              <w:pStyle w:val="ListParagraph"/>
              <w:numPr>
                <w:ilvl w:val="0"/>
                <w:numId w:val="16"/>
              </w:numPr>
              <w:rPr>
                <w:rFonts w:cs="Arial"/>
              </w:rPr>
            </w:pPr>
            <w:r w:rsidRPr="009176F5">
              <w:rPr>
                <w:rFonts w:ascii="Arial" w:hAnsi="Arial" w:cs="Arial"/>
                <w:sz w:val="20"/>
              </w:rPr>
              <w:t>A Board</w:t>
            </w:r>
            <w:r w:rsidR="00B375EB" w:rsidRPr="009176F5">
              <w:rPr>
                <w:rFonts w:ascii="Arial" w:hAnsi="Arial" w:cs="Arial"/>
                <w:sz w:val="20"/>
              </w:rPr>
              <w:t xml:space="preserve"> member inquired</w:t>
            </w:r>
            <w:r w:rsidR="00447E10">
              <w:rPr>
                <w:rFonts w:ascii="Arial" w:hAnsi="Arial" w:cs="Arial"/>
                <w:sz w:val="20"/>
              </w:rPr>
              <w:t xml:space="preserve"> about</w:t>
            </w:r>
            <w:r w:rsidR="00B375EB" w:rsidRPr="009176F5">
              <w:rPr>
                <w:rFonts w:ascii="Arial" w:hAnsi="Arial" w:cs="Arial"/>
                <w:sz w:val="20"/>
              </w:rPr>
              <w:t xml:space="preserve"> the current utilization, and it was noted that MassHealth has one utilizing member that had transitioned while on this medication from an MCO.</w:t>
            </w:r>
          </w:p>
        </w:tc>
        <w:tc>
          <w:tcPr>
            <w:tcW w:w="2516" w:type="dxa"/>
          </w:tcPr>
          <w:p w:rsidR="00B375EB" w:rsidRPr="009A59E5" w:rsidRDefault="00B375EB" w:rsidP="00A00A40">
            <w:pPr>
              <w:rPr>
                <w:b/>
                <w:u w:val="single"/>
              </w:rPr>
            </w:pPr>
            <w:r w:rsidRPr="009A59E5">
              <w:rPr>
                <w:b/>
                <w:u w:val="single"/>
              </w:rPr>
              <w:t>Conclusion</w:t>
            </w:r>
          </w:p>
          <w:p w:rsidR="00B375EB" w:rsidRPr="009A59E5" w:rsidRDefault="00B375EB" w:rsidP="00A00A40">
            <w:r w:rsidRPr="009A59E5">
              <w:t>Informational</w:t>
            </w:r>
            <w:r>
              <w:t>/Advisory</w:t>
            </w:r>
          </w:p>
          <w:p w:rsidR="00B375EB" w:rsidRPr="00760FE3" w:rsidRDefault="00B375EB" w:rsidP="00A00A40">
            <w:pPr>
              <w:rPr>
                <w:b/>
                <w:u w:val="single"/>
              </w:rPr>
            </w:pPr>
          </w:p>
        </w:tc>
      </w:tr>
    </w:tbl>
    <w:tbl>
      <w:tblPr>
        <w:tblStyle w:val="TableGrid"/>
        <w:tblpPr w:leftFromText="180" w:rightFromText="180" w:vertAnchor="text" w:horzAnchor="margin" w:tblpY="613"/>
        <w:tblW w:w="0" w:type="auto"/>
        <w:tblLook w:val="04A0" w:firstRow="1" w:lastRow="0" w:firstColumn="1" w:lastColumn="0" w:noHBand="0" w:noVBand="1"/>
        <w:tblCaption w:val="Quality Assurance Analysis"/>
        <w:tblDescription w:val="Librax overview provided."/>
      </w:tblPr>
      <w:tblGrid>
        <w:gridCol w:w="2115"/>
        <w:gridCol w:w="8319"/>
        <w:gridCol w:w="2516"/>
      </w:tblGrid>
      <w:tr w:rsidR="00B375EB" w:rsidRPr="00421B1F" w:rsidTr="009E2298">
        <w:trPr>
          <w:tblHeader/>
        </w:trPr>
        <w:tc>
          <w:tcPr>
            <w:tcW w:w="2115"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319" w:type="dxa"/>
            <w:shd w:val="clear" w:color="auto" w:fill="000000" w:themeFill="text1"/>
          </w:tcPr>
          <w:p w:rsidR="00B375EB" w:rsidRPr="00421B1F" w:rsidRDefault="00B375EB" w:rsidP="00A00A40">
            <w:pPr>
              <w:rPr>
                <w:b/>
              </w:rPr>
            </w:pPr>
            <w:r w:rsidRPr="00421B1F">
              <w:rPr>
                <w:b/>
              </w:rPr>
              <w:t>Discussion</w:t>
            </w:r>
          </w:p>
        </w:tc>
        <w:tc>
          <w:tcPr>
            <w:tcW w:w="2516"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15" w:type="dxa"/>
          </w:tcPr>
          <w:p w:rsidR="00B375EB" w:rsidRPr="009552D3" w:rsidRDefault="00B375EB" w:rsidP="00441B19">
            <w:pPr>
              <w:rPr>
                <w:b/>
              </w:rPr>
            </w:pPr>
            <w:r>
              <w:rPr>
                <w:b/>
              </w:rPr>
              <w:t>MHDL Update</w:t>
            </w:r>
          </w:p>
        </w:tc>
        <w:tc>
          <w:tcPr>
            <w:tcW w:w="8319" w:type="dxa"/>
          </w:tcPr>
          <w:p w:rsidR="00B375EB" w:rsidRPr="000F52DE" w:rsidRDefault="00B375EB" w:rsidP="00A00A40">
            <w:pPr>
              <w:contextualSpacing/>
              <w:rPr>
                <w:u w:val="single"/>
              </w:rPr>
            </w:pPr>
            <w:r w:rsidRPr="000F52DE">
              <w:rPr>
                <w:u w:val="single"/>
              </w:rPr>
              <w:t>MassHealth Drug List (MHDL) Updates given by Amy Jasinski</w:t>
            </w:r>
          </w:p>
          <w:p w:rsidR="00B375EB" w:rsidRPr="00055394" w:rsidRDefault="00B375EB" w:rsidP="0065087B">
            <w:pPr>
              <w:pStyle w:val="Title"/>
              <w:ind w:left="135"/>
              <w:jc w:val="left"/>
              <w:rPr>
                <w:b w:val="0"/>
              </w:rPr>
            </w:pPr>
            <w:r w:rsidRPr="00055394">
              <w:rPr>
                <w:rFonts w:cs="Arial"/>
                <w:b w:val="0"/>
              </w:rPr>
              <w:t>MHDL Overview including new additions, changes in Prior Authorization (PA) status, and related attachment updates to be implemented with an upcoming publication rollout.</w:t>
            </w:r>
          </w:p>
        </w:tc>
        <w:tc>
          <w:tcPr>
            <w:tcW w:w="2516" w:type="dxa"/>
          </w:tcPr>
          <w:p w:rsidR="00B375EB" w:rsidRPr="00425D75" w:rsidRDefault="00B375EB" w:rsidP="00A00A40">
            <w:pPr>
              <w:rPr>
                <w:b/>
                <w:u w:val="single"/>
              </w:rPr>
            </w:pPr>
            <w:r w:rsidRPr="00760FE3">
              <w:rPr>
                <w:b/>
                <w:u w:val="single"/>
              </w:rPr>
              <w:t>Follow Up</w:t>
            </w:r>
          </w:p>
          <w:p w:rsidR="00B375EB" w:rsidRDefault="00B375EB" w:rsidP="00A00A40">
            <w:r>
              <w:t>Informational/Advisory</w:t>
            </w:r>
          </w:p>
        </w:tc>
      </w:tr>
      <w:tr w:rsidR="00B375EB" w:rsidTr="00A00A40">
        <w:tc>
          <w:tcPr>
            <w:tcW w:w="2115" w:type="dxa"/>
          </w:tcPr>
          <w:p w:rsidR="00B375EB" w:rsidRPr="009552D3" w:rsidRDefault="00B375EB" w:rsidP="00A00A40">
            <w:pPr>
              <w:rPr>
                <w:b/>
              </w:rPr>
            </w:pPr>
            <w:r w:rsidRPr="009552D3">
              <w:rPr>
                <w:b/>
              </w:rPr>
              <w:t>Action</w:t>
            </w:r>
          </w:p>
        </w:tc>
        <w:tc>
          <w:tcPr>
            <w:tcW w:w="8319" w:type="dxa"/>
          </w:tcPr>
          <w:p w:rsidR="00B375EB" w:rsidRDefault="00B375EB" w:rsidP="00A00A40">
            <w:r>
              <w:t>Discussed new drug additions and changes that will go into effect on September 10, 2018</w:t>
            </w:r>
            <w:r w:rsidR="00447E10">
              <w:t>.</w:t>
            </w:r>
          </w:p>
          <w:p w:rsidR="00B375EB" w:rsidRDefault="00B375EB" w:rsidP="00A00A40">
            <w:pPr>
              <w:pStyle w:val="ListParagraph"/>
              <w:numPr>
                <w:ilvl w:val="0"/>
                <w:numId w:val="4"/>
              </w:numPr>
              <w:ind w:left="524"/>
              <w:contextualSpacing/>
              <w:rPr>
                <w:rFonts w:ascii="Arial" w:hAnsi="Arial" w:cs="Arial"/>
                <w:sz w:val="20"/>
              </w:rPr>
            </w:pPr>
            <w:r w:rsidRPr="003A0287">
              <w:rPr>
                <w:rFonts w:ascii="Arial" w:hAnsi="Arial" w:cs="Arial"/>
                <w:sz w:val="20"/>
              </w:rPr>
              <w:t xml:space="preserve">There will be </w:t>
            </w:r>
            <w:r>
              <w:rPr>
                <w:rFonts w:ascii="Arial" w:hAnsi="Arial" w:cs="Arial"/>
                <w:sz w:val="20"/>
              </w:rPr>
              <w:t>eight</w:t>
            </w:r>
            <w:r w:rsidRPr="003A0287">
              <w:rPr>
                <w:rFonts w:ascii="Arial" w:hAnsi="Arial" w:cs="Arial"/>
                <w:sz w:val="20"/>
              </w:rPr>
              <w:t xml:space="preserve"> n</w:t>
            </w:r>
            <w:r>
              <w:rPr>
                <w:rFonts w:ascii="Arial" w:hAnsi="Arial" w:cs="Arial"/>
                <w:sz w:val="20"/>
              </w:rPr>
              <w:t>ew drugs added to the drug list and seven will require PA</w:t>
            </w:r>
            <w:r w:rsidR="00447E10">
              <w:rPr>
                <w:rFonts w:ascii="Arial" w:hAnsi="Arial" w:cs="Arial"/>
                <w:sz w:val="20"/>
              </w:rPr>
              <w:t>.</w:t>
            </w:r>
            <w:r>
              <w:rPr>
                <w:rFonts w:ascii="Arial" w:hAnsi="Arial" w:cs="Arial"/>
                <w:sz w:val="20"/>
              </w:rPr>
              <w:t xml:space="preserve"> </w:t>
            </w:r>
            <w:r w:rsidR="00447E10">
              <w:rPr>
                <w:rFonts w:ascii="Arial" w:hAnsi="Arial" w:cs="Arial"/>
                <w:sz w:val="20"/>
              </w:rPr>
              <w:t>O</w:t>
            </w:r>
            <w:r>
              <w:rPr>
                <w:rFonts w:ascii="Arial" w:hAnsi="Arial" w:cs="Arial"/>
                <w:sz w:val="20"/>
              </w:rPr>
              <w:t>ne will not require PA.</w:t>
            </w:r>
          </w:p>
          <w:p w:rsidR="00B375EB" w:rsidRPr="00E8209E" w:rsidRDefault="00447E10" w:rsidP="00A00A40">
            <w:pPr>
              <w:pStyle w:val="ListParagraph"/>
              <w:numPr>
                <w:ilvl w:val="0"/>
                <w:numId w:val="4"/>
              </w:numPr>
              <w:ind w:left="524"/>
              <w:contextualSpacing/>
              <w:rPr>
                <w:rFonts w:ascii="Arial" w:hAnsi="Arial" w:cs="Arial"/>
                <w:sz w:val="20"/>
              </w:rPr>
            </w:pPr>
            <w:r>
              <w:rPr>
                <w:rFonts w:ascii="Arial" w:hAnsi="Arial" w:cs="Arial"/>
                <w:sz w:val="20"/>
              </w:rPr>
              <w:t xml:space="preserve">The </w:t>
            </w:r>
            <w:r w:rsidR="00B375EB">
              <w:rPr>
                <w:rFonts w:ascii="Arial" w:hAnsi="Arial" w:cs="Arial"/>
                <w:sz w:val="20"/>
              </w:rPr>
              <w:t xml:space="preserve">FDA “A”’ Rated Generic Drug </w:t>
            </w:r>
            <w:r w:rsidR="00B375EB" w:rsidRPr="00E8209E">
              <w:rPr>
                <w:rFonts w:ascii="Arial" w:hAnsi="Arial" w:cs="Arial"/>
                <w:sz w:val="20"/>
              </w:rPr>
              <w:t>ertapenem</w:t>
            </w:r>
            <w:r w:rsidR="00B375EB">
              <w:rPr>
                <w:rFonts w:ascii="Arial" w:hAnsi="Arial" w:cs="Arial"/>
                <w:sz w:val="20"/>
              </w:rPr>
              <w:t xml:space="preserve"> is the generic of </w:t>
            </w:r>
            <w:r w:rsidR="00B375EB" w:rsidRPr="00E8209E">
              <w:rPr>
                <w:rFonts w:ascii="Arial" w:hAnsi="Arial" w:cs="Arial"/>
                <w:sz w:val="20"/>
              </w:rPr>
              <w:t>Invanz #</w:t>
            </w:r>
            <w:r>
              <w:rPr>
                <w:rFonts w:ascii="Arial" w:hAnsi="Arial" w:cs="Arial"/>
                <w:sz w:val="20"/>
              </w:rPr>
              <w:t>.</w:t>
            </w:r>
          </w:p>
          <w:p w:rsidR="00B375EB" w:rsidRDefault="00B375EB" w:rsidP="00A00A40">
            <w:pPr>
              <w:pStyle w:val="ListParagraph"/>
              <w:numPr>
                <w:ilvl w:val="0"/>
                <w:numId w:val="4"/>
              </w:numPr>
              <w:ind w:left="524"/>
              <w:contextualSpacing/>
              <w:rPr>
                <w:rFonts w:ascii="Arial" w:hAnsi="Arial" w:cs="Arial"/>
                <w:sz w:val="20"/>
              </w:rPr>
            </w:pPr>
            <w:r>
              <w:rPr>
                <w:rFonts w:ascii="Arial" w:hAnsi="Arial" w:cs="Arial"/>
                <w:sz w:val="20"/>
              </w:rPr>
              <w:t>Two Multiple Sclerosis agents will now require PA.</w:t>
            </w:r>
          </w:p>
          <w:p w:rsidR="00B375EB" w:rsidRDefault="00B375EB" w:rsidP="00A00A40">
            <w:pPr>
              <w:pStyle w:val="ListParagraph"/>
              <w:numPr>
                <w:ilvl w:val="0"/>
                <w:numId w:val="4"/>
              </w:numPr>
              <w:ind w:left="524"/>
              <w:contextualSpacing/>
              <w:rPr>
                <w:rFonts w:ascii="Arial" w:hAnsi="Arial" w:cs="Arial"/>
                <w:sz w:val="20"/>
              </w:rPr>
            </w:pPr>
            <w:r>
              <w:rPr>
                <w:rFonts w:ascii="Arial" w:hAnsi="Arial" w:cs="Arial"/>
                <w:sz w:val="20"/>
              </w:rPr>
              <w:t>Three otic antibiotic agents will no longer require PA.</w:t>
            </w:r>
          </w:p>
          <w:p w:rsidR="00B375EB" w:rsidRDefault="00B375EB" w:rsidP="00A00A40">
            <w:pPr>
              <w:pStyle w:val="ListParagraph"/>
              <w:numPr>
                <w:ilvl w:val="0"/>
                <w:numId w:val="4"/>
              </w:numPr>
              <w:ind w:left="524"/>
              <w:contextualSpacing/>
              <w:rPr>
                <w:rFonts w:ascii="Arial" w:hAnsi="Arial" w:cs="Arial"/>
                <w:sz w:val="20"/>
              </w:rPr>
            </w:pPr>
            <w:r>
              <w:rPr>
                <w:rFonts w:ascii="Arial" w:hAnsi="Arial" w:cs="Arial"/>
                <w:sz w:val="20"/>
              </w:rPr>
              <w:t>Five glaucoma agents will no longer require PA.</w:t>
            </w:r>
          </w:p>
          <w:p w:rsidR="00B375EB" w:rsidRDefault="00B375EB" w:rsidP="00A00A40">
            <w:pPr>
              <w:pStyle w:val="ListParagraph"/>
              <w:numPr>
                <w:ilvl w:val="0"/>
                <w:numId w:val="4"/>
              </w:numPr>
              <w:ind w:left="524"/>
              <w:contextualSpacing/>
              <w:rPr>
                <w:rFonts w:ascii="Arial" w:hAnsi="Arial" w:cs="Arial"/>
                <w:sz w:val="20"/>
              </w:rPr>
            </w:pPr>
            <w:r>
              <w:rPr>
                <w:rFonts w:ascii="Arial" w:hAnsi="Arial" w:cs="Arial"/>
                <w:sz w:val="20"/>
              </w:rPr>
              <w:t>Eleven anticonvulsant agents will no longer require PA for age &lt;</w:t>
            </w:r>
            <w:r w:rsidR="00F14DFB">
              <w:rPr>
                <w:rFonts w:ascii="Arial" w:hAnsi="Arial" w:cs="Arial"/>
                <w:sz w:val="20"/>
              </w:rPr>
              <w:t xml:space="preserve"> </w:t>
            </w:r>
            <w:r w:rsidR="00447E10">
              <w:rPr>
                <w:rFonts w:ascii="Arial" w:hAnsi="Arial" w:cs="Arial"/>
                <w:sz w:val="20"/>
              </w:rPr>
              <w:t>six</w:t>
            </w:r>
            <w:r>
              <w:rPr>
                <w:rFonts w:ascii="Arial" w:hAnsi="Arial" w:cs="Arial"/>
                <w:sz w:val="20"/>
              </w:rPr>
              <w:t xml:space="preserve"> years. PBHMI polypharmacy criteria still apply.</w:t>
            </w:r>
          </w:p>
          <w:p w:rsidR="00B375EB" w:rsidRDefault="00B375EB" w:rsidP="00A00A40">
            <w:pPr>
              <w:pStyle w:val="ListParagraph"/>
              <w:numPr>
                <w:ilvl w:val="0"/>
                <w:numId w:val="4"/>
              </w:numPr>
              <w:ind w:left="524"/>
              <w:contextualSpacing/>
              <w:rPr>
                <w:rFonts w:ascii="Arial" w:hAnsi="Arial" w:cs="Arial"/>
                <w:sz w:val="20"/>
              </w:rPr>
            </w:pPr>
            <w:r>
              <w:rPr>
                <w:rFonts w:ascii="Arial" w:hAnsi="Arial" w:cs="Arial"/>
                <w:sz w:val="20"/>
              </w:rPr>
              <w:t>One nutrient product was added to the MassHealth Over-the-Counter Drug List.</w:t>
            </w:r>
          </w:p>
          <w:p w:rsidR="00B375EB" w:rsidRDefault="00B375EB" w:rsidP="00A00A40">
            <w:pPr>
              <w:pStyle w:val="ListParagraph"/>
              <w:numPr>
                <w:ilvl w:val="0"/>
                <w:numId w:val="4"/>
              </w:numPr>
              <w:ind w:left="524"/>
              <w:contextualSpacing/>
              <w:rPr>
                <w:rFonts w:ascii="Arial" w:hAnsi="Arial" w:cs="Arial"/>
                <w:sz w:val="20"/>
              </w:rPr>
            </w:pPr>
            <w:r>
              <w:rPr>
                <w:rFonts w:ascii="Arial" w:hAnsi="Arial" w:cs="Arial"/>
                <w:sz w:val="20"/>
              </w:rPr>
              <w:t>Three drugs were added to the MassHealth Brand Preferred Generic Drug List.</w:t>
            </w:r>
          </w:p>
          <w:p w:rsidR="00B375EB" w:rsidRPr="002B527C" w:rsidRDefault="00B375EB" w:rsidP="00A00A40">
            <w:pPr>
              <w:pStyle w:val="ListParagraph"/>
              <w:numPr>
                <w:ilvl w:val="0"/>
                <w:numId w:val="4"/>
              </w:numPr>
              <w:ind w:left="524"/>
              <w:contextualSpacing/>
              <w:rPr>
                <w:rFonts w:ascii="Arial" w:hAnsi="Arial" w:cs="Arial"/>
                <w:sz w:val="20"/>
              </w:rPr>
            </w:pPr>
            <w:r w:rsidRPr="002B527C">
              <w:rPr>
                <w:rFonts w:ascii="Arial" w:hAnsi="Arial" w:cs="Arial"/>
                <w:sz w:val="20"/>
              </w:rPr>
              <w:t>One drug was removed from the MassHealth Brand Preferred Generic Drug List.</w:t>
            </w:r>
          </w:p>
        </w:tc>
        <w:tc>
          <w:tcPr>
            <w:tcW w:w="2516" w:type="dxa"/>
          </w:tcPr>
          <w:p w:rsidR="00B375EB" w:rsidRPr="009A59E5" w:rsidRDefault="00B375EB" w:rsidP="00A00A40">
            <w:pPr>
              <w:rPr>
                <w:b/>
                <w:u w:val="single"/>
              </w:rPr>
            </w:pPr>
            <w:r w:rsidRPr="009A59E5">
              <w:rPr>
                <w:b/>
                <w:u w:val="single"/>
              </w:rPr>
              <w:t>Conclusion</w:t>
            </w:r>
          </w:p>
          <w:p w:rsidR="00B375EB" w:rsidRPr="00760FE3" w:rsidRDefault="00B375EB" w:rsidP="00441B19">
            <w:pPr>
              <w:rPr>
                <w:b/>
                <w:u w:val="single"/>
              </w:rPr>
            </w:pPr>
            <w:r w:rsidRPr="009A59E5">
              <w:t>Informational</w:t>
            </w:r>
            <w:r>
              <w:t>/Advisory</w:t>
            </w:r>
          </w:p>
        </w:tc>
      </w:tr>
    </w:tbl>
    <w:p w:rsidR="00B375EB" w:rsidRDefault="00B375EB" w:rsidP="00B375EB"/>
    <w:tbl>
      <w:tblPr>
        <w:tblStyle w:val="TableGrid"/>
        <w:tblpPr w:leftFromText="180" w:rightFromText="180" w:vertAnchor="text" w:horzAnchor="margin" w:tblpYSpec="bottom"/>
        <w:tblW w:w="0" w:type="auto"/>
        <w:tblLook w:val="04A0" w:firstRow="1" w:lastRow="0" w:firstColumn="1" w:lastColumn="0" w:noHBand="0" w:noVBand="1"/>
        <w:tblCaption w:val="Presentation by Patricia Leno"/>
        <w:tblDescription w:val="Quarterly Operational Statistics "/>
      </w:tblPr>
      <w:tblGrid>
        <w:gridCol w:w="2115"/>
        <w:gridCol w:w="8319"/>
        <w:gridCol w:w="2516"/>
      </w:tblGrid>
      <w:tr w:rsidR="00B375EB" w:rsidRPr="00421B1F" w:rsidTr="009E2298">
        <w:trPr>
          <w:tblHeader/>
        </w:trPr>
        <w:tc>
          <w:tcPr>
            <w:tcW w:w="2115"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319" w:type="dxa"/>
            <w:shd w:val="clear" w:color="auto" w:fill="000000" w:themeFill="text1"/>
          </w:tcPr>
          <w:p w:rsidR="00B375EB" w:rsidRPr="00421B1F" w:rsidRDefault="00B375EB" w:rsidP="00A00A40">
            <w:pPr>
              <w:rPr>
                <w:b/>
              </w:rPr>
            </w:pPr>
            <w:r w:rsidRPr="00421B1F">
              <w:rPr>
                <w:b/>
              </w:rPr>
              <w:t>Discussion</w:t>
            </w:r>
          </w:p>
        </w:tc>
        <w:tc>
          <w:tcPr>
            <w:tcW w:w="2516"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15" w:type="dxa"/>
          </w:tcPr>
          <w:p w:rsidR="00B375EB" w:rsidRPr="009552D3" w:rsidRDefault="00B375EB" w:rsidP="00441B19">
            <w:pPr>
              <w:rPr>
                <w:b/>
              </w:rPr>
            </w:pPr>
            <w:r>
              <w:rPr>
                <w:b/>
              </w:rPr>
              <w:t>DUR Operational Update</w:t>
            </w:r>
          </w:p>
        </w:tc>
        <w:tc>
          <w:tcPr>
            <w:tcW w:w="8319" w:type="dxa"/>
          </w:tcPr>
          <w:p w:rsidR="00B375EB" w:rsidRDefault="00B375EB" w:rsidP="00A00A40">
            <w:pPr>
              <w:tabs>
                <w:tab w:val="left" w:pos="961"/>
              </w:tabs>
              <w:rPr>
                <w:u w:val="single"/>
              </w:rPr>
            </w:pPr>
            <w:r w:rsidRPr="000F52DE">
              <w:rPr>
                <w:u w:val="single"/>
              </w:rPr>
              <w:t>Quarterly Operational Statistics</w:t>
            </w:r>
            <w:r>
              <w:rPr>
                <w:u w:val="single"/>
              </w:rPr>
              <w:t xml:space="preserve"> presentation given by Patricia Leto</w:t>
            </w:r>
          </w:p>
          <w:p w:rsidR="00B375EB" w:rsidRPr="00055394" w:rsidRDefault="00447E10" w:rsidP="0065087B">
            <w:pPr>
              <w:pStyle w:val="Title"/>
              <w:ind w:left="135"/>
              <w:jc w:val="left"/>
              <w:rPr>
                <w:b w:val="0"/>
              </w:rPr>
            </w:pPr>
            <w:r>
              <w:rPr>
                <w:b w:val="0"/>
              </w:rPr>
              <w:t xml:space="preserve">A </w:t>
            </w:r>
            <w:r w:rsidR="00B375EB" w:rsidRPr="00215E3F">
              <w:rPr>
                <w:b w:val="0"/>
              </w:rPr>
              <w:t>DUR Operational Overview includ</w:t>
            </w:r>
            <w:r w:rsidR="00B375EB">
              <w:rPr>
                <w:b w:val="0"/>
              </w:rPr>
              <w:t xml:space="preserve">ing statistics associated with Prior </w:t>
            </w:r>
            <w:r w:rsidR="00B375EB" w:rsidRPr="00215E3F">
              <w:rPr>
                <w:b w:val="0"/>
              </w:rPr>
              <w:t>Authorization (PA) review and PA response, and Call Center metrics</w:t>
            </w:r>
            <w:r>
              <w:rPr>
                <w:b w:val="0"/>
              </w:rPr>
              <w:t>, was presented</w:t>
            </w:r>
            <w:r w:rsidR="00B375EB">
              <w:rPr>
                <w:b w:val="0"/>
              </w:rPr>
              <w:t>.</w:t>
            </w:r>
          </w:p>
        </w:tc>
        <w:tc>
          <w:tcPr>
            <w:tcW w:w="2516" w:type="dxa"/>
          </w:tcPr>
          <w:p w:rsidR="00B375EB" w:rsidRPr="00425D75" w:rsidRDefault="00B375EB" w:rsidP="00A00A40">
            <w:pPr>
              <w:rPr>
                <w:b/>
                <w:u w:val="single"/>
              </w:rPr>
            </w:pPr>
            <w:r w:rsidRPr="00760FE3">
              <w:rPr>
                <w:b/>
                <w:u w:val="single"/>
              </w:rPr>
              <w:t>Follow Up</w:t>
            </w:r>
          </w:p>
          <w:p w:rsidR="00B375EB" w:rsidRDefault="00B375EB" w:rsidP="00A00A40">
            <w:r>
              <w:t>Informational/Advisory</w:t>
            </w:r>
            <w:r w:rsidRPr="00760FE3">
              <w:rPr>
                <w:b/>
                <w:u w:val="single"/>
              </w:rPr>
              <w:t xml:space="preserve"> </w:t>
            </w:r>
          </w:p>
        </w:tc>
      </w:tr>
      <w:tr w:rsidR="00B375EB" w:rsidTr="00A00A40">
        <w:tc>
          <w:tcPr>
            <w:tcW w:w="2115" w:type="dxa"/>
          </w:tcPr>
          <w:p w:rsidR="00B375EB" w:rsidRPr="009552D3" w:rsidRDefault="00B375EB" w:rsidP="00A00A40">
            <w:pPr>
              <w:rPr>
                <w:b/>
              </w:rPr>
            </w:pPr>
            <w:r w:rsidRPr="009552D3">
              <w:rPr>
                <w:b/>
              </w:rPr>
              <w:t>Action</w:t>
            </w:r>
          </w:p>
        </w:tc>
        <w:tc>
          <w:tcPr>
            <w:tcW w:w="8319" w:type="dxa"/>
          </w:tcPr>
          <w:p w:rsidR="00B375EB" w:rsidRPr="00A53694" w:rsidRDefault="00B375EB" w:rsidP="00B375EB">
            <w:pPr>
              <w:pStyle w:val="ListParagraph"/>
              <w:numPr>
                <w:ilvl w:val="0"/>
                <w:numId w:val="5"/>
              </w:numPr>
              <w:overflowPunct w:val="0"/>
              <w:autoSpaceDE w:val="0"/>
              <w:autoSpaceDN w:val="0"/>
              <w:adjustRightInd w:val="0"/>
              <w:ind w:left="524"/>
              <w:contextualSpacing/>
              <w:rPr>
                <w:rFonts w:ascii="Arial" w:hAnsi="Arial" w:cs="Arial"/>
                <w:sz w:val="20"/>
              </w:rPr>
            </w:pPr>
            <w:r w:rsidRPr="00457130">
              <w:rPr>
                <w:rFonts w:ascii="Arial" w:hAnsi="Arial" w:cs="Arial"/>
                <w:sz w:val="20"/>
              </w:rPr>
              <w:t xml:space="preserve">Prior Authorization (PA) Requests </w:t>
            </w:r>
            <w:r>
              <w:rPr>
                <w:rFonts w:ascii="Arial" w:hAnsi="Arial" w:cs="Arial"/>
                <w:sz w:val="20"/>
              </w:rPr>
              <w:t>averaged 7,000 per month FY17, with a peak March FY18 of 13,552 PA requests</w:t>
            </w:r>
            <w:r w:rsidR="00447E10">
              <w:rPr>
                <w:rFonts w:ascii="Arial" w:hAnsi="Arial" w:cs="Arial"/>
                <w:sz w:val="20"/>
              </w:rPr>
              <w:t>.</w:t>
            </w:r>
          </w:p>
          <w:p w:rsidR="00B375EB" w:rsidRPr="0097194D" w:rsidRDefault="00B375EB" w:rsidP="00B375EB">
            <w:pPr>
              <w:pStyle w:val="ListParagraph"/>
              <w:numPr>
                <w:ilvl w:val="0"/>
                <w:numId w:val="5"/>
              </w:numPr>
              <w:overflowPunct w:val="0"/>
              <w:autoSpaceDE w:val="0"/>
              <w:autoSpaceDN w:val="0"/>
              <w:adjustRightInd w:val="0"/>
              <w:ind w:left="524"/>
              <w:contextualSpacing/>
              <w:rPr>
                <w:rFonts w:ascii="Arial" w:hAnsi="Arial" w:cs="Arial"/>
                <w:sz w:val="20"/>
              </w:rPr>
            </w:pPr>
            <w:r w:rsidRPr="00457130">
              <w:rPr>
                <w:rFonts w:ascii="Arial" w:hAnsi="Arial" w:cs="Arial"/>
                <w:sz w:val="20"/>
              </w:rPr>
              <w:t xml:space="preserve">Call </w:t>
            </w:r>
            <w:r w:rsidR="006378CC">
              <w:rPr>
                <w:rFonts w:ascii="Arial" w:hAnsi="Arial" w:cs="Arial"/>
                <w:sz w:val="20"/>
              </w:rPr>
              <w:t>v</w:t>
            </w:r>
            <w:r w:rsidRPr="00457130">
              <w:rPr>
                <w:rFonts w:ascii="Arial" w:hAnsi="Arial" w:cs="Arial"/>
                <w:sz w:val="20"/>
              </w:rPr>
              <w:t xml:space="preserve">olume </w:t>
            </w:r>
            <w:r>
              <w:rPr>
                <w:rFonts w:ascii="Arial" w:hAnsi="Arial" w:cs="Arial"/>
                <w:sz w:val="20"/>
              </w:rPr>
              <w:t>averaged 7,000 calls per month FY17, with a peak March FY18 of 11,101 calls</w:t>
            </w:r>
            <w:r w:rsidR="006378CC">
              <w:rPr>
                <w:rFonts w:ascii="Arial" w:hAnsi="Arial" w:cs="Arial"/>
                <w:sz w:val="20"/>
              </w:rPr>
              <w:t>.</w:t>
            </w:r>
            <w:r w:rsidRPr="00457130">
              <w:rPr>
                <w:rFonts w:ascii="Arial" w:hAnsi="Arial" w:cs="Arial"/>
                <w:sz w:val="20"/>
              </w:rPr>
              <w:t xml:space="preserve"> </w:t>
            </w:r>
          </w:p>
          <w:p w:rsidR="00B375EB" w:rsidRDefault="006378CC" w:rsidP="00B375EB">
            <w:pPr>
              <w:pStyle w:val="ListParagraph"/>
              <w:numPr>
                <w:ilvl w:val="0"/>
                <w:numId w:val="7"/>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The c</w:t>
            </w:r>
            <w:r w:rsidR="00B375EB">
              <w:rPr>
                <w:rFonts w:ascii="Arial" w:hAnsi="Arial" w:cs="Arial"/>
                <w:sz w:val="20"/>
              </w:rPr>
              <w:t xml:space="preserve">all </w:t>
            </w:r>
            <w:r>
              <w:rPr>
                <w:rFonts w:ascii="Arial" w:hAnsi="Arial" w:cs="Arial"/>
                <w:sz w:val="20"/>
              </w:rPr>
              <w:t>a</w:t>
            </w:r>
            <w:r w:rsidR="00B375EB">
              <w:rPr>
                <w:rFonts w:ascii="Arial" w:hAnsi="Arial" w:cs="Arial"/>
                <w:sz w:val="20"/>
              </w:rPr>
              <w:t>bandonment rate was approximately 2.7%</w:t>
            </w:r>
            <w:r>
              <w:rPr>
                <w:rFonts w:ascii="Arial" w:hAnsi="Arial" w:cs="Arial"/>
                <w:sz w:val="20"/>
              </w:rPr>
              <w:t>.</w:t>
            </w:r>
            <w:r w:rsidR="00B375EB">
              <w:rPr>
                <w:rFonts w:ascii="Arial" w:hAnsi="Arial" w:cs="Arial"/>
                <w:sz w:val="20"/>
              </w:rPr>
              <w:t xml:space="preserve"> </w:t>
            </w:r>
          </w:p>
          <w:p w:rsidR="00B375EB" w:rsidRPr="00770396" w:rsidRDefault="00944D9C" w:rsidP="00B375EB">
            <w:pPr>
              <w:pStyle w:val="ListParagraph"/>
              <w:numPr>
                <w:ilvl w:val="0"/>
                <w:numId w:val="7"/>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The a</w:t>
            </w:r>
            <w:r w:rsidR="00B375EB" w:rsidRPr="00770396">
              <w:rPr>
                <w:rFonts w:ascii="Arial" w:hAnsi="Arial" w:cs="Arial"/>
                <w:sz w:val="20"/>
              </w:rPr>
              <w:t xml:space="preserve">verage </w:t>
            </w:r>
            <w:r>
              <w:rPr>
                <w:rFonts w:ascii="Arial" w:hAnsi="Arial" w:cs="Arial"/>
                <w:sz w:val="20"/>
              </w:rPr>
              <w:t>a</w:t>
            </w:r>
            <w:r w:rsidR="00B375EB" w:rsidRPr="00770396">
              <w:rPr>
                <w:rFonts w:ascii="Arial" w:hAnsi="Arial" w:cs="Arial"/>
                <w:sz w:val="20"/>
              </w:rPr>
              <w:t xml:space="preserve">nswered </w:t>
            </w:r>
            <w:r>
              <w:rPr>
                <w:rFonts w:ascii="Arial" w:hAnsi="Arial" w:cs="Arial"/>
                <w:sz w:val="20"/>
              </w:rPr>
              <w:t>c</w:t>
            </w:r>
            <w:r w:rsidR="00B375EB" w:rsidRPr="00770396">
              <w:rPr>
                <w:rFonts w:ascii="Arial" w:hAnsi="Arial" w:cs="Arial"/>
                <w:sz w:val="20"/>
              </w:rPr>
              <w:t xml:space="preserve">all </w:t>
            </w:r>
            <w:r>
              <w:rPr>
                <w:rFonts w:ascii="Arial" w:hAnsi="Arial" w:cs="Arial"/>
                <w:sz w:val="20"/>
              </w:rPr>
              <w:t>w</w:t>
            </w:r>
            <w:r w:rsidR="00B375EB" w:rsidRPr="00770396">
              <w:rPr>
                <w:rFonts w:ascii="Arial" w:hAnsi="Arial" w:cs="Arial"/>
                <w:sz w:val="20"/>
              </w:rPr>
              <w:t xml:space="preserve">ait </w:t>
            </w:r>
            <w:r>
              <w:rPr>
                <w:rFonts w:ascii="Arial" w:hAnsi="Arial" w:cs="Arial"/>
                <w:sz w:val="20"/>
              </w:rPr>
              <w:t>t</w:t>
            </w:r>
            <w:r w:rsidR="00B375EB" w:rsidRPr="00770396">
              <w:rPr>
                <w:rFonts w:ascii="Arial" w:hAnsi="Arial" w:cs="Arial"/>
                <w:sz w:val="20"/>
              </w:rPr>
              <w:t xml:space="preserve">ime </w:t>
            </w:r>
            <w:r w:rsidR="00B375EB">
              <w:rPr>
                <w:rFonts w:ascii="Arial" w:hAnsi="Arial" w:cs="Arial"/>
                <w:sz w:val="20"/>
              </w:rPr>
              <w:t>was</w:t>
            </w:r>
            <w:r w:rsidR="00B375EB" w:rsidRPr="00770396">
              <w:rPr>
                <w:rFonts w:ascii="Arial" w:hAnsi="Arial" w:cs="Arial"/>
                <w:sz w:val="20"/>
              </w:rPr>
              <w:t xml:space="preserve"> </w:t>
            </w:r>
            <w:r w:rsidR="00B375EB">
              <w:rPr>
                <w:rFonts w:ascii="Arial" w:hAnsi="Arial" w:cs="Arial"/>
                <w:sz w:val="20"/>
              </w:rPr>
              <w:t>1.15</w:t>
            </w:r>
            <w:r w:rsidR="00B375EB" w:rsidRPr="00770396">
              <w:rPr>
                <w:rFonts w:ascii="Arial" w:hAnsi="Arial" w:cs="Arial"/>
                <w:sz w:val="20"/>
              </w:rPr>
              <w:t xml:space="preserve"> seconds</w:t>
            </w:r>
            <w:r>
              <w:rPr>
                <w:rFonts w:ascii="Arial" w:hAnsi="Arial" w:cs="Arial"/>
                <w:sz w:val="20"/>
              </w:rPr>
              <w:t>.</w:t>
            </w:r>
          </w:p>
          <w:p w:rsidR="00B375EB" w:rsidRPr="009176F5" w:rsidRDefault="00944D9C" w:rsidP="00B375EB">
            <w:pPr>
              <w:pStyle w:val="ListParagraph"/>
              <w:numPr>
                <w:ilvl w:val="0"/>
                <w:numId w:val="7"/>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The o</w:t>
            </w:r>
            <w:r w:rsidR="00B375EB" w:rsidRPr="00770396">
              <w:rPr>
                <w:rFonts w:ascii="Arial" w:hAnsi="Arial" w:cs="Arial"/>
                <w:sz w:val="20"/>
              </w:rPr>
              <w:t xml:space="preserve">verall </w:t>
            </w:r>
            <w:r>
              <w:rPr>
                <w:rFonts w:ascii="Arial" w:hAnsi="Arial" w:cs="Arial"/>
                <w:sz w:val="20"/>
              </w:rPr>
              <w:t>c</w:t>
            </w:r>
            <w:r w:rsidR="00B375EB" w:rsidRPr="00770396">
              <w:rPr>
                <w:rFonts w:ascii="Arial" w:hAnsi="Arial" w:cs="Arial"/>
                <w:sz w:val="20"/>
              </w:rPr>
              <w:t xml:space="preserve">all </w:t>
            </w:r>
            <w:r>
              <w:rPr>
                <w:rFonts w:ascii="Arial" w:hAnsi="Arial" w:cs="Arial"/>
                <w:sz w:val="20"/>
              </w:rPr>
              <w:t>t</w:t>
            </w:r>
            <w:r w:rsidR="00B375EB" w:rsidRPr="00770396">
              <w:rPr>
                <w:rFonts w:ascii="Arial" w:hAnsi="Arial" w:cs="Arial"/>
                <w:sz w:val="20"/>
              </w:rPr>
              <w:t xml:space="preserve">ime for </w:t>
            </w:r>
            <w:r>
              <w:rPr>
                <w:rFonts w:ascii="Arial" w:hAnsi="Arial" w:cs="Arial"/>
                <w:sz w:val="20"/>
              </w:rPr>
              <w:t>a</w:t>
            </w:r>
            <w:r w:rsidR="00B375EB" w:rsidRPr="00770396">
              <w:rPr>
                <w:rFonts w:ascii="Arial" w:hAnsi="Arial" w:cs="Arial"/>
                <w:sz w:val="20"/>
              </w:rPr>
              <w:t xml:space="preserve">nswered </w:t>
            </w:r>
            <w:r>
              <w:rPr>
                <w:rFonts w:ascii="Arial" w:hAnsi="Arial" w:cs="Arial"/>
                <w:sz w:val="20"/>
              </w:rPr>
              <w:t>c</w:t>
            </w:r>
            <w:r w:rsidR="00B375EB" w:rsidRPr="00770396">
              <w:rPr>
                <w:rFonts w:ascii="Arial" w:hAnsi="Arial" w:cs="Arial"/>
                <w:sz w:val="20"/>
              </w:rPr>
              <w:t xml:space="preserve">alls </w:t>
            </w:r>
            <w:r w:rsidR="00B375EB">
              <w:rPr>
                <w:rFonts w:ascii="Arial" w:hAnsi="Arial" w:cs="Arial"/>
                <w:sz w:val="20"/>
              </w:rPr>
              <w:t>was 37</w:t>
            </w:r>
            <w:r w:rsidR="00B375EB" w:rsidRPr="00770396">
              <w:rPr>
                <w:rFonts w:ascii="Arial" w:hAnsi="Arial" w:cs="Arial"/>
                <w:sz w:val="20"/>
              </w:rPr>
              <w:t xml:space="preserve"> seconds</w:t>
            </w:r>
            <w:r w:rsidR="00B375EB">
              <w:rPr>
                <w:rFonts w:ascii="Arial" w:hAnsi="Arial" w:cs="Arial"/>
                <w:sz w:val="20"/>
              </w:rPr>
              <w:t>, noting</w:t>
            </w:r>
            <w:r>
              <w:rPr>
                <w:rFonts w:ascii="Arial" w:hAnsi="Arial" w:cs="Arial"/>
                <w:sz w:val="20"/>
              </w:rPr>
              <w:t xml:space="preserve"> the</w:t>
            </w:r>
            <w:r w:rsidR="00B375EB">
              <w:rPr>
                <w:rFonts w:ascii="Arial" w:hAnsi="Arial" w:cs="Arial"/>
                <w:sz w:val="20"/>
              </w:rPr>
              <w:t xml:space="preserve"> industry standard of under </w:t>
            </w:r>
            <w:r>
              <w:rPr>
                <w:rFonts w:ascii="Arial" w:hAnsi="Arial" w:cs="Arial"/>
                <w:sz w:val="20"/>
              </w:rPr>
              <w:t>four</w:t>
            </w:r>
            <w:r w:rsidR="00B375EB">
              <w:rPr>
                <w:rFonts w:ascii="Arial" w:hAnsi="Arial" w:cs="Arial"/>
                <w:sz w:val="20"/>
              </w:rPr>
              <w:t xml:space="preserve"> minutes.</w:t>
            </w:r>
          </w:p>
          <w:p w:rsidR="00B375EB" w:rsidRPr="00770396" w:rsidRDefault="00B375EB" w:rsidP="00B375EB">
            <w:pPr>
              <w:pStyle w:val="ListParagraph"/>
              <w:numPr>
                <w:ilvl w:val="0"/>
                <w:numId w:val="8"/>
              </w:numPr>
              <w:tabs>
                <w:tab w:val="left" w:pos="524"/>
              </w:tabs>
              <w:overflowPunct w:val="0"/>
              <w:autoSpaceDE w:val="0"/>
              <w:autoSpaceDN w:val="0"/>
              <w:adjustRightInd w:val="0"/>
              <w:ind w:left="614" w:hanging="450"/>
              <w:contextualSpacing/>
              <w:rPr>
                <w:rFonts w:ascii="Arial" w:hAnsi="Arial" w:cs="Arial"/>
                <w:sz w:val="20"/>
              </w:rPr>
            </w:pPr>
            <w:r w:rsidRPr="00770396">
              <w:rPr>
                <w:rFonts w:ascii="Arial" w:hAnsi="Arial" w:cs="Arial"/>
                <w:sz w:val="20"/>
              </w:rPr>
              <w:t>Appeals average</w:t>
            </w:r>
            <w:r>
              <w:rPr>
                <w:rFonts w:ascii="Arial" w:hAnsi="Arial" w:cs="Arial"/>
                <w:sz w:val="20"/>
              </w:rPr>
              <w:t>d</w:t>
            </w:r>
            <w:r w:rsidRPr="00770396">
              <w:rPr>
                <w:rFonts w:ascii="Arial" w:hAnsi="Arial" w:cs="Arial"/>
                <w:sz w:val="20"/>
              </w:rPr>
              <w:t xml:space="preserve"> </w:t>
            </w:r>
            <w:r>
              <w:rPr>
                <w:rFonts w:ascii="Arial" w:hAnsi="Arial" w:cs="Arial"/>
                <w:sz w:val="20"/>
              </w:rPr>
              <w:t>10</w:t>
            </w:r>
            <w:r w:rsidRPr="00770396">
              <w:rPr>
                <w:rFonts w:ascii="Arial" w:hAnsi="Arial" w:cs="Arial"/>
                <w:sz w:val="20"/>
              </w:rPr>
              <w:t xml:space="preserve"> per month</w:t>
            </w:r>
            <w:r w:rsidR="00944D9C">
              <w:rPr>
                <w:rFonts w:ascii="Arial" w:hAnsi="Arial" w:cs="Arial"/>
                <w:sz w:val="20"/>
              </w:rPr>
              <w:t>.</w:t>
            </w:r>
          </w:p>
          <w:p w:rsidR="00B375EB" w:rsidRPr="009176F5" w:rsidRDefault="00B375EB" w:rsidP="00B375EB">
            <w:pPr>
              <w:pStyle w:val="ListParagraph"/>
              <w:numPr>
                <w:ilvl w:val="0"/>
                <w:numId w:val="8"/>
              </w:numPr>
              <w:tabs>
                <w:tab w:val="left" w:pos="524"/>
              </w:tabs>
              <w:overflowPunct w:val="0"/>
              <w:autoSpaceDE w:val="0"/>
              <w:autoSpaceDN w:val="0"/>
              <w:adjustRightInd w:val="0"/>
              <w:ind w:left="614" w:hanging="450"/>
              <w:contextualSpacing/>
              <w:rPr>
                <w:rFonts w:ascii="Arial" w:hAnsi="Arial" w:cs="Arial"/>
                <w:sz w:val="20"/>
              </w:rPr>
            </w:pPr>
            <w:r w:rsidRPr="00770396">
              <w:rPr>
                <w:rFonts w:ascii="Arial" w:hAnsi="Arial" w:cs="Arial"/>
                <w:sz w:val="20"/>
              </w:rPr>
              <w:t>Provider outreach</w:t>
            </w:r>
            <w:r>
              <w:rPr>
                <w:rFonts w:ascii="Arial" w:hAnsi="Arial" w:cs="Arial"/>
                <w:sz w:val="20"/>
              </w:rPr>
              <w:t xml:space="preserve"> calls averaged 8-10% of call volume</w:t>
            </w:r>
            <w:r w:rsidR="00944D9C">
              <w:rPr>
                <w:rFonts w:ascii="Arial" w:hAnsi="Arial" w:cs="Arial"/>
                <w:sz w:val="20"/>
              </w:rPr>
              <w:t>.</w:t>
            </w:r>
          </w:p>
          <w:p w:rsidR="00B375EB" w:rsidRPr="00770396" w:rsidRDefault="00B375EB" w:rsidP="00B375EB">
            <w:pPr>
              <w:pStyle w:val="ListParagraph"/>
              <w:numPr>
                <w:ilvl w:val="0"/>
                <w:numId w:val="8"/>
              </w:numPr>
              <w:tabs>
                <w:tab w:val="left" w:pos="706"/>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Top 10 </w:t>
            </w:r>
            <w:r>
              <w:rPr>
                <w:rFonts w:ascii="Arial" w:hAnsi="Arial" w:cs="Arial"/>
                <w:sz w:val="20"/>
              </w:rPr>
              <w:t xml:space="preserve">PA </w:t>
            </w:r>
            <w:r w:rsidRPr="00770396">
              <w:rPr>
                <w:rFonts w:ascii="Arial" w:hAnsi="Arial" w:cs="Arial"/>
                <w:sz w:val="20"/>
              </w:rPr>
              <w:t>medications</w:t>
            </w:r>
          </w:p>
          <w:p w:rsidR="00F334E8" w:rsidRDefault="00F334E8" w:rsidP="00F334E8">
            <w:pPr>
              <w:pStyle w:val="ListParagraph"/>
              <w:numPr>
                <w:ilvl w:val="0"/>
                <w:numId w:val="6"/>
              </w:numPr>
              <w:tabs>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Methylphenidate</w:t>
            </w:r>
          </w:p>
          <w:p w:rsidR="00F334E8" w:rsidRPr="00770396" w:rsidRDefault="00F334E8" w:rsidP="00F334E8">
            <w:pPr>
              <w:pStyle w:val="ListParagraph"/>
              <w:numPr>
                <w:ilvl w:val="0"/>
                <w:numId w:val="6"/>
              </w:numPr>
              <w:tabs>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Clonidine</w:t>
            </w:r>
          </w:p>
          <w:p w:rsidR="00F334E8" w:rsidRPr="00770396" w:rsidRDefault="00F334E8" w:rsidP="00F334E8">
            <w:pPr>
              <w:pStyle w:val="ListParagraph"/>
              <w:numPr>
                <w:ilvl w:val="0"/>
                <w:numId w:val="6"/>
              </w:numPr>
              <w:tabs>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Lyrica</w:t>
            </w:r>
          </w:p>
          <w:p w:rsidR="00F334E8" w:rsidRDefault="00F334E8" w:rsidP="00F334E8">
            <w:pPr>
              <w:pStyle w:val="ListParagraph"/>
              <w:numPr>
                <w:ilvl w:val="0"/>
                <w:numId w:val="6"/>
              </w:numPr>
              <w:tabs>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Oxycodone</w:t>
            </w:r>
          </w:p>
          <w:p w:rsidR="00F334E8" w:rsidRDefault="00F334E8" w:rsidP="00F334E8">
            <w:pPr>
              <w:pStyle w:val="ListParagraph"/>
              <w:numPr>
                <w:ilvl w:val="0"/>
                <w:numId w:val="6"/>
              </w:numPr>
              <w:tabs>
                <w:tab w:val="left" w:pos="360"/>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Clindamycin</w:t>
            </w:r>
          </w:p>
          <w:p w:rsidR="00F334E8" w:rsidRDefault="00F334E8" w:rsidP="00F334E8">
            <w:pPr>
              <w:pStyle w:val="ListParagraph"/>
              <w:numPr>
                <w:ilvl w:val="0"/>
                <w:numId w:val="6"/>
              </w:numPr>
              <w:tabs>
                <w:tab w:val="left" w:pos="360"/>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Aripiprazole</w:t>
            </w:r>
          </w:p>
          <w:p w:rsidR="00F334E8" w:rsidRDefault="00F334E8" w:rsidP="00F334E8">
            <w:pPr>
              <w:pStyle w:val="ListParagraph"/>
              <w:numPr>
                <w:ilvl w:val="0"/>
                <w:numId w:val="6"/>
              </w:numPr>
              <w:tabs>
                <w:tab w:val="left" w:pos="360"/>
                <w:tab w:val="left" w:pos="945"/>
              </w:tabs>
              <w:overflowPunct w:val="0"/>
              <w:autoSpaceDE w:val="0"/>
              <w:autoSpaceDN w:val="0"/>
              <w:adjustRightInd w:val="0"/>
              <w:ind w:left="1035" w:hanging="450"/>
              <w:contextualSpacing/>
              <w:rPr>
                <w:rFonts w:ascii="Arial" w:hAnsi="Arial" w:cs="Arial"/>
                <w:sz w:val="20"/>
              </w:rPr>
            </w:pPr>
            <w:proofErr w:type="spellStart"/>
            <w:r>
              <w:rPr>
                <w:rFonts w:ascii="Arial" w:hAnsi="Arial" w:cs="Arial"/>
                <w:sz w:val="20"/>
              </w:rPr>
              <w:t>Xarelto</w:t>
            </w:r>
            <w:proofErr w:type="spellEnd"/>
          </w:p>
          <w:p w:rsidR="00F334E8" w:rsidRDefault="00F334E8" w:rsidP="00F334E8">
            <w:pPr>
              <w:pStyle w:val="ListParagraph"/>
              <w:numPr>
                <w:ilvl w:val="0"/>
                <w:numId w:val="6"/>
              </w:numPr>
              <w:tabs>
                <w:tab w:val="left" w:pos="360"/>
                <w:tab w:val="left" w:pos="945"/>
              </w:tabs>
              <w:overflowPunct w:val="0"/>
              <w:autoSpaceDE w:val="0"/>
              <w:autoSpaceDN w:val="0"/>
              <w:adjustRightInd w:val="0"/>
              <w:ind w:left="1035" w:hanging="450"/>
              <w:contextualSpacing/>
              <w:rPr>
                <w:rFonts w:ascii="Arial" w:hAnsi="Arial" w:cs="Arial"/>
                <w:sz w:val="20"/>
              </w:rPr>
            </w:pPr>
            <w:r>
              <w:rPr>
                <w:rFonts w:ascii="Arial" w:hAnsi="Arial" w:cs="Arial"/>
                <w:sz w:val="20"/>
              </w:rPr>
              <w:t>Lantus</w:t>
            </w:r>
          </w:p>
          <w:p w:rsidR="00F334E8" w:rsidRDefault="00F334E8" w:rsidP="00F334E8">
            <w:pPr>
              <w:pStyle w:val="ListParagraph"/>
              <w:numPr>
                <w:ilvl w:val="0"/>
                <w:numId w:val="6"/>
              </w:numPr>
              <w:tabs>
                <w:tab w:val="left" w:pos="360"/>
                <w:tab w:val="left" w:pos="945"/>
              </w:tabs>
              <w:overflowPunct w:val="0"/>
              <w:autoSpaceDE w:val="0"/>
              <w:autoSpaceDN w:val="0"/>
              <w:adjustRightInd w:val="0"/>
              <w:ind w:left="1035" w:hanging="450"/>
              <w:contextualSpacing/>
              <w:rPr>
                <w:rFonts w:ascii="Arial" w:hAnsi="Arial" w:cs="Arial"/>
                <w:sz w:val="20"/>
              </w:rPr>
            </w:pPr>
            <w:proofErr w:type="spellStart"/>
            <w:r>
              <w:rPr>
                <w:rFonts w:ascii="Arial" w:hAnsi="Arial" w:cs="Arial"/>
                <w:sz w:val="20"/>
              </w:rPr>
              <w:t>Eliquis</w:t>
            </w:r>
            <w:proofErr w:type="spellEnd"/>
          </w:p>
          <w:p w:rsidR="00F334E8" w:rsidRPr="00A53694" w:rsidRDefault="00F334E8" w:rsidP="00F334E8">
            <w:pPr>
              <w:pStyle w:val="ListParagraph"/>
              <w:numPr>
                <w:ilvl w:val="0"/>
                <w:numId w:val="6"/>
              </w:numPr>
              <w:tabs>
                <w:tab w:val="left" w:pos="360"/>
                <w:tab w:val="left" w:pos="945"/>
              </w:tabs>
              <w:overflowPunct w:val="0"/>
              <w:autoSpaceDE w:val="0"/>
              <w:autoSpaceDN w:val="0"/>
              <w:adjustRightInd w:val="0"/>
              <w:ind w:left="1035" w:hanging="450"/>
              <w:contextualSpacing/>
              <w:rPr>
                <w:rFonts w:ascii="Arial" w:hAnsi="Arial" w:cs="Arial"/>
                <w:sz w:val="20"/>
              </w:rPr>
            </w:pPr>
            <w:proofErr w:type="spellStart"/>
            <w:r>
              <w:rPr>
                <w:rFonts w:ascii="Arial" w:hAnsi="Arial" w:cs="Arial"/>
                <w:sz w:val="20"/>
              </w:rPr>
              <w:t>Trulicity</w:t>
            </w:r>
            <w:proofErr w:type="spellEnd"/>
          </w:p>
          <w:p w:rsidR="00B375EB" w:rsidRPr="00770396" w:rsidRDefault="00B375EB" w:rsidP="00B375EB">
            <w:pPr>
              <w:pStyle w:val="ListParagraph"/>
              <w:numPr>
                <w:ilvl w:val="0"/>
                <w:numId w:val="8"/>
              </w:numPr>
              <w:tabs>
                <w:tab w:val="left" w:pos="706"/>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PA </w:t>
            </w:r>
            <w:r>
              <w:rPr>
                <w:rFonts w:ascii="Arial" w:hAnsi="Arial" w:cs="Arial"/>
                <w:sz w:val="20"/>
              </w:rPr>
              <w:t>t</w:t>
            </w:r>
            <w:r w:rsidRPr="00770396">
              <w:rPr>
                <w:rFonts w:ascii="Arial" w:hAnsi="Arial" w:cs="Arial"/>
                <w:sz w:val="20"/>
              </w:rPr>
              <w:t>urn-around time during business hours</w:t>
            </w:r>
          </w:p>
          <w:p w:rsidR="00B375EB" w:rsidRPr="00770396"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 xml:space="preserve">Statutory mandate </w:t>
            </w:r>
            <w:r w:rsidRPr="00770396">
              <w:rPr>
                <w:rFonts w:ascii="Arial" w:hAnsi="Arial" w:cs="Arial"/>
                <w:sz w:val="20"/>
              </w:rPr>
              <w:t>is 24 hours</w:t>
            </w:r>
          </w:p>
          <w:p w:rsidR="00B375EB" w:rsidRPr="00770396"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50</w:t>
            </w:r>
            <w:r w:rsidRPr="00770396">
              <w:rPr>
                <w:rFonts w:ascii="Arial" w:hAnsi="Arial" w:cs="Arial"/>
                <w:sz w:val="20"/>
              </w:rPr>
              <w:t xml:space="preserve">% done in </w:t>
            </w:r>
            <w:r w:rsidR="00944D9C">
              <w:rPr>
                <w:rFonts w:ascii="Arial" w:hAnsi="Arial" w:cs="Arial"/>
                <w:sz w:val="20"/>
              </w:rPr>
              <w:t>six</w:t>
            </w:r>
            <w:r w:rsidRPr="00770396">
              <w:rPr>
                <w:rFonts w:ascii="Arial" w:hAnsi="Arial" w:cs="Arial"/>
                <w:sz w:val="20"/>
              </w:rPr>
              <w:t xml:space="preserve"> hours</w:t>
            </w:r>
          </w:p>
          <w:p w:rsidR="00B375EB" w:rsidRPr="00770396"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sidRPr="00770396">
              <w:rPr>
                <w:rFonts w:ascii="Arial" w:hAnsi="Arial" w:cs="Arial"/>
                <w:sz w:val="20"/>
              </w:rPr>
              <w:t>99.9 within 24 hours</w:t>
            </w:r>
          </w:p>
          <w:p w:rsidR="00B375EB" w:rsidRPr="00770396" w:rsidRDefault="00B375EB" w:rsidP="00B375EB">
            <w:pPr>
              <w:pStyle w:val="ListParagraph"/>
              <w:numPr>
                <w:ilvl w:val="0"/>
                <w:numId w:val="8"/>
              </w:numPr>
              <w:tabs>
                <w:tab w:val="left" w:pos="706"/>
              </w:tabs>
              <w:overflowPunct w:val="0"/>
              <w:autoSpaceDE w:val="0"/>
              <w:autoSpaceDN w:val="0"/>
              <w:adjustRightInd w:val="0"/>
              <w:ind w:left="524"/>
              <w:contextualSpacing/>
              <w:rPr>
                <w:rFonts w:ascii="Arial" w:hAnsi="Arial" w:cs="Arial"/>
                <w:sz w:val="20"/>
              </w:rPr>
            </w:pPr>
            <w:r w:rsidRPr="00770396">
              <w:rPr>
                <w:rFonts w:ascii="Arial" w:hAnsi="Arial" w:cs="Arial"/>
                <w:sz w:val="20"/>
              </w:rPr>
              <w:t xml:space="preserve">PA </w:t>
            </w:r>
            <w:r>
              <w:rPr>
                <w:rFonts w:ascii="Arial" w:hAnsi="Arial" w:cs="Arial"/>
                <w:sz w:val="20"/>
              </w:rPr>
              <w:t>t</w:t>
            </w:r>
            <w:r w:rsidRPr="00770396">
              <w:rPr>
                <w:rFonts w:ascii="Arial" w:hAnsi="Arial" w:cs="Arial"/>
                <w:sz w:val="20"/>
              </w:rPr>
              <w:t>urn-around time during non-business hours</w:t>
            </w:r>
          </w:p>
          <w:p w:rsidR="00B375EB" w:rsidRPr="00770396"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90</w:t>
            </w:r>
            <w:r w:rsidRPr="00770396">
              <w:rPr>
                <w:rFonts w:ascii="Arial" w:hAnsi="Arial" w:cs="Arial"/>
                <w:sz w:val="20"/>
              </w:rPr>
              <w:t xml:space="preserve">% done in </w:t>
            </w:r>
            <w:r w:rsidR="00944D9C">
              <w:rPr>
                <w:rFonts w:ascii="Arial" w:hAnsi="Arial" w:cs="Arial"/>
                <w:sz w:val="20"/>
              </w:rPr>
              <w:t>six</w:t>
            </w:r>
            <w:r w:rsidRPr="00770396">
              <w:rPr>
                <w:rFonts w:ascii="Arial" w:hAnsi="Arial" w:cs="Arial"/>
                <w:sz w:val="20"/>
              </w:rPr>
              <w:t xml:space="preserve"> hours</w:t>
            </w:r>
          </w:p>
          <w:p w:rsidR="00B375EB"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98</w:t>
            </w:r>
            <w:r w:rsidRPr="00770396">
              <w:rPr>
                <w:rFonts w:ascii="Arial" w:hAnsi="Arial" w:cs="Arial"/>
                <w:sz w:val="20"/>
              </w:rPr>
              <w:t xml:space="preserve">% within less than </w:t>
            </w:r>
            <w:r w:rsidR="00944D9C">
              <w:rPr>
                <w:rFonts w:ascii="Arial" w:hAnsi="Arial" w:cs="Arial"/>
                <w:sz w:val="20"/>
              </w:rPr>
              <w:t>nine</w:t>
            </w:r>
            <w:r w:rsidRPr="00770396">
              <w:rPr>
                <w:rFonts w:ascii="Arial" w:hAnsi="Arial" w:cs="Arial"/>
                <w:sz w:val="20"/>
              </w:rPr>
              <w:t xml:space="preserve"> hours</w:t>
            </w:r>
          </w:p>
          <w:p w:rsidR="00B375EB" w:rsidRPr="005A6632" w:rsidRDefault="00B375EB" w:rsidP="00A00A40">
            <w:pPr>
              <w:tabs>
                <w:tab w:val="left" w:pos="1066"/>
              </w:tabs>
              <w:contextualSpacing/>
              <w:rPr>
                <w:rFonts w:cs="Arial"/>
              </w:rPr>
            </w:pPr>
            <w:r w:rsidRPr="005A6632">
              <w:rPr>
                <w:rFonts w:cs="Arial"/>
                <w:b/>
              </w:rPr>
              <w:t>Comments:</w:t>
            </w:r>
          </w:p>
          <w:p w:rsidR="00B375EB" w:rsidRPr="00FB01B7" w:rsidRDefault="00B375EB" w:rsidP="00A00A40">
            <w:pPr>
              <w:tabs>
                <w:tab w:val="left" w:pos="1066"/>
              </w:tabs>
              <w:ind w:left="-16"/>
              <w:contextualSpacing/>
              <w:rPr>
                <w:rFonts w:cs="Arial"/>
              </w:rPr>
            </w:pPr>
            <w:r>
              <w:rPr>
                <w:rFonts w:cs="Arial"/>
              </w:rPr>
              <w:t xml:space="preserve">Patricia stated that the DUR team has done an exemplary job maintaining service level agreements considering the extra volume, noting that extra hours were asked of the call center staff. </w:t>
            </w:r>
          </w:p>
          <w:p w:rsidR="00B375EB" w:rsidRDefault="00B375EB" w:rsidP="00A00A40">
            <w:pPr>
              <w:tabs>
                <w:tab w:val="left" w:pos="1066"/>
              </w:tabs>
              <w:ind w:left="-16"/>
              <w:contextualSpacing/>
              <w:rPr>
                <w:rFonts w:cs="Arial"/>
                <w:b/>
              </w:rPr>
            </w:pPr>
            <w:r w:rsidRPr="006547B8">
              <w:rPr>
                <w:rFonts w:cs="Arial"/>
                <w:b/>
              </w:rPr>
              <w:t xml:space="preserve">Questions: </w:t>
            </w:r>
          </w:p>
          <w:p w:rsidR="00B375EB" w:rsidRPr="00E21607"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sidRPr="00E21607">
              <w:rPr>
                <w:rFonts w:ascii="Arial" w:hAnsi="Arial" w:cs="Arial"/>
                <w:sz w:val="20"/>
              </w:rPr>
              <w:t xml:space="preserve">A Board member inquired about numbers for PA volume and </w:t>
            </w:r>
            <w:r w:rsidR="00944D9C">
              <w:rPr>
                <w:rFonts w:ascii="Arial" w:hAnsi="Arial" w:cs="Arial"/>
                <w:sz w:val="20"/>
              </w:rPr>
              <w:t>c</w:t>
            </w:r>
            <w:r w:rsidRPr="00E21607">
              <w:rPr>
                <w:rFonts w:ascii="Arial" w:hAnsi="Arial" w:cs="Arial"/>
                <w:sz w:val="20"/>
              </w:rPr>
              <w:t xml:space="preserve">all volume being so close, and if the calls are about the PA form. It was noted that calls are from prescriber offices and pharmacies and are of multiple issues. </w:t>
            </w:r>
          </w:p>
          <w:p w:rsidR="00B375EB"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A Board member asked if the call center receives calls from patients. It was noted that patients contact the call center and are redirected to MassHealth Customer Service or an appropriate party.</w:t>
            </w:r>
          </w:p>
          <w:p w:rsidR="00B375EB" w:rsidRDefault="00B375EB" w:rsidP="00B375EB">
            <w:pPr>
              <w:pStyle w:val="ListParagraph"/>
              <w:numPr>
                <w:ilvl w:val="0"/>
                <w:numId w:val="6"/>
              </w:numPr>
              <w:tabs>
                <w:tab w:val="left" w:pos="1066"/>
              </w:tabs>
              <w:overflowPunct w:val="0"/>
              <w:autoSpaceDE w:val="0"/>
              <w:autoSpaceDN w:val="0"/>
              <w:adjustRightInd w:val="0"/>
              <w:ind w:left="884"/>
              <w:contextualSpacing/>
              <w:rPr>
                <w:rFonts w:ascii="Arial" w:hAnsi="Arial" w:cs="Arial"/>
                <w:sz w:val="20"/>
              </w:rPr>
            </w:pPr>
            <w:r>
              <w:rPr>
                <w:rFonts w:ascii="Arial" w:hAnsi="Arial" w:cs="Arial"/>
                <w:sz w:val="20"/>
              </w:rPr>
              <w:t xml:space="preserve">A Board member inquired if staffing levels had been increased given the increased number of calls and PAs. It was noted that staffing levels have remained constant, and existing staff has been working after hours to maintain service levels. </w:t>
            </w:r>
          </w:p>
          <w:p w:rsidR="00B375EB" w:rsidRPr="00272F8C" w:rsidRDefault="00B375EB" w:rsidP="00441B19">
            <w:pPr>
              <w:pStyle w:val="ListParagraph"/>
              <w:numPr>
                <w:ilvl w:val="0"/>
                <w:numId w:val="6"/>
              </w:numPr>
              <w:tabs>
                <w:tab w:val="left" w:pos="1066"/>
              </w:tabs>
              <w:overflowPunct w:val="0"/>
              <w:autoSpaceDE w:val="0"/>
              <w:autoSpaceDN w:val="0"/>
              <w:adjustRightInd w:val="0"/>
              <w:ind w:left="884"/>
              <w:contextualSpacing/>
              <w:rPr>
                <w:rFonts w:cs="Arial"/>
              </w:rPr>
            </w:pPr>
            <w:r>
              <w:rPr>
                <w:rFonts w:ascii="Arial" w:hAnsi="Arial" w:cs="Arial"/>
                <w:sz w:val="20"/>
              </w:rPr>
              <w:t xml:space="preserve">A Board member asked if membership had grown. It was noted that MassHealth membership has increased by 100,000 members. </w:t>
            </w:r>
            <w:r w:rsidRPr="00272F8C">
              <w:rPr>
                <w:rFonts w:cs="Arial"/>
              </w:rPr>
              <w:t xml:space="preserve"> </w:t>
            </w:r>
          </w:p>
        </w:tc>
        <w:tc>
          <w:tcPr>
            <w:tcW w:w="2516" w:type="dxa"/>
          </w:tcPr>
          <w:p w:rsidR="00B375EB" w:rsidRPr="009A59E5" w:rsidRDefault="00B375EB" w:rsidP="00A00A40">
            <w:pPr>
              <w:rPr>
                <w:b/>
                <w:u w:val="single"/>
              </w:rPr>
            </w:pPr>
            <w:r w:rsidRPr="009A59E5">
              <w:rPr>
                <w:b/>
                <w:u w:val="single"/>
              </w:rPr>
              <w:t>Conclusion</w:t>
            </w:r>
          </w:p>
          <w:p w:rsidR="00B375EB" w:rsidRPr="00760FE3" w:rsidRDefault="00B375EB" w:rsidP="00441B19">
            <w:pPr>
              <w:rPr>
                <w:b/>
                <w:u w:val="single"/>
              </w:rPr>
            </w:pPr>
            <w:r w:rsidRPr="009A59E5">
              <w:t>Informational</w:t>
            </w:r>
            <w:r>
              <w:t>/Advisory</w:t>
            </w:r>
          </w:p>
        </w:tc>
      </w:tr>
    </w:tbl>
    <w:p w:rsidR="00B375EB" w:rsidRDefault="00B375EB" w:rsidP="00B375EB"/>
    <w:tbl>
      <w:tblPr>
        <w:tblStyle w:val="TableGrid"/>
        <w:tblW w:w="0" w:type="auto"/>
        <w:tblLook w:val="04A0" w:firstRow="1" w:lastRow="0" w:firstColumn="1" w:lastColumn="0" w:noHBand="0" w:noVBand="1"/>
        <w:tblCaption w:val="Update by Paul Jeffrey"/>
        <w:tblDescription w:val="Summary of recent MassHealth developments."/>
      </w:tblPr>
      <w:tblGrid>
        <w:gridCol w:w="2136"/>
        <w:gridCol w:w="8291"/>
        <w:gridCol w:w="2523"/>
      </w:tblGrid>
      <w:tr w:rsidR="00B375EB" w:rsidRPr="00421B1F" w:rsidTr="009E2298">
        <w:trPr>
          <w:tblHeader/>
        </w:trPr>
        <w:tc>
          <w:tcPr>
            <w:tcW w:w="2136"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291" w:type="dxa"/>
            <w:shd w:val="clear" w:color="auto" w:fill="000000" w:themeFill="text1"/>
          </w:tcPr>
          <w:p w:rsidR="00B375EB" w:rsidRPr="00421B1F" w:rsidRDefault="00B375EB" w:rsidP="00A00A40">
            <w:pPr>
              <w:rPr>
                <w:b/>
              </w:rPr>
            </w:pPr>
            <w:r w:rsidRPr="00421B1F">
              <w:rPr>
                <w:b/>
              </w:rPr>
              <w:t>Discussion</w:t>
            </w:r>
          </w:p>
        </w:tc>
        <w:tc>
          <w:tcPr>
            <w:tcW w:w="2523"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36" w:type="dxa"/>
          </w:tcPr>
          <w:p w:rsidR="00B375EB" w:rsidRPr="00421B1F" w:rsidRDefault="00B375EB" w:rsidP="00441B19">
            <w:pPr>
              <w:pStyle w:val="Header"/>
              <w:tabs>
                <w:tab w:val="left" w:pos="720"/>
                <w:tab w:val="left" w:pos="1170"/>
                <w:tab w:val="left" w:pos="2610"/>
              </w:tabs>
              <w:overflowPunct/>
            </w:pPr>
            <w:r w:rsidRPr="0065087B">
              <w:rPr>
                <w:rFonts w:cs="Arial"/>
                <w:b/>
                <w:bCs/>
                <w:color w:val="000000"/>
              </w:rPr>
              <w:t>MassHealth Update</w:t>
            </w:r>
          </w:p>
        </w:tc>
        <w:tc>
          <w:tcPr>
            <w:tcW w:w="8291" w:type="dxa"/>
          </w:tcPr>
          <w:p w:rsidR="00B375EB" w:rsidRPr="00A448A9" w:rsidRDefault="00B375EB" w:rsidP="00A00A40">
            <w:pPr>
              <w:tabs>
                <w:tab w:val="left" w:pos="1336"/>
              </w:tabs>
              <w:rPr>
                <w:rFonts w:cs="Arial"/>
                <w:b/>
                <w:u w:val="single"/>
              </w:rPr>
            </w:pPr>
            <w:r w:rsidRPr="00A448A9">
              <w:rPr>
                <w:u w:val="single"/>
              </w:rPr>
              <w:t>Paul Jeffrey, Pharm. D., MassHealth gave MassHealth Update</w:t>
            </w:r>
            <w:r w:rsidRPr="00A448A9">
              <w:rPr>
                <w:rFonts w:cs="Arial"/>
                <w:u w:val="single"/>
              </w:rPr>
              <w:t>.</w:t>
            </w:r>
          </w:p>
          <w:p w:rsidR="00B375EB" w:rsidRPr="00214088" w:rsidRDefault="00B375EB" w:rsidP="00441B19">
            <w:pPr>
              <w:tabs>
                <w:tab w:val="left" w:pos="1336"/>
              </w:tabs>
              <w:ind w:left="384"/>
              <w:rPr>
                <w:b/>
              </w:rPr>
            </w:pPr>
            <w:r>
              <w:rPr>
                <w:rFonts w:cs="Arial"/>
              </w:rPr>
              <w:t xml:space="preserve">The MassHealth Update is a brief summary of </w:t>
            </w:r>
            <w:r w:rsidRPr="00831C82">
              <w:t>recent developments in</w:t>
            </w:r>
            <w:r>
              <w:t xml:space="preserve"> MassHealth in the context of</w:t>
            </w:r>
            <w:r w:rsidRPr="00831C82">
              <w:t xml:space="preserve"> pharmacy, managed care, or public health</w:t>
            </w:r>
            <w:r>
              <w:t>.</w:t>
            </w:r>
          </w:p>
        </w:tc>
        <w:tc>
          <w:tcPr>
            <w:tcW w:w="2523" w:type="dxa"/>
          </w:tcPr>
          <w:p w:rsidR="00B375EB" w:rsidRPr="00425D75" w:rsidRDefault="00B375EB" w:rsidP="00A00A40">
            <w:pPr>
              <w:rPr>
                <w:b/>
                <w:u w:val="single"/>
              </w:rPr>
            </w:pPr>
            <w:r w:rsidRPr="00760FE3">
              <w:rPr>
                <w:b/>
                <w:u w:val="single"/>
              </w:rPr>
              <w:t>Follow Up</w:t>
            </w:r>
          </w:p>
          <w:p w:rsidR="00B375EB" w:rsidRPr="00760FE3" w:rsidRDefault="00B375EB" w:rsidP="00A00A40">
            <w:pPr>
              <w:rPr>
                <w:b/>
                <w:u w:val="single"/>
              </w:rPr>
            </w:pPr>
            <w:r>
              <w:t>Informational/Advisory</w:t>
            </w:r>
          </w:p>
        </w:tc>
      </w:tr>
      <w:tr w:rsidR="00B375EB" w:rsidTr="00A00A40">
        <w:tc>
          <w:tcPr>
            <w:tcW w:w="2136" w:type="dxa"/>
          </w:tcPr>
          <w:p w:rsidR="00B375EB" w:rsidRPr="00822B71" w:rsidRDefault="00B375EB" w:rsidP="00A00A40">
            <w:pPr>
              <w:rPr>
                <w:b/>
              </w:rPr>
            </w:pPr>
            <w:r>
              <w:rPr>
                <w:b/>
              </w:rPr>
              <w:t>Action</w:t>
            </w:r>
          </w:p>
        </w:tc>
        <w:tc>
          <w:tcPr>
            <w:tcW w:w="8291" w:type="dxa"/>
          </w:tcPr>
          <w:p w:rsidR="00B375EB" w:rsidRPr="009407C8" w:rsidRDefault="00B375EB" w:rsidP="00A00A40">
            <w:pPr>
              <w:rPr>
                <w:rFonts w:cs="Arial"/>
                <w:b/>
              </w:rPr>
            </w:pPr>
            <w:r w:rsidRPr="009407C8">
              <w:rPr>
                <w:rFonts w:cs="Arial"/>
                <w:b/>
              </w:rPr>
              <w:t>MassHealth Update</w:t>
            </w:r>
          </w:p>
          <w:p w:rsidR="00B375EB" w:rsidRPr="00941584" w:rsidRDefault="00B375EB" w:rsidP="00B375EB">
            <w:pPr>
              <w:pStyle w:val="ListParagraph"/>
              <w:numPr>
                <w:ilvl w:val="0"/>
                <w:numId w:val="11"/>
              </w:numPr>
              <w:overflowPunct w:val="0"/>
              <w:autoSpaceDE w:val="0"/>
              <w:autoSpaceDN w:val="0"/>
              <w:adjustRightInd w:val="0"/>
              <w:contextualSpacing/>
              <w:rPr>
                <w:rFonts w:ascii="Arial" w:hAnsi="Arial" w:cs="Arial"/>
                <w:sz w:val="20"/>
              </w:rPr>
            </w:pPr>
            <w:r>
              <w:rPr>
                <w:rFonts w:ascii="Arial" w:hAnsi="Arial" w:cs="Arial"/>
                <w:sz w:val="20"/>
              </w:rPr>
              <w:t>A</w:t>
            </w:r>
            <w:r w:rsidRPr="00760903">
              <w:rPr>
                <w:rFonts w:ascii="Arial" w:hAnsi="Arial" w:cs="Arial"/>
                <w:sz w:val="20"/>
              </w:rPr>
              <w:t>ccountable-care organization</w:t>
            </w:r>
            <w:r>
              <w:rPr>
                <w:rFonts w:ascii="Arial" w:hAnsi="Arial" w:cs="Arial"/>
                <w:sz w:val="20"/>
              </w:rPr>
              <w:t>s</w:t>
            </w:r>
            <w:r w:rsidRPr="00760903">
              <w:rPr>
                <w:rFonts w:ascii="Arial" w:hAnsi="Arial" w:cs="Arial"/>
                <w:sz w:val="20"/>
              </w:rPr>
              <w:t xml:space="preserve"> (ACO)</w:t>
            </w:r>
            <w:r>
              <w:rPr>
                <w:rFonts w:ascii="Arial" w:hAnsi="Arial" w:cs="Arial"/>
                <w:sz w:val="20"/>
              </w:rPr>
              <w:t xml:space="preserve"> (22 plans total for MassHealth)</w:t>
            </w:r>
          </w:p>
          <w:p w:rsidR="00B375EB" w:rsidRDefault="00B375EB" w:rsidP="00B375EB">
            <w:pPr>
              <w:pStyle w:val="ListParagraph"/>
              <w:numPr>
                <w:ilvl w:val="0"/>
                <w:numId w:val="12"/>
              </w:numPr>
              <w:tabs>
                <w:tab w:val="left" w:pos="1066"/>
              </w:tabs>
              <w:contextualSpacing/>
              <w:rPr>
                <w:rFonts w:ascii="Arial" w:hAnsi="Arial" w:cs="Arial"/>
                <w:sz w:val="20"/>
              </w:rPr>
            </w:pPr>
            <w:r>
              <w:rPr>
                <w:rFonts w:ascii="Arial" w:hAnsi="Arial" w:cs="Arial"/>
                <w:sz w:val="20"/>
              </w:rPr>
              <w:t xml:space="preserve">Transitioned 80,000 more members </w:t>
            </w:r>
          </w:p>
          <w:p w:rsidR="00B375EB" w:rsidRDefault="00B375EB" w:rsidP="00B375EB">
            <w:pPr>
              <w:pStyle w:val="ListParagraph"/>
              <w:numPr>
                <w:ilvl w:val="0"/>
                <w:numId w:val="12"/>
              </w:numPr>
              <w:tabs>
                <w:tab w:val="left" w:pos="1535"/>
              </w:tabs>
              <w:contextualSpacing/>
              <w:rPr>
                <w:rFonts w:ascii="Arial" w:hAnsi="Arial" w:cs="Arial"/>
                <w:sz w:val="20"/>
              </w:rPr>
            </w:pPr>
            <w:r>
              <w:rPr>
                <w:rFonts w:ascii="Arial" w:hAnsi="Arial" w:cs="Arial"/>
                <w:sz w:val="20"/>
              </w:rPr>
              <w:t xml:space="preserve">Two partnership ACO/MCO and one Primary Care/ACO models </w:t>
            </w:r>
          </w:p>
          <w:p w:rsidR="00B375EB"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ACO + MCO (17 types of partnership plans)</w:t>
            </w:r>
          </w:p>
          <w:p w:rsidR="00B375EB" w:rsidRDefault="00B375EB" w:rsidP="00B375EB">
            <w:pPr>
              <w:pStyle w:val="ListParagraph"/>
              <w:numPr>
                <w:ilvl w:val="2"/>
                <w:numId w:val="12"/>
              </w:numPr>
              <w:tabs>
                <w:tab w:val="left" w:pos="1535"/>
              </w:tabs>
              <w:contextualSpacing/>
              <w:rPr>
                <w:rFonts w:ascii="Arial" w:hAnsi="Arial" w:cs="Arial"/>
                <w:sz w:val="20"/>
              </w:rPr>
            </w:pPr>
            <w:r>
              <w:rPr>
                <w:rFonts w:ascii="Arial" w:hAnsi="Arial" w:cs="Arial"/>
                <w:sz w:val="20"/>
              </w:rPr>
              <w:t>C</w:t>
            </w:r>
            <w:r w:rsidRPr="00844903">
              <w:rPr>
                <w:rFonts w:ascii="Arial" w:hAnsi="Arial" w:cs="Arial"/>
                <w:sz w:val="20"/>
              </w:rPr>
              <w:t xml:space="preserve">are delivery system </w:t>
            </w:r>
            <w:r>
              <w:rPr>
                <w:rFonts w:ascii="Arial" w:hAnsi="Arial" w:cs="Arial"/>
                <w:sz w:val="20"/>
              </w:rPr>
              <w:t xml:space="preserve">and </w:t>
            </w:r>
            <w:r w:rsidRPr="00844903">
              <w:rPr>
                <w:rFonts w:ascii="Arial" w:hAnsi="Arial" w:cs="Arial"/>
                <w:sz w:val="20"/>
              </w:rPr>
              <w:t xml:space="preserve">payment partners </w:t>
            </w:r>
          </w:p>
          <w:p w:rsidR="00B375EB" w:rsidRDefault="00B375EB" w:rsidP="00B375EB">
            <w:pPr>
              <w:pStyle w:val="ListParagraph"/>
              <w:numPr>
                <w:ilvl w:val="2"/>
                <w:numId w:val="12"/>
              </w:numPr>
              <w:tabs>
                <w:tab w:val="left" w:pos="1535"/>
              </w:tabs>
              <w:contextualSpacing/>
              <w:rPr>
                <w:rFonts w:ascii="Arial" w:hAnsi="Arial" w:cs="Arial"/>
                <w:sz w:val="20"/>
              </w:rPr>
            </w:pPr>
            <w:r>
              <w:rPr>
                <w:rFonts w:ascii="Arial" w:hAnsi="Arial" w:cs="Arial"/>
                <w:sz w:val="20"/>
              </w:rPr>
              <w:t>Extended continuity plan for low risk medications (30 days)</w:t>
            </w:r>
          </w:p>
          <w:p w:rsidR="00B375EB" w:rsidRPr="00844903" w:rsidRDefault="00B375EB" w:rsidP="00B375EB">
            <w:pPr>
              <w:pStyle w:val="ListParagraph"/>
              <w:numPr>
                <w:ilvl w:val="2"/>
                <w:numId w:val="12"/>
              </w:numPr>
              <w:tabs>
                <w:tab w:val="left" w:pos="1535"/>
              </w:tabs>
              <w:contextualSpacing/>
              <w:rPr>
                <w:rFonts w:ascii="Arial" w:hAnsi="Arial" w:cs="Arial"/>
                <w:sz w:val="20"/>
              </w:rPr>
            </w:pPr>
            <w:r>
              <w:rPr>
                <w:rFonts w:ascii="Arial" w:hAnsi="Arial" w:cs="Arial"/>
                <w:sz w:val="20"/>
              </w:rPr>
              <w:t xml:space="preserve">Extended continuity plan for high risk medications (60 days) </w:t>
            </w:r>
          </w:p>
          <w:p w:rsidR="00B375EB" w:rsidRPr="00844903"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 xml:space="preserve">Primary Care/ACO (aka Model B) </w:t>
            </w:r>
          </w:p>
          <w:p w:rsidR="00B375EB" w:rsidRDefault="00944D9C" w:rsidP="00B375EB">
            <w:pPr>
              <w:pStyle w:val="ListParagraph"/>
              <w:numPr>
                <w:ilvl w:val="2"/>
                <w:numId w:val="12"/>
              </w:numPr>
              <w:tabs>
                <w:tab w:val="left" w:pos="1535"/>
              </w:tabs>
              <w:contextualSpacing/>
              <w:rPr>
                <w:rFonts w:ascii="Arial" w:hAnsi="Arial" w:cs="Arial"/>
                <w:sz w:val="20"/>
              </w:rPr>
            </w:pPr>
            <w:r>
              <w:rPr>
                <w:rFonts w:ascii="Arial" w:hAnsi="Arial" w:cs="Arial"/>
                <w:sz w:val="20"/>
              </w:rPr>
              <w:t>Three</w:t>
            </w:r>
            <w:r w:rsidR="00B375EB">
              <w:rPr>
                <w:rFonts w:ascii="Arial" w:hAnsi="Arial" w:cs="Arial"/>
                <w:sz w:val="20"/>
              </w:rPr>
              <w:t xml:space="preserve"> ACOs contract directly with MassHealth</w:t>
            </w:r>
            <w:r>
              <w:rPr>
                <w:rFonts w:ascii="Arial" w:hAnsi="Arial" w:cs="Arial"/>
                <w:sz w:val="20"/>
              </w:rPr>
              <w:t>.</w:t>
            </w:r>
          </w:p>
          <w:p w:rsidR="00B375EB" w:rsidRDefault="00B375EB" w:rsidP="00B375EB">
            <w:pPr>
              <w:pStyle w:val="ListParagraph"/>
              <w:numPr>
                <w:ilvl w:val="0"/>
                <w:numId w:val="12"/>
              </w:numPr>
              <w:tabs>
                <w:tab w:val="left" w:pos="1535"/>
              </w:tabs>
              <w:contextualSpacing/>
              <w:rPr>
                <w:rFonts w:ascii="Arial" w:hAnsi="Arial" w:cs="Arial"/>
                <w:sz w:val="20"/>
              </w:rPr>
            </w:pPr>
            <w:r>
              <w:rPr>
                <w:rFonts w:ascii="Arial" w:hAnsi="Arial" w:cs="Arial"/>
                <w:sz w:val="20"/>
              </w:rPr>
              <w:t>Currently in a 30-day Continuity of Care transition period</w:t>
            </w:r>
          </w:p>
          <w:p w:rsidR="00B375EB"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Crea</w:t>
            </w:r>
            <w:r w:rsidRPr="00FD2E9B">
              <w:rPr>
                <w:rFonts w:ascii="Arial" w:hAnsi="Arial" w:cs="Arial"/>
                <w:sz w:val="20"/>
              </w:rPr>
              <w:t xml:space="preserve">ted to facilitate </w:t>
            </w:r>
            <w:r>
              <w:rPr>
                <w:rFonts w:ascii="Arial" w:hAnsi="Arial" w:cs="Arial"/>
                <w:sz w:val="20"/>
              </w:rPr>
              <w:t xml:space="preserve">the </w:t>
            </w:r>
            <w:r w:rsidRPr="00FD2E9B">
              <w:rPr>
                <w:rFonts w:ascii="Arial" w:hAnsi="Arial" w:cs="Arial"/>
                <w:sz w:val="20"/>
              </w:rPr>
              <w:t>transition of PAs and prescriptions between and among plans</w:t>
            </w:r>
            <w:r>
              <w:rPr>
                <w:rFonts w:ascii="Arial" w:hAnsi="Arial" w:cs="Arial"/>
                <w:sz w:val="20"/>
              </w:rPr>
              <w:t xml:space="preserve"> to minimize disruptions</w:t>
            </w:r>
            <w:r w:rsidRPr="00FD2E9B">
              <w:rPr>
                <w:rFonts w:ascii="Arial" w:hAnsi="Arial" w:cs="Arial"/>
                <w:sz w:val="20"/>
              </w:rPr>
              <w:t xml:space="preserve">. </w:t>
            </w:r>
            <w:r>
              <w:rPr>
                <w:rFonts w:ascii="Arial" w:hAnsi="Arial" w:cs="Arial"/>
                <w:sz w:val="20"/>
              </w:rPr>
              <w:t>T</w:t>
            </w:r>
            <w:r w:rsidRPr="00FD2E9B">
              <w:rPr>
                <w:rFonts w:ascii="Arial" w:hAnsi="Arial" w:cs="Arial"/>
                <w:sz w:val="20"/>
              </w:rPr>
              <w:t>ransition period could be extended</w:t>
            </w:r>
            <w:r>
              <w:rPr>
                <w:rFonts w:ascii="Arial" w:hAnsi="Arial" w:cs="Arial"/>
                <w:sz w:val="20"/>
              </w:rPr>
              <w:t xml:space="preserve"> if warranted.</w:t>
            </w:r>
          </w:p>
          <w:p w:rsidR="00B375EB" w:rsidRDefault="00B375EB" w:rsidP="00B375EB">
            <w:pPr>
              <w:pStyle w:val="ListParagraph"/>
              <w:numPr>
                <w:ilvl w:val="0"/>
                <w:numId w:val="12"/>
              </w:numPr>
              <w:tabs>
                <w:tab w:val="left" w:pos="1535"/>
              </w:tabs>
              <w:contextualSpacing/>
              <w:rPr>
                <w:rFonts w:ascii="Arial" w:hAnsi="Arial" w:cs="Arial"/>
                <w:sz w:val="20"/>
              </w:rPr>
            </w:pPr>
            <w:r>
              <w:rPr>
                <w:rFonts w:ascii="Arial" w:hAnsi="Arial" w:cs="Arial"/>
                <w:sz w:val="20"/>
              </w:rPr>
              <w:t>Noted data exchange issues, initiated some work with the Model B ACOs</w:t>
            </w:r>
          </w:p>
          <w:p w:rsidR="00B375EB" w:rsidRDefault="00B375EB" w:rsidP="00B375EB">
            <w:pPr>
              <w:pStyle w:val="ListParagraph"/>
              <w:numPr>
                <w:ilvl w:val="0"/>
                <w:numId w:val="12"/>
              </w:numPr>
              <w:tabs>
                <w:tab w:val="left" w:pos="1535"/>
              </w:tabs>
              <w:contextualSpacing/>
              <w:rPr>
                <w:rFonts w:ascii="Arial" w:hAnsi="Arial" w:cs="Arial"/>
                <w:sz w:val="20"/>
              </w:rPr>
            </w:pPr>
            <w:r>
              <w:rPr>
                <w:rFonts w:ascii="Arial" w:hAnsi="Arial" w:cs="Arial"/>
                <w:sz w:val="20"/>
              </w:rPr>
              <w:t xml:space="preserve">CMS </w:t>
            </w:r>
          </w:p>
          <w:p w:rsidR="00B375EB" w:rsidRPr="000F4FD3"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Ruling was denied on 1115 waiver request for pharmacy regulatory relief</w:t>
            </w:r>
            <w:r w:rsidR="00944D9C">
              <w:rPr>
                <w:rFonts w:ascii="Arial" w:hAnsi="Arial" w:cs="Arial"/>
                <w:sz w:val="20"/>
              </w:rPr>
              <w:t>.</w:t>
            </w:r>
          </w:p>
          <w:p w:rsidR="00B375EB"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The Federal Government presented an offer to MassHealth of exemption to participate in a demonstration project Medicaid Part B Program</w:t>
            </w:r>
            <w:r w:rsidR="00944D9C">
              <w:rPr>
                <w:rFonts w:ascii="Arial" w:hAnsi="Arial" w:cs="Arial"/>
                <w:sz w:val="20"/>
              </w:rPr>
              <w:t>,</w:t>
            </w:r>
            <w:r>
              <w:rPr>
                <w:rFonts w:ascii="Arial" w:hAnsi="Arial" w:cs="Arial"/>
                <w:sz w:val="20"/>
              </w:rPr>
              <w:t xml:space="preserve"> which we turned down</w:t>
            </w:r>
            <w:r w:rsidR="00944D9C">
              <w:rPr>
                <w:rFonts w:ascii="Arial" w:hAnsi="Arial" w:cs="Arial"/>
                <w:sz w:val="20"/>
              </w:rPr>
              <w:t>.</w:t>
            </w:r>
          </w:p>
          <w:p w:rsidR="00B375EB"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 xml:space="preserve">Noted that a drug approved by an accelerated process by the FDA is subject to regulations for approved drugs. </w:t>
            </w:r>
          </w:p>
          <w:p w:rsidR="00B375EB"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The Medicaid managed rule that was approved several years ago mandated state Medicaid programs provide oversight of drug utilization to our Medicaid partners.</w:t>
            </w:r>
          </w:p>
          <w:p w:rsidR="00B375EB" w:rsidRDefault="00B375EB" w:rsidP="00B375EB">
            <w:pPr>
              <w:pStyle w:val="ListParagraph"/>
              <w:numPr>
                <w:ilvl w:val="2"/>
                <w:numId w:val="12"/>
              </w:numPr>
              <w:tabs>
                <w:tab w:val="left" w:pos="1535"/>
              </w:tabs>
              <w:contextualSpacing/>
              <w:rPr>
                <w:rFonts w:ascii="Arial" w:hAnsi="Arial" w:cs="Arial"/>
                <w:sz w:val="20"/>
              </w:rPr>
            </w:pPr>
            <w:r>
              <w:rPr>
                <w:rFonts w:ascii="Arial" w:hAnsi="Arial" w:cs="Arial"/>
                <w:sz w:val="20"/>
              </w:rPr>
              <w:t xml:space="preserve">This is the first year that we are required to acquire and submit data to CMS for review. </w:t>
            </w:r>
          </w:p>
          <w:p w:rsidR="00B375EB" w:rsidRPr="00534CF7" w:rsidRDefault="00B375EB" w:rsidP="00B375EB">
            <w:pPr>
              <w:pStyle w:val="ListParagraph"/>
              <w:numPr>
                <w:ilvl w:val="1"/>
                <w:numId w:val="12"/>
              </w:numPr>
              <w:tabs>
                <w:tab w:val="left" w:pos="1535"/>
              </w:tabs>
              <w:contextualSpacing/>
              <w:rPr>
                <w:rFonts w:ascii="Arial" w:hAnsi="Arial" w:cs="Arial"/>
                <w:sz w:val="20"/>
              </w:rPr>
            </w:pPr>
            <w:r>
              <w:rPr>
                <w:rFonts w:ascii="Arial" w:hAnsi="Arial" w:cs="Arial"/>
                <w:sz w:val="20"/>
              </w:rPr>
              <w:t>Drug Rebate Program – On September 30</w:t>
            </w:r>
            <w:r w:rsidRPr="00534CF7">
              <w:rPr>
                <w:rFonts w:ascii="Arial" w:hAnsi="Arial" w:cs="Arial"/>
                <w:sz w:val="20"/>
                <w:vertAlign w:val="superscript"/>
              </w:rPr>
              <w:t>th</w:t>
            </w:r>
            <w:r w:rsidR="00944D9C">
              <w:rPr>
                <w:rFonts w:ascii="Arial" w:hAnsi="Arial" w:cs="Arial"/>
                <w:sz w:val="20"/>
              </w:rPr>
              <w:t>,</w:t>
            </w:r>
            <w:r>
              <w:rPr>
                <w:rFonts w:ascii="Arial" w:hAnsi="Arial" w:cs="Arial"/>
                <w:sz w:val="20"/>
              </w:rPr>
              <w:t xml:space="preserve"> the agreements that have been in existence since 1991, unless renewed by the manufactures</w:t>
            </w:r>
            <w:r w:rsidR="00944D9C">
              <w:rPr>
                <w:rFonts w:ascii="Arial" w:hAnsi="Arial" w:cs="Arial"/>
                <w:sz w:val="20"/>
              </w:rPr>
              <w:t>,</w:t>
            </w:r>
            <w:r>
              <w:rPr>
                <w:rFonts w:ascii="Arial" w:hAnsi="Arial" w:cs="Arial"/>
                <w:sz w:val="20"/>
              </w:rPr>
              <w:t xml:space="preserve"> will be denied</w:t>
            </w:r>
            <w:r w:rsidR="00944D9C">
              <w:rPr>
                <w:rFonts w:ascii="Arial" w:hAnsi="Arial" w:cs="Arial"/>
                <w:sz w:val="20"/>
              </w:rPr>
              <w:t>.</w:t>
            </w:r>
          </w:p>
          <w:p w:rsidR="00B375EB" w:rsidRPr="0035353B" w:rsidRDefault="00B375EB" w:rsidP="00A00A40">
            <w:pPr>
              <w:tabs>
                <w:tab w:val="left" w:pos="1535"/>
              </w:tabs>
              <w:contextualSpacing/>
              <w:rPr>
                <w:rFonts w:cs="Arial"/>
                <w:b/>
                <w:u w:val="single"/>
              </w:rPr>
            </w:pPr>
            <w:r>
              <w:rPr>
                <w:rFonts w:cs="Arial"/>
                <w:b/>
                <w:u w:val="single"/>
              </w:rPr>
              <w:t>Questions</w:t>
            </w:r>
            <w:r w:rsidRPr="0035353B">
              <w:rPr>
                <w:rFonts w:cs="Arial"/>
                <w:b/>
                <w:u w:val="single"/>
              </w:rPr>
              <w:t>:</w:t>
            </w:r>
          </w:p>
          <w:p w:rsidR="00B375EB" w:rsidRPr="002A4976" w:rsidRDefault="00B375EB" w:rsidP="00B375EB">
            <w:pPr>
              <w:pStyle w:val="ListParagraph"/>
              <w:numPr>
                <w:ilvl w:val="0"/>
                <w:numId w:val="20"/>
              </w:numPr>
              <w:tabs>
                <w:tab w:val="left" w:pos="1535"/>
              </w:tabs>
              <w:contextualSpacing/>
              <w:rPr>
                <w:rFonts w:ascii="Arial" w:hAnsi="Arial" w:cs="Arial"/>
              </w:rPr>
            </w:pPr>
            <w:r>
              <w:rPr>
                <w:rFonts w:ascii="Arial" w:hAnsi="Arial" w:cs="Arial"/>
                <w:sz w:val="20"/>
              </w:rPr>
              <w:t xml:space="preserve">A </w:t>
            </w:r>
            <w:r w:rsidRPr="002A4976">
              <w:rPr>
                <w:rFonts w:ascii="Arial" w:hAnsi="Arial" w:cs="Arial"/>
                <w:sz w:val="20"/>
              </w:rPr>
              <w:t xml:space="preserve">Board member </w:t>
            </w:r>
            <w:r>
              <w:rPr>
                <w:rFonts w:ascii="Arial" w:hAnsi="Arial" w:cs="Arial"/>
                <w:sz w:val="20"/>
              </w:rPr>
              <w:t>inquired</w:t>
            </w:r>
            <w:r w:rsidRPr="002A4976">
              <w:rPr>
                <w:rFonts w:ascii="Arial" w:hAnsi="Arial" w:cs="Arial"/>
                <w:sz w:val="20"/>
              </w:rPr>
              <w:t xml:space="preserve"> about CMS</w:t>
            </w:r>
            <w:r>
              <w:rPr>
                <w:rFonts w:ascii="Arial" w:hAnsi="Arial" w:cs="Arial"/>
                <w:sz w:val="20"/>
              </w:rPr>
              <w:t xml:space="preserve"> attention to the MCOs and if a problem precipitated this action. It was noted that there was an absence of attention in the past.  </w:t>
            </w:r>
          </w:p>
        </w:tc>
        <w:tc>
          <w:tcPr>
            <w:tcW w:w="2523" w:type="dxa"/>
          </w:tcPr>
          <w:p w:rsidR="00B375EB" w:rsidRPr="008C3C0F" w:rsidRDefault="00B375EB" w:rsidP="00A00A40">
            <w:pPr>
              <w:rPr>
                <w:b/>
                <w:u w:val="single"/>
              </w:rPr>
            </w:pPr>
            <w:r w:rsidRPr="008C3C0F">
              <w:rPr>
                <w:b/>
                <w:u w:val="single"/>
              </w:rPr>
              <w:t>Conclusion</w:t>
            </w:r>
          </w:p>
          <w:p w:rsidR="00B375EB" w:rsidRDefault="00B375EB" w:rsidP="00441B19">
            <w:r w:rsidRPr="008C3C0F">
              <w:t>Informational</w:t>
            </w:r>
            <w:r>
              <w:t>/Advisory</w:t>
            </w:r>
          </w:p>
        </w:tc>
      </w:tr>
    </w:tbl>
    <w:p w:rsidR="00B375EB" w:rsidRDefault="00B375EB" w:rsidP="00B375EB"/>
    <w:tbl>
      <w:tblPr>
        <w:tblStyle w:val="TableGrid"/>
        <w:tblW w:w="0" w:type="auto"/>
        <w:tblLook w:val="04A0" w:firstRow="1" w:lastRow="0" w:firstColumn="1" w:lastColumn="0" w:noHBand="0" w:noVBand="1"/>
        <w:tblCaption w:val="Presentation by Mark Tesell"/>
        <w:tblDescription w:val="Hereditary Angioedema Agents Quality Assurance topics were discussed."/>
      </w:tblPr>
      <w:tblGrid>
        <w:gridCol w:w="2156"/>
        <w:gridCol w:w="8268"/>
        <w:gridCol w:w="2526"/>
      </w:tblGrid>
      <w:tr w:rsidR="00B375EB" w:rsidRPr="00421B1F" w:rsidTr="009E2298">
        <w:trPr>
          <w:tblHeader/>
        </w:trPr>
        <w:tc>
          <w:tcPr>
            <w:tcW w:w="2156" w:type="dxa"/>
            <w:shd w:val="clear" w:color="auto" w:fill="000000" w:themeFill="text1"/>
          </w:tcPr>
          <w:p w:rsidR="00B375EB" w:rsidRPr="00421B1F" w:rsidRDefault="00B375EB" w:rsidP="00A00A40">
            <w:pPr>
              <w:rPr>
                <w:b/>
                <w:color w:val="FFFFFF" w:themeColor="background1"/>
              </w:rPr>
            </w:pPr>
            <w:r w:rsidRPr="00421B1F">
              <w:rPr>
                <w:b/>
                <w:color w:val="FFFFFF" w:themeColor="background1"/>
              </w:rPr>
              <w:t>Agenda Item</w:t>
            </w:r>
          </w:p>
        </w:tc>
        <w:tc>
          <w:tcPr>
            <w:tcW w:w="8268" w:type="dxa"/>
            <w:shd w:val="clear" w:color="auto" w:fill="000000" w:themeFill="text1"/>
          </w:tcPr>
          <w:p w:rsidR="00B375EB" w:rsidRPr="00421B1F" w:rsidRDefault="00B375EB" w:rsidP="00A00A40">
            <w:pPr>
              <w:rPr>
                <w:b/>
              </w:rPr>
            </w:pPr>
            <w:r w:rsidRPr="00421B1F">
              <w:rPr>
                <w:b/>
              </w:rPr>
              <w:t>Discussion</w:t>
            </w:r>
          </w:p>
        </w:tc>
        <w:tc>
          <w:tcPr>
            <w:tcW w:w="2526" w:type="dxa"/>
            <w:shd w:val="clear" w:color="auto" w:fill="000000" w:themeFill="text1"/>
          </w:tcPr>
          <w:p w:rsidR="00B375EB" w:rsidRPr="00421B1F" w:rsidRDefault="00B375EB" w:rsidP="00A00A40">
            <w:pPr>
              <w:rPr>
                <w:b/>
              </w:rPr>
            </w:pPr>
            <w:r w:rsidRPr="00421B1F">
              <w:rPr>
                <w:b/>
              </w:rPr>
              <w:t>Conclusions/Follow Up</w:t>
            </w:r>
          </w:p>
        </w:tc>
      </w:tr>
      <w:tr w:rsidR="00B375EB" w:rsidTr="00A00A40">
        <w:tc>
          <w:tcPr>
            <w:tcW w:w="2156" w:type="dxa"/>
            <w:vAlign w:val="center"/>
          </w:tcPr>
          <w:p w:rsidR="00B375EB" w:rsidRPr="0065087B" w:rsidRDefault="00B375EB" w:rsidP="00441B19">
            <w:pPr>
              <w:pStyle w:val="Header"/>
              <w:tabs>
                <w:tab w:val="left" w:pos="720"/>
                <w:tab w:val="left" w:pos="1170"/>
                <w:tab w:val="left" w:pos="2610"/>
              </w:tabs>
              <w:overflowPunct/>
              <w:rPr>
                <w:b/>
              </w:rPr>
            </w:pPr>
            <w:r w:rsidRPr="0065087B">
              <w:rPr>
                <w:rFonts w:cs="Arial"/>
                <w:b/>
                <w:bCs/>
                <w:color w:val="000000"/>
              </w:rPr>
              <w:t>Hereditary Angioedema Agents Quality Assurance</w:t>
            </w:r>
          </w:p>
        </w:tc>
        <w:tc>
          <w:tcPr>
            <w:tcW w:w="8268" w:type="dxa"/>
            <w:vAlign w:val="center"/>
          </w:tcPr>
          <w:p w:rsidR="00B375EB" w:rsidRDefault="00B375EB" w:rsidP="00A00A40">
            <w:pPr>
              <w:rPr>
                <w:u w:val="single"/>
              </w:rPr>
            </w:pPr>
            <w:r>
              <w:rPr>
                <w:u w:val="single"/>
              </w:rPr>
              <w:t xml:space="preserve">Presentation given by Mark Tesell </w:t>
            </w:r>
          </w:p>
          <w:p w:rsidR="00B375EB" w:rsidRPr="00AC5384" w:rsidRDefault="00B375EB" w:rsidP="00441B19">
            <w:pPr>
              <w:pStyle w:val="Title"/>
              <w:ind w:left="351"/>
              <w:jc w:val="left"/>
              <w:rPr>
                <w:b w:val="0"/>
              </w:rPr>
            </w:pPr>
            <w:r>
              <w:rPr>
                <w:b w:val="0"/>
              </w:rPr>
              <w:t xml:space="preserve">This overview is an evaluation of current medical literature and will provide a brief overview </w:t>
            </w:r>
            <w:proofErr w:type="gramStart"/>
            <w:r>
              <w:rPr>
                <w:b w:val="0"/>
              </w:rPr>
              <w:t>of a new guideline recommendations</w:t>
            </w:r>
            <w:proofErr w:type="gramEnd"/>
            <w:r>
              <w:rPr>
                <w:b w:val="0"/>
              </w:rPr>
              <w:t xml:space="preserve"> in this disease state.</w:t>
            </w:r>
          </w:p>
        </w:tc>
        <w:tc>
          <w:tcPr>
            <w:tcW w:w="2526" w:type="dxa"/>
          </w:tcPr>
          <w:p w:rsidR="00B375EB" w:rsidRPr="00425D75" w:rsidRDefault="00B375EB" w:rsidP="00A00A40">
            <w:pPr>
              <w:rPr>
                <w:b/>
                <w:u w:val="single"/>
              </w:rPr>
            </w:pPr>
            <w:r w:rsidRPr="00760FE3">
              <w:rPr>
                <w:b/>
                <w:u w:val="single"/>
              </w:rPr>
              <w:t>Follow Up</w:t>
            </w:r>
          </w:p>
          <w:p w:rsidR="00B375EB" w:rsidRPr="00760FE3" w:rsidRDefault="00B375EB" w:rsidP="00A00A40">
            <w:pPr>
              <w:rPr>
                <w:b/>
                <w:u w:val="single"/>
              </w:rPr>
            </w:pPr>
            <w:r>
              <w:t>Informational/Advisory</w:t>
            </w:r>
          </w:p>
        </w:tc>
      </w:tr>
      <w:tr w:rsidR="00B375EB" w:rsidTr="00A00A40">
        <w:tc>
          <w:tcPr>
            <w:tcW w:w="2156" w:type="dxa"/>
            <w:vAlign w:val="center"/>
          </w:tcPr>
          <w:p w:rsidR="00B375EB" w:rsidRDefault="00B375EB" w:rsidP="00A00A40">
            <w:pPr>
              <w:pStyle w:val="Header"/>
              <w:tabs>
                <w:tab w:val="left" w:pos="720"/>
                <w:tab w:val="left" w:pos="1170"/>
                <w:tab w:val="left" w:pos="2610"/>
              </w:tabs>
              <w:overflowPunct/>
              <w:rPr>
                <w:rFonts w:cs="Arial"/>
                <w:bCs/>
                <w:color w:val="000000"/>
                <w:sz w:val="22"/>
                <w:szCs w:val="22"/>
              </w:rPr>
            </w:pPr>
            <w:r>
              <w:rPr>
                <w:b/>
              </w:rPr>
              <w:t>Action</w:t>
            </w:r>
          </w:p>
        </w:tc>
        <w:tc>
          <w:tcPr>
            <w:tcW w:w="8268" w:type="dxa"/>
            <w:vAlign w:val="center"/>
          </w:tcPr>
          <w:p w:rsidR="00B375EB" w:rsidRDefault="00B375EB" w:rsidP="00A00A40">
            <w:r w:rsidRPr="004B5E97">
              <w:rPr>
                <w:b/>
              </w:rPr>
              <w:t>Discussion</w:t>
            </w:r>
            <w:r>
              <w:t>:</w:t>
            </w:r>
          </w:p>
          <w:p w:rsidR="00B375EB" w:rsidRPr="002A4976" w:rsidRDefault="00944D9C" w:rsidP="00B375EB">
            <w:pPr>
              <w:numPr>
                <w:ilvl w:val="0"/>
                <w:numId w:val="21"/>
              </w:numPr>
            </w:pPr>
            <w:r>
              <w:t>B</w:t>
            </w:r>
            <w:r w:rsidR="00B375EB" w:rsidRPr="002A4976">
              <w:t>ackground on hereditary angioedema</w:t>
            </w:r>
            <w:r>
              <w:t xml:space="preserve"> was provided.</w:t>
            </w:r>
          </w:p>
          <w:p w:rsidR="00B375EB" w:rsidRPr="002A4976" w:rsidRDefault="00944D9C" w:rsidP="00B375EB">
            <w:pPr>
              <w:numPr>
                <w:ilvl w:val="0"/>
                <w:numId w:val="21"/>
              </w:numPr>
            </w:pPr>
            <w:r>
              <w:t>T</w:t>
            </w:r>
            <w:r w:rsidR="00B375EB" w:rsidRPr="002A4976">
              <w:t>he FDA-approved agents and indications for hereditary angioedema agents</w:t>
            </w:r>
            <w:r>
              <w:t xml:space="preserve"> was listed.</w:t>
            </w:r>
          </w:p>
          <w:p w:rsidR="00B375EB" w:rsidRPr="002A4976" w:rsidRDefault="00944D9C" w:rsidP="00B375EB">
            <w:pPr>
              <w:numPr>
                <w:ilvl w:val="0"/>
                <w:numId w:val="21"/>
              </w:numPr>
            </w:pPr>
            <w:r>
              <w:t>C</w:t>
            </w:r>
            <w:r w:rsidR="00B375EB" w:rsidRPr="002A4976">
              <w:t>urrent prior authorization (PA) criteria for hereditary angioedema agents</w:t>
            </w:r>
            <w:r>
              <w:t xml:space="preserve"> was presented. </w:t>
            </w:r>
          </w:p>
          <w:p w:rsidR="00B375EB" w:rsidRPr="002A4976" w:rsidRDefault="00944D9C" w:rsidP="00B375EB">
            <w:pPr>
              <w:numPr>
                <w:ilvl w:val="0"/>
                <w:numId w:val="21"/>
              </w:numPr>
            </w:pPr>
            <w:r>
              <w:t>R</w:t>
            </w:r>
            <w:r w:rsidR="00B375EB" w:rsidRPr="002A4976">
              <w:t>ecent utilization and cost data for MassHealth members</w:t>
            </w:r>
            <w:r>
              <w:t xml:space="preserve"> was evaluated.</w:t>
            </w:r>
          </w:p>
          <w:p w:rsidR="00B375EB" w:rsidRPr="002A4976" w:rsidRDefault="004D03FE" w:rsidP="00B375EB">
            <w:pPr>
              <w:numPr>
                <w:ilvl w:val="0"/>
                <w:numId w:val="21"/>
              </w:numPr>
            </w:pPr>
            <w:r>
              <w:t>A</w:t>
            </w:r>
            <w:r w:rsidR="00B375EB" w:rsidRPr="002A4976">
              <w:t>n overview of PA requests for hereditary angioedema agents</w:t>
            </w:r>
            <w:r w:rsidR="008226EC">
              <w:t xml:space="preserve"> was provided</w:t>
            </w:r>
            <w:r>
              <w:t>.</w:t>
            </w:r>
          </w:p>
          <w:p w:rsidR="00B375EB" w:rsidRPr="002A4976" w:rsidRDefault="004D03FE" w:rsidP="00B375EB">
            <w:pPr>
              <w:numPr>
                <w:ilvl w:val="0"/>
                <w:numId w:val="21"/>
              </w:numPr>
            </w:pPr>
            <w:r>
              <w:t>R</w:t>
            </w:r>
            <w:r w:rsidR="00B375EB" w:rsidRPr="002A4976">
              <w:t>ecommendations to current MassHealth clinical criteria and approval quantities</w:t>
            </w:r>
            <w:r>
              <w:t xml:space="preserve"> was discussed.</w:t>
            </w:r>
          </w:p>
          <w:p w:rsidR="00B375EB" w:rsidRDefault="00B375EB" w:rsidP="00A00A40">
            <w:r>
              <w:rPr>
                <w:b/>
              </w:rPr>
              <w:t>Recommendation</w:t>
            </w:r>
            <w:r>
              <w:t>:</w:t>
            </w:r>
          </w:p>
          <w:p w:rsidR="00B375EB" w:rsidRPr="002A4976" w:rsidRDefault="00B375EB" w:rsidP="00B375EB">
            <w:pPr>
              <w:numPr>
                <w:ilvl w:val="0"/>
                <w:numId w:val="22"/>
              </w:numPr>
            </w:pPr>
            <w:r w:rsidRPr="002A4976">
              <w:t>For all agents</w:t>
            </w:r>
          </w:p>
          <w:p w:rsidR="00B375EB" w:rsidRPr="002A4976" w:rsidRDefault="00B375EB" w:rsidP="00B375EB">
            <w:pPr>
              <w:numPr>
                <w:ilvl w:val="1"/>
                <w:numId w:val="22"/>
              </w:numPr>
            </w:pPr>
            <w:r w:rsidRPr="002A4976">
              <w:t>Diagnosis of hereditary angioedema</w:t>
            </w:r>
          </w:p>
          <w:p w:rsidR="00B375EB" w:rsidRPr="002A4976" w:rsidRDefault="00B375EB" w:rsidP="00B375EB">
            <w:pPr>
              <w:numPr>
                <w:ilvl w:val="1"/>
                <w:numId w:val="22"/>
              </w:numPr>
            </w:pPr>
            <w:r w:rsidRPr="002A4976">
              <w:t>Prescriber is an allergist or immunologist or consult notes provided</w:t>
            </w:r>
          </w:p>
          <w:p w:rsidR="00B375EB" w:rsidRPr="002A4976" w:rsidRDefault="00B375EB" w:rsidP="00B375EB">
            <w:pPr>
              <w:numPr>
                <w:ilvl w:val="0"/>
                <w:numId w:val="22"/>
              </w:numPr>
            </w:pPr>
            <w:r w:rsidRPr="002A4976">
              <w:t>For agents used for prophylaxis against angioedema attacks only</w:t>
            </w:r>
          </w:p>
          <w:p w:rsidR="00B375EB" w:rsidRPr="002A4976" w:rsidRDefault="00B375EB" w:rsidP="00B375EB">
            <w:pPr>
              <w:numPr>
                <w:ilvl w:val="1"/>
                <w:numId w:val="22"/>
              </w:numPr>
            </w:pPr>
            <w:r w:rsidRPr="002A4976">
              <w:t>More than one attack per month or history of recurrent laryngeal attacks</w:t>
            </w:r>
          </w:p>
          <w:p w:rsidR="00B375EB" w:rsidRDefault="00B375EB" w:rsidP="00B375EB">
            <w:pPr>
              <w:numPr>
                <w:ilvl w:val="1"/>
                <w:numId w:val="22"/>
              </w:numPr>
            </w:pPr>
            <w:r w:rsidRPr="002A4976">
              <w:t xml:space="preserve">Inadequate response, adverse reaction, or contraindication to androgen therapy </w:t>
            </w:r>
          </w:p>
          <w:p w:rsidR="00B375EB" w:rsidRPr="00BC28A8" w:rsidRDefault="00B375EB" w:rsidP="00B375EB">
            <w:pPr>
              <w:numPr>
                <w:ilvl w:val="0"/>
                <w:numId w:val="22"/>
              </w:numPr>
            </w:pPr>
            <w:r w:rsidRPr="00BC28A8">
              <w:t xml:space="preserve">Ruconest (C-1 esterase inhibitor, recombinant) is currently approved for the treatment of acute attacks and is under review for long-term prophylaxis </w:t>
            </w:r>
          </w:p>
          <w:p w:rsidR="00B375EB" w:rsidRPr="00BC28A8" w:rsidRDefault="00B375EB" w:rsidP="00B375EB">
            <w:pPr>
              <w:numPr>
                <w:ilvl w:val="0"/>
                <w:numId w:val="23"/>
              </w:numPr>
              <w:tabs>
                <w:tab w:val="clear" w:pos="720"/>
              </w:tabs>
              <w:ind w:left="1354"/>
            </w:pPr>
            <w:r w:rsidRPr="00BC28A8">
              <w:t>Expected decision by September 21, 2018</w:t>
            </w:r>
          </w:p>
          <w:p w:rsidR="00B375EB" w:rsidRPr="00BC28A8" w:rsidRDefault="00B375EB" w:rsidP="00B375EB">
            <w:pPr>
              <w:numPr>
                <w:ilvl w:val="0"/>
                <w:numId w:val="22"/>
              </w:numPr>
            </w:pPr>
            <w:r w:rsidRPr="00BC28A8">
              <w:t>California Technology Assessment Forum (CTAF) will convene to review ICER's assessment of therapies for hereditary angioedema on October 25, 2018</w:t>
            </w:r>
            <w:r w:rsidR="004D03FE">
              <w:t>.</w:t>
            </w:r>
          </w:p>
          <w:p w:rsidR="00B375EB" w:rsidRDefault="00B375EB" w:rsidP="00A00A40">
            <w:pPr>
              <w:rPr>
                <w:rFonts w:cs="Arial"/>
                <w:b/>
                <w:u w:val="single"/>
              </w:rPr>
            </w:pPr>
            <w:r>
              <w:rPr>
                <w:rFonts w:cs="Arial"/>
                <w:b/>
                <w:u w:val="single"/>
              </w:rPr>
              <w:t>Questions:</w:t>
            </w:r>
          </w:p>
          <w:p w:rsidR="00B375EB" w:rsidRPr="00BC28A8" w:rsidRDefault="00B375EB" w:rsidP="00B375EB">
            <w:pPr>
              <w:pStyle w:val="ListParagraph"/>
              <w:numPr>
                <w:ilvl w:val="0"/>
                <w:numId w:val="20"/>
              </w:numPr>
              <w:rPr>
                <w:u w:val="single"/>
              </w:rPr>
            </w:pPr>
            <w:r>
              <w:rPr>
                <w:rFonts w:ascii="Arial" w:hAnsi="Arial" w:cs="Arial"/>
                <w:sz w:val="20"/>
              </w:rPr>
              <w:t>A Board member inquired if the condition improved regarding the frequen</w:t>
            </w:r>
            <w:r w:rsidR="008226EC">
              <w:rPr>
                <w:rFonts w:ascii="Arial" w:hAnsi="Arial" w:cs="Arial"/>
                <w:sz w:val="20"/>
              </w:rPr>
              <w:t>cy and severity of the episodes.</w:t>
            </w:r>
            <w:r>
              <w:rPr>
                <w:rFonts w:ascii="Arial" w:hAnsi="Arial" w:cs="Arial"/>
                <w:sz w:val="20"/>
              </w:rPr>
              <w:t xml:space="preserve"> It was noted that the exact prognosis of the patients is not known, but as a chronic condition, many patients deal with symptoms on a daily basis and there can be variability in the condition. </w:t>
            </w:r>
          </w:p>
          <w:p w:rsidR="00B375EB" w:rsidRPr="00A900A9" w:rsidRDefault="00B375EB" w:rsidP="00B375EB">
            <w:pPr>
              <w:pStyle w:val="ListParagraph"/>
              <w:numPr>
                <w:ilvl w:val="0"/>
                <w:numId w:val="20"/>
              </w:numPr>
              <w:rPr>
                <w:u w:val="single"/>
              </w:rPr>
            </w:pPr>
            <w:r>
              <w:rPr>
                <w:rFonts w:ascii="Arial" w:hAnsi="Arial" w:cs="Arial"/>
                <w:sz w:val="20"/>
              </w:rPr>
              <w:t>A Board member inquired about the patients having two doses on hand, and the timing of the second dose. It was noted that this is a quantity sufficient that if an attack occurs and the symptoms do not subside, a second dose is indicated as well as evaluation by the Emergency Room.</w:t>
            </w:r>
          </w:p>
        </w:tc>
        <w:tc>
          <w:tcPr>
            <w:tcW w:w="2526" w:type="dxa"/>
          </w:tcPr>
          <w:p w:rsidR="00B375EB" w:rsidRPr="008C3C0F" w:rsidRDefault="00B375EB" w:rsidP="00A00A40">
            <w:pPr>
              <w:rPr>
                <w:b/>
                <w:u w:val="single"/>
              </w:rPr>
            </w:pPr>
            <w:r w:rsidRPr="008C3C0F">
              <w:rPr>
                <w:b/>
                <w:u w:val="single"/>
              </w:rPr>
              <w:t>Conclusion</w:t>
            </w:r>
          </w:p>
          <w:p w:rsidR="00B375EB" w:rsidRDefault="00B375EB" w:rsidP="00441B19">
            <w:r w:rsidRPr="008C3C0F">
              <w:t>Informational</w:t>
            </w:r>
            <w:r>
              <w:t>/Advisory</w:t>
            </w:r>
          </w:p>
        </w:tc>
      </w:tr>
    </w:tbl>
    <w:p w:rsidR="00B375EB" w:rsidRDefault="00B375EB" w:rsidP="00B375EB">
      <w:r>
        <w:t xml:space="preserve">Meeting adjourned at 8:00 </w:t>
      </w:r>
      <w:r w:rsidR="004D03FE">
        <w:t>p.m.</w:t>
      </w:r>
    </w:p>
    <w:p w:rsidR="00B375EB" w:rsidRDefault="00B375EB" w:rsidP="00B375EB">
      <w:r>
        <w:t xml:space="preserve">Respectfully submitted </w:t>
      </w:r>
      <w:r w:rsidR="00146852">
        <w:t>by</w:t>
      </w:r>
      <w:r>
        <w:t xml:space="preserve"> Vincent Palumbo, Director of DUR</w:t>
      </w:r>
    </w:p>
    <w:p w:rsidR="003A77E9" w:rsidRDefault="00B375EB">
      <w:r>
        <w:t>Date: _________________</w:t>
      </w:r>
    </w:p>
    <w:sectPr w:rsidR="003A77E9" w:rsidSect="00B375E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0C5"/>
    <w:multiLevelType w:val="hybridMultilevel"/>
    <w:tmpl w:val="08CE31FE"/>
    <w:lvl w:ilvl="0" w:tplc="71ECE0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E314D"/>
    <w:multiLevelType w:val="hybridMultilevel"/>
    <w:tmpl w:val="588E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D567D"/>
    <w:multiLevelType w:val="hybridMultilevel"/>
    <w:tmpl w:val="6F6AB918"/>
    <w:lvl w:ilvl="0" w:tplc="71ECE0F4">
      <w:start w:val="1"/>
      <w:numFmt w:val="bullet"/>
      <w:lvlText w:val="•"/>
      <w:lvlJc w:val="left"/>
      <w:pPr>
        <w:ind w:left="2340" w:hanging="360"/>
      </w:pPr>
      <w:rPr>
        <w:rFonts w:ascii="Arial" w:hAnsi="Aria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nsid w:val="0A406714"/>
    <w:multiLevelType w:val="hybridMultilevel"/>
    <w:tmpl w:val="3964F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E0D2F"/>
    <w:multiLevelType w:val="hybridMultilevel"/>
    <w:tmpl w:val="EFD2E364"/>
    <w:lvl w:ilvl="0" w:tplc="0409000B">
      <w:start w:val="1"/>
      <w:numFmt w:val="bullet"/>
      <w:lvlText w:val=""/>
      <w:lvlJc w:val="left"/>
      <w:pPr>
        <w:ind w:left="69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nsid w:val="1E530708"/>
    <w:multiLevelType w:val="hybridMultilevel"/>
    <w:tmpl w:val="C8BEAC7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D50AA3"/>
    <w:multiLevelType w:val="hybridMultilevel"/>
    <w:tmpl w:val="7F3EDF7A"/>
    <w:lvl w:ilvl="0" w:tplc="9A3A2126">
      <w:start w:val="32"/>
      <w:numFmt w:val="bullet"/>
      <w:lvlText w:val="–"/>
      <w:lvlJc w:val="left"/>
      <w:pPr>
        <w:tabs>
          <w:tab w:val="num" w:pos="720"/>
        </w:tabs>
        <w:ind w:left="720" w:hanging="360"/>
      </w:pPr>
      <w:rPr>
        <w:rFonts w:ascii="Arial" w:hAnsi="Arial" w:hint="default"/>
      </w:rPr>
    </w:lvl>
    <w:lvl w:ilvl="1" w:tplc="F9B07D16">
      <w:start w:val="65"/>
      <w:numFmt w:val="bullet"/>
      <w:lvlText w:val="•"/>
      <w:lvlJc w:val="left"/>
      <w:pPr>
        <w:tabs>
          <w:tab w:val="num" w:pos="1440"/>
        </w:tabs>
        <w:ind w:left="1440" w:hanging="360"/>
      </w:pPr>
      <w:rPr>
        <w:rFonts w:ascii="Arial" w:hAnsi="Arial" w:hint="default"/>
      </w:rPr>
    </w:lvl>
    <w:lvl w:ilvl="2" w:tplc="15AA736C" w:tentative="1">
      <w:start w:val="1"/>
      <w:numFmt w:val="bullet"/>
      <w:lvlText w:val="•"/>
      <w:lvlJc w:val="left"/>
      <w:pPr>
        <w:tabs>
          <w:tab w:val="num" w:pos="2160"/>
        </w:tabs>
        <w:ind w:left="2160" w:hanging="360"/>
      </w:pPr>
      <w:rPr>
        <w:rFonts w:ascii="Arial" w:hAnsi="Arial" w:hint="default"/>
      </w:rPr>
    </w:lvl>
    <w:lvl w:ilvl="3" w:tplc="705E419C" w:tentative="1">
      <w:start w:val="1"/>
      <w:numFmt w:val="bullet"/>
      <w:lvlText w:val="•"/>
      <w:lvlJc w:val="left"/>
      <w:pPr>
        <w:tabs>
          <w:tab w:val="num" w:pos="2880"/>
        </w:tabs>
        <w:ind w:left="2880" w:hanging="360"/>
      </w:pPr>
      <w:rPr>
        <w:rFonts w:ascii="Arial" w:hAnsi="Arial" w:hint="default"/>
      </w:rPr>
    </w:lvl>
    <w:lvl w:ilvl="4" w:tplc="73DA0148" w:tentative="1">
      <w:start w:val="1"/>
      <w:numFmt w:val="bullet"/>
      <w:lvlText w:val="•"/>
      <w:lvlJc w:val="left"/>
      <w:pPr>
        <w:tabs>
          <w:tab w:val="num" w:pos="3600"/>
        </w:tabs>
        <w:ind w:left="3600" w:hanging="360"/>
      </w:pPr>
      <w:rPr>
        <w:rFonts w:ascii="Arial" w:hAnsi="Arial" w:hint="default"/>
      </w:rPr>
    </w:lvl>
    <w:lvl w:ilvl="5" w:tplc="836C3924" w:tentative="1">
      <w:start w:val="1"/>
      <w:numFmt w:val="bullet"/>
      <w:lvlText w:val="•"/>
      <w:lvlJc w:val="left"/>
      <w:pPr>
        <w:tabs>
          <w:tab w:val="num" w:pos="4320"/>
        </w:tabs>
        <w:ind w:left="4320" w:hanging="360"/>
      </w:pPr>
      <w:rPr>
        <w:rFonts w:ascii="Arial" w:hAnsi="Arial" w:hint="default"/>
      </w:rPr>
    </w:lvl>
    <w:lvl w:ilvl="6" w:tplc="9D7E8A1E" w:tentative="1">
      <w:start w:val="1"/>
      <w:numFmt w:val="bullet"/>
      <w:lvlText w:val="•"/>
      <w:lvlJc w:val="left"/>
      <w:pPr>
        <w:tabs>
          <w:tab w:val="num" w:pos="5040"/>
        </w:tabs>
        <w:ind w:left="5040" w:hanging="360"/>
      </w:pPr>
      <w:rPr>
        <w:rFonts w:ascii="Arial" w:hAnsi="Arial" w:hint="default"/>
      </w:rPr>
    </w:lvl>
    <w:lvl w:ilvl="7" w:tplc="0A746628" w:tentative="1">
      <w:start w:val="1"/>
      <w:numFmt w:val="bullet"/>
      <w:lvlText w:val="•"/>
      <w:lvlJc w:val="left"/>
      <w:pPr>
        <w:tabs>
          <w:tab w:val="num" w:pos="5760"/>
        </w:tabs>
        <w:ind w:left="5760" w:hanging="360"/>
      </w:pPr>
      <w:rPr>
        <w:rFonts w:ascii="Arial" w:hAnsi="Arial" w:hint="default"/>
      </w:rPr>
    </w:lvl>
    <w:lvl w:ilvl="8" w:tplc="8370E90C" w:tentative="1">
      <w:start w:val="1"/>
      <w:numFmt w:val="bullet"/>
      <w:lvlText w:val="•"/>
      <w:lvlJc w:val="left"/>
      <w:pPr>
        <w:tabs>
          <w:tab w:val="num" w:pos="6480"/>
        </w:tabs>
        <w:ind w:left="6480" w:hanging="360"/>
      </w:pPr>
      <w:rPr>
        <w:rFonts w:ascii="Arial" w:hAnsi="Arial" w:hint="default"/>
      </w:rPr>
    </w:lvl>
  </w:abstractNum>
  <w:abstractNum w:abstractNumId="7">
    <w:nsid w:val="214F09B0"/>
    <w:multiLevelType w:val="hybridMultilevel"/>
    <w:tmpl w:val="8AC8C634"/>
    <w:lvl w:ilvl="0" w:tplc="6F0CB304">
      <w:start w:val="1"/>
      <w:numFmt w:val="bullet"/>
      <w:lvlText w:val="•"/>
      <w:lvlJc w:val="left"/>
      <w:pPr>
        <w:tabs>
          <w:tab w:val="num" w:pos="720"/>
        </w:tabs>
        <w:ind w:left="720" w:hanging="360"/>
      </w:pPr>
      <w:rPr>
        <w:rFonts w:ascii="Arial" w:hAnsi="Arial" w:hint="default"/>
      </w:rPr>
    </w:lvl>
    <w:lvl w:ilvl="1" w:tplc="34120D1A">
      <w:start w:val="608"/>
      <w:numFmt w:val="bullet"/>
      <w:lvlText w:val="–"/>
      <w:lvlJc w:val="left"/>
      <w:pPr>
        <w:tabs>
          <w:tab w:val="num" w:pos="1440"/>
        </w:tabs>
        <w:ind w:left="1440" w:hanging="360"/>
      </w:pPr>
      <w:rPr>
        <w:rFonts w:ascii="Arial" w:hAnsi="Arial" w:hint="default"/>
      </w:rPr>
    </w:lvl>
    <w:lvl w:ilvl="2" w:tplc="E7A0AAC6" w:tentative="1">
      <w:start w:val="1"/>
      <w:numFmt w:val="bullet"/>
      <w:lvlText w:val="•"/>
      <w:lvlJc w:val="left"/>
      <w:pPr>
        <w:tabs>
          <w:tab w:val="num" w:pos="2160"/>
        </w:tabs>
        <w:ind w:left="2160" w:hanging="360"/>
      </w:pPr>
      <w:rPr>
        <w:rFonts w:ascii="Arial" w:hAnsi="Arial" w:hint="default"/>
      </w:rPr>
    </w:lvl>
    <w:lvl w:ilvl="3" w:tplc="1758D0E8" w:tentative="1">
      <w:start w:val="1"/>
      <w:numFmt w:val="bullet"/>
      <w:lvlText w:val="•"/>
      <w:lvlJc w:val="left"/>
      <w:pPr>
        <w:tabs>
          <w:tab w:val="num" w:pos="2880"/>
        </w:tabs>
        <w:ind w:left="2880" w:hanging="360"/>
      </w:pPr>
      <w:rPr>
        <w:rFonts w:ascii="Arial" w:hAnsi="Arial" w:hint="default"/>
      </w:rPr>
    </w:lvl>
    <w:lvl w:ilvl="4" w:tplc="DC229EAA" w:tentative="1">
      <w:start w:val="1"/>
      <w:numFmt w:val="bullet"/>
      <w:lvlText w:val="•"/>
      <w:lvlJc w:val="left"/>
      <w:pPr>
        <w:tabs>
          <w:tab w:val="num" w:pos="3600"/>
        </w:tabs>
        <w:ind w:left="3600" w:hanging="360"/>
      </w:pPr>
      <w:rPr>
        <w:rFonts w:ascii="Arial" w:hAnsi="Arial" w:hint="default"/>
      </w:rPr>
    </w:lvl>
    <w:lvl w:ilvl="5" w:tplc="52BC67F6" w:tentative="1">
      <w:start w:val="1"/>
      <w:numFmt w:val="bullet"/>
      <w:lvlText w:val="•"/>
      <w:lvlJc w:val="left"/>
      <w:pPr>
        <w:tabs>
          <w:tab w:val="num" w:pos="4320"/>
        </w:tabs>
        <w:ind w:left="4320" w:hanging="360"/>
      </w:pPr>
      <w:rPr>
        <w:rFonts w:ascii="Arial" w:hAnsi="Arial" w:hint="default"/>
      </w:rPr>
    </w:lvl>
    <w:lvl w:ilvl="6" w:tplc="E3885962" w:tentative="1">
      <w:start w:val="1"/>
      <w:numFmt w:val="bullet"/>
      <w:lvlText w:val="•"/>
      <w:lvlJc w:val="left"/>
      <w:pPr>
        <w:tabs>
          <w:tab w:val="num" w:pos="5040"/>
        </w:tabs>
        <w:ind w:left="5040" w:hanging="360"/>
      </w:pPr>
      <w:rPr>
        <w:rFonts w:ascii="Arial" w:hAnsi="Arial" w:hint="default"/>
      </w:rPr>
    </w:lvl>
    <w:lvl w:ilvl="7" w:tplc="96FE0EFE" w:tentative="1">
      <w:start w:val="1"/>
      <w:numFmt w:val="bullet"/>
      <w:lvlText w:val="•"/>
      <w:lvlJc w:val="left"/>
      <w:pPr>
        <w:tabs>
          <w:tab w:val="num" w:pos="5760"/>
        </w:tabs>
        <w:ind w:left="5760" w:hanging="360"/>
      </w:pPr>
      <w:rPr>
        <w:rFonts w:ascii="Arial" w:hAnsi="Arial" w:hint="default"/>
      </w:rPr>
    </w:lvl>
    <w:lvl w:ilvl="8" w:tplc="6FACB508" w:tentative="1">
      <w:start w:val="1"/>
      <w:numFmt w:val="bullet"/>
      <w:lvlText w:val="•"/>
      <w:lvlJc w:val="left"/>
      <w:pPr>
        <w:tabs>
          <w:tab w:val="num" w:pos="6480"/>
        </w:tabs>
        <w:ind w:left="6480" w:hanging="360"/>
      </w:pPr>
      <w:rPr>
        <w:rFonts w:ascii="Arial" w:hAnsi="Arial" w:hint="default"/>
      </w:rPr>
    </w:lvl>
  </w:abstractNum>
  <w:abstractNum w:abstractNumId="8">
    <w:nsid w:val="2A0E0A64"/>
    <w:multiLevelType w:val="hybridMultilevel"/>
    <w:tmpl w:val="C102FB40"/>
    <w:lvl w:ilvl="0" w:tplc="0409000B">
      <w:start w:val="1"/>
      <w:numFmt w:val="bullet"/>
      <w:lvlText w:val=""/>
      <w:lvlJc w:val="left"/>
      <w:pPr>
        <w:ind w:left="70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9">
    <w:nsid w:val="2B0C19D8"/>
    <w:multiLevelType w:val="hybridMultilevel"/>
    <w:tmpl w:val="3FB4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86DB3"/>
    <w:multiLevelType w:val="hybridMultilevel"/>
    <w:tmpl w:val="8E666730"/>
    <w:lvl w:ilvl="0" w:tplc="5824BC9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34DF4"/>
    <w:multiLevelType w:val="hybridMultilevel"/>
    <w:tmpl w:val="8BBC3362"/>
    <w:lvl w:ilvl="0" w:tplc="943C3B4E">
      <w:start w:val="1"/>
      <w:numFmt w:val="bullet"/>
      <w:lvlText w:val="•"/>
      <w:lvlJc w:val="left"/>
      <w:pPr>
        <w:tabs>
          <w:tab w:val="num" w:pos="2070"/>
        </w:tabs>
        <w:ind w:left="2070" w:hanging="360"/>
      </w:pPr>
      <w:rPr>
        <w:rFonts w:ascii="Arial" w:hAnsi="Arial" w:hint="default"/>
      </w:rPr>
    </w:lvl>
    <w:lvl w:ilvl="1" w:tplc="9D2C52B6">
      <w:start w:val="1"/>
      <w:numFmt w:val="bullet"/>
      <w:lvlText w:val="•"/>
      <w:lvlJc w:val="left"/>
      <w:pPr>
        <w:tabs>
          <w:tab w:val="num" w:pos="1440"/>
        </w:tabs>
        <w:ind w:left="1440" w:hanging="360"/>
      </w:pPr>
      <w:rPr>
        <w:rFonts w:ascii="Arial" w:hAnsi="Arial" w:hint="default"/>
      </w:rPr>
    </w:lvl>
    <w:lvl w:ilvl="2" w:tplc="88CA40B8">
      <w:start w:val="1"/>
      <w:numFmt w:val="bullet"/>
      <w:lvlText w:val="•"/>
      <w:lvlJc w:val="left"/>
      <w:pPr>
        <w:tabs>
          <w:tab w:val="num" w:pos="2160"/>
        </w:tabs>
        <w:ind w:left="2160" w:hanging="360"/>
      </w:pPr>
      <w:rPr>
        <w:rFonts w:ascii="Arial" w:hAnsi="Arial" w:hint="default"/>
      </w:rPr>
    </w:lvl>
    <w:lvl w:ilvl="3" w:tplc="63CE356C" w:tentative="1">
      <w:start w:val="1"/>
      <w:numFmt w:val="bullet"/>
      <w:lvlText w:val="•"/>
      <w:lvlJc w:val="left"/>
      <w:pPr>
        <w:tabs>
          <w:tab w:val="num" w:pos="2880"/>
        </w:tabs>
        <w:ind w:left="2880" w:hanging="360"/>
      </w:pPr>
      <w:rPr>
        <w:rFonts w:ascii="Arial" w:hAnsi="Arial" w:hint="default"/>
      </w:rPr>
    </w:lvl>
    <w:lvl w:ilvl="4" w:tplc="F1700978" w:tentative="1">
      <w:start w:val="1"/>
      <w:numFmt w:val="bullet"/>
      <w:lvlText w:val="•"/>
      <w:lvlJc w:val="left"/>
      <w:pPr>
        <w:tabs>
          <w:tab w:val="num" w:pos="3600"/>
        </w:tabs>
        <w:ind w:left="3600" w:hanging="360"/>
      </w:pPr>
      <w:rPr>
        <w:rFonts w:ascii="Arial" w:hAnsi="Arial" w:hint="default"/>
      </w:rPr>
    </w:lvl>
    <w:lvl w:ilvl="5" w:tplc="838E4D3E" w:tentative="1">
      <w:start w:val="1"/>
      <w:numFmt w:val="bullet"/>
      <w:lvlText w:val="•"/>
      <w:lvlJc w:val="left"/>
      <w:pPr>
        <w:tabs>
          <w:tab w:val="num" w:pos="4320"/>
        </w:tabs>
        <w:ind w:left="4320" w:hanging="360"/>
      </w:pPr>
      <w:rPr>
        <w:rFonts w:ascii="Arial" w:hAnsi="Arial" w:hint="default"/>
      </w:rPr>
    </w:lvl>
    <w:lvl w:ilvl="6" w:tplc="94A6329C" w:tentative="1">
      <w:start w:val="1"/>
      <w:numFmt w:val="bullet"/>
      <w:lvlText w:val="•"/>
      <w:lvlJc w:val="left"/>
      <w:pPr>
        <w:tabs>
          <w:tab w:val="num" w:pos="5040"/>
        </w:tabs>
        <w:ind w:left="5040" w:hanging="360"/>
      </w:pPr>
      <w:rPr>
        <w:rFonts w:ascii="Arial" w:hAnsi="Arial" w:hint="default"/>
      </w:rPr>
    </w:lvl>
    <w:lvl w:ilvl="7" w:tplc="19D43646" w:tentative="1">
      <w:start w:val="1"/>
      <w:numFmt w:val="bullet"/>
      <w:lvlText w:val="•"/>
      <w:lvlJc w:val="left"/>
      <w:pPr>
        <w:tabs>
          <w:tab w:val="num" w:pos="5760"/>
        </w:tabs>
        <w:ind w:left="5760" w:hanging="360"/>
      </w:pPr>
      <w:rPr>
        <w:rFonts w:ascii="Arial" w:hAnsi="Arial" w:hint="default"/>
      </w:rPr>
    </w:lvl>
    <w:lvl w:ilvl="8" w:tplc="8228B25C" w:tentative="1">
      <w:start w:val="1"/>
      <w:numFmt w:val="bullet"/>
      <w:lvlText w:val="•"/>
      <w:lvlJc w:val="left"/>
      <w:pPr>
        <w:tabs>
          <w:tab w:val="num" w:pos="6480"/>
        </w:tabs>
        <w:ind w:left="6480" w:hanging="360"/>
      </w:pPr>
      <w:rPr>
        <w:rFonts w:ascii="Arial" w:hAnsi="Arial" w:hint="default"/>
      </w:rPr>
    </w:lvl>
  </w:abstractNum>
  <w:abstractNum w:abstractNumId="12">
    <w:nsid w:val="30805891"/>
    <w:multiLevelType w:val="hybridMultilevel"/>
    <w:tmpl w:val="EA52DE18"/>
    <w:lvl w:ilvl="0" w:tplc="7ECE2D6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151FF"/>
    <w:multiLevelType w:val="hybridMultilevel"/>
    <w:tmpl w:val="3C5A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6F4A67"/>
    <w:multiLevelType w:val="hybridMultilevel"/>
    <w:tmpl w:val="4D7269F6"/>
    <w:lvl w:ilvl="0" w:tplc="722ED110">
      <w:start w:val="1"/>
      <w:numFmt w:val="bullet"/>
      <w:lvlText w:val="•"/>
      <w:lvlJc w:val="left"/>
      <w:pPr>
        <w:tabs>
          <w:tab w:val="num" w:pos="720"/>
        </w:tabs>
        <w:ind w:left="720" w:hanging="360"/>
      </w:pPr>
      <w:rPr>
        <w:rFonts w:ascii="Arial" w:hAnsi="Arial" w:hint="default"/>
      </w:rPr>
    </w:lvl>
    <w:lvl w:ilvl="1" w:tplc="F9B07D16">
      <w:start w:val="65"/>
      <w:numFmt w:val="bullet"/>
      <w:lvlText w:val="•"/>
      <w:lvlJc w:val="left"/>
      <w:pPr>
        <w:tabs>
          <w:tab w:val="num" w:pos="1440"/>
        </w:tabs>
        <w:ind w:left="1440" w:hanging="360"/>
      </w:pPr>
      <w:rPr>
        <w:rFonts w:ascii="Arial" w:hAnsi="Arial" w:hint="default"/>
      </w:rPr>
    </w:lvl>
    <w:lvl w:ilvl="2" w:tplc="15AA736C" w:tentative="1">
      <w:start w:val="1"/>
      <w:numFmt w:val="bullet"/>
      <w:lvlText w:val="•"/>
      <w:lvlJc w:val="left"/>
      <w:pPr>
        <w:tabs>
          <w:tab w:val="num" w:pos="2160"/>
        </w:tabs>
        <w:ind w:left="2160" w:hanging="360"/>
      </w:pPr>
      <w:rPr>
        <w:rFonts w:ascii="Arial" w:hAnsi="Arial" w:hint="default"/>
      </w:rPr>
    </w:lvl>
    <w:lvl w:ilvl="3" w:tplc="705E419C" w:tentative="1">
      <w:start w:val="1"/>
      <w:numFmt w:val="bullet"/>
      <w:lvlText w:val="•"/>
      <w:lvlJc w:val="left"/>
      <w:pPr>
        <w:tabs>
          <w:tab w:val="num" w:pos="2880"/>
        </w:tabs>
        <w:ind w:left="2880" w:hanging="360"/>
      </w:pPr>
      <w:rPr>
        <w:rFonts w:ascii="Arial" w:hAnsi="Arial" w:hint="default"/>
      </w:rPr>
    </w:lvl>
    <w:lvl w:ilvl="4" w:tplc="73DA0148" w:tentative="1">
      <w:start w:val="1"/>
      <w:numFmt w:val="bullet"/>
      <w:lvlText w:val="•"/>
      <w:lvlJc w:val="left"/>
      <w:pPr>
        <w:tabs>
          <w:tab w:val="num" w:pos="3600"/>
        </w:tabs>
        <w:ind w:left="3600" w:hanging="360"/>
      </w:pPr>
      <w:rPr>
        <w:rFonts w:ascii="Arial" w:hAnsi="Arial" w:hint="default"/>
      </w:rPr>
    </w:lvl>
    <w:lvl w:ilvl="5" w:tplc="836C3924" w:tentative="1">
      <w:start w:val="1"/>
      <w:numFmt w:val="bullet"/>
      <w:lvlText w:val="•"/>
      <w:lvlJc w:val="left"/>
      <w:pPr>
        <w:tabs>
          <w:tab w:val="num" w:pos="4320"/>
        </w:tabs>
        <w:ind w:left="4320" w:hanging="360"/>
      </w:pPr>
      <w:rPr>
        <w:rFonts w:ascii="Arial" w:hAnsi="Arial" w:hint="default"/>
      </w:rPr>
    </w:lvl>
    <w:lvl w:ilvl="6" w:tplc="9D7E8A1E" w:tentative="1">
      <w:start w:val="1"/>
      <w:numFmt w:val="bullet"/>
      <w:lvlText w:val="•"/>
      <w:lvlJc w:val="left"/>
      <w:pPr>
        <w:tabs>
          <w:tab w:val="num" w:pos="5040"/>
        </w:tabs>
        <w:ind w:left="5040" w:hanging="360"/>
      </w:pPr>
      <w:rPr>
        <w:rFonts w:ascii="Arial" w:hAnsi="Arial" w:hint="default"/>
      </w:rPr>
    </w:lvl>
    <w:lvl w:ilvl="7" w:tplc="0A746628" w:tentative="1">
      <w:start w:val="1"/>
      <w:numFmt w:val="bullet"/>
      <w:lvlText w:val="•"/>
      <w:lvlJc w:val="left"/>
      <w:pPr>
        <w:tabs>
          <w:tab w:val="num" w:pos="5760"/>
        </w:tabs>
        <w:ind w:left="5760" w:hanging="360"/>
      </w:pPr>
      <w:rPr>
        <w:rFonts w:ascii="Arial" w:hAnsi="Arial" w:hint="default"/>
      </w:rPr>
    </w:lvl>
    <w:lvl w:ilvl="8" w:tplc="8370E90C" w:tentative="1">
      <w:start w:val="1"/>
      <w:numFmt w:val="bullet"/>
      <w:lvlText w:val="•"/>
      <w:lvlJc w:val="left"/>
      <w:pPr>
        <w:tabs>
          <w:tab w:val="num" w:pos="6480"/>
        </w:tabs>
        <w:ind w:left="6480" w:hanging="360"/>
      </w:pPr>
      <w:rPr>
        <w:rFonts w:ascii="Arial" w:hAnsi="Arial" w:hint="default"/>
      </w:rPr>
    </w:lvl>
  </w:abstractNum>
  <w:abstractNum w:abstractNumId="15">
    <w:nsid w:val="34B23C17"/>
    <w:multiLevelType w:val="hybridMultilevel"/>
    <w:tmpl w:val="DC568D8E"/>
    <w:lvl w:ilvl="0" w:tplc="235E250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611C3"/>
    <w:multiLevelType w:val="hybridMultilevel"/>
    <w:tmpl w:val="A75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E040B"/>
    <w:multiLevelType w:val="hybridMultilevel"/>
    <w:tmpl w:val="8E2C9F92"/>
    <w:lvl w:ilvl="0" w:tplc="9A3A2126">
      <w:start w:val="32"/>
      <w:numFmt w:val="bullet"/>
      <w:lvlText w:val="–"/>
      <w:lvlJc w:val="left"/>
      <w:pPr>
        <w:tabs>
          <w:tab w:val="num" w:pos="720"/>
        </w:tabs>
        <w:ind w:left="720" w:hanging="360"/>
      </w:pPr>
      <w:rPr>
        <w:rFonts w:ascii="Arial" w:hAnsi="Arial" w:hint="default"/>
      </w:rPr>
    </w:lvl>
    <w:lvl w:ilvl="1" w:tplc="34120D1A">
      <w:start w:val="608"/>
      <w:numFmt w:val="bullet"/>
      <w:lvlText w:val="–"/>
      <w:lvlJc w:val="left"/>
      <w:pPr>
        <w:tabs>
          <w:tab w:val="num" w:pos="1440"/>
        </w:tabs>
        <w:ind w:left="1440" w:hanging="360"/>
      </w:pPr>
      <w:rPr>
        <w:rFonts w:ascii="Arial" w:hAnsi="Arial" w:hint="default"/>
      </w:rPr>
    </w:lvl>
    <w:lvl w:ilvl="2" w:tplc="E7A0AAC6" w:tentative="1">
      <w:start w:val="1"/>
      <w:numFmt w:val="bullet"/>
      <w:lvlText w:val="•"/>
      <w:lvlJc w:val="left"/>
      <w:pPr>
        <w:tabs>
          <w:tab w:val="num" w:pos="2160"/>
        </w:tabs>
        <w:ind w:left="2160" w:hanging="360"/>
      </w:pPr>
      <w:rPr>
        <w:rFonts w:ascii="Arial" w:hAnsi="Arial" w:hint="default"/>
      </w:rPr>
    </w:lvl>
    <w:lvl w:ilvl="3" w:tplc="1758D0E8" w:tentative="1">
      <w:start w:val="1"/>
      <w:numFmt w:val="bullet"/>
      <w:lvlText w:val="•"/>
      <w:lvlJc w:val="left"/>
      <w:pPr>
        <w:tabs>
          <w:tab w:val="num" w:pos="2880"/>
        </w:tabs>
        <w:ind w:left="2880" w:hanging="360"/>
      </w:pPr>
      <w:rPr>
        <w:rFonts w:ascii="Arial" w:hAnsi="Arial" w:hint="default"/>
      </w:rPr>
    </w:lvl>
    <w:lvl w:ilvl="4" w:tplc="DC229EAA" w:tentative="1">
      <w:start w:val="1"/>
      <w:numFmt w:val="bullet"/>
      <w:lvlText w:val="•"/>
      <w:lvlJc w:val="left"/>
      <w:pPr>
        <w:tabs>
          <w:tab w:val="num" w:pos="3600"/>
        </w:tabs>
        <w:ind w:left="3600" w:hanging="360"/>
      </w:pPr>
      <w:rPr>
        <w:rFonts w:ascii="Arial" w:hAnsi="Arial" w:hint="default"/>
      </w:rPr>
    </w:lvl>
    <w:lvl w:ilvl="5" w:tplc="52BC67F6" w:tentative="1">
      <w:start w:val="1"/>
      <w:numFmt w:val="bullet"/>
      <w:lvlText w:val="•"/>
      <w:lvlJc w:val="left"/>
      <w:pPr>
        <w:tabs>
          <w:tab w:val="num" w:pos="4320"/>
        </w:tabs>
        <w:ind w:left="4320" w:hanging="360"/>
      </w:pPr>
      <w:rPr>
        <w:rFonts w:ascii="Arial" w:hAnsi="Arial" w:hint="default"/>
      </w:rPr>
    </w:lvl>
    <w:lvl w:ilvl="6" w:tplc="E3885962" w:tentative="1">
      <w:start w:val="1"/>
      <w:numFmt w:val="bullet"/>
      <w:lvlText w:val="•"/>
      <w:lvlJc w:val="left"/>
      <w:pPr>
        <w:tabs>
          <w:tab w:val="num" w:pos="5040"/>
        </w:tabs>
        <w:ind w:left="5040" w:hanging="360"/>
      </w:pPr>
      <w:rPr>
        <w:rFonts w:ascii="Arial" w:hAnsi="Arial" w:hint="default"/>
      </w:rPr>
    </w:lvl>
    <w:lvl w:ilvl="7" w:tplc="96FE0EFE" w:tentative="1">
      <w:start w:val="1"/>
      <w:numFmt w:val="bullet"/>
      <w:lvlText w:val="•"/>
      <w:lvlJc w:val="left"/>
      <w:pPr>
        <w:tabs>
          <w:tab w:val="num" w:pos="5760"/>
        </w:tabs>
        <w:ind w:left="5760" w:hanging="360"/>
      </w:pPr>
      <w:rPr>
        <w:rFonts w:ascii="Arial" w:hAnsi="Arial" w:hint="default"/>
      </w:rPr>
    </w:lvl>
    <w:lvl w:ilvl="8" w:tplc="6FACB508" w:tentative="1">
      <w:start w:val="1"/>
      <w:numFmt w:val="bullet"/>
      <w:lvlText w:val="•"/>
      <w:lvlJc w:val="left"/>
      <w:pPr>
        <w:tabs>
          <w:tab w:val="num" w:pos="6480"/>
        </w:tabs>
        <w:ind w:left="6480" w:hanging="360"/>
      </w:pPr>
      <w:rPr>
        <w:rFonts w:ascii="Arial" w:hAnsi="Arial" w:hint="default"/>
      </w:rPr>
    </w:lvl>
  </w:abstractNum>
  <w:abstractNum w:abstractNumId="18">
    <w:nsid w:val="51C422A5"/>
    <w:multiLevelType w:val="hybridMultilevel"/>
    <w:tmpl w:val="ABFEA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361ACA"/>
    <w:multiLevelType w:val="hybridMultilevel"/>
    <w:tmpl w:val="F6DCD932"/>
    <w:lvl w:ilvl="0" w:tplc="0A3868FA">
      <w:start w:val="1"/>
      <w:numFmt w:val="bullet"/>
      <w:lvlText w:val="•"/>
      <w:lvlJc w:val="left"/>
      <w:pPr>
        <w:tabs>
          <w:tab w:val="num" w:pos="720"/>
        </w:tabs>
        <w:ind w:left="720" w:hanging="360"/>
      </w:pPr>
      <w:rPr>
        <w:rFonts w:ascii="Arial" w:hAnsi="Arial" w:hint="default"/>
      </w:rPr>
    </w:lvl>
    <w:lvl w:ilvl="1" w:tplc="C7FA36EA" w:tentative="1">
      <w:start w:val="1"/>
      <w:numFmt w:val="bullet"/>
      <w:lvlText w:val="•"/>
      <w:lvlJc w:val="left"/>
      <w:pPr>
        <w:tabs>
          <w:tab w:val="num" w:pos="1440"/>
        </w:tabs>
        <w:ind w:left="1440" w:hanging="360"/>
      </w:pPr>
      <w:rPr>
        <w:rFonts w:ascii="Arial" w:hAnsi="Arial" w:hint="default"/>
      </w:rPr>
    </w:lvl>
    <w:lvl w:ilvl="2" w:tplc="32F0B06A" w:tentative="1">
      <w:start w:val="1"/>
      <w:numFmt w:val="bullet"/>
      <w:lvlText w:val="•"/>
      <w:lvlJc w:val="left"/>
      <w:pPr>
        <w:tabs>
          <w:tab w:val="num" w:pos="2160"/>
        </w:tabs>
        <w:ind w:left="2160" w:hanging="360"/>
      </w:pPr>
      <w:rPr>
        <w:rFonts w:ascii="Arial" w:hAnsi="Arial" w:hint="default"/>
      </w:rPr>
    </w:lvl>
    <w:lvl w:ilvl="3" w:tplc="4B2AF6E8" w:tentative="1">
      <w:start w:val="1"/>
      <w:numFmt w:val="bullet"/>
      <w:lvlText w:val="•"/>
      <w:lvlJc w:val="left"/>
      <w:pPr>
        <w:tabs>
          <w:tab w:val="num" w:pos="2880"/>
        </w:tabs>
        <w:ind w:left="2880" w:hanging="360"/>
      </w:pPr>
      <w:rPr>
        <w:rFonts w:ascii="Arial" w:hAnsi="Arial" w:hint="default"/>
      </w:rPr>
    </w:lvl>
    <w:lvl w:ilvl="4" w:tplc="A59AAC4E" w:tentative="1">
      <w:start w:val="1"/>
      <w:numFmt w:val="bullet"/>
      <w:lvlText w:val="•"/>
      <w:lvlJc w:val="left"/>
      <w:pPr>
        <w:tabs>
          <w:tab w:val="num" w:pos="3600"/>
        </w:tabs>
        <w:ind w:left="3600" w:hanging="360"/>
      </w:pPr>
      <w:rPr>
        <w:rFonts w:ascii="Arial" w:hAnsi="Arial" w:hint="default"/>
      </w:rPr>
    </w:lvl>
    <w:lvl w:ilvl="5" w:tplc="D1E4B59C" w:tentative="1">
      <w:start w:val="1"/>
      <w:numFmt w:val="bullet"/>
      <w:lvlText w:val="•"/>
      <w:lvlJc w:val="left"/>
      <w:pPr>
        <w:tabs>
          <w:tab w:val="num" w:pos="4320"/>
        </w:tabs>
        <w:ind w:left="4320" w:hanging="360"/>
      </w:pPr>
      <w:rPr>
        <w:rFonts w:ascii="Arial" w:hAnsi="Arial" w:hint="default"/>
      </w:rPr>
    </w:lvl>
    <w:lvl w:ilvl="6" w:tplc="9976D61E" w:tentative="1">
      <w:start w:val="1"/>
      <w:numFmt w:val="bullet"/>
      <w:lvlText w:val="•"/>
      <w:lvlJc w:val="left"/>
      <w:pPr>
        <w:tabs>
          <w:tab w:val="num" w:pos="5040"/>
        </w:tabs>
        <w:ind w:left="5040" w:hanging="360"/>
      </w:pPr>
      <w:rPr>
        <w:rFonts w:ascii="Arial" w:hAnsi="Arial" w:hint="default"/>
      </w:rPr>
    </w:lvl>
    <w:lvl w:ilvl="7" w:tplc="F8F676FE" w:tentative="1">
      <w:start w:val="1"/>
      <w:numFmt w:val="bullet"/>
      <w:lvlText w:val="•"/>
      <w:lvlJc w:val="left"/>
      <w:pPr>
        <w:tabs>
          <w:tab w:val="num" w:pos="5760"/>
        </w:tabs>
        <w:ind w:left="5760" w:hanging="360"/>
      </w:pPr>
      <w:rPr>
        <w:rFonts w:ascii="Arial" w:hAnsi="Arial" w:hint="default"/>
      </w:rPr>
    </w:lvl>
    <w:lvl w:ilvl="8" w:tplc="8F9A8A16" w:tentative="1">
      <w:start w:val="1"/>
      <w:numFmt w:val="bullet"/>
      <w:lvlText w:val="•"/>
      <w:lvlJc w:val="left"/>
      <w:pPr>
        <w:tabs>
          <w:tab w:val="num" w:pos="6480"/>
        </w:tabs>
        <w:ind w:left="6480" w:hanging="360"/>
      </w:pPr>
      <w:rPr>
        <w:rFonts w:ascii="Arial" w:hAnsi="Arial" w:hint="default"/>
      </w:rPr>
    </w:lvl>
  </w:abstractNum>
  <w:abstractNum w:abstractNumId="20">
    <w:nsid w:val="633372C9"/>
    <w:multiLevelType w:val="hybridMultilevel"/>
    <w:tmpl w:val="AF166D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132267"/>
    <w:multiLevelType w:val="hybridMultilevel"/>
    <w:tmpl w:val="14602F44"/>
    <w:lvl w:ilvl="0" w:tplc="D402F424">
      <w:start w:val="1"/>
      <w:numFmt w:val="bullet"/>
      <w:lvlText w:val="•"/>
      <w:lvlJc w:val="left"/>
      <w:pPr>
        <w:tabs>
          <w:tab w:val="num" w:pos="720"/>
        </w:tabs>
        <w:ind w:left="720" w:hanging="360"/>
      </w:pPr>
      <w:rPr>
        <w:rFonts w:ascii="Arial" w:hAnsi="Arial" w:hint="default"/>
      </w:rPr>
    </w:lvl>
    <w:lvl w:ilvl="1" w:tplc="9A3A2126">
      <w:start w:val="32"/>
      <w:numFmt w:val="bullet"/>
      <w:lvlText w:val="–"/>
      <w:lvlJc w:val="left"/>
      <w:pPr>
        <w:tabs>
          <w:tab w:val="num" w:pos="1440"/>
        </w:tabs>
        <w:ind w:left="1440" w:hanging="360"/>
      </w:pPr>
      <w:rPr>
        <w:rFonts w:ascii="Arial" w:hAnsi="Arial" w:hint="default"/>
      </w:rPr>
    </w:lvl>
    <w:lvl w:ilvl="2" w:tplc="01487A62">
      <w:start w:val="1"/>
      <w:numFmt w:val="bullet"/>
      <w:lvlText w:val="•"/>
      <w:lvlJc w:val="left"/>
      <w:pPr>
        <w:tabs>
          <w:tab w:val="num" w:pos="2160"/>
        </w:tabs>
        <w:ind w:left="2160" w:hanging="360"/>
      </w:pPr>
      <w:rPr>
        <w:rFonts w:ascii="Arial" w:hAnsi="Arial" w:hint="default"/>
      </w:rPr>
    </w:lvl>
    <w:lvl w:ilvl="3" w:tplc="72988FCA" w:tentative="1">
      <w:start w:val="1"/>
      <w:numFmt w:val="bullet"/>
      <w:lvlText w:val="•"/>
      <w:lvlJc w:val="left"/>
      <w:pPr>
        <w:tabs>
          <w:tab w:val="num" w:pos="2880"/>
        </w:tabs>
        <w:ind w:left="2880" w:hanging="360"/>
      </w:pPr>
      <w:rPr>
        <w:rFonts w:ascii="Arial" w:hAnsi="Arial" w:hint="default"/>
      </w:rPr>
    </w:lvl>
    <w:lvl w:ilvl="4" w:tplc="9A2C2798" w:tentative="1">
      <w:start w:val="1"/>
      <w:numFmt w:val="bullet"/>
      <w:lvlText w:val="•"/>
      <w:lvlJc w:val="left"/>
      <w:pPr>
        <w:tabs>
          <w:tab w:val="num" w:pos="3600"/>
        </w:tabs>
        <w:ind w:left="3600" w:hanging="360"/>
      </w:pPr>
      <w:rPr>
        <w:rFonts w:ascii="Arial" w:hAnsi="Arial" w:hint="default"/>
      </w:rPr>
    </w:lvl>
    <w:lvl w:ilvl="5" w:tplc="7674D788" w:tentative="1">
      <w:start w:val="1"/>
      <w:numFmt w:val="bullet"/>
      <w:lvlText w:val="•"/>
      <w:lvlJc w:val="left"/>
      <w:pPr>
        <w:tabs>
          <w:tab w:val="num" w:pos="4320"/>
        </w:tabs>
        <w:ind w:left="4320" w:hanging="360"/>
      </w:pPr>
      <w:rPr>
        <w:rFonts w:ascii="Arial" w:hAnsi="Arial" w:hint="default"/>
      </w:rPr>
    </w:lvl>
    <w:lvl w:ilvl="6" w:tplc="FED62386" w:tentative="1">
      <w:start w:val="1"/>
      <w:numFmt w:val="bullet"/>
      <w:lvlText w:val="•"/>
      <w:lvlJc w:val="left"/>
      <w:pPr>
        <w:tabs>
          <w:tab w:val="num" w:pos="5040"/>
        </w:tabs>
        <w:ind w:left="5040" w:hanging="360"/>
      </w:pPr>
      <w:rPr>
        <w:rFonts w:ascii="Arial" w:hAnsi="Arial" w:hint="default"/>
      </w:rPr>
    </w:lvl>
    <w:lvl w:ilvl="7" w:tplc="16A291F2" w:tentative="1">
      <w:start w:val="1"/>
      <w:numFmt w:val="bullet"/>
      <w:lvlText w:val="•"/>
      <w:lvlJc w:val="left"/>
      <w:pPr>
        <w:tabs>
          <w:tab w:val="num" w:pos="5760"/>
        </w:tabs>
        <w:ind w:left="5760" w:hanging="360"/>
      </w:pPr>
      <w:rPr>
        <w:rFonts w:ascii="Arial" w:hAnsi="Arial" w:hint="default"/>
      </w:rPr>
    </w:lvl>
    <w:lvl w:ilvl="8" w:tplc="937EDA6C" w:tentative="1">
      <w:start w:val="1"/>
      <w:numFmt w:val="bullet"/>
      <w:lvlText w:val="•"/>
      <w:lvlJc w:val="left"/>
      <w:pPr>
        <w:tabs>
          <w:tab w:val="num" w:pos="6480"/>
        </w:tabs>
        <w:ind w:left="6480" w:hanging="360"/>
      </w:pPr>
      <w:rPr>
        <w:rFonts w:ascii="Arial" w:hAnsi="Arial" w:hint="default"/>
      </w:rPr>
    </w:lvl>
  </w:abstractNum>
  <w:abstractNum w:abstractNumId="22">
    <w:nsid w:val="753F32DD"/>
    <w:multiLevelType w:val="hybridMultilevel"/>
    <w:tmpl w:val="2730A5FA"/>
    <w:lvl w:ilvl="0" w:tplc="71ECE0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
  </w:num>
  <w:num w:numId="4">
    <w:abstractNumId w:val="9"/>
  </w:num>
  <w:num w:numId="5">
    <w:abstractNumId w:val="22"/>
  </w:num>
  <w:num w:numId="6">
    <w:abstractNumId w:val="3"/>
  </w:num>
  <w:num w:numId="7">
    <w:abstractNumId w:val="0"/>
  </w:num>
  <w:num w:numId="8">
    <w:abstractNumId w:val="2"/>
  </w:num>
  <w:num w:numId="9">
    <w:abstractNumId w:val="4"/>
  </w:num>
  <w:num w:numId="10">
    <w:abstractNumId w:val="11"/>
  </w:num>
  <w:num w:numId="11">
    <w:abstractNumId w:val="16"/>
  </w:num>
  <w:num w:numId="12">
    <w:abstractNumId w:val="5"/>
  </w:num>
  <w:num w:numId="13">
    <w:abstractNumId w:val="8"/>
  </w:num>
  <w:num w:numId="14">
    <w:abstractNumId w:val="14"/>
  </w:num>
  <w:num w:numId="15">
    <w:abstractNumId w:val="12"/>
  </w:num>
  <w:num w:numId="16">
    <w:abstractNumId w:val="18"/>
  </w:num>
  <w:num w:numId="17">
    <w:abstractNumId w:val="20"/>
  </w:num>
  <w:num w:numId="18">
    <w:abstractNumId w:val="6"/>
  </w:num>
  <w:num w:numId="19">
    <w:abstractNumId w:val="13"/>
  </w:num>
  <w:num w:numId="20">
    <w:abstractNumId w:val="15"/>
  </w:num>
  <w:num w:numId="21">
    <w:abstractNumId w:val="19"/>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EB"/>
    <w:rsid w:val="0008138D"/>
    <w:rsid w:val="000D24E8"/>
    <w:rsid w:val="000E1C08"/>
    <w:rsid w:val="001136BC"/>
    <w:rsid w:val="00146852"/>
    <w:rsid w:val="001B0512"/>
    <w:rsid w:val="001C3F16"/>
    <w:rsid w:val="002A367C"/>
    <w:rsid w:val="002C1C76"/>
    <w:rsid w:val="003A77E9"/>
    <w:rsid w:val="003C163F"/>
    <w:rsid w:val="003E6502"/>
    <w:rsid w:val="0042459D"/>
    <w:rsid w:val="00441B19"/>
    <w:rsid w:val="00447E10"/>
    <w:rsid w:val="00454411"/>
    <w:rsid w:val="004D03FE"/>
    <w:rsid w:val="00530460"/>
    <w:rsid w:val="006378CC"/>
    <w:rsid w:val="0065087B"/>
    <w:rsid w:val="00742A2A"/>
    <w:rsid w:val="008226EC"/>
    <w:rsid w:val="00903ECD"/>
    <w:rsid w:val="00944D9C"/>
    <w:rsid w:val="00967892"/>
    <w:rsid w:val="009E2298"/>
    <w:rsid w:val="00A00A40"/>
    <w:rsid w:val="00A2055D"/>
    <w:rsid w:val="00B375EB"/>
    <w:rsid w:val="00B627F2"/>
    <w:rsid w:val="00B65D6F"/>
    <w:rsid w:val="00BB6701"/>
    <w:rsid w:val="00DF369C"/>
    <w:rsid w:val="00EE3F51"/>
    <w:rsid w:val="00F14DFB"/>
    <w:rsid w:val="00F2712B"/>
    <w:rsid w:val="00F27979"/>
    <w:rsid w:val="00F334E8"/>
    <w:rsid w:val="00F965A5"/>
    <w:rsid w:val="00FF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EB"/>
    <w:pPr>
      <w:overflowPunct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75EB"/>
    <w:pPr>
      <w:tabs>
        <w:tab w:val="center" w:pos="4320"/>
        <w:tab w:val="right" w:pos="8640"/>
      </w:tabs>
    </w:pPr>
  </w:style>
  <w:style w:type="character" w:customStyle="1" w:styleId="HeaderChar">
    <w:name w:val="Header Char"/>
    <w:basedOn w:val="DefaultParagraphFont"/>
    <w:link w:val="Header"/>
    <w:uiPriority w:val="99"/>
    <w:rsid w:val="00B375EB"/>
    <w:rPr>
      <w:rFonts w:ascii="Arial" w:eastAsia="Times New Roman" w:hAnsi="Arial" w:cs="Times New Roman"/>
      <w:sz w:val="20"/>
      <w:szCs w:val="20"/>
    </w:rPr>
  </w:style>
  <w:style w:type="paragraph" w:styleId="Title">
    <w:name w:val="Title"/>
    <w:basedOn w:val="Normal"/>
    <w:link w:val="TitleChar"/>
    <w:qFormat/>
    <w:rsid w:val="00B375EB"/>
    <w:pPr>
      <w:jc w:val="center"/>
    </w:pPr>
    <w:rPr>
      <w:b/>
      <w:bCs/>
    </w:rPr>
  </w:style>
  <w:style w:type="character" w:customStyle="1" w:styleId="TitleChar">
    <w:name w:val="Title Char"/>
    <w:basedOn w:val="DefaultParagraphFont"/>
    <w:link w:val="Title"/>
    <w:rsid w:val="00B375EB"/>
    <w:rPr>
      <w:rFonts w:ascii="Arial" w:eastAsia="Times New Roman" w:hAnsi="Arial" w:cs="Times New Roman"/>
      <w:b/>
      <w:bCs/>
      <w:sz w:val="20"/>
      <w:szCs w:val="20"/>
    </w:rPr>
  </w:style>
  <w:style w:type="table" w:styleId="TableGrid">
    <w:name w:val="Table Grid"/>
    <w:basedOn w:val="TableNormal"/>
    <w:uiPriority w:val="59"/>
    <w:rsid w:val="00B375EB"/>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5EB"/>
    <w:pPr>
      <w:overflowPunct/>
      <w:autoSpaceDE/>
      <w:autoSpaceDN/>
      <w:adjustRightInd/>
      <w:ind w:left="720"/>
    </w:pPr>
    <w:rPr>
      <w:rFonts w:ascii="Times New Roman" w:hAnsi="Times New Roman"/>
      <w:sz w:val="24"/>
    </w:rPr>
  </w:style>
  <w:style w:type="paragraph" w:styleId="BalloonText">
    <w:name w:val="Balloon Text"/>
    <w:basedOn w:val="Normal"/>
    <w:link w:val="BalloonTextChar"/>
    <w:uiPriority w:val="99"/>
    <w:semiHidden/>
    <w:unhideWhenUsed/>
    <w:rsid w:val="00BB6701"/>
    <w:rPr>
      <w:rFonts w:ascii="Tahoma" w:hAnsi="Tahoma" w:cs="Tahoma"/>
      <w:sz w:val="16"/>
      <w:szCs w:val="16"/>
    </w:rPr>
  </w:style>
  <w:style w:type="character" w:customStyle="1" w:styleId="BalloonTextChar">
    <w:name w:val="Balloon Text Char"/>
    <w:basedOn w:val="DefaultParagraphFont"/>
    <w:link w:val="BalloonText"/>
    <w:uiPriority w:val="99"/>
    <w:semiHidden/>
    <w:rsid w:val="00BB67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EB"/>
    <w:pPr>
      <w:overflowPunct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75EB"/>
    <w:pPr>
      <w:tabs>
        <w:tab w:val="center" w:pos="4320"/>
        <w:tab w:val="right" w:pos="8640"/>
      </w:tabs>
    </w:pPr>
  </w:style>
  <w:style w:type="character" w:customStyle="1" w:styleId="HeaderChar">
    <w:name w:val="Header Char"/>
    <w:basedOn w:val="DefaultParagraphFont"/>
    <w:link w:val="Header"/>
    <w:uiPriority w:val="99"/>
    <w:rsid w:val="00B375EB"/>
    <w:rPr>
      <w:rFonts w:ascii="Arial" w:eastAsia="Times New Roman" w:hAnsi="Arial" w:cs="Times New Roman"/>
      <w:sz w:val="20"/>
      <w:szCs w:val="20"/>
    </w:rPr>
  </w:style>
  <w:style w:type="paragraph" w:styleId="Title">
    <w:name w:val="Title"/>
    <w:basedOn w:val="Normal"/>
    <w:link w:val="TitleChar"/>
    <w:qFormat/>
    <w:rsid w:val="00B375EB"/>
    <w:pPr>
      <w:jc w:val="center"/>
    </w:pPr>
    <w:rPr>
      <w:b/>
      <w:bCs/>
    </w:rPr>
  </w:style>
  <w:style w:type="character" w:customStyle="1" w:styleId="TitleChar">
    <w:name w:val="Title Char"/>
    <w:basedOn w:val="DefaultParagraphFont"/>
    <w:link w:val="Title"/>
    <w:rsid w:val="00B375EB"/>
    <w:rPr>
      <w:rFonts w:ascii="Arial" w:eastAsia="Times New Roman" w:hAnsi="Arial" w:cs="Times New Roman"/>
      <w:b/>
      <w:bCs/>
      <w:sz w:val="20"/>
      <w:szCs w:val="20"/>
    </w:rPr>
  </w:style>
  <w:style w:type="table" w:styleId="TableGrid">
    <w:name w:val="Table Grid"/>
    <w:basedOn w:val="TableNormal"/>
    <w:uiPriority w:val="59"/>
    <w:rsid w:val="00B375EB"/>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5EB"/>
    <w:pPr>
      <w:overflowPunct/>
      <w:autoSpaceDE/>
      <w:autoSpaceDN/>
      <w:adjustRightInd/>
      <w:ind w:left="720"/>
    </w:pPr>
    <w:rPr>
      <w:rFonts w:ascii="Times New Roman" w:hAnsi="Times New Roman"/>
      <w:sz w:val="24"/>
    </w:rPr>
  </w:style>
  <w:style w:type="paragraph" w:styleId="BalloonText">
    <w:name w:val="Balloon Text"/>
    <w:basedOn w:val="Normal"/>
    <w:link w:val="BalloonTextChar"/>
    <w:uiPriority w:val="99"/>
    <w:semiHidden/>
    <w:unhideWhenUsed/>
    <w:rsid w:val="00BB6701"/>
    <w:rPr>
      <w:rFonts w:ascii="Tahoma" w:hAnsi="Tahoma" w:cs="Tahoma"/>
      <w:sz w:val="16"/>
      <w:szCs w:val="16"/>
    </w:rPr>
  </w:style>
  <w:style w:type="character" w:customStyle="1" w:styleId="BalloonTextChar">
    <w:name w:val="Balloon Text Char"/>
    <w:basedOn w:val="DefaultParagraphFont"/>
    <w:link w:val="BalloonText"/>
    <w:uiPriority w:val="99"/>
    <w:semiHidden/>
    <w:rsid w:val="00BB67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9</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Palumbo, V</dc:creator>
  <cp:lastModifiedBy>Administrator</cp:lastModifiedBy>
  <cp:revision>20</cp:revision>
  <cp:lastPrinted>2019-03-21T15:00:00Z</cp:lastPrinted>
  <dcterms:created xsi:type="dcterms:W3CDTF">2019-03-21T14:06:00Z</dcterms:created>
  <dcterms:modified xsi:type="dcterms:W3CDTF">2019-03-26T14:23:00Z</dcterms:modified>
</cp:coreProperties>
</file>